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1F" w:rsidRPr="00F83346" w:rsidRDefault="00F82B96" w:rsidP="00F82B9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8F59FBC-115C-41F2-A5FB-25AB6CF694D0" style="width:455.25pt;height:426pt">
            <v:imagedata r:id="rId11" o:title=""/>
          </v:shape>
        </w:pict>
      </w:r>
    </w:p>
    <w:p w:rsidR="0045691F" w:rsidRPr="00F83346" w:rsidRDefault="0045691F" w:rsidP="0045691F">
      <w:pPr>
        <w:rPr>
          <w:noProof/>
        </w:rPr>
        <w:sectPr w:rsidR="0045691F" w:rsidRPr="00F83346" w:rsidSect="00F82B96">
          <w:footerReference w:type="even" r:id="rId12"/>
          <w:footerReference w:type="default" r:id="rId13"/>
          <w:pgSz w:w="11907" w:h="16839"/>
          <w:pgMar w:top="1134" w:right="1417" w:bottom="1134" w:left="1417" w:header="709" w:footer="709" w:gutter="0"/>
          <w:pgNumType w:start="0"/>
          <w:cols w:space="720"/>
          <w:docGrid w:linePitch="360"/>
        </w:sectPr>
      </w:pPr>
    </w:p>
    <w:p w:rsidR="0045691F" w:rsidRPr="00F83346" w:rsidRDefault="0045691F">
      <w:pPr>
        <w:pStyle w:val="Exposdesmotifstitre"/>
        <w:rPr>
          <w:noProof/>
        </w:rPr>
      </w:pPr>
      <w:bookmarkStart w:id="0" w:name="_GoBack"/>
      <w:bookmarkEnd w:id="0"/>
      <w:r w:rsidRPr="00F83346">
        <w:rPr>
          <w:noProof/>
        </w:rPr>
        <w:lastRenderedPageBreak/>
        <w:t>OBRAZLOŽITVENI MEMORANDUM</w:t>
      </w:r>
    </w:p>
    <w:p w:rsidR="0045691F" w:rsidRPr="00F83346" w:rsidRDefault="0045691F">
      <w:pPr>
        <w:pStyle w:val="ManualHeading1"/>
        <w:rPr>
          <w:noProof/>
        </w:rPr>
      </w:pPr>
      <w:r w:rsidRPr="00F83346">
        <w:rPr>
          <w:noProof/>
        </w:rPr>
        <w:t>1.</w:t>
      </w:r>
      <w:r w:rsidRPr="00F83346">
        <w:rPr>
          <w:noProof/>
        </w:rPr>
        <w:tab/>
        <w:t>OZADJE PREDLOGA</w:t>
      </w:r>
    </w:p>
    <w:p w:rsidR="0045691F" w:rsidRPr="00F83346" w:rsidRDefault="0045691F">
      <w:pPr>
        <w:pStyle w:val="ManualHeading2"/>
        <w:rPr>
          <w:rFonts w:eastAsia="Arial Unicode MS"/>
          <w:noProof/>
        </w:rPr>
      </w:pPr>
      <w:r w:rsidRPr="00F83346">
        <w:rPr>
          <w:noProof/>
          <w:color w:val="000000"/>
          <w:bdr w:val="nil"/>
        </w:rPr>
        <w:t>•</w:t>
      </w:r>
      <w:r w:rsidRPr="00F83346">
        <w:rPr>
          <w:noProof/>
          <w:color w:val="000000"/>
          <w:u w:color="000000"/>
          <w:bdr w:val="nil"/>
        </w:rPr>
        <w:tab/>
      </w:r>
      <w:r w:rsidRPr="00F83346">
        <w:rPr>
          <w:noProof/>
        </w:rPr>
        <w:t>Razlogi za predlog in njegovi cilji</w:t>
      </w:r>
    </w:p>
    <w:p w:rsidR="008A70E8" w:rsidRPr="00F83346" w:rsidRDefault="00532AC2" w:rsidP="0045691F">
      <w:pPr>
        <w:rPr>
          <w:rFonts w:eastAsia="Times New Roman"/>
          <w:noProof/>
        </w:rPr>
      </w:pPr>
      <w:r w:rsidRPr="00F83346">
        <w:rPr>
          <w:noProof/>
        </w:rPr>
        <w:t>Namen tega predloga je spremeniti Uredbo (EU) št. 575/2013 (uredba o kapitalskih zahtevah), da se ohrani sedanji prehodni pristop k zahtevi glede količnika neto stabilnega financiranja.</w:t>
      </w:r>
    </w:p>
    <w:p w:rsidR="009155AC" w:rsidRPr="00F83346" w:rsidRDefault="0045691F" w:rsidP="0045691F">
      <w:pPr>
        <w:rPr>
          <w:rFonts w:eastAsia="Times New Roman"/>
          <w:noProof/>
        </w:rPr>
      </w:pPr>
      <w:r w:rsidRPr="00F83346">
        <w:rPr>
          <w:noProof/>
        </w:rPr>
        <w:t>Zahteva glede količnika neto stabilnega financiranja je del mednarodnih standardov Basel III, glede katerih se je Evropska unija (EU) strinjala, da jih bo uvedla v okviru obsežne reforme bonitetnega okvira za banke po svetovni finančni krizi leta 2008. Cilj zahteve glede količnika neto stabilnega financiranja je zagotoviti, da imajo banke stabilne vire financiranje za financiranje svojih dejavnosti in zmanjšanje svoje odvisnosti od kratkoročnega grosističnega financiranja. Zasnovana je bila za zmanjšanje tveganja spremembe zapadlosti, in sicer kot globalno skladna regulativna zahteva, katere cilj je spodbuditi konvergenco med jurisdikcijami in odpraviti priložnosti za čezmejno regulativno arbitražo.</w:t>
      </w:r>
    </w:p>
    <w:p w:rsidR="0045691F" w:rsidRPr="00F83346" w:rsidRDefault="0045691F" w:rsidP="0045691F">
      <w:pPr>
        <w:rPr>
          <w:rFonts w:eastAsia="Times New Roman"/>
          <w:noProof/>
        </w:rPr>
      </w:pPr>
      <w:r w:rsidRPr="00F83346">
        <w:rPr>
          <w:noProof/>
        </w:rPr>
        <w:t>Baselski standard glede količnika neto stabilnega financiranja uvaja zlasti minimalno zahtevo glede zneska stabilnega financiranja, ki ga morajo banke izdati za financiranje svojih dejavnosti na podlagi likvidnostnega profila svojih sredstev. Zmanjšuje likvidnostno tveganje banke z določitvijo ravni potrebnega stabilnega financiranja na podlagi sredstev banke, ki se nato primerja z razpoložljivim stabilnim financiranjem, ki izhaja iz njenih instrumentov obveznosti.</w:t>
      </w:r>
    </w:p>
    <w:p w:rsidR="00AF3F69" w:rsidRPr="00F83346" w:rsidRDefault="00AF3F69" w:rsidP="0045691F">
      <w:pPr>
        <w:rPr>
          <w:rFonts w:eastAsia="Times New Roman"/>
          <w:noProof/>
        </w:rPr>
      </w:pPr>
      <w:r w:rsidRPr="00F83346">
        <w:rPr>
          <w:noProof/>
        </w:rPr>
        <w:t>Posli financiranja z vrednostnimi papirji, kot so opredeljeni v členu 4(1), točka 139, uredbe o kapitalskih zahtevah, zajemajo različne vrste zavarovanih poslov, pri katerih se sredstva (zavarovanje s premoženjem) zamenjajo za denarna sredstva, in sicer: (i) repo posle in povratne repo posle, (ii) posle posoje vrednostnih papirjev, (iii) posle nakupa in ponovne prodaje ter (iv) posle kreditiranja za povečanje trgovalnega portfelja. Največji delež poslov financiranja z vrednostnimi papirji predstavljajo repo posli in povratni repo posli, ki predstavljajo 68 % vseh poslov, sledijo pa jim posli posoje vrednostnih papirjev (23 %), nakupa in ponovne prodaje (8 %) ter kreditiranja za povečanje trgovalnega portfelja (1 %) (podatki iz septembra 2023)</w:t>
      </w:r>
      <w:r w:rsidRPr="00F83346">
        <w:rPr>
          <w:rStyle w:val="FootnoteReference"/>
          <w:rFonts w:eastAsia="Times New Roman"/>
          <w:noProof/>
        </w:rPr>
        <w:footnoteReference w:id="2"/>
      </w:r>
      <w:r w:rsidRPr="00F83346">
        <w:rPr>
          <w:noProof/>
        </w:rPr>
        <w:t>.</w:t>
      </w:r>
    </w:p>
    <w:p w:rsidR="0045691F" w:rsidRPr="00F83346" w:rsidRDefault="004568C0" w:rsidP="0045691F">
      <w:pPr>
        <w:rPr>
          <w:rFonts w:eastAsia="Times New Roman"/>
          <w:noProof/>
        </w:rPr>
      </w:pPr>
      <w:r w:rsidRPr="00F83346">
        <w:rPr>
          <w:noProof/>
        </w:rPr>
        <w:t>Repo posel je zavarovan in na splošno kratkoročen posel izposoje. Povratni repo posel je zavarovan posel posoje, ki je druga stran repo posla, pri katerem banka (posojilodajalec) začasno kupi vrednostne papirje ali blago (tj. zavarovanje s premoženjem) od nasprotne stranke (posojilojemalca) v zameno za denarna sredstva, pri čemer se zaveže, da bo zavarovanje s premoženjem v prihodnosti prodala nazaj po vnaprej določeni ceni.</w:t>
      </w:r>
    </w:p>
    <w:p w:rsidR="001B519C" w:rsidRPr="00F83346" w:rsidRDefault="004603CB" w:rsidP="0045691F">
      <w:pPr>
        <w:rPr>
          <w:rFonts w:eastAsia="Times New Roman"/>
          <w:noProof/>
        </w:rPr>
      </w:pPr>
      <w:r w:rsidRPr="00F83346">
        <w:rPr>
          <w:noProof/>
        </w:rPr>
        <w:t>Nezavarovani posli posoje so posojila, za katera ni bilo dano zavarovanje s premoženjem. Temeljijo na kreditni sposobnosti posojilojemalca in obljubi, da jih bo odplačal. Pred svetovno finančno krizo so večinoma potekali na medbančnih trgih.</w:t>
      </w:r>
    </w:p>
    <w:p w:rsidR="0045691F" w:rsidRPr="00F83346" w:rsidRDefault="0045691F" w:rsidP="0045691F">
      <w:pPr>
        <w:rPr>
          <w:rFonts w:eastAsia="Times New Roman"/>
          <w:noProof/>
        </w:rPr>
      </w:pPr>
      <w:r w:rsidRPr="00F83346">
        <w:rPr>
          <w:noProof/>
        </w:rPr>
        <w:t>Od svetovne finančne krize in zaprtja nezavarovanih medbančnih trgov so imeli posli financiranja z vrednostnimi papirji ključno vlogo pri kroženju kratkoročnega financiranja med bankami in udeleženci na trgu prek zavarovanih poslov. Dejavnost na trgu poslov financiranja z vrednostnimi papirji povezuje tudi kratkoročni denarni trg z dolgoročnejšim kapitalskim trgom. Večina poslov financiranja z vrednostnimi papirji je zavarovanih z državnimi dolžniškimi instrumenti. Posli financiranja z vrednostnimi papirji so opredeljeni kot poslovna dejavnost velikega obsega z nizko maržo za velike banke, ta dejavnost na grosističnem trgu pa je dovzetna za mednarodno konkurenco, kot kaže zelo čezmejna narava teh poslov. Le 41 % zneskov poslov financiranja z vrednostnimi papirji v EU je med nasprotnimi strankami iz EU, medtem ko 59 % zneskov poslov financiranja z vrednostnimi papirji v EU vključuje eno nasprotno stranko iz tretje države</w:t>
      </w:r>
      <w:r w:rsidR="005B04A6" w:rsidRPr="00F83346">
        <w:rPr>
          <w:rStyle w:val="FootnoteReference"/>
          <w:rFonts w:eastAsia="Times New Roman"/>
          <w:noProof/>
        </w:rPr>
        <w:footnoteReference w:id="3"/>
      </w:r>
      <w:r w:rsidRPr="00F83346">
        <w:rPr>
          <w:noProof/>
        </w:rPr>
        <w:t>.</w:t>
      </w:r>
    </w:p>
    <w:p w:rsidR="0045691F" w:rsidRPr="00F83346" w:rsidRDefault="005756A9" w:rsidP="0045691F">
      <w:pPr>
        <w:rPr>
          <w:rFonts w:eastAsia="Times New Roman"/>
          <w:noProof/>
        </w:rPr>
      </w:pPr>
      <w:r w:rsidRPr="00F83346">
        <w:rPr>
          <w:noProof/>
        </w:rPr>
        <w:t>Za dolgovane denarne zneske iz poslov financiranja z vrednostnimi papirji z zapadlostjo do šest mesecev morajo banke v skladu z baselskim standardom glede količnika neto stabilnega financiranja uporabljati konservativno zahtevo glede potrebnega stabilnega financiranja v višini več kot 0 %. Cilj je odvračati od pretiranih kratkoročnih izpostavljenosti med bankami, ki lahko povzročijo širjenje negativnih vplivov v času finančnih težav.</w:t>
      </w:r>
    </w:p>
    <w:p w:rsidR="0045691F" w:rsidRPr="00F83346" w:rsidRDefault="0045691F" w:rsidP="0045691F">
      <w:pPr>
        <w:rPr>
          <w:rFonts w:eastAsia="Times New Roman"/>
          <w:noProof/>
        </w:rPr>
      </w:pPr>
      <w:r w:rsidRPr="00F83346">
        <w:rPr>
          <w:noProof/>
        </w:rPr>
        <w:t>Standard glede količnika neto stabilnega financiranja je bil v pravo EU prenesen 20. maja 2019 s spremembo uredbe o kapitalskih zahtevah. S tem povezane zahteve so se začele uporabljati konec junija 2021. Komisija je v predlogu o spremembi uredbe o kapitalskih zahtevah, objavljenem 23. novembra 2016</w:t>
      </w:r>
      <w:r w:rsidRPr="00F83346">
        <w:rPr>
          <w:rStyle w:val="FootnoteReference"/>
          <w:rFonts w:eastAsia="Times New Roman"/>
          <w:noProof/>
        </w:rPr>
        <w:footnoteReference w:id="4"/>
      </w:r>
      <w:r w:rsidRPr="00F83346">
        <w:rPr>
          <w:noProof/>
        </w:rPr>
        <w:t>, predlagala trajno uporabo ravni potrebnega stabilnega financiranja, ki so nižje od ravni, vključenih v baselski sporazum. Komisija je takrat sklenila, da se zdi smiselno uvesti omejene spremembe obravnave kratkoročnih poslov s finančnimi institucijami in visokokakovostnih likvidnih sredstev stopnje 1, da se ne bi oviralo dobro delovanje finančnih in repo trgov v EU. Argumenti in analiza, ki so privedli do tega pristopa, in ocena učinka, priložena predlogu Komisije, še vedno veljajo</w:t>
      </w:r>
      <w:r w:rsidRPr="00F83346">
        <w:rPr>
          <w:rStyle w:val="FootnoteReference"/>
          <w:rFonts w:eastAsia="Times New Roman"/>
          <w:noProof/>
        </w:rPr>
        <w:footnoteReference w:id="5"/>
      </w:r>
      <w:r w:rsidRPr="00F83346">
        <w:rPr>
          <w:noProof/>
        </w:rPr>
        <w:t>.</w:t>
      </w:r>
    </w:p>
    <w:p w:rsidR="0045691F" w:rsidRPr="00F83346" w:rsidRDefault="0045691F" w:rsidP="0045691F">
      <w:pPr>
        <w:rPr>
          <w:rFonts w:eastAsia="Times New Roman"/>
          <w:noProof/>
        </w:rPr>
      </w:pPr>
      <w:r w:rsidRPr="00F83346">
        <w:rPr>
          <w:noProof/>
        </w:rPr>
        <w:t>Vendar sta sozakonodajalca dovolila prehodno zahtevo glede potrebnega stabilnega financiranja v višini 0 % (namesto 10 %, določenih v standardih Basel III, in 5 %, ki jih je predlagala Komisija) za dolgovane denarne zneske iz poslov financiranja z vrednostnimi papirji z zapadlostjo do šest mesecev, če so zavarovani z visokokakovostnimi likvidnimi sredstvi stopnje 1</w:t>
      </w:r>
      <w:r w:rsidR="0005279E" w:rsidRPr="00F83346">
        <w:rPr>
          <w:rStyle w:val="FootnoteReference"/>
          <w:rFonts w:eastAsia="Times New Roman"/>
          <w:noProof/>
        </w:rPr>
        <w:footnoteReference w:id="6"/>
      </w:r>
      <w:r w:rsidRPr="00F83346">
        <w:rPr>
          <w:noProof/>
        </w:rPr>
        <w:t>, kot so državni dolžniški instrumenti. Ta določba naj bi prenehala veljati junija 2025, ko bi se začela uporabljati zahteva glede potrebnega stabilnega financiranja v višini več kot 0 %, ki je določena v baselskem standardu. Namen prehodne določbe je bil bankam zagotoviti dovolj časa, da se prilagodijo bolj konservativni zahtevi, ki jo nalagajo baselski standardi, in ublažiti posledične učinke na kapitalski trg EU, zlasti na trg državnih dolžniških instrumentov.</w:t>
      </w:r>
    </w:p>
    <w:p w:rsidR="00583931" w:rsidRPr="00F83346" w:rsidRDefault="0045691F" w:rsidP="0045691F">
      <w:pPr>
        <w:rPr>
          <w:rFonts w:eastAsia="Times New Roman"/>
          <w:noProof/>
        </w:rPr>
      </w:pPr>
      <w:r w:rsidRPr="00F83346">
        <w:rPr>
          <w:noProof/>
        </w:rPr>
        <w:t>Podobne prehodne določbe so bile dogovorjene tudi za kratkoročne dolgovane denarne zneske iz poslov financiranja z vrednostnimi papirji, zavarovane s sredstvi, ki niso visokokakovostna likvidna sredstva stopnje 1, in za kratkoročne nezavarovane posle s finančnimi strankami. Te izpostavljenosti so razmeroma manj pomembne v primerjavi z dolgovanimi denarnimi zneski iz poslov financiranja z vrednostnimi papirji, ki so zavarovani z visokokakovostnimi likvidnimi sredstvi stopnje 1. Zanje so značilne tudi višje marže. Sozakonodajalca sta pri odobritvi prehodne obravnave teh poslov upoštevala njihove inherentne značilnosti financiranja in učinek ravni dejavnikov potrebnega stabilnega financiranja za te posle na likvidnost trga, zlasti sredstev, prejetih kot zavarovanje s premoženjem v poslih financiranja z vrednostnimi papirji.</w:t>
      </w:r>
    </w:p>
    <w:p w:rsidR="00CD5CF9" w:rsidRPr="00F83346" w:rsidRDefault="00943B31" w:rsidP="0045691F">
      <w:pPr>
        <w:rPr>
          <w:rFonts w:eastAsia="Times New Roman"/>
          <w:noProof/>
        </w:rPr>
      </w:pPr>
      <w:r w:rsidRPr="00F83346">
        <w:rPr>
          <w:noProof/>
        </w:rPr>
        <w:t>Prehodna bonitetna zahteva, ki sta jo opredelila sozakonodajalca, ohranja razliko v zahtevi glede stabilnega financiranja, ki je skladna z baselskim standardom, med dolgovanimi denarnimi zneski iz poslov financiranja z vrednostnimi papirji, ki so zavarovani z visokokakovostnimi likvidnimi sredstvi stopnje 1, kot so državne obveznice, in dolgovanimi denarnimi zneski iz poslov financiranja z vrednostnimi papirji, zavarovanih z drugimi sredstvi. Vendar ti stroški ne prispevajo k povečanju pritiska na zelo visokokakovostno zavarovanje s premoženjem, temveč le obravnavajo vzajemno povezanost držav in bank. Poleg tega podpirajo likvidnost trga in raznolikost sredstev zavarovanja s premoženjem, ki so primerna za likvidnostno rezervo bank na podlagi količnika likvidnostnega kritja.</w:t>
      </w:r>
    </w:p>
    <w:p w:rsidR="009A4AA5" w:rsidRPr="00F83346" w:rsidRDefault="00981E2C" w:rsidP="0045691F">
      <w:pPr>
        <w:rPr>
          <w:rFonts w:eastAsia="Times New Roman"/>
          <w:noProof/>
        </w:rPr>
      </w:pPr>
      <w:r w:rsidRPr="00F83346">
        <w:rPr>
          <w:noProof/>
        </w:rPr>
        <w:t xml:space="preserve">Kar zadeva nezavarovane posle financiranja s finančnimi strankami s preostalo zapadlostjo manj kot šest mesecev, je cilj prehodne obravnave uporabljati sorazmerno zahtevo glede financiranja za te posle v skladu z njihovim profilom tveganosti financiranja in podpreti oživitev trga nezavarovanega financiranja, ki je izginil po svetovni finančni krizi leta 2008. Posle nezavarovanega financiranja bi bilo treba dejansko obravnavati kot nujno dopolnitev poslov zavarovanega financiranja, kot so posli financiranja z vrednostnimi papirji, da bi se podprla splošna likvidnost trga in transmisijski mehanizem denarne politike, zlasti v obdobjih zaostrovanja denarne politike. </w:t>
      </w:r>
    </w:p>
    <w:p w:rsidR="0045691F" w:rsidRPr="00F83346" w:rsidRDefault="0045691F" w:rsidP="0045691F">
      <w:pPr>
        <w:rPr>
          <w:rFonts w:eastAsia="Times New Roman"/>
          <w:noProof/>
        </w:rPr>
      </w:pPr>
      <w:r w:rsidRPr="00F83346">
        <w:rPr>
          <w:noProof/>
        </w:rPr>
        <w:t xml:space="preserve">Združene države, Združeno kraljestvo, Japonska in Švica so sprejeli obravnavo, ki je podobna prehodni obravnavi v EU, vendar je v teh državah trajna. </w:t>
      </w:r>
      <w:r w:rsidRPr="00F83346">
        <w:rPr>
          <w:rStyle w:val="normaltextrun"/>
          <w:noProof/>
        </w:rPr>
        <w:t>Agencije Združenih držav trdijo, da je bila dodelitev faktorja potrebnega stabilnega financiranja v višini 0 % izvedena na podlagi ugotovitve, da visokokakovostna likvidna sredstva stopnje 1 predstavljajo minimalno likvidnostno tveganje in pomembno prispevajo k dobremu delovanju trgov kratkoročnega financiranja, tj. da bi lahko faktor potrebnega stabilnega financiranja v višini več kot 0 % za visokokakovostna likvidna sredstva stopnje 1 odvračal od posredovanja na ameriških zakladniških in repo trgih</w:t>
      </w:r>
      <w:r w:rsidRPr="00F83346">
        <w:rPr>
          <w:rStyle w:val="FootnoteReference"/>
          <w:rFonts w:eastAsia="Times New Roman"/>
          <w:noProof/>
        </w:rPr>
        <w:footnoteReference w:id="7"/>
      </w:r>
      <w:r w:rsidRPr="00F83346">
        <w:rPr>
          <w:rStyle w:val="normaltextrun"/>
          <w:noProof/>
        </w:rPr>
        <w:t>.</w:t>
      </w:r>
    </w:p>
    <w:p w:rsidR="00F77D10" w:rsidRPr="00F83346" w:rsidRDefault="0045691F" w:rsidP="0045691F">
      <w:pPr>
        <w:rPr>
          <w:rFonts w:eastAsia="Times New Roman"/>
          <w:noProof/>
        </w:rPr>
      </w:pPr>
      <w:r w:rsidRPr="00F83346">
        <w:rPr>
          <w:noProof/>
        </w:rPr>
        <w:t>Odprava sedanje prehodne obravnave in posledična zaostritev zahteve glede količnika neto stabilnega financiranja v EU vzbujata nekatere pomisleke. Banke EU bi lahko odvrnili od posredovanja pri javnem dolgu in zmanjšali bi lahko likvidnost na teh trgih, saj bi ti posli velikega obsega z nizko maržo postali dražji. Z dodatnim povišanjem stroškov teh poslov, če jih izvajajo nasprotne stranke iz EU, medtem ko 59 % poslov v EU že vključuje eno nasprotno stranko iz tretje države, bi se lahko povečala privlačnost nasprotnih strank iz tretjih držav ali kapitalskih trgov zunaj EU. To bi bilo v nasprotju z razvojem in vzdržnostjo kapitalskih trgov in likvidnosti za sredstva zavarovanja s premoženjem, kot so državne obveznice, v EU. Če bi EU enostransko povišala faktorje potrebnega stabilnega financiranja za te posle, bi to izkrivilo konkurenčne pogoje na mednarodni ravni, zaradi česar bi bile banke EU v slabšem položaju kot banke iz tretjih držav, ki delujejo na tem zelo mednarodnem in konkurenčnem področju. Večanje neenakosti konkurenčnih pogojev bi bilo na določen način v nasprotju z enim od prvotnih ciljev baselskih standardov, tj. podpreti izvajanje globalno usklajenih regulativnih zahtev in zmanjšati možnosti za čezmejno regulativno arbitražo.</w:t>
      </w:r>
    </w:p>
    <w:p w:rsidR="00C94EFD" w:rsidRPr="00F83346" w:rsidRDefault="0045691F" w:rsidP="0045691F">
      <w:pPr>
        <w:rPr>
          <w:rFonts w:eastAsia="Times New Roman"/>
          <w:noProof/>
        </w:rPr>
      </w:pPr>
      <w:r w:rsidRPr="00F83346">
        <w:rPr>
          <w:noProof/>
        </w:rPr>
        <w:t>Nasprotno pa lahko ohranitev sedanje obravnave v skladu s pristopom, ki so ga ohranile druge jurisdikcije, podpre razvoj likvidnega in privlačnega trga državnih dolžniških instrumentov ter razvitega trga poslov financiranja z vrednostnimi papirji za instrumente zavarovanja s premoženjem v EU.</w:t>
      </w:r>
    </w:p>
    <w:p w:rsidR="0045691F" w:rsidRPr="00F83346" w:rsidRDefault="0045691F" w:rsidP="0045691F">
      <w:pPr>
        <w:rPr>
          <w:rFonts w:eastAsia="Times New Roman"/>
          <w:noProof/>
        </w:rPr>
      </w:pPr>
      <w:r w:rsidRPr="00F83346">
        <w:rPr>
          <w:noProof/>
        </w:rPr>
        <w:t>Sedanje zahteve so se od začetka uporabe sredi leta 2021 izkazale za bonitetno zanesljive in očitno niso vzbudile pomislekov glede finančne stabilnosti, zlasti v nedavnih stresnih obdobjih (agresija Rusije, kriza na trgu državnih obveznic v Združenem kraljestvu, pretresi bančnega sektorja iz marca 2023). Banke v EU so od sredine leta 2021 ustvarile močne blažilnike količnika neto stabilnega financiranja, ki presegajo minimalne zahteve in so pod stalnim nadzorom pristojnih organov. Prek stalnega nadzora in rednih poročil se bo še naprej spremljal in ustrezno pregledoval morebiten učinek ohranitve prehodne obravnave, med drugim tudi na prakse bank glede financiranja in njihov profil likvidnostnega tveganja.</w:t>
      </w:r>
    </w:p>
    <w:p w:rsidR="00E6087A" w:rsidRPr="00F83346" w:rsidRDefault="0009105E" w:rsidP="7F773E30">
      <w:pPr>
        <w:rPr>
          <w:rFonts w:eastAsia="Times New Roman"/>
          <w:noProof/>
        </w:rPr>
      </w:pPr>
      <w:r w:rsidRPr="00F83346">
        <w:rPr>
          <w:noProof/>
        </w:rPr>
        <w:t>V skladu s členom 510(7) spremenjene uredbe o kapitalskih zahtevah mora Komisija na podlagi poročila Evropskega bančnega organa (EBA) do konca junija 2024 oceniti ustreznost prehodne obravnave neto stabilnega financiranja, kar zadeva dolgovane denarne zneske iz poslov financiranja z vrednostnimi papirji in nezavarovane posle s finančnimi strankami s preostalo zapadlostjo manj kot šest mesecev.</w:t>
      </w:r>
      <w:r w:rsidRPr="00F83346">
        <w:rPr>
          <w:noProof/>
          <w:sz w:val="18"/>
        </w:rPr>
        <w:t xml:space="preserve"> </w:t>
      </w:r>
      <w:r w:rsidRPr="00F83346">
        <w:rPr>
          <w:noProof/>
        </w:rPr>
        <w:t>Kot je pojasnjeno v oddelku 3, je bil v poročilu EBA analiziran le učinek na ravni količnika neto stabilnega financiranja bank, ki se zdi zanemarljiv. Vendar širša analiza kaže na možne neželene učinke prehoda na potrebno stabilno financiranje, ki ga določa Baselski sporazum. Trg EU za posle financiranja z vrednostnimi papirji ima ključno vlogo pri financiranju javnega dolga EU, saj je večina poslov financiranja z vrednostnimi papirji zavarovana z državnimi dolžniškimi instrumenti. Poleg tega ohranitev prehodne obravnave podpira likvidnost in raznolikost sredstev, ki so primerna tudi za likvidnostno rezervo bank na podlagi količnika likvidnostnega kritja. Morda dejansko ne bi bilo primerno ločiti obeh razsežnosti likvidnostnih zahtev.</w:t>
      </w:r>
    </w:p>
    <w:p w:rsidR="009B6C58" w:rsidRPr="00F83346" w:rsidRDefault="00E6087A" w:rsidP="009B6C58">
      <w:pPr>
        <w:rPr>
          <w:rFonts w:eastAsia="Times New Roman"/>
          <w:noProof/>
        </w:rPr>
      </w:pPr>
      <w:r w:rsidRPr="00F83346">
        <w:rPr>
          <w:noProof/>
        </w:rPr>
        <w:t>Pomembno je tudi ohraniti obstoječe korake med faktorji potrebnega stabilnega financiranja za zavarovanje z državnimi obveznicami in druge vrste zavarovanja s premoženjem, ki se uporabljajo pri poslih financiranja z vrednostnimi papirji, saj bi v nasprotnem primeru to vplivalo na dajanje prednosti enemu ali drugemu, s čimer bi se lahko povečal pritisk na (omejeno) visokokakovostno zavarovanje s premoženjem, kar bi tudi prispevalo k vzajemni povezanosti držav in bank.</w:t>
      </w:r>
    </w:p>
    <w:p w:rsidR="003E70E6" w:rsidRPr="00F83346" w:rsidRDefault="003E70E6" w:rsidP="7F773E30">
      <w:pPr>
        <w:rPr>
          <w:rFonts w:eastAsia="Times New Roman"/>
          <w:noProof/>
        </w:rPr>
      </w:pPr>
      <w:r w:rsidRPr="00F83346">
        <w:rPr>
          <w:noProof/>
        </w:rPr>
        <w:t>Trg nezavarovanega financiranja za banke je po svetovni finančni krizi leta 2008 izginil in ni bil nikoli oživljen, vsaj ne na znatno raven. Faktor potrebnega stabilnega financiranja v višini več kot 0 % se že uporablja za kratkoročne nezavarovane posle na podlagi količnika neto stabilnega financiranja. Povišanje tega faktorja ne bo bistveno okrepilo bonitetnega profila bank, tj. učinek na količnik neto stabilnega financiranja bi bil zanemarljiv, lahko pa bi odvračalo od uporabe nezavarovanih poslov financiranja, ki bi se lahko izkazali za koristne v obdobju zaostrovanja denarne politike.</w:t>
      </w:r>
    </w:p>
    <w:p w:rsidR="0045691F" w:rsidRPr="00F83346" w:rsidRDefault="0045691F" w:rsidP="0045691F">
      <w:pPr>
        <w:rPr>
          <w:rFonts w:eastAsia="Times New Roman"/>
          <w:noProof/>
        </w:rPr>
      </w:pPr>
      <w:r w:rsidRPr="00F83346">
        <w:rPr>
          <w:noProof/>
        </w:rPr>
        <w:t>Povišanje ravni potrebnega stabilnega financiranja, ki se uporablja za dolgovane denarne zneske iz poslov financiranja z vrednostnimi papirji in nezavarovane posle, bi lahko banke EU odvrnilo od posredovanja pri državnem dolgu in drugem zavarovanju s premoženjem ter na splošno zmanjšalo likvidnost na kapitalskih trgih EU. Povečanje potrebnega stabilnega financiranja za te posle ne bo povzročilo bistvene spremembe povprečne ravni količnika neto stabilnega financiranja bank EU, za katero se zdi, da že presega minimalne zahteve, in ki je že predmet stalnega nadzora pristojnih organov. Zato to ne bo bistveno spremenilo bonitetnega profila bank EU. Bi pa lahko povišalo stroške financiranja za države članice in udeležence na trgu EU v obdobju normalizirane denarne politike, ko naj bi centralne banke zmanjšale svojo prisotnost na trgu, zasebni udeleženci na trgu pa prevzeli vodilno vlogo.</w:t>
      </w:r>
    </w:p>
    <w:p w:rsidR="008D4CFB" w:rsidRPr="00F83346" w:rsidRDefault="0045691F" w:rsidP="7F773E30">
      <w:pPr>
        <w:rPr>
          <w:rFonts w:eastAsia="Times New Roman"/>
          <w:noProof/>
        </w:rPr>
      </w:pPr>
      <w:r w:rsidRPr="00F83346">
        <w:rPr>
          <w:noProof/>
        </w:rPr>
        <w:t>Da bi se preprečile morebitne nenamerne posledice za likvidnost kapitalskih trgov in ob upoštevanju zaščitnih ukrepov, ki jih sedanji okvir zagotavlja bankam, Komisija predlaga ohranitev prehodne obravnave dolgovanih denarnih zneskov iz poslov financiranja z vrednostnimi papirji in nezavarovanih poslov s finančnimi strankami s preostalo zapadlostjo manj kot šest mesecev. Poleg stalnega spremljanja razvoja kapitalskih trgov s strani centralnih bank in stalnega nadzora pristojnih organov Komisija predlaga tudi, da se EBA pooblasti, da vsakih pet let poroča o učinku te obravnave. To bi Komisiji omogočilo, da ustrezno ukrepa in predlaga spremembe, če se na podlagi teh rednih poročil o spremljanju izkaže, da so te spremembe potrebne.</w:t>
      </w:r>
    </w:p>
    <w:p w:rsidR="0045691F" w:rsidRPr="00F83346" w:rsidRDefault="0045691F" w:rsidP="00521FA2">
      <w:pPr>
        <w:pStyle w:val="Bullet0"/>
        <w:numPr>
          <w:ilvl w:val="0"/>
          <w:numId w:val="17"/>
        </w:numPr>
        <w:rPr>
          <w:b/>
          <w:bCs/>
          <w:noProof/>
        </w:rPr>
      </w:pPr>
      <w:r w:rsidRPr="00F83346">
        <w:rPr>
          <w:b/>
          <w:noProof/>
        </w:rPr>
        <w:t>Skladnost z veljavnimi predpisi s področja zadevne politike</w:t>
      </w:r>
    </w:p>
    <w:p w:rsidR="0045691F" w:rsidRPr="00F83346" w:rsidDel="00742B6A" w:rsidRDefault="00694706" w:rsidP="7F773E30">
      <w:pPr>
        <w:pBdr>
          <w:top w:val="nil"/>
          <w:left w:val="nil"/>
          <w:bottom w:val="nil"/>
          <w:right w:val="nil"/>
          <w:between w:val="nil"/>
          <w:bar w:val="nil"/>
        </w:pBdr>
        <w:spacing w:before="0" w:after="240"/>
        <w:rPr>
          <w:rFonts w:eastAsia="Arial Unicode MS"/>
          <w:noProof/>
        </w:rPr>
      </w:pPr>
      <w:r w:rsidRPr="00F83346">
        <w:rPr>
          <w:noProof/>
        </w:rPr>
        <w:t>V skladu s členom 510(7) uredbe o kapitalskih zahtevah sozakonodajalca izrecno zahtevata, da Komisija po potrebi predloži zakonodajni predlog. Ta predlog mora upoštevati učinek obstoječe obravnave na količnik neto stabilnega financiranja institucij in tveganost financiranja, povezano s posli financiranja z vrednostnimi papirji in nezavarovanimi posli s finančnimi strankami s preostalo zapadlostjo manj kot šest mesecev. Pooblastilo Komisije vključuje tudi ohranitev enakih mednarodnih konkurenčnih pogojev na tem področju, ki je še posebej dovzetno za mednarodno konkurenco.</w:t>
      </w:r>
    </w:p>
    <w:p w:rsidR="009B0F68" w:rsidRPr="00F83346" w:rsidRDefault="004A2BFD" w:rsidP="7F773E30">
      <w:pPr>
        <w:pBdr>
          <w:top w:val="nil"/>
          <w:left w:val="nil"/>
          <w:bottom w:val="nil"/>
          <w:right w:val="nil"/>
          <w:between w:val="nil"/>
          <w:bar w:val="nil"/>
        </w:pBdr>
        <w:spacing w:before="0" w:after="240"/>
        <w:rPr>
          <w:rFonts w:eastAsia="Arial Unicode MS"/>
          <w:noProof/>
        </w:rPr>
      </w:pPr>
      <w:r w:rsidRPr="00F83346">
        <w:rPr>
          <w:noProof/>
        </w:rPr>
        <w:t>Ohranitev prehodne obravnave količnika neto stabilnega financiranja iz člena 428r(1)(g), člena 428s(1)(b) in člena 428v(a) uredbe o kapitalskih zahtevah je v skladu s tem pooblastilom.</w:t>
      </w:r>
    </w:p>
    <w:p w:rsidR="004B26CB" w:rsidRPr="00F83346" w:rsidRDefault="00D26B06" w:rsidP="7F773E30">
      <w:pPr>
        <w:pBdr>
          <w:top w:val="nil"/>
          <w:left w:val="nil"/>
          <w:bottom w:val="nil"/>
          <w:right w:val="nil"/>
          <w:between w:val="nil"/>
          <w:bar w:val="nil"/>
        </w:pBdr>
        <w:spacing w:before="0" w:after="240"/>
        <w:rPr>
          <w:rFonts w:eastAsia="Arial Unicode MS"/>
          <w:noProof/>
        </w:rPr>
      </w:pPr>
      <w:r w:rsidRPr="00F83346">
        <w:rPr>
          <w:noProof/>
        </w:rPr>
        <w:t xml:space="preserve">Prvič, čeprav imajo banke EU ustrezne blažilnike količnika neto stabilnega financiranja, ki presegajo njihove minimalne zahteve, in koristi od stalnega nadzora njihovih zmogljivosti financiranja, bo ohranitev prehodne obravnave podprla razvoj likvidnih kapitalskih trgov v EU in razpoložljivost razpršene skupine primernih likvidnih sredstev na podlagi količnika likvidnostnega kritja. Posli financiranja z vrednostnimi papirji podpirajo hitro in urejeno preoblikovanje vrednostnih papirjev v denarna sredstva po ekonomični ceni, s čimer so ključni element za monetizacijo skupin likvidnih sredstev. Negativen učinek na trg poslov financiranja z vrednostnimi papirji bi lahko ogrozil učinkovitost količnika likvidnostnega kritja, katerega smisel je imeti blažilnik likvidnih sredstev, ki se lahko preprosto pretvorijo v denarna sredstva prek poslov financiranja z vrednostnimi papirji ali prodati na trgih v primeru scenarija likvidnostnih težav, ki traja 30 koledarskih dni. </w:t>
      </w:r>
    </w:p>
    <w:p w:rsidR="00F7458B" w:rsidRPr="00F83346" w:rsidRDefault="00D26B06" w:rsidP="682B5502">
      <w:pPr>
        <w:pBdr>
          <w:top w:val="nil"/>
          <w:left w:val="nil"/>
          <w:bottom w:val="nil"/>
          <w:right w:val="nil"/>
          <w:between w:val="nil"/>
          <w:bar w:val="nil"/>
        </w:pBdr>
        <w:spacing w:before="0" w:after="240"/>
        <w:rPr>
          <w:rFonts w:eastAsia="Arial Unicode MS"/>
          <w:noProof/>
        </w:rPr>
      </w:pPr>
      <w:r w:rsidRPr="00F83346">
        <w:rPr>
          <w:noProof/>
        </w:rPr>
        <w:t>Drugič, širše gledano se bo z ohranitvijo prehodne obravnave obdržala usklajenost zahtev EU glede financiranja z drugimi ključnimi jurisdikcijami in preprečilo enostransko odstopanje od mednarodnega soglasja, ki bi lahko vplivalo na enake konkurenčne pogoje za banke EU. Stalen pristop bo tudi deležnikom zagotovil potrebno pravno varnost v zvezi s trajnostjo in stabilnostjo njihovih poslovnih dejavnosti.</w:t>
      </w:r>
    </w:p>
    <w:p w:rsidR="00F7458B" w:rsidRPr="00F83346" w:rsidRDefault="006C59BC" w:rsidP="00D142D6">
      <w:pPr>
        <w:pStyle w:val="ManualHeading2"/>
        <w:pBdr>
          <w:top w:val="nil"/>
          <w:left w:val="nil"/>
          <w:bottom w:val="nil"/>
          <w:right w:val="nil"/>
          <w:between w:val="nil"/>
          <w:bar w:val="nil"/>
        </w:pBdr>
        <w:spacing w:before="0" w:after="240"/>
        <w:rPr>
          <w:rFonts w:eastAsia="Arial Unicode MS"/>
          <w:b w:val="0"/>
          <w:noProof/>
        </w:rPr>
      </w:pPr>
      <w:r w:rsidRPr="00F83346">
        <w:rPr>
          <w:b w:val="0"/>
          <w:noProof/>
        </w:rPr>
        <w:t>Tretjič, ta pristop tudi omogoča Komisiji, da predlaga spremembe, če se na podlagi rednega poročila EBA izkaže, da so te spremembe potrebne.</w:t>
      </w:r>
    </w:p>
    <w:p w:rsidR="0045691F" w:rsidRPr="00F83346" w:rsidRDefault="0045691F">
      <w:pPr>
        <w:pStyle w:val="ManualHeading2"/>
        <w:rPr>
          <w:rFonts w:eastAsia="Arial Unicode MS"/>
          <w:noProof/>
        </w:rPr>
      </w:pPr>
      <w:r w:rsidRPr="00F83346">
        <w:rPr>
          <w:noProof/>
          <w:color w:val="000000"/>
          <w:bdr w:val="nil"/>
        </w:rPr>
        <w:t>•</w:t>
      </w:r>
      <w:r w:rsidRPr="00F83346">
        <w:rPr>
          <w:noProof/>
          <w:color w:val="000000"/>
          <w:u w:color="000000"/>
          <w:bdr w:val="nil"/>
        </w:rPr>
        <w:tab/>
      </w:r>
      <w:r w:rsidRPr="00F83346">
        <w:rPr>
          <w:noProof/>
        </w:rPr>
        <w:t>Skladnost z drugimi politikami Unije</w:t>
      </w:r>
    </w:p>
    <w:p w:rsidR="0045691F" w:rsidRPr="00F83346" w:rsidRDefault="0045691F" w:rsidP="7F773E30">
      <w:pPr>
        <w:pBdr>
          <w:top w:val="nil"/>
          <w:left w:val="nil"/>
          <w:bottom w:val="nil"/>
          <w:right w:val="nil"/>
          <w:between w:val="nil"/>
          <w:bar w:val="nil"/>
        </w:pBdr>
        <w:spacing w:before="0" w:after="240"/>
        <w:rPr>
          <w:rFonts w:eastAsia="Arial Unicode MS"/>
          <w:noProof/>
        </w:rPr>
      </w:pPr>
      <w:r w:rsidRPr="00F83346">
        <w:rPr>
          <w:noProof/>
        </w:rPr>
        <w:t>Namen predlagane spremembe uredbe o kapitalskih zahtevah je ohraniti dejavnost na trgu poslov financiranja z vrednostnimi papirji in likvidnost trgov državnih dolžniških instrumentov v EU, kar bo prispevalo k učinkovitosti bančnih in kapitalskih trgov EU, ne da bi ogrozilo finančno stabilnost.</w:t>
      </w:r>
    </w:p>
    <w:p w:rsidR="003C138B" w:rsidRPr="00F83346" w:rsidRDefault="00276285" w:rsidP="7F773E30">
      <w:pPr>
        <w:pBdr>
          <w:top w:val="nil"/>
          <w:left w:val="nil"/>
          <w:bottom w:val="nil"/>
          <w:right w:val="nil"/>
          <w:between w:val="nil"/>
          <w:bar w:val="nil"/>
        </w:pBdr>
        <w:spacing w:before="0" w:after="240"/>
        <w:rPr>
          <w:rFonts w:eastAsia="Arial Unicode MS"/>
          <w:noProof/>
        </w:rPr>
      </w:pPr>
      <w:r w:rsidRPr="00F83346">
        <w:rPr>
          <w:noProof/>
        </w:rPr>
        <w:t>Ocena stopnje usklajenosti z mednarodnimi bonitetnimi standardi in njenega (prav tako pomembnega) učinka na gospodarstvo je privedla do ugotovitve, da sedanja prehodna obravnava ni povzročila znatnih pomislekov glede finančne stabilnosti, kot je razvidno zlasti iz nedavnih stresnih dogodkov (agresija Rusije, kriza na trgu državnih obveznic v Združenem kraljestvu, pretresi bančnega sektorja iz marca 2023), ki niso razkrili večjih pomislekov glede tveganosti financiranja pri bankah EU. Čeprav odprava prehodne obravnave ne bi bistveno vplivala na bonitetni profil bank, lahko negativno spremeni tržno likvidnost, zlasti na trgu državnih dolžniških instrumentov.</w:t>
      </w:r>
    </w:p>
    <w:p w:rsidR="00C86074" w:rsidRPr="00F83346" w:rsidRDefault="003F2FE2" w:rsidP="7F773E30">
      <w:pPr>
        <w:pBdr>
          <w:top w:val="nil"/>
          <w:left w:val="nil"/>
          <w:bottom w:val="nil"/>
          <w:right w:val="nil"/>
          <w:between w:val="nil"/>
          <w:bar w:val="nil"/>
        </w:pBdr>
        <w:spacing w:before="0" w:after="240"/>
        <w:rPr>
          <w:rFonts w:eastAsia="Arial Unicode MS"/>
          <w:noProof/>
        </w:rPr>
      </w:pPr>
      <w:r w:rsidRPr="00F83346">
        <w:rPr>
          <w:noProof/>
        </w:rPr>
        <w:t xml:space="preserve">Trajna ohranitev sedanje prehodne obravnave, vključno z rednim poročanjem in stalnim nadzorom pristojnih organov, bo udeležencem na trgu zagotovila pravno varnost ter tako podprla trajnost in stabilnost njihovih poslovnih dejavnosti. Stabilna bonitetna obravnava dolgovanih denarnih zneskov iz poslov financiranja z vrednostnimi papirji in nezavarovanih poslov bi prav tako prispevala k stabilnosti okvira poročanja za banke, saj bi bila za spremembo področja uporabe potrebna prilagoditev namenskih predlog. </w:t>
      </w:r>
    </w:p>
    <w:p w:rsidR="00E128BE" w:rsidRPr="00F83346" w:rsidRDefault="00C86074" w:rsidP="7F773E30">
      <w:pPr>
        <w:pBdr>
          <w:top w:val="nil"/>
          <w:left w:val="nil"/>
          <w:bottom w:val="nil"/>
          <w:right w:val="nil"/>
          <w:between w:val="nil"/>
          <w:bar w:val="nil"/>
        </w:pBdr>
        <w:spacing w:before="0" w:after="240"/>
        <w:rPr>
          <w:rFonts w:eastAsia="Arial Unicode MS"/>
          <w:noProof/>
        </w:rPr>
      </w:pPr>
      <w:r w:rsidRPr="00F83346">
        <w:rPr>
          <w:noProof/>
        </w:rPr>
        <w:t>Poleg ohranitve prehodne obravnave poslov financiranja z vrednostnimi papirji, zavarovanih z državnimi dolžniškimi instrumenti, bo nadaljevanje prehodne obravnave dolgovanih denarnih zneskov iz poslov financiranja z vrednostnimi papirji, zavarovanih z drugimi sredstvi, podprlo diverzifikacijo likvidnostnih rezerv bank ter ublažitev učinkov vzajemne povezanosti držav in bank.</w:t>
      </w:r>
    </w:p>
    <w:p w:rsidR="000E1776" w:rsidRPr="00F83346" w:rsidRDefault="00F66755" w:rsidP="5C409219">
      <w:pPr>
        <w:pBdr>
          <w:top w:val="nil"/>
          <w:left w:val="nil"/>
          <w:bottom w:val="nil"/>
          <w:right w:val="nil"/>
          <w:between w:val="nil"/>
          <w:bar w:val="nil"/>
        </w:pBdr>
        <w:spacing w:before="0" w:after="240"/>
        <w:rPr>
          <w:rFonts w:eastAsia="Arial Unicode MS"/>
          <w:noProof/>
        </w:rPr>
      </w:pPr>
      <w:r w:rsidRPr="00F83346">
        <w:rPr>
          <w:noProof/>
        </w:rPr>
        <w:t>Ohranitev faktorja potrebnega stabilnega financiranja, ki se od junija 2021 uporablja za kratkoročne nezavarovane posle s finančnimi strankami, bo prispevala k temu, da se bodo ti posli v razmerah zaostrovanja denarne politike uporabljali kot dopolnitev zavarovanih poslov. To bi posledično podprlo splošno likvidnost kapitalskih trgov in ustrezno financiranje realnega gospodarstva.</w:t>
      </w:r>
    </w:p>
    <w:p w:rsidR="003F2FE2" w:rsidRPr="00F83346" w:rsidRDefault="00634522" w:rsidP="7F773E30">
      <w:pPr>
        <w:pBdr>
          <w:top w:val="nil"/>
          <w:left w:val="nil"/>
          <w:bottom w:val="nil"/>
          <w:right w:val="nil"/>
          <w:between w:val="nil"/>
          <w:bar w:val="nil"/>
        </w:pBdr>
        <w:spacing w:before="0" w:after="240"/>
        <w:rPr>
          <w:rFonts w:eastAsia="Arial Unicode MS"/>
          <w:noProof/>
        </w:rPr>
      </w:pPr>
      <w:r w:rsidRPr="00F83346">
        <w:rPr>
          <w:noProof/>
        </w:rPr>
        <w:t>Z ohranitvijo enakih konkurenčnih pogojev med EU in drugimi večjimi jurisdikcijami, ki so že trajno uvedle podobno bonitetno obravnavo količnika neto stabilnega financiranja, bo predlagana sprememba prispevala k podpori konkurenčnosti in privlačnosti kapitalskih trgov EU ter posredniški vlogi bank EU. Aktivni posredniki EU na trgih poslov financiranja z vrednostnimi papirji in razvitih likvidnih trgih EU za sredstva zavarovanja s premoženjem, kot so državne obveznice, prispevajo k nižjim stroškom financiranja za celotno gospodarstvo EU.</w:t>
      </w:r>
    </w:p>
    <w:p w:rsidR="0045691F" w:rsidRPr="00F83346" w:rsidRDefault="0045691F" w:rsidP="7F773E30">
      <w:pPr>
        <w:pStyle w:val="ManualHeading1"/>
        <w:pBdr>
          <w:top w:val="nil"/>
          <w:left w:val="nil"/>
          <w:bottom w:val="nil"/>
          <w:right w:val="nil"/>
          <w:between w:val="nil"/>
          <w:bar w:val="nil"/>
        </w:pBdr>
        <w:spacing w:before="0" w:after="240"/>
        <w:rPr>
          <w:rFonts w:eastAsia="Arial Unicode MS"/>
          <w:noProof/>
        </w:rPr>
      </w:pPr>
      <w:r w:rsidRPr="00F83346">
        <w:rPr>
          <w:noProof/>
        </w:rPr>
        <w:t>2.</w:t>
      </w:r>
      <w:r w:rsidRPr="00F83346">
        <w:rPr>
          <w:noProof/>
        </w:rPr>
        <w:tab/>
        <w:t>PRAVNA PODLAGA, SUBSIDIARNOST IN SORAZMERNOST</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Pravna podlaga</w:t>
      </w:r>
    </w:p>
    <w:p w:rsidR="0045691F" w:rsidRPr="00F83346" w:rsidRDefault="0045691F" w:rsidP="0045691F">
      <w:pPr>
        <w:rPr>
          <w:rFonts w:eastAsia="Arial Unicode MS"/>
          <w:noProof/>
        </w:rPr>
      </w:pPr>
      <w:r w:rsidRPr="00F83346">
        <w:rPr>
          <w:noProof/>
        </w:rPr>
        <w:t>Predlagane spremembe temeljijo na isti pravni podlagi (člen 114 Pogodbe o delovanju Evropske unije (PDEU)) kot zakonodajni akti, ki se spreminjajo.</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Subsidiarnost</w:t>
      </w:r>
    </w:p>
    <w:p w:rsidR="0045691F" w:rsidRPr="00F83346" w:rsidRDefault="0045691F" w:rsidP="0045691F">
      <w:pPr>
        <w:spacing w:before="0" w:after="240"/>
        <w:rPr>
          <w:rFonts w:eastAsia="Arial Unicode MS"/>
          <w:noProof/>
        </w:rPr>
      </w:pPr>
      <w:r w:rsidRPr="00F83346">
        <w:rPr>
          <w:noProof/>
        </w:rPr>
        <w:t>V skladu z načelom subsidiarnosti iz člena 5(3) Pogodbe o Evropski uniji „Unija deluje na področjih, ki niso v njeni izključni pristojnosti, le če in kolikor države članice ciljev predlaganih ukrepov ne morejo zadovoljivo doseči na nacionalni, regionalni ali lokalni ravni, temveč se zaradi obsega ali učinkov predlaganih ukrepov lažje dosežejo na ravni Unije“.</w:t>
      </w:r>
    </w:p>
    <w:p w:rsidR="0045691F" w:rsidRPr="00F83346" w:rsidRDefault="0045691F" w:rsidP="7F773E30">
      <w:pPr>
        <w:pBdr>
          <w:top w:val="nil"/>
          <w:left w:val="nil"/>
          <w:bottom w:val="nil"/>
          <w:right w:val="nil"/>
          <w:between w:val="nil"/>
          <w:bar w:val="nil"/>
        </w:pBdr>
        <w:rPr>
          <w:rFonts w:eastAsia="Arial Unicode MS"/>
          <w:noProof/>
        </w:rPr>
      </w:pPr>
      <w:r w:rsidRPr="00F83346">
        <w:rPr>
          <w:noProof/>
        </w:rPr>
        <w:t>Glede na to, da je cilj predlaganega ukrepa spremeniti obstoječo zakonodajo EU, ga je najbolje doseči na ravni EU in ne z različnimi nacionalnimi pobudami. Sprejetje nacionalnih ukrepov bi bilo s pravnega vidika dejansko težavno, saj se uredba o kapitalskih zahtevah neposredno uporablja in že ureja bonitetne zahteve glede likvidnosti in financiranja bank na nacionalni ravni.</w:t>
      </w:r>
    </w:p>
    <w:p w:rsidR="0045691F" w:rsidRPr="00F83346" w:rsidRDefault="00F57AF0" w:rsidP="7F773E30">
      <w:pPr>
        <w:pBdr>
          <w:top w:val="nil"/>
          <w:left w:val="nil"/>
          <w:bottom w:val="nil"/>
          <w:right w:val="nil"/>
          <w:between w:val="nil"/>
          <w:bar w:val="nil"/>
        </w:pBdr>
        <w:spacing w:before="0" w:after="240"/>
        <w:rPr>
          <w:rFonts w:eastAsia="Arial Unicode MS"/>
          <w:noProof/>
        </w:rPr>
      </w:pPr>
      <w:r w:rsidRPr="00F83346">
        <w:rPr>
          <w:noProof/>
        </w:rPr>
        <w:t>V bančnem sektorju, v katerem številne institucije delujejo na celotnem enotnem trgu EU, je zlasti pomembno zagotoviti standardno uporabo bonitetnih zahtev, zbliževanje nadzornih praks in enake konkurenčne pogoje za bančne storitve.</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Sorazmernost</w:t>
      </w:r>
    </w:p>
    <w:p w:rsidR="0045691F" w:rsidRPr="00F83346" w:rsidRDefault="0045691F" w:rsidP="7F773E30">
      <w:pPr>
        <w:pBdr>
          <w:top w:val="nil"/>
          <w:left w:val="nil"/>
          <w:bottom w:val="nil"/>
          <w:right w:val="nil"/>
          <w:between w:val="nil"/>
          <w:bar w:val="nil"/>
        </w:pBdr>
        <w:spacing w:before="0" w:after="240"/>
        <w:rPr>
          <w:rFonts w:eastAsia="Arial Unicode MS"/>
          <w:noProof/>
        </w:rPr>
      </w:pPr>
      <w:r w:rsidRPr="00F83346">
        <w:rPr>
          <w:noProof/>
        </w:rPr>
        <w:t xml:space="preserve">V skladu z načelom sorazmernosti ukrepi EU vsebinsko in formalno ne bi smeli presegati tistega, kar je potrebno za doseganje ciljev Pogodb. </w:t>
      </w:r>
    </w:p>
    <w:p w:rsidR="00A2735D" w:rsidRPr="00F83346" w:rsidRDefault="00F50DDB" w:rsidP="7F773E30">
      <w:pPr>
        <w:pBdr>
          <w:top w:val="nil"/>
          <w:left w:val="nil"/>
          <w:bottom w:val="nil"/>
          <w:right w:val="nil"/>
          <w:between w:val="nil"/>
          <w:bar w:val="nil"/>
        </w:pBdr>
        <w:spacing w:before="0" w:after="240"/>
        <w:rPr>
          <w:rFonts w:eastAsia="Arial Unicode MS"/>
          <w:noProof/>
        </w:rPr>
      </w:pPr>
      <w:r w:rsidRPr="00F83346">
        <w:rPr>
          <w:noProof/>
        </w:rPr>
        <w:t>Cilj predlogov je zagotoviti konkurenčnost in privlačnost gospodarstva EU z učinkovitimi kapitalskimi trgi za posle financiranja z vrednostnimi papirji, državne obveznice in druga sredstva zavarovanja s premoženjem, ne da bi se ustvarila dodatna tveganja za finančno stabilnost za banke EU.</w:t>
      </w:r>
    </w:p>
    <w:p w:rsidR="00C24795" w:rsidRPr="00F83346" w:rsidRDefault="000C030D" w:rsidP="7F773E30">
      <w:pPr>
        <w:pBdr>
          <w:top w:val="nil"/>
          <w:left w:val="nil"/>
          <w:bottom w:val="nil"/>
          <w:right w:val="nil"/>
          <w:between w:val="nil"/>
          <w:bar w:val="nil"/>
        </w:pBdr>
        <w:spacing w:before="0" w:after="240"/>
        <w:rPr>
          <w:rFonts w:eastAsia="Arial Unicode MS"/>
          <w:noProof/>
        </w:rPr>
      </w:pPr>
      <w:r w:rsidRPr="00F83346">
        <w:rPr>
          <w:noProof/>
        </w:rPr>
        <w:t>V skladu s tem predlogom se sposobnost bank EU, da izpolnjujejo zahtevo glede količnika neto stabilnega financiranja z znatnimi bonitetnimi blažilniki, ohrani, ne da bi se pretirano povečala njihova odvisnost od kratkoročnega financiranja.</w:t>
      </w:r>
    </w:p>
    <w:p w:rsidR="00F50DDB" w:rsidRPr="00F83346" w:rsidRDefault="00DB30BC" w:rsidP="7F773E30">
      <w:pPr>
        <w:pBdr>
          <w:top w:val="nil"/>
          <w:left w:val="nil"/>
          <w:bottom w:val="nil"/>
          <w:right w:val="nil"/>
          <w:between w:val="nil"/>
          <w:bar w:val="nil"/>
        </w:pBdr>
        <w:spacing w:before="0" w:after="240"/>
        <w:rPr>
          <w:rFonts w:eastAsia="Arial Unicode MS"/>
          <w:noProof/>
        </w:rPr>
      </w:pPr>
      <w:r w:rsidRPr="00F83346">
        <w:rPr>
          <w:noProof/>
        </w:rPr>
        <w:t>Poleg tega predlagane spremembe ne presegajo področja uporabe prehodnih ukrepov iz člena 510(8) Uredbe (EU) št. 575/2013. Vse druge likvidnostne zahteve, naložene v skladu z Uredbo (EU) št. 575/2013, ostanejo nespremenjene.</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Izbira instrumenta</w:t>
      </w:r>
    </w:p>
    <w:p w:rsidR="0045691F" w:rsidRPr="00F83346" w:rsidRDefault="0045691F">
      <w:pPr>
        <w:pBdr>
          <w:top w:val="nil"/>
          <w:left w:val="nil"/>
          <w:bottom w:val="nil"/>
          <w:right w:val="nil"/>
          <w:between w:val="nil"/>
          <w:bar w:val="nil"/>
        </w:pBdr>
        <w:spacing w:before="0" w:after="240"/>
        <w:rPr>
          <w:rFonts w:eastAsia="Arial Unicode MS"/>
          <w:noProof/>
        </w:rPr>
      </w:pPr>
      <w:r w:rsidRPr="00F83346">
        <w:rPr>
          <w:noProof/>
        </w:rPr>
        <w:t>Predlagani ukrepi naj bi se izvajali s spremembo uredbe o kapitalskih zahtevah. Predlagani ukrepi se nanašajo na obstoječe določbe iz uredbe o kapitalskih zahtevah ali jih nadalje razvijajo. Noben drug pravni instrument ne bi bil mogoč.</w:t>
      </w:r>
    </w:p>
    <w:p w:rsidR="0045691F" w:rsidRPr="00F83346" w:rsidRDefault="0045691F">
      <w:pPr>
        <w:pStyle w:val="ManualHeading1"/>
        <w:rPr>
          <w:noProof/>
        </w:rPr>
      </w:pPr>
      <w:r w:rsidRPr="00F83346">
        <w:rPr>
          <w:noProof/>
        </w:rPr>
        <w:t>3.</w:t>
      </w:r>
      <w:r w:rsidRPr="00F83346">
        <w:rPr>
          <w:noProof/>
        </w:rPr>
        <w:tab/>
        <w:t>REZULTATI NAKNADNIH OCEN, POSVETOVANJ Z DELEŽNIKI IN OCEN UČINKA</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Naknadne ocene/preverjanja primernosti obstoječe zakonodaje</w:t>
      </w:r>
    </w:p>
    <w:p w:rsidR="0045691F" w:rsidRPr="00F83346" w:rsidRDefault="0045691F" w:rsidP="7F773E30">
      <w:pPr>
        <w:pBdr>
          <w:top w:val="nil"/>
          <w:left w:val="nil"/>
          <w:bottom w:val="nil"/>
          <w:right w:val="nil"/>
          <w:between w:val="nil"/>
          <w:bar w:val="nil"/>
        </w:pBdr>
        <w:spacing w:before="0" w:after="240"/>
        <w:rPr>
          <w:rFonts w:eastAsia="Arial Unicode MS"/>
          <w:noProof/>
        </w:rPr>
      </w:pPr>
      <w:r w:rsidRPr="00F83346">
        <w:rPr>
          <w:noProof/>
        </w:rPr>
        <w:t>Ni relevantno. Predlagana sprememba se nanaša na poseben ukrep Komisije v skladu z njenim pooblastilom iz člena 510(7) uredbe o kapitalskih zahtevah, in sicer predložitev zakonodajnega predloga za obravnavo zelo ciljno usmerjenega vidika uredbe o kapitalskih zahtevah (tj. faktorjev potrebnega stabilnega financiranja, ki se uporabljajo za posle financiranja z vrednostnimi papirji in nezavarovane posle s finančnimi strankami s preostalo zapadlostjo manj kot šest mesecev). Ta pobuda ni ocena ali revizija celotne uredbe o kapitalskih zahtevah.</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Posvetovanja z deležniki</w:t>
      </w:r>
    </w:p>
    <w:p w:rsidR="0045691F" w:rsidRPr="00F83346" w:rsidRDefault="0045691F" w:rsidP="7F773E30">
      <w:pPr>
        <w:pBdr>
          <w:top w:val="nil"/>
          <w:left w:val="nil"/>
          <w:bottom w:val="nil"/>
          <w:right w:val="nil"/>
          <w:between w:val="nil"/>
          <w:bar w:val="nil"/>
        </w:pBdr>
        <w:rPr>
          <w:rFonts w:eastAsia="Arial Unicode MS"/>
          <w:noProof/>
        </w:rPr>
      </w:pPr>
      <w:r w:rsidRPr="00F83346">
        <w:rPr>
          <w:noProof/>
        </w:rPr>
        <w:t>Komisija je sprejela več ukrepov in izvedla različne pobude, da bi ocenila, ali je sedanja prehodna obravnava še vedno ustrezna za posle financiranja z vrednostnimi papirji in nezavarovane posle s finančnimi strankami s preostalo zapadlostjo manj kot šest mesecev glede na cilje bonitetnega okvira za banke in širše cilje politike EU.</w:t>
      </w:r>
    </w:p>
    <w:p w:rsidR="0045691F" w:rsidRPr="00F83346" w:rsidRDefault="0045691F" w:rsidP="7F773E30">
      <w:pPr>
        <w:pBdr>
          <w:top w:val="nil"/>
          <w:left w:val="nil"/>
          <w:bottom w:val="nil"/>
          <w:right w:val="nil"/>
          <w:between w:val="nil"/>
          <w:bar w:val="nil"/>
        </w:pBdr>
        <w:rPr>
          <w:rFonts w:eastAsia="Arial Unicode MS"/>
          <w:noProof/>
        </w:rPr>
      </w:pPr>
      <w:r w:rsidRPr="00F83346">
        <w:rPr>
          <w:noProof/>
        </w:rPr>
        <w:t>Komisija je upoštevala poročilo EBA o posebnih vidikih okvira za količnik neto stabilnega financiranja, ki je bilo objavljeno 16. januarja 2024 in izpolnjuje zahtevo iz člena 510(6) uredbe o kapitalskih zahtevah</w:t>
      </w:r>
      <w:r w:rsidRPr="00F83346">
        <w:rPr>
          <w:rStyle w:val="FootnoteReference"/>
          <w:rFonts w:eastAsia="Arial Unicode MS"/>
          <w:noProof/>
        </w:rPr>
        <w:footnoteReference w:id="8"/>
      </w:r>
      <w:r w:rsidRPr="00F83346">
        <w:rPr>
          <w:noProof/>
        </w:rPr>
        <w:t>. Vendar poročilo EBA ni zajemalo vseh pomembnih razsežnosti, povezanih s tem vprašanjem, kot so učinki na transmisijski mehanizem denarne politike, trge državnih obveznic in druge trge zavarovanj, temveč je bilo le eden od elementov širše analize politike, ki jo je izvedla Komisija.</w:t>
      </w:r>
    </w:p>
    <w:p w:rsidR="0045691F" w:rsidRPr="00F83346" w:rsidRDefault="0045691F" w:rsidP="7F773E30">
      <w:pPr>
        <w:pBdr>
          <w:top w:val="nil"/>
          <w:left w:val="nil"/>
          <w:bottom w:val="nil"/>
          <w:right w:val="nil"/>
          <w:between w:val="nil"/>
          <w:bar w:val="nil"/>
        </w:pBdr>
        <w:rPr>
          <w:rFonts w:eastAsia="Arial Unicode MS"/>
          <w:noProof/>
        </w:rPr>
      </w:pPr>
      <w:r w:rsidRPr="00F83346">
        <w:rPr>
          <w:noProof/>
        </w:rPr>
        <w:t>Komisija je razpravljala in si izmenjala mnenja z različnimi udeleženci iz panoge, nadzorniki in Evropsko centralno banko (ECB).</w:t>
      </w:r>
    </w:p>
    <w:p w:rsidR="0045691F" w:rsidRPr="00F83346" w:rsidRDefault="0045691F" w:rsidP="7F773E30">
      <w:pPr>
        <w:pBdr>
          <w:top w:val="nil"/>
          <w:left w:val="nil"/>
          <w:bottom w:val="nil"/>
          <w:right w:val="nil"/>
          <w:between w:val="nil"/>
          <w:bar w:val="nil"/>
        </w:pBdr>
        <w:rPr>
          <w:rFonts w:eastAsia="Arial Unicode MS"/>
          <w:noProof/>
        </w:rPr>
      </w:pPr>
      <w:r w:rsidRPr="00F83346">
        <w:rPr>
          <w:noProof/>
        </w:rPr>
        <w:t>Komisija je tudi sodelovala namenskih razpravah pododbora za trge državnih dolžniških instrumentov EU v okviru Ekonomsko-finančnega odbora, ki zastopa stališča uradov držav članic za upravljanje dolga, in k tem razpravam prispevala. Člani pododbora so ponovili pomisleke iz uvodnih izjav 49 in 50 uredbe o spremembi uredbe o kapitalskih zahtevah</w:t>
      </w:r>
      <w:r w:rsidR="00FB1F4F" w:rsidRPr="00F83346">
        <w:rPr>
          <w:rStyle w:val="FootnoteReference"/>
          <w:rFonts w:eastAsia="Arial Unicode MS"/>
          <w:noProof/>
        </w:rPr>
        <w:footnoteReference w:id="9"/>
      </w:r>
      <w:r w:rsidRPr="00F83346">
        <w:rPr>
          <w:noProof/>
        </w:rPr>
        <w:t xml:space="preserve">, da so posli financiranja z vrednostnimi papirji ključno orodje za transmisijski mehanizem denarne politike ter pomembni instrumenti za primarni in sekundarni trg državnih dolžniških instrumentov. Po mnenju članov pododbora bi povišanje bonitetnih stroškov za posle financiranja z vrednostnimi papirji vplivalo na enake konkurenčne pogoje med udeleženci na kapitalskih trgih iz EU in tistimi iz tretjih držav ter bi lahko negativno vplivalo na likvidnost in stroške izposoje na evropskih trgih državnih dolžniških instrumentov. </w:t>
      </w:r>
    </w:p>
    <w:p w:rsidR="0045691F" w:rsidRPr="00F83346" w:rsidRDefault="4F6B5808" w:rsidP="682B5502">
      <w:pPr>
        <w:pBdr>
          <w:top w:val="nil"/>
          <w:left w:val="nil"/>
          <w:bottom w:val="nil"/>
          <w:right w:val="nil"/>
          <w:between w:val="nil"/>
          <w:bar w:val="nil"/>
        </w:pBdr>
        <w:spacing w:before="0" w:after="240"/>
        <w:rPr>
          <w:rFonts w:eastAsia="Times New Roman"/>
          <w:noProof/>
        </w:rPr>
      </w:pPr>
      <w:r w:rsidRPr="00F83346">
        <w:rPr>
          <w:noProof/>
        </w:rPr>
        <w:t>Komisija je obravnavala pomisleke, ki so jih v zvezi s tem vprašanjem javno izrazile tri države članice</w:t>
      </w:r>
      <w:r w:rsidR="00742FD3" w:rsidRPr="00F83346">
        <w:rPr>
          <w:rStyle w:val="FootnoteReference"/>
          <w:rFonts w:eastAsia="Times New Roman"/>
          <w:noProof/>
        </w:rPr>
        <w:footnoteReference w:id="10"/>
      </w:r>
      <w:r w:rsidRPr="00F83346">
        <w:rPr>
          <w:noProof/>
        </w:rPr>
        <w:t>. Posli financiranja z vrednostnimi papirji v EU so večinoma skoncentrirani v nekaj državah članicah, pri čemer je bil septembra 2023 največji delež poslov izposoje v okviru financiranja z vrednostnimi papirji sklenjen v Franciji (55 %). Druge nasprotne stranke so iz Nemčije (17 %), Italije (7 %) in Irske (5 %). To koncentracijo je mogoče pojasniti z osrednjo vlogo klirinških hiš centralnih nasprotnih strank (LCH, Euronext Clearing in EUREX Clearing) in bank s sedežem v teh državah članicah, ki delujejo kot klirinški člani. Izpostavljenosti finančnih institucij so skoncentrirane v državah članicah, v katerih delujejo klirinške hiše centralnih nasprotnih strank, in sicer zaradi učinkovitejšega upravljanja tveganj in kliringa. Klirinške hiše centralnih nasprotnih strank prispevajo 20 % poslov financiranja z vrednostnimi papirji, pri čemer uporabljajo te posle pri svoji strategiji za ponovno vlaganje denarnih sredstev.</w:t>
      </w:r>
    </w:p>
    <w:p w:rsidR="0045691F" w:rsidRPr="00F83346" w:rsidRDefault="1EAA1663" w:rsidP="682B5502">
      <w:pPr>
        <w:pBdr>
          <w:top w:val="nil"/>
          <w:left w:val="nil"/>
          <w:bottom w:val="nil"/>
          <w:right w:val="nil"/>
          <w:between w:val="nil"/>
          <w:bar w:val="nil"/>
        </w:pBdr>
        <w:spacing w:before="0" w:after="240"/>
        <w:rPr>
          <w:rFonts w:eastAsia="Arial Unicode MS"/>
          <w:noProof/>
        </w:rPr>
      </w:pPr>
      <w:r w:rsidRPr="00F83346">
        <w:rPr>
          <w:noProof/>
        </w:rPr>
        <w:t>Evropska komisija je med 10. februarjem in 10. marcem 2025 objavila poziv k predložitvi dokazov v zvezi s svojo namero, da spremeni uredbo o kapitalskih zahtevah glede bonitetne obravnave kratkoročnih poslov financiranja z vrednostnimi papirji za namene količnika neto stabilnega financiranja. Podroben povzetek je predstavljen v delovnem dokumentu služb Komisije, priloženem predlogu.</w:t>
      </w:r>
    </w:p>
    <w:p w:rsidR="0045691F" w:rsidRPr="00F83346" w:rsidRDefault="00742FD3" w:rsidP="682B5502">
      <w:pPr>
        <w:pBdr>
          <w:top w:val="nil"/>
          <w:left w:val="nil"/>
          <w:bottom w:val="nil"/>
          <w:right w:val="nil"/>
          <w:between w:val="nil"/>
          <w:bar w:val="nil"/>
        </w:pBdr>
        <w:spacing w:before="0" w:after="240"/>
        <w:rPr>
          <w:rFonts w:eastAsia="Arial Unicode MS"/>
          <w:noProof/>
        </w:rPr>
      </w:pPr>
      <w:r w:rsidRPr="00F83346">
        <w:rPr>
          <w:noProof/>
        </w:rPr>
        <w:t>Vse te izmenjave in posvetovanja so izpostavile ključni pomen učinkovitih trgov poslov financiranja z vrednostnimi papirji, nezavarovanega financiranja in državnih obveznic v EU v času, ko je ECB zavezana spremembam svoje denarne politike, ki se pri prerazporejanju likvidnosti med finančnimi posredniki postopoma bolj zanaša na trge poslov financiranja z vrednostnimi papirji in nezavarovanih finančnih poslov. Države članice, uradi za upravljanje dolga, banke in posredniki na kapitalskih trgih so pozvali Komisijo, naj spremeni sedanja pravila in ohrani prehodno obravnavo.</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Zbiranje in uporaba strokovnih mnenj</w:t>
      </w:r>
    </w:p>
    <w:p w:rsidR="0045691F" w:rsidRPr="00F83346" w:rsidRDefault="0045691F" w:rsidP="0045691F">
      <w:pPr>
        <w:rPr>
          <w:noProof/>
        </w:rPr>
      </w:pPr>
      <w:r w:rsidRPr="00F83346">
        <w:rPr>
          <w:noProof/>
        </w:rPr>
        <w:t>Poleg tega, kar je navedeno v prejšnjem oddelku, je Komisija vzdrževala redne stike z uslužbenci EBA, Evropskega organa za vrednostne papirje in trge (ESMA), enotnega mehanizma nadzora (EMN) in ECB.</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Ocena učinka</w:t>
      </w:r>
    </w:p>
    <w:p w:rsidR="0045691F" w:rsidRPr="00F83346" w:rsidRDefault="0045691F" w:rsidP="7F773E30">
      <w:pPr>
        <w:pBdr>
          <w:top w:val="nil"/>
          <w:left w:val="nil"/>
          <w:bottom w:val="nil"/>
          <w:right w:val="nil"/>
          <w:between w:val="nil"/>
        </w:pBdr>
        <w:spacing w:after="240"/>
        <w:rPr>
          <w:rFonts w:eastAsia="Arial Unicode MS"/>
          <w:noProof/>
        </w:rPr>
      </w:pPr>
      <w:r w:rsidRPr="00F83346">
        <w:rPr>
          <w:noProof/>
        </w:rPr>
        <w:t>V poročilu EBA o posebnih vidikih okvira za količnik neto stabilnega financiranja je bilo ugotovljeno, da bi imela odprava prehodnega ukrepa le omejen učinek na povprečno raven količnika neto stabilnega financiranja bank EU.</w:t>
      </w:r>
    </w:p>
    <w:p w:rsidR="0045691F" w:rsidRPr="00F83346" w:rsidRDefault="002338AC" w:rsidP="7F773E30">
      <w:pPr>
        <w:pBdr>
          <w:top w:val="nil"/>
          <w:left w:val="nil"/>
          <w:bottom w:val="nil"/>
          <w:right w:val="nil"/>
          <w:between w:val="nil"/>
        </w:pBdr>
        <w:spacing w:after="240"/>
        <w:rPr>
          <w:rFonts w:eastAsia="Arial Unicode MS"/>
          <w:noProof/>
        </w:rPr>
      </w:pPr>
      <w:r w:rsidRPr="00F83346">
        <w:rPr>
          <w:noProof/>
        </w:rPr>
        <w:t>Vendar ta omejen učinek prikriva večji učinek na banke, ki so dejavnejše na kapitalskih trgih. Poleg tega imajo lahko nekatere od teh bank tudi manjši upravljavski blažilnik, saj je količnik neto stabilnega financiranja za te dejavnosti na splošno konservativno umerjen. Predpostavka o konstantni bilanci stanja v poročilu EBA, ki temelji na predpostavki, da to ne vpliva na vedenje bank, kadar so izpolnjene minimalne zahteve, morda ni nujno ustrezna, in sicer zato, ker ne dopušča morebitnih dinamičnih in vedenjskih učinkov, povezanih s poskusom banke, da doseže določen ciljni količnik neto stabilnega financiranja. V poročilu tudi ni upoštevano, da bi banke iz tretjih držav lahko pridobile tržni delež v primerjavi z bankami EU zaradi neenakih mednarodnih konkurenčnih pogojev.</w:t>
      </w:r>
    </w:p>
    <w:p w:rsidR="0045691F" w:rsidRPr="00F83346" w:rsidRDefault="009C45FF" w:rsidP="7F773E30">
      <w:pPr>
        <w:pBdr>
          <w:top w:val="nil"/>
          <w:left w:val="nil"/>
          <w:bottom w:val="nil"/>
          <w:right w:val="nil"/>
          <w:between w:val="nil"/>
        </w:pBdr>
        <w:spacing w:after="240"/>
        <w:rPr>
          <w:rFonts w:eastAsia="Arial Unicode MS"/>
          <w:noProof/>
        </w:rPr>
      </w:pPr>
      <w:r w:rsidRPr="00F83346">
        <w:rPr>
          <w:noProof/>
        </w:rPr>
        <w:t>Povišanje ravni potrebnega stabilnega financiranja, ki se uporablja za dolgovane denarne zneske iz poslov financiranja z vrednostnimi papirji, bi lahko banke EU odvrnilo od posredovanja pri državnem dolgu in vplivalo na likvidnost na zadevnih trgih zavarovanj. To bi lahko privedlo tudi do večjih razponov med nakupno in prodajno ceno in povišanja stroškov financiranja za države članice v obdobju normalizirane denarne politike, ko naj bi centralne banke zmanjšale svojo prisotnost na trgu, zasebni udeleženci na trgu pa prevzeli vodilno vlogo.</w:t>
      </w:r>
    </w:p>
    <w:p w:rsidR="0045691F" w:rsidRPr="00F83346" w:rsidRDefault="0045691F" w:rsidP="7F773E30">
      <w:pPr>
        <w:pBdr>
          <w:top w:val="nil"/>
          <w:left w:val="nil"/>
          <w:bottom w:val="nil"/>
          <w:right w:val="nil"/>
          <w:between w:val="nil"/>
        </w:pBdr>
        <w:spacing w:after="240"/>
        <w:rPr>
          <w:rFonts w:eastAsia="Arial Unicode MS"/>
          <w:noProof/>
        </w:rPr>
      </w:pPr>
      <w:r w:rsidRPr="00F83346">
        <w:rPr>
          <w:noProof/>
        </w:rPr>
        <w:t>Morebitne posledice za dejavnosti na trgu poslov financiranja z vrednostnimi papirji in državnih obveznic v EU bodo odvisne od tega, v kolikšni meri lahko banke prenesejo povišanje faktorjev potrebnega stabilnega financiranja na razpone med nakupno in prodajno ceno na trgu poslov financiranja z vrednostnimi papirji. Vloga vzdrževanja trga najbolj prizadetih bank lahko kaže na precej visoko stopnjo prenosa ali celo popoln prenos regulativnih stroškov. Hkrati bi lahko bile banke tudi spodbujene, da omejijo prenos teh stroškov, saj bi lahko privabil konkurenco bank iz tretjih držav.</w:t>
      </w:r>
    </w:p>
    <w:p w:rsidR="00697691" w:rsidRPr="00F83346" w:rsidRDefault="00697691" w:rsidP="7F773E30">
      <w:pPr>
        <w:pBdr>
          <w:top w:val="nil"/>
          <w:left w:val="nil"/>
          <w:bottom w:val="nil"/>
          <w:right w:val="nil"/>
          <w:between w:val="nil"/>
        </w:pBdr>
        <w:spacing w:after="240"/>
        <w:rPr>
          <w:rFonts w:eastAsia="Arial Unicode MS"/>
          <w:noProof/>
        </w:rPr>
      </w:pPr>
      <w:r w:rsidRPr="00F83346">
        <w:rPr>
          <w:noProof/>
        </w:rPr>
        <w:t>Kakršno koli povišanje stroškov financiranja, povezano z ravnjo potrebnega stabilnega financiranja, bi lahko imelo posledice za likvidnost trgov državnih dolžniških instrumentov, kar bi vplivalo tudi na likvidnost obveznic instrumenta NextGenerationEU. To bi potrdilo pomisleke, izražene ob predlogu o spremembi uredbe o kapitalskih zahtevah</w:t>
      </w:r>
      <w:r w:rsidRPr="00F83346">
        <w:rPr>
          <w:rStyle w:val="FootnoteReference"/>
          <w:rFonts w:eastAsia="Arial Unicode MS"/>
          <w:noProof/>
        </w:rPr>
        <w:footnoteReference w:id="11"/>
      </w:r>
      <w:r w:rsidRPr="00F83346">
        <w:rPr>
          <w:noProof/>
        </w:rPr>
        <w:t>.</w:t>
      </w:r>
    </w:p>
    <w:p w:rsidR="0045691F" w:rsidRPr="00F83346" w:rsidRDefault="0045691F" w:rsidP="5C409219">
      <w:pPr>
        <w:pBdr>
          <w:top w:val="nil"/>
          <w:left w:val="nil"/>
          <w:bottom w:val="nil"/>
          <w:right w:val="nil"/>
          <w:between w:val="nil"/>
        </w:pBdr>
        <w:spacing w:after="240"/>
        <w:rPr>
          <w:rFonts w:eastAsia="Arial Unicode MS"/>
          <w:noProof/>
        </w:rPr>
      </w:pPr>
      <w:r w:rsidRPr="00F83346">
        <w:rPr>
          <w:noProof/>
        </w:rPr>
        <w:t>Učinek na banke iz tretjih držav, ki poslujejo na trgu poslov financiranja z vrednostnimi papirji v EU, je manj jasen. Zadevne dejavnosti običajno izvajajo podrejene družbe v EU, za katere bi veljale enake zahteve glede količnika neto stabilnega financiranja kot za banke EU. Vendar bi lahko te dejavnosti preusmerile na podružnice ali čezmejne operacije, v vsakem primeru pa bi lahko dejavnost izvajale prek vzajemnih (back-to-back) transakcij znotraj skupine ob podpori nadrejene družbe, da bi nevtralizirale povečanje. Bančne skupine v nekaterih jurisdikcijah zunaj EU bi lahko skratka nevtralizirale učinek povečanja količnika neto stabilnega financiranja, saj po juniju 2025 ne bi imele podobnih bonitetnih zahtev za te izpostavljenosti. To bi brez posebnega ukrepanja EU privedlo do neenakih mednarodnih konkurenčnih pogojev.</w:t>
      </w:r>
    </w:p>
    <w:p w:rsidR="0045691F" w:rsidRPr="00F83346" w:rsidDel="00697691" w:rsidRDefault="0045691F" w:rsidP="7F773E30">
      <w:pPr>
        <w:pBdr>
          <w:top w:val="nil"/>
          <w:left w:val="nil"/>
          <w:bottom w:val="nil"/>
          <w:right w:val="nil"/>
          <w:between w:val="nil"/>
        </w:pBdr>
        <w:spacing w:after="240"/>
        <w:rPr>
          <w:rFonts w:eastAsia="Arial Unicode MS"/>
          <w:noProof/>
          <w:bdr w:val="nil"/>
        </w:rPr>
      </w:pPr>
      <w:r w:rsidRPr="00F83346">
        <w:rPr>
          <w:noProof/>
          <w:bdr w:val="nil"/>
        </w:rPr>
        <w:t>•</w:t>
      </w:r>
      <w:r w:rsidRPr="00F83346">
        <w:rPr>
          <w:noProof/>
          <w:u w:color="000000"/>
          <w:bdr w:val="nil"/>
        </w:rPr>
        <w:tab/>
      </w:r>
      <w:r w:rsidRPr="00F83346">
        <w:rPr>
          <w:noProof/>
          <w:bdr w:val="nil"/>
        </w:rPr>
        <w:t>Primernost in poenostavitev ureditve</w:t>
      </w:r>
    </w:p>
    <w:p w:rsidR="0045691F" w:rsidRPr="00F83346" w:rsidRDefault="0045691F" w:rsidP="7F773E30">
      <w:pPr>
        <w:pBdr>
          <w:top w:val="nil"/>
          <w:left w:val="nil"/>
          <w:bottom w:val="nil"/>
          <w:right w:val="nil"/>
          <w:between w:val="nil"/>
          <w:bar w:val="nil"/>
        </w:pBdr>
        <w:spacing w:before="0" w:after="240"/>
        <w:rPr>
          <w:rFonts w:eastAsia="Arial Unicode MS"/>
          <w:noProof/>
        </w:rPr>
      </w:pPr>
      <w:r w:rsidRPr="00F83346">
        <w:rPr>
          <w:noProof/>
        </w:rPr>
        <w:t>Ta pobuda je zelo specifična in ciljno usmerjena. Zato ne vpliva na primernost ali poenostavitev ureditve.</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Temeljne pravice</w:t>
      </w:r>
    </w:p>
    <w:p w:rsidR="0045691F" w:rsidRPr="00F83346" w:rsidRDefault="0045691F" w:rsidP="7F773E30">
      <w:pPr>
        <w:pBdr>
          <w:top w:val="nil"/>
          <w:left w:val="nil"/>
          <w:bottom w:val="nil"/>
          <w:right w:val="nil"/>
          <w:between w:val="nil"/>
          <w:bar w:val="nil"/>
        </w:pBdr>
        <w:spacing w:before="0" w:after="240"/>
        <w:rPr>
          <w:rFonts w:eastAsia="Arial Unicode MS"/>
          <w:noProof/>
        </w:rPr>
      </w:pPr>
      <w:r w:rsidRPr="00F83346">
        <w:rPr>
          <w:noProof/>
        </w:rPr>
        <w:t>EU je zavezana visokim standardom varstva temeljnih pravic in je podpisnica številnih konvencij o človekovih pravicah. Predlog naj ne bi neposredno vplival na pravice, kot so navedene v glavnih konvencijah ZN o človekovih pravicah, Listini Evropske unije o temeljnih pravicah, ki je sestavni del Pogodb EU, ter Evropski konvenciji o človekovih pravicah.</w:t>
      </w:r>
    </w:p>
    <w:p w:rsidR="0045691F" w:rsidRPr="00F83346" w:rsidRDefault="0045691F">
      <w:pPr>
        <w:pStyle w:val="ManualHeading1"/>
        <w:rPr>
          <w:noProof/>
        </w:rPr>
      </w:pPr>
      <w:r w:rsidRPr="00F83346">
        <w:rPr>
          <w:noProof/>
        </w:rPr>
        <w:t>4.</w:t>
      </w:r>
      <w:r w:rsidRPr="00F83346">
        <w:rPr>
          <w:noProof/>
        </w:rPr>
        <w:tab/>
        <w:t>PRORAČUNSKE POSLEDICE</w:t>
      </w:r>
    </w:p>
    <w:p w:rsidR="0045691F" w:rsidRPr="00F83346" w:rsidRDefault="0045691F">
      <w:pPr>
        <w:pBdr>
          <w:top w:val="nil"/>
          <w:left w:val="nil"/>
          <w:bottom w:val="nil"/>
          <w:right w:val="nil"/>
          <w:between w:val="nil"/>
          <w:bar w:val="nil"/>
        </w:pBdr>
        <w:spacing w:before="0" w:after="240"/>
        <w:rPr>
          <w:rFonts w:eastAsia="Arial Unicode MS"/>
          <w:noProof/>
        </w:rPr>
      </w:pPr>
      <w:r w:rsidRPr="00F83346">
        <w:rPr>
          <w:noProof/>
        </w:rPr>
        <w:t>Predlog ne vpliva na proračun EU.</w:t>
      </w:r>
    </w:p>
    <w:p w:rsidR="0045691F" w:rsidRPr="00F83346" w:rsidRDefault="0045691F">
      <w:pPr>
        <w:pStyle w:val="ManualHeading1"/>
        <w:rPr>
          <w:noProof/>
        </w:rPr>
      </w:pPr>
      <w:r w:rsidRPr="00F83346">
        <w:rPr>
          <w:noProof/>
        </w:rPr>
        <w:t>5.</w:t>
      </w:r>
      <w:r w:rsidRPr="00F83346">
        <w:rPr>
          <w:noProof/>
        </w:rPr>
        <w:tab/>
        <w:t>DRUGI ELEMENTI</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Načrti za izvedbo ter ureditev spremljanja, ocenjevanja in poročanja</w:t>
      </w:r>
    </w:p>
    <w:p w:rsidR="0045691F" w:rsidRPr="00F83346" w:rsidRDefault="0045691F" w:rsidP="29016D19">
      <w:pPr>
        <w:pBdr>
          <w:top w:val="nil"/>
          <w:left w:val="nil"/>
          <w:bottom w:val="nil"/>
          <w:right w:val="nil"/>
          <w:between w:val="nil"/>
          <w:bar w:val="nil"/>
        </w:pBdr>
        <w:spacing w:before="0" w:after="240"/>
        <w:rPr>
          <w:rFonts w:eastAsia="Arial Unicode MS"/>
          <w:noProof/>
        </w:rPr>
      </w:pPr>
      <w:r w:rsidRPr="00F83346">
        <w:rPr>
          <w:noProof/>
        </w:rPr>
        <w:t>Poleg rednega spremljanja kapitalskih trgov, regulativnega nadzora, stresnega testiranja in zbiranja podatkov, ki jih izvajajo centralne banke in nadzorni organi, med drugim tudi na ravni EU, predlog določa, da bo EBA vsakih pet let spremljal tudi učinke sprememb na količnik neto stabilnega financiranja bank in likvidnost trgov sredstev, ki se uporabljajo za zavarovanje. Priprava rednega poročila o spremljanju ne bi smela povzročiti dodatnega bremena poročanja za banke EU, saj bi se lahko oprla na razpoložljive tržne informacije in obstoječe zahteve glede nadzorniškega poročanja.</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Obrazložitveni dokumenti (za direktive)</w:t>
      </w:r>
    </w:p>
    <w:p w:rsidR="0045691F" w:rsidRPr="00F83346" w:rsidRDefault="0045691F">
      <w:pPr>
        <w:pBdr>
          <w:top w:val="nil"/>
          <w:left w:val="nil"/>
          <w:bottom w:val="nil"/>
          <w:right w:val="nil"/>
          <w:between w:val="nil"/>
          <w:bar w:val="nil"/>
        </w:pBdr>
        <w:spacing w:before="0" w:after="240"/>
        <w:rPr>
          <w:rFonts w:eastAsia="Arial Unicode MS"/>
          <w:noProof/>
        </w:rPr>
      </w:pPr>
      <w:r w:rsidRPr="00F83346">
        <w:rPr>
          <w:noProof/>
        </w:rPr>
        <w:t>Ni relevantno.</w:t>
      </w:r>
    </w:p>
    <w:p w:rsidR="0045691F" w:rsidRPr="00F83346" w:rsidRDefault="0045691F">
      <w:pPr>
        <w:pStyle w:val="ManualHeading2"/>
        <w:rPr>
          <w:rFonts w:eastAsia="Arial Unicode MS"/>
          <w:noProof/>
          <w:bdr w:val="nil"/>
        </w:rPr>
      </w:pPr>
      <w:r w:rsidRPr="00F83346">
        <w:rPr>
          <w:noProof/>
          <w:bdr w:val="nil"/>
        </w:rPr>
        <w:t>•</w:t>
      </w:r>
      <w:r w:rsidRPr="00F83346">
        <w:rPr>
          <w:noProof/>
          <w:u w:color="000000"/>
          <w:bdr w:val="nil"/>
        </w:rPr>
        <w:tab/>
      </w:r>
      <w:r w:rsidRPr="00F83346">
        <w:rPr>
          <w:noProof/>
          <w:bdr w:val="nil"/>
        </w:rPr>
        <w:t>Natančnejša pojasnitev posameznih določb predloga</w:t>
      </w:r>
    </w:p>
    <w:p w:rsidR="0045691F" w:rsidRPr="00F83346" w:rsidRDefault="006D476A" w:rsidP="7F773E30">
      <w:pPr>
        <w:pBdr>
          <w:top w:val="nil"/>
          <w:left w:val="nil"/>
          <w:bottom w:val="nil"/>
          <w:right w:val="nil"/>
          <w:between w:val="nil"/>
          <w:bar w:val="nil"/>
        </w:pBdr>
        <w:spacing w:before="0" w:after="240"/>
        <w:rPr>
          <w:noProof/>
        </w:rPr>
      </w:pPr>
      <w:r w:rsidRPr="00F83346">
        <w:rPr>
          <w:noProof/>
        </w:rPr>
        <w:t>S členom 1 se črta prehodna določba iz člena 510(8) uredbe o kapitalskih zahtevah, da bi se ohranila obstoječa obravnava dolgovanih denarnih zneskov iz poslov financiranja z vrednostnimi papirji in nezavarovanih poslov s finančnimi strankami s preostalo zapadlostjo manj kot šest mesecev. S členom 1 se tudi spreminja člen 510(6), da bi se uvedlo redno spremljanje, pri katerem mora EBA vsakih pet let poročati Komisiji o ustreznosti obravnave. Člen 510(7) postane odvečen in se zato črta.</w:t>
      </w:r>
    </w:p>
    <w:p w:rsidR="0045691F" w:rsidRPr="00F83346" w:rsidRDefault="0045691F">
      <w:pPr>
        <w:rPr>
          <w:noProof/>
        </w:rPr>
        <w:sectPr w:rsidR="0045691F" w:rsidRPr="00F83346" w:rsidSect="00F82B9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EB3FC6" w:rsidRDefault="006C7FC2">
      <w:pPr>
        <w:pStyle w:val="Rfrenceinterinstitutionnelle"/>
        <w:rPr>
          <w:noProof/>
        </w:rPr>
      </w:pPr>
      <w:r>
        <w:rPr>
          <w:noProof/>
        </w:rPr>
        <w:t>2025/0077 (COD)</w:t>
      </w:r>
    </w:p>
    <w:p w:rsidR="0045691F" w:rsidRPr="00F83346" w:rsidRDefault="004327F0" w:rsidP="004327F0">
      <w:pPr>
        <w:pStyle w:val="Statut"/>
        <w:rPr>
          <w:noProof/>
        </w:rPr>
      </w:pPr>
      <w:r w:rsidRPr="00F83346">
        <w:rPr>
          <w:noProof/>
        </w:rPr>
        <w:t>Predlog</w:t>
      </w:r>
    </w:p>
    <w:p w:rsidR="0045691F" w:rsidRPr="00F83346" w:rsidRDefault="004327F0" w:rsidP="004327F0">
      <w:pPr>
        <w:pStyle w:val="Typedudocument"/>
        <w:rPr>
          <w:noProof/>
        </w:rPr>
      </w:pPr>
      <w:r w:rsidRPr="00F83346">
        <w:rPr>
          <w:noProof/>
        </w:rPr>
        <w:t>UREDBA EVROPSKEGA PARLAMENTA IN SVETA</w:t>
      </w:r>
    </w:p>
    <w:p w:rsidR="0045691F" w:rsidRPr="00F83346" w:rsidRDefault="004327F0" w:rsidP="004327F0">
      <w:pPr>
        <w:pStyle w:val="Titreobjet"/>
        <w:rPr>
          <w:noProof/>
        </w:rPr>
      </w:pPr>
      <w:r w:rsidRPr="00F83346">
        <w:rPr>
          <w:noProof/>
        </w:rPr>
        <w:t>o spremembi Uredbe (EU) št. 575/2013 o bonitetnih zahtevah za kreditne institucije v zvezi z zahtevami za posle financiranja z vrednostnimi papirji glede količnika neto stabilnega financiranja</w:t>
      </w:r>
    </w:p>
    <w:p w:rsidR="0045691F" w:rsidRPr="00F83346" w:rsidRDefault="004327F0" w:rsidP="004327F0">
      <w:pPr>
        <w:pStyle w:val="IntrtEEE"/>
        <w:rPr>
          <w:noProof/>
        </w:rPr>
      </w:pPr>
      <w:r w:rsidRPr="00F83346">
        <w:rPr>
          <w:noProof/>
        </w:rPr>
        <w:t>(Besedilo velja za EGP)</w:t>
      </w:r>
    </w:p>
    <w:p w:rsidR="0045691F" w:rsidRPr="00F83346" w:rsidRDefault="0045691F">
      <w:pPr>
        <w:pStyle w:val="Institutionquiagit"/>
        <w:rPr>
          <w:noProof/>
        </w:rPr>
      </w:pPr>
      <w:r w:rsidRPr="00F83346">
        <w:rPr>
          <w:noProof/>
        </w:rPr>
        <w:t>EVROPSKI PARLAMENT IN SVET EVROPSKE UNIJE STA –</w:t>
      </w:r>
    </w:p>
    <w:p w:rsidR="0045691F" w:rsidRPr="00F83346" w:rsidRDefault="0098135B">
      <w:pPr>
        <w:rPr>
          <w:noProof/>
        </w:rPr>
      </w:pPr>
      <w:r w:rsidRPr="00F83346">
        <w:rPr>
          <w:noProof/>
        </w:rPr>
        <w:t>ob upoštevanju Pogodbe o delovanju Evropske unije in zlasti člena 114 Pogodbe,</w:t>
      </w:r>
    </w:p>
    <w:p w:rsidR="0045691F" w:rsidRPr="00F83346" w:rsidRDefault="0045691F">
      <w:pPr>
        <w:rPr>
          <w:noProof/>
        </w:rPr>
      </w:pPr>
      <w:r w:rsidRPr="00F83346">
        <w:rPr>
          <w:noProof/>
        </w:rPr>
        <w:t>ob upoštevanju predloga Evropske komisije,</w:t>
      </w:r>
    </w:p>
    <w:p w:rsidR="007D34E3" w:rsidRPr="00F83346" w:rsidRDefault="007D34E3" w:rsidP="007D34E3">
      <w:pPr>
        <w:rPr>
          <w:noProof/>
        </w:rPr>
      </w:pPr>
      <w:r w:rsidRPr="00F83346">
        <w:rPr>
          <w:noProof/>
        </w:rPr>
        <w:t>po posredovanju osnutka zakonodajnega akta nacionalnim parlamentom,</w:t>
      </w:r>
    </w:p>
    <w:p w:rsidR="007D34E3" w:rsidRPr="00F83346" w:rsidRDefault="007D34E3" w:rsidP="007D34E3">
      <w:pPr>
        <w:rPr>
          <w:noProof/>
        </w:rPr>
      </w:pPr>
      <w:r w:rsidRPr="00F83346">
        <w:rPr>
          <w:noProof/>
        </w:rPr>
        <w:t>ob upoštevanju mnenja Evropske centralne banke</w:t>
      </w:r>
      <w:r w:rsidR="00344BB1" w:rsidRPr="00F83346">
        <w:rPr>
          <w:rStyle w:val="FootnoteReference"/>
          <w:noProof/>
        </w:rPr>
        <w:footnoteReference w:id="12"/>
      </w:r>
      <w:r w:rsidRPr="00F83346">
        <w:rPr>
          <w:noProof/>
        </w:rPr>
        <w:t>,</w:t>
      </w:r>
    </w:p>
    <w:p w:rsidR="007D34E3" w:rsidRPr="00F83346" w:rsidRDefault="007D34E3" w:rsidP="007D34E3">
      <w:pPr>
        <w:rPr>
          <w:noProof/>
        </w:rPr>
      </w:pPr>
      <w:r w:rsidRPr="00F83346">
        <w:rPr>
          <w:noProof/>
        </w:rPr>
        <w:t>ob upoštevanju mnenja Evropskega ekonomsko-socialnega odbora</w:t>
      </w:r>
      <w:r w:rsidR="00274A1E" w:rsidRPr="00F83346">
        <w:rPr>
          <w:rStyle w:val="FootnoteReference"/>
          <w:noProof/>
        </w:rPr>
        <w:footnoteReference w:id="13"/>
      </w:r>
      <w:r w:rsidRPr="00F83346">
        <w:rPr>
          <w:noProof/>
        </w:rPr>
        <w:t>,</w:t>
      </w:r>
    </w:p>
    <w:p w:rsidR="0045691F" w:rsidRPr="00F83346" w:rsidRDefault="0045691F">
      <w:pPr>
        <w:rPr>
          <w:noProof/>
        </w:rPr>
      </w:pPr>
      <w:r w:rsidRPr="00F83346">
        <w:rPr>
          <w:noProof/>
        </w:rPr>
        <w:t>v skladu z rednim zakonodajnim postopkom,</w:t>
      </w:r>
    </w:p>
    <w:p w:rsidR="0045691F" w:rsidRPr="00F83346" w:rsidRDefault="0045691F">
      <w:pPr>
        <w:rPr>
          <w:noProof/>
        </w:rPr>
      </w:pPr>
      <w:r w:rsidRPr="00F83346">
        <w:rPr>
          <w:noProof/>
        </w:rPr>
        <w:t>ob upoštevanju naslednjega:</w:t>
      </w:r>
    </w:p>
    <w:p w:rsidR="0098135B" w:rsidRPr="00F83346" w:rsidRDefault="00483243" w:rsidP="00483243">
      <w:pPr>
        <w:pStyle w:val="ManualConsidrant"/>
        <w:rPr>
          <w:noProof/>
        </w:rPr>
      </w:pPr>
      <w:r w:rsidRPr="00483243">
        <w:rPr>
          <w:noProof/>
        </w:rPr>
        <w:t>(1)</w:t>
      </w:r>
      <w:r w:rsidRPr="00483243">
        <w:rPr>
          <w:noProof/>
        </w:rPr>
        <w:tab/>
      </w:r>
      <w:r w:rsidR="003A6A52" w:rsidRPr="00F83346">
        <w:rPr>
          <w:noProof/>
        </w:rPr>
        <w:t>Z Uredbo (EU) 2019/876 Evropskega parlamenta in Sveta</w:t>
      </w:r>
      <w:r w:rsidR="00847D59" w:rsidRPr="00F83346">
        <w:rPr>
          <w:rStyle w:val="FootnoteReference"/>
          <w:noProof/>
        </w:rPr>
        <w:footnoteReference w:id="14"/>
      </w:r>
      <w:r w:rsidR="003A6A52" w:rsidRPr="00F83346">
        <w:rPr>
          <w:noProof/>
        </w:rPr>
        <w:t xml:space="preserve"> je bila v Uredbo (EU) št. 575/2013 Evropskega parlamenta in Sveta</w:t>
      </w:r>
      <w:r w:rsidR="00617070" w:rsidRPr="00F83346">
        <w:rPr>
          <w:rStyle w:val="FootnoteReference"/>
          <w:noProof/>
        </w:rPr>
        <w:footnoteReference w:id="15"/>
      </w:r>
      <w:r w:rsidR="003A6A52" w:rsidRPr="00F83346">
        <w:rPr>
          <w:noProof/>
        </w:rPr>
        <w:t xml:space="preserve"> uvedena zahteva glede količnika neto stabilnega financiranja. Ta zahteva je odražala del standardov Basel III, tj. mednarodnih standardov, o katerih se je dogovoril Baselski odbor za bančni nadzor in ki so bili oblikovani za zagotovitev, da imajo kreditne institucije zadostno stabilno financiranje v enoletnem obdobju, in s tem za preprečitev prevelike neusklajenosti zapadlosti med sredstvi in obveznostmi ter prevelikega zanašanja na kratkoročno grosistično financiranje. Zahteva glede količnika neto stabilnega financiranja iz Uredbe (EU) št. 575/2013 se uporablja za kreditne institucije od 28. junija 2021. </w:t>
      </w:r>
    </w:p>
    <w:p w:rsidR="0098135B" w:rsidRPr="00F83346" w:rsidDel="000745E0" w:rsidRDefault="00483243" w:rsidP="00483243">
      <w:pPr>
        <w:pStyle w:val="ManualConsidrant"/>
        <w:rPr>
          <w:noProof/>
        </w:rPr>
      </w:pPr>
      <w:r w:rsidRPr="00483243">
        <w:rPr>
          <w:noProof/>
        </w:rPr>
        <w:t>(2)</w:t>
      </w:r>
      <w:r w:rsidRPr="00483243">
        <w:rPr>
          <w:noProof/>
        </w:rPr>
        <w:tab/>
      </w:r>
      <w:r w:rsidR="00E56144" w:rsidRPr="00F83346">
        <w:rPr>
          <w:noProof/>
        </w:rPr>
        <w:t>Člen 428r(1), točka (g), člen 428s(1), točka (b), in člen 428v, točka (a), Uredbe (EU) št. 575/2013 trenutno določajo faktorje stabilnega financiranja za dolgovane denarne zneske iz poslov financiranja s finančnimi strankami s preostalo zapadlostjo manj kot šest mesecev. Odvisno od zadevnega posla financiranja ti faktorji financiranja znašajo 0 %, 5 % oziroma 10 %. Vendar člen 510(8) Uredbe (EU) št. 575/2013 določa, da se ti faktorji financiranja do 28. junija 2025 povišajo z 0 % na 10 % ter s 5 % oziroma 10 % na 15 %. Namen tega odloga je bil kreditnim institucijam zagotoviti dovolj časa, da se postopno prilagodijo konservativnejši umeritvi in ocenijo, ali je bila ta umeritev ustrezna. Poleg tega odloženega povišanja so bile sprejete druge prilagoditve za zagotovitev, da uvedba zahteve glede količnika neto stabilnega financiranja ne bi ovirala likvidnosti povezanih trgov zavarovanja s premoženjem, vključno s trgi državnih obveznic.</w:t>
      </w:r>
    </w:p>
    <w:p w:rsidR="0098135B" w:rsidRPr="00F83346" w:rsidRDefault="00483243" w:rsidP="00483243">
      <w:pPr>
        <w:pStyle w:val="ManualConsidrant"/>
        <w:rPr>
          <w:noProof/>
        </w:rPr>
      </w:pPr>
      <w:r w:rsidRPr="00483243">
        <w:rPr>
          <w:noProof/>
        </w:rPr>
        <w:t>(3)</w:t>
      </w:r>
      <w:r w:rsidRPr="00483243">
        <w:rPr>
          <w:noProof/>
        </w:rPr>
        <w:tab/>
      </w:r>
      <w:r w:rsidR="005E3F23" w:rsidRPr="00F83346">
        <w:rPr>
          <w:noProof/>
        </w:rPr>
        <w:t>V skladu s členom 510(6) Uredbe (EU) št. 575/2013 je bil Evropski bančni organ (EBA) pooblaščen, da oceni ustreznost obravnave stabilnega financiranja, potrebnega za kritje tveganja financiranja, povezanega s posli financiranja z vrednostnimi papirji in nezavarovanimi posli s finančnimi strankami s preostalo zapadlostjo manj kot šest mesecev. V skladu s tem pooblastilom je EBA 16. januarja 2024 predložil poročilo o posebnih vidikih količnika neto stabilnega financiranja</w:t>
      </w:r>
      <w:r w:rsidR="006346BD" w:rsidRPr="00F83346">
        <w:rPr>
          <w:rStyle w:val="FootnoteReference"/>
          <w:noProof/>
        </w:rPr>
        <w:footnoteReference w:id="16"/>
      </w:r>
      <w:r w:rsidR="005E3F23" w:rsidRPr="00F83346">
        <w:rPr>
          <w:noProof/>
        </w:rPr>
        <w:t>. V njem je ugotovil, da bi imelo povišanje faktorjev financiranja, kot je določeno v členu 510(8) Uredbe (EU) št. 575/2013, zanemarljiv učinek na ravni količnikov neto stabilnega financiranja institucij. Vendar v poročilu niso ocenjeni širša razsežnost in učinki prelivanja na likvidnost trgov državnih dolžniških instrumentov in obveznic. Premisleki, ki so privedli do odloga navedenega povišanja, še vedno prevladujejo. Ker je večina poslov financiranja z vrednostnimi papirji zavarovana z državnimi dolžniškimi instrumenti, bi se lahko s povišanjem s tem povezanega potrebnega stabilnega financiranja zmanjšala likvidnost na zadevnih trgih. To pa bi lahko povzročilo dodatne stroške financiranja za države članice in spremenilo transmisijske mehanizme denarne politike.</w:t>
      </w:r>
    </w:p>
    <w:p w:rsidR="0098135B" w:rsidRPr="00F83346" w:rsidRDefault="00483243" w:rsidP="00483243">
      <w:pPr>
        <w:pStyle w:val="ManualConsidrant"/>
        <w:rPr>
          <w:noProof/>
        </w:rPr>
      </w:pPr>
      <w:r w:rsidRPr="00483243">
        <w:rPr>
          <w:noProof/>
        </w:rPr>
        <w:t>(4)</w:t>
      </w:r>
      <w:r w:rsidRPr="00483243">
        <w:rPr>
          <w:noProof/>
        </w:rPr>
        <w:tab/>
      </w:r>
      <w:r w:rsidR="0098135B" w:rsidRPr="00F83346">
        <w:rPr>
          <w:noProof/>
        </w:rPr>
        <w:t>Poleg tega so druge jurisdikcije, ki so članice Baselskega odbora za bančni nadzor, določile ravni potrebnega stabilnega financiranja za posle financiranja z vrednostnimi papirji, ki so enake tistim, ki se trenutno uporabljajo. V tem okviru bi se glede na močno mednarodno konkurenco na trgu poslov financiranja z vrednostnimi papirji s povišanjem faktorjev financiranja 28. junija 2025 ustvarili neenaki mednarodni konkurenčni pogoji, ki bi škodili finančnim trgom Unije.</w:t>
      </w:r>
    </w:p>
    <w:p w:rsidR="0098135B" w:rsidRPr="00F83346" w:rsidRDefault="00483243" w:rsidP="00483243">
      <w:pPr>
        <w:pStyle w:val="ManualConsidrant"/>
        <w:rPr>
          <w:noProof/>
        </w:rPr>
      </w:pPr>
      <w:r w:rsidRPr="00483243">
        <w:rPr>
          <w:noProof/>
        </w:rPr>
        <w:t>(5)</w:t>
      </w:r>
      <w:r w:rsidRPr="00483243">
        <w:rPr>
          <w:noProof/>
        </w:rPr>
        <w:tab/>
      </w:r>
      <w:r w:rsidR="0098135B" w:rsidRPr="00F83346">
        <w:rPr>
          <w:noProof/>
        </w:rPr>
        <w:t>Da bi se izognili tem nenamernim posledicam, bi morali sedanji faktorji stabilnega financiranja za posle financiranja z vrednostnimi papirji in nezavarovane posle s finančnimi strankami s preostalo zapadlostjo manj kot šest mesecev, kot je določeno v členu 428r(1), točka (g), členu 428s(1), točka (b), in členu 428v, točka (a), Uredbe (EU) št. 575/2013, postati trajni.</w:t>
      </w:r>
    </w:p>
    <w:p w:rsidR="0098135B" w:rsidRPr="00F83346" w:rsidRDefault="00483243" w:rsidP="00483243">
      <w:pPr>
        <w:pStyle w:val="ManualConsidrant"/>
        <w:rPr>
          <w:noProof/>
        </w:rPr>
      </w:pPr>
      <w:r w:rsidRPr="00483243">
        <w:rPr>
          <w:noProof/>
        </w:rPr>
        <w:t>(6)</w:t>
      </w:r>
      <w:r w:rsidRPr="00483243">
        <w:rPr>
          <w:noProof/>
        </w:rPr>
        <w:tab/>
      </w:r>
      <w:r w:rsidR="0028776E" w:rsidRPr="00F83346">
        <w:rPr>
          <w:noProof/>
        </w:rPr>
        <w:t>EBA bi moral vsakih pet let poročati Evropski komisiji o ustreznosti teh zahtev glede stabilnega financiranja, da bi se zagotovilo zadostno spremljanje vzajemnega učinkovanja s tržno likvidnostjo sredstev, prejetih kot zavarovanje s premoženjem v poslih financiranja z vrednostnimi papirji, tudi ko so zavarovani z državnimi dolžniškimi instrumenti, in nezavarovanih poslih s finančnimi strankami s preostalo zapadlostjo manj kot šest mesecev, in učinkovanja s tveganjem financiranja za kreditne institucije ter zadostno spremljanje morebitnega mednarodnega razvoja na tem področju.</w:t>
      </w:r>
    </w:p>
    <w:p w:rsidR="001F1B45" w:rsidRPr="00F83346" w:rsidRDefault="00483243" w:rsidP="00483243">
      <w:pPr>
        <w:pStyle w:val="ManualConsidrant"/>
        <w:rPr>
          <w:noProof/>
        </w:rPr>
      </w:pPr>
      <w:r w:rsidRPr="00483243">
        <w:rPr>
          <w:noProof/>
        </w:rPr>
        <w:t>(7)</w:t>
      </w:r>
      <w:r w:rsidRPr="00483243">
        <w:rPr>
          <w:noProof/>
        </w:rPr>
        <w:tab/>
      </w:r>
      <w:r w:rsidR="00966A27" w:rsidRPr="00F83346">
        <w:rPr>
          <w:noProof/>
        </w:rPr>
        <w:t>Da bi se zagotovila kontinuiteta bonitetne obravnave dolgovanih denarnih zneskov iz poslov financiranja z vrednostnimi papirji in nezavarovanih poslov s finančnimi strankami s preostalo zapadlostjo manj kot šest mesecev, kot je določeno v členu 428r(1), točka (g), členu 428s(1), točka (b), in členu 428v, točka (a), Uredbe (EU) št. 575/2013, bi se morala predlagana uredba uporabljati od 29. junija 2025. Začasna prekinitev obravnave bi povzročila pravno negotovost za udeležence na trgu ter nepotrebno upravno in finančno breme za bančni sektor Unije na splošno, ki bi ga bilo mogoče ublažiti z jasno določitvijo pričakovanega datuma uporabe zadevnih določb.</w:t>
      </w:r>
    </w:p>
    <w:p w:rsidR="0045691F" w:rsidRPr="00F83346" w:rsidRDefault="00483243" w:rsidP="00483243">
      <w:pPr>
        <w:pStyle w:val="ManualConsidrant"/>
        <w:rPr>
          <w:noProof/>
        </w:rPr>
      </w:pPr>
      <w:r w:rsidRPr="00483243">
        <w:rPr>
          <w:noProof/>
        </w:rPr>
        <w:t>(8)</w:t>
      </w:r>
      <w:r w:rsidRPr="00483243">
        <w:rPr>
          <w:noProof/>
        </w:rPr>
        <w:tab/>
      </w:r>
      <w:r w:rsidR="0098135B" w:rsidRPr="00F83346">
        <w:rPr>
          <w:noProof/>
        </w:rPr>
        <w:t>Uredbo (EU) št. 575/2013 bi bilo zato treba ustrezno spremeniti –</w:t>
      </w:r>
    </w:p>
    <w:p w:rsidR="0045691F" w:rsidRPr="00F83346" w:rsidRDefault="0045691F">
      <w:pPr>
        <w:pStyle w:val="Formuledadoption"/>
        <w:rPr>
          <w:noProof/>
        </w:rPr>
      </w:pPr>
      <w:r w:rsidRPr="00F83346">
        <w:rPr>
          <w:noProof/>
        </w:rPr>
        <w:t>SPREJELA NASLEDNJO UREDBO:</w:t>
      </w:r>
    </w:p>
    <w:p w:rsidR="0045691F" w:rsidRPr="00F83346" w:rsidRDefault="0045691F">
      <w:pPr>
        <w:pStyle w:val="Titrearticle"/>
        <w:rPr>
          <w:noProof/>
        </w:rPr>
      </w:pPr>
      <w:r w:rsidRPr="00F83346">
        <w:rPr>
          <w:noProof/>
        </w:rPr>
        <w:t>Člen 1</w:t>
      </w:r>
      <w:r w:rsidRPr="00F83346">
        <w:rPr>
          <w:noProof/>
        </w:rPr>
        <w:br/>
      </w:r>
      <w:r w:rsidRPr="00F83346">
        <w:rPr>
          <w:b/>
          <w:i w:val="0"/>
          <w:noProof/>
        </w:rPr>
        <w:t>Spremembe Uredbe (EU) št. 575/2013</w:t>
      </w:r>
    </w:p>
    <w:p w:rsidR="0098135B" w:rsidRPr="00F83346" w:rsidRDefault="00842E98" w:rsidP="0098135B">
      <w:pPr>
        <w:rPr>
          <w:noProof/>
        </w:rPr>
      </w:pPr>
      <w:r w:rsidRPr="00F83346">
        <w:rPr>
          <w:noProof/>
        </w:rPr>
        <w:t>Člen 510 Uredbe (EU) št. 575/2013 se spremeni:</w:t>
      </w:r>
    </w:p>
    <w:p w:rsidR="00842E98" w:rsidRPr="00F83346" w:rsidRDefault="00483243" w:rsidP="00483243">
      <w:pPr>
        <w:pStyle w:val="Point0"/>
        <w:rPr>
          <w:noProof/>
        </w:rPr>
      </w:pPr>
      <w:r w:rsidRPr="00483243">
        <w:rPr>
          <w:noProof/>
        </w:rPr>
        <w:t>(1)</w:t>
      </w:r>
      <w:r w:rsidRPr="00483243">
        <w:rPr>
          <w:noProof/>
        </w:rPr>
        <w:tab/>
      </w:r>
      <w:r w:rsidR="0098135B" w:rsidRPr="00F83346">
        <w:rPr>
          <w:noProof/>
        </w:rPr>
        <w:t>odstavek 6 se spremeni:</w:t>
      </w:r>
    </w:p>
    <w:p w:rsidR="0098135B" w:rsidRPr="00F83346" w:rsidRDefault="00483243" w:rsidP="00483243">
      <w:pPr>
        <w:pStyle w:val="Point1"/>
        <w:rPr>
          <w:noProof/>
        </w:rPr>
      </w:pPr>
      <w:r w:rsidRPr="00483243">
        <w:rPr>
          <w:noProof/>
        </w:rPr>
        <w:t>(a)</w:t>
      </w:r>
      <w:r w:rsidRPr="00483243">
        <w:rPr>
          <w:noProof/>
        </w:rPr>
        <w:tab/>
      </w:r>
      <w:r w:rsidR="00BA0BC5" w:rsidRPr="00F83346">
        <w:rPr>
          <w:noProof/>
        </w:rPr>
        <w:t>prvi pododstavek se nadomesti z naslednjim:</w:t>
      </w:r>
    </w:p>
    <w:p w:rsidR="00C7141B" w:rsidRPr="00F83346" w:rsidRDefault="0098135B" w:rsidP="00521FA2">
      <w:pPr>
        <w:pStyle w:val="Text2"/>
        <w:rPr>
          <w:noProof/>
        </w:rPr>
      </w:pPr>
      <w:r w:rsidRPr="00F83346">
        <w:rPr>
          <w:noProof/>
        </w:rPr>
        <w:t>„EBA spremlja znesek stabilnega financiranja, potrebnega za kritje tveganja financiranja v zvezi s posli financiranja z vrednostnimi papirji, vključno s sredstvi, prejetimi ali danimi v teh poslih, in nezavarovanimi posli s finančnimi strankami s preostalo zapadlostjo manj kot šest mesecev. EBA Komisiji do 31. januarja 2029 in nato vsakih pet let poroča o ustreznosti te zahteve. Ob upoštevanju razvoja dogodkov na mednarodni ravni in regulativne obravnave podobnih poslov v drugih jurisdikcijah se v poročilih oceni vsaj:“;</w:t>
      </w:r>
    </w:p>
    <w:p w:rsidR="00377DF6" w:rsidRPr="00F83346" w:rsidRDefault="00483243" w:rsidP="00483243">
      <w:pPr>
        <w:pStyle w:val="Point1"/>
        <w:rPr>
          <w:noProof/>
        </w:rPr>
      </w:pPr>
      <w:r w:rsidRPr="00483243">
        <w:rPr>
          <w:noProof/>
        </w:rPr>
        <w:t>(b)</w:t>
      </w:r>
      <w:r w:rsidRPr="00483243">
        <w:rPr>
          <w:noProof/>
        </w:rPr>
        <w:tab/>
      </w:r>
      <w:r w:rsidR="00377DF6" w:rsidRPr="00F83346">
        <w:rPr>
          <w:noProof/>
        </w:rPr>
        <w:t>točki (d) in (e) se nadomestita z naslednjim:</w:t>
      </w:r>
    </w:p>
    <w:p w:rsidR="0098135B" w:rsidRPr="00F83346" w:rsidRDefault="00CE1248" w:rsidP="00521FA2">
      <w:pPr>
        <w:pStyle w:val="QuotedNumPar"/>
        <w:rPr>
          <w:noProof/>
        </w:rPr>
      </w:pPr>
      <w:r w:rsidRPr="00F83346">
        <w:rPr>
          <w:noProof/>
        </w:rPr>
        <w:t>„(d)</w:t>
      </w:r>
      <w:r w:rsidRPr="00F83346">
        <w:rPr>
          <w:noProof/>
        </w:rPr>
        <w:tab/>
        <w:t>ustreznost asimetrične obravnave med obveznostmi s preostalo zapadlostjo manj kot šest mesecev, ki jih zagotovijo finančne stranke, za katere se v skladu s členom 428k(3), točka (c), uporablja faktor razpoložljivega stabilnega financiranja v višini 0 %, in sredstvi, ki izhajajo iz poslov s finančnimi strankami s preostalo zapadlostjo manj kot šest mesecev, za katere se v skladu s členom 428r(1), točka (g), členom 428s(1), točka (b), in členom 428v, točka (a), uporablja faktor potrebnega stabilnega financiranja v višini 0 %, 5 % ali 10 %;</w:t>
      </w:r>
    </w:p>
    <w:p w:rsidR="0098135B" w:rsidRPr="00F83346" w:rsidRDefault="00CE1248" w:rsidP="00521FA2">
      <w:pPr>
        <w:pStyle w:val="QuotedNumPar"/>
        <w:rPr>
          <w:noProof/>
        </w:rPr>
      </w:pPr>
      <w:r w:rsidRPr="00F83346">
        <w:rPr>
          <w:noProof/>
        </w:rPr>
        <w:t>(e)</w:t>
      </w:r>
      <w:r w:rsidRPr="00F83346">
        <w:rPr>
          <w:noProof/>
        </w:rPr>
        <w:tab/>
        <w:t>učinek uvedbe višjih ali nižjih faktorjev potrebnega stabilnega financiranja za posle financiranja z vrednostnimi papirji s finančnimi strankami, zlasti tiste s preostalo zapadlostjo manj kot šest mesecev, na:</w:t>
      </w:r>
    </w:p>
    <w:p w:rsidR="0098135B" w:rsidRPr="00F83346" w:rsidRDefault="00201F28" w:rsidP="00D142D6">
      <w:pPr>
        <w:pStyle w:val="Point2"/>
        <w:rPr>
          <w:noProof/>
        </w:rPr>
      </w:pPr>
      <w:r w:rsidRPr="00F83346">
        <w:rPr>
          <w:noProof/>
        </w:rPr>
        <w:t>(i)</w:t>
      </w:r>
      <w:r w:rsidRPr="00F83346">
        <w:rPr>
          <w:noProof/>
        </w:rPr>
        <w:tab/>
        <w:t>strukturo cen teh poslov in</w:t>
      </w:r>
    </w:p>
    <w:p w:rsidR="0098135B" w:rsidRPr="00F83346" w:rsidRDefault="00201F28" w:rsidP="00D142D6">
      <w:pPr>
        <w:pStyle w:val="Point2"/>
        <w:rPr>
          <w:noProof/>
        </w:rPr>
      </w:pPr>
      <w:r w:rsidRPr="00F83346">
        <w:rPr>
          <w:noProof/>
        </w:rPr>
        <w:t>(ii)</w:t>
      </w:r>
      <w:r w:rsidRPr="00F83346">
        <w:rPr>
          <w:noProof/>
        </w:rPr>
        <w:tab/>
        <w:t>tržno likvidnost sredstev, prejetih kot zavarovanje s premoženjem v teh poslih, zlasti državnih in podjetniških obveznic;“;</w:t>
      </w:r>
    </w:p>
    <w:p w:rsidR="00871D94" w:rsidRPr="00F83346" w:rsidRDefault="00483243" w:rsidP="00483243">
      <w:pPr>
        <w:pStyle w:val="Point0"/>
        <w:rPr>
          <w:noProof/>
        </w:rPr>
      </w:pPr>
      <w:r w:rsidRPr="00483243">
        <w:rPr>
          <w:noProof/>
        </w:rPr>
        <w:t>(2)</w:t>
      </w:r>
      <w:r w:rsidRPr="00483243">
        <w:rPr>
          <w:noProof/>
        </w:rPr>
        <w:tab/>
      </w:r>
      <w:r w:rsidR="00201F28" w:rsidRPr="00F83346">
        <w:rPr>
          <w:noProof/>
        </w:rPr>
        <w:t>odstavka 7 in 8 se črtata.</w:t>
      </w:r>
    </w:p>
    <w:p w:rsidR="00871D94" w:rsidRPr="00F83346" w:rsidRDefault="0045691F" w:rsidP="00D142D6">
      <w:pPr>
        <w:pStyle w:val="Titrearticle"/>
        <w:rPr>
          <w:noProof/>
        </w:rPr>
      </w:pPr>
      <w:r w:rsidRPr="00F83346">
        <w:rPr>
          <w:noProof/>
        </w:rPr>
        <w:t>Člen 2</w:t>
      </w:r>
      <w:r w:rsidRPr="00F83346">
        <w:rPr>
          <w:noProof/>
        </w:rPr>
        <w:br/>
      </w:r>
      <w:r w:rsidRPr="00F83346">
        <w:rPr>
          <w:b/>
          <w:noProof/>
        </w:rPr>
        <w:t>Začetek veljavnosti in uporaba</w:t>
      </w:r>
    </w:p>
    <w:p w:rsidR="00871D94" w:rsidRPr="00F83346" w:rsidRDefault="00871D94" w:rsidP="0026477A">
      <w:pPr>
        <w:rPr>
          <w:noProof/>
        </w:rPr>
      </w:pPr>
      <w:r w:rsidRPr="00F83346">
        <w:rPr>
          <w:noProof/>
        </w:rPr>
        <w:t>Ta uredba začne veljati dan po objavi v </w:t>
      </w:r>
      <w:r w:rsidRPr="00F83346">
        <w:rPr>
          <w:i/>
          <w:noProof/>
        </w:rPr>
        <w:t>Uradnem listu Evropske unije</w:t>
      </w:r>
      <w:r w:rsidRPr="00F83346">
        <w:rPr>
          <w:noProof/>
        </w:rPr>
        <w:t>.</w:t>
      </w:r>
    </w:p>
    <w:p w:rsidR="002042C4" w:rsidRPr="00F83346" w:rsidRDefault="00871D94" w:rsidP="0026477A">
      <w:pPr>
        <w:rPr>
          <w:noProof/>
        </w:rPr>
      </w:pPr>
      <w:r w:rsidRPr="00F83346">
        <w:rPr>
          <w:noProof/>
        </w:rPr>
        <w:t>Ta uredba se uporablja od 29. junija 2025.</w:t>
      </w:r>
    </w:p>
    <w:p w:rsidR="0045691F" w:rsidRPr="00F83346" w:rsidRDefault="0045691F" w:rsidP="00871D94">
      <w:pPr>
        <w:pStyle w:val="Applicationdirecte"/>
        <w:rPr>
          <w:noProof/>
        </w:rPr>
      </w:pPr>
      <w:r w:rsidRPr="00F83346">
        <w:rPr>
          <w:noProof/>
        </w:rPr>
        <w:t>Ta uredba je v celoti zavezujoča in se neposredno uporablja v državah članicah v skladu s Pogodbama.</w:t>
      </w:r>
    </w:p>
    <w:p w:rsidR="0045691F" w:rsidRPr="00F83346" w:rsidRDefault="004327F0" w:rsidP="00EE6C7B">
      <w:pPr>
        <w:pStyle w:val="Fait"/>
        <w:rPr>
          <w:noProof/>
        </w:rPr>
      </w:pPr>
      <w:r>
        <w:rPr>
          <w:noProof/>
        </w:rPr>
        <w:t>V Bruslju,</w:t>
      </w:r>
    </w:p>
    <w:p w:rsidR="0045691F" w:rsidRPr="00F83346" w:rsidRDefault="0045691F" w:rsidP="00EE6C7B">
      <w:pPr>
        <w:pStyle w:val="Institutionquisigne"/>
        <w:rPr>
          <w:noProof/>
        </w:rPr>
      </w:pPr>
      <w:r w:rsidRPr="00F83346">
        <w:rPr>
          <w:noProof/>
        </w:rPr>
        <w:t>Za Evropski parlament</w:t>
      </w:r>
      <w:r w:rsidRPr="00F83346">
        <w:rPr>
          <w:noProof/>
        </w:rPr>
        <w:tab/>
        <w:t>Za Svet</w:t>
      </w:r>
    </w:p>
    <w:p w:rsidR="0045691F" w:rsidRPr="00F83346" w:rsidRDefault="0045691F" w:rsidP="002042C4">
      <w:pPr>
        <w:pStyle w:val="Personnequisigne"/>
        <w:rPr>
          <w:noProof/>
        </w:rPr>
        <w:sectPr w:rsidR="0045691F" w:rsidRPr="00F83346" w:rsidSect="00F82B96">
          <w:pgSz w:w="11907" w:h="16839"/>
          <w:pgMar w:top="1134" w:right="1417" w:bottom="1134" w:left="1417" w:header="709" w:footer="709" w:gutter="0"/>
          <w:cols w:space="708"/>
          <w:docGrid w:linePitch="360"/>
        </w:sectPr>
      </w:pPr>
      <w:r w:rsidRPr="00F83346">
        <w:rPr>
          <w:noProof/>
        </w:rPr>
        <w:t>predsednica</w:t>
      </w:r>
      <w:r w:rsidRPr="00F83346">
        <w:rPr>
          <w:noProof/>
        </w:rPr>
        <w:tab/>
        <w:t>predsednik</w:t>
      </w:r>
    </w:p>
    <w:p w:rsidR="0045691F" w:rsidRPr="00F83346" w:rsidRDefault="0045691F">
      <w:pPr>
        <w:pStyle w:val="Fichefinanciretitre"/>
        <w:keepNext/>
        <w:rPr>
          <w:noProof/>
        </w:rPr>
      </w:pPr>
      <w:r w:rsidRPr="00F83346">
        <w:rPr>
          <w:noProof/>
        </w:rPr>
        <w:t>OCENA FINANČNIH POSLEDIC IN DIGITALNIH RAZSEŽNOSTI ZAKONODAJNEGA PREDLOGA</w:t>
      </w:r>
    </w:p>
    <w:p w:rsidR="0045691F" w:rsidRPr="00F83346" w:rsidRDefault="0045691F">
      <w:pPr>
        <w:pStyle w:val="TOC1"/>
        <w:rPr>
          <w:rFonts w:asciiTheme="minorHAnsi" w:eastAsiaTheme="minorEastAsia" w:hAnsiTheme="minorHAnsi" w:cstheme="minorBidi"/>
          <w:noProof/>
          <w:kern w:val="2"/>
          <w:sz w:val="22"/>
          <w14:ligatures w14:val="standardContextual"/>
        </w:rPr>
      </w:pPr>
      <w:r w:rsidRPr="00F83346">
        <w:rPr>
          <w:noProof/>
        </w:rPr>
        <w:t>1.</w:t>
      </w:r>
      <w:r w:rsidRPr="00F83346">
        <w:rPr>
          <w:rFonts w:asciiTheme="minorHAnsi" w:hAnsiTheme="minorHAnsi"/>
          <w:noProof/>
          <w:sz w:val="22"/>
        </w:rPr>
        <w:tab/>
      </w:r>
      <w:r w:rsidRPr="00F83346">
        <w:rPr>
          <w:noProof/>
        </w:rPr>
        <w:t>OKVIR PREDLOGA/POBUDE</w:t>
      </w:r>
      <w:r w:rsidRPr="00F83346">
        <w:rPr>
          <w:noProof/>
          <w:webHidden/>
        </w:rPr>
        <w:tab/>
        <w:t>3</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1.1</w:t>
      </w:r>
      <w:r w:rsidRPr="00F83346">
        <w:rPr>
          <w:rFonts w:asciiTheme="minorHAnsi" w:hAnsiTheme="minorHAnsi"/>
          <w:noProof/>
          <w:sz w:val="22"/>
        </w:rPr>
        <w:tab/>
      </w:r>
      <w:r w:rsidRPr="00F83346">
        <w:rPr>
          <w:noProof/>
        </w:rPr>
        <w:t>Naslov predloga/pobude</w:t>
      </w:r>
      <w:r w:rsidRPr="00F83346">
        <w:rPr>
          <w:noProof/>
          <w:webHidden/>
        </w:rPr>
        <w:tab/>
        <w:t>3</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1.2</w:t>
      </w:r>
      <w:r w:rsidRPr="00F83346">
        <w:rPr>
          <w:rFonts w:asciiTheme="minorHAnsi" w:hAnsiTheme="minorHAnsi"/>
          <w:noProof/>
          <w:sz w:val="22"/>
        </w:rPr>
        <w:tab/>
      </w:r>
      <w:r w:rsidRPr="00F83346">
        <w:rPr>
          <w:noProof/>
        </w:rPr>
        <w:t>Zadevna področja</w:t>
      </w:r>
      <w:r w:rsidRPr="00F83346">
        <w:rPr>
          <w:noProof/>
          <w:webHidden/>
        </w:rPr>
        <w:tab/>
        <w:t>3</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1.3</w:t>
      </w:r>
      <w:r w:rsidRPr="00F83346">
        <w:rPr>
          <w:rFonts w:asciiTheme="minorHAnsi" w:hAnsiTheme="minorHAnsi"/>
          <w:noProof/>
          <w:sz w:val="22"/>
        </w:rPr>
        <w:tab/>
      </w:r>
      <w:r w:rsidRPr="00F83346">
        <w:rPr>
          <w:noProof/>
        </w:rPr>
        <w:t>Cilji</w:t>
      </w:r>
      <w:r w:rsidRPr="00F83346">
        <w:rPr>
          <w:noProof/>
          <w:webHidden/>
        </w:rPr>
        <w:tab/>
        <w:t>3</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1.3.1</w:t>
      </w:r>
      <w:r w:rsidRPr="00F83346">
        <w:rPr>
          <w:rFonts w:asciiTheme="minorHAnsi" w:hAnsiTheme="minorHAnsi"/>
          <w:noProof/>
          <w:sz w:val="22"/>
        </w:rPr>
        <w:tab/>
      </w:r>
      <w:r w:rsidRPr="00F83346">
        <w:rPr>
          <w:noProof/>
        </w:rPr>
        <w:t>Splošni cilji</w:t>
      </w:r>
      <w:r w:rsidRPr="00F83346">
        <w:rPr>
          <w:noProof/>
          <w:webHidden/>
        </w:rPr>
        <w:tab/>
        <w:t>3</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1.3.2</w:t>
      </w:r>
      <w:r w:rsidRPr="00F83346">
        <w:rPr>
          <w:rFonts w:asciiTheme="minorHAnsi" w:hAnsiTheme="minorHAnsi"/>
          <w:noProof/>
          <w:sz w:val="22"/>
        </w:rPr>
        <w:tab/>
      </w:r>
      <w:r w:rsidRPr="00F83346">
        <w:rPr>
          <w:noProof/>
        </w:rPr>
        <w:t>Specifični cilji</w:t>
      </w:r>
      <w:r w:rsidRPr="00F83346">
        <w:rPr>
          <w:noProof/>
          <w:webHidden/>
        </w:rPr>
        <w:tab/>
        <w:t>3</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1.3.3</w:t>
      </w:r>
      <w:r w:rsidRPr="00F83346">
        <w:rPr>
          <w:rFonts w:asciiTheme="minorHAnsi" w:hAnsiTheme="minorHAnsi"/>
          <w:noProof/>
          <w:sz w:val="22"/>
        </w:rPr>
        <w:tab/>
      </w:r>
      <w:r w:rsidRPr="00F83346">
        <w:rPr>
          <w:noProof/>
        </w:rPr>
        <w:t>Pričakovani rezultati in posledice</w:t>
      </w:r>
      <w:r w:rsidRPr="00F83346">
        <w:rPr>
          <w:noProof/>
          <w:webHidden/>
        </w:rPr>
        <w:tab/>
        <w:t>3</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1.3.4</w:t>
      </w:r>
      <w:r w:rsidRPr="00F83346">
        <w:rPr>
          <w:rFonts w:asciiTheme="minorHAnsi" w:hAnsiTheme="minorHAnsi"/>
          <w:noProof/>
          <w:sz w:val="22"/>
        </w:rPr>
        <w:tab/>
      </w:r>
      <w:r w:rsidRPr="00F83346">
        <w:rPr>
          <w:noProof/>
        </w:rPr>
        <w:t>Kazalniki smotrnosti</w:t>
      </w:r>
      <w:r w:rsidRPr="00F83346">
        <w:rPr>
          <w:noProof/>
          <w:webHidden/>
        </w:rPr>
        <w:tab/>
        <w:t>3</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1.4</w:t>
      </w:r>
      <w:r w:rsidRPr="00F83346">
        <w:rPr>
          <w:rFonts w:asciiTheme="minorHAnsi" w:hAnsiTheme="minorHAnsi"/>
          <w:noProof/>
          <w:sz w:val="22"/>
        </w:rPr>
        <w:tab/>
      </w:r>
      <w:r w:rsidRPr="00F83346">
        <w:rPr>
          <w:noProof/>
        </w:rPr>
        <w:t>Ukrep, na katerega se predlog/pobuda nanaša</w:t>
      </w:r>
      <w:r w:rsidRPr="00F83346">
        <w:rPr>
          <w:noProof/>
          <w:webHidden/>
        </w:rPr>
        <w:tab/>
        <w:t>4</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1.5</w:t>
      </w:r>
      <w:r w:rsidRPr="00F83346">
        <w:rPr>
          <w:rFonts w:asciiTheme="minorHAnsi" w:hAnsiTheme="minorHAnsi"/>
          <w:noProof/>
          <w:sz w:val="22"/>
        </w:rPr>
        <w:tab/>
      </w:r>
      <w:r w:rsidRPr="00F83346">
        <w:rPr>
          <w:noProof/>
        </w:rPr>
        <w:t>Utemeljitev predloga/pobude</w:t>
      </w:r>
      <w:r w:rsidRPr="00F83346">
        <w:rPr>
          <w:noProof/>
          <w:webHidden/>
        </w:rPr>
        <w:tab/>
        <w:t>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1.5.1</w:t>
      </w:r>
      <w:r w:rsidRPr="00F83346">
        <w:rPr>
          <w:rFonts w:asciiTheme="minorHAnsi" w:hAnsiTheme="minorHAnsi"/>
          <w:noProof/>
          <w:sz w:val="22"/>
        </w:rPr>
        <w:tab/>
      </w:r>
      <w:r w:rsidRPr="00F83346">
        <w:rPr>
          <w:noProof/>
        </w:rPr>
        <w:t>Potrebe, ki jih je treba zadovoljiti kratkoročno ali dolgoročno, vključno s podrobno časovnico za uvajanje ustreznih ukrepov za izvajanje pobude</w:t>
      </w:r>
      <w:r w:rsidRPr="00F83346">
        <w:rPr>
          <w:noProof/>
          <w:webHidden/>
        </w:rPr>
        <w:tab/>
        <w:t>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1.5.2</w:t>
      </w:r>
      <w:r w:rsidRPr="00F83346">
        <w:rPr>
          <w:rFonts w:asciiTheme="minorHAnsi" w:hAnsiTheme="minorHAnsi"/>
          <w:noProof/>
          <w:sz w:val="22"/>
        </w:rPr>
        <w:tab/>
      </w:r>
      <w:r w:rsidRPr="00F83346">
        <w:rPr>
          <w:noProof/>
        </w:rPr>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r w:rsidRPr="00F83346">
        <w:rPr>
          <w:noProof/>
          <w:webHidden/>
        </w:rPr>
        <w:tab/>
        <w:t>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1.5.3</w:t>
      </w:r>
      <w:r w:rsidRPr="00F83346">
        <w:rPr>
          <w:rFonts w:asciiTheme="minorHAnsi" w:hAnsiTheme="minorHAnsi"/>
          <w:noProof/>
          <w:sz w:val="22"/>
        </w:rPr>
        <w:tab/>
      </w:r>
      <w:r w:rsidRPr="00F83346">
        <w:rPr>
          <w:noProof/>
        </w:rPr>
        <w:t>Spoznanja iz podobnih izkušenj v preteklosti</w:t>
      </w:r>
      <w:r w:rsidRPr="00F83346">
        <w:rPr>
          <w:noProof/>
          <w:webHidden/>
        </w:rPr>
        <w:tab/>
        <w:t>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1.5.4</w:t>
      </w:r>
      <w:r w:rsidRPr="00F83346">
        <w:rPr>
          <w:rFonts w:asciiTheme="minorHAnsi" w:hAnsiTheme="minorHAnsi"/>
          <w:noProof/>
          <w:sz w:val="22"/>
        </w:rPr>
        <w:tab/>
      </w:r>
      <w:r w:rsidRPr="00F83346">
        <w:rPr>
          <w:noProof/>
        </w:rPr>
        <w:t>Skladnost z večletnim finančnim okvirom in možne sinergije z drugimi ustreznimi instrumenti</w:t>
      </w:r>
      <w:r w:rsidRPr="00F83346">
        <w:rPr>
          <w:noProof/>
          <w:webHidden/>
        </w:rPr>
        <w:tab/>
        <w:t>5</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1.5.5</w:t>
      </w:r>
      <w:r w:rsidRPr="00F83346">
        <w:rPr>
          <w:rFonts w:asciiTheme="minorHAnsi" w:hAnsiTheme="minorHAnsi"/>
          <w:noProof/>
          <w:sz w:val="22"/>
        </w:rPr>
        <w:tab/>
      </w:r>
      <w:r w:rsidRPr="00F83346">
        <w:rPr>
          <w:noProof/>
        </w:rPr>
        <w:t>Ocena različnih razpoložljivih možnosti financiranja, vključno z možnostmi za prerazporeditev</w:t>
      </w:r>
      <w:r w:rsidRPr="00F83346">
        <w:rPr>
          <w:noProof/>
          <w:webHidden/>
        </w:rPr>
        <w:tab/>
        <w:t>5</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1.6</w:t>
      </w:r>
      <w:r w:rsidRPr="00F83346">
        <w:rPr>
          <w:rFonts w:asciiTheme="minorHAnsi" w:hAnsiTheme="minorHAnsi"/>
          <w:noProof/>
          <w:sz w:val="22"/>
        </w:rPr>
        <w:tab/>
      </w:r>
      <w:r w:rsidRPr="00F83346">
        <w:rPr>
          <w:noProof/>
        </w:rPr>
        <w:t>Trajanje predloga/pobude in finančnih posledic</w:t>
      </w:r>
      <w:r w:rsidRPr="00F83346">
        <w:rPr>
          <w:noProof/>
          <w:webHidden/>
        </w:rPr>
        <w:tab/>
        <w:t>6</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1.7</w:t>
      </w:r>
      <w:r w:rsidRPr="00F83346">
        <w:rPr>
          <w:rFonts w:asciiTheme="minorHAnsi" w:hAnsiTheme="minorHAnsi"/>
          <w:noProof/>
          <w:sz w:val="22"/>
        </w:rPr>
        <w:tab/>
      </w:r>
      <w:r w:rsidRPr="00F83346">
        <w:rPr>
          <w:noProof/>
        </w:rPr>
        <w:t>Načrtovani načini izvrševanja proračuna</w:t>
      </w:r>
      <w:r w:rsidRPr="00F83346">
        <w:rPr>
          <w:noProof/>
          <w:webHidden/>
        </w:rPr>
        <w:tab/>
        <w:t>6</w:t>
      </w:r>
    </w:p>
    <w:p w:rsidR="0045691F" w:rsidRPr="00F83346" w:rsidRDefault="0045691F">
      <w:pPr>
        <w:pStyle w:val="TOC1"/>
        <w:rPr>
          <w:rFonts w:asciiTheme="minorHAnsi" w:eastAsiaTheme="minorEastAsia" w:hAnsiTheme="minorHAnsi" w:cstheme="minorBidi"/>
          <w:noProof/>
          <w:kern w:val="2"/>
          <w:sz w:val="22"/>
          <w14:ligatures w14:val="standardContextual"/>
        </w:rPr>
      </w:pPr>
      <w:r w:rsidRPr="00F83346">
        <w:rPr>
          <w:noProof/>
        </w:rPr>
        <w:t>2.</w:t>
      </w:r>
      <w:r w:rsidRPr="00F83346">
        <w:rPr>
          <w:rFonts w:asciiTheme="minorHAnsi" w:hAnsiTheme="minorHAnsi"/>
          <w:noProof/>
          <w:sz w:val="22"/>
        </w:rPr>
        <w:tab/>
      </w:r>
      <w:r w:rsidRPr="00F83346">
        <w:rPr>
          <w:noProof/>
        </w:rPr>
        <w:t>UKREPI UPRAVLJANJA</w:t>
      </w:r>
      <w:r w:rsidRPr="00F83346">
        <w:rPr>
          <w:noProof/>
          <w:webHidden/>
        </w:rPr>
        <w:tab/>
        <w:t>8</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2.1</w:t>
      </w:r>
      <w:r w:rsidRPr="00F83346">
        <w:rPr>
          <w:rFonts w:asciiTheme="minorHAnsi" w:hAnsiTheme="minorHAnsi"/>
          <w:noProof/>
          <w:sz w:val="22"/>
        </w:rPr>
        <w:tab/>
      </w:r>
      <w:r w:rsidRPr="00F83346">
        <w:rPr>
          <w:noProof/>
        </w:rPr>
        <w:t>Pravila o spremljanju in poročanju</w:t>
      </w:r>
      <w:r w:rsidRPr="00F83346">
        <w:rPr>
          <w:noProof/>
          <w:webHidden/>
        </w:rPr>
        <w:tab/>
        <w:t>8</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2.2</w:t>
      </w:r>
      <w:r w:rsidRPr="00F83346">
        <w:rPr>
          <w:rFonts w:asciiTheme="minorHAnsi" w:hAnsiTheme="minorHAnsi"/>
          <w:noProof/>
          <w:sz w:val="22"/>
        </w:rPr>
        <w:tab/>
      </w:r>
      <w:r w:rsidRPr="00F83346">
        <w:rPr>
          <w:noProof/>
        </w:rPr>
        <w:t>Upravljavski in kontrolni sistemi</w:t>
      </w:r>
      <w:r w:rsidRPr="00F83346">
        <w:rPr>
          <w:noProof/>
          <w:webHidden/>
        </w:rPr>
        <w:tab/>
        <w:t>8</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2.2.1</w:t>
      </w:r>
      <w:r w:rsidRPr="00F83346">
        <w:rPr>
          <w:rFonts w:asciiTheme="minorHAnsi" w:hAnsiTheme="minorHAnsi"/>
          <w:noProof/>
          <w:sz w:val="22"/>
        </w:rPr>
        <w:tab/>
      </w:r>
      <w:r w:rsidRPr="00F83346">
        <w:rPr>
          <w:noProof/>
        </w:rPr>
        <w:t>Utemeljitev načinov izvrševanja proračuna, mehanizmov financiranja, načinov plačevanja in predlagane strategije kontrol</w:t>
      </w:r>
      <w:r w:rsidRPr="00F83346">
        <w:rPr>
          <w:noProof/>
          <w:webHidden/>
        </w:rPr>
        <w:tab/>
        <w:t>8</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2.2.2</w:t>
      </w:r>
      <w:r w:rsidRPr="00F83346">
        <w:rPr>
          <w:rFonts w:asciiTheme="minorHAnsi" w:hAnsiTheme="minorHAnsi"/>
          <w:noProof/>
          <w:sz w:val="22"/>
        </w:rPr>
        <w:tab/>
      </w:r>
      <w:r w:rsidRPr="00F83346">
        <w:rPr>
          <w:noProof/>
        </w:rPr>
        <w:t>Podatki o ugotovljenih tveganjih in vzpostavljenih sistemih notranjih kontrol za njihovo zmanjševanje</w:t>
      </w:r>
      <w:r w:rsidRPr="00F83346">
        <w:rPr>
          <w:noProof/>
          <w:webHidden/>
        </w:rPr>
        <w:tab/>
        <w:t>8</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2.2.3</w:t>
      </w:r>
      <w:r w:rsidRPr="00F83346">
        <w:rPr>
          <w:rFonts w:asciiTheme="minorHAnsi" w:hAnsiTheme="minorHAnsi"/>
          <w:noProof/>
          <w:sz w:val="22"/>
        </w:rPr>
        <w:tab/>
      </w:r>
      <w:r w:rsidRPr="00F83346">
        <w:rPr>
          <w:noProof/>
        </w:rPr>
        <w:t>Ocena in utemeljitev stroškovne učinkovitosti kontrol (razmerje med stroški kontrol in vrednostjo z njimi povezanih upravljanih sredstev) ter ocena pričakovane stopnje tveganja napake (ob plačilu in ob zaključku)</w:t>
      </w:r>
      <w:r w:rsidRPr="00F83346">
        <w:rPr>
          <w:noProof/>
          <w:webHidden/>
        </w:rPr>
        <w:tab/>
        <w:t>8</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2.3</w:t>
      </w:r>
      <w:r w:rsidRPr="00F83346">
        <w:rPr>
          <w:rFonts w:asciiTheme="minorHAnsi" w:hAnsiTheme="minorHAnsi"/>
          <w:noProof/>
          <w:sz w:val="22"/>
        </w:rPr>
        <w:tab/>
      </w:r>
      <w:r w:rsidRPr="00F83346">
        <w:rPr>
          <w:noProof/>
        </w:rPr>
        <w:t>Ukrepi za preprečevanje goljufij in nepravilnosti</w:t>
      </w:r>
      <w:r w:rsidRPr="00F83346">
        <w:rPr>
          <w:noProof/>
          <w:webHidden/>
        </w:rPr>
        <w:tab/>
        <w:t>9</w:t>
      </w:r>
    </w:p>
    <w:p w:rsidR="0045691F" w:rsidRPr="00F83346" w:rsidRDefault="0045691F">
      <w:pPr>
        <w:pStyle w:val="TOC1"/>
        <w:rPr>
          <w:rFonts w:asciiTheme="minorHAnsi" w:eastAsiaTheme="minorEastAsia" w:hAnsiTheme="minorHAnsi" w:cstheme="minorBidi"/>
          <w:noProof/>
          <w:kern w:val="2"/>
          <w:sz w:val="22"/>
          <w14:ligatures w14:val="standardContextual"/>
        </w:rPr>
      </w:pPr>
      <w:r w:rsidRPr="00F83346">
        <w:rPr>
          <w:noProof/>
        </w:rPr>
        <w:t>3.</w:t>
      </w:r>
      <w:r w:rsidRPr="00F83346">
        <w:rPr>
          <w:rFonts w:asciiTheme="minorHAnsi" w:hAnsiTheme="minorHAnsi"/>
          <w:noProof/>
          <w:sz w:val="22"/>
        </w:rPr>
        <w:tab/>
      </w:r>
      <w:r w:rsidRPr="00F83346">
        <w:rPr>
          <w:noProof/>
        </w:rPr>
        <w:t>OCENA FINANČNIH POSLEDIC PREDLOGA/POBUDE</w:t>
      </w:r>
      <w:r w:rsidRPr="00F83346">
        <w:rPr>
          <w:noProof/>
          <w:webHidden/>
        </w:rPr>
        <w:tab/>
        <w:t>10</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3.1</w:t>
      </w:r>
      <w:r w:rsidRPr="00F83346">
        <w:rPr>
          <w:rFonts w:asciiTheme="minorHAnsi" w:hAnsiTheme="minorHAnsi"/>
          <w:noProof/>
          <w:sz w:val="22"/>
        </w:rPr>
        <w:tab/>
      </w:r>
      <w:r w:rsidRPr="00F83346">
        <w:rPr>
          <w:noProof/>
        </w:rPr>
        <w:t>Zadevni razdelki večletnega finančnega okvira in odhodkovne proračunske vrstice</w:t>
      </w:r>
      <w:r w:rsidRPr="00F83346">
        <w:rPr>
          <w:noProof/>
          <w:webHidden/>
        </w:rPr>
        <w:tab/>
        <w:t>10</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3.2</w:t>
      </w:r>
      <w:r w:rsidRPr="00F83346">
        <w:rPr>
          <w:rFonts w:asciiTheme="minorHAnsi" w:hAnsiTheme="minorHAnsi"/>
          <w:noProof/>
          <w:sz w:val="22"/>
        </w:rPr>
        <w:tab/>
      </w:r>
      <w:r w:rsidRPr="00F83346">
        <w:rPr>
          <w:noProof/>
        </w:rPr>
        <w:t>Ocenjene finančne posledice predloga za odobritve</w:t>
      </w:r>
      <w:r w:rsidRPr="00F83346">
        <w:rPr>
          <w:noProof/>
          <w:webHidden/>
        </w:rPr>
        <w:tab/>
        <w:t>12</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3.2.1</w:t>
      </w:r>
      <w:r w:rsidRPr="00F83346">
        <w:rPr>
          <w:rFonts w:asciiTheme="minorHAnsi" w:hAnsiTheme="minorHAnsi"/>
          <w:noProof/>
          <w:sz w:val="22"/>
        </w:rPr>
        <w:tab/>
      </w:r>
      <w:r w:rsidRPr="00F83346">
        <w:rPr>
          <w:noProof/>
        </w:rPr>
        <w:t>Povzetek ocenjenih posledic za odobritve za poslovanje</w:t>
      </w:r>
      <w:r w:rsidRPr="00F83346">
        <w:rPr>
          <w:noProof/>
          <w:webHidden/>
        </w:rPr>
        <w:tab/>
        <w:t>12</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3.2.1.1</w:t>
      </w:r>
      <w:r w:rsidRPr="00F83346">
        <w:rPr>
          <w:rFonts w:asciiTheme="minorHAnsi" w:hAnsiTheme="minorHAnsi"/>
          <w:noProof/>
          <w:sz w:val="22"/>
        </w:rPr>
        <w:tab/>
      </w:r>
      <w:r w:rsidRPr="00F83346">
        <w:rPr>
          <w:noProof/>
        </w:rPr>
        <w:t>Odobritve iz izglasovanega proračuna</w:t>
      </w:r>
      <w:r w:rsidRPr="00F83346">
        <w:rPr>
          <w:noProof/>
          <w:webHidden/>
        </w:rPr>
        <w:tab/>
        <w:t>12</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3.2.1.2</w:t>
      </w:r>
      <w:r w:rsidRPr="00F83346">
        <w:rPr>
          <w:rFonts w:asciiTheme="minorHAnsi" w:hAnsiTheme="minorHAnsi"/>
          <w:noProof/>
          <w:sz w:val="22"/>
        </w:rPr>
        <w:tab/>
      </w:r>
      <w:r w:rsidRPr="00F83346">
        <w:rPr>
          <w:noProof/>
        </w:rPr>
        <w:t>Odobritve iz zunanjih namenskih prejemkov</w:t>
      </w:r>
      <w:r w:rsidRPr="00F83346">
        <w:rPr>
          <w:noProof/>
          <w:webHidden/>
        </w:rPr>
        <w:tab/>
        <w:t>17</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3.2.2</w:t>
      </w:r>
      <w:r w:rsidRPr="00F83346">
        <w:rPr>
          <w:rFonts w:asciiTheme="minorHAnsi" w:hAnsiTheme="minorHAnsi"/>
          <w:noProof/>
          <w:sz w:val="22"/>
        </w:rPr>
        <w:tab/>
      </w:r>
      <w:r w:rsidRPr="00F83346">
        <w:rPr>
          <w:noProof/>
        </w:rPr>
        <w:t>Ocenjene realizacije, financirane iz odobritev za poslovanje</w:t>
      </w:r>
      <w:r w:rsidRPr="00F83346">
        <w:rPr>
          <w:noProof/>
          <w:webHidden/>
        </w:rPr>
        <w:tab/>
        <w:t>22</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3.2.3</w:t>
      </w:r>
      <w:r w:rsidRPr="00F83346">
        <w:rPr>
          <w:rFonts w:asciiTheme="minorHAnsi" w:hAnsiTheme="minorHAnsi"/>
          <w:noProof/>
          <w:sz w:val="22"/>
        </w:rPr>
        <w:tab/>
      </w:r>
      <w:r w:rsidRPr="00F83346">
        <w:rPr>
          <w:noProof/>
        </w:rPr>
        <w:t>Povzetek ocenjenih posledic za upravne odobritve</w:t>
      </w:r>
      <w:r w:rsidRPr="00F83346">
        <w:rPr>
          <w:noProof/>
          <w:webHidden/>
        </w:rPr>
        <w:tab/>
        <w:t>24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3.2.3.1 Odobritve iz izglasovanega proračuna</w:t>
      </w:r>
      <w:r w:rsidRPr="00F83346">
        <w:rPr>
          <w:noProof/>
          <w:webHidden/>
        </w:rPr>
        <w:tab/>
        <w:t>24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3.2.3.2</w:t>
      </w:r>
      <w:r w:rsidRPr="00F83346">
        <w:rPr>
          <w:rFonts w:asciiTheme="minorHAnsi" w:hAnsiTheme="minorHAnsi"/>
          <w:noProof/>
          <w:sz w:val="22"/>
        </w:rPr>
        <w:tab/>
      </w:r>
      <w:r w:rsidRPr="00F83346">
        <w:rPr>
          <w:noProof/>
        </w:rPr>
        <w:t>Odobritve iz zunanjih namenskih prejemkov</w:t>
      </w:r>
      <w:r w:rsidRPr="00F83346">
        <w:rPr>
          <w:noProof/>
          <w:webHidden/>
        </w:rPr>
        <w:tab/>
        <w:t>24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3.2.3.3</w:t>
      </w:r>
      <w:r w:rsidRPr="00F83346">
        <w:rPr>
          <w:rFonts w:asciiTheme="minorHAnsi" w:hAnsiTheme="minorHAnsi"/>
          <w:noProof/>
          <w:sz w:val="22"/>
        </w:rPr>
        <w:tab/>
      </w:r>
      <w:r w:rsidRPr="00F83346">
        <w:rPr>
          <w:noProof/>
        </w:rPr>
        <w:t>Odobritve skupaj</w:t>
      </w:r>
      <w:r w:rsidRPr="00F83346">
        <w:rPr>
          <w:noProof/>
          <w:webHidden/>
        </w:rPr>
        <w:tab/>
        <w:t>24</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3.2.4</w:t>
      </w:r>
      <w:r w:rsidRPr="00F83346">
        <w:rPr>
          <w:rFonts w:asciiTheme="minorHAnsi" w:hAnsiTheme="minorHAnsi"/>
          <w:noProof/>
          <w:sz w:val="22"/>
        </w:rPr>
        <w:tab/>
      </w:r>
      <w:r w:rsidRPr="00F83346">
        <w:rPr>
          <w:noProof/>
        </w:rPr>
        <w:t>Ocenjene potrebe po človeških virih</w:t>
      </w:r>
      <w:r w:rsidRPr="00F83346">
        <w:rPr>
          <w:noProof/>
          <w:webHidden/>
        </w:rPr>
        <w:tab/>
        <w:t>25</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3.2.4.1</w:t>
      </w:r>
      <w:r w:rsidRPr="00F83346">
        <w:rPr>
          <w:rFonts w:asciiTheme="minorHAnsi" w:hAnsiTheme="minorHAnsi"/>
          <w:noProof/>
          <w:sz w:val="22"/>
        </w:rPr>
        <w:tab/>
      </w:r>
      <w:r w:rsidRPr="00F83346">
        <w:rPr>
          <w:noProof/>
        </w:rPr>
        <w:t>Financirano iz izglasovanega proračuna</w:t>
      </w:r>
      <w:r w:rsidRPr="00F83346">
        <w:rPr>
          <w:noProof/>
          <w:webHidden/>
        </w:rPr>
        <w:tab/>
        <w:t>25</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3.2.4.2</w:t>
      </w:r>
      <w:r w:rsidRPr="00F83346">
        <w:rPr>
          <w:rFonts w:asciiTheme="minorHAnsi" w:hAnsiTheme="minorHAnsi"/>
          <w:noProof/>
          <w:sz w:val="22"/>
        </w:rPr>
        <w:tab/>
      </w:r>
      <w:r w:rsidRPr="00F83346">
        <w:rPr>
          <w:noProof/>
        </w:rPr>
        <w:t>Financirano iz zunanjih namenskih prejemkov</w:t>
      </w:r>
      <w:r w:rsidRPr="00F83346">
        <w:rPr>
          <w:noProof/>
          <w:webHidden/>
        </w:rPr>
        <w:tab/>
        <w:t>26</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3.2.4.3</w:t>
      </w:r>
      <w:r w:rsidRPr="00F83346">
        <w:rPr>
          <w:rFonts w:asciiTheme="minorHAnsi" w:hAnsiTheme="minorHAnsi"/>
          <w:noProof/>
          <w:sz w:val="22"/>
        </w:rPr>
        <w:tab/>
      </w:r>
      <w:r w:rsidRPr="00F83346">
        <w:rPr>
          <w:noProof/>
        </w:rPr>
        <w:t>Potrebe po človeških virih skupaj</w:t>
      </w:r>
      <w:r w:rsidRPr="00F83346">
        <w:rPr>
          <w:noProof/>
          <w:webHidden/>
        </w:rPr>
        <w:tab/>
        <w:t>26</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3.2.5</w:t>
      </w:r>
      <w:r w:rsidRPr="00F83346">
        <w:rPr>
          <w:rFonts w:asciiTheme="minorHAnsi" w:hAnsiTheme="minorHAnsi"/>
          <w:noProof/>
          <w:sz w:val="22"/>
        </w:rPr>
        <w:tab/>
      </w:r>
      <w:r w:rsidRPr="00F83346">
        <w:rPr>
          <w:noProof/>
        </w:rPr>
        <w:t>Pregled ocenjenih posledic za naložbe, povezane z digitalnimi tehnologijami</w:t>
      </w:r>
      <w:r w:rsidRPr="00F83346">
        <w:rPr>
          <w:noProof/>
          <w:webHidden/>
        </w:rPr>
        <w:tab/>
        <w:t>28</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3.2.6</w:t>
      </w:r>
      <w:r w:rsidRPr="00F83346">
        <w:rPr>
          <w:rFonts w:asciiTheme="minorHAnsi" w:hAnsiTheme="minorHAnsi"/>
          <w:noProof/>
          <w:sz w:val="22"/>
        </w:rPr>
        <w:tab/>
      </w:r>
      <w:r w:rsidRPr="00F83346">
        <w:rPr>
          <w:noProof/>
        </w:rPr>
        <w:t>Skladnost z veljavnim večletnim finančnim okvirom</w:t>
      </w:r>
      <w:r w:rsidRPr="00F83346">
        <w:rPr>
          <w:noProof/>
          <w:webHidden/>
        </w:rPr>
        <w:tab/>
        <w:t>28</w:t>
      </w:r>
    </w:p>
    <w:p w:rsidR="0045691F" w:rsidRPr="00F83346" w:rsidRDefault="0045691F">
      <w:pPr>
        <w:pStyle w:val="TOC3"/>
        <w:rPr>
          <w:rFonts w:asciiTheme="minorHAnsi" w:eastAsiaTheme="minorEastAsia" w:hAnsiTheme="minorHAnsi" w:cstheme="minorBidi"/>
          <w:noProof/>
          <w:kern w:val="2"/>
          <w:sz w:val="22"/>
          <w14:ligatures w14:val="standardContextual"/>
        </w:rPr>
      </w:pPr>
      <w:r w:rsidRPr="00F83346">
        <w:rPr>
          <w:noProof/>
        </w:rPr>
        <w:t>3.2.7</w:t>
      </w:r>
      <w:r w:rsidRPr="00F83346">
        <w:rPr>
          <w:rFonts w:asciiTheme="minorHAnsi" w:hAnsiTheme="minorHAnsi"/>
          <w:noProof/>
          <w:sz w:val="22"/>
        </w:rPr>
        <w:tab/>
      </w:r>
      <w:r w:rsidRPr="00F83346">
        <w:rPr>
          <w:noProof/>
        </w:rPr>
        <w:t>Udeležba tretjih oseb pri financiranju</w:t>
      </w:r>
      <w:r w:rsidRPr="00F83346">
        <w:rPr>
          <w:noProof/>
          <w:webHidden/>
        </w:rPr>
        <w:tab/>
        <w:t>28</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3.3</w:t>
      </w:r>
      <w:r w:rsidRPr="00F83346">
        <w:rPr>
          <w:rFonts w:asciiTheme="minorHAnsi" w:hAnsiTheme="minorHAnsi"/>
          <w:noProof/>
          <w:sz w:val="22"/>
        </w:rPr>
        <w:tab/>
      </w:r>
      <w:r w:rsidRPr="00F83346">
        <w:rPr>
          <w:noProof/>
        </w:rPr>
        <w:t>Ocenjene posledice za prihodke</w:t>
      </w:r>
      <w:r w:rsidRPr="00F83346">
        <w:rPr>
          <w:noProof/>
          <w:webHidden/>
        </w:rPr>
        <w:tab/>
        <w:t>29</w:t>
      </w:r>
    </w:p>
    <w:p w:rsidR="0045691F" w:rsidRPr="00F83346" w:rsidRDefault="0045691F">
      <w:pPr>
        <w:pStyle w:val="TOC1"/>
        <w:rPr>
          <w:rFonts w:asciiTheme="minorHAnsi" w:eastAsiaTheme="minorEastAsia" w:hAnsiTheme="minorHAnsi" w:cstheme="minorBidi"/>
          <w:noProof/>
          <w:kern w:val="2"/>
          <w:sz w:val="22"/>
          <w14:ligatures w14:val="standardContextual"/>
        </w:rPr>
      </w:pPr>
      <w:r w:rsidRPr="00F83346">
        <w:rPr>
          <w:noProof/>
        </w:rPr>
        <w:t>4.</w:t>
      </w:r>
      <w:r w:rsidRPr="00F83346">
        <w:rPr>
          <w:rFonts w:asciiTheme="minorHAnsi" w:hAnsiTheme="minorHAnsi"/>
          <w:noProof/>
          <w:sz w:val="22"/>
        </w:rPr>
        <w:tab/>
      </w:r>
      <w:r w:rsidRPr="00F83346">
        <w:rPr>
          <w:caps/>
          <w:noProof/>
        </w:rPr>
        <w:t>Digitalne razsežnosti</w:t>
      </w:r>
      <w:r w:rsidRPr="00F83346">
        <w:rPr>
          <w:noProof/>
          <w:webHidden/>
        </w:rPr>
        <w:tab/>
        <w:t>29</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4.1</w:t>
      </w:r>
      <w:r w:rsidRPr="00F83346">
        <w:rPr>
          <w:rFonts w:asciiTheme="minorHAnsi" w:hAnsiTheme="minorHAnsi"/>
          <w:noProof/>
          <w:sz w:val="22"/>
        </w:rPr>
        <w:tab/>
      </w:r>
      <w:r w:rsidRPr="00F83346">
        <w:rPr>
          <w:noProof/>
        </w:rPr>
        <w:t>Zahteve digitalnega pomena</w:t>
      </w:r>
      <w:r w:rsidRPr="00F83346">
        <w:rPr>
          <w:noProof/>
          <w:webHidden/>
        </w:rPr>
        <w:tab/>
        <w:t>30</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4.2</w:t>
      </w:r>
      <w:r w:rsidRPr="00F83346">
        <w:rPr>
          <w:rFonts w:asciiTheme="minorHAnsi" w:hAnsiTheme="minorHAnsi"/>
          <w:noProof/>
          <w:sz w:val="22"/>
        </w:rPr>
        <w:tab/>
      </w:r>
      <w:r w:rsidRPr="00F83346">
        <w:rPr>
          <w:noProof/>
        </w:rPr>
        <w:t>Podatki</w:t>
      </w:r>
      <w:r w:rsidRPr="00F83346">
        <w:rPr>
          <w:noProof/>
          <w:webHidden/>
        </w:rPr>
        <w:tab/>
        <w:t>30</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4.3</w:t>
      </w:r>
      <w:r w:rsidRPr="00F83346">
        <w:rPr>
          <w:rFonts w:asciiTheme="minorHAnsi" w:hAnsiTheme="minorHAnsi"/>
          <w:noProof/>
          <w:sz w:val="22"/>
        </w:rPr>
        <w:tab/>
      </w:r>
      <w:r w:rsidRPr="00F83346">
        <w:rPr>
          <w:noProof/>
        </w:rPr>
        <w:t>Digitalne rešitve</w:t>
      </w:r>
      <w:r w:rsidRPr="00F83346">
        <w:rPr>
          <w:noProof/>
          <w:webHidden/>
        </w:rPr>
        <w:tab/>
        <w:t>31</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4.4</w:t>
      </w:r>
      <w:r w:rsidRPr="00F83346">
        <w:rPr>
          <w:rFonts w:asciiTheme="minorHAnsi" w:hAnsiTheme="minorHAnsi"/>
          <w:noProof/>
          <w:sz w:val="22"/>
        </w:rPr>
        <w:tab/>
      </w:r>
      <w:r w:rsidRPr="00F83346">
        <w:rPr>
          <w:noProof/>
        </w:rPr>
        <w:t>Ocena interoperabilnosti</w:t>
      </w:r>
      <w:r w:rsidRPr="00F83346">
        <w:rPr>
          <w:noProof/>
          <w:webHidden/>
        </w:rPr>
        <w:tab/>
        <w:t>31</w:t>
      </w:r>
    </w:p>
    <w:p w:rsidR="0045691F" w:rsidRPr="00F83346" w:rsidRDefault="0045691F">
      <w:pPr>
        <w:pStyle w:val="TOC2"/>
        <w:rPr>
          <w:rFonts w:asciiTheme="minorHAnsi" w:eastAsiaTheme="minorEastAsia" w:hAnsiTheme="minorHAnsi" w:cstheme="minorBidi"/>
          <w:noProof/>
          <w:kern w:val="2"/>
          <w:sz w:val="22"/>
          <w14:ligatures w14:val="standardContextual"/>
        </w:rPr>
      </w:pPr>
      <w:r w:rsidRPr="00F83346">
        <w:rPr>
          <w:noProof/>
        </w:rPr>
        <w:t>4.5</w:t>
      </w:r>
      <w:r w:rsidRPr="00F83346">
        <w:rPr>
          <w:rFonts w:asciiTheme="minorHAnsi" w:hAnsiTheme="minorHAnsi"/>
          <w:noProof/>
          <w:sz w:val="22"/>
        </w:rPr>
        <w:tab/>
      </w:r>
      <w:r w:rsidRPr="00F83346">
        <w:rPr>
          <w:noProof/>
        </w:rPr>
        <w:t>Ukrepi v podporo digitalnemu izvajanju</w:t>
      </w:r>
      <w:r w:rsidRPr="00F83346">
        <w:rPr>
          <w:noProof/>
          <w:webHidden/>
        </w:rPr>
        <w:tab/>
        <w:t>32</w:t>
      </w:r>
    </w:p>
    <w:p w:rsidR="0045691F" w:rsidRPr="00F83346" w:rsidRDefault="0045691F" w:rsidP="00946A2B">
      <w:pPr>
        <w:pStyle w:val="TOC1"/>
        <w:rPr>
          <w:noProof/>
        </w:rPr>
        <w:sectPr w:rsidR="0045691F" w:rsidRPr="00F83346" w:rsidSect="00F82B96">
          <w:pgSz w:w="11907" w:h="16840" w:code="9"/>
          <w:pgMar w:top="1134" w:right="1418" w:bottom="1134" w:left="1418" w:header="709" w:footer="709" w:gutter="0"/>
          <w:cols w:space="720"/>
          <w:docGrid w:linePitch="360"/>
        </w:sectPr>
      </w:pPr>
    </w:p>
    <w:p w:rsidR="0045691F" w:rsidRPr="00F83346" w:rsidRDefault="0045691F">
      <w:pPr>
        <w:pStyle w:val="ManualHeading1"/>
        <w:rPr>
          <w:noProof/>
        </w:rPr>
      </w:pPr>
      <w:bookmarkStart w:id="2" w:name="_Toc514938007"/>
      <w:bookmarkStart w:id="3" w:name="_Toc520485025"/>
      <w:bookmarkStart w:id="4" w:name="_Toc160804567"/>
      <w:bookmarkStart w:id="5" w:name="_Toc167220259"/>
      <w:bookmarkStart w:id="6" w:name="_Toc177548992"/>
      <w:r w:rsidRPr="00F83346">
        <w:rPr>
          <w:noProof/>
        </w:rPr>
        <w:t>1.</w:t>
      </w:r>
      <w:r w:rsidRPr="00F83346">
        <w:rPr>
          <w:noProof/>
        </w:rPr>
        <w:tab/>
        <w:t>OKVIR PREDLOGA/POBUDE</w:t>
      </w:r>
      <w:bookmarkEnd w:id="2"/>
      <w:bookmarkEnd w:id="3"/>
      <w:bookmarkEnd w:id="4"/>
      <w:bookmarkEnd w:id="5"/>
      <w:bookmarkEnd w:id="6"/>
    </w:p>
    <w:p w:rsidR="0045691F" w:rsidRPr="00F83346" w:rsidRDefault="0045691F">
      <w:pPr>
        <w:pStyle w:val="ManualHeading2"/>
        <w:rPr>
          <w:noProof/>
        </w:rPr>
      </w:pPr>
      <w:bookmarkStart w:id="7" w:name="_Toc514938008"/>
      <w:bookmarkStart w:id="8" w:name="_Toc520485026"/>
      <w:bookmarkStart w:id="9" w:name="_Toc160804568"/>
      <w:bookmarkStart w:id="10" w:name="_Toc167220260"/>
      <w:bookmarkStart w:id="11" w:name="_Toc177548993"/>
      <w:r w:rsidRPr="00F83346">
        <w:rPr>
          <w:noProof/>
        </w:rPr>
        <w:t>1.1</w:t>
      </w:r>
      <w:r w:rsidRPr="00F83346">
        <w:rPr>
          <w:noProof/>
        </w:rPr>
        <w:tab/>
        <w:t>Naslov predloga/pobude</w:t>
      </w:r>
      <w:bookmarkEnd w:id="7"/>
      <w:bookmarkEnd w:id="8"/>
      <w:bookmarkEnd w:id="9"/>
      <w:bookmarkEnd w:id="10"/>
      <w:bookmarkEnd w:id="11"/>
    </w:p>
    <w:p w:rsidR="0045691F" w:rsidRPr="00F83346" w:rsidRDefault="00871D94"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Predlog uredbe Evropskega parlamenta in Sveta o spremembi Uredbe (EU) št. 575/2013 o bonitetnih zahtevah za kreditne institucije v zvezi z zahtevami za posle financiranja z vrednostnimi papirji glede količnika neto stabilnega financiranja.</w:t>
      </w:r>
    </w:p>
    <w:p w:rsidR="0045691F" w:rsidRPr="00F83346" w:rsidRDefault="0045691F">
      <w:pPr>
        <w:pStyle w:val="ManualHeading2"/>
        <w:rPr>
          <w:i/>
          <w:noProof/>
        </w:rPr>
      </w:pPr>
      <w:bookmarkStart w:id="12" w:name="_Toc514938011"/>
      <w:bookmarkStart w:id="13" w:name="_Toc520485027"/>
      <w:bookmarkStart w:id="14" w:name="_Toc160804569"/>
      <w:bookmarkStart w:id="15" w:name="_Toc167220261"/>
      <w:bookmarkStart w:id="16" w:name="_Toc177548994"/>
      <w:r w:rsidRPr="00F83346">
        <w:rPr>
          <w:noProof/>
        </w:rPr>
        <w:t>1.2</w:t>
      </w:r>
      <w:r w:rsidRPr="00F83346">
        <w:rPr>
          <w:noProof/>
        </w:rPr>
        <w:tab/>
        <w:t>Zadevna področja</w:t>
      </w:r>
      <w:bookmarkEnd w:id="12"/>
      <w:bookmarkEnd w:id="13"/>
      <w:bookmarkEnd w:id="14"/>
      <w:bookmarkEnd w:id="15"/>
      <w:bookmarkEnd w:id="16"/>
    </w:p>
    <w:p w:rsidR="0045691F" w:rsidRPr="00F83346" w:rsidRDefault="00871D94"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Finančna stabilnost in finančne storitve.</w:t>
      </w:r>
    </w:p>
    <w:p w:rsidR="0045691F" w:rsidRPr="00F83346" w:rsidRDefault="0045691F">
      <w:pPr>
        <w:pStyle w:val="ManualHeading2"/>
        <w:rPr>
          <w:noProof/>
        </w:rPr>
      </w:pPr>
      <w:bookmarkStart w:id="17" w:name="_Toc514938015"/>
      <w:bookmarkStart w:id="18" w:name="_Toc520485029"/>
      <w:bookmarkStart w:id="19" w:name="_Toc160804571"/>
      <w:bookmarkStart w:id="20" w:name="_Toc167220263"/>
      <w:bookmarkStart w:id="21" w:name="_Toc177548995"/>
      <w:r w:rsidRPr="00F83346">
        <w:rPr>
          <w:noProof/>
        </w:rPr>
        <w:t>1.3</w:t>
      </w:r>
      <w:r w:rsidRPr="00F83346">
        <w:rPr>
          <w:noProof/>
        </w:rPr>
        <w:tab/>
        <w:t>Cilji</w:t>
      </w:r>
      <w:bookmarkEnd w:id="17"/>
      <w:bookmarkEnd w:id="18"/>
      <w:bookmarkEnd w:id="19"/>
      <w:bookmarkEnd w:id="20"/>
      <w:bookmarkEnd w:id="21"/>
    </w:p>
    <w:p w:rsidR="0045691F" w:rsidRPr="00F83346" w:rsidRDefault="0045691F">
      <w:pPr>
        <w:pStyle w:val="ManualHeading3"/>
        <w:rPr>
          <w:noProof/>
        </w:rPr>
      </w:pPr>
      <w:bookmarkStart w:id="22" w:name="_Toc514938016"/>
      <w:bookmarkStart w:id="23" w:name="_Toc520485030"/>
      <w:bookmarkStart w:id="24" w:name="_Toc160804572"/>
      <w:bookmarkStart w:id="25" w:name="_Toc167220264"/>
      <w:bookmarkStart w:id="26" w:name="_Toc177548996"/>
      <w:r w:rsidRPr="00F83346">
        <w:rPr>
          <w:noProof/>
        </w:rPr>
        <w:t>1.3.1</w:t>
      </w:r>
      <w:r w:rsidRPr="00F83346">
        <w:rPr>
          <w:noProof/>
        </w:rPr>
        <w:tab/>
        <w:t>Splošni cilji</w:t>
      </w:r>
      <w:bookmarkEnd w:id="22"/>
      <w:bookmarkEnd w:id="23"/>
      <w:bookmarkEnd w:id="24"/>
      <w:bookmarkEnd w:id="25"/>
      <w:bookmarkEnd w:id="26"/>
    </w:p>
    <w:p w:rsidR="0045691F" w:rsidRPr="00F83346" w:rsidRDefault="005550A5"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Obstajata dva splošna cilja: (i) ohraniti zadostno in učinkovito delovanje trgov poslov financiranja z vrednostnimi papirji in trgov zavarovanj, zlasti trgov državnih dolžniških instrumentov, ter (ii) ohraniti enake konkurenčne pogoje na mednarodni ravni v skladu s cilji baselskih standardov.</w:t>
      </w:r>
    </w:p>
    <w:p w:rsidR="0045691F" w:rsidRPr="00F83346" w:rsidRDefault="0045691F">
      <w:pPr>
        <w:pStyle w:val="ManualHeading3"/>
        <w:rPr>
          <w:noProof/>
        </w:rPr>
      </w:pPr>
      <w:bookmarkStart w:id="27" w:name="_Toc514938018"/>
      <w:bookmarkStart w:id="28" w:name="_Toc520485031"/>
      <w:bookmarkStart w:id="29" w:name="_Toc160804573"/>
      <w:bookmarkStart w:id="30" w:name="_Toc167220265"/>
      <w:bookmarkStart w:id="31" w:name="_Toc177548997"/>
      <w:r w:rsidRPr="00F83346">
        <w:rPr>
          <w:noProof/>
        </w:rPr>
        <w:t>1.3.2</w:t>
      </w:r>
      <w:r w:rsidRPr="00F83346">
        <w:rPr>
          <w:noProof/>
        </w:rPr>
        <w:tab/>
        <w:t>Specifični cilji</w:t>
      </w:r>
      <w:bookmarkEnd w:id="27"/>
      <w:bookmarkEnd w:id="28"/>
      <w:bookmarkEnd w:id="29"/>
      <w:bookmarkEnd w:id="30"/>
      <w:bookmarkEnd w:id="31"/>
    </w:p>
    <w:p w:rsidR="0045691F" w:rsidRPr="00F83346" w:rsidRDefault="00827164"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S splošnima ciljema so povezani trije specifični cilji: (i) zagotoviti, da likvidnost in stroškovna struktura trgov poslov financiranja z vrednostnimi papirji in trgov zavarovanja s premoženjem ostaneta ustrezni; (ii) preprečiti neupravičeno povišanje stroškov financiranja za banke EU in države članice na trgih kratkoročnega financiranja ter (ii) zagotoviti skladnost obravnave potrebnega stabilnega financiranja v EU z drugimi velikimi jurisdikcijami.</w:t>
      </w:r>
    </w:p>
    <w:p w:rsidR="0045691F" w:rsidRPr="00F83346" w:rsidRDefault="0045691F">
      <w:pPr>
        <w:pStyle w:val="ManualHeading3"/>
        <w:rPr>
          <w:noProof/>
        </w:rPr>
      </w:pPr>
      <w:bookmarkStart w:id="32" w:name="_Toc514938019"/>
      <w:bookmarkStart w:id="33" w:name="_Toc520485032"/>
      <w:bookmarkStart w:id="34" w:name="_Toc160804574"/>
      <w:bookmarkStart w:id="35" w:name="_Toc167220266"/>
      <w:bookmarkStart w:id="36" w:name="_Toc177548998"/>
      <w:r w:rsidRPr="00F83346">
        <w:rPr>
          <w:noProof/>
        </w:rPr>
        <w:t>1.3.3</w:t>
      </w:r>
      <w:r w:rsidRPr="00F83346">
        <w:rPr>
          <w:noProof/>
        </w:rPr>
        <w:tab/>
        <w:t>Pričakovani rezultati in posledice</w:t>
      </w:r>
      <w:bookmarkEnd w:id="32"/>
      <w:bookmarkEnd w:id="33"/>
      <w:bookmarkEnd w:id="34"/>
      <w:bookmarkEnd w:id="35"/>
      <w:bookmarkEnd w:id="36"/>
    </w:p>
    <w:p w:rsidR="0045691F" w:rsidRPr="00F83346" w:rsidRDefault="0045691F">
      <w:pPr>
        <w:pStyle w:val="Text1"/>
        <w:rPr>
          <w:i/>
          <w:noProof/>
          <w:sz w:val="20"/>
        </w:rPr>
      </w:pPr>
      <w:r w:rsidRPr="00F83346">
        <w:rPr>
          <w:i/>
          <w:noProof/>
          <w:sz w:val="20"/>
        </w:rPr>
        <w:t>Navedite, kakšne učinke naj bi imel(-a) predlog/pobuda za upravičence/ciljne skupine.</w:t>
      </w:r>
    </w:p>
    <w:p w:rsidR="00CE0CB3" w:rsidRPr="00F83346" w:rsidRDefault="000A28C0" w:rsidP="04B73BB1">
      <w:pPr>
        <w:pStyle w:val="Text1"/>
        <w:pBdr>
          <w:top w:val="single" w:sz="4" w:space="1" w:color="auto"/>
          <w:left w:val="single" w:sz="4" w:space="4" w:color="auto"/>
          <w:bottom w:val="single" w:sz="4" w:space="1" w:color="auto"/>
          <w:right w:val="single" w:sz="4" w:space="4" w:color="auto"/>
        </w:pBdr>
        <w:rPr>
          <w:rFonts w:eastAsia="Times New Roman"/>
          <w:noProof/>
        </w:rPr>
      </w:pPr>
      <w:r w:rsidRPr="00F83346">
        <w:rPr>
          <w:noProof/>
        </w:rPr>
        <w:t>Predlog prispeva k: (i) zagotavljanju ustreznih likvidnostnih tokov med bankami in udeleženci na trgu prek zavarovanih poslov v EU; (ii) ohranjanju enakih mednarodnih konkurenčnih pogojev za banke EU ter (iii) stabilizaciji stroškov financiranja za banke EU in države članice.</w:t>
      </w:r>
    </w:p>
    <w:p w:rsidR="0045691F" w:rsidRPr="00F83346" w:rsidRDefault="0045691F">
      <w:pPr>
        <w:pStyle w:val="ManualHeading3"/>
        <w:rPr>
          <w:noProof/>
        </w:rPr>
      </w:pPr>
      <w:bookmarkStart w:id="37" w:name="_Toc514938023"/>
      <w:bookmarkStart w:id="38" w:name="_Toc520485033"/>
      <w:bookmarkStart w:id="39" w:name="_Toc160804575"/>
      <w:bookmarkStart w:id="40" w:name="_Toc167220267"/>
      <w:bookmarkStart w:id="41" w:name="_Toc177548999"/>
      <w:r w:rsidRPr="00F83346">
        <w:rPr>
          <w:noProof/>
        </w:rPr>
        <w:t>1.3.4</w:t>
      </w:r>
      <w:r w:rsidRPr="00F83346">
        <w:rPr>
          <w:noProof/>
        </w:rPr>
        <w:tab/>
        <w:t>Kazalniki smotrnosti</w:t>
      </w:r>
      <w:bookmarkEnd w:id="37"/>
      <w:bookmarkEnd w:id="38"/>
      <w:bookmarkEnd w:id="39"/>
      <w:bookmarkEnd w:id="40"/>
      <w:bookmarkEnd w:id="41"/>
    </w:p>
    <w:p w:rsidR="0045691F" w:rsidRPr="00F83346" w:rsidRDefault="0045691F">
      <w:pPr>
        <w:pStyle w:val="Text1"/>
        <w:rPr>
          <w:i/>
          <w:noProof/>
          <w:sz w:val="20"/>
        </w:rPr>
      </w:pPr>
      <w:r w:rsidRPr="00F83346">
        <w:rPr>
          <w:i/>
          <w:noProof/>
          <w:sz w:val="20"/>
        </w:rPr>
        <w:t>Navedite, s katerimi kazalniki se bodo spremljali napredek in dosežki.</w:t>
      </w:r>
    </w:p>
    <w:p w:rsidR="0045691F" w:rsidRPr="00F83346" w:rsidRDefault="00CE0CB3"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Komisija predlaga pooblastilo za Evropski bančni organ, da spremlja in pregleduje zlasti učinek predlaganega ukrepa na tržno likvidnost sredstev, prejetih kot zavarovanje s premoženjem v poslih financiranja z vrednostnimi papirji, ter vsakih pet let o tem poroča Komisiji.</w:t>
      </w:r>
    </w:p>
    <w:p w:rsidR="0045691F" w:rsidRPr="00F83346" w:rsidRDefault="0045691F">
      <w:pPr>
        <w:pStyle w:val="ManualHeading2"/>
        <w:rPr>
          <w:noProof/>
        </w:rPr>
      </w:pPr>
      <w:bookmarkStart w:id="42" w:name="_Toc177549000"/>
      <w:r w:rsidRPr="00F83346">
        <w:rPr>
          <w:noProof/>
        </w:rPr>
        <w:t>1.4</w:t>
      </w:r>
      <w:r w:rsidRPr="00F83346">
        <w:rPr>
          <w:noProof/>
        </w:rPr>
        <w:tab/>
        <w:t>Ukrep, na katerega se predlog/pobuda nanaša</w:t>
      </w:r>
      <w:bookmarkEnd w:id="42"/>
    </w:p>
    <w:p w:rsidR="0045691F" w:rsidRPr="00F83346" w:rsidRDefault="0045691F">
      <w:pPr>
        <w:pStyle w:val="Text1"/>
        <w:rPr>
          <w:noProof/>
          <w:sz w:val="22"/>
        </w:rPr>
      </w:pPr>
      <w:r w:rsidRPr="00F83346">
        <w:rPr>
          <w:rFonts w:ascii="Wingdings" w:hAnsi="Wingdings"/>
          <w:noProof/>
          <w:sz w:val="22"/>
        </w:rPr>
        <w:t></w:t>
      </w:r>
      <w:r w:rsidRPr="00F83346">
        <w:rPr>
          <w:i/>
          <w:noProof/>
          <w:sz w:val="22"/>
        </w:rPr>
        <w:t xml:space="preserve"> </w:t>
      </w:r>
      <w:r w:rsidRPr="00F83346">
        <w:rPr>
          <w:noProof/>
        </w:rPr>
        <w:t>Nov ukrep</w:t>
      </w:r>
    </w:p>
    <w:p w:rsidR="0045691F" w:rsidRPr="00F83346" w:rsidRDefault="0045691F">
      <w:pPr>
        <w:pStyle w:val="Text1"/>
        <w:rPr>
          <w:noProof/>
          <w:sz w:val="22"/>
        </w:rPr>
      </w:pPr>
      <w:r w:rsidRPr="00F83346">
        <w:rPr>
          <w:rFonts w:ascii="Wingdings" w:hAnsi="Wingdings"/>
          <w:noProof/>
          <w:sz w:val="22"/>
        </w:rPr>
        <w:t></w:t>
      </w:r>
      <w:r w:rsidRPr="00F83346">
        <w:rPr>
          <w:i/>
          <w:noProof/>
          <w:sz w:val="22"/>
        </w:rPr>
        <w:t xml:space="preserve"> </w:t>
      </w:r>
      <w:r w:rsidRPr="00F83346">
        <w:rPr>
          <w:noProof/>
        </w:rPr>
        <w:t>Nov ukrep na podlagi pilotnega projekta / pripravljalnega ukrepa</w:t>
      </w:r>
      <w:r w:rsidRPr="00F83346">
        <w:rPr>
          <w:rStyle w:val="FootnoteReference"/>
          <w:noProof/>
        </w:rPr>
        <w:footnoteReference w:id="17"/>
      </w:r>
    </w:p>
    <w:p w:rsidR="0045691F" w:rsidRPr="00F83346" w:rsidRDefault="00CE0CB3">
      <w:pPr>
        <w:pStyle w:val="Text1"/>
        <w:rPr>
          <w:noProof/>
          <w:sz w:val="22"/>
        </w:rPr>
      </w:pPr>
      <w:r w:rsidRPr="00F83346">
        <w:rPr>
          <w:rFonts w:ascii="Wingdings" w:hAnsi="Wingdings"/>
          <w:noProof/>
          <w:sz w:val="22"/>
        </w:rPr>
        <w:t></w:t>
      </w:r>
      <w:r w:rsidRPr="00F83346">
        <w:rPr>
          <w:i/>
          <w:noProof/>
          <w:sz w:val="22"/>
        </w:rPr>
        <w:t xml:space="preserve"> </w:t>
      </w:r>
      <w:r w:rsidRPr="00F83346">
        <w:rPr>
          <w:noProof/>
        </w:rPr>
        <w:t>Podaljšanje obstoječega ukrepa</w:t>
      </w:r>
    </w:p>
    <w:p w:rsidR="0045691F" w:rsidRPr="00F83346" w:rsidRDefault="0045691F">
      <w:pPr>
        <w:pStyle w:val="Text1"/>
        <w:rPr>
          <w:noProof/>
        </w:rPr>
      </w:pPr>
      <w:r w:rsidRPr="00F83346">
        <w:rPr>
          <w:rFonts w:ascii="Wingdings" w:hAnsi="Wingdings"/>
          <w:noProof/>
          <w:sz w:val="22"/>
        </w:rPr>
        <w:t></w:t>
      </w:r>
      <w:r w:rsidRPr="00F83346">
        <w:rPr>
          <w:i/>
          <w:noProof/>
          <w:sz w:val="22"/>
        </w:rPr>
        <w:t xml:space="preserve"> </w:t>
      </w:r>
      <w:r w:rsidRPr="00F83346">
        <w:rPr>
          <w:noProof/>
        </w:rPr>
        <w:t>Združitev ali preusmeritev enega ali več ukrepov v drug/nov ukrep</w:t>
      </w:r>
    </w:p>
    <w:p w:rsidR="0045691F" w:rsidRPr="00F83346" w:rsidRDefault="0045691F">
      <w:pPr>
        <w:pStyle w:val="ManualHeading2"/>
        <w:rPr>
          <w:bCs/>
          <w:noProof/>
          <w:szCs w:val="24"/>
        </w:rPr>
      </w:pPr>
      <w:bookmarkStart w:id="43" w:name="_Toc514938025"/>
      <w:bookmarkStart w:id="44" w:name="_Toc520485034"/>
      <w:bookmarkStart w:id="45" w:name="_Toc160804576"/>
      <w:bookmarkStart w:id="46" w:name="_Toc167220268"/>
      <w:bookmarkStart w:id="47" w:name="_Toc177549001"/>
      <w:r w:rsidRPr="00F83346">
        <w:rPr>
          <w:noProof/>
        </w:rPr>
        <w:t>1.5</w:t>
      </w:r>
      <w:r w:rsidRPr="00F83346">
        <w:rPr>
          <w:noProof/>
        </w:rPr>
        <w:tab/>
        <w:t>Utemeljitev predloga/pobude</w:t>
      </w:r>
      <w:bookmarkEnd w:id="43"/>
      <w:bookmarkEnd w:id="44"/>
      <w:bookmarkEnd w:id="45"/>
      <w:bookmarkEnd w:id="46"/>
      <w:bookmarkEnd w:id="47"/>
    </w:p>
    <w:p w:rsidR="0045691F" w:rsidRPr="00F83346" w:rsidRDefault="0045691F">
      <w:pPr>
        <w:pStyle w:val="ManualHeading3"/>
        <w:rPr>
          <w:noProof/>
        </w:rPr>
      </w:pPr>
      <w:bookmarkStart w:id="48" w:name="_Toc514938026"/>
      <w:bookmarkStart w:id="49" w:name="_Toc520485035"/>
      <w:bookmarkStart w:id="50" w:name="_Toc160804577"/>
      <w:bookmarkStart w:id="51" w:name="_Toc167220269"/>
      <w:bookmarkStart w:id="52" w:name="_Toc177549002"/>
      <w:r w:rsidRPr="00F83346">
        <w:rPr>
          <w:noProof/>
        </w:rPr>
        <w:t>1.5.1</w:t>
      </w:r>
      <w:r w:rsidRPr="00F83346">
        <w:rPr>
          <w:noProof/>
        </w:rPr>
        <w:tab/>
        <w:t>Potrebe, ki jih je treba zadovoljiti kratkoročno ali dolgoročno, vključno s podrobno časovnico za uvajanje ustreznih ukrepov za izvajanje pobude</w:t>
      </w:r>
      <w:bookmarkEnd w:id="48"/>
      <w:bookmarkEnd w:id="49"/>
      <w:bookmarkEnd w:id="50"/>
      <w:bookmarkEnd w:id="51"/>
      <w:bookmarkEnd w:id="52"/>
    </w:p>
    <w:p w:rsidR="0045691F" w:rsidRPr="00F83346" w:rsidRDefault="00455556" w:rsidP="04B73BB1">
      <w:pPr>
        <w:pStyle w:val="Text1"/>
        <w:pBdr>
          <w:top w:val="single" w:sz="4" w:space="1" w:color="auto"/>
          <w:left w:val="single" w:sz="4" w:space="4" w:color="auto"/>
          <w:bottom w:val="single" w:sz="4" w:space="1" w:color="auto"/>
          <w:right w:val="single" w:sz="4" w:space="4" w:color="auto"/>
        </w:pBdr>
        <w:rPr>
          <w:noProof/>
        </w:rPr>
      </w:pPr>
      <w:r w:rsidRPr="00F83346">
        <w:rPr>
          <w:noProof/>
        </w:rPr>
        <w:t>V pobudi se predlaga, da bi sedanja obravnava poslov financiranja z vrednostnimi papirji in nezavarovanih poslov s finančnimi strankami s preostalo zapadlostjo manj kot šest mesecev postala trajna. Sedanja obravnava naj bi se prenehala 28. junija 2025. Zato bankam EU ne nalaga novih zahtev. Predlagani ukrep bi se moral začeti uporabljati čim bližje 28. juniju 2025.</w:t>
      </w:r>
      <w:bookmarkStart w:id="53" w:name="_Hlk188949837"/>
      <w:bookmarkEnd w:id="53"/>
    </w:p>
    <w:p w:rsidR="0045691F" w:rsidRPr="00F83346" w:rsidRDefault="0045691F" w:rsidP="04B73BB1">
      <w:pPr>
        <w:pStyle w:val="ManualHeading3"/>
        <w:rPr>
          <w:noProof/>
        </w:rPr>
      </w:pPr>
      <w:bookmarkStart w:id="54" w:name="_Toc514938029"/>
      <w:bookmarkStart w:id="55" w:name="_Toc520485036"/>
      <w:bookmarkStart w:id="56" w:name="_Toc160804578"/>
      <w:bookmarkStart w:id="57" w:name="_Toc167220270"/>
      <w:bookmarkStart w:id="58" w:name="_Toc177549003"/>
      <w:r w:rsidRPr="00F83346">
        <w:rPr>
          <w:noProof/>
        </w:rPr>
        <w:t>1.5.2</w:t>
      </w:r>
      <w:r w:rsidRPr="00F83346">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bookmarkEnd w:id="54"/>
      <w:bookmarkEnd w:id="55"/>
      <w:bookmarkEnd w:id="56"/>
      <w:bookmarkEnd w:id="57"/>
      <w:bookmarkEnd w:id="58"/>
    </w:p>
    <w:p w:rsidR="00CE0CB3" w:rsidRPr="00F83346" w:rsidRDefault="0045691F" w:rsidP="04B73BB1">
      <w:pPr>
        <w:pStyle w:val="Text1"/>
        <w:pBdr>
          <w:top w:val="single" w:sz="4" w:space="1" w:color="auto"/>
          <w:left w:val="single" w:sz="4" w:space="4" w:color="auto"/>
          <w:bottom w:val="single" w:sz="4" w:space="1" w:color="auto"/>
          <w:right w:val="single" w:sz="4" w:space="4" w:color="auto"/>
        </w:pBdr>
        <w:rPr>
          <w:rFonts w:eastAsia="Arial Unicode MS"/>
          <w:noProof/>
        </w:rPr>
      </w:pPr>
      <w:r w:rsidRPr="00F83346">
        <w:rPr>
          <w:noProof/>
          <w:u w:val="single"/>
        </w:rPr>
        <w:t>Razlogi za ukrepanje na ravni EU (predhodno)</w:t>
      </w:r>
      <w:r w:rsidRPr="00F83346">
        <w:rPr>
          <w:noProof/>
        </w:rPr>
        <w:t xml:space="preserve"> – Glede na to, da je cilj predlaganega ukrepa spremeniti obstoječo zakonodajo EU, ga je najbolje doseči na ravni EU in ne z različnimi nacionalnimi pobudami. Za doseganje ciljev enotnega trga EU je bistveno zagotoviti standardno uporabo predlaganega ukrepa, zbliževanje s tem povezanih nadzornih praks in enake konkurenčne pogoje na celotnem enotnem trgu bančnih storitev.</w:t>
      </w:r>
    </w:p>
    <w:p w:rsidR="0045691F" w:rsidRPr="00F83346" w:rsidRDefault="0045691F" w:rsidP="04B73BB1">
      <w:pPr>
        <w:pStyle w:val="Text1"/>
        <w:pBdr>
          <w:top w:val="single" w:sz="4" w:space="1" w:color="auto"/>
          <w:left w:val="single" w:sz="4" w:space="4" w:color="auto"/>
          <w:bottom w:val="single" w:sz="4" w:space="1" w:color="auto"/>
          <w:right w:val="single" w:sz="4" w:space="4" w:color="auto"/>
        </w:pBdr>
        <w:rPr>
          <w:rFonts w:eastAsia="Arial Unicode MS"/>
          <w:noProof/>
        </w:rPr>
      </w:pPr>
      <w:r w:rsidRPr="00F83346">
        <w:rPr>
          <w:noProof/>
          <w:u w:val="single"/>
        </w:rPr>
        <w:t>Pričakovana ustvarjena dodana vrednost EU (naknadno)</w:t>
      </w:r>
      <w:r w:rsidRPr="00F83346">
        <w:rPr>
          <w:noProof/>
        </w:rPr>
        <w:t xml:space="preserve"> – Sprejetje nacionalnih ukrepov bi bilo s pravnega vidika dejansko težavno, saj se uredba o kapitalskih zahtevah neposredno uporablja in že ureja bonitetne zahteve glede likvidnosti in financiranja bank na nacionalni ravni. Poleg tega je za doseganje ciljev enotnega trga potrebna minimalna stopnja skladnosti in doslednosti med državami članicami.</w:t>
      </w:r>
    </w:p>
    <w:p w:rsidR="0045691F" w:rsidRPr="00F83346" w:rsidRDefault="0045691F">
      <w:pPr>
        <w:pStyle w:val="ManualHeading3"/>
        <w:rPr>
          <w:noProof/>
        </w:rPr>
      </w:pPr>
      <w:bookmarkStart w:id="59" w:name="_Toc514938030"/>
      <w:bookmarkStart w:id="60" w:name="_Toc520485037"/>
      <w:bookmarkStart w:id="61" w:name="_Toc160804579"/>
      <w:bookmarkStart w:id="62" w:name="_Toc167220271"/>
      <w:bookmarkStart w:id="63" w:name="_Toc177549004"/>
      <w:r w:rsidRPr="00F83346">
        <w:rPr>
          <w:noProof/>
        </w:rPr>
        <w:t>1.5.3</w:t>
      </w:r>
      <w:r w:rsidRPr="00F83346">
        <w:rPr>
          <w:noProof/>
        </w:rPr>
        <w:tab/>
        <w:t>Spoznanja iz podobnih izkušenj v preteklosti</w:t>
      </w:r>
      <w:bookmarkEnd w:id="59"/>
      <w:bookmarkEnd w:id="60"/>
      <w:bookmarkEnd w:id="61"/>
      <w:bookmarkEnd w:id="62"/>
      <w:bookmarkEnd w:id="63"/>
    </w:p>
    <w:p w:rsidR="0045691F" w:rsidRPr="00F83346" w:rsidRDefault="00243763" w:rsidP="04B73BB1">
      <w:pPr>
        <w:pStyle w:val="Text1"/>
        <w:pBdr>
          <w:top w:val="single" w:sz="4" w:space="1" w:color="auto"/>
          <w:left w:val="single" w:sz="4" w:space="4" w:color="auto"/>
          <w:bottom w:val="single" w:sz="4" w:space="1" w:color="auto"/>
          <w:right w:val="single" w:sz="4" w:space="4" w:color="auto"/>
        </w:pBdr>
        <w:rPr>
          <w:rFonts w:eastAsia="Arial Unicode MS"/>
          <w:noProof/>
        </w:rPr>
      </w:pPr>
      <w:r w:rsidRPr="00F83346">
        <w:rPr>
          <w:noProof/>
        </w:rPr>
        <w:t>Uredba o kapitalskih zahtevah se neposredno uporablja po vsej EU in že ureja bonitetne zahteve glede likvidnosti in financiranja bank v vseh državah članicah. To zagotavlja standardno uporabo bonitetnih ukrepov, potrebno zbliževanje nadzornih praks in enake konkurenčne pogoje na celotnem enotnem trgu bančnih storitev, kar je podlaga za zdravo konkurenco po vsej EU.</w:t>
      </w:r>
    </w:p>
    <w:p w:rsidR="0045691F" w:rsidRPr="00F83346" w:rsidRDefault="0045691F">
      <w:pPr>
        <w:pStyle w:val="ManualHeading3"/>
        <w:rPr>
          <w:noProof/>
        </w:rPr>
      </w:pPr>
      <w:bookmarkStart w:id="64" w:name="_Toc514938033"/>
      <w:bookmarkStart w:id="65" w:name="_Toc520485038"/>
      <w:bookmarkStart w:id="66" w:name="_Toc160804580"/>
      <w:bookmarkStart w:id="67" w:name="_Toc167220272"/>
      <w:bookmarkStart w:id="68" w:name="_Toc177549005"/>
      <w:r w:rsidRPr="00F83346">
        <w:rPr>
          <w:noProof/>
        </w:rPr>
        <w:t>1.5.4</w:t>
      </w:r>
      <w:r w:rsidRPr="00F83346">
        <w:rPr>
          <w:noProof/>
        </w:rPr>
        <w:tab/>
        <w:t>Skladnost z večletnim finančnim okvirom in možne sinergije z drugimi ustreznimi instrumenti</w:t>
      </w:r>
      <w:bookmarkEnd w:id="64"/>
      <w:bookmarkEnd w:id="65"/>
      <w:bookmarkEnd w:id="66"/>
      <w:bookmarkEnd w:id="67"/>
      <w:bookmarkEnd w:id="68"/>
    </w:p>
    <w:p w:rsidR="0045691F" w:rsidRPr="00F83346" w:rsidRDefault="00CE0CB3">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ManualHeading3"/>
        <w:rPr>
          <w:noProof/>
        </w:rPr>
      </w:pPr>
      <w:bookmarkStart w:id="69" w:name="_Toc514938036"/>
      <w:bookmarkStart w:id="70" w:name="_Toc520485039"/>
      <w:bookmarkStart w:id="71" w:name="_Toc160804581"/>
      <w:bookmarkStart w:id="72" w:name="_Toc167220273"/>
      <w:bookmarkStart w:id="73" w:name="_Toc177549006"/>
      <w:r w:rsidRPr="00F83346">
        <w:rPr>
          <w:noProof/>
        </w:rPr>
        <w:t>1.5.5</w:t>
      </w:r>
      <w:r w:rsidRPr="00F83346">
        <w:rPr>
          <w:noProof/>
        </w:rPr>
        <w:tab/>
        <w:t>Ocena različnih razpoložljivih možnosti financiranja, vključno z možnostmi za prerazporeditev</w:t>
      </w:r>
      <w:bookmarkEnd w:id="69"/>
      <w:bookmarkEnd w:id="70"/>
      <w:bookmarkEnd w:id="71"/>
      <w:bookmarkEnd w:id="72"/>
      <w:bookmarkEnd w:id="73"/>
    </w:p>
    <w:p w:rsidR="0045691F" w:rsidRPr="00F83346" w:rsidRDefault="00CE0CB3">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rsidP="04B73BB1">
      <w:pPr>
        <w:pStyle w:val="ManualHeading2"/>
        <w:rPr>
          <w:noProof/>
        </w:rPr>
      </w:pPr>
      <w:r w:rsidRPr="00F83346">
        <w:rPr>
          <w:noProof/>
        </w:rPr>
        <w:br w:type="page"/>
      </w:r>
      <w:bookmarkStart w:id="74" w:name="_Toc514938039"/>
      <w:bookmarkStart w:id="75" w:name="_Toc520485040"/>
      <w:bookmarkStart w:id="76" w:name="_Toc160804582"/>
      <w:bookmarkStart w:id="77" w:name="_Toc167220274"/>
      <w:bookmarkStart w:id="78" w:name="_Toc177549007"/>
      <w:r w:rsidRPr="00F83346">
        <w:rPr>
          <w:noProof/>
        </w:rPr>
        <w:t>1.6</w:t>
      </w:r>
      <w:r w:rsidRPr="00F83346">
        <w:rPr>
          <w:noProof/>
        </w:rPr>
        <w:tab/>
        <w:t>Trajanje predloga/pobude</w:t>
      </w:r>
      <w:bookmarkEnd w:id="74"/>
      <w:bookmarkEnd w:id="75"/>
      <w:r w:rsidRPr="00F83346">
        <w:rPr>
          <w:noProof/>
        </w:rPr>
        <w:t xml:space="preserve"> in finančnih posledic</w:t>
      </w:r>
      <w:bookmarkEnd w:id="76"/>
      <w:bookmarkEnd w:id="77"/>
      <w:bookmarkEnd w:id="78"/>
    </w:p>
    <w:p w:rsidR="0045691F" w:rsidRPr="00F83346" w:rsidRDefault="0045691F">
      <w:pPr>
        <w:pStyle w:val="Text1"/>
        <w:rPr>
          <w:noProof/>
        </w:rPr>
      </w:pPr>
      <w:r w:rsidRPr="00F83346">
        <w:rPr>
          <w:rFonts w:ascii="Wingdings" w:hAnsi="Wingdings"/>
          <w:noProof/>
        </w:rPr>
        <w:t></w:t>
      </w:r>
      <w:r w:rsidRPr="00F83346">
        <w:rPr>
          <w:b/>
          <w:i/>
          <w:noProof/>
        </w:rPr>
        <w:t xml:space="preserve"> </w:t>
      </w:r>
      <w:r w:rsidRPr="00F83346">
        <w:rPr>
          <w:b/>
          <w:noProof/>
        </w:rPr>
        <w:t xml:space="preserve">Časovno omejeno: </w:t>
      </w:r>
    </w:p>
    <w:p w:rsidR="0045691F" w:rsidRPr="00F83346" w:rsidRDefault="0045691F">
      <w:pPr>
        <w:pStyle w:val="ListDash2"/>
        <w:rPr>
          <w:noProof/>
        </w:rPr>
      </w:pPr>
      <w:r w:rsidRPr="00F83346">
        <w:rPr>
          <w:rFonts w:ascii="Wingdings" w:hAnsi="Wingdings"/>
          <w:noProof/>
        </w:rPr>
        <w:t></w:t>
      </w:r>
      <w:r w:rsidRPr="00F83346">
        <w:rPr>
          <w:noProof/>
        </w:rPr>
        <w:tab/>
        <w:t xml:space="preserve">od [D. MMMM] LLLL do [D. MMMM] LLLL, </w:t>
      </w:r>
    </w:p>
    <w:p w:rsidR="0045691F" w:rsidRPr="00F83346" w:rsidRDefault="0045691F">
      <w:pPr>
        <w:pStyle w:val="ListDash2"/>
        <w:rPr>
          <w:noProof/>
        </w:rPr>
      </w:pPr>
      <w:r w:rsidRPr="00F83346">
        <w:rPr>
          <w:rFonts w:ascii="Wingdings" w:hAnsi="Wingdings"/>
          <w:noProof/>
        </w:rPr>
        <w:t></w:t>
      </w:r>
      <w:r w:rsidRPr="00F83346">
        <w:rPr>
          <w:noProof/>
        </w:rPr>
        <w:tab/>
        <w:t xml:space="preserve">finančne posledice med letoma LLLL in LLLL za odobritve za prevzem obveznosti ter med letoma LLLL in LLLL za odobritve plačil. </w:t>
      </w:r>
    </w:p>
    <w:p w:rsidR="0045691F" w:rsidRPr="00F83346" w:rsidRDefault="0045691F">
      <w:pPr>
        <w:pStyle w:val="Text1"/>
        <w:rPr>
          <w:noProof/>
        </w:rPr>
      </w:pPr>
      <w:r w:rsidRPr="00F83346">
        <w:rPr>
          <w:rFonts w:ascii="Wingdings" w:hAnsi="Wingdings"/>
          <w:noProof/>
        </w:rPr>
        <w:t></w:t>
      </w:r>
      <w:r w:rsidRPr="00F83346">
        <w:rPr>
          <w:b/>
          <w:i/>
          <w:noProof/>
        </w:rPr>
        <w:t xml:space="preserve"> </w:t>
      </w:r>
      <w:r w:rsidRPr="00F83346">
        <w:rPr>
          <w:b/>
          <w:noProof/>
        </w:rPr>
        <w:t>Časovno neomejeno:</w:t>
      </w:r>
    </w:p>
    <w:p w:rsidR="0045691F" w:rsidRPr="00F83346" w:rsidRDefault="0045691F">
      <w:pPr>
        <w:pStyle w:val="ListDash1"/>
        <w:rPr>
          <w:noProof/>
        </w:rPr>
      </w:pPr>
      <w:r w:rsidRPr="00F83346">
        <w:rPr>
          <w:noProof/>
        </w:rPr>
        <w:t>izvajanje z obdobjem uvajanja med letoma LLLL in LLLL,</w:t>
      </w:r>
    </w:p>
    <w:p w:rsidR="0045691F" w:rsidRPr="00F83346" w:rsidRDefault="0045691F">
      <w:pPr>
        <w:pStyle w:val="ListDash1"/>
        <w:rPr>
          <w:noProof/>
        </w:rPr>
      </w:pPr>
      <w:r w:rsidRPr="00F83346">
        <w:rPr>
          <w:noProof/>
        </w:rPr>
        <w:t>ki mu sledi izvajanje v celoti.</w:t>
      </w:r>
    </w:p>
    <w:p w:rsidR="0045691F" w:rsidRPr="00F83346" w:rsidRDefault="0045691F">
      <w:pPr>
        <w:pStyle w:val="ManualHeading2"/>
        <w:rPr>
          <w:bCs/>
          <w:noProof/>
          <w:szCs w:val="24"/>
        </w:rPr>
      </w:pPr>
      <w:bookmarkStart w:id="79" w:name="_Toc514938040"/>
      <w:bookmarkStart w:id="80" w:name="_Toc520485041"/>
      <w:bookmarkStart w:id="81" w:name="_Toc160804583"/>
      <w:bookmarkStart w:id="82" w:name="_Toc167220275"/>
      <w:bookmarkStart w:id="83" w:name="_Toc177549008"/>
      <w:r w:rsidRPr="00F83346">
        <w:rPr>
          <w:noProof/>
        </w:rPr>
        <w:t>1.7</w:t>
      </w:r>
      <w:r w:rsidRPr="00F83346">
        <w:rPr>
          <w:noProof/>
        </w:rPr>
        <w:tab/>
        <w:t>Načrtovani načini izvrševanja proračuna</w:t>
      </w:r>
      <w:r w:rsidRPr="00F83346">
        <w:rPr>
          <w:rStyle w:val="FootnoteReference"/>
          <w:noProof/>
        </w:rPr>
        <w:footnoteReference w:id="18"/>
      </w:r>
      <w:r w:rsidRPr="00F83346">
        <w:rPr>
          <w:rStyle w:val="FootnoteReference"/>
          <w:noProof/>
        </w:rPr>
        <w:t xml:space="preserve"> </w:t>
      </w:r>
      <w:bookmarkEnd w:id="79"/>
      <w:bookmarkEnd w:id="80"/>
      <w:bookmarkEnd w:id="81"/>
      <w:bookmarkEnd w:id="82"/>
      <w:bookmarkEnd w:id="83"/>
      <w:r w:rsidRPr="00F83346">
        <w:rPr>
          <w:rStyle w:val="FootnoteReference"/>
          <w:noProof/>
        </w:rPr>
        <w:t xml:space="preserve"> </w:t>
      </w:r>
    </w:p>
    <w:p w:rsidR="0045691F" w:rsidRPr="00F83346" w:rsidRDefault="0045691F">
      <w:pPr>
        <w:pStyle w:val="Text1"/>
        <w:rPr>
          <w:noProof/>
        </w:rPr>
      </w:pPr>
      <w:r w:rsidRPr="00F83346">
        <w:rPr>
          <w:rFonts w:ascii="Wingdings" w:hAnsi="Wingdings"/>
          <w:noProof/>
        </w:rPr>
        <w:t></w:t>
      </w:r>
      <w:r w:rsidRPr="00F83346">
        <w:rPr>
          <w:i/>
          <w:noProof/>
        </w:rPr>
        <w:t xml:space="preserve"> </w:t>
      </w:r>
      <w:r w:rsidRPr="00F83346">
        <w:rPr>
          <w:b/>
          <w:noProof/>
        </w:rPr>
        <w:t>Neposredno upravljanje</w:t>
      </w:r>
      <w:r w:rsidRPr="00F83346">
        <w:rPr>
          <w:noProof/>
        </w:rPr>
        <w:t xml:space="preserve"> – Komisija:</w:t>
      </w:r>
    </w:p>
    <w:p w:rsidR="0045691F" w:rsidRPr="00F83346" w:rsidRDefault="0045691F">
      <w:pPr>
        <w:pStyle w:val="ListDash2"/>
        <w:rPr>
          <w:rFonts w:cs="EUAlbertina"/>
          <w:noProof/>
        </w:rPr>
      </w:pPr>
      <w:r w:rsidRPr="00F83346">
        <w:rPr>
          <w:rFonts w:ascii="Wingdings" w:hAnsi="Wingdings"/>
          <w:noProof/>
        </w:rPr>
        <w:t></w:t>
      </w:r>
      <w:r w:rsidRPr="00F83346">
        <w:rPr>
          <w:noProof/>
        </w:rPr>
        <w:t xml:space="preserve"> z lastnimi službami, vključno s svojim osebjem v delegacijah Unije </w:t>
      </w:r>
    </w:p>
    <w:p w:rsidR="0045691F" w:rsidRPr="00F83346" w:rsidRDefault="0045691F">
      <w:pPr>
        <w:pStyle w:val="ListDash2"/>
        <w:rPr>
          <w:noProof/>
        </w:rPr>
      </w:pPr>
      <w:r w:rsidRPr="00F83346">
        <w:rPr>
          <w:rFonts w:ascii="Wingdings" w:hAnsi="Wingdings"/>
          <w:noProof/>
        </w:rPr>
        <w:t></w:t>
      </w:r>
      <w:r w:rsidRPr="00F83346">
        <w:rPr>
          <w:noProof/>
        </w:rPr>
        <w:t xml:space="preserve"> prek izvajalskih agencij </w:t>
      </w:r>
    </w:p>
    <w:p w:rsidR="0045691F" w:rsidRPr="00F83346" w:rsidRDefault="0045691F">
      <w:pPr>
        <w:pStyle w:val="Text1"/>
        <w:rPr>
          <w:noProof/>
        </w:rPr>
      </w:pPr>
      <w:r w:rsidRPr="00F83346">
        <w:rPr>
          <w:rFonts w:ascii="Wingdings" w:hAnsi="Wingdings"/>
          <w:noProof/>
        </w:rPr>
        <w:t></w:t>
      </w:r>
      <w:r w:rsidRPr="00F83346">
        <w:rPr>
          <w:b/>
          <w:i/>
          <w:noProof/>
        </w:rPr>
        <w:t xml:space="preserve"> </w:t>
      </w:r>
      <w:r w:rsidRPr="00F83346">
        <w:rPr>
          <w:b/>
          <w:noProof/>
        </w:rPr>
        <w:t>Deljeno upravljanje</w:t>
      </w:r>
      <w:r w:rsidRPr="00F83346">
        <w:rPr>
          <w:noProof/>
        </w:rPr>
        <w:t xml:space="preserve"> z državami članicami </w:t>
      </w:r>
    </w:p>
    <w:p w:rsidR="0045691F" w:rsidRPr="00F83346" w:rsidRDefault="0045691F">
      <w:pPr>
        <w:pStyle w:val="Text1"/>
        <w:rPr>
          <w:noProof/>
        </w:rPr>
      </w:pPr>
      <w:r w:rsidRPr="00F83346">
        <w:rPr>
          <w:rFonts w:ascii="Wingdings" w:hAnsi="Wingdings"/>
          <w:noProof/>
        </w:rPr>
        <w:t></w:t>
      </w:r>
      <w:r w:rsidRPr="00F83346">
        <w:rPr>
          <w:i/>
          <w:noProof/>
        </w:rPr>
        <w:t xml:space="preserve"> </w:t>
      </w:r>
      <w:r w:rsidRPr="00F83346">
        <w:rPr>
          <w:b/>
          <w:noProof/>
        </w:rPr>
        <w:t>Posredno upravljanje</w:t>
      </w:r>
      <w:r w:rsidRPr="00F83346">
        <w:rPr>
          <w:noProof/>
        </w:rPr>
        <w:t>, tako da se naloge izvrševanja proračuna poverijo:</w:t>
      </w:r>
    </w:p>
    <w:p w:rsidR="0045691F" w:rsidRPr="00F83346" w:rsidRDefault="0045691F">
      <w:pPr>
        <w:pStyle w:val="ListDash2"/>
        <w:rPr>
          <w:noProof/>
        </w:rPr>
      </w:pPr>
      <w:r w:rsidRPr="00F83346">
        <w:rPr>
          <w:rFonts w:ascii="Wingdings" w:hAnsi="Wingdings"/>
          <w:noProof/>
        </w:rPr>
        <w:t></w:t>
      </w:r>
      <w:r w:rsidRPr="00F83346">
        <w:rPr>
          <w:noProof/>
        </w:rPr>
        <w:t xml:space="preserve"> tretjim državam ali organom, ki jih te imenujejo</w:t>
      </w:r>
    </w:p>
    <w:p w:rsidR="0045691F" w:rsidRPr="00F83346" w:rsidRDefault="0045691F">
      <w:pPr>
        <w:pStyle w:val="ListDash2"/>
        <w:rPr>
          <w:noProof/>
        </w:rPr>
      </w:pPr>
      <w:r w:rsidRPr="00F83346">
        <w:rPr>
          <w:rFonts w:ascii="Wingdings" w:hAnsi="Wingdings"/>
          <w:noProof/>
        </w:rPr>
        <w:t></w:t>
      </w:r>
      <w:r w:rsidRPr="00F83346">
        <w:rPr>
          <w:noProof/>
        </w:rPr>
        <w:t xml:space="preserve"> mednarodnim organizacijam in njihovim agencijam (navedite)</w:t>
      </w:r>
    </w:p>
    <w:p w:rsidR="0045691F" w:rsidRPr="00F83346" w:rsidRDefault="0045691F">
      <w:pPr>
        <w:pStyle w:val="ListDash2"/>
        <w:rPr>
          <w:noProof/>
        </w:rPr>
      </w:pPr>
      <w:r w:rsidRPr="00F83346">
        <w:rPr>
          <w:rFonts w:ascii="Wingdings" w:hAnsi="Wingdings"/>
          <w:noProof/>
        </w:rPr>
        <w:t></w:t>
      </w:r>
      <w:r w:rsidRPr="00F83346">
        <w:rPr>
          <w:noProof/>
        </w:rPr>
        <w:t xml:space="preserve"> Evropski investicijski banki in Evropskemu investicijskemu skladu</w:t>
      </w:r>
    </w:p>
    <w:p w:rsidR="0045691F" w:rsidRPr="00F83346" w:rsidRDefault="0045691F">
      <w:pPr>
        <w:pStyle w:val="ListDash2"/>
        <w:rPr>
          <w:noProof/>
        </w:rPr>
      </w:pPr>
      <w:r w:rsidRPr="00F83346">
        <w:rPr>
          <w:rFonts w:ascii="Wingdings" w:hAnsi="Wingdings"/>
          <w:noProof/>
        </w:rPr>
        <w:t></w:t>
      </w:r>
      <w:r w:rsidRPr="00F83346">
        <w:rPr>
          <w:noProof/>
        </w:rPr>
        <w:t xml:space="preserve"> organom iz členov 70 in 71 finančne uredbe</w:t>
      </w:r>
    </w:p>
    <w:p w:rsidR="0045691F" w:rsidRPr="00F83346" w:rsidRDefault="0045691F">
      <w:pPr>
        <w:pStyle w:val="ListDash2"/>
        <w:rPr>
          <w:noProof/>
        </w:rPr>
      </w:pPr>
      <w:r w:rsidRPr="00F83346">
        <w:rPr>
          <w:rFonts w:ascii="Wingdings" w:hAnsi="Wingdings"/>
          <w:noProof/>
        </w:rPr>
        <w:t></w:t>
      </w:r>
      <w:r w:rsidRPr="00F83346">
        <w:rPr>
          <w:noProof/>
        </w:rPr>
        <w:t xml:space="preserve"> subjektom javnega prava</w:t>
      </w:r>
    </w:p>
    <w:p w:rsidR="0045691F" w:rsidRPr="00F83346" w:rsidRDefault="0045691F">
      <w:pPr>
        <w:pStyle w:val="ListDash2"/>
        <w:rPr>
          <w:noProof/>
        </w:rPr>
      </w:pPr>
      <w:r w:rsidRPr="00F83346">
        <w:rPr>
          <w:rFonts w:ascii="Wingdings" w:hAnsi="Wingdings"/>
          <w:noProof/>
        </w:rPr>
        <w:t></w:t>
      </w:r>
      <w:r w:rsidRPr="00F83346">
        <w:rPr>
          <w:noProof/>
        </w:rPr>
        <w:t xml:space="preserve"> subjektom zasebnega prava, ki opravljajo javne storitve, kolikor imajo ti subjekti ustrezna finančna jamstva</w:t>
      </w:r>
    </w:p>
    <w:p w:rsidR="0045691F" w:rsidRPr="00F83346" w:rsidRDefault="0045691F">
      <w:pPr>
        <w:pStyle w:val="ListDash2"/>
        <w:rPr>
          <w:noProof/>
        </w:rPr>
      </w:pPr>
      <w:r w:rsidRPr="00F83346">
        <w:rPr>
          <w:rFonts w:ascii="Wingdings" w:hAnsi="Wingdings"/>
          <w:noProof/>
        </w:rPr>
        <w:t></w:t>
      </w:r>
      <w:r w:rsidRPr="00F83346">
        <w:rPr>
          <w:noProof/>
        </w:rPr>
        <w:t xml:space="preserve"> subjektom zasebnega prava države članice, ki so pooblaščeni za izvajanje javno-zasebnih partnerstev in ki imajo ustrezna finančna jamstva</w:t>
      </w:r>
    </w:p>
    <w:p w:rsidR="0045691F" w:rsidRPr="00F83346" w:rsidRDefault="0045691F">
      <w:pPr>
        <w:pStyle w:val="ListDash2"/>
        <w:rPr>
          <w:noProof/>
        </w:rPr>
      </w:pPr>
      <w:r w:rsidRPr="00F83346">
        <w:rPr>
          <w:rFonts w:ascii="Wingdings" w:hAnsi="Wingdings"/>
          <w:noProof/>
        </w:rPr>
        <w:t></w:t>
      </w:r>
      <w:r w:rsidRPr="00F83346">
        <w:rPr>
          <w:noProof/>
        </w:rPr>
        <w:t xml:space="preserve"> organom ali osebam, pooblaščenim za izvajanje določenih ukrepov skupne zunanje in varnostne politike na podlagi naslova V Pogodbe o Evropski uniji ter opredeljenim v zadevnem temeljnem aktu</w:t>
      </w:r>
    </w:p>
    <w:p w:rsidR="0045691F" w:rsidRPr="00F83346" w:rsidRDefault="0045691F">
      <w:pPr>
        <w:pStyle w:val="ListDash2"/>
        <w:rPr>
          <w:noProof/>
        </w:rPr>
      </w:pPr>
      <w:r w:rsidRPr="00F83346">
        <w:rPr>
          <w:rFonts w:ascii="Wingdings" w:hAnsi="Wingdings"/>
          <w:noProof/>
        </w:rPr>
        <w:t></w:t>
      </w:r>
      <w:r w:rsidRPr="00F83346">
        <w:rPr>
          <w:rFonts w:ascii="Wingdings" w:hAnsi="Wingdings"/>
          <w:noProof/>
        </w:rPr>
        <w:t></w:t>
      </w:r>
      <w:r w:rsidRPr="00F83346">
        <w:rPr>
          <w:noProof/>
        </w:rPr>
        <w:t xml:space="preserve"> 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javnega prava ali subjektov zasebnega prava, ki opravljajo javne storitve, in imajo ustrezna finančna jamstva v obliki solidarne odgovornosti nadzornih teles ali enakovredna finančna jamstva, ki so lahko za vsak ukrep omejena na najvišji znesek podpore Unije</w:t>
      </w:r>
    </w:p>
    <w:p w:rsidR="0045691F" w:rsidRPr="00F83346" w:rsidRDefault="0045691F">
      <w:pPr>
        <w:rPr>
          <w:noProof/>
        </w:rPr>
      </w:pPr>
      <w:r w:rsidRPr="00F83346">
        <w:rPr>
          <w:noProof/>
        </w:rPr>
        <w:t xml:space="preserve">Opombe </w:t>
      </w:r>
    </w:p>
    <w:p w:rsidR="0045691F" w:rsidRPr="00F83346" w:rsidRDefault="00CE0CB3">
      <w:pPr>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rPr>
          <w:noProof/>
        </w:rPr>
        <w:sectPr w:rsidR="0045691F" w:rsidRPr="00F83346" w:rsidSect="00F82B96">
          <w:pgSz w:w="11907" w:h="16840" w:code="9"/>
          <w:pgMar w:top="1134" w:right="1418" w:bottom="1134" w:left="1418" w:header="709" w:footer="709" w:gutter="0"/>
          <w:cols w:space="708"/>
          <w:docGrid w:linePitch="360"/>
        </w:sectPr>
      </w:pPr>
    </w:p>
    <w:p w:rsidR="0045691F" w:rsidRPr="00F83346" w:rsidRDefault="0045691F">
      <w:pPr>
        <w:pStyle w:val="ManualHeading1"/>
        <w:rPr>
          <w:bCs/>
          <w:noProof/>
          <w:szCs w:val="24"/>
        </w:rPr>
      </w:pPr>
      <w:bookmarkStart w:id="84" w:name="_Toc514938041"/>
      <w:bookmarkStart w:id="85" w:name="_Toc520485042"/>
      <w:bookmarkStart w:id="86" w:name="_Toc160804584"/>
      <w:bookmarkStart w:id="87" w:name="_Toc167220276"/>
      <w:bookmarkStart w:id="88" w:name="_Toc177549009"/>
      <w:r w:rsidRPr="00F83346">
        <w:rPr>
          <w:noProof/>
        </w:rPr>
        <w:t>2.</w:t>
      </w:r>
      <w:r w:rsidRPr="00F83346">
        <w:rPr>
          <w:noProof/>
        </w:rPr>
        <w:tab/>
        <w:t>UKREPI UPRAVLJANJA</w:t>
      </w:r>
      <w:bookmarkEnd w:id="84"/>
      <w:bookmarkEnd w:id="85"/>
      <w:bookmarkEnd w:id="86"/>
      <w:bookmarkEnd w:id="87"/>
      <w:bookmarkEnd w:id="88"/>
      <w:r w:rsidRPr="00F83346">
        <w:rPr>
          <w:noProof/>
        </w:rPr>
        <w:t xml:space="preserve"> </w:t>
      </w:r>
    </w:p>
    <w:p w:rsidR="0045691F" w:rsidRPr="00F83346" w:rsidRDefault="0045691F">
      <w:pPr>
        <w:pStyle w:val="ManualHeading2"/>
        <w:rPr>
          <w:noProof/>
        </w:rPr>
      </w:pPr>
      <w:bookmarkStart w:id="89" w:name="_Toc514938042"/>
      <w:bookmarkStart w:id="90" w:name="_Toc520485043"/>
      <w:bookmarkStart w:id="91" w:name="_Toc160804585"/>
      <w:bookmarkStart w:id="92" w:name="_Toc167220277"/>
      <w:bookmarkStart w:id="93" w:name="_Toc177549010"/>
      <w:r w:rsidRPr="00F83346">
        <w:rPr>
          <w:noProof/>
        </w:rPr>
        <w:t>2.1</w:t>
      </w:r>
      <w:r w:rsidRPr="00F83346">
        <w:rPr>
          <w:noProof/>
        </w:rPr>
        <w:tab/>
        <w:t>Pravila o spremljanju in poročanju</w:t>
      </w:r>
      <w:bookmarkEnd w:id="89"/>
      <w:bookmarkEnd w:id="90"/>
      <w:bookmarkEnd w:id="91"/>
      <w:bookmarkEnd w:id="92"/>
      <w:bookmarkEnd w:id="93"/>
      <w:r w:rsidRPr="00F83346">
        <w:rPr>
          <w:noProof/>
        </w:rPr>
        <w:t xml:space="preserve"> </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ManualHeading2"/>
        <w:rPr>
          <w:bCs/>
          <w:noProof/>
          <w:szCs w:val="24"/>
        </w:rPr>
      </w:pPr>
      <w:bookmarkStart w:id="94" w:name="_Toc514938045"/>
      <w:bookmarkStart w:id="95" w:name="_Toc520485044"/>
      <w:bookmarkStart w:id="96" w:name="_Toc160804586"/>
      <w:bookmarkStart w:id="97" w:name="_Toc167220278"/>
      <w:bookmarkStart w:id="98" w:name="_Toc177549011"/>
      <w:r w:rsidRPr="00F83346">
        <w:rPr>
          <w:noProof/>
        </w:rPr>
        <w:t>2.2</w:t>
      </w:r>
      <w:r w:rsidRPr="00F83346">
        <w:rPr>
          <w:noProof/>
        </w:rPr>
        <w:tab/>
        <w:t>Upravljavski in kontrolni sistemi</w:t>
      </w:r>
      <w:bookmarkEnd w:id="94"/>
      <w:bookmarkEnd w:id="95"/>
      <w:bookmarkEnd w:id="96"/>
      <w:bookmarkEnd w:id="97"/>
      <w:bookmarkEnd w:id="98"/>
      <w:r w:rsidRPr="00F83346">
        <w:rPr>
          <w:noProof/>
        </w:rPr>
        <w:t xml:space="preserve"> </w:t>
      </w:r>
    </w:p>
    <w:p w:rsidR="0045691F" w:rsidRPr="00F83346" w:rsidRDefault="0045691F">
      <w:pPr>
        <w:pStyle w:val="ManualHeading3"/>
        <w:rPr>
          <w:noProof/>
        </w:rPr>
      </w:pPr>
      <w:bookmarkStart w:id="99" w:name="_Toc514938046"/>
      <w:bookmarkStart w:id="100" w:name="_Toc520485045"/>
      <w:bookmarkStart w:id="101" w:name="_Toc160804587"/>
      <w:bookmarkStart w:id="102" w:name="_Toc167220279"/>
      <w:bookmarkStart w:id="103" w:name="_Toc177549012"/>
      <w:r w:rsidRPr="00F83346">
        <w:rPr>
          <w:noProof/>
        </w:rPr>
        <w:t>2.2.1</w:t>
      </w:r>
      <w:r w:rsidRPr="00F83346">
        <w:rPr>
          <w:noProof/>
        </w:rPr>
        <w:tab/>
        <w:t>Utemeljitev načinov izvrševanja proračuna, mehanizmov financiranja, načinov plačevanja in predlagane strategije kontrol</w:t>
      </w:r>
      <w:bookmarkEnd w:id="99"/>
      <w:bookmarkEnd w:id="100"/>
      <w:bookmarkEnd w:id="101"/>
      <w:bookmarkEnd w:id="102"/>
      <w:bookmarkEnd w:id="103"/>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ManualHeading3"/>
        <w:rPr>
          <w:bCs/>
          <w:noProof/>
          <w:szCs w:val="24"/>
        </w:rPr>
      </w:pPr>
      <w:bookmarkStart w:id="104" w:name="_Toc514938047"/>
      <w:bookmarkStart w:id="105" w:name="_Toc520485046"/>
      <w:bookmarkStart w:id="106" w:name="_Toc160804588"/>
      <w:bookmarkStart w:id="107" w:name="_Toc167220280"/>
      <w:bookmarkStart w:id="108" w:name="_Toc177549013"/>
      <w:r w:rsidRPr="00F83346">
        <w:rPr>
          <w:noProof/>
        </w:rPr>
        <w:t>2.2.2</w:t>
      </w:r>
      <w:r w:rsidRPr="00F83346">
        <w:rPr>
          <w:noProof/>
        </w:rPr>
        <w:tab/>
        <w:t>Podatki o ugotovljenih tveganjih in vzpostavljenih sistemih notranjih kontrol za njihovo zmanjševanje</w:t>
      </w:r>
      <w:bookmarkEnd w:id="104"/>
      <w:bookmarkEnd w:id="105"/>
      <w:bookmarkEnd w:id="106"/>
      <w:bookmarkEnd w:id="107"/>
      <w:bookmarkEnd w:id="108"/>
    </w:p>
    <w:p w:rsidR="0045691F" w:rsidRPr="00F83346" w:rsidRDefault="002A1380" w:rsidP="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rsidP="002A1380">
      <w:pPr>
        <w:pStyle w:val="ManualHeading3"/>
        <w:rPr>
          <w:noProof/>
        </w:rPr>
      </w:pPr>
      <w:bookmarkStart w:id="109" w:name="_Toc514938048"/>
      <w:bookmarkStart w:id="110" w:name="_Toc520485047"/>
      <w:bookmarkStart w:id="111" w:name="_Toc160804589"/>
      <w:bookmarkStart w:id="112" w:name="_Toc167220281"/>
      <w:bookmarkStart w:id="113" w:name="_Toc177549014"/>
      <w:r w:rsidRPr="00F83346">
        <w:rPr>
          <w:noProof/>
        </w:rPr>
        <w:t>2.2.3</w:t>
      </w:r>
      <w:r w:rsidRPr="00F83346">
        <w:rPr>
          <w:noProof/>
        </w:rPr>
        <w:tab/>
        <w:t>Ocena in utemeljitev stroškovne učinkovitosti kontrol (razmerje med stroški kontrol in vrednostjo z njimi povezanih upravljanih sredstev) ter ocena pričakovane stopnje tveganja napake (ob plačilu in ob zaključku)</w:t>
      </w:r>
      <w:bookmarkEnd w:id="109"/>
      <w:bookmarkEnd w:id="110"/>
      <w:bookmarkEnd w:id="111"/>
      <w:bookmarkEnd w:id="112"/>
      <w:bookmarkEnd w:id="113"/>
      <w:r w:rsidRPr="00F83346">
        <w:rPr>
          <w:noProof/>
        </w:rPr>
        <w:t xml:space="preserve"> </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rsidP="002A1380">
      <w:pPr>
        <w:pStyle w:val="ManualHeading2"/>
        <w:rPr>
          <w:noProof/>
        </w:rPr>
      </w:pPr>
      <w:bookmarkStart w:id="114" w:name="_Toc514938049"/>
      <w:bookmarkStart w:id="115" w:name="_Toc520485048"/>
      <w:bookmarkStart w:id="116" w:name="_Toc160804590"/>
      <w:bookmarkStart w:id="117" w:name="_Toc167220282"/>
      <w:bookmarkStart w:id="118" w:name="_Toc177549015"/>
      <w:r w:rsidRPr="00F83346">
        <w:rPr>
          <w:noProof/>
        </w:rPr>
        <w:t>2.3</w:t>
      </w:r>
      <w:r w:rsidRPr="00F83346">
        <w:rPr>
          <w:noProof/>
        </w:rPr>
        <w:tab/>
        <w:t>Ukrepi za preprečevanje goljufij in nepravilnosti</w:t>
      </w:r>
      <w:bookmarkEnd w:id="114"/>
      <w:bookmarkEnd w:id="115"/>
      <w:bookmarkEnd w:id="116"/>
      <w:bookmarkEnd w:id="117"/>
      <w:bookmarkEnd w:id="118"/>
      <w:r w:rsidRPr="00F83346">
        <w:rPr>
          <w:noProof/>
        </w:rPr>
        <w:t xml:space="preserve"> </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rPr>
          <w:noProof/>
        </w:rPr>
        <w:sectPr w:rsidR="0045691F" w:rsidRPr="00F83346" w:rsidSect="00F82B96">
          <w:pgSz w:w="11907" w:h="16840" w:code="9"/>
          <w:pgMar w:top="1134" w:right="1418" w:bottom="1134" w:left="1418" w:header="709" w:footer="709" w:gutter="0"/>
          <w:cols w:space="708"/>
          <w:docGrid w:linePitch="360"/>
        </w:sectPr>
      </w:pPr>
    </w:p>
    <w:p w:rsidR="0045691F" w:rsidRPr="00F83346" w:rsidRDefault="0045691F">
      <w:pPr>
        <w:pStyle w:val="ManualHeading1"/>
        <w:rPr>
          <w:bCs/>
          <w:noProof/>
          <w:szCs w:val="24"/>
        </w:rPr>
      </w:pPr>
      <w:bookmarkStart w:id="119" w:name="_Toc514938050"/>
      <w:bookmarkStart w:id="120" w:name="_Toc520485049"/>
      <w:bookmarkStart w:id="121" w:name="_Toc160804591"/>
      <w:bookmarkStart w:id="122" w:name="_Toc167220283"/>
      <w:bookmarkStart w:id="123" w:name="_Toc177549016"/>
      <w:r w:rsidRPr="00F83346">
        <w:rPr>
          <w:noProof/>
        </w:rPr>
        <w:t>3.</w:t>
      </w:r>
      <w:r w:rsidRPr="00F83346">
        <w:rPr>
          <w:noProof/>
        </w:rPr>
        <w:tab/>
        <w:t>OCENA FINANČNIH POSLEDIC PREDLOGA/POBUDE</w:t>
      </w:r>
      <w:bookmarkEnd w:id="119"/>
      <w:bookmarkEnd w:id="120"/>
      <w:bookmarkEnd w:id="121"/>
      <w:bookmarkEnd w:id="122"/>
      <w:bookmarkEnd w:id="123"/>
      <w:r w:rsidRPr="00F83346">
        <w:rPr>
          <w:noProof/>
        </w:rPr>
        <w:t xml:space="preserve"> </w:t>
      </w:r>
    </w:p>
    <w:p w:rsidR="0045691F" w:rsidRPr="00F83346" w:rsidRDefault="0045691F">
      <w:pPr>
        <w:pStyle w:val="ManualHeading2"/>
        <w:rPr>
          <w:noProof/>
        </w:rPr>
      </w:pPr>
      <w:bookmarkStart w:id="124" w:name="_Toc514938051"/>
      <w:bookmarkStart w:id="125" w:name="_Toc520485050"/>
      <w:bookmarkStart w:id="126" w:name="_Toc160804592"/>
      <w:bookmarkStart w:id="127" w:name="_Toc167220284"/>
      <w:bookmarkStart w:id="128" w:name="_Toc177549017"/>
      <w:r w:rsidRPr="00F83346">
        <w:rPr>
          <w:noProof/>
        </w:rPr>
        <w:t>3.1</w:t>
      </w:r>
      <w:r w:rsidRPr="00F83346">
        <w:rPr>
          <w:noProof/>
        </w:rPr>
        <w:tab/>
        <w:t>Zadevni razdelki večletnega finančnega okvira in odhodkovne proračunske vrstice</w:t>
      </w:r>
      <w:bookmarkEnd w:id="124"/>
      <w:bookmarkEnd w:id="125"/>
      <w:bookmarkEnd w:id="126"/>
      <w:bookmarkEnd w:id="127"/>
      <w:bookmarkEnd w:id="128"/>
      <w:r w:rsidRPr="00F83346">
        <w:rPr>
          <w:noProof/>
        </w:rPr>
        <w:t xml:space="preserve"> </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bookmarkStart w:id="129" w:name="_Hlk157691648"/>
      <w:r w:rsidRPr="00F83346">
        <w:rPr>
          <w:noProof/>
        </w:rPr>
        <w:t>Se ne uporablja za ta predlog – ni proračunskih posledic.</w:t>
      </w:r>
    </w:p>
    <w:bookmarkEnd w:id="129"/>
    <w:p w:rsidR="0045691F" w:rsidRPr="00F83346" w:rsidRDefault="0045691F">
      <w:pPr>
        <w:pStyle w:val="ListBullet1"/>
        <w:rPr>
          <w:noProof/>
        </w:rPr>
      </w:pPr>
      <w:r w:rsidRPr="00F83346">
        <w:rPr>
          <w:noProof/>
        </w:rPr>
        <w:t xml:space="preserve">Obstoječe proračunske vrstice </w:t>
      </w:r>
    </w:p>
    <w:p w:rsidR="0045691F" w:rsidRPr="00F83346" w:rsidRDefault="0045691F">
      <w:pPr>
        <w:pStyle w:val="Text1"/>
        <w:rPr>
          <w:i/>
          <w:noProof/>
        </w:rPr>
      </w:pPr>
      <w:r w:rsidRPr="00F83346">
        <w:rPr>
          <w:i/>
          <w:noProof/>
          <w:u w:val="single"/>
        </w:rPr>
        <w:t>Po vrstnem redu</w:t>
      </w:r>
      <w:r w:rsidRPr="00F83346">
        <w:rPr>
          <w:i/>
          <w:noProof/>
        </w:rPr>
        <w:t xml:space="preserve"> razdelkov večletnega finančnega okvira in proračunskih vrstic</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852"/>
        <w:gridCol w:w="1206"/>
        <w:gridCol w:w="966"/>
        <w:gridCol w:w="1463"/>
      </w:tblGrid>
      <w:tr w:rsidR="0045691F" w:rsidRPr="00F83346">
        <w:trPr>
          <w:jc w:val="center"/>
        </w:trPr>
        <w:tc>
          <w:tcPr>
            <w:tcW w:w="1092" w:type="dxa"/>
            <w:vMerge w:val="restart"/>
            <w:vAlign w:val="center"/>
          </w:tcPr>
          <w:p w:rsidR="0045691F" w:rsidRPr="00F83346" w:rsidRDefault="0045691F">
            <w:pPr>
              <w:spacing w:before="60" w:after="60"/>
              <w:jc w:val="center"/>
              <w:rPr>
                <w:noProof/>
              </w:rPr>
            </w:pPr>
            <w:r w:rsidRPr="00F83346">
              <w:rPr>
                <w:noProof/>
                <w:sz w:val="18"/>
              </w:rPr>
              <w:t>Razdelek večletnega finančnega okvira</w:t>
            </w:r>
          </w:p>
        </w:tc>
        <w:tc>
          <w:tcPr>
            <w:tcW w:w="4002" w:type="dxa"/>
            <w:vAlign w:val="center"/>
          </w:tcPr>
          <w:p w:rsidR="0045691F" w:rsidRPr="00F83346" w:rsidRDefault="0045691F">
            <w:pPr>
              <w:spacing w:before="60" w:after="60"/>
              <w:jc w:val="center"/>
              <w:rPr>
                <w:noProof/>
              </w:rPr>
            </w:pPr>
            <w:r w:rsidRPr="00F83346">
              <w:rPr>
                <w:noProof/>
                <w:sz w:val="20"/>
              </w:rPr>
              <w:t>Proračunska vrstica</w:t>
            </w:r>
          </w:p>
        </w:tc>
        <w:tc>
          <w:tcPr>
            <w:tcW w:w="1092" w:type="dxa"/>
            <w:vAlign w:val="center"/>
          </w:tcPr>
          <w:p w:rsidR="0045691F" w:rsidRPr="00F83346" w:rsidRDefault="0045691F">
            <w:pPr>
              <w:spacing w:before="60" w:after="60"/>
              <w:jc w:val="center"/>
              <w:rPr>
                <w:noProof/>
              </w:rPr>
            </w:pPr>
            <w:r w:rsidRPr="00F83346">
              <w:rPr>
                <w:noProof/>
                <w:sz w:val="18"/>
              </w:rPr>
              <w:t>Vrsta odhodkov</w:t>
            </w:r>
          </w:p>
        </w:tc>
        <w:tc>
          <w:tcPr>
            <w:tcW w:w="4487" w:type="dxa"/>
            <w:gridSpan w:val="4"/>
            <w:vAlign w:val="center"/>
          </w:tcPr>
          <w:p w:rsidR="0045691F" w:rsidRPr="00F83346" w:rsidRDefault="0045691F">
            <w:pPr>
              <w:spacing w:before="60" w:after="60"/>
              <w:jc w:val="center"/>
              <w:rPr>
                <w:noProof/>
              </w:rPr>
            </w:pPr>
            <w:r w:rsidRPr="00F83346">
              <w:rPr>
                <w:noProof/>
                <w:sz w:val="20"/>
              </w:rPr>
              <w:t xml:space="preserve">Prispevek </w:t>
            </w:r>
          </w:p>
        </w:tc>
      </w:tr>
      <w:tr w:rsidR="0045691F" w:rsidRPr="00F83346" w:rsidTr="000C4F05">
        <w:trPr>
          <w:cantSplit/>
          <w:jc w:val="center"/>
        </w:trPr>
        <w:tc>
          <w:tcPr>
            <w:tcW w:w="1092" w:type="dxa"/>
            <w:vMerge/>
            <w:vAlign w:val="center"/>
          </w:tcPr>
          <w:p w:rsidR="0045691F" w:rsidRPr="00F83346" w:rsidRDefault="0045691F">
            <w:pPr>
              <w:jc w:val="center"/>
              <w:rPr>
                <w:noProof/>
              </w:rPr>
            </w:pPr>
          </w:p>
        </w:tc>
        <w:tc>
          <w:tcPr>
            <w:tcW w:w="4002" w:type="dxa"/>
            <w:vAlign w:val="center"/>
          </w:tcPr>
          <w:p w:rsidR="0045691F" w:rsidRPr="00F83346" w:rsidRDefault="0045691F">
            <w:pPr>
              <w:rPr>
                <w:noProof/>
              </w:rPr>
            </w:pPr>
            <w:r w:rsidRPr="00F83346">
              <w:rPr>
                <w:noProof/>
                <w:sz w:val="20"/>
              </w:rPr>
              <w:t xml:space="preserve">številka </w:t>
            </w:r>
            <w:r w:rsidRPr="00F83346">
              <w:rPr>
                <w:noProof/>
                <w:sz w:val="22"/>
              </w:rPr>
              <w:br/>
            </w:r>
          </w:p>
        </w:tc>
        <w:tc>
          <w:tcPr>
            <w:tcW w:w="1092" w:type="dxa"/>
            <w:vAlign w:val="center"/>
          </w:tcPr>
          <w:p w:rsidR="0045691F" w:rsidRPr="00F83346" w:rsidRDefault="0045691F">
            <w:pPr>
              <w:jc w:val="center"/>
              <w:rPr>
                <w:noProof/>
              </w:rPr>
            </w:pPr>
            <w:r w:rsidRPr="00F83346">
              <w:rPr>
                <w:noProof/>
                <w:sz w:val="18"/>
              </w:rPr>
              <w:t>dif./nedif.</w:t>
            </w:r>
            <w:r w:rsidRPr="00F83346">
              <w:rPr>
                <w:rStyle w:val="FootnoteReference"/>
                <w:noProof/>
                <w:sz w:val="18"/>
              </w:rPr>
              <w:footnoteReference w:id="19"/>
            </w:r>
          </w:p>
        </w:tc>
        <w:tc>
          <w:tcPr>
            <w:tcW w:w="852" w:type="dxa"/>
            <w:vAlign w:val="center"/>
          </w:tcPr>
          <w:p w:rsidR="0045691F" w:rsidRPr="00F83346" w:rsidRDefault="0045691F">
            <w:pPr>
              <w:jc w:val="center"/>
              <w:rPr>
                <w:b/>
                <w:noProof/>
                <w:sz w:val="18"/>
              </w:rPr>
            </w:pPr>
            <w:r w:rsidRPr="00F83346">
              <w:rPr>
                <w:noProof/>
                <w:sz w:val="18"/>
              </w:rPr>
              <w:t>držav Efte</w:t>
            </w:r>
            <w:r w:rsidRPr="00F83346">
              <w:rPr>
                <w:rStyle w:val="FootnoteReference"/>
                <w:noProof/>
                <w:sz w:val="18"/>
              </w:rPr>
              <w:footnoteReference w:id="20"/>
            </w:r>
          </w:p>
        </w:tc>
        <w:tc>
          <w:tcPr>
            <w:tcW w:w="1206" w:type="dxa"/>
            <w:vAlign w:val="center"/>
          </w:tcPr>
          <w:p w:rsidR="0045691F" w:rsidRPr="00F83346" w:rsidRDefault="0045691F">
            <w:pPr>
              <w:jc w:val="center"/>
              <w:rPr>
                <w:noProof/>
                <w:sz w:val="18"/>
              </w:rPr>
            </w:pPr>
            <w:r w:rsidRPr="00F83346">
              <w:rPr>
                <w:noProof/>
                <w:sz w:val="18"/>
              </w:rPr>
              <w:t>držav kandidatk in potencialnih kandidatk</w:t>
            </w:r>
            <w:r w:rsidRPr="00F83346">
              <w:rPr>
                <w:rStyle w:val="FootnoteReference"/>
                <w:noProof/>
                <w:sz w:val="18"/>
              </w:rPr>
              <w:footnoteReference w:id="21"/>
            </w:r>
          </w:p>
        </w:tc>
        <w:tc>
          <w:tcPr>
            <w:tcW w:w="966" w:type="dxa"/>
            <w:vAlign w:val="center"/>
          </w:tcPr>
          <w:p w:rsidR="0045691F" w:rsidRPr="00F83346" w:rsidRDefault="0045691F">
            <w:pPr>
              <w:jc w:val="center"/>
              <w:rPr>
                <w:noProof/>
                <w:sz w:val="18"/>
              </w:rPr>
            </w:pPr>
            <w:r w:rsidRPr="00F83346">
              <w:rPr>
                <w:noProof/>
                <w:sz w:val="18"/>
              </w:rPr>
              <w:t>drugih tretjih držav</w:t>
            </w:r>
          </w:p>
        </w:tc>
        <w:tc>
          <w:tcPr>
            <w:tcW w:w="1463" w:type="dxa"/>
            <w:vAlign w:val="center"/>
          </w:tcPr>
          <w:p w:rsidR="0045691F" w:rsidRPr="00F83346" w:rsidRDefault="0045691F">
            <w:pPr>
              <w:jc w:val="center"/>
              <w:rPr>
                <w:noProof/>
              </w:rPr>
            </w:pPr>
            <w:r w:rsidRPr="00F83346">
              <w:rPr>
                <w:noProof/>
                <w:sz w:val="18"/>
              </w:rPr>
              <w:t>drugi namenski prejemki</w:t>
            </w:r>
          </w:p>
        </w:tc>
      </w:tr>
      <w:tr w:rsidR="0045691F" w:rsidRPr="00F83346" w:rsidTr="000C4F05">
        <w:trPr>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sz w:val="20"/>
                <w:szCs w:val="20"/>
              </w:rPr>
            </w:pPr>
            <w:r w:rsidRPr="00F83346">
              <w:rPr>
                <w:noProof/>
                <w:sz w:val="20"/>
              </w:rPr>
              <w:t>DA/NE</w:t>
            </w:r>
          </w:p>
        </w:tc>
        <w:tc>
          <w:tcPr>
            <w:tcW w:w="966" w:type="dxa"/>
            <w:vAlign w:val="center"/>
          </w:tcPr>
          <w:p w:rsidR="0045691F" w:rsidRPr="00F83346" w:rsidRDefault="0045691F">
            <w:pPr>
              <w:jc w:val="center"/>
              <w:rPr>
                <w:noProo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r w:rsidR="0045691F" w:rsidRPr="00F83346" w:rsidTr="000C4F05">
        <w:trPr>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sz w:val="20"/>
                <w:szCs w:val="20"/>
              </w:rPr>
            </w:pPr>
            <w:r w:rsidRPr="00F83346">
              <w:rPr>
                <w:noProof/>
                <w:sz w:val="20"/>
              </w:rPr>
              <w:t>DA/NE</w:t>
            </w:r>
          </w:p>
        </w:tc>
        <w:tc>
          <w:tcPr>
            <w:tcW w:w="966" w:type="dxa"/>
            <w:vAlign w:val="center"/>
          </w:tcPr>
          <w:p w:rsidR="0045691F" w:rsidRPr="00F83346" w:rsidRDefault="0045691F">
            <w:pPr>
              <w:jc w:val="center"/>
              <w:rPr>
                <w:noProo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r w:rsidR="0045691F" w:rsidRPr="00F83346" w:rsidTr="000C4F05">
        <w:trPr>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sz w:val="20"/>
                <w:szCs w:val="20"/>
              </w:rPr>
            </w:pPr>
            <w:r w:rsidRPr="00F83346">
              <w:rPr>
                <w:noProof/>
                <w:sz w:val="20"/>
              </w:rPr>
              <w:t>DA/NE</w:t>
            </w:r>
          </w:p>
        </w:tc>
        <w:tc>
          <w:tcPr>
            <w:tcW w:w="966" w:type="dxa"/>
            <w:vAlign w:val="center"/>
          </w:tcPr>
          <w:p w:rsidR="0045691F" w:rsidRPr="00F83346" w:rsidRDefault="0045691F">
            <w:pPr>
              <w:jc w:val="center"/>
              <w:rPr>
                <w:noProo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bl>
    <w:p w:rsidR="0045691F" w:rsidRPr="00F83346" w:rsidRDefault="0045691F">
      <w:pPr>
        <w:pStyle w:val="ListBullet1"/>
        <w:rPr>
          <w:noProof/>
        </w:rPr>
      </w:pPr>
      <w:r w:rsidRPr="00F83346">
        <w:rPr>
          <w:noProof/>
        </w:rPr>
        <w:t xml:space="preserve">Zahtevane nove proračunske vrstice </w:t>
      </w:r>
    </w:p>
    <w:p w:rsidR="0045691F" w:rsidRPr="00F83346" w:rsidRDefault="0045691F">
      <w:pPr>
        <w:pStyle w:val="Text1"/>
        <w:rPr>
          <w:i/>
          <w:noProof/>
          <w:sz w:val="20"/>
        </w:rPr>
      </w:pPr>
      <w:r w:rsidRPr="00F83346">
        <w:rPr>
          <w:i/>
          <w:noProof/>
          <w:u w:val="single"/>
        </w:rPr>
        <w:t>Po vrstnem redu</w:t>
      </w:r>
      <w:r w:rsidRPr="00F83346">
        <w:rPr>
          <w:i/>
          <w:noProof/>
        </w:rPr>
        <w:t xml:space="preserve"> razdelkov večletnega finančnega okvira in proračunskih vrstic</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852"/>
        <w:gridCol w:w="1206"/>
        <w:gridCol w:w="966"/>
        <w:gridCol w:w="1463"/>
      </w:tblGrid>
      <w:tr w:rsidR="0045691F" w:rsidRPr="00F83346" w:rsidTr="000C4F05">
        <w:trPr>
          <w:jc w:val="center"/>
        </w:trPr>
        <w:tc>
          <w:tcPr>
            <w:tcW w:w="1092" w:type="dxa"/>
            <w:vMerge w:val="restart"/>
            <w:vAlign w:val="center"/>
          </w:tcPr>
          <w:p w:rsidR="0045691F" w:rsidRPr="00F83346" w:rsidRDefault="0045691F">
            <w:pPr>
              <w:spacing w:before="60" w:after="60"/>
              <w:jc w:val="center"/>
              <w:rPr>
                <w:noProof/>
                <w:sz w:val="18"/>
                <w:szCs w:val="18"/>
              </w:rPr>
            </w:pPr>
            <w:r w:rsidRPr="00F83346">
              <w:rPr>
                <w:noProof/>
                <w:sz w:val="18"/>
              </w:rPr>
              <w:t>Razdelek večletnega finančnega okvira</w:t>
            </w:r>
          </w:p>
        </w:tc>
        <w:tc>
          <w:tcPr>
            <w:tcW w:w="4002" w:type="dxa"/>
            <w:vAlign w:val="center"/>
          </w:tcPr>
          <w:p w:rsidR="0045691F" w:rsidRPr="00F83346" w:rsidRDefault="0045691F">
            <w:pPr>
              <w:spacing w:before="60" w:after="60"/>
              <w:jc w:val="center"/>
              <w:rPr>
                <w:noProof/>
              </w:rPr>
            </w:pPr>
            <w:r w:rsidRPr="00F83346">
              <w:rPr>
                <w:noProof/>
                <w:sz w:val="20"/>
              </w:rPr>
              <w:t>Proračunska vrstica</w:t>
            </w:r>
          </w:p>
        </w:tc>
        <w:tc>
          <w:tcPr>
            <w:tcW w:w="1092" w:type="dxa"/>
            <w:vAlign w:val="center"/>
          </w:tcPr>
          <w:p w:rsidR="0045691F" w:rsidRPr="00F83346" w:rsidRDefault="0045691F">
            <w:pPr>
              <w:spacing w:before="60" w:after="60"/>
              <w:jc w:val="center"/>
              <w:rPr>
                <w:noProof/>
              </w:rPr>
            </w:pPr>
            <w:r w:rsidRPr="00F83346">
              <w:rPr>
                <w:noProof/>
                <w:sz w:val="18"/>
              </w:rPr>
              <w:t>Vrsta odhodkov</w:t>
            </w:r>
          </w:p>
        </w:tc>
        <w:tc>
          <w:tcPr>
            <w:tcW w:w="4487" w:type="dxa"/>
            <w:gridSpan w:val="4"/>
            <w:vAlign w:val="center"/>
          </w:tcPr>
          <w:p w:rsidR="0045691F" w:rsidRPr="00F83346" w:rsidRDefault="0045691F">
            <w:pPr>
              <w:spacing w:before="60" w:after="60"/>
              <w:jc w:val="center"/>
              <w:rPr>
                <w:noProof/>
              </w:rPr>
            </w:pPr>
            <w:r w:rsidRPr="00F83346">
              <w:rPr>
                <w:noProof/>
                <w:sz w:val="20"/>
              </w:rPr>
              <w:t xml:space="preserve">Prispevek </w:t>
            </w:r>
          </w:p>
        </w:tc>
      </w:tr>
      <w:tr w:rsidR="0045691F" w:rsidRPr="00F83346" w:rsidTr="000C4F05">
        <w:trPr>
          <w:cantSplit/>
          <w:jc w:val="center"/>
        </w:trPr>
        <w:tc>
          <w:tcPr>
            <w:tcW w:w="1092" w:type="dxa"/>
            <w:vMerge/>
            <w:vAlign w:val="center"/>
          </w:tcPr>
          <w:p w:rsidR="0045691F" w:rsidRPr="00F83346" w:rsidRDefault="0045691F">
            <w:pPr>
              <w:jc w:val="center"/>
              <w:rPr>
                <w:noProof/>
              </w:rPr>
            </w:pPr>
          </w:p>
        </w:tc>
        <w:tc>
          <w:tcPr>
            <w:tcW w:w="4002" w:type="dxa"/>
            <w:vAlign w:val="center"/>
          </w:tcPr>
          <w:p w:rsidR="0045691F" w:rsidRPr="00F83346" w:rsidRDefault="0045691F">
            <w:pPr>
              <w:rPr>
                <w:noProof/>
              </w:rPr>
            </w:pPr>
            <w:r w:rsidRPr="00F83346">
              <w:rPr>
                <w:noProof/>
                <w:sz w:val="20"/>
              </w:rPr>
              <w:t xml:space="preserve">številka </w:t>
            </w:r>
            <w:r w:rsidRPr="00F83346">
              <w:rPr>
                <w:noProof/>
                <w:sz w:val="22"/>
              </w:rPr>
              <w:br/>
            </w:r>
          </w:p>
        </w:tc>
        <w:tc>
          <w:tcPr>
            <w:tcW w:w="1092" w:type="dxa"/>
            <w:vAlign w:val="center"/>
          </w:tcPr>
          <w:p w:rsidR="0045691F" w:rsidRPr="00F83346" w:rsidRDefault="0045691F">
            <w:pPr>
              <w:jc w:val="center"/>
              <w:rPr>
                <w:noProof/>
              </w:rPr>
            </w:pPr>
            <w:r w:rsidRPr="00F83346">
              <w:rPr>
                <w:noProof/>
                <w:sz w:val="18"/>
              </w:rPr>
              <w:t>dif./nedif.</w:t>
            </w:r>
          </w:p>
        </w:tc>
        <w:tc>
          <w:tcPr>
            <w:tcW w:w="852" w:type="dxa"/>
            <w:vAlign w:val="center"/>
          </w:tcPr>
          <w:p w:rsidR="0045691F" w:rsidRPr="00F83346" w:rsidRDefault="0045691F">
            <w:pPr>
              <w:jc w:val="center"/>
              <w:rPr>
                <w:noProof/>
                <w:sz w:val="18"/>
              </w:rPr>
            </w:pPr>
            <w:r w:rsidRPr="00F83346">
              <w:rPr>
                <w:noProof/>
                <w:sz w:val="18"/>
              </w:rPr>
              <w:t>držav Efte</w:t>
            </w:r>
          </w:p>
        </w:tc>
        <w:tc>
          <w:tcPr>
            <w:tcW w:w="1206" w:type="dxa"/>
            <w:vAlign w:val="center"/>
          </w:tcPr>
          <w:p w:rsidR="0045691F" w:rsidRPr="00F83346" w:rsidRDefault="0045691F">
            <w:pPr>
              <w:jc w:val="center"/>
              <w:rPr>
                <w:noProof/>
                <w:sz w:val="18"/>
              </w:rPr>
            </w:pPr>
            <w:r w:rsidRPr="00F83346">
              <w:rPr>
                <w:noProof/>
                <w:sz w:val="18"/>
              </w:rPr>
              <w:t>držav kandidatk in potencialnih kandidatk</w:t>
            </w:r>
          </w:p>
        </w:tc>
        <w:tc>
          <w:tcPr>
            <w:tcW w:w="966" w:type="dxa"/>
            <w:vAlign w:val="center"/>
          </w:tcPr>
          <w:p w:rsidR="0045691F" w:rsidRPr="00F83346" w:rsidRDefault="0045691F">
            <w:pPr>
              <w:jc w:val="center"/>
              <w:rPr>
                <w:noProof/>
                <w:sz w:val="18"/>
              </w:rPr>
            </w:pPr>
            <w:r w:rsidRPr="00F83346">
              <w:rPr>
                <w:noProof/>
                <w:sz w:val="18"/>
              </w:rPr>
              <w:t>drugih tretjih držav</w:t>
            </w:r>
          </w:p>
        </w:tc>
        <w:tc>
          <w:tcPr>
            <w:tcW w:w="1463" w:type="dxa"/>
            <w:vAlign w:val="center"/>
          </w:tcPr>
          <w:p w:rsidR="0045691F" w:rsidRPr="00F83346" w:rsidRDefault="0045691F">
            <w:pPr>
              <w:jc w:val="center"/>
              <w:rPr>
                <w:noProof/>
              </w:rPr>
            </w:pPr>
            <w:r w:rsidRPr="00F83346">
              <w:rPr>
                <w:noProof/>
                <w:sz w:val="18"/>
              </w:rPr>
              <w:t xml:space="preserve">drugi namenski prejemki </w:t>
            </w:r>
          </w:p>
        </w:tc>
      </w:tr>
      <w:tr w:rsidR="0045691F" w:rsidRPr="00F83346" w:rsidTr="000C4F05">
        <w:trPr>
          <w:cantSplit/>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sz w:val="20"/>
                <w:szCs w:val="20"/>
              </w:rPr>
            </w:pPr>
            <w:r w:rsidRPr="00F83346">
              <w:rPr>
                <w:noProof/>
                <w:sz w:val="20"/>
              </w:rPr>
              <w:t>DA/NE</w:t>
            </w:r>
          </w:p>
        </w:tc>
        <w:tc>
          <w:tcPr>
            <w:tcW w:w="966" w:type="dxa"/>
            <w:vAlign w:val="center"/>
          </w:tcPr>
          <w:p w:rsidR="0045691F" w:rsidRPr="00F83346" w:rsidRDefault="0045691F">
            <w:pPr>
              <w:jc w:val="center"/>
              <w:rPr>
                <w:noProo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r w:rsidR="0045691F" w:rsidRPr="00F83346" w:rsidTr="000C4F05">
        <w:trPr>
          <w:cantSplit/>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sz w:val="20"/>
                <w:szCs w:val="20"/>
              </w:rPr>
            </w:pPr>
            <w:r w:rsidRPr="00F83346">
              <w:rPr>
                <w:noProof/>
                <w:sz w:val="20"/>
              </w:rPr>
              <w:t>DA/NE</w:t>
            </w:r>
          </w:p>
        </w:tc>
        <w:tc>
          <w:tcPr>
            <w:tcW w:w="966" w:type="dxa"/>
            <w:vAlign w:val="center"/>
          </w:tcPr>
          <w:p w:rsidR="0045691F" w:rsidRPr="00F83346" w:rsidRDefault="0045691F">
            <w:pPr>
              <w:jc w:val="center"/>
              <w:rPr>
                <w:noProo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r w:rsidR="0045691F" w:rsidRPr="00F83346" w:rsidTr="000C4F05">
        <w:trPr>
          <w:jc w:val="center"/>
        </w:trPr>
        <w:tc>
          <w:tcPr>
            <w:tcW w:w="1092" w:type="dxa"/>
            <w:vAlign w:val="center"/>
          </w:tcPr>
          <w:p w:rsidR="0045691F" w:rsidRPr="00F83346" w:rsidRDefault="0045691F">
            <w:pPr>
              <w:jc w:val="center"/>
              <w:rPr>
                <w:noProof/>
                <w:color w:val="0000FF"/>
              </w:rPr>
            </w:pPr>
          </w:p>
        </w:tc>
        <w:tc>
          <w:tcPr>
            <w:tcW w:w="4002" w:type="dxa"/>
            <w:vAlign w:val="center"/>
          </w:tcPr>
          <w:p w:rsidR="0045691F" w:rsidRPr="00F83346" w:rsidRDefault="0045691F">
            <w:pPr>
              <w:spacing w:before="60"/>
              <w:rPr>
                <w:noProof/>
              </w:rPr>
            </w:pPr>
            <w:r w:rsidRPr="00F83346">
              <w:rPr>
                <w:noProof/>
                <w:sz w:val="22"/>
              </w:rPr>
              <w:t>[XX YY YY YY]</w:t>
            </w:r>
          </w:p>
          <w:p w:rsidR="0045691F" w:rsidRPr="00F83346" w:rsidRDefault="0045691F">
            <w:pPr>
              <w:spacing w:after="60"/>
              <w:rPr>
                <w:noProof/>
                <w:color w:val="0000FF"/>
              </w:rPr>
            </w:pPr>
          </w:p>
        </w:tc>
        <w:tc>
          <w:tcPr>
            <w:tcW w:w="1092" w:type="dxa"/>
            <w:vAlign w:val="center"/>
          </w:tcPr>
          <w:p w:rsidR="0045691F" w:rsidRPr="00F83346" w:rsidRDefault="0045691F">
            <w:pPr>
              <w:jc w:val="center"/>
              <w:rPr>
                <w:noProof/>
                <w:color w:val="0000FF"/>
              </w:rPr>
            </w:pPr>
            <w:r w:rsidRPr="00F83346">
              <w:rPr>
                <w:noProof/>
                <w:sz w:val="22"/>
              </w:rPr>
              <w:t>dif./nedif.</w:t>
            </w:r>
          </w:p>
        </w:tc>
        <w:tc>
          <w:tcPr>
            <w:tcW w:w="852" w:type="dxa"/>
            <w:vAlign w:val="center"/>
          </w:tcPr>
          <w:p w:rsidR="0045691F" w:rsidRPr="00F83346" w:rsidRDefault="0045691F">
            <w:pPr>
              <w:jc w:val="center"/>
              <w:rPr>
                <w:noProof/>
                <w:sz w:val="20"/>
                <w:szCs w:val="20"/>
              </w:rPr>
            </w:pPr>
            <w:r w:rsidRPr="00F83346">
              <w:rPr>
                <w:noProof/>
                <w:sz w:val="20"/>
              </w:rPr>
              <w:t>DA/NE</w:t>
            </w:r>
          </w:p>
        </w:tc>
        <w:tc>
          <w:tcPr>
            <w:tcW w:w="1206" w:type="dxa"/>
            <w:vAlign w:val="center"/>
          </w:tcPr>
          <w:p w:rsidR="0045691F" w:rsidRPr="00F83346" w:rsidRDefault="0045691F">
            <w:pPr>
              <w:jc w:val="center"/>
              <w:rPr>
                <w:noProof/>
                <w:color w:val="0000FF"/>
                <w:sz w:val="20"/>
                <w:szCs w:val="20"/>
              </w:rPr>
            </w:pPr>
            <w:r w:rsidRPr="00F83346">
              <w:rPr>
                <w:noProof/>
                <w:sz w:val="20"/>
              </w:rPr>
              <w:t>DA/NE</w:t>
            </w:r>
          </w:p>
        </w:tc>
        <w:tc>
          <w:tcPr>
            <w:tcW w:w="966" w:type="dxa"/>
            <w:vAlign w:val="center"/>
          </w:tcPr>
          <w:p w:rsidR="0045691F" w:rsidRPr="00F83346" w:rsidRDefault="0045691F">
            <w:pPr>
              <w:jc w:val="center"/>
              <w:rPr>
                <w:noProof/>
                <w:color w:val="0000FF"/>
                <w:sz w:val="20"/>
                <w:szCs w:val="20"/>
              </w:rPr>
            </w:pPr>
            <w:r w:rsidRPr="00F83346">
              <w:rPr>
                <w:noProof/>
                <w:sz w:val="20"/>
              </w:rPr>
              <w:t>DA/NE</w:t>
            </w:r>
          </w:p>
        </w:tc>
        <w:tc>
          <w:tcPr>
            <w:tcW w:w="1463" w:type="dxa"/>
            <w:vAlign w:val="center"/>
          </w:tcPr>
          <w:p w:rsidR="0045691F" w:rsidRPr="00F83346" w:rsidRDefault="0045691F">
            <w:pPr>
              <w:jc w:val="center"/>
              <w:rPr>
                <w:noProof/>
                <w:sz w:val="20"/>
                <w:szCs w:val="20"/>
              </w:rPr>
            </w:pPr>
            <w:r w:rsidRPr="00F83346">
              <w:rPr>
                <w:noProof/>
                <w:sz w:val="20"/>
              </w:rPr>
              <w:t>DA/NE</w:t>
            </w:r>
          </w:p>
        </w:tc>
      </w:tr>
    </w:tbl>
    <w:p w:rsidR="0045691F" w:rsidRPr="00F83346" w:rsidRDefault="0045691F">
      <w:pPr>
        <w:rPr>
          <w:noProof/>
        </w:rPr>
        <w:sectPr w:rsidR="0045691F" w:rsidRPr="00F83346" w:rsidSect="00F82B96">
          <w:pgSz w:w="11907" w:h="16840" w:code="1"/>
          <w:pgMar w:top="1134" w:right="1418" w:bottom="1134" w:left="1418" w:header="709" w:footer="709" w:gutter="0"/>
          <w:cols w:space="708"/>
          <w:docGrid w:linePitch="360"/>
        </w:sectPr>
      </w:pPr>
    </w:p>
    <w:p w:rsidR="0045691F" w:rsidRPr="00F83346" w:rsidRDefault="0045691F">
      <w:pPr>
        <w:pStyle w:val="ManualHeading2"/>
        <w:rPr>
          <w:bCs/>
          <w:noProof/>
          <w:szCs w:val="24"/>
        </w:rPr>
      </w:pPr>
      <w:bookmarkStart w:id="130" w:name="_Toc514938052"/>
      <w:bookmarkStart w:id="131" w:name="_Toc520485051"/>
      <w:bookmarkStart w:id="132" w:name="_Toc160804593"/>
      <w:bookmarkStart w:id="133" w:name="_Toc167220285"/>
      <w:bookmarkStart w:id="134" w:name="_Toc177549018"/>
      <w:r w:rsidRPr="00F83346">
        <w:rPr>
          <w:noProof/>
        </w:rPr>
        <w:t>3.2</w:t>
      </w:r>
      <w:r w:rsidRPr="00F83346">
        <w:rPr>
          <w:noProof/>
        </w:rPr>
        <w:tab/>
        <w:t>Ocenjene finančne posledice predloga za odobritve</w:t>
      </w:r>
      <w:bookmarkEnd w:id="130"/>
      <w:bookmarkEnd w:id="131"/>
      <w:bookmarkEnd w:id="132"/>
      <w:bookmarkEnd w:id="133"/>
      <w:bookmarkEnd w:id="134"/>
      <w:r w:rsidRPr="00F83346">
        <w:rPr>
          <w:noProof/>
        </w:rPr>
        <w:t xml:space="preserve"> </w:t>
      </w:r>
    </w:p>
    <w:p w:rsidR="0045691F" w:rsidRPr="00F83346" w:rsidRDefault="0045691F">
      <w:pPr>
        <w:pStyle w:val="ManualHeading3"/>
        <w:rPr>
          <w:noProof/>
        </w:rPr>
      </w:pPr>
      <w:bookmarkStart w:id="135" w:name="_Toc514938053"/>
      <w:bookmarkStart w:id="136" w:name="_Toc520485052"/>
      <w:bookmarkStart w:id="137" w:name="_Toc160804594"/>
      <w:bookmarkStart w:id="138" w:name="_Toc167220286"/>
      <w:bookmarkStart w:id="139" w:name="_Toc177549019"/>
      <w:r w:rsidRPr="00F83346">
        <w:rPr>
          <w:noProof/>
        </w:rPr>
        <w:t>3.2.1</w:t>
      </w:r>
      <w:r w:rsidRPr="00F83346">
        <w:rPr>
          <w:noProof/>
        </w:rPr>
        <w:tab/>
        <w:t>Povzetek ocenjenih posledic za odobritve za poslovanje</w:t>
      </w:r>
      <w:bookmarkEnd w:id="135"/>
      <w:bookmarkEnd w:id="136"/>
      <w:bookmarkEnd w:id="137"/>
      <w:bookmarkEnd w:id="138"/>
      <w:bookmarkEnd w:id="139"/>
      <w:r w:rsidRPr="00F83346">
        <w:rPr>
          <w:noProof/>
        </w:rPr>
        <w:t xml:space="preserve"> </w:t>
      </w:r>
    </w:p>
    <w:p w:rsidR="0045691F" w:rsidRPr="00F83346" w:rsidRDefault="000C4AD9">
      <w:pPr>
        <w:pStyle w:val="ListDash1"/>
        <w:rPr>
          <w:noProof/>
        </w:rPr>
      </w:pPr>
      <w:r w:rsidRPr="00F83346">
        <w:rPr>
          <w:rFonts w:ascii="Wingdings" w:hAnsi="Wingdings"/>
          <w:noProof/>
        </w:rPr>
        <w:t></w:t>
      </w:r>
      <w:r w:rsidRPr="00F83346">
        <w:rPr>
          <w:noProof/>
        </w:rPr>
        <w:tab/>
        <w:t xml:space="preserve">Za predlog/pobudo niso potrebne odobritve za poslovanje. </w:t>
      </w:r>
    </w:p>
    <w:p w:rsidR="0045691F" w:rsidRPr="00F83346" w:rsidRDefault="0045691F">
      <w:pPr>
        <w:pStyle w:val="ListDash1"/>
        <w:rPr>
          <w:noProof/>
        </w:rPr>
      </w:pPr>
      <w:r w:rsidRPr="00F83346">
        <w:rPr>
          <w:rFonts w:ascii="Wingdings" w:hAnsi="Wingdings"/>
          <w:noProof/>
        </w:rPr>
        <w:t></w:t>
      </w:r>
      <w:r w:rsidRPr="00F83346">
        <w:rPr>
          <w:noProof/>
        </w:rPr>
        <w:tab/>
        <w:t>Za predlog/pobudo so potrebne odobritve za poslovanje, kot je pojasnjeno v nadaljevanju:</w:t>
      </w:r>
    </w:p>
    <w:p w:rsidR="0045691F" w:rsidRPr="00F83346" w:rsidRDefault="0045691F">
      <w:pPr>
        <w:pStyle w:val="ManualHeading3"/>
        <w:rPr>
          <w:noProof/>
        </w:rPr>
      </w:pPr>
      <w:bookmarkStart w:id="140" w:name="_Toc160804595"/>
      <w:bookmarkStart w:id="141" w:name="_Toc167220287"/>
      <w:bookmarkStart w:id="142" w:name="_Toc177549020"/>
      <w:r w:rsidRPr="00F83346">
        <w:rPr>
          <w:noProof/>
        </w:rPr>
        <w:t>3.2.1.1</w:t>
      </w:r>
      <w:r w:rsidRPr="00F83346">
        <w:rPr>
          <w:noProof/>
        </w:rPr>
        <w:tab/>
        <w:t>Odobritve iz izglasovanega proračuna</w:t>
      </w:r>
      <w:bookmarkEnd w:id="140"/>
      <w:bookmarkEnd w:id="141"/>
      <w:bookmarkEnd w:id="142"/>
    </w:p>
    <w:p w:rsidR="0045691F" w:rsidRPr="00F83346" w:rsidRDefault="0045691F">
      <w:pPr>
        <w:jc w:val="right"/>
        <w:rPr>
          <w:noProof/>
          <w:sz w:val="18"/>
          <w:szCs w:val="18"/>
        </w:rPr>
      </w:pPr>
      <w:r w:rsidRPr="00F83346">
        <w:rPr>
          <w:noProof/>
          <w:sz w:val="18"/>
        </w:rPr>
        <w:t>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45691F" w:rsidRPr="00F83346">
        <w:tc>
          <w:tcPr>
            <w:tcW w:w="1739" w:type="pct"/>
            <w:shd w:val="thinDiagStripe" w:color="C0C0C0" w:fill="auto"/>
            <w:vAlign w:val="center"/>
          </w:tcPr>
          <w:p w:rsidR="0045691F" w:rsidRPr="00F83346" w:rsidRDefault="0045691F">
            <w:pPr>
              <w:spacing w:before="60" w:after="60"/>
              <w:jc w:val="center"/>
              <w:rPr>
                <w:b/>
                <w:noProof/>
              </w:rPr>
            </w:pPr>
            <w:r w:rsidRPr="00F83346">
              <w:rPr>
                <w:b/>
                <w:noProof/>
                <w:sz w:val="22"/>
              </w:rPr>
              <w:t xml:space="preserve">Razdelek večletnega finančnega okvira </w:t>
            </w:r>
          </w:p>
        </w:tc>
        <w:tc>
          <w:tcPr>
            <w:tcW w:w="396" w:type="pct"/>
            <w:vAlign w:val="center"/>
          </w:tcPr>
          <w:p w:rsidR="0045691F" w:rsidRPr="00F83346" w:rsidRDefault="0045691F">
            <w:pPr>
              <w:spacing w:before="60" w:after="60"/>
              <w:jc w:val="center"/>
              <w:rPr>
                <w:noProof/>
              </w:rPr>
            </w:pPr>
            <w:r w:rsidRPr="00F83346">
              <w:rPr>
                <w:noProof/>
                <w:sz w:val="22"/>
              </w:rPr>
              <w:t>številka</w:t>
            </w:r>
          </w:p>
        </w:tc>
        <w:tc>
          <w:tcPr>
            <w:tcW w:w="2865" w:type="pct"/>
            <w:vAlign w:val="center"/>
          </w:tcPr>
          <w:p w:rsidR="0045691F" w:rsidRPr="00F83346" w:rsidRDefault="0045691F">
            <w:pPr>
              <w:spacing w:before="60" w:after="60"/>
              <w:rPr>
                <w:noProof/>
              </w:rPr>
            </w:pPr>
          </w:p>
        </w:tc>
      </w:tr>
    </w:tbl>
    <w:p w:rsidR="0045691F" w:rsidRPr="00F83346" w:rsidRDefault="0045691F">
      <w:pPr>
        <w:rPr>
          <w:noProof/>
          <w:sz w:val="16"/>
        </w:rPr>
      </w:pPr>
    </w:p>
    <w:tbl>
      <w:tblPr>
        <w:tblW w:w="5000" w:type="pct"/>
        <w:tblLook w:val="04A0" w:firstRow="1" w:lastRow="0" w:firstColumn="1" w:lastColumn="0" w:noHBand="0" w:noVBand="1"/>
      </w:tblPr>
      <w:tblGrid>
        <w:gridCol w:w="4012"/>
        <w:gridCol w:w="23"/>
        <w:gridCol w:w="910"/>
        <w:gridCol w:w="572"/>
        <w:gridCol w:w="23"/>
        <w:gridCol w:w="532"/>
        <w:gridCol w:w="845"/>
        <w:gridCol w:w="34"/>
        <w:gridCol w:w="1368"/>
        <w:gridCol w:w="43"/>
        <w:gridCol w:w="1359"/>
        <w:gridCol w:w="51"/>
        <w:gridCol w:w="1351"/>
        <w:gridCol w:w="60"/>
        <w:gridCol w:w="1342"/>
        <w:gridCol w:w="17"/>
        <w:gridCol w:w="1678"/>
      </w:tblGrid>
      <w:tr w:rsidR="0045691F" w:rsidRPr="00F83346">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2"/>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tcBorders>
              <w:left w:val="single" w:sz="8" w:space="0" w:color="auto"/>
              <w:bottom w:val="single" w:sz="4"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3"/>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SKUPAJ </w:t>
            </w:r>
            <w:r w:rsidRPr="00F83346">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56"/>
        </w:trPr>
        <w:tc>
          <w:tcPr>
            <w:tcW w:w="1411"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upravne narave, ki se financirajo iz sredstev določenih programov, SKUPAJ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&lt;…….&gt; </w:t>
            </w:r>
            <w:r w:rsidRPr="00F83346">
              <w:rPr>
                <w:noProof/>
                <w:color w:val="000000"/>
                <w:sz w:val="22"/>
              </w:rPr>
              <w:t>večletnega finančnega okvira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rsidR="0045691F" w:rsidRPr="00F83346" w:rsidRDefault="0045691F">
            <w:pPr>
              <w:spacing w:before="60" w:after="60"/>
              <w:jc w:val="center"/>
              <w:rPr>
                <w:b/>
                <w:noProof/>
              </w:rPr>
            </w:pPr>
            <w:r w:rsidRPr="00F83346">
              <w:rPr>
                <w:b/>
                <w:noProof/>
                <w:sz w:val="22"/>
              </w:rPr>
              <w:t xml:space="preserve">Razdelek </w:t>
            </w:r>
            <w:r w:rsidRPr="00F83346">
              <w:rPr>
                <w:noProof/>
                <w:sz w:val="22"/>
              </w:rPr>
              <w:br/>
            </w:r>
            <w:r w:rsidRPr="00F83346">
              <w:rPr>
                <w:b/>
                <w:noProof/>
                <w:sz w:val="22"/>
              </w:rPr>
              <w:t xml:space="preserve">večletnega finančnega okvira </w:t>
            </w:r>
          </w:p>
        </w:tc>
        <w:tc>
          <w:tcPr>
            <w:tcW w:w="396" w:type="pct"/>
            <w:gridSpan w:val="3"/>
            <w:vAlign w:val="center"/>
          </w:tcPr>
          <w:p w:rsidR="0045691F" w:rsidRPr="00F83346" w:rsidRDefault="0045691F">
            <w:pPr>
              <w:spacing w:before="60" w:after="60"/>
              <w:jc w:val="center"/>
              <w:rPr>
                <w:noProof/>
              </w:rPr>
            </w:pPr>
            <w:r w:rsidRPr="00F83346">
              <w:rPr>
                <w:noProof/>
                <w:sz w:val="22"/>
              </w:rPr>
              <w:t>številka</w:t>
            </w:r>
          </w:p>
        </w:tc>
        <w:tc>
          <w:tcPr>
            <w:tcW w:w="2865" w:type="pct"/>
            <w:gridSpan w:val="11"/>
            <w:vAlign w:val="center"/>
          </w:tcPr>
          <w:p w:rsidR="0045691F" w:rsidRPr="00F83346" w:rsidRDefault="0045691F">
            <w:pPr>
              <w:spacing w:before="60" w:after="60"/>
              <w:rPr>
                <w:noProof/>
              </w:rPr>
            </w:pPr>
          </w:p>
        </w:tc>
      </w:tr>
    </w:tbl>
    <w:p w:rsidR="0045691F" w:rsidRPr="00F83346" w:rsidRDefault="0045691F">
      <w:pPr>
        <w:rPr>
          <w:noProof/>
        </w:rPr>
      </w:pPr>
    </w:p>
    <w:tbl>
      <w:tblPr>
        <w:tblW w:w="5000" w:type="pct"/>
        <w:tblLook w:val="04A0" w:firstRow="1" w:lastRow="0" w:firstColumn="1" w:lastColumn="0" w:noHBand="0" w:noVBand="1"/>
      </w:tblPr>
      <w:tblGrid>
        <w:gridCol w:w="4329"/>
        <w:gridCol w:w="1399"/>
        <w:gridCol w:w="1960"/>
        <w:gridCol w:w="1254"/>
        <w:gridCol w:w="1254"/>
        <w:gridCol w:w="1254"/>
        <w:gridCol w:w="1254"/>
        <w:gridCol w:w="1516"/>
      </w:tblGrid>
      <w:tr w:rsidR="0045691F" w:rsidRPr="00F83346">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b/>
                <w:bCs/>
                <w:noProof/>
                <w:color w:val="000000"/>
                <w:sz w:val="20"/>
                <w:szCs w:val="20"/>
                <w:lang w:eastAsia="en-IE"/>
              </w:rPr>
            </w:pPr>
          </w:p>
        </w:tc>
      </w:tr>
      <w:tr w:rsidR="0045691F" w:rsidRPr="00F83346">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tcBorders>
              <w:top w:val="nil"/>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tcBorders>
              <w:top w:val="nil"/>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4"/>
            </w:r>
            <w:r w:rsidRPr="00F83346">
              <w:rPr>
                <w:noProof/>
                <w:color w:val="000000"/>
                <w:sz w:val="22"/>
              </w:rPr>
              <w:t xml:space="preserve"> </w:t>
            </w:r>
          </w:p>
        </w:tc>
      </w:tr>
      <w:tr w:rsidR="0045691F" w:rsidRPr="00F83346">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688" w:type="pct"/>
            <w:tcBorders>
              <w:top w:val="nil"/>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tcBorders>
              <w:top w:val="nil"/>
              <w:left w:val="single" w:sz="8" w:space="0" w:color="auto"/>
              <w:bottom w:val="nil"/>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SKUPAJ</w:t>
            </w:r>
          </w:p>
        </w:tc>
        <w:tc>
          <w:tcPr>
            <w:tcW w:w="49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rPr>
          <w:noProof/>
        </w:rPr>
      </w:pPr>
    </w:p>
    <w:tbl>
      <w:tblPr>
        <w:tblW w:w="5000" w:type="pct"/>
        <w:tblLook w:val="04A0" w:firstRow="1" w:lastRow="0" w:firstColumn="1" w:lastColumn="0" w:noHBand="0" w:noVBand="1"/>
      </w:tblPr>
      <w:tblGrid>
        <w:gridCol w:w="4329"/>
        <w:gridCol w:w="1340"/>
        <w:gridCol w:w="2019"/>
        <w:gridCol w:w="1254"/>
        <w:gridCol w:w="1254"/>
        <w:gridCol w:w="1254"/>
        <w:gridCol w:w="1254"/>
        <w:gridCol w:w="1516"/>
      </w:tblGrid>
      <w:tr w:rsidR="0045691F" w:rsidRPr="00F83346">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b/>
                <w:bCs/>
                <w:noProof/>
                <w:color w:val="000000"/>
                <w:sz w:val="20"/>
                <w:szCs w:val="20"/>
                <w:lang w:eastAsia="en-IE"/>
              </w:rPr>
            </w:pPr>
          </w:p>
        </w:tc>
      </w:tr>
      <w:tr w:rsidR="0045691F" w:rsidRPr="00F83346">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tcBorders>
              <w:top w:val="nil"/>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vMerge/>
            <w:tcBorders>
              <w:top w:val="nil"/>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5"/>
            </w:r>
            <w:r w:rsidRPr="00F83346">
              <w:rPr>
                <w:noProof/>
                <w:color w:val="000000"/>
                <w:sz w:val="22"/>
              </w:rPr>
              <w:t xml:space="preserve"> </w:t>
            </w:r>
          </w:p>
        </w:tc>
      </w:tr>
      <w:tr w:rsidR="0045691F" w:rsidRPr="00F83346">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709" w:type="pct"/>
            <w:tcBorders>
              <w:top w:val="nil"/>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tcBorders>
              <w:top w:val="nil"/>
              <w:left w:val="single" w:sz="8" w:space="0" w:color="auto"/>
              <w:bottom w:val="nil"/>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SKUPAJ</w:t>
            </w:r>
          </w:p>
        </w:tc>
        <w:tc>
          <w:tcPr>
            <w:tcW w:w="47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rPr>
          <w:noProof/>
        </w:rPr>
      </w:pPr>
    </w:p>
    <w:tbl>
      <w:tblPr>
        <w:tblW w:w="5000" w:type="pct"/>
        <w:tblLook w:val="04A0" w:firstRow="1" w:lastRow="0" w:firstColumn="1" w:lastColumn="0" w:noHBand="0" w:noVBand="1"/>
      </w:tblPr>
      <w:tblGrid>
        <w:gridCol w:w="4013"/>
        <w:gridCol w:w="316"/>
        <w:gridCol w:w="1189"/>
        <w:gridCol w:w="151"/>
        <w:gridCol w:w="1038"/>
        <w:gridCol w:w="210"/>
        <w:gridCol w:w="830"/>
        <w:gridCol w:w="572"/>
        <w:gridCol w:w="671"/>
        <w:gridCol w:w="731"/>
        <w:gridCol w:w="512"/>
        <w:gridCol w:w="890"/>
        <w:gridCol w:w="353"/>
        <w:gridCol w:w="1049"/>
        <w:gridCol w:w="193"/>
        <w:gridCol w:w="1502"/>
      </w:tblGrid>
      <w:tr w:rsidR="0045691F" w:rsidRPr="00F83346">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SKUPAJ </w:t>
            </w:r>
            <w:r w:rsidRPr="00F83346">
              <w:rPr>
                <w:noProof/>
                <w:color w:val="000000"/>
                <w:sz w:val="21"/>
              </w:rPr>
              <w:br/>
            </w:r>
          </w:p>
        </w:tc>
        <w:tc>
          <w:tcPr>
            <w:tcW w:w="529"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56"/>
        </w:trPr>
        <w:tc>
          <w:tcPr>
            <w:tcW w:w="1411"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24"/>
        </w:trPr>
        <w:tc>
          <w:tcPr>
            <w:tcW w:w="1939"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upravne narave, ki se financirajo iz sredstev določenih programov, SKUPAJ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&lt;…….&gt; </w:t>
            </w:r>
            <w:r w:rsidRPr="00F83346">
              <w:rPr>
                <w:noProof/>
                <w:color w:val="000000"/>
                <w:sz w:val="22"/>
              </w:rPr>
              <w:t>večletnega finančnega okvira</w:t>
            </w:r>
          </w:p>
        </w:tc>
        <w:tc>
          <w:tcPr>
            <w:tcW w:w="529"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2"/>
              </w:rPr>
            </w:pPr>
            <w:r w:rsidRPr="00F83346">
              <w:rPr>
                <w:b/>
                <w:noProof/>
                <w:color w:val="000000"/>
                <w:sz w:val="22"/>
              </w:rPr>
              <w:t>SKUPAJ</w:t>
            </w:r>
          </w:p>
        </w:tc>
        <w:tc>
          <w:tcPr>
            <w:tcW w:w="529"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522" w:type="pct"/>
            <w:gridSpan w:val="2"/>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4"/>
                <w:lang w:eastAsia="en-IE"/>
              </w:rPr>
            </w:pPr>
          </w:p>
        </w:tc>
        <w:tc>
          <w:tcPr>
            <w:tcW w:w="471" w:type="pct"/>
            <w:gridSpan w:val="2"/>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gridSpan w:val="2"/>
            <w:tcBorders>
              <w:top w:val="nil"/>
              <w:left w:val="nil"/>
              <w:bottom w:val="nil"/>
              <w:right w:val="single" w:sz="4" w:space="0" w:color="auto"/>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2"/>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2"/>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2"/>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1522" w:type="pct"/>
            <w:gridSpan w:val="2"/>
            <w:tcBorders>
              <w:top w:val="nil"/>
              <w:left w:val="nil"/>
              <w:bottom w:val="nil"/>
              <w:right w:val="nil"/>
            </w:tcBorders>
            <w:shd w:val="clear" w:color="auto" w:fill="auto"/>
            <w:noWrap/>
            <w:vAlign w:val="bottom"/>
            <w:hideMark/>
          </w:tcPr>
          <w:p w:rsidR="0045691F" w:rsidRPr="00F83346" w:rsidRDefault="0045691F">
            <w:pPr>
              <w:spacing w:before="0" w:after="0"/>
              <w:jc w:val="center"/>
              <w:rPr>
                <w:b/>
                <w:bCs/>
                <w:noProof/>
                <w:color w:val="000000"/>
                <w:sz w:val="20"/>
                <w:szCs w:val="20"/>
                <w:lang w:eastAsia="en-IE"/>
              </w:rPr>
            </w:pPr>
          </w:p>
        </w:tc>
        <w:tc>
          <w:tcPr>
            <w:tcW w:w="471" w:type="pct"/>
            <w:gridSpan w:val="2"/>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gridSpan w:val="2"/>
            <w:tcBorders>
              <w:top w:val="nil"/>
              <w:left w:val="nil"/>
              <w:bottom w:val="nil"/>
              <w:right w:val="single" w:sz="4" w:space="0" w:color="auto"/>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37"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37"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37"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rFonts w:ascii="Calibri" w:hAnsi="Calibri"/>
                <w:noProof/>
                <w:color w:val="000000"/>
                <w:sz w:val="21"/>
              </w:rPr>
              <w:t xml:space="preserve">• </w:t>
            </w:r>
            <w:r w:rsidRPr="00F83346">
              <w:rPr>
                <w:noProof/>
                <w:color w:val="000000"/>
                <w:sz w:val="21"/>
              </w:rPr>
              <w:t>Odobritve za poslovanje SKUPAJ (vsi razdelki za poslovanje)</w:t>
            </w:r>
          </w:p>
        </w:tc>
        <w:tc>
          <w:tcPr>
            <w:tcW w:w="471"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90"/>
        </w:trPr>
        <w:tc>
          <w:tcPr>
            <w:tcW w:w="199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5691F" w:rsidRPr="00F83346" w:rsidRDefault="0045691F">
            <w:pPr>
              <w:spacing w:before="0" w:after="0"/>
              <w:rPr>
                <w:noProof/>
                <w:color w:val="000000"/>
                <w:sz w:val="21"/>
                <w:szCs w:val="21"/>
              </w:rPr>
            </w:pPr>
            <w:r w:rsidRPr="00F83346">
              <w:rPr>
                <w:rFonts w:ascii="Calibri" w:hAnsi="Calibri"/>
                <w:noProof/>
                <w:color w:val="000000"/>
                <w:sz w:val="21"/>
              </w:rPr>
              <w:t xml:space="preserve">• </w:t>
            </w:r>
            <w:r w:rsidRPr="00F83346">
              <w:rPr>
                <w:noProof/>
                <w:color w:val="000000"/>
                <w:sz w:val="21"/>
              </w:rPr>
              <w:t>Odobritve upravne narave, ki se financirajo iz sredstev določenih programov, SKUPAJ (vsi razdelki za poslovanje)</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iz razdelkov od 1 do 6 večletnega finančnega okvira</w:t>
            </w:r>
          </w:p>
        </w:tc>
        <w:tc>
          <w:tcPr>
            <w:tcW w:w="471" w:type="pct"/>
            <w:gridSpan w:val="2"/>
            <w:tcBorders>
              <w:top w:val="nil"/>
              <w:left w:val="nil"/>
              <w:bottom w:val="nil"/>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31" w:type="pct"/>
            <w:gridSpan w:val="3"/>
            <w:tcBorders>
              <w:top w:val="single" w:sz="8" w:space="0" w:color="auto"/>
              <w:left w:val="nil"/>
              <w:bottom w:val="nil"/>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0"/>
                <w:szCs w:val="20"/>
              </w:rPr>
            </w:pPr>
            <w:r w:rsidRPr="00F83346">
              <w:rPr>
                <w:b/>
                <w:noProof/>
                <w:color w:val="000000"/>
                <w:sz w:val="20"/>
              </w:rPr>
              <w:t>SKUPAJ</w:t>
            </w:r>
            <w:r w:rsidRPr="00F83346">
              <w:rPr>
                <w:noProof/>
                <w:color w:val="000000"/>
                <w:sz w:val="20"/>
              </w:rPr>
              <w:br/>
              <w:t>(referenčni znesek)</w:t>
            </w:r>
          </w:p>
        </w:tc>
        <w:tc>
          <w:tcPr>
            <w:tcW w:w="471"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5"/>
        <w:gridCol w:w="1126"/>
        <w:gridCol w:w="1274"/>
        <w:gridCol w:w="637"/>
        <w:gridCol w:w="640"/>
        <w:gridCol w:w="1069"/>
        <w:gridCol w:w="1069"/>
        <w:gridCol w:w="1069"/>
        <w:gridCol w:w="1069"/>
        <w:gridCol w:w="1320"/>
      </w:tblGrid>
      <w:tr w:rsidR="0045691F" w:rsidRPr="00F83346">
        <w:trPr>
          <w:jc w:val="center"/>
        </w:trPr>
        <w:tc>
          <w:tcPr>
            <w:tcW w:w="1739" w:type="pct"/>
            <w:gridSpan w:val="2"/>
            <w:shd w:val="thinDiagStripe" w:color="C0C0C0" w:fill="auto"/>
            <w:vAlign w:val="center"/>
          </w:tcPr>
          <w:p w:rsidR="0045691F" w:rsidRPr="00F83346" w:rsidRDefault="0045691F">
            <w:pPr>
              <w:spacing w:before="60" w:after="60"/>
              <w:jc w:val="center"/>
              <w:rPr>
                <w:b/>
                <w:noProof/>
              </w:rPr>
            </w:pPr>
            <w:r w:rsidRPr="00F83346">
              <w:rPr>
                <w:noProof/>
              </w:rPr>
              <w:br w:type="page"/>
            </w:r>
            <w:r w:rsidRPr="00F83346">
              <w:rPr>
                <w:b/>
                <w:noProof/>
                <w:sz w:val="22"/>
              </w:rPr>
              <w:t xml:space="preserve">Razdelek večletnega finančnega okvira </w:t>
            </w:r>
          </w:p>
        </w:tc>
        <w:tc>
          <w:tcPr>
            <w:tcW w:w="396" w:type="pct"/>
            <w:shd w:val="thinDiagStripe" w:color="C0C0C0" w:fill="auto"/>
            <w:vAlign w:val="center"/>
          </w:tcPr>
          <w:p w:rsidR="0045691F" w:rsidRPr="00F83346" w:rsidRDefault="0045691F">
            <w:pPr>
              <w:spacing w:before="60" w:after="60"/>
              <w:jc w:val="center"/>
              <w:rPr>
                <w:noProof/>
              </w:rPr>
            </w:pPr>
            <w:r w:rsidRPr="00F83346">
              <w:rPr>
                <w:b/>
                <w:noProof/>
                <w:sz w:val="22"/>
              </w:rPr>
              <w:t>7</w:t>
            </w:r>
          </w:p>
        </w:tc>
        <w:tc>
          <w:tcPr>
            <w:tcW w:w="2865" w:type="pct"/>
            <w:gridSpan w:val="8"/>
            <w:vAlign w:val="center"/>
          </w:tcPr>
          <w:p w:rsidR="0045691F" w:rsidRPr="00F83346" w:rsidRDefault="0045691F">
            <w:pPr>
              <w:spacing w:before="60" w:after="60"/>
              <w:rPr>
                <w:noProof/>
              </w:rPr>
            </w:pPr>
            <w:r w:rsidRPr="00F83346">
              <w:rPr>
                <w:noProof/>
                <w:sz w:val="22"/>
              </w:rPr>
              <w:t>„Upravni odhodki“</w:t>
            </w:r>
            <w:r w:rsidRPr="00F83346">
              <w:rPr>
                <w:rStyle w:val="FootnoteReference"/>
                <w:noProof/>
                <w:sz w:val="22"/>
              </w:rPr>
              <w:footnoteReference w:id="26"/>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rPr>
            </w:pPr>
            <w:r w:rsidRPr="00F83346">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GD </w:t>
            </w:r>
            <w:r w:rsidRPr="00F83346">
              <w:rPr>
                <w:noProof/>
                <w:color w:val="000000"/>
                <w:sz w:val="22"/>
              </w:rPr>
              <w:t>&lt;…….&gt;</w:t>
            </w:r>
            <w:r w:rsidRPr="00F83346">
              <w:rPr>
                <w:b/>
                <w:noProof/>
                <w:color w:val="000000"/>
                <w:sz w:val="22"/>
              </w:rPr>
              <w:t xml:space="preserve"> SKUPAJ</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8"/>
                <w:szCs w:val="18"/>
              </w:rPr>
            </w:pPr>
            <w:r w:rsidRPr="00F83346">
              <w:rPr>
                <w:noProof/>
                <w:color w:val="000000"/>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rsidR="0045691F" w:rsidRPr="00F83346" w:rsidRDefault="0045691F">
            <w:pPr>
              <w:spacing w:before="0" w:after="0"/>
              <w:jc w:val="right"/>
              <w:rPr>
                <w:b/>
                <w:bCs/>
                <w:noProof/>
                <w:color w:val="000000"/>
                <w:sz w:val="20"/>
                <w:szCs w:val="20"/>
                <w:lang w:eastAsia="en-IE"/>
              </w:rPr>
            </w:pPr>
          </w:p>
        </w:tc>
        <w:tc>
          <w:tcPr>
            <w:tcW w:w="929"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rPr>
            </w:pPr>
            <w:r w:rsidRPr="00F83346">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376"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376"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GD </w:t>
            </w:r>
            <w:r w:rsidRPr="00F83346">
              <w:rPr>
                <w:noProof/>
                <w:color w:val="000000"/>
                <w:sz w:val="22"/>
              </w:rPr>
              <w:t>&lt;…….&gt;</w:t>
            </w:r>
            <w:r w:rsidRPr="00F83346">
              <w:rPr>
                <w:b/>
                <w:noProof/>
                <w:color w:val="000000"/>
                <w:sz w:val="22"/>
              </w:rPr>
              <w:t xml:space="preserve"> SKUPAJ</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8"/>
                <w:szCs w:val="18"/>
              </w:rPr>
            </w:pPr>
            <w:r w:rsidRPr="00F83346">
              <w:rPr>
                <w:noProof/>
                <w:color w:val="000000"/>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rsidR="0045691F" w:rsidRPr="00F83346" w:rsidRDefault="0045691F">
            <w:pPr>
              <w:spacing w:before="0" w:after="0"/>
              <w:jc w:val="right"/>
              <w:rPr>
                <w:b/>
                <w:bCs/>
                <w:noProof/>
                <w:color w:val="000000"/>
                <w:sz w:val="20"/>
                <w:szCs w:val="20"/>
                <w:lang w:eastAsia="en-IE"/>
              </w:rPr>
            </w:pPr>
          </w:p>
        </w:tc>
        <w:tc>
          <w:tcPr>
            <w:tcW w:w="929"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22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r>
      <w:tr w:rsidR="0045691F" w:rsidRPr="00F833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7 večletnega finančnega okvira SKUPAJ </w:t>
            </w:r>
          </w:p>
        </w:tc>
        <w:tc>
          <w:tcPr>
            <w:tcW w:w="449"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(obveznosti skupaj = plačila skupaj)</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jc w:val="right"/>
        <w:rPr>
          <w:noProof/>
          <w:sz w:val="20"/>
        </w:rPr>
      </w:pPr>
      <w:r w:rsidRPr="00F83346">
        <w:rPr>
          <w:noProof/>
          <w:sz w:val="20"/>
        </w:rPr>
        <w:t>v mio. EUR (na tri decimalna mesta natančno)</w:t>
      </w:r>
    </w:p>
    <w:tbl>
      <w:tblPr>
        <w:tblW w:w="5000" w:type="pct"/>
        <w:tblLook w:val="04A0" w:firstRow="1" w:lastRow="0" w:firstColumn="1" w:lastColumn="0" w:noHBand="0" w:noVBand="1"/>
      </w:tblPr>
      <w:tblGrid>
        <w:gridCol w:w="5607"/>
        <w:gridCol w:w="2080"/>
        <w:gridCol w:w="1255"/>
        <w:gridCol w:w="1254"/>
        <w:gridCol w:w="1254"/>
        <w:gridCol w:w="1254"/>
        <w:gridCol w:w="1516"/>
      </w:tblGrid>
      <w:tr w:rsidR="0045691F" w:rsidRPr="00F83346">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lang w:eastAsia="en-IE"/>
              </w:rPr>
            </w:pP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RAZDELKOV od 1 do 7 </w:t>
            </w:r>
            <w:r w:rsidRPr="00F83346">
              <w:rPr>
                <w:b/>
                <w:noProof/>
                <w:color w:val="000000"/>
                <w:sz w:val="22"/>
              </w:rPr>
              <w:br/>
            </w:r>
            <w:r w:rsidRPr="00F83346">
              <w:rPr>
                <w:noProof/>
                <w:color w:val="000000"/>
                <w:sz w:val="22"/>
              </w:rPr>
              <w:t>večletnega finančnega okvira</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r>
      <w:tr w:rsidR="0045691F" w:rsidRPr="00F83346">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45691F" w:rsidRPr="00F83346" w:rsidRDefault="0045691F">
            <w:pPr>
              <w:spacing w:before="0" w:after="0"/>
              <w:jc w:val="center"/>
              <w:rPr>
                <w:noProof/>
                <w:color w:val="000000"/>
                <w:sz w:val="22"/>
              </w:rPr>
            </w:pPr>
            <w:r w:rsidRPr="00F83346">
              <w:rPr>
                <w:b/>
                <w:noProof/>
                <w:color w:val="000000"/>
                <w:sz w:val="22"/>
              </w:rPr>
              <w:t xml:space="preserve">SKUPAJ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r>
    </w:tbl>
    <w:p w:rsidR="0045691F" w:rsidRPr="00F83346" w:rsidRDefault="0045691F" w:rsidP="00946A2B">
      <w:pPr>
        <w:pStyle w:val="ManualHeading3"/>
        <w:rPr>
          <w:noProof/>
        </w:rPr>
      </w:pPr>
      <w:bookmarkStart w:id="143" w:name="_Toc160804596"/>
      <w:bookmarkStart w:id="144" w:name="_Toc167220288"/>
      <w:bookmarkStart w:id="145" w:name="_Toc177549021"/>
      <w:r w:rsidRPr="00F83346">
        <w:rPr>
          <w:noProof/>
        </w:rPr>
        <w:t>3.2.1.2</w:t>
      </w:r>
      <w:r w:rsidRPr="00F83346">
        <w:rPr>
          <w:noProof/>
        </w:rPr>
        <w:tab/>
        <w:t>Odobritve iz zunanjih namenskih prejemkov</w:t>
      </w:r>
      <w:bookmarkEnd w:id="143"/>
      <w:bookmarkEnd w:id="144"/>
      <w:bookmarkEnd w:id="145"/>
    </w:p>
    <w:p w:rsidR="0045691F" w:rsidRPr="00F83346" w:rsidRDefault="0045691F">
      <w:pPr>
        <w:jc w:val="right"/>
        <w:rPr>
          <w:noProof/>
          <w:sz w:val="18"/>
          <w:szCs w:val="18"/>
        </w:rPr>
      </w:pPr>
      <w:r w:rsidRPr="00F83346">
        <w:rPr>
          <w:noProof/>
          <w:sz w:val="18"/>
        </w:rPr>
        <w:t>v mio. EUR (na tri decimalna mesta natančno)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45691F" w:rsidRPr="00F83346">
        <w:trPr>
          <w:jc w:val="center"/>
        </w:trPr>
        <w:tc>
          <w:tcPr>
            <w:tcW w:w="1739" w:type="pct"/>
            <w:shd w:val="thinDiagStripe" w:color="C0C0C0" w:fill="auto"/>
            <w:vAlign w:val="center"/>
          </w:tcPr>
          <w:p w:rsidR="0045691F" w:rsidRPr="00F83346" w:rsidRDefault="0045691F">
            <w:pPr>
              <w:spacing w:before="60" w:after="60"/>
              <w:jc w:val="center"/>
              <w:rPr>
                <w:b/>
                <w:noProof/>
              </w:rPr>
            </w:pPr>
            <w:r w:rsidRPr="00F83346">
              <w:rPr>
                <w:b/>
                <w:noProof/>
                <w:sz w:val="22"/>
              </w:rPr>
              <w:t xml:space="preserve">Razdelek večletnega finančnega okvira </w:t>
            </w:r>
          </w:p>
        </w:tc>
        <w:tc>
          <w:tcPr>
            <w:tcW w:w="396" w:type="pct"/>
            <w:vAlign w:val="center"/>
          </w:tcPr>
          <w:p w:rsidR="0045691F" w:rsidRPr="00F83346" w:rsidRDefault="0045691F">
            <w:pPr>
              <w:spacing w:before="60" w:after="60"/>
              <w:jc w:val="center"/>
              <w:rPr>
                <w:noProof/>
              </w:rPr>
            </w:pPr>
            <w:r w:rsidRPr="00F83346">
              <w:rPr>
                <w:noProof/>
                <w:sz w:val="22"/>
              </w:rPr>
              <w:t>številka</w:t>
            </w:r>
          </w:p>
        </w:tc>
        <w:tc>
          <w:tcPr>
            <w:tcW w:w="2865" w:type="pct"/>
            <w:vAlign w:val="center"/>
          </w:tcPr>
          <w:p w:rsidR="0045691F" w:rsidRPr="00F83346" w:rsidRDefault="0045691F">
            <w:pPr>
              <w:spacing w:before="60" w:after="60"/>
              <w:rPr>
                <w:noProof/>
              </w:rPr>
            </w:pPr>
          </w:p>
        </w:tc>
      </w:tr>
    </w:tbl>
    <w:p w:rsidR="0045691F" w:rsidRPr="00F83346" w:rsidRDefault="0045691F">
      <w:pPr>
        <w:rPr>
          <w:noProof/>
          <w:sz w:val="16"/>
        </w:rPr>
      </w:pPr>
    </w:p>
    <w:tbl>
      <w:tblPr>
        <w:tblW w:w="5000" w:type="pct"/>
        <w:tblLook w:val="04A0" w:firstRow="1" w:lastRow="0" w:firstColumn="1" w:lastColumn="0" w:noHBand="0" w:noVBand="1"/>
      </w:tblPr>
      <w:tblGrid>
        <w:gridCol w:w="4012"/>
        <w:gridCol w:w="23"/>
        <w:gridCol w:w="910"/>
        <w:gridCol w:w="572"/>
        <w:gridCol w:w="23"/>
        <w:gridCol w:w="532"/>
        <w:gridCol w:w="845"/>
        <w:gridCol w:w="34"/>
        <w:gridCol w:w="1368"/>
        <w:gridCol w:w="43"/>
        <w:gridCol w:w="1359"/>
        <w:gridCol w:w="51"/>
        <w:gridCol w:w="1351"/>
        <w:gridCol w:w="60"/>
        <w:gridCol w:w="1342"/>
        <w:gridCol w:w="17"/>
        <w:gridCol w:w="1678"/>
      </w:tblGrid>
      <w:tr w:rsidR="0045691F" w:rsidRPr="00F83346">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7"/>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8"/>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SKUPAJ </w:t>
            </w:r>
            <w:r w:rsidRPr="00F83346">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56"/>
        </w:trPr>
        <w:tc>
          <w:tcPr>
            <w:tcW w:w="1411"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upravne narave, ki se financirajo iz sredstev določenih programov, SKUPAJ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&lt;…….&gt; </w:t>
            </w:r>
            <w:r w:rsidRPr="00F83346">
              <w:rPr>
                <w:noProof/>
                <w:color w:val="000000"/>
                <w:sz w:val="22"/>
              </w:rPr>
              <w:t>večletnega finančnega okvira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rsidR="0045691F" w:rsidRPr="00F83346" w:rsidRDefault="0045691F">
            <w:pPr>
              <w:spacing w:before="60" w:after="60"/>
              <w:jc w:val="center"/>
              <w:rPr>
                <w:b/>
                <w:noProof/>
              </w:rPr>
            </w:pPr>
            <w:r w:rsidRPr="00F83346">
              <w:rPr>
                <w:b/>
                <w:noProof/>
                <w:sz w:val="22"/>
              </w:rPr>
              <w:t xml:space="preserve">Razdelek večletnega finančnega okvira </w:t>
            </w:r>
          </w:p>
        </w:tc>
        <w:tc>
          <w:tcPr>
            <w:tcW w:w="396" w:type="pct"/>
            <w:gridSpan w:val="3"/>
            <w:vAlign w:val="center"/>
          </w:tcPr>
          <w:p w:rsidR="0045691F" w:rsidRPr="00F83346" w:rsidRDefault="0045691F">
            <w:pPr>
              <w:spacing w:before="60" w:after="60"/>
              <w:jc w:val="center"/>
              <w:rPr>
                <w:noProof/>
              </w:rPr>
            </w:pPr>
            <w:r w:rsidRPr="00F83346">
              <w:rPr>
                <w:noProof/>
                <w:sz w:val="22"/>
              </w:rPr>
              <w:t>številka</w:t>
            </w:r>
          </w:p>
        </w:tc>
        <w:tc>
          <w:tcPr>
            <w:tcW w:w="2865" w:type="pct"/>
            <w:gridSpan w:val="11"/>
            <w:vAlign w:val="center"/>
          </w:tcPr>
          <w:p w:rsidR="0045691F" w:rsidRPr="00F83346" w:rsidRDefault="0045691F">
            <w:pPr>
              <w:spacing w:before="60" w:after="60"/>
              <w:rPr>
                <w:noProof/>
              </w:rPr>
            </w:pPr>
          </w:p>
        </w:tc>
      </w:tr>
    </w:tbl>
    <w:p w:rsidR="0045691F" w:rsidRPr="00F83346" w:rsidRDefault="0045691F">
      <w:pPr>
        <w:spacing w:before="0" w:after="200" w:line="276" w:lineRule="auto"/>
        <w:jc w:val="left"/>
        <w:rPr>
          <w:noProof/>
          <w:sz w:val="16"/>
        </w:rPr>
      </w:pPr>
    </w:p>
    <w:tbl>
      <w:tblPr>
        <w:tblW w:w="5000" w:type="pct"/>
        <w:tblLook w:val="04A0" w:firstRow="1" w:lastRow="0" w:firstColumn="1" w:lastColumn="0" w:noHBand="0" w:noVBand="1"/>
      </w:tblPr>
      <w:tblGrid>
        <w:gridCol w:w="4012"/>
        <w:gridCol w:w="23"/>
        <w:gridCol w:w="293"/>
        <w:gridCol w:w="1189"/>
        <w:gridCol w:w="23"/>
        <w:gridCol w:w="128"/>
        <w:gridCol w:w="1038"/>
        <w:gridCol w:w="210"/>
        <w:gridCol w:w="34"/>
        <w:gridCol w:w="796"/>
        <w:gridCol w:w="572"/>
        <w:gridCol w:w="43"/>
        <w:gridCol w:w="629"/>
        <w:gridCol w:w="731"/>
        <w:gridCol w:w="51"/>
        <w:gridCol w:w="461"/>
        <w:gridCol w:w="890"/>
        <w:gridCol w:w="60"/>
        <w:gridCol w:w="293"/>
        <w:gridCol w:w="1049"/>
        <w:gridCol w:w="17"/>
        <w:gridCol w:w="176"/>
        <w:gridCol w:w="1502"/>
      </w:tblGrid>
      <w:tr w:rsidR="0045691F" w:rsidRPr="00F83346">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9"/>
            <w:vMerge/>
            <w:vAlign w:val="center"/>
            <w:hideMark/>
          </w:tcPr>
          <w:p w:rsidR="0045691F" w:rsidRPr="00F83346" w:rsidRDefault="0045691F">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gridSpan w:val="2"/>
            <w:vMerge/>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29"/>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2"/>
              </w:rPr>
            </w:pPr>
            <w:r w:rsidRPr="00F83346">
              <w:rPr>
                <w:noProof/>
                <w:color w:val="000000"/>
                <w:sz w:val="22"/>
              </w:rPr>
              <w:t>GD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288"/>
        </w:trPr>
        <w:tc>
          <w:tcPr>
            <w:tcW w:w="2444" w:type="pct"/>
            <w:gridSpan w:val="9"/>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21"/>
                <w:szCs w:val="21"/>
              </w:rPr>
            </w:pPr>
            <w:r w:rsidRPr="00F83346">
              <w:rPr>
                <w:noProof/>
                <w:color w:val="000000"/>
                <w:sz w:val="21"/>
              </w:rPr>
              <w:t xml:space="preserve">Odobritve za poslovanje </w:t>
            </w:r>
          </w:p>
        </w:tc>
      </w:tr>
      <w:tr w:rsidR="0045691F" w:rsidRPr="00F83346">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45691F" w:rsidRPr="00F83346" w:rsidRDefault="0045691F">
            <w:pPr>
              <w:spacing w:before="0" w:after="0"/>
              <w:jc w:val="left"/>
              <w:rPr>
                <w:noProof/>
                <w:color w:val="000000"/>
                <w:sz w:val="22"/>
              </w:rPr>
            </w:pPr>
            <w:r w:rsidRPr="00F83346">
              <w:rPr>
                <w:noProof/>
                <w:color w:val="000000"/>
                <w:sz w:val="22"/>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(1a)</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(2a)</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(1b)</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(2b)</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691F" w:rsidRPr="00F83346" w:rsidRDefault="0045691F">
            <w:pPr>
              <w:spacing w:before="0" w:after="0"/>
              <w:jc w:val="left"/>
              <w:rPr>
                <w:noProof/>
                <w:color w:val="000000"/>
                <w:sz w:val="22"/>
              </w:rPr>
            </w:pPr>
            <w:r w:rsidRPr="00F83346">
              <w:rPr>
                <w:noProof/>
                <w:color w:val="000000"/>
                <w:sz w:val="22"/>
              </w:rPr>
              <w:t>Odobritve upravne narave, ki se financirajo iz sredstev določenih programov</w:t>
            </w:r>
            <w:r w:rsidRPr="00F83346">
              <w:rPr>
                <w:rStyle w:val="FootnoteReference"/>
                <w:noProof/>
                <w:color w:val="000000"/>
                <w:sz w:val="22"/>
                <w:lang w:eastAsia="en-IE"/>
              </w:rPr>
              <w:footnoteReference w:id="30"/>
            </w:r>
          </w:p>
        </w:tc>
      </w:tr>
      <w:tr w:rsidR="0045691F" w:rsidRPr="00F83346">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0"/>
                <w:szCs w:val="20"/>
              </w:rPr>
            </w:pPr>
            <w:r w:rsidRPr="00F83346">
              <w:rPr>
                <w:noProof/>
                <w:color w:val="000000"/>
                <w:sz w:val="20"/>
              </w:rPr>
              <w:t>Proračunska vrstica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noProof/>
                <w:color w:val="000000"/>
                <w:sz w:val="18"/>
                <w:szCs w:val="18"/>
                <w:lang w:eastAsia="en-IE"/>
              </w:rPr>
            </w:pP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(3)</w:t>
            </w: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478"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right"/>
              <w:rPr>
                <w:b/>
                <w:bCs/>
                <w:noProof/>
                <w:color w:val="000000"/>
                <w:sz w:val="20"/>
                <w:szCs w:val="20"/>
                <w:lang w:eastAsia="en-IE"/>
              </w:rPr>
            </w:pP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Odobritve za GD &lt;…….&gt;</w:t>
            </w:r>
          </w:p>
          <w:p w:rsidR="0045691F" w:rsidRPr="00F83346" w:rsidRDefault="0045691F">
            <w:pPr>
              <w:spacing w:before="0" w:after="0"/>
              <w:jc w:val="center"/>
              <w:rPr>
                <w:b/>
                <w:bCs/>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1a + 1b + 3</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2a + 2b + 3</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22"/>
                <w:lang w:eastAsia="en-IE"/>
              </w:rPr>
            </w:pP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rsidR="0045691F" w:rsidRPr="00F83346" w:rsidRDefault="0045691F">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96" w:type="pct"/>
            <w:gridSpan w:val="3"/>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za poslovanje SKUPAJ </w:t>
            </w:r>
            <w:r w:rsidRPr="00F83346">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456"/>
        </w:trPr>
        <w:tc>
          <w:tcPr>
            <w:tcW w:w="1411"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noProof/>
                <w:color w:val="000000"/>
                <w:sz w:val="21"/>
              </w:rPr>
              <w:t xml:space="preserve">Odobritve upravne narave, ki se financirajo iz sredstev določenih programov, SKUPAJ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&lt;…….&gt; </w:t>
            </w:r>
            <w:r w:rsidRPr="00F83346">
              <w:rPr>
                <w:noProof/>
                <w:color w:val="000000"/>
                <w:sz w:val="22"/>
              </w:rPr>
              <w:t>večletnega finančnega okvira</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2"/>
              </w:rPr>
            </w:pPr>
            <w:r w:rsidRPr="00F83346">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288"/>
        </w:trPr>
        <w:tc>
          <w:tcPr>
            <w:tcW w:w="1522"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4"/>
                <w:lang w:eastAsia="en-IE"/>
              </w:rPr>
            </w:pPr>
          </w:p>
        </w:tc>
        <w:tc>
          <w:tcPr>
            <w:tcW w:w="471"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3"/>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3"/>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437" w:type="pct"/>
            <w:gridSpan w:val="3"/>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1522"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center"/>
              <w:rPr>
                <w:b/>
                <w:bCs/>
                <w:noProof/>
                <w:color w:val="000000"/>
                <w:sz w:val="20"/>
                <w:szCs w:val="20"/>
                <w:lang w:eastAsia="en-IE"/>
              </w:rPr>
            </w:pPr>
          </w:p>
        </w:tc>
        <w:tc>
          <w:tcPr>
            <w:tcW w:w="471" w:type="pct"/>
            <w:gridSpan w:val="3"/>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366" w:type="pct"/>
            <w:gridSpan w:val="3"/>
            <w:tcBorders>
              <w:top w:val="nil"/>
              <w:left w:val="nil"/>
              <w:bottom w:val="nil"/>
              <w:right w:val="single" w:sz="4" w:space="0" w:color="auto"/>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21"/>
                <w:szCs w:val="21"/>
              </w:rPr>
            </w:pPr>
            <w:r w:rsidRPr="00F83346">
              <w:rPr>
                <w:rFonts w:ascii="Calibri" w:hAnsi="Calibri"/>
                <w:noProof/>
                <w:color w:val="000000"/>
                <w:sz w:val="21"/>
              </w:rPr>
              <w:t xml:space="preserve">• </w:t>
            </w:r>
            <w:r w:rsidRPr="00F83346">
              <w:rPr>
                <w:noProof/>
                <w:color w:val="000000"/>
                <w:sz w:val="21"/>
              </w:rPr>
              <w:t>Odobritve za poslovanje SKUPAJ (vsi razdelki za poslovanje)</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(4)</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1522" w:type="pct"/>
            <w:gridSpan w:val="3"/>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(5)</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990"/>
        </w:trPr>
        <w:tc>
          <w:tcPr>
            <w:tcW w:w="199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5691F" w:rsidRPr="00F83346" w:rsidRDefault="0045691F">
            <w:pPr>
              <w:spacing w:before="0" w:after="0"/>
              <w:rPr>
                <w:noProof/>
                <w:color w:val="000000"/>
                <w:sz w:val="21"/>
                <w:szCs w:val="21"/>
              </w:rPr>
            </w:pPr>
            <w:r w:rsidRPr="00F83346">
              <w:rPr>
                <w:rFonts w:ascii="Calibri" w:hAnsi="Calibri"/>
                <w:noProof/>
                <w:color w:val="000000"/>
                <w:sz w:val="21"/>
              </w:rPr>
              <w:t xml:space="preserve">• </w:t>
            </w:r>
            <w:r w:rsidRPr="00F83346">
              <w:rPr>
                <w:noProof/>
                <w:color w:val="000000"/>
                <w:sz w:val="21"/>
              </w:rPr>
              <w:t>Odobritve upravne narave, ki se financirajo iz sredstev določenih programov, SKUPAJ (vsi razdelki za poslovanje)</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64"/>
        </w:trPr>
        <w:tc>
          <w:tcPr>
            <w:tcW w:w="1522" w:type="pct"/>
            <w:gridSpan w:val="3"/>
            <w:tcBorders>
              <w:top w:val="nil"/>
              <w:left w:val="single" w:sz="8" w:space="0" w:color="auto"/>
              <w:bottom w:val="nil"/>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RAZDELKOV od 1 do 6 </w:t>
            </w:r>
            <w:r w:rsidRPr="00F83346">
              <w:rPr>
                <w:noProof/>
                <w:color w:val="000000"/>
                <w:sz w:val="22"/>
              </w:rPr>
              <w:t>večletnega finančnega okvira</w:t>
            </w:r>
          </w:p>
        </w:tc>
        <w:tc>
          <w:tcPr>
            <w:tcW w:w="471" w:type="pct"/>
            <w:gridSpan w:val="3"/>
            <w:tcBorders>
              <w:top w:val="nil"/>
              <w:left w:val="nil"/>
              <w:bottom w:val="nil"/>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731" w:type="pct"/>
            <w:gridSpan w:val="4"/>
            <w:tcBorders>
              <w:top w:val="single" w:sz="8" w:space="0" w:color="auto"/>
              <w:left w:val="nil"/>
              <w:bottom w:val="nil"/>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4 + 6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588"/>
        </w:trPr>
        <w:tc>
          <w:tcPr>
            <w:tcW w:w="1522" w:type="pct"/>
            <w:gridSpan w:val="3"/>
            <w:tcBorders>
              <w:top w:val="nil"/>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noProof/>
                <w:color w:val="000000"/>
                <w:sz w:val="20"/>
                <w:szCs w:val="20"/>
              </w:rPr>
            </w:pPr>
            <w:r w:rsidRPr="00F83346">
              <w:rPr>
                <w:b/>
                <w:noProof/>
                <w:color w:val="000000"/>
                <w:sz w:val="20"/>
              </w:rPr>
              <w:t>SKUPAJ</w:t>
            </w:r>
            <w:r w:rsidRPr="00F83346">
              <w:rPr>
                <w:noProof/>
                <w:color w:val="000000"/>
                <w:sz w:val="20"/>
              </w:rPr>
              <w:t xml:space="preserve"> (referenčni znesek)</w:t>
            </w:r>
          </w:p>
        </w:tc>
        <w:tc>
          <w:tcPr>
            <w:tcW w:w="471" w:type="pct"/>
            <w:gridSpan w:val="3"/>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45691F" w:rsidRPr="00F83346" w:rsidRDefault="0045691F">
            <w:pPr>
              <w:spacing w:before="0" w:after="0"/>
              <w:jc w:val="center"/>
              <w:rPr>
                <w:noProof/>
                <w:color w:val="000000"/>
                <w:sz w:val="14"/>
                <w:szCs w:val="14"/>
              </w:rPr>
            </w:pPr>
            <w:r w:rsidRPr="00F83346">
              <w:rPr>
                <w:noProof/>
                <w:color w:val="000000"/>
                <w:sz w:val="14"/>
              </w:rPr>
              <w:t>= 5 + 6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45691F" w:rsidRPr="00F83346">
        <w:trPr>
          <w:jc w:val="center"/>
        </w:trPr>
        <w:tc>
          <w:tcPr>
            <w:tcW w:w="1668" w:type="pct"/>
            <w:shd w:val="thinDiagStripe" w:color="C0C0C0" w:fill="auto"/>
            <w:vAlign w:val="center"/>
          </w:tcPr>
          <w:p w:rsidR="0045691F" w:rsidRPr="00F83346" w:rsidRDefault="0045691F">
            <w:pPr>
              <w:spacing w:before="60" w:after="60"/>
              <w:jc w:val="center"/>
              <w:rPr>
                <w:b/>
                <w:noProof/>
              </w:rPr>
            </w:pPr>
            <w:r w:rsidRPr="00F83346">
              <w:rPr>
                <w:noProof/>
              </w:rPr>
              <w:br w:type="page"/>
            </w:r>
            <w:r w:rsidRPr="00F83346">
              <w:rPr>
                <w:b/>
                <w:noProof/>
                <w:sz w:val="22"/>
              </w:rPr>
              <w:t xml:space="preserve">Razdelek večletnega finančnega okvira </w:t>
            </w:r>
          </w:p>
        </w:tc>
        <w:tc>
          <w:tcPr>
            <w:tcW w:w="380" w:type="pct"/>
            <w:shd w:val="thinDiagStripe" w:color="C0C0C0" w:fill="auto"/>
            <w:vAlign w:val="center"/>
          </w:tcPr>
          <w:p w:rsidR="0045691F" w:rsidRPr="00F83346" w:rsidRDefault="0045691F">
            <w:pPr>
              <w:spacing w:before="60" w:after="60"/>
              <w:jc w:val="center"/>
              <w:rPr>
                <w:noProof/>
              </w:rPr>
            </w:pPr>
            <w:r w:rsidRPr="00F83346">
              <w:rPr>
                <w:b/>
                <w:noProof/>
                <w:sz w:val="22"/>
              </w:rPr>
              <w:t>7</w:t>
            </w:r>
          </w:p>
        </w:tc>
        <w:tc>
          <w:tcPr>
            <w:tcW w:w="2749" w:type="pct"/>
            <w:vAlign w:val="center"/>
          </w:tcPr>
          <w:p w:rsidR="0045691F" w:rsidRPr="00F83346" w:rsidRDefault="0045691F">
            <w:pPr>
              <w:spacing w:before="60" w:after="60"/>
              <w:rPr>
                <w:noProof/>
              </w:rPr>
            </w:pPr>
            <w:r w:rsidRPr="00F83346">
              <w:rPr>
                <w:noProof/>
                <w:sz w:val="22"/>
              </w:rPr>
              <w:t>„Upravni odhodki“</w:t>
            </w:r>
            <w:r w:rsidRPr="00F83346">
              <w:rPr>
                <w:rStyle w:val="FootnoteReference"/>
                <w:noProof/>
                <w:sz w:val="22"/>
              </w:rPr>
              <w:footnoteReference w:id="31"/>
            </w:r>
          </w:p>
        </w:tc>
      </w:tr>
    </w:tbl>
    <w:p w:rsidR="0045691F" w:rsidRPr="00F83346" w:rsidRDefault="0045691F">
      <w:pPr>
        <w:jc w:val="right"/>
        <w:rPr>
          <w:noProof/>
          <w:sz w:val="20"/>
        </w:rPr>
      </w:pPr>
      <w:r w:rsidRPr="00F83346">
        <w:rPr>
          <w:noProof/>
          <w:sz w:val="20"/>
        </w:rPr>
        <w:t>v mio. EUR (na tri decimalna mesta natančno)</w:t>
      </w:r>
    </w:p>
    <w:tbl>
      <w:tblPr>
        <w:tblW w:w="13140" w:type="dxa"/>
        <w:tblInd w:w="118" w:type="dxa"/>
        <w:tblLook w:val="04A0" w:firstRow="1" w:lastRow="0" w:firstColumn="1" w:lastColumn="0" w:noHBand="0" w:noVBand="1"/>
      </w:tblPr>
      <w:tblGrid>
        <w:gridCol w:w="4405"/>
        <w:gridCol w:w="2477"/>
        <w:gridCol w:w="528"/>
        <w:gridCol w:w="528"/>
        <w:gridCol w:w="1001"/>
        <w:gridCol w:w="1001"/>
        <w:gridCol w:w="1001"/>
        <w:gridCol w:w="1001"/>
        <w:gridCol w:w="1244"/>
      </w:tblGrid>
      <w:tr w:rsidR="0045691F" w:rsidRPr="00F83346">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rPr>
            </w:pPr>
            <w:r w:rsidRPr="00F83346">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Človeški viri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Drugi upravni odhodki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GD </w:t>
            </w:r>
            <w:r w:rsidRPr="00F83346">
              <w:rPr>
                <w:noProof/>
                <w:color w:val="000000"/>
                <w:sz w:val="22"/>
              </w:rPr>
              <w:t>&lt;…….&gt;</w:t>
            </w:r>
            <w:r w:rsidRPr="00F83346">
              <w:rPr>
                <w:b/>
                <w:noProof/>
                <w:color w:val="000000"/>
                <w:sz w:val="22"/>
              </w:rPr>
              <w:t xml:space="preserve"> SKUPAJ</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8"/>
                <w:szCs w:val="18"/>
              </w:rPr>
            </w:pPr>
            <w:r w:rsidRPr="00F83346">
              <w:rPr>
                <w:noProof/>
                <w:color w:val="000000"/>
                <w:sz w:val="18"/>
              </w:rPr>
              <w:t xml:space="preserve">odobritve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4405" w:type="dxa"/>
            <w:tcBorders>
              <w:top w:val="nil"/>
              <w:left w:val="nil"/>
              <w:bottom w:val="nil"/>
              <w:right w:val="nil"/>
            </w:tcBorders>
            <w:shd w:val="clear" w:color="auto" w:fill="auto"/>
            <w:noWrap/>
            <w:vAlign w:val="bottom"/>
            <w:hideMark/>
          </w:tcPr>
          <w:p w:rsidR="0045691F" w:rsidRPr="00F83346" w:rsidRDefault="0045691F">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r>
      <w:tr w:rsidR="0045691F" w:rsidRPr="00F83346">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rPr>
            </w:pPr>
            <w:r w:rsidRPr="00F83346">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Človeški viri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rFonts w:ascii="Wingdings" w:hAnsi="Wingdings" w:cs="Calibri"/>
                <w:noProof/>
                <w:color w:val="000000"/>
                <w:sz w:val="22"/>
              </w:rPr>
            </w:pPr>
            <w:r w:rsidRPr="00F83346">
              <w:rPr>
                <w:rFonts w:ascii="Wingdings" w:hAnsi="Wingdings"/>
                <w:noProof/>
                <w:color w:val="000000"/>
                <w:sz w:val="22"/>
              </w:rPr>
              <w:t></w:t>
            </w:r>
            <w:r w:rsidRPr="00F83346">
              <w:rPr>
                <w:noProof/>
                <w:color w:val="000000"/>
                <w:sz w:val="22"/>
              </w:rPr>
              <w:t xml:space="preserve"> Drugi upravni odhodki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20"/>
                <w:szCs w:val="20"/>
              </w:rPr>
            </w:pPr>
            <w:r w:rsidRPr="00F8334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GD </w:t>
            </w:r>
            <w:r w:rsidRPr="00F83346">
              <w:rPr>
                <w:noProof/>
                <w:color w:val="000000"/>
                <w:sz w:val="22"/>
              </w:rPr>
              <w:t>&lt;…….&gt;</w:t>
            </w:r>
            <w:r w:rsidRPr="00F83346">
              <w:rPr>
                <w:b/>
                <w:noProof/>
                <w:color w:val="000000"/>
                <w:sz w:val="22"/>
              </w:rPr>
              <w:t xml:space="preserve"> SKUPAJ</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8"/>
                <w:szCs w:val="18"/>
              </w:rPr>
            </w:pPr>
            <w:r w:rsidRPr="00F83346">
              <w:rPr>
                <w:noProof/>
                <w:color w:val="000000"/>
                <w:sz w:val="18"/>
              </w:rPr>
              <w:t xml:space="preserve">odobritve </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r w:rsidR="0045691F" w:rsidRPr="00F83346">
        <w:trPr>
          <w:trHeight w:val="300"/>
        </w:trPr>
        <w:tc>
          <w:tcPr>
            <w:tcW w:w="4405" w:type="dxa"/>
            <w:tcBorders>
              <w:top w:val="nil"/>
              <w:left w:val="nil"/>
              <w:bottom w:val="nil"/>
              <w:right w:val="nil"/>
            </w:tcBorders>
            <w:shd w:val="clear" w:color="auto" w:fill="auto"/>
            <w:noWrap/>
            <w:vAlign w:val="bottom"/>
            <w:hideMark/>
          </w:tcPr>
          <w:p w:rsidR="0045691F" w:rsidRPr="00F83346" w:rsidRDefault="0045691F">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45691F" w:rsidRPr="00F83346" w:rsidRDefault="0045691F">
            <w:pPr>
              <w:spacing w:before="0" w:after="0"/>
              <w:jc w:val="left"/>
              <w:rPr>
                <w:noProof/>
                <w:sz w:val="20"/>
                <w:szCs w:val="20"/>
                <w:lang w:eastAsia="en-IE"/>
              </w:rPr>
            </w:pPr>
          </w:p>
        </w:tc>
      </w:tr>
      <w:tr w:rsidR="0045691F" w:rsidRPr="00F83346">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RAZDELKA 7 večletnega finančnega okvira SKUPAJ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(obveznosti skupaj = plačila skupaj)</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20"/>
                <w:szCs w:val="20"/>
              </w:rPr>
            </w:pPr>
            <w:r w:rsidRPr="00F83346">
              <w:rPr>
                <w:b/>
                <w:noProof/>
                <w:color w:val="000000"/>
                <w:sz w:val="20"/>
              </w:rPr>
              <w:t>0,000</w:t>
            </w:r>
          </w:p>
        </w:tc>
      </w:tr>
    </w:tbl>
    <w:p w:rsidR="0045691F" w:rsidRPr="00F83346" w:rsidRDefault="0045691F">
      <w:pPr>
        <w:jc w:val="right"/>
        <w:rPr>
          <w:noProof/>
          <w:sz w:val="20"/>
        </w:rPr>
      </w:pPr>
      <w:r w:rsidRPr="00F83346">
        <w:rPr>
          <w:noProof/>
          <w:sz w:val="20"/>
        </w:rPr>
        <w:t>v mio. EUR (na tri decimalna mesta natančno)</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45691F" w:rsidRPr="00F83346">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Cs w:val="24"/>
                <w:lang w:eastAsia="en-IE"/>
              </w:rPr>
            </w:pPr>
          </w:p>
        </w:tc>
        <w:tc>
          <w:tcPr>
            <w:tcW w:w="11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VFO 2021–2027 SKUPAJ</w:t>
            </w:r>
          </w:p>
        </w:tc>
      </w:tr>
      <w:tr w:rsidR="0045691F" w:rsidRPr="00F83346">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45691F" w:rsidRPr="00F83346" w:rsidRDefault="0045691F">
            <w:pPr>
              <w:spacing w:before="0" w:after="0"/>
              <w:jc w:val="left"/>
              <w:rPr>
                <w:b/>
                <w:bCs/>
                <w:noProof/>
                <w:color w:val="000000"/>
                <w:sz w:val="20"/>
                <w:szCs w:val="20"/>
                <w:lang w:eastAsia="en-IE"/>
              </w:rPr>
            </w:pPr>
          </w:p>
        </w:tc>
      </w:tr>
      <w:tr w:rsidR="0045691F" w:rsidRPr="00F83346">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45691F" w:rsidRPr="00F83346" w:rsidRDefault="0045691F">
            <w:pPr>
              <w:spacing w:before="0" w:after="0"/>
              <w:jc w:val="center"/>
              <w:rPr>
                <w:b/>
                <w:bCs/>
                <w:noProof/>
                <w:color w:val="000000"/>
                <w:sz w:val="22"/>
              </w:rPr>
            </w:pPr>
            <w:r w:rsidRPr="00F83346">
              <w:rPr>
                <w:b/>
                <w:noProof/>
                <w:color w:val="000000"/>
                <w:sz w:val="22"/>
              </w:rPr>
              <w:t xml:space="preserve">Odobritve iz RAZDELKOV od 1 do 7 </w:t>
            </w:r>
            <w:r w:rsidRPr="00F83346">
              <w:rPr>
                <w:b/>
                <w:noProof/>
                <w:color w:val="000000"/>
                <w:sz w:val="22"/>
              </w:rPr>
              <w:br/>
            </w:r>
            <w:r w:rsidRPr="00F83346">
              <w:rPr>
                <w:noProof/>
                <w:color w:val="000000"/>
                <w:sz w:val="22"/>
              </w:rPr>
              <w:t>večletnega finančnega okvira</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obveznosti</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r>
      <w:tr w:rsidR="0045691F" w:rsidRPr="00F83346">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45691F" w:rsidRPr="00F83346" w:rsidRDefault="0045691F">
            <w:pPr>
              <w:spacing w:before="0" w:after="0"/>
              <w:jc w:val="center"/>
              <w:rPr>
                <w:noProof/>
                <w:color w:val="000000"/>
                <w:sz w:val="22"/>
              </w:rPr>
            </w:pPr>
            <w:r w:rsidRPr="00F83346">
              <w:rPr>
                <w:b/>
                <w:noProof/>
                <w:color w:val="000000"/>
                <w:sz w:val="22"/>
              </w:rPr>
              <w:t xml:space="preserve">SKUPAJ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rPr>
                <w:noProof/>
                <w:color w:val="000000"/>
                <w:sz w:val="18"/>
                <w:szCs w:val="18"/>
              </w:rPr>
            </w:pPr>
            <w:r w:rsidRPr="00F83346">
              <w:rPr>
                <w:noProof/>
                <w:color w:val="000000"/>
                <w:sz w:val="18"/>
              </w:rPr>
              <w:t>plačila</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Cs w:val="24"/>
              </w:rPr>
            </w:pPr>
            <w:r w:rsidRPr="00F83346">
              <w:rPr>
                <w:b/>
                <w:noProof/>
                <w:color w:val="000000"/>
              </w:rPr>
              <w:t>0,000</w:t>
            </w:r>
          </w:p>
        </w:tc>
      </w:tr>
    </w:tbl>
    <w:p w:rsidR="0045691F" w:rsidRPr="00F83346" w:rsidRDefault="0045691F" w:rsidP="04B73BB1">
      <w:pPr>
        <w:pStyle w:val="ManualHeading3"/>
        <w:rPr>
          <w:noProof/>
        </w:rPr>
      </w:pPr>
      <w:bookmarkStart w:id="146" w:name="_Toc514938054"/>
      <w:bookmarkStart w:id="147" w:name="_Toc520485053"/>
      <w:bookmarkStart w:id="148" w:name="_Toc160804597"/>
      <w:bookmarkStart w:id="149" w:name="_Toc167220289"/>
      <w:bookmarkStart w:id="150" w:name="_Toc177549022"/>
      <w:r w:rsidRPr="00F83346">
        <w:rPr>
          <w:noProof/>
        </w:rPr>
        <w:t>3.2.2</w:t>
      </w:r>
      <w:r w:rsidRPr="00F83346">
        <w:rPr>
          <w:noProof/>
        </w:rPr>
        <w:tab/>
        <w:t>Ocenjene realizacije, financirane iz odobritev za poslovanje</w:t>
      </w:r>
      <w:bookmarkEnd w:id="146"/>
      <w:bookmarkEnd w:id="147"/>
      <w:r w:rsidRPr="00F83346">
        <w:rPr>
          <w:noProof/>
        </w:rPr>
        <w:t xml:space="preserve"> (se ne izpolnjuje za decentralizirane agencije)</w:t>
      </w:r>
      <w:bookmarkEnd w:id="148"/>
      <w:bookmarkEnd w:id="149"/>
      <w:bookmarkEnd w:id="150"/>
    </w:p>
    <w:p w:rsidR="0045691F" w:rsidRPr="00F83346" w:rsidRDefault="0045691F">
      <w:pPr>
        <w:jc w:val="right"/>
        <w:rPr>
          <w:noProof/>
          <w:sz w:val="20"/>
        </w:rPr>
      </w:pPr>
      <w:r w:rsidRPr="00F83346">
        <w:rPr>
          <w:noProof/>
          <w:sz w:val="20"/>
        </w:rPr>
        <w:t>odobritve za prevzem obveznosti v mio. EUR (na tri decimalna mesta natančno)</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570"/>
        <w:gridCol w:w="708"/>
        <w:gridCol w:w="567"/>
        <w:gridCol w:w="546"/>
        <w:gridCol w:w="163"/>
        <w:gridCol w:w="73"/>
        <w:gridCol w:w="494"/>
        <w:gridCol w:w="709"/>
        <w:gridCol w:w="567"/>
        <w:gridCol w:w="709"/>
        <w:gridCol w:w="567"/>
        <w:gridCol w:w="708"/>
        <w:gridCol w:w="999"/>
        <w:gridCol w:w="900"/>
      </w:tblGrid>
      <w:tr w:rsidR="0045691F" w:rsidRPr="00F83346" w:rsidTr="000C4F05">
        <w:trPr>
          <w:jc w:val="center"/>
        </w:trPr>
        <w:tc>
          <w:tcPr>
            <w:tcW w:w="1423" w:type="dxa"/>
            <w:vMerge w:val="restart"/>
            <w:vAlign w:val="center"/>
          </w:tcPr>
          <w:p w:rsidR="0045691F" w:rsidRPr="00F83346" w:rsidRDefault="0045691F">
            <w:pPr>
              <w:ind w:right="-29"/>
              <w:jc w:val="center"/>
              <w:rPr>
                <w:b/>
                <w:noProof/>
                <w:sz w:val="18"/>
                <w:szCs w:val="18"/>
              </w:rPr>
            </w:pPr>
            <w:r w:rsidRPr="00F83346">
              <w:rPr>
                <w:b/>
                <w:noProof/>
                <w:sz w:val="18"/>
              </w:rPr>
              <w:t xml:space="preserve">Cilji in realizacije </w:t>
            </w:r>
          </w:p>
          <w:p w:rsidR="0045691F" w:rsidRPr="00F83346" w:rsidRDefault="0045691F">
            <w:pPr>
              <w:ind w:right="-29"/>
              <w:jc w:val="center"/>
              <w:rPr>
                <w:b/>
                <w:noProof/>
                <w:sz w:val="18"/>
                <w:szCs w:val="18"/>
              </w:rPr>
            </w:pPr>
          </w:p>
          <w:p w:rsidR="0045691F" w:rsidRPr="00F83346" w:rsidRDefault="0045691F">
            <w:pPr>
              <w:ind w:right="-29"/>
              <w:jc w:val="center"/>
              <w:rPr>
                <w:noProof/>
                <w:sz w:val="18"/>
                <w:szCs w:val="18"/>
              </w:rPr>
            </w:pPr>
            <w:r w:rsidRPr="00F83346">
              <w:rPr>
                <w:rFonts w:ascii="Wingdings" w:hAnsi="Wingdings"/>
                <w:noProof/>
                <w:sz w:val="18"/>
              </w:rPr>
              <w:t></w:t>
            </w:r>
          </w:p>
        </w:tc>
        <w:tc>
          <w:tcPr>
            <w:tcW w:w="720" w:type="dxa"/>
            <w:vAlign w:val="center"/>
          </w:tcPr>
          <w:p w:rsidR="0045691F" w:rsidRPr="00F83346" w:rsidRDefault="0045691F">
            <w:pPr>
              <w:ind w:right="-29"/>
              <w:jc w:val="center"/>
              <w:rPr>
                <w:noProof/>
                <w:sz w:val="18"/>
                <w:szCs w:val="18"/>
              </w:rPr>
            </w:pPr>
          </w:p>
        </w:tc>
        <w:tc>
          <w:tcPr>
            <w:tcW w:w="701" w:type="dxa"/>
            <w:vAlign w:val="center"/>
          </w:tcPr>
          <w:p w:rsidR="0045691F" w:rsidRPr="00F83346" w:rsidRDefault="0045691F">
            <w:pPr>
              <w:ind w:right="-29"/>
              <w:jc w:val="center"/>
              <w:rPr>
                <w:noProof/>
                <w:sz w:val="18"/>
                <w:szCs w:val="18"/>
              </w:rPr>
            </w:pPr>
          </w:p>
        </w:tc>
        <w:tc>
          <w:tcPr>
            <w:tcW w:w="1224" w:type="dxa"/>
            <w:gridSpan w:val="2"/>
            <w:tcBorders>
              <w:left w:val="nil"/>
            </w:tcBorders>
            <w:vAlign w:val="center"/>
          </w:tcPr>
          <w:p w:rsidR="0045691F" w:rsidRPr="00F83346" w:rsidRDefault="0045691F">
            <w:pPr>
              <w:ind w:right="-29"/>
              <w:jc w:val="center"/>
              <w:rPr>
                <w:noProof/>
                <w:sz w:val="18"/>
                <w:szCs w:val="18"/>
              </w:rPr>
            </w:pPr>
            <w:r w:rsidRPr="00F83346">
              <w:rPr>
                <w:noProof/>
                <w:sz w:val="18"/>
              </w:rPr>
              <w:t>Leto</w:t>
            </w:r>
            <w:r w:rsidRPr="00F83346">
              <w:rPr>
                <w:noProof/>
                <w:sz w:val="22"/>
              </w:rPr>
              <w:br/>
            </w:r>
            <w:r w:rsidRPr="00F83346">
              <w:rPr>
                <w:b/>
                <w:noProof/>
                <w:sz w:val="18"/>
              </w:rPr>
              <w:t>2024</w:t>
            </w:r>
          </w:p>
        </w:tc>
        <w:tc>
          <w:tcPr>
            <w:tcW w:w="1260" w:type="dxa"/>
            <w:gridSpan w:val="2"/>
            <w:vAlign w:val="center"/>
          </w:tcPr>
          <w:p w:rsidR="0045691F" w:rsidRPr="00F83346" w:rsidRDefault="0045691F">
            <w:pPr>
              <w:ind w:right="-29"/>
              <w:jc w:val="center"/>
              <w:rPr>
                <w:noProof/>
                <w:sz w:val="18"/>
                <w:szCs w:val="18"/>
              </w:rPr>
            </w:pPr>
            <w:r w:rsidRPr="00F83346">
              <w:rPr>
                <w:noProof/>
                <w:sz w:val="18"/>
              </w:rPr>
              <w:t>Leto</w:t>
            </w:r>
            <w:r w:rsidRPr="00F83346">
              <w:rPr>
                <w:noProof/>
                <w:sz w:val="22"/>
              </w:rPr>
              <w:br/>
            </w:r>
            <w:r w:rsidRPr="00F83346">
              <w:rPr>
                <w:b/>
                <w:noProof/>
                <w:sz w:val="18"/>
              </w:rPr>
              <w:t>2025</w:t>
            </w:r>
          </w:p>
        </w:tc>
        <w:tc>
          <w:tcPr>
            <w:tcW w:w="1278" w:type="dxa"/>
            <w:gridSpan w:val="2"/>
            <w:vAlign w:val="center"/>
          </w:tcPr>
          <w:p w:rsidR="0045691F" w:rsidRPr="00F83346" w:rsidRDefault="0045691F">
            <w:pPr>
              <w:ind w:right="-29"/>
              <w:jc w:val="center"/>
              <w:rPr>
                <w:noProof/>
                <w:sz w:val="18"/>
                <w:szCs w:val="18"/>
              </w:rPr>
            </w:pPr>
            <w:r w:rsidRPr="00F83346">
              <w:rPr>
                <w:noProof/>
                <w:sz w:val="18"/>
              </w:rPr>
              <w:t>Leto</w:t>
            </w:r>
            <w:r w:rsidRPr="00F83346">
              <w:rPr>
                <w:noProof/>
                <w:sz w:val="22"/>
              </w:rPr>
              <w:br/>
            </w:r>
            <w:r w:rsidRPr="00F83346">
              <w:rPr>
                <w:b/>
                <w:noProof/>
                <w:sz w:val="18"/>
              </w:rPr>
              <w:t>2026</w:t>
            </w:r>
          </w:p>
        </w:tc>
        <w:tc>
          <w:tcPr>
            <w:tcW w:w="1276" w:type="dxa"/>
            <w:gridSpan w:val="3"/>
            <w:vAlign w:val="center"/>
          </w:tcPr>
          <w:p w:rsidR="0045691F" w:rsidRPr="00F83346" w:rsidRDefault="0045691F">
            <w:pPr>
              <w:ind w:right="-29"/>
              <w:jc w:val="center"/>
              <w:rPr>
                <w:noProof/>
                <w:sz w:val="18"/>
                <w:szCs w:val="18"/>
              </w:rPr>
            </w:pPr>
            <w:r w:rsidRPr="00F83346">
              <w:rPr>
                <w:noProof/>
                <w:sz w:val="18"/>
              </w:rPr>
              <w:t>Leto</w:t>
            </w:r>
            <w:r w:rsidRPr="00F83346">
              <w:rPr>
                <w:noProof/>
                <w:sz w:val="22"/>
              </w:rPr>
              <w:br/>
            </w:r>
            <w:r w:rsidRPr="00F83346">
              <w:rPr>
                <w:b/>
                <w:noProof/>
                <w:sz w:val="18"/>
              </w:rPr>
              <w:t>2027</w:t>
            </w:r>
          </w:p>
        </w:tc>
        <w:tc>
          <w:tcPr>
            <w:tcW w:w="3827" w:type="dxa"/>
            <w:gridSpan w:val="7"/>
            <w:vAlign w:val="center"/>
          </w:tcPr>
          <w:p w:rsidR="0045691F" w:rsidRPr="00F83346" w:rsidRDefault="0045691F">
            <w:pPr>
              <w:jc w:val="center"/>
              <w:rPr>
                <w:noProof/>
                <w:sz w:val="18"/>
                <w:szCs w:val="18"/>
              </w:rPr>
            </w:pPr>
            <w:r w:rsidRPr="00F83346">
              <w:rPr>
                <w:noProof/>
                <w:sz w:val="18"/>
              </w:rPr>
              <w:t>Vstavite ustrezno število let glede na trajanje posledic (gl. oddelek 1.6)</w:t>
            </w:r>
          </w:p>
        </w:tc>
        <w:tc>
          <w:tcPr>
            <w:tcW w:w="1899" w:type="dxa"/>
            <w:gridSpan w:val="2"/>
            <w:tcBorders>
              <w:left w:val="nil"/>
              <w:bottom w:val="nil"/>
            </w:tcBorders>
            <w:vAlign w:val="center"/>
          </w:tcPr>
          <w:p w:rsidR="0045691F" w:rsidRPr="00F83346" w:rsidRDefault="0045691F">
            <w:pPr>
              <w:ind w:right="-29"/>
              <w:jc w:val="center"/>
              <w:rPr>
                <w:noProof/>
                <w:sz w:val="18"/>
                <w:szCs w:val="18"/>
              </w:rPr>
            </w:pPr>
            <w:r w:rsidRPr="00F83346">
              <w:rPr>
                <w:b/>
                <w:noProof/>
                <w:sz w:val="18"/>
              </w:rPr>
              <w:t>SKUPAJ</w:t>
            </w:r>
          </w:p>
        </w:tc>
      </w:tr>
      <w:tr w:rsidR="0045691F" w:rsidRPr="00F83346">
        <w:trPr>
          <w:jc w:val="center"/>
        </w:trPr>
        <w:tc>
          <w:tcPr>
            <w:tcW w:w="1423" w:type="dxa"/>
            <w:vMerge/>
            <w:vAlign w:val="center"/>
          </w:tcPr>
          <w:p w:rsidR="0045691F" w:rsidRPr="00F83346" w:rsidRDefault="0045691F">
            <w:pPr>
              <w:ind w:right="-29"/>
              <w:jc w:val="center"/>
              <w:rPr>
                <w:noProof/>
                <w:sz w:val="18"/>
                <w:szCs w:val="18"/>
              </w:rPr>
            </w:pPr>
          </w:p>
        </w:tc>
        <w:tc>
          <w:tcPr>
            <w:tcW w:w="12185" w:type="dxa"/>
            <w:gridSpan w:val="20"/>
            <w:vAlign w:val="center"/>
          </w:tcPr>
          <w:p w:rsidR="0045691F" w:rsidRPr="00F83346" w:rsidRDefault="0045691F">
            <w:pPr>
              <w:spacing w:before="60" w:after="60"/>
              <w:ind w:right="-29"/>
              <w:jc w:val="center"/>
              <w:rPr>
                <w:noProof/>
                <w:sz w:val="18"/>
                <w:szCs w:val="18"/>
              </w:rPr>
            </w:pPr>
            <w:r w:rsidRPr="00F83346">
              <w:rPr>
                <w:b/>
                <w:noProof/>
                <w:sz w:val="18"/>
              </w:rPr>
              <w:t>REALIZACIJE</w:t>
            </w:r>
          </w:p>
        </w:tc>
      </w:tr>
      <w:tr w:rsidR="000C4F05" w:rsidRPr="00F83346" w:rsidTr="000C4F05">
        <w:trPr>
          <w:cantSplit/>
          <w:trHeight w:val="1134"/>
          <w:jc w:val="center"/>
        </w:trPr>
        <w:tc>
          <w:tcPr>
            <w:tcW w:w="1423" w:type="dxa"/>
            <w:vMerge/>
            <w:vAlign w:val="center"/>
          </w:tcPr>
          <w:p w:rsidR="0045691F" w:rsidRPr="00F83346" w:rsidRDefault="0045691F">
            <w:pPr>
              <w:rPr>
                <w:noProof/>
                <w:sz w:val="18"/>
                <w:szCs w:val="18"/>
              </w:rPr>
            </w:pPr>
          </w:p>
        </w:tc>
        <w:tc>
          <w:tcPr>
            <w:tcW w:w="720" w:type="dxa"/>
            <w:vAlign w:val="center"/>
          </w:tcPr>
          <w:p w:rsidR="0045691F" w:rsidRPr="00F83346" w:rsidRDefault="0045691F">
            <w:pPr>
              <w:jc w:val="center"/>
              <w:rPr>
                <w:noProof/>
                <w:sz w:val="18"/>
                <w:szCs w:val="18"/>
              </w:rPr>
            </w:pPr>
            <w:r w:rsidRPr="00F83346">
              <w:rPr>
                <w:noProof/>
                <w:sz w:val="18"/>
              </w:rPr>
              <w:t>vrsta</w:t>
            </w:r>
            <w:r w:rsidRPr="00F83346">
              <w:rPr>
                <w:rStyle w:val="FootnoteReference"/>
                <w:noProof/>
                <w:sz w:val="18"/>
              </w:rPr>
              <w:footnoteReference w:id="32"/>
            </w:r>
          </w:p>
          <w:p w:rsidR="0045691F" w:rsidRPr="00F83346" w:rsidRDefault="0045691F">
            <w:pPr>
              <w:spacing w:before="0" w:after="0"/>
              <w:jc w:val="center"/>
              <w:rPr>
                <w:noProof/>
                <w:sz w:val="18"/>
                <w:szCs w:val="18"/>
              </w:rPr>
            </w:pPr>
          </w:p>
        </w:tc>
        <w:tc>
          <w:tcPr>
            <w:tcW w:w="701" w:type="dxa"/>
            <w:vAlign w:val="center"/>
          </w:tcPr>
          <w:p w:rsidR="0045691F" w:rsidRPr="00F83346" w:rsidRDefault="0045691F">
            <w:pPr>
              <w:jc w:val="center"/>
              <w:rPr>
                <w:noProof/>
                <w:sz w:val="18"/>
                <w:szCs w:val="18"/>
              </w:rPr>
            </w:pPr>
            <w:r w:rsidRPr="00F83346">
              <w:rPr>
                <w:noProof/>
                <w:sz w:val="18"/>
              </w:rPr>
              <w:t>povprečni stroški</w:t>
            </w:r>
          </w:p>
        </w:tc>
        <w:tc>
          <w:tcPr>
            <w:tcW w:w="504" w:type="dxa"/>
            <w:tcBorders>
              <w:left w:val="nil"/>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20"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40" w:type="dxa"/>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20"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70" w:type="dxa"/>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08"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67" w:type="dxa"/>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09" w:type="dxa"/>
            <w:gridSpan w:val="2"/>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67" w:type="dxa"/>
            <w:gridSpan w:val="2"/>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09"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67" w:type="dxa"/>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09"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567" w:type="dxa"/>
            <w:tcBorders>
              <w:right w:val="dashSmallGap" w:sz="4" w:space="0" w:color="auto"/>
            </w:tcBorders>
            <w:shd w:val="pct10" w:color="auto" w:fill="auto"/>
            <w:textDirection w:val="btLr"/>
            <w:vAlign w:val="center"/>
          </w:tcPr>
          <w:p w:rsidR="0045691F" w:rsidRPr="00F83346" w:rsidRDefault="0045691F">
            <w:pPr>
              <w:ind w:left="113" w:right="113"/>
              <w:jc w:val="center"/>
              <w:rPr>
                <w:noProof/>
                <w:sz w:val="18"/>
                <w:szCs w:val="18"/>
              </w:rPr>
            </w:pPr>
            <w:r w:rsidRPr="00F83346">
              <w:rPr>
                <w:noProof/>
                <w:sz w:val="18"/>
              </w:rPr>
              <w:t>število</w:t>
            </w:r>
          </w:p>
        </w:tc>
        <w:tc>
          <w:tcPr>
            <w:tcW w:w="708"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w:t>
            </w:r>
          </w:p>
        </w:tc>
        <w:tc>
          <w:tcPr>
            <w:tcW w:w="999" w:type="dxa"/>
            <w:tcBorders>
              <w:righ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število realizacij skupaj</w:t>
            </w:r>
          </w:p>
        </w:tc>
        <w:tc>
          <w:tcPr>
            <w:tcW w:w="900" w:type="dxa"/>
            <w:tcBorders>
              <w:left w:val="dashSmallGap" w:sz="4" w:space="0" w:color="auto"/>
            </w:tcBorders>
            <w:shd w:val="pct10" w:color="auto" w:fill="auto"/>
            <w:vAlign w:val="center"/>
          </w:tcPr>
          <w:p w:rsidR="0045691F" w:rsidRPr="00F83346" w:rsidRDefault="0045691F">
            <w:pPr>
              <w:jc w:val="center"/>
              <w:rPr>
                <w:noProof/>
                <w:sz w:val="18"/>
                <w:szCs w:val="18"/>
              </w:rPr>
            </w:pPr>
            <w:r w:rsidRPr="00F83346">
              <w:rPr>
                <w:noProof/>
                <w:sz w:val="18"/>
              </w:rPr>
              <w:t>stroški realizacij skupaj</w:t>
            </w:r>
          </w:p>
        </w:tc>
      </w:tr>
      <w:tr w:rsidR="0045691F" w:rsidRPr="00F83346" w:rsidTr="000C4F05">
        <w:trPr>
          <w:jc w:val="center"/>
        </w:trPr>
        <w:tc>
          <w:tcPr>
            <w:tcW w:w="2844" w:type="dxa"/>
            <w:gridSpan w:val="3"/>
            <w:vAlign w:val="center"/>
          </w:tcPr>
          <w:p w:rsidR="0045691F" w:rsidRPr="00F83346" w:rsidRDefault="0045691F">
            <w:pPr>
              <w:spacing w:before="60" w:after="60"/>
              <w:ind w:right="-29"/>
              <w:jc w:val="center"/>
              <w:rPr>
                <w:noProof/>
                <w:sz w:val="18"/>
                <w:szCs w:val="18"/>
              </w:rPr>
            </w:pPr>
            <w:r w:rsidRPr="00F83346">
              <w:rPr>
                <w:noProof/>
                <w:sz w:val="18"/>
              </w:rPr>
              <w:t>SPECIFIČNI CILJ št. 1</w:t>
            </w:r>
            <w:r w:rsidRPr="00F83346">
              <w:rPr>
                <w:rStyle w:val="FootnoteReference"/>
                <w:noProof/>
                <w:sz w:val="18"/>
              </w:rPr>
              <w:footnoteReference w:id="33"/>
            </w:r>
            <w:r w:rsidRPr="00F83346">
              <w:rPr>
                <w:noProof/>
                <w:sz w:val="18"/>
              </w:rPr>
              <w:t xml:space="preserve"> …</w:t>
            </w:r>
          </w:p>
        </w:tc>
        <w:tc>
          <w:tcPr>
            <w:tcW w:w="504"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2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4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2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7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8"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gridSpan w:val="2"/>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gridSpan w:val="2"/>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8"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99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900" w:type="dxa"/>
            <w:tcBorders>
              <w:top w:val="nil"/>
              <w:left w:val="nil"/>
              <w:bottom w:val="nil"/>
              <w:right w:val="nil"/>
            </w:tcBorders>
          </w:tcPr>
          <w:p w:rsidR="0045691F" w:rsidRPr="00F83346" w:rsidRDefault="0045691F">
            <w:pPr>
              <w:spacing w:before="60" w:after="60"/>
              <w:ind w:right="-29"/>
              <w:jc w:val="center"/>
              <w:rPr>
                <w:noProof/>
                <w:sz w:val="18"/>
                <w:szCs w:val="18"/>
              </w:rPr>
            </w:pPr>
          </w:p>
        </w:tc>
      </w:tr>
      <w:tr w:rsidR="0045691F" w:rsidRPr="00F83346" w:rsidTr="000C4F05">
        <w:trPr>
          <w:trHeight w:hRule="exact" w:val="369"/>
          <w:jc w:val="center"/>
        </w:trPr>
        <w:tc>
          <w:tcPr>
            <w:tcW w:w="1423" w:type="dxa"/>
          </w:tcPr>
          <w:p w:rsidR="0045691F" w:rsidRPr="00F83346" w:rsidRDefault="0045691F">
            <w:pPr>
              <w:ind w:right="-29"/>
              <w:jc w:val="center"/>
              <w:rPr>
                <w:noProof/>
                <w:sz w:val="18"/>
                <w:szCs w:val="18"/>
              </w:rPr>
            </w:pPr>
            <w:r w:rsidRPr="00F83346">
              <w:rPr>
                <w:noProof/>
                <w:sz w:val="18"/>
              </w:rPr>
              <w:t>– realizacija</w:t>
            </w:r>
          </w:p>
        </w:tc>
        <w:tc>
          <w:tcPr>
            <w:tcW w:w="720" w:type="dxa"/>
          </w:tcPr>
          <w:p w:rsidR="0045691F" w:rsidRPr="00F83346" w:rsidRDefault="0045691F">
            <w:pPr>
              <w:ind w:right="-29"/>
              <w:jc w:val="center"/>
              <w:rPr>
                <w:noProof/>
                <w:sz w:val="18"/>
                <w:szCs w:val="18"/>
              </w:rPr>
            </w:pPr>
          </w:p>
        </w:tc>
        <w:tc>
          <w:tcPr>
            <w:tcW w:w="701" w:type="dxa"/>
          </w:tcPr>
          <w:p w:rsidR="0045691F" w:rsidRPr="00F83346" w:rsidRDefault="0045691F">
            <w:pPr>
              <w:ind w:right="-29"/>
              <w:jc w:val="center"/>
              <w:rPr>
                <w:noProof/>
                <w:sz w:val="18"/>
                <w:szCs w:val="18"/>
              </w:rPr>
            </w:pPr>
          </w:p>
        </w:tc>
        <w:tc>
          <w:tcPr>
            <w:tcW w:w="504" w:type="dxa"/>
            <w:tcBorders>
              <w:right w:val="dashSmallGap" w:sz="4" w:space="0" w:color="auto"/>
            </w:tcBorders>
          </w:tcPr>
          <w:p w:rsidR="0045691F" w:rsidRPr="00F83346" w:rsidRDefault="0045691F">
            <w:pPr>
              <w:ind w:right="-29"/>
              <w:jc w:val="center"/>
              <w:rPr>
                <w:noProof/>
                <w:sz w:val="18"/>
                <w:szCs w:val="18"/>
              </w:rPr>
            </w:pPr>
          </w:p>
        </w:tc>
        <w:tc>
          <w:tcPr>
            <w:tcW w:w="720" w:type="dxa"/>
            <w:tcBorders>
              <w:left w:val="dashSmallGap" w:sz="4" w:space="0" w:color="auto"/>
            </w:tcBorders>
          </w:tcPr>
          <w:p w:rsidR="0045691F" w:rsidRPr="00F83346" w:rsidRDefault="0045691F">
            <w:pPr>
              <w:ind w:right="-29"/>
              <w:jc w:val="center"/>
              <w:rPr>
                <w:noProof/>
                <w:sz w:val="18"/>
                <w:szCs w:val="18"/>
              </w:rPr>
            </w:pPr>
          </w:p>
        </w:tc>
        <w:tc>
          <w:tcPr>
            <w:tcW w:w="540" w:type="dxa"/>
            <w:tcBorders>
              <w:right w:val="dashSmallGap" w:sz="4" w:space="0" w:color="auto"/>
            </w:tcBorders>
          </w:tcPr>
          <w:p w:rsidR="0045691F" w:rsidRPr="00F83346" w:rsidRDefault="0045691F">
            <w:pPr>
              <w:ind w:right="-29"/>
              <w:jc w:val="center"/>
              <w:rPr>
                <w:noProof/>
                <w:sz w:val="18"/>
                <w:szCs w:val="18"/>
              </w:rPr>
            </w:pPr>
          </w:p>
        </w:tc>
        <w:tc>
          <w:tcPr>
            <w:tcW w:w="720" w:type="dxa"/>
            <w:tcBorders>
              <w:left w:val="dashSmallGap" w:sz="4" w:space="0" w:color="auto"/>
            </w:tcBorders>
          </w:tcPr>
          <w:p w:rsidR="0045691F" w:rsidRPr="00F83346" w:rsidRDefault="0045691F">
            <w:pPr>
              <w:ind w:right="-29"/>
              <w:jc w:val="center"/>
              <w:rPr>
                <w:noProof/>
                <w:sz w:val="18"/>
                <w:szCs w:val="18"/>
              </w:rPr>
            </w:pPr>
          </w:p>
        </w:tc>
        <w:tc>
          <w:tcPr>
            <w:tcW w:w="570" w:type="dxa"/>
            <w:tcBorders>
              <w:right w:val="dashSmallGap" w:sz="4" w:space="0" w:color="auto"/>
            </w:tcBorders>
          </w:tcPr>
          <w:p w:rsidR="0045691F" w:rsidRPr="00F83346" w:rsidRDefault="0045691F">
            <w:pPr>
              <w:ind w:right="-29"/>
              <w:jc w:val="center"/>
              <w:rPr>
                <w:noProof/>
                <w:sz w:val="18"/>
                <w:szCs w:val="18"/>
              </w:rPr>
            </w:pPr>
          </w:p>
        </w:tc>
        <w:tc>
          <w:tcPr>
            <w:tcW w:w="708"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9" w:type="dxa"/>
            <w:gridSpan w:val="2"/>
            <w:tcBorders>
              <w:left w:val="dashSmallGap" w:sz="4" w:space="0" w:color="auto"/>
            </w:tcBorders>
          </w:tcPr>
          <w:p w:rsidR="0045691F" w:rsidRPr="00F83346" w:rsidRDefault="0045691F">
            <w:pPr>
              <w:ind w:right="-29"/>
              <w:jc w:val="center"/>
              <w:rPr>
                <w:noProof/>
                <w:sz w:val="18"/>
                <w:szCs w:val="18"/>
              </w:rPr>
            </w:pPr>
          </w:p>
        </w:tc>
        <w:tc>
          <w:tcPr>
            <w:tcW w:w="567" w:type="dxa"/>
            <w:gridSpan w:val="2"/>
            <w:tcBorders>
              <w:right w:val="dashSmallGap" w:sz="4" w:space="0" w:color="auto"/>
            </w:tcBorders>
          </w:tcPr>
          <w:p w:rsidR="0045691F" w:rsidRPr="00F83346" w:rsidRDefault="0045691F">
            <w:pPr>
              <w:ind w:right="-29"/>
              <w:jc w:val="center"/>
              <w:rPr>
                <w:noProof/>
                <w:sz w:val="18"/>
                <w:szCs w:val="18"/>
              </w:rPr>
            </w:pPr>
          </w:p>
        </w:tc>
        <w:tc>
          <w:tcPr>
            <w:tcW w:w="709"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9"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8" w:type="dxa"/>
            <w:tcBorders>
              <w:left w:val="dashSmallGap" w:sz="4" w:space="0" w:color="auto"/>
            </w:tcBorders>
          </w:tcPr>
          <w:p w:rsidR="0045691F" w:rsidRPr="00F83346" w:rsidRDefault="0045691F">
            <w:pPr>
              <w:ind w:right="-29"/>
              <w:jc w:val="center"/>
              <w:rPr>
                <w:noProof/>
                <w:sz w:val="18"/>
                <w:szCs w:val="18"/>
              </w:rPr>
            </w:pPr>
          </w:p>
        </w:tc>
        <w:tc>
          <w:tcPr>
            <w:tcW w:w="999" w:type="dxa"/>
          </w:tcPr>
          <w:p w:rsidR="0045691F" w:rsidRPr="00F83346" w:rsidRDefault="0045691F">
            <w:pPr>
              <w:ind w:right="-29"/>
              <w:jc w:val="center"/>
              <w:rPr>
                <w:noProof/>
                <w:sz w:val="18"/>
                <w:szCs w:val="18"/>
              </w:rPr>
            </w:pPr>
          </w:p>
        </w:tc>
        <w:tc>
          <w:tcPr>
            <w:tcW w:w="900" w:type="dxa"/>
          </w:tcPr>
          <w:p w:rsidR="0045691F" w:rsidRPr="00F83346" w:rsidRDefault="0045691F">
            <w:pPr>
              <w:ind w:right="-29"/>
              <w:jc w:val="center"/>
              <w:rPr>
                <w:noProof/>
                <w:sz w:val="18"/>
                <w:szCs w:val="18"/>
              </w:rPr>
            </w:pPr>
          </w:p>
        </w:tc>
      </w:tr>
      <w:tr w:rsidR="0045691F" w:rsidRPr="00F83346" w:rsidTr="000C4F05">
        <w:trPr>
          <w:trHeight w:hRule="exact" w:val="369"/>
          <w:jc w:val="center"/>
        </w:trPr>
        <w:tc>
          <w:tcPr>
            <w:tcW w:w="1423" w:type="dxa"/>
          </w:tcPr>
          <w:p w:rsidR="0045691F" w:rsidRPr="00F83346" w:rsidRDefault="0045691F">
            <w:pPr>
              <w:ind w:right="-29"/>
              <w:jc w:val="center"/>
              <w:rPr>
                <w:noProof/>
                <w:sz w:val="18"/>
                <w:szCs w:val="18"/>
              </w:rPr>
            </w:pPr>
            <w:r w:rsidRPr="00F83346">
              <w:rPr>
                <w:noProof/>
                <w:sz w:val="18"/>
              </w:rPr>
              <w:t>– realizacija</w:t>
            </w:r>
          </w:p>
        </w:tc>
        <w:tc>
          <w:tcPr>
            <w:tcW w:w="720" w:type="dxa"/>
          </w:tcPr>
          <w:p w:rsidR="0045691F" w:rsidRPr="00F83346" w:rsidRDefault="0045691F">
            <w:pPr>
              <w:ind w:right="-29"/>
              <w:jc w:val="center"/>
              <w:rPr>
                <w:noProof/>
                <w:sz w:val="18"/>
                <w:szCs w:val="18"/>
              </w:rPr>
            </w:pPr>
          </w:p>
        </w:tc>
        <w:tc>
          <w:tcPr>
            <w:tcW w:w="701" w:type="dxa"/>
          </w:tcPr>
          <w:p w:rsidR="0045691F" w:rsidRPr="00F83346" w:rsidRDefault="0045691F">
            <w:pPr>
              <w:ind w:right="-29"/>
              <w:jc w:val="center"/>
              <w:rPr>
                <w:noProof/>
                <w:sz w:val="18"/>
                <w:szCs w:val="18"/>
              </w:rPr>
            </w:pPr>
          </w:p>
        </w:tc>
        <w:tc>
          <w:tcPr>
            <w:tcW w:w="504" w:type="dxa"/>
            <w:tcBorders>
              <w:right w:val="dashSmallGap" w:sz="4" w:space="0" w:color="auto"/>
            </w:tcBorders>
          </w:tcPr>
          <w:p w:rsidR="0045691F" w:rsidRPr="00F83346" w:rsidRDefault="0045691F">
            <w:pPr>
              <w:ind w:right="-29"/>
              <w:jc w:val="center"/>
              <w:rPr>
                <w:noProof/>
                <w:sz w:val="18"/>
                <w:szCs w:val="18"/>
              </w:rPr>
            </w:pPr>
          </w:p>
        </w:tc>
        <w:tc>
          <w:tcPr>
            <w:tcW w:w="720" w:type="dxa"/>
            <w:tcBorders>
              <w:left w:val="dashSmallGap" w:sz="4" w:space="0" w:color="auto"/>
            </w:tcBorders>
          </w:tcPr>
          <w:p w:rsidR="0045691F" w:rsidRPr="00F83346" w:rsidRDefault="0045691F">
            <w:pPr>
              <w:ind w:right="-29"/>
              <w:jc w:val="center"/>
              <w:rPr>
                <w:noProof/>
                <w:sz w:val="18"/>
                <w:szCs w:val="18"/>
              </w:rPr>
            </w:pPr>
          </w:p>
        </w:tc>
        <w:tc>
          <w:tcPr>
            <w:tcW w:w="540" w:type="dxa"/>
            <w:tcBorders>
              <w:right w:val="dashSmallGap" w:sz="4" w:space="0" w:color="auto"/>
            </w:tcBorders>
          </w:tcPr>
          <w:p w:rsidR="0045691F" w:rsidRPr="00F83346" w:rsidRDefault="0045691F">
            <w:pPr>
              <w:ind w:right="-29"/>
              <w:jc w:val="center"/>
              <w:rPr>
                <w:noProof/>
                <w:sz w:val="18"/>
                <w:szCs w:val="18"/>
              </w:rPr>
            </w:pPr>
          </w:p>
        </w:tc>
        <w:tc>
          <w:tcPr>
            <w:tcW w:w="720" w:type="dxa"/>
            <w:tcBorders>
              <w:left w:val="dashSmallGap" w:sz="4" w:space="0" w:color="auto"/>
            </w:tcBorders>
          </w:tcPr>
          <w:p w:rsidR="0045691F" w:rsidRPr="00F83346" w:rsidRDefault="0045691F">
            <w:pPr>
              <w:ind w:right="-29"/>
              <w:jc w:val="center"/>
              <w:rPr>
                <w:noProof/>
                <w:sz w:val="18"/>
                <w:szCs w:val="18"/>
              </w:rPr>
            </w:pPr>
          </w:p>
        </w:tc>
        <w:tc>
          <w:tcPr>
            <w:tcW w:w="570" w:type="dxa"/>
            <w:tcBorders>
              <w:right w:val="dashSmallGap" w:sz="4" w:space="0" w:color="auto"/>
            </w:tcBorders>
          </w:tcPr>
          <w:p w:rsidR="0045691F" w:rsidRPr="00F83346" w:rsidRDefault="0045691F">
            <w:pPr>
              <w:ind w:right="-29"/>
              <w:jc w:val="center"/>
              <w:rPr>
                <w:noProof/>
                <w:sz w:val="18"/>
                <w:szCs w:val="18"/>
              </w:rPr>
            </w:pPr>
          </w:p>
        </w:tc>
        <w:tc>
          <w:tcPr>
            <w:tcW w:w="708"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9" w:type="dxa"/>
            <w:gridSpan w:val="2"/>
            <w:tcBorders>
              <w:left w:val="dashSmallGap" w:sz="4" w:space="0" w:color="auto"/>
            </w:tcBorders>
          </w:tcPr>
          <w:p w:rsidR="0045691F" w:rsidRPr="00F83346" w:rsidRDefault="0045691F">
            <w:pPr>
              <w:ind w:right="-29"/>
              <w:jc w:val="center"/>
              <w:rPr>
                <w:noProof/>
                <w:sz w:val="18"/>
                <w:szCs w:val="18"/>
              </w:rPr>
            </w:pPr>
          </w:p>
        </w:tc>
        <w:tc>
          <w:tcPr>
            <w:tcW w:w="567" w:type="dxa"/>
            <w:gridSpan w:val="2"/>
            <w:tcBorders>
              <w:right w:val="dashSmallGap" w:sz="4" w:space="0" w:color="auto"/>
            </w:tcBorders>
          </w:tcPr>
          <w:p w:rsidR="0045691F" w:rsidRPr="00F83346" w:rsidRDefault="0045691F">
            <w:pPr>
              <w:ind w:right="-29"/>
              <w:jc w:val="center"/>
              <w:rPr>
                <w:noProof/>
                <w:sz w:val="18"/>
                <w:szCs w:val="18"/>
              </w:rPr>
            </w:pPr>
          </w:p>
        </w:tc>
        <w:tc>
          <w:tcPr>
            <w:tcW w:w="709"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9" w:type="dxa"/>
            <w:tcBorders>
              <w:left w:val="dashSmallGap" w:sz="4" w:space="0" w:color="auto"/>
            </w:tcBorders>
          </w:tcPr>
          <w:p w:rsidR="0045691F" w:rsidRPr="00F83346" w:rsidRDefault="0045691F">
            <w:pPr>
              <w:ind w:right="-29"/>
              <w:jc w:val="center"/>
              <w:rPr>
                <w:noProof/>
                <w:sz w:val="18"/>
                <w:szCs w:val="18"/>
              </w:rPr>
            </w:pPr>
          </w:p>
        </w:tc>
        <w:tc>
          <w:tcPr>
            <w:tcW w:w="567" w:type="dxa"/>
            <w:tcBorders>
              <w:right w:val="dashSmallGap" w:sz="4" w:space="0" w:color="auto"/>
            </w:tcBorders>
          </w:tcPr>
          <w:p w:rsidR="0045691F" w:rsidRPr="00F83346" w:rsidRDefault="0045691F">
            <w:pPr>
              <w:ind w:right="-29"/>
              <w:jc w:val="center"/>
              <w:rPr>
                <w:noProof/>
                <w:sz w:val="18"/>
                <w:szCs w:val="18"/>
              </w:rPr>
            </w:pPr>
          </w:p>
        </w:tc>
        <w:tc>
          <w:tcPr>
            <w:tcW w:w="708" w:type="dxa"/>
            <w:tcBorders>
              <w:left w:val="dashSmallGap" w:sz="4" w:space="0" w:color="auto"/>
            </w:tcBorders>
          </w:tcPr>
          <w:p w:rsidR="0045691F" w:rsidRPr="00F83346" w:rsidRDefault="0045691F">
            <w:pPr>
              <w:ind w:right="-29"/>
              <w:jc w:val="center"/>
              <w:rPr>
                <w:noProof/>
                <w:sz w:val="18"/>
                <w:szCs w:val="18"/>
              </w:rPr>
            </w:pPr>
          </w:p>
        </w:tc>
        <w:tc>
          <w:tcPr>
            <w:tcW w:w="999" w:type="dxa"/>
          </w:tcPr>
          <w:p w:rsidR="0045691F" w:rsidRPr="00F83346" w:rsidRDefault="0045691F">
            <w:pPr>
              <w:ind w:right="-29"/>
              <w:jc w:val="center"/>
              <w:rPr>
                <w:noProof/>
                <w:sz w:val="18"/>
                <w:szCs w:val="18"/>
              </w:rPr>
            </w:pPr>
          </w:p>
        </w:tc>
        <w:tc>
          <w:tcPr>
            <w:tcW w:w="900" w:type="dxa"/>
          </w:tcPr>
          <w:p w:rsidR="0045691F" w:rsidRPr="00F83346" w:rsidRDefault="0045691F">
            <w:pPr>
              <w:ind w:right="-29"/>
              <w:jc w:val="center"/>
              <w:rPr>
                <w:noProof/>
                <w:sz w:val="18"/>
                <w:szCs w:val="18"/>
              </w:rPr>
            </w:pPr>
          </w:p>
        </w:tc>
      </w:tr>
      <w:tr w:rsidR="0045691F" w:rsidRPr="00F83346" w:rsidTr="000C4F05">
        <w:trPr>
          <w:trHeight w:hRule="exact" w:val="369"/>
          <w:jc w:val="center"/>
        </w:trPr>
        <w:tc>
          <w:tcPr>
            <w:tcW w:w="1423" w:type="dxa"/>
          </w:tcPr>
          <w:p w:rsidR="0045691F" w:rsidRPr="00F83346" w:rsidRDefault="0045691F">
            <w:pPr>
              <w:ind w:right="-29"/>
              <w:jc w:val="center"/>
              <w:rPr>
                <w:noProof/>
                <w:sz w:val="18"/>
                <w:szCs w:val="18"/>
              </w:rPr>
            </w:pPr>
            <w:r w:rsidRPr="00F83346">
              <w:rPr>
                <w:noProof/>
                <w:sz w:val="18"/>
              </w:rPr>
              <w:t>– realizacija</w:t>
            </w:r>
          </w:p>
        </w:tc>
        <w:tc>
          <w:tcPr>
            <w:tcW w:w="720" w:type="dxa"/>
          </w:tcPr>
          <w:p w:rsidR="0045691F" w:rsidRPr="00F83346" w:rsidRDefault="0045691F">
            <w:pPr>
              <w:ind w:right="-29"/>
              <w:jc w:val="center"/>
              <w:rPr>
                <w:noProof/>
                <w:sz w:val="18"/>
                <w:szCs w:val="18"/>
              </w:rPr>
            </w:pPr>
          </w:p>
        </w:tc>
        <w:tc>
          <w:tcPr>
            <w:tcW w:w="701" w:type="dxa"/>
          </w:tcPr>
          <w:p w:rsidR="0045691F" w:rsidRPr="00F83346" w:rsidRDefault="0045691F">
            <w:pPr>
              <w:ind w:right="-29"/>
              <w:jc w:val="center"/>
              <w:rPr>
                <w:noProof/>
                <w:sz w:val="18"/>
                <w:szCs w:val="18"/>
              </w:rPr>
            </w:pPr>
          </w:p>
        </w:tc>
        <w:tc>
          <w:tcPr>
            <w:tcW w:w="504" w:type="dxa"/>
          </w:tcPr>
          <w:p w:rsidR="0045691F" w:rsidRPr="00F83346" w:rsidRDefault="0045691F">
            <w:pPr>
              <w:ind w:right="-29"/>
              <w:jc w:val="center"/>
              <w:rPr>
                <w:noProof/>
                <w:sz w:val="18"/>
                <w:szCs w:val="18"/>
              </w:rPr>
            </w:pPr>
          </w:p>
        </w:tc>
        <w:tc>
          <w:tcPr>
            <w:tcW w:w="720" w:type="dxa"/>
          </w:tcPr>
          <w:p w:rsidR="0045691F" w:rsidRPr="00F83346" w:rsidRDefault="0045691F">
            <w:pPr>
              <w:ind w:right="-29"/>
              <w:jc w:val="center"/>
              <w:rPr>
                <w:noProof/>
                <w:sz w:val="18"/>
                <w:szCs w:val="18"/>
              </w:rPr>
            </w:pPr>
          </w:p>
        </w:tc>
        <w:tc>
          <w:tcPr>
            <w:tcW w:w="540" w:type="dxa"/>
          </w:tcPr>
          <w:p w:rsidR="0045691F" w:rsidRPr="00F83346" w:rsidRDefault="0045691F">
            <w:pPr>
              <w:ind w:right="-29"/>
              <w:jc w:val="center"/>
              <w:rPr>
                <w:noProof/>
                <w:sz w:val="18"/>
                <w:szCs w:val="18"/>
              </w:rPr>
            </w:pPr>
          </w:p>
        </w:tc>
        <w:tc>
          <w:tcPr>
            <w:tcW w:w="720" w:type="dxa"/>
          </w:tcPr>
          <w:p w:rsidR="0045691F" w:rsidRPr="00F83346" w:rsidRDefault="0045691F">
            <w:pPr>
              <w:ind w:right="-29"/>
              <w:jc w:val="center"/>
              <w:rPr>
                <w:noProof/>
                <w:sz w:val="18"/>
                <w:szCs w:val="18"/>
              </w:rPr>
            </w:pPr>
          </w:p>
        </w:tc>
        <w:tc>
          <w:tcPr>
            <w:tcW w:w="570" w:type="dxa"/>
          </w:tcPr>
          <w:p w:rsidR="0045691F" w:rsidRPr="00F83346" w:rsidRDefault="0045691F">
            <w:pPr>
              <w:ind w:right="-29"/>
              <w:jc w:val="center"/>
              <w:rPr>
                <w:noProof/>
                <w:sz w:val="18"/>
                <w:szCs w:val="18"/>
              </w:rPr>
            </w:pPr>
          </w:p>
        </w:tc>
        <w:tc>
          <w:tcPr>
            <w:tcW w:w="708"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9" w:type="dxa"/>
            <w:gridSpan w:val="2"/>
          </w:tcPr>
          <w:p w:rsidR="0045691F" w:rsidRPr="00F83346" w:rsidRDefault="0045691F">
            <w:pPr>
              <w:ind w:right="-29"/>
              <w:jc w:val="center"/>
              <w:rPr>
                <w:noProof/>
                <w:sz w:val="18"/>
                <w:szCs w:val="18"/>
              </w:rPr>
            </w:pPr>
          </w:p>
        </w:tc>
        <w:tc>
          <w:tcPr>
            <w:tcW w:w="567" w:type="dxa"/>
            <w:gridSpan w:val="2"/>
          </w:tcPr>
          <w:p w:rsidR="0045691F" w:rsidRPr="00F83346" w:rsidRDefault="0045691F">
            <w:pPr>
              <w:ind w:right="-29"/>
              <w:jc w:val="center"/>
              <w:rPr>
                <w:noProof/>
                <w:sz w:val="18"/>
                <w:szCs w:val="18"/>
              </w:rPr>
            </w:pPr>
          </w:p>
        </w:tc>
        <w:tc>
          <w:tcPr>
            <w:tcW w:w="709"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9"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8" w:type="dxa"/>
          </w:tcPr>
          <w:p w:rsidR="0045691F" w:rsidRPr="00F83346" w:rsidRDefault="0045691F">
            <w:pPr>
              <w:ind w:right="-29"/>
              <w:jc w:val="center"/>
              <w:rPr>
                <w:noProof/>
                <w:sz w:val="18"/>
                <w:szCs w:val="18"/>
              </w:rPr>
            </w:pPr>
          </w:p>
        </w:tc>
        <w:tc>
          <w:tcPr>
            <w:tcW w:w="999" w:type="dxa"/>
          </w:tcPr>
          <w:p w:rsidR="0045691F" w:rsidRPr="00F83346" w:rsidRDefault="0045691F">
            <w:pPr>
              <w:ind w:right="-29"/>
              <w:jc w:val="center"/>
              <w:rPr>
                <w:noProof/>
                <w:sz w:val="18"/>
                <w:szCs w:val="18"/>
              </w:rPr>
            </w:pPr>
          </w:p>
        </w:tc>
        <w:tc>
          <w:tcPr>
            <w:tcW w:w="900" w:type="dxa"/>
          </w:tcPr>
          <w:p w:rsidR="0045691F" w:rsidRPr="00F83346" w:rsidRDefault="0045691F">
            <w:pPr>
              <w:ind w:right="-29"/>
              <w:jc w:val="center"/>
              <w:rPr>
                <w:noProof/>
                <w:sz w:val="18"/>
                <w:szCs w:val="18"/>
              </w:rPr>
            </w:pPr>
          </w:p>
        </w:tc>
      </w:tr>
      <w:tr w:rsidR="0045691F" w:rsidRPr="00F83346" w:rsidTr="000C4F05">
        <w:trPr>
          <w:trHeight w:val="77"/>
          <w:jc w:val="center"/>
        </w:trPr>
        <w:tc>
          <w:tcPr>
            <w:tcW w:w="2844" w:type="dxa"/>
            <w:gridSpan w:val="3"/>
            <w:tcBorders>
              <w:bottom w:val="single" w:sz="12" w:space="0" w:color="auto"/>
            </w:tcBorders>
            <w:vAlign w:val="center"/>
          </w:tcPr>
          <w:p w:rsidR="0045691F" w:rsidRPr="00F83346" w:rsidRDefault="0045691F">
            <w:pPr>
              <w:ind w:right="-29"/>
              <w:jc w:val="center"/>
              <w:rPr>
                <w:noProof/>
                <w:sz w:val="18"/>
                <w:szCs w:val="18"/>
              </w:rPr>
            </w:pPr>
            <w:r w:rsidRPr="00F83346">
              <w:rPr>
                <w:noProof/>
                <w:sz w:val="18"/>
              </w:rPr>
              <w:t>Seštevek za specifični cilj št. 1</w:t>
            </w:r>
          </w:p>
        </w:tc>
        <w:tc>
          <w:tcPr>
            <w:tcW w:w="504" w:type="dxa"/>
            <w:tcBorders>
              <w:bottom w:val="single" w:sz="12" w:space="0" w:color="auto"/>
            </w:tcBorders>
          </w:tcPr>
          <w:p w:rsidR="0045691F" w:rsidRPr="00F83346" w:rsidRDefault="0045691F">
            <w:pPr>
              <w:ind w:right="-29"/>
              <w:jc w:val="center"/>
              <w:rPr>
                <w:noProof/>
                <w:sz w:val="18"/>
                <w:szCs w:val="18"/>
              </w:rPr>
            </w:pPr>
          </w:p>
        </w:tc>
        <w:tc>
          <w:tcPr>
            <w:tcW w:w="720" w:type="dxa"/>
            <w:tcBorders>
              <w:bottom w:val="single" w:sz="12" w:space="0" w:color="auto"/>
            </w:tcBorders>
          </w:tcPr>
          <w:p w:rsidR="0045691F" w:rsidRPr="00F83346" w:rsidRDefault="0045691F">
            <w:pPr>
              <w:ind w:right="-29"/>
              <w:jc w:val="center"/>
              <w:rPr>
                <w:noProof/>
                <w:sz w:val="18"/>
                <w:szCs w:val="18"/>
              </w:rPr>
            </w:pPr>
          </w:p>
        </w:tc>
        <w:tc>
          <w:tcPr>
            <w:tcW w:w="540" w:type="dxa"/>
            <w:tcBorders>
              <w:bottom w:val="single" w:sz="12" w:space="0" w:color="auto"/>
            </w:tcBorders>
          </w:tcPr>
          <w:p w:rsidR="0045691F" w:rsidRPr="00F83346" w:rsidRDefault="0045691F">
            <w:pPr>
              <w:ind w:right="-29"/>
              <w:jc w:val="center"/>
              <w:rPr>
                <w:noProof/>
                <w:sz w:val="18"/>
                <w:szCs w:val="18"/>
              </w:rPr>
            </w:pPr>
          </w:p>
        </w:tc>
        <w:tc>
          <w:tcPr>
            <w:tcW w:w="720" w:type="dxa"/>
            <w:tcBorders>
              <w:bottom w:val="single" w:sz="12" w:space="0" w:color="auto"/>
            </w:tcBorders>
          </w:tcPr>
          <w:p w:rsidR="0045691F" w:rsidRPr="00F83346" w:rsidRDefault="0045691F">
            <w:pPr>
              <w:ind w:right="-29"/>
              <w:jc w:val="center"/>
              <w:rPr>
                <w:noProof/>
                <w:sz w:val="18"/>
                <w:szCs w:val="18"/>
              </w:rPr>
            </w:pPr>
          </w:p>
        </w:tc>
        <w:tc>
          <w:tcPr>
            <w:tcW w:w="570" w:type="dxa"/>
            <w:tcBorders>
              <w:bottom w:val="single" w:sz="12" w:space="0" w:color="auto"/>
            </w:tcBorders>
          </w:tcPr>
          <w:p w:rsidR="0045691F" w:rsidRPr="00F83346" w:rsidRDefault="0045691F">
            <w:pPr>
              <w:ind w:right="-29"/>
              <w:jc w:val="center"/>
              <w:rPr>
                <w:noProof/>
                <w:sz w:val="18"/>
                <w:szCs w:val="18"/>
              </w:rPr>
            </w:pPr>
          </w:p>
        </w:tc>
        <w:tc>
          <w:tcPr>
            <w:tcW w:w="708" w:type="dxa"/>
            <w:tcBorders>
              <w:bottom w:val="single" w:sz="12" w:space="0" w:color="auto"/>
            </w:tcBorders>
          </w:tcPr>
          <w:p w:rsidR="0045691F" w:rsidRPr="00F83346" w:rsidRDefault="0045691F">
            <w:pPr>
              <w:ind w:right="-29"/>
              <w:jc w:val="center"/>
              <w:rPr>
                <w:noProof/>
                <w:sz w:val="18"/>
                <w:szCs w:val="18"/>
              </w:rPr>
            </w:pPr>
          </w:p>
        </w:tc>
        <w:tc>
          <w:tcPr>
            <w:tcW w:w="567" w:type="dxa"/>
            <w:tcBorders>
              <w:bottom w:val="single" w:sz="12" w:space="0" w:color="auto"/>
            </w:tcBorders>
          </w:tcPr>
          <w:p w:rsidR="0045691F" w:rsidRPr="00F83346" w:rsidRDefault="0045691F">
            <w:pPr>
              <w:ind w:right="-29"/>
              <w:jc w:val="center"/>
              <w:rPr>
                <w:noProof/>
                <w:sz w:val="18"/>
                <w:szCs w:val="18"/>
              </w:rPr>
            </w:pPr>
          </w:p>
        </w:tc>
        <w:tc>
          <w:tcPr>
            <w:tcW w:w="709" w:type="dxa"/>
            <w:gridSpan w:val="2"/>
            <w:tcBorders>
              <w:bottom w:val="single" w:sz="12" w:space="0" w:color="auto"/>
            </w:tcBorders>
          </w:tcPr>
          <w:p w:rsidR="0045691F" w:rsidRPr="00F83346" w:rsidRDefault="0045691F">
            <w:pPr>
              <w:ind w:right="-29"/>
              <w:jc w:val="center"/>
              <w:rPr>
                <w:noProof/>
                <w:sz w:val="18"/>
                <w:szCs w:val="18"/>
              </w:rPr>
            </w:pPr>
          </w:p>
        </w:tc>
        <w:tc>
          <w:tcPr>
            <w:tcW w:w="567" w:type="dxa"/>
            <w:gridSpan w:val="2"/>
            <w:tcBorders>
              <w:bottom w:val="single" w:sz="12" w:space="0" w:color="auto"/>
            </w:tcBorders>
          </w:tcPr>
          <w:p w:rsidR="0045691F" w:rsidRPr="00F83346" w:rsidRDefault="0045691F">
            <w:pPr>
              <w:ind w:right="-29"/>
              <w:jc w:val="center"/>
              <w:rPr>
                <w:noProof/>
                <w:sz w:val="18"/>
                <w:szCs w:val="18"/>
              </w:rPr>
            </w:pPr>
          </w:p>
        </w:tc>
        <w:tc>
          <w:tcPr>
            <w:tcW w:w="709" w:type="dxa"/>
            <w:tcBorders>
              <w:bottom w:val="single" w:sz="12" w:space="0" w:color="auto"/>
            </w:tcBorders>
          </w:tcPr>
          <w:p w:rsidR="0045691F" w:rsidRPr="00F83346" w:rsidRDefault="0045691F">
            <w:pPr>
              <w:ind w:right="-29"/>
              <w:jc w:val="center"/>
              <w:rPr>
                <w:noProof/>
                <w:sz w:val="18"/>
                <w:szCs w:val="18"/>
              </w:rPr>
            </w:pPr>
          </w:p>
        </w:tc>
        <w:tc>
          <w:tcPr>
            <w:tcW w:w="567" w:type="dxa"/>
            <w:tcBorders>
              <w:bottom w:val="single" w:sz="12" w:space="0" w:color="auto"/>
            </w:tcBorders>
          </w:tcPr>
          <w:p w:rsidR="0045691F" w:rsidRPr="00F83346" w:rsidRDefault="0045691F">
            <w:pPr>
              <w:ind w:right="-29"/>
              <w:jc w:val="center"/>
              <w:rPr>
                <w:noProof/>
                <w:sz w:val="18"/>
                <w:szCs w:val="18"/>
              </w:rPr>
            </w:pPr>
          </w:p>
        </w:tc>
        <w:tc>
          <w:tcPr>
            <w:tcW w:w="709" w:type="dxa"/>
            <w:tcBorders>
              <w:bottom w:val="single" w:sz="12" w:space="0" w:color="auto"/>
            </w:tcBorders>
          </w:tcPr>
          <w:p w:rsidR="0045691F" w:rsidRPr="00F83346" w:rsidRDefault="0045691F">
            <w:pPr>
              <w:ind w:right="-29"/>
              <w:jc w:val="center"/>
              <w:rPr>
                <w:noProof/>
                <w:sz w:val="18"/>
                <w:szCs w:val="18"/>
              </w:rPr>
            </w:pPr>
          </w:p>
        </w:tc>
        <w:tc>
          <w:tcPr>
            <w:tcW w:w="567" w:type="dxa"/>
            <w:tcBorders>
              <w:bottom w:val="single" w:sz="12" w:space="0" w:color="auto"/>
            </w:tcBorders>
          </w:tcPr>
          <w:p w:rsidR="0045691F" w:rsidRPr="00F83346" w:rsidRDefault="0045691F">
            <w:pPr>
              <w:ind w:right="-29"/>
              <w:jc w:val="center"/>
              <w:rPr>
                <w:noProof/>
                <w:sz w:val="18"/>
                <w:szCs w:val="18"/>
              </w:rPr>
            </w:pPr>
          </w:p>
        </w:tc>
        <w:tc>
          <w:tcPr>
            <w:tcW w:w="708" w:type="dxa"/>
            <w:tcBorders>
              <w:bottom w:val="single" w:sz="12" w:space="0" w:color="auto"/>
            </w:tcBorders>
          </w:tcPr>
          <w:p w:rsidR="0045691F" w:rsidRPr="00F83346" w:rsidRDefault="0045691F">
            <w:pPr>
              <w:ind w:right="-29"/>
              <w:jc w:val="center"/>
              <w:rPr>
                <w:noProof/>
                <w:sz w:val="18"/>
                <w:szCs w:val="18"/>
              </w:rPr>
            </w:pPr>
          </w:p>
        </w:tc>
        <w:tc>
          <w:tcPr>
            <w:tcW w:w="999" w:type="dxa"/>
            <w:tcBorders>
              <w:bottom w:val="single" w:sz="12" w:space="0" w:color="auto"/>
            </w:tcBorders>
          </w:tcPr>
          <w:p w:rsidR="0045691F" w:rsidRPr="00F83346" w:rsidRDefault="0045691F">
            <w:pPr>
              <w:ind w:right="-29"/>
              <w:jc w:val="center"/>
              <w:rPr>
                <w:noProof/>
                <w:sz w:val="18"/>
                <w:szCs w:val="18"/>
              </w:rPr>
            </w:pPr>
          </w:p>
        </w:tc>
        <w:tc>
          <w:tcPr>
            <w:tcW w:w="900" w:type="dxa"/>
            <w:tcBorders>
              <w:bottom w:val="single" w:sz="12" w:space="0" w:color="auto"/>
            </w:tcBorders>
          </w:tcPr>
          <w:p w:rsidR="0045691F" w:rsidRPr="00F83346" w:rsidRDefault="0045691F">
            <w:pPr>
              <w:ind w:right="-29"/>
              <w:jc w:val="center"/>
              <w:rPr>
                <w:noProof/>
                <w:sz w:val="18"/>
                <w:szCs w:val="18"/>
              </w:rPr>
            </w:pPr>
          </w:p>
        </w:tc>
      </w:tr>
      <w:tr w:rsidR="0045691F" w:rsidRPr="00F83346" w:rsidTr="000C4F05">
        <w:trPr>
          <w:jc w:val="center"/>
        </w:trPr>
        <w:tc>
          <w:tcPr>
            <w:tcW w:w="2844" w:type="dxa"/>
            <w:gridSpan w:val="3"/>
            <w:vAlign w:val="center"/>
          </w:tcPr>
          <w:p w:rsidR="0045691F" w:rsidRPr="00F83346" w:rsidRDefault="0045691F">
            <w:pPr>
              <w:spacing w:before="60" w:after="60"/>
              <w:ind w:right="-29"/>
              <w:jc w:val="center"/>
              <w:rPr>
                <w:noProof/>
                <w:sz w:val="18"/>
                <w:szCs w:val="18"/>
              </w:rPr>
            </w:pPr>
            <w:r w:rsidRPr="00F83346">
              <w:rPr>
                <w:noProof/>
                <w:sz w:val="18"/>
              </w:rPr>
              <w:t>SPECIFIČNI CILJ št. 2 …</w:t>
            </w:r>
          </w:p>
        </w:tc>
        <w:tc>
          <w:tcPr>
            <w:tcW w:w="504"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2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4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2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70"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8"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gridSpan w:val="2"/>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gridSpan w:val="2"/>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567"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708"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999" w:type="dxa"/>
            <w:tcBorders>
              <w:top w:val="nil"/>
              <w:left w:val="nil"/>
              <w:bottom w:val="nil"/>
              <w:right w:val="nil"/>
            </w:tcBorders>
          </w:tcPr>
          <w:p w:rsidR="0045691F" w:rsidRPr="00F83346" w:rsidRDefault="0045691F">
            <w:pPr>
              <w:spacing w:before="60" w:after="60"/>
              <w:ind w:right="-29"/>
              <w:jc w:val="center"/>
              <w:rPr>
                <w:noProof/>
                <w:sz w:val="18"/>
                <w:szCs w:val="18"/>
              </w:rPr>
            </w:pPr>
          </w:p>
        </w:tc>
        <w:tc>
          <w:tcPr>
            <w:tcW w:w="900" w:type="dxa"/>
            <w:tcBorders>
              <w:top w:val="nil"/>
              <w:left w:val="nil"/>
              <w:bottom w:val="nil"/>
              <w:right w:val="nil"/>
            </w:tcBorders>
          </w:tcPr>
          <w:p w:rsidR="0045691F" w:rsidRPr="00F83346" w:rsidRDefault="0045691F">
            <w:pPr>
              <w:spacing w:before="60" w:after="60"/>
              <w:ind w:right="-29"/>
              <w:jc w:val="center"/>
              <w:rPr>
                <w:noProof/>
                <w:sz w:val="18"/>
                <w:szCs w:val="18"/>
              </w:rPr>
            </w:pPr>
          </w:p>
        </w:tc>
      </w:tr>
      <w:tr w:rsidR="0045691F" w:rsidRPr="00F83346" w:rsidTr="000C4F05">
        <w:trPr>
          <w:trHeight w:hRule="exact" w:val="369"/>
          <w:jc w:val="center"/>
        </w:trPr>
        <w:tc>
          <w:tcPr>
            <w:tcW w:w="1423" w:type="dxa"/>
          </w:tcPr>
          <w:p w:rsidR="0045691F" w:rsidRPr="00F83346" w:rsidRDefault="0045691F">
            <w:pPr>
              <w:ind w:right="-29"/>
              <w:jc w:val="center"/>
              <w:rPr>
                <w:noProof/>
                <w:sz w:val="18"/>
                <w:szCs w:val="18"/>
              </w:rPr>
            </w:pPr>
            <w:r w:rsidRPr="00F83346">
              <w:rPr>
                <w:noProof/>
                <w:sz w:val="18"/>
              </w:rPr>
              <w:t>– realizacija</w:t>
            </w:r>
          </w:p>
        </w:tc>
        <w:tc>
          <w:tcPr>
            <w:tcW w:w="720" w:type="dxa"/>
          </w:tcPr>
          <w:p w:rsidR="0045691F" w:rsidRPr="00F83346" w:rsidRDefault="0045691F">
            <w:pPr>
              <w:ind w:right="-29"/>
              <w:jc w:val="center"/>
              <w:rPr>
                <w:noProof/>
                <w:sz w:val="18"/>
                <w:szCs w:val="18"/>
              </w:rPr>
            </w:pPr>
          </w:p>
        </w:tc>
        <w:tc>
          <w:tcPr>
            <w:tcW w:w="701" w:type="dxa"/>
          </w:tcPr>
          <w:p w:rsidR="0045691F" w:rsidRPr="00F83346" w:rsidRDefault="0045691F">
            <w:pPr>
              <w:ind w:right="-29"/>
              <w:jc w:val="center"/>
              <w:rPr>
                <w:noProof/>
                <w:sz w:val="18"/>
                <w:szCs w:val="18"/>
              </w:rPr>
            </w:pPr>
          </w:p>
        </w:tc>
        <w:tc>
          <w:tcPr>
            <w:tcW w:w="504" w:type="dxa"/>
          </w:tcPr>
          <w:p w:rsidR="0045691F" w:rsidRPr="00F83346" w:rsidRDefault="0045691F">
            <w:pPr>
              <w:ind w:right="-29"/>
              <w:jc w:val="center"/>
              <w:rPr>
                <w:noProof/>
                <w:sz w:val="18"/>
                <w:szCs w:val="18"/>
              </w:rPr>
            </w:pPr>
          </w:p>
        </w:tc>
        <w:tc>
          <w:tcPr>
            <w:tcW w:w="720" w:type="dxa"/>
          </w:tcPr>
          <w:p w:rsidR="0045691F" w:rsidRPr="00F83346" w:rsidRDefault="0045691F">
            <w:pPr>
              <w:ind w:right="-29"/>
              <w:jc w:val="center"/>
              <w:rPr>
                <w:noProof/>
                <w:sz w:val="18"/>
                <w:szCs w:val="18"/>
              </w:rPr>
            </w:pPr>
          </w:p>
        </w:tc>
        <w:tc>
          <w:tcPr>
            <w:tcW w:w="540" w:type="dxa"/>
          </w:tcPr>
          <w:p w:rsidR="0045691F" w:rsidRPr="00F83346" w:rsidRDefault="0045691F">
            <w:pPr>
              <w:ind w:right="-29"/>
              <w:jc w:val="center"/>
              <w:rPr>
                <w:noProof/>
                <w:sz w:val="18"/>
                <w:szCs w:val="18"/>
              </w:rPr>
            </w:pPr>
          </w:p>
        </w:tc>
        <w:tc>
          <w:tcPr>
            <w:tcW w:w="720" w:type="dxa"/>
          </w:tcPr>
          <w:p w:rsidR="0045691F" w:rsidRPr="00F83346" w:rsidRDefault="0045691F">
            <w:pPr>
              <w:ind w:right="-29"/>
              <w:jc w:val="center"/>
              <w:rPr>
                <w:noProof/>
                <w:sz w:val="18"/>
                <w:szCs w:val="18"/>
              </w:rPr>
            </w:pPr>
          </w:p>
        </w:tc>
        <w:tc>
          <w:tcPr>
            <w:tcW w:w="570" w:type="dxa"/>
          </w:tcPr>
          <w:p w:rsidR="0045691F" w:rsidRPr="00F83346" w:rsidRDefault="0045691F">
            <w:pPr>
              <w:ind w:right="-29"/>
              <w:jc w:val="center"/>
              <w:rPr>
                <w:noProof/>
                <w:sz w:val="18"/>
                <w:szCs w:val="18"/>
              </w:rPr>
            </w:pPr>
          </w:p>
        </w:tc>
        <w:tc>
          <w:tcPr>
            <w:tcW w:w="708"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9" w:type="dxa"/>
            <w:gridSpan w:val="2"/>
          </w:tcPr>
          <w:p w:rsidR="0045691F" w:rsidRPr="00F83346" w:rsidRDefault="0045691F">
            <w:pPr>
              <w:ind w:right="-29"/>
              <w:jc w:val="center"/>
              <w:rPr>
                <w:noProof/>
                <w:sz w:val="18"/>
                <w:szCs w:val="18"/>
              </w:rPr>
            </w:pPr>
          </w:p>
        </w:tc>
        <w:tc>
          <w:tcPr>
            <w:tcW w:w="567" w:type="dxa"/>
            <w:gridSpan w:val="2"/>
          </w:tcPr>
          <w:p w:rsidR="0045691F" w:rsidRPr="00F83346" w:rsidRDefault="0045691F">
            <w:pPr>
              <w:ind w:right="-29"/>
              <w:jc w:val="center"/>
              <w:rPr>
                <w:noProof/>
                <w:sz w:val="18"/>
                <w:szCs w:val="18"/>
              </w:rPr>
            </w:pPr>
          </w:p>
        </w:tc>
        <w:tc>
          <w:tcPr>
            <w:tcW w:w="709"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9" w:type="dxa"/>
          </w:tcPr>
          <w:p w:rsidR="0045691F" w:rsidRPr="00F83346" w:rsidRDefault="0045691F">
            <w:pPr>
              <w:ind w:right="-29"/>
              <w:jc w:val="center"/>
              <w:rPr>
                <w:noProof/>
                <w:sz w:val="18"/>
                <w:szCs w:val="18"/>
              </w:rPr>
            </w:pPr>
          </w:p>
        </w:tc>
        <w:tc>
          <w:tcPr>
            <w:tcW w:w="567" w:type="dxa"/>
          </w:tcPr>
          <w:p w:rsidR="0045691F" w:rsidRPr="00F83346" w:rsidRDefault="0045691F">
            <w:pPr>
              <w:ind w:right="-29"/>
              <w:jc w:val="center"/>
              <w:rPr>
                <w:noProof/>
                <w:sz w:val="18"/>
                <w:szCs w:val="18"/>
              </w:rPr>
            </w:pPr>
          </w:p>
        </w:tc>
        <w:tc>
          <w:tcPr>
            <w:tcW w:w="708" w:type="dxa"/>
          </w:tcPr>
          <w:p w:rsidR="0045691F" w:rsidRPr="00F83346" w:rsidRDefault="0045691F">
            <w:pPr>
              <w:ind w:right="-29"/>
              <w:jc w:val="center"/>
              <w:rPr>
                <w:noProof/>
                <w:sz w:val="18"/>
                <w:szCs w:val="18"/>
              </w:rPr>
            </w:pPr>
          </w:p>
        </w:tc>
        <w:tc>
          <w:tcPr>
            <w:tcW w:w="999" w:type="dxa"/>
          </w:tcPr>
          <w:p w:rsidR="0045691F" w:rsidRPr="00F83346" w:rsidRDefault="0045691F">
            <w:pPr>
              <w:ind w:right="-29"/>
              <w:jc w:val="center"/>
              <w:rPr>
                <w:noProof/>
                <w:sz w:val="18"/>
                <w:szCs w:val="18"/>
              </w:rPr>
            </w:pPr>
          </w:p>
        </w:tc>
        <w:tc>
          <w:tcPr>
            <w:tcW w:w="900" w:type="dxa"/>
          </w:tcPr>
          <w:p w:rsidR="0045691F" w:rsidRPr="00F83346" w:rsidRDefault="0045691F">
            <w:pPr>
              <w:ind w:right="-29"/>
              <w:jc w:val="center"/>
              <w:rPr>
                <w:noProof/>
                <w:sz w:val="18"/>
                <w:szCs w:val="18"/>
              </w:rPr>
            </w:pPr>
          </w:p>
        </w:tc>
      </w:tr>
      <w:tr w:rsidR="0045691F" w:rsidRPr="00F83346" w:rsidTr="000C4F05">
        <w:trPr>
          <w:jc w:val="center"/>
        </w:trPr>
        <w:tc>
          <w:tcPr>
            <w:tcW w:w="2844" w:type="dxa"/>
            <w:gridSpan w:val="3"/>
            <w:tcBorders>
              <w:bottom w:val="single" w:sz="12" w:space="0" w:color="auto"/>
            </w:tcBorders>
            <w:vAlign w:val="center"/>
          </w:tcPr>
          <w:p w:rsidR="0045691F" w:rsidRPr="00F83346" w:rsidRDefault="0045691F">
            <w:pPr>
              <w:jc w:val="center"/>
              <w:rPr>
                <w:noProof/>
                <w:sz w:val="18"/>
                <w:szCs w:val="18"/>
              </w:rPr>
            </w:pPr>
            <w:r w:rsidRPr="00F83346">
              <w:rPr>
                <w:noProof/>
                <w:sz w:val="18"/>
              </w:rPr>
              <w:t>Seštevek za specifični cilj št. 2</w:t>
            </w:r>
          </w:p>
        </w:tc>
        <w:tc>
          <w:tcPr>
            <w:tcW w:w="504" w:type="dxa"/>
            <w:tcBorders>
              <w:bottom w:val="single" w:sz="12" w:space="0" w:color="auto"/>
            </w:tcBorders>
          </w:tcPr>
          <w:p w:rsidR="0045691F" w:rsidRPr="00F83346" w:rsidRDefault="0045691F">
            <w:pPr>
              <w:ind w:right="-29"/>
              <w:jc w:val="center"/>
              <w:rPr>
                <w:noProof/>
                <w:sz w:val="18"/>
                <w:szCs w:val="18"/>
              </w:rPr>
            </w:pPr>
          </w:p>
        </w:tc>
        <w:tc>
          <w:tcPr>
            <w:tcW w:w="720" w:type="dxa"/>
            <w:tcBorders>
              <w:bottom w:val="single" w:sz="12" w:space="0" w:color="auto"/>
            </w:tcBorders>
          </w:tcPr>
          <w:p w:rsidR="0045691F" w:rsidRPr="00F83346" w:rsidRDefault="0045691F">
            <w:pPr>
              <w:ind w:right="-29"/>
              <w:jc w:val="center"/>
              <w:rPr>
                <w:noProof/>
                <w:sz w:val="18"/>
                <w:szCs w:val="18"/>
              </w:rPr>
            </w:pPr>
          </w:p>
        </w:tc>
        <w:tc>
          <w:tcPr>
            <w:tcW w:w="540" w:type="dxa"/>
            <w:tcBorders>
              <w:bottom w:val="single" w:sz="12" w:space="0" w:color="auto"/>
            </w:tcBorders>
          </w:tcPr>
          <w:p w:rsidR="0045691F" w:rsidRPr="00F83346" w:rsidRDefault="0045691F">
            <w:pPr>
              <w:ind w:right="-29"/>
              <w:jc w:val="center"/>
              <w:rPr>
                <w:noProof/>
                <w:sz w:val="18"/>
                <w:szCs w:val="18"/>
              </w:rPr>
            </w:pPr>
          </w:p>
        </w:tc>
        <w:tc>
          <w:tcPr>
            <w:tcW w:w="720" w:type="dxa"/>
            <w:tcBorders>
              <w:bottom w:val="single" w:sz="12" w:space="0" w:color="auto"/>
            </w:tcBorders>
          </w:tcPr>
          <w:p w:rsidR="0045691F" w:rsidRPr="00F83346" w:rsidRDefault="0045691F">
            <w:pPr>
              <w:ind w:right="-29"/>
              <w:jc w:val="center"/>
              <w:rPr>
                <w:noProof/>
                <w:sz w:val="18"/>
                <w:szCs w:val="18"/>
              </w:rPr>
            </w:pPr>
          </w:p>
        </w:tc>
        <w:tc>
          <w:tcPr>
            <w:tcW w:w="570" w:type="dxa"/>
            <w:tcBorders>
              <w:bottom w:val="single" w:sz="12" w:space="0" w:color="auto"/>
            </w:tcBorders>
          </w:tcPr>
          <w:p w:rsidR="0045691F" w:rsidRPr="00F83346" w:rsidRDefault="0045691F">
            <w:pPr>
              <w:ind w:right="-29"/>
              <w:jc w:val="center"/>
              <w:rPr>
                <w:noProof/>
                <w:sz w:val="18"/>
                <w:szCs w:val="18"/>
              </w:rPr>
            </w:pPr>
          </w:p>
        </w:tc>
        <w:tc>
          <w:tcPr>
            <w:tcW w:w="708" w:type="dxa"/>
            <w:tcBorders>
              <w:bottom w:val="single" w:sz="12" w:space="0" w:color="auto"/>
            </w:tcBorders>
          </w:tcPr>
          <w:p w:rsidR="0045691F" w:rsidRPr="00F83346" w:rsidRDefault="0045691F">
            <w:pPr>
              <w:ind w:right="-29"/>
              <w:jc w:val="center"/>
              <w:rPr>
                <w:noProof/>
                <w:sz w:val="18"/>
                <w:szCs w:val="18"/>
              </w:rPr>
            </w:pPr>
          </w:p>
        </w:tc>
        <w:tc>
          <w:tcPr>
            <w:tcW w:w="1113" w:type="dxa"/>
            <w:gridSpan w:val="2"/>
            <w:tcBorders>
              <w:bottom w:val="single" w:sz="12" w:space="0" w:color="auto"/>
            </w:tcBorders>
          </w:tcPr>
          <w:p w:rsidR="0045691F" w:rsidRPr="00F83346" w:rsidRDefault="0045691F">
            <w:pPr>
              <w:ind w:right="-29"/>
              <w:jc w:val="center"/>
              <w:rPr>
                <w:noProof/>
                <w:sz w:val="18"/>
                <w:szCs w:val="18"/>
              </w:rPr>
            </w:pPr>
          </w:p>
        </w:tc>
        <w:tc>
          <w:tcPr>
            <w:tcW w:w="236" w:type="dxa"/>
            <w:gridSpan w:val="2"/>
            <w:tcBorders>
              <w:bottom w:val="single" w:sz="12" w:space="0" w:color="auto"/>
            </w:tcBorders>
          </w:tcPr>
          <w:p w:rsidR="0045691F" w:rsidRPr="00F83346" w:rsidRDefault="0045691F">
            <w:pPr>
              <w:ind w:right="-29"/>
              <w:jc w:val="center"/>
              <w:rPr>
                <w:noProof/>
                <w:sz w:val="18"/>
                <w:szCs w:val="18"/>
              </w:rPr>
            </w:pPr>
          </w:p>
        </w:tc>
        <w:tc>
          <w:tcPr>
            <w:tcW w:w="494" w:type="dxa"/>
            <w:tcBorders>
              <w:bottom w:val="single" w:sz="12" w:space="0" w:color="auto"/>
            </w:tcBorders>
          </w:tcPr>
          <w:p w:rsidR="0045691F" w:rsidRPr="00F83346" w:rsidRDefault="0045691F">
            <w:pPr>
              <w:ind w:right="-29"/>
              <w:jc w:val="center"/>
              <w:rPr>
                <w:noProof/>
                <w:sz w:val="18"/>
                <w:szCs w:val="18"/>
              </w:rPr>
            </w:pPr>
          </w:p>
        </w:tc>
        <w:tc>
          <w:tcPr>
            <w:tcW w:w="709" w:type="dxa"/>
            <w:tcBorders>
              <w:bottom w:val="single" w:sz="12" w:space="0" w:color="auto"/>
            </w:tcBorders>
          </w:tcPr>
          <w:p w:rsidR="0045691F" w:rsidRPr="00F83346" w:rsidRDefault="0045691F">
            <w:pPr>
              <w:ind w:right="-29"/>
              <w:jc w:val="center"/>
              <w:rPr>
                <w:noProof/>
                <w:sz w:val="18"/>
                <w:szCs w:val="18"/>
              </w:rPr>
            </w:pPr>
          </w:p>
        </w:tc>
        <w:tc>
          <w:tcPr>
            <w:tcW w:w="567" w:type="dxa"/>
            <w:tcBorders>
              <w:bottom w:val="single" w:sz="12" w:space="0" w:color="auto"/>
            </w:tcBorders>
          </w:tcPr>
          <w:p w:rsidR="0045691F" w:rsidRPr="00F83346" w:rsidRDefault="0045691F">
            <w:pPr>
              <w:ind w:right="-29"/>
              <w:jc w:val="center"/>
              <w:rPr>
                <w:noProof/>
                <w:sz w:val="18"/>
                <w:szCs w:val="18"/>
              </w:rPr>
            </w:pPr>
          </w:p>
        </w:tc>
        <w:tc>
          <w:tcPr>
            <w:tcW w:w="709" w:type="dxa"/>
            <w:tcBorders>
              <w:bottom w:val="single" w:sz="12" w:space="0" w:color="auto"/>
            </w:tcBorders>
          </w:tcPr>
          <w:p w:rsidR="0045691F" w:rsidRPr="00F83346" w:rsidRDefault="0045691F">
            <w:pPr>
              <w:ind w:right="-29"/>
              <w:jc w:val="center"/>
              <w:rPr>
                <w:noProof/>
                <w:sz w:val="18"/>
                <w:szCs w:val="18"/>
              </w:rPr>
            </w:pPr>
          </w:p>
        </w:tc>
        <w:tc>
          <w:tcPr>
            <w:tcW w:w="567" w:type="dxa"/>
            <w:tcBorders>
              <w:bottom w:val="single" w:sz="12" w:space="0" w:color="auto"/>
            </w:tcBorders>
          </w:tcPr>
          <w:p w:rsidR="0045691F" w:rsidRPr="00F83346" w:rsidRDefault="0045691F">
            <w:pPr>
              <w:ind w:right="-29"/>
              <w:jc w:val="center"/>
              <w:rPr>
                <w:noProof/>
                <w:sz w:val="18"/>
                <w:szCs w:val="18"/>
              </w:rPr>
            </w:pPr>
          </w:p>
        </w:tc>
        <w:tc>
          <w:tcPr>
            <w:tcW w:w="708" w:type="dxa"/>
            <w:tcBorders>
              <w:bottom w:val="single" w:sz="12" w:space="0" w:color="auto"/>
            </w:tcBorders>
          </w:tcPr>
          <w:p w:rsidR="0045691F" w:rsidRPr="00F83346" w:rsidRDefault="0045691F">
            <w:pPr>
              <w:ind w:right="-29"/>
              <w:jc w:val="center"/>
              <w:rPr>
                <w:noProof/>
                <w:sz w:val="18"/>
                <w:szCs w:val="18"/>
              </w:rPr>
            </w:pPr>
          </w:p>
        </w:tc>
        <w:tc>
          <w:tcPr>
            <w:tcW w:w="999" w:type="dxa"/>
            <w:tcBorders>
              <w:bottom w:val="single" w:sz="12" w:space="0" w:color="auto"/>
            </w:tcBorders>
          </w:tcPr>
          <w:p w:rsidR="0045691F" w:rsidRPr="00F83346" w:rsidRDefault="0045691F">
            <w:pPr>
              <w:ind w:right="-29"/>
              <w:jc w:val="center"/>
              <w:rPr>
                <w:noProof/>
                <w:sz w:val="18"/>
                <w:szCs w:val="18"/>
              </w:rPr>
            </w:pPr>
          </w:p>
        </w:tc>
        <w:tc>
          <w:tcPr>
            <w:tcW w:w="900" w:type="dxa"/>
            <w:tcBorders>
              <w:bottom w:val="single" w:sz="12" w:space="0" w:color="auto"/>
            </w:tcBorders>
          </w:tcPr>
          <w:p w:rsidR="0045691F" w:rsidRPr="00F83346" w:rsidRDefault="0045691F">
            <w:pPr>
              <w:ind w:right="-29"/>
              <w:jc w:val="center"/>
              <w:rPr>
                <w:noProof/>
                <w:sz w:val="18"/>
                <w:szCs w:val="18"/>
              </w:rPr>
            </w:pPr>
          </w:p>
        </w:tc>
      </w:tr>
      <w:tr w:rsidR="0045691F" w:rsidRPr="00F83346" w:rsidTr="000C4F05">
        <w:trPr>
          <w:jc w:val="center"/>
        </w:trPr>
        <w:tc>
          <w:tcPr>
            <w:tcW w:w="2844" w:type="dxa"/>
            <w:gridSpan w:val="3"/>
            <w:tcBorders>
              <w:top w:val="single" w:sz="12" w:space="0" w:color="auto"/>
              <w:left w:val="single" w:sz="12" w:space="0" w:color="auto"/>
              <w:bottom w:val="single" w:sz="12" w:space="0" w:color="auto"/>
            </w:tcBorders>
            <w:vAlign w:val="center"/>
          </w:tcPr>
          <w:p w:rsidR="0045691F" w:rsidRPr="00F83346" w:rsidRDefault="0045691F">
            <w:pPr>
              <w:ind w:right="-29"/>
              <w:jc w:val="center"/>
              <w:rPr>
                <w:noProof/>
                <w:sz w:val="18"/>
                <w:szCs w:val="18"/>
              </w:rPr>
            </w:pPr>
            <w:r w:rsidRPr="00F83346">
              <w:rPr>
                <w:b/>
                <w:noProof/>
                <w:sz w:val="18"/>
              </w:rPr>
              <w:t>SKUPAJ</w:t>
            </w:r>
          </w:p>
        </w:tc>
        <w:tc>
          <w:tcPr>
            <w:tcW w:w="504"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20"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40"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20"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70"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08"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67"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09" w:type="dxa"/>
            <w:gridSpan w:val="2"/>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67" w:type="dxa"/>
            <w:gridSpan w:val="2"/>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09"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67"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09"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567"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708"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999" w:type="dxa"/>
            <w:tcBorders>
              <w:top w:val="single" w:sz="12" w:space="0" w:color="auto"/>
              <w:bottom w:val="single" w:sz="12" w:space="0" w:color="auto"/>
            </w:tcBorders>
          </w:tcPr>
          <w:p w:rsidR="0045691F" w:rsidRPr="00F83346" w:rsidRDefault="0045691F">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45691F" w:rsidRPr="00F83346" w:rsidRDefault="0045691F">
            <w:pPr>
              <w:spacing w:before="180" w:after="180"/>
              <w:ind w:right="-29"/>
              <w:jc w:val="center"/>
              <w:rPr>
                <w:noProof/>
                <w:sz w:val="18"/>
                <w:szCs w:val="18"/>
              </w:rPr>
            </w:pPr>
          </w:p>
        </w:tc>
      </w:tr>
    </w:tbl>
    <w:p w:rsidR="0045691F" w:rsidRPr="00F83346" w:rsidRDefault="0045691F">
      <w:pPr>
        <w:rPr>
          <w:noProof/>
        </w:rPr>
        <w:sectPr w:rsidR="0045691F" w:rsidRPr="00F83346" w:rsidSect="00F82B96">
          <w:headerReference w:type="default" r:id="rId19"/>
          <w:footerReference w:type="default" r:id="rId20"/>
          <w:pgSz w:w="16840" w:h="11907" w:orient="landscape" w:code="9"/>
          <w:pgMar w:top="1134" w:right="1418" w:bottom="567" w:left="1418" w:header="709" w:footer="709" w:gutter="0"/>
          <w:cols w:space="708"/>
          <w:docGrid w:linePitch="360"/>
        </w:sectPr>
      </w:pPr>
    </w:p>
    <w:p w:rsidR="0045691F" w:rsidRPr="00F83346" w:rsidRDefault="0045691F">
      <w:pPr>
        <w:pStyle w:val="ManualHeading3"/>
        <w:rPr>
          <w:bCs/>
          <w:noProof/>
          <w:szCs w:val="24"/>
        </w:rPr>
      </w:pPr>
      <w:bookmarkStart w:id="151" w:name="_Toc514938055"/>
      <w:bookmarkStart w:id="152" w:name="_Toc520485054"/>
      <w:bookmarkStart w:id="153" w:name="_Toc160804598"/>
      <w:bookmarkStart w:id="154" w:name="_Toc167220290"/>
      <w:bookmarkStart w:id="155" w:name="_Toc177549023"/>
      <w:r w:rsidRPr="00F83346">
        <w:rPr>
          <w:noProof/>
        </w:rPr>
        <w:t>3.2.3</w:t>
      </w:r>
      <w:r w:rsidRPr="00F83346">
        <w:rPr>
          <w:noProof/>
        </w:rPr>
        <w:tab/>
        <w:t>Povzetek ocenjenih posledic za upravne odobritve</w:t>
      </w:r>
      <w:bookmarkEnd w:id="151"/>
      <w:bookmarkEnd w:id="152"/>
      <w:bookmarkEnd w:id="153"/>
      <w:bookmarkEnd w:id="154"/>
      <w:bookmarkEnd w:id="155"/>
      <w:r w:rsidRPr="00F83346">
        <w:rPr>
          <w:noProof/>
        </w:rPr>
        <w:t xml:space="preserve"> </w:t>
      </w:r>
    </w:p>
    <w:p w:rsidR="0045691F" w:rsidRPr="00F83346" w:rsidRDefault="000C4AD9">
      <w:pPr>
        <w:pStyle w:val="ListDash1"/>
        <w:rPr>
          <w:noProof/>
        </w:rPr>
      </w:pPr>
      <w:r w:rsidRPr="00F83346">
        <w:rPr>
          <w:rFonts w:ascii="Wingdings" w:hAnsi="Wingdings"/>
          <w:noProof/>
        </w:rPr>
        <w:t></w:t>
      </w:r>
      <w:r w:rsidRPr="00F83346">
        <w:rPr>
          <w:noProof/>
        </w:rPr>
        <w:tab/>
        <w:t xml:space="preserve">Za predlog/pobudo niso potrebne odobritve upravne narave. </w:t>
      </w:r>
    </w:p>
    <w:p w:rsidR="0045691F" w:rsidRPr="00F83346" w:rsidRDefault="0045691F">
      <w:pPr>
        <w:pStyle w:val="ListDash1"/>
        <w:rPr>
          <w:noProof/>
        </w:rPr>
      </w:pPr>
      <w:r w:rsidRPr="00F83346">
        <w:rPr>
          <w:rFonts w:ascii="Wingdings" w:hAnsi="Wingdings"/>
          <w:noProof/>
        </w:rPr>
        <w:t></w:t>
      </w:r>
      <w:r w:rsidRPr="00F83346">
        <w:rPr>
          <w:noProof/>
        </w:rPr>
        <w:tab/>
        <w:t>Za predlog/pobudo so potrebne odobritve upravne narave, kot je pojasnjeno v nadaljevanju:</w:t>
      </w:r>
    </w:p>
    <w:p w:rsidR="0045691F" w:rsidRPr="00F83346" w:rsidRDefault="0045691F">
      <w:pPr>
        <w:pStyle w:val="ManualHeading3"/>
        <w:rPr>
          <w:noProof/>
        </w:rPr>
      </w:pPr>
      <w:bookmarkStart w:id="156" w:name="_Toc167220291"/>
      <w:bookmarkStart w:id="157" w:name="_Toc177549024"/>
      <w:r w:rsidRPr="00F83346">
        <w:rPr>
          <w:noProof/>
        </w:rPr>
        <w:t>3.2.3.1 Odobritve iz izglasovanega proračuna</w:t>
      </w:r>
      <w:bookmarkEnd w:id="156"/>
      <w:bookmarkEnd w:id="157"/>
    </w:p>
    <w:tbl>
      <w:tblPr>
        <w:tblW w:w="5000" w:type="pct"/>
        <w:tblLook w:val="04A0" w:firstRow="1" w:lastRow="0" w:firstColumn="1" w:lastColumn="0" w:noHBand="0" w:noVBand="1"/>
      </w:tblPr>
      <w:tblGrid>
        <w:gridCol w:w="4027"/>
        <w:gridCol w:w="1027"/>
        <w:gridCol w:w="1027"/>
        <w:gridCol w:w="1027"/>
        <w:gridCol w:w="1027"/>
        <w:gridCol w:w="1154"/>
      </w:tblGrid>
      <w:tr w:rsidR="0045691F" w:rsidRPr="00F83346">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IZGLASOVANE ODOBRITVE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2021–2027 SKUPAJ</w:t>
            </w:r>
          </w:p>
        </w:tc>
      </w:tr>
      <w:tr w:rsidR="0045691F" w:rsidRPr="00F83346">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RAZDELEK 7</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Drugi upravni odhodki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RAZDELEK 7</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Odobritve zunaj RAZDELKA 7</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Drugi odhodki upravne narave</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odobritve zunaj RAZDELKA 7</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5691F" w:rsidRPr="00F83346" w:rsidRDefault="0045691F">
            <w:pPr>
              <w:spacing w:before="0" w:after="0"/>
              <w:jc w:val="center"/>
              <w:rPr>
                <w:noProof/>
                <w:color w:val="000000"/>
                <w:sz w:val="16"/>
                <w:szCs w:val="16"/>
                <w:lang w:eastAsia="en-IE"/>
              </w:rPr>
            </w:pPr>
          </w:p>
        </w:tc>
      </w:tr>
      <w:tr w:rsidR="0045691F" w:rsidRPr="00F83346">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SKUPAJ</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bl>
    <w:p w:rsidR="0045691F" w:rsidRPr="00F83346" w:rsidRDefault="0045691F">
      <w:pPr>
        <w:pStyle w:val="ManualHeading3"/>
        <w:rPr>
          <w:noProof/>
        </w:rPr>
      </w:pPr>
      <w:bookmarkStart w:id="158" w:name="_Toc167220292"/>
      <w:bookmarkStart w:id="159" w:name="_Toc177549025"/>
      <w:r w:rsidRPr="00F83346">
        <w:rPr>
          <w:noProof/>
        </w:rPr>
        <w:t>3.2.3.2</w:t>
      </w:r>
      <w:r w:rsidRPr="00F83346">
        <w:rPr>
          <w:noProof/>
        </w:rPr>
        <w:tab/>
        <w:t>Odobritve iz zunanjih namenskih prejemkov</w:t>
      </w:r>
      <w:bookmarkEnd w:id="158"/>
      <w:bookmarkEnd w:id="159"/>
    </w:p>
    <w:tbl>
      <w:tblPr>
        <w:tblW w:w="5000" w:type="pct"/>
        <w:tblLook w:val="04A0" w:firstRow="1" w:lastRow="0" w:firstColumn="1" w:lastColumn="0" w:noHBand="0" w:noVBand="1"/>
      </w:tblPr>
      <w:tblGrid>
        <w:gridCol w:w="4025"/>
        <w:gridCol w:w="1027"/>
        <w:gridCol w:w="1027"/>
        <w:gridCol w:w="1027"/>
        <w:gridCol w:w="1027"/>
        <w:gridCol w:w="1156"/>
      </w:tblGrid>
      <w:tr w:rsidR="0045691F" w:rsidRPr="00F83346">
        <w:trPr>
          <w:trHeight w:val="300"/>
        </w:trPr>
        <w:tc>
          <w:tcPr>
            <w:tcW w:w="21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ZUNANJI NAMENSKI PREJEMKI</w:t>
            </w:r>
          </w:p>
        </w:tc>
        <w:tc>
          <w:tcPr>
            <w:tcW w:w="553"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553"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6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2021–2027 SKUPAJ</w:t>
            </w:r>
          </w:p>
        </w:tc>
      </w:tr>
      <w:tr w:rsidR="0045691F" w:rsidRPr="00F83346">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RAZDELEK 7</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Drugi upravni odhodki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RAZDELEK 7</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Odobritve zunaj RAZDELKA 7</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Drugi odhodki upravne narave</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odobritve zunaj RAZDELKA 7</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5691F" w:rsidRPr="00F83346" w:rsidRDefault="0045691F">
            <w:pPr>
              <w:spacing w:before="0" w:after="0"/>
              <w:jc w:val="center"/>
              <w:rPr>
                <w:noProof/>
                <w:color w:val="000000"/>
                <w:sz w:val="16"/>
                <w:szCs w:val="16"/>
                <w:lang w:eastAsia="en-IE"/>
              </w:rPr>
            </w:pPr>
          </w:p>
        </w:tc>
      </w:tr>
      <w:tr w:rsidR="0045691F" w:rsidRPr="00F83346">
        <w:trPr>
          <w:trHeight w:val="312"/>
        </w:trPr>
        <w:tc>
          <w:tcPr>
            <w:tcW w:w="2166" w:type="pct"/>
            <w:tcBorders>
              <w:top w:val="single" w:sz="12" w:space="0" w:color="auto"/>
              <w:left w:val="single" w:sz="12" w:space="0" w:color="auto"/>
              <w:bottom w:val="single" w:sz="12"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SKUPAJ</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bl>
    <w:p w:rsidR="0045691F" w:rsidRPr="00F83346" w:rsidRDefault="0045691F">
      <w:pPr>
        <w:pStyle w:val="ManualHeading3"/>
        <w:rPr>
          <w:noProof/>
        </w:rPr>
      </w:pPr>
      <w:bookmarkStart w:id="160" w:name="_Toc167220293"/>
      <w:bookmarkStart w:id="161" w:name="_Toc177549026"/>
      <w:r w:rsidRPr="00F83346">
        <w:rPr>
          <w:noProof/>
        </w:rPr>
        <w:t>3.2.3.3</w:t>
      </w:r>
      <w:r w:rsidRPr="00F83346">
        <w:rPr>
          <w:noProof/>
        </w:rPr>
        <w:tab/>
        <w:t>Odobritve skupaj</w:t>
      </w:r>
      <w:bookmarkEnd w:id="160"/>
      <w:bookmarkEnd w:id="161"/>
    </w:p>
    <w:tbl>
      <w:tblPr>
        <w:tblW w:w="8680" w:type="dxa"/>
        <w:tblLook w:val="04A0" w:firstRow="1" w:lastRow="0" w:firstColumn="1" w:lastColumn="0" w:noHBand="0" w:noVBand="1"/>
      </w:tblPr>
      <w:tblGrid>
        <w:gridCol w:w="3760"/>
        <w:gridCol w:w="960"/>
        <w:gridCol w:w="960"/>
        <w:gridCol w:w="960"/>
        <w:gridCol w:w="960"/>
        <w:gridCol w:w="1080"/>
      </w:tblGrid>
      <w:tr w:rsidR="0045691F" w:rsidRPr="00F83346">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IZGLASOVANE ODOBRITVE</w:t>
            </w:r>
            <w:r w:rsidRPr="00F83346">
              <w:rPr>
                <w:b/>
                <w:noProof/>
                <w:color w:val="000000"/>
                <w:sz w:val="18"/>
              </w:rPr>
              <w:br/>
              <w:t xml:space="preserve">+ </w:t>
            </w:r>
            <w:r w:rsidRPr="00F83346">
              <w:rPr>
                <w:b/>
                <w:noProof/>
                <w:color w:val="000000"/>
                <w:sz w:val="18"/>
              </w:rPr>
              <w:br/>
              <w:t xml:space="preserve">ZUNANJI NAMENSKI PREJEMKI </w:t>
            </w:r>
            <w:r w:rsidRPr="00F83346">
              <w:rPr>
                <w:b/>
                <w:noProof/>
                <w:color w:val="000000"/>
                <w:sz w:val="18"/>
              </w:rPr>
              <w:br/>
              <w:t>SKUPAJ</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18"/>
                <w:szCs w:val="18"/>
              </w:rPr>
            </w:pPr>
            <w:r w:rsidRPr="00F83346">
              <w:rPr>
                <w:noProof/>
                <w:color w:val="000000"/>
                <w:sz w:val="18"/>
              </w:rPr>
              <w:t>Leto</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2021–2027 SKUPAJ</w:t>
            </w:r>
          </w:p>
        </w:tc>
      </w:tr>
      <w:tr w:rsidR="0045691F" w:rsidRPr="00F83346">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b/>
                <w:bCs/>
                <w:noProof/>
                <w:color w:val="000000"/>
                <w:sz w:val="18"/>
                <w:szCs w:val="18"/>
                <w:lang w:eastAsia="en-IE"/>
              </w:rPr>
            </w:pPr>
          </w:p>
        </w:tc>
      </w:tr>
      <w:tr w:rsidR="0045691F" w:rsidRPr="00F83346">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RAZDELEK 7</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Drugi upravni odhodki </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RAZDELEK 7</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b/>
                <w:bCs/>
                <w:noProof/>
                <w:sz w:val="16"/>
                <w:szCs w:val="16"/>
              </w:rPr>
            </w:pPr>
            <w:r w:rsidRPr="00F83346">
              <w:rPr>
                <w:b/>
                <w:noProof/>
                <w:sz w:val="16"/>
              </w:rPr>
              <w:t>Odobritve zunaj RAZDELKA 7</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 xml:space="preserve">Človeški viri </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left"/>
              <w:rPr>
                <w:noProof/>
                <w:color w:val="000000"/>
                <w:sz w:val="16"/>
                <w:szCs w:val="16"/>
              </w:rPr>
            </w:pPr>
            <w:r w:rsidRPr="00F83346">
              <w:rPr>
                <w:noProof/>
                <w:color w:val="000000"/>
                <w:sz w:val="16"/>
              </w:rPr>
              <w:t>Drugi odhodki upravne narave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noProof/>
                <w:color w:val="000000"/>
                <w:sz w:val="16"/>
                <w:szCs w:val="16"/>
              </w:rPr>
            </w:pPr>
            <w:r w:rsidRPr="00F83346">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Seštevek za odobritve zunaj RAZDELKA 7</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r w:rsidR="0045691F" w:rsidRPr="00F83346">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5691F" w:rsidRPr="00F83346" w:rsidRDefault="0045691F">
            <w:pPr>
              <w:spacing w:before="0" w:after="0"/>
              <w:jc w:val="center"/>
              <w:rPr>
                <w:noProof/>
                <w:color w:val="000000"/>
                <w:sz w:val="16"/>
                <w:szCs w:val="16"/>
                <w:lang w:eastAsia="en-IE"/>
              </w:rPr>
            </w:pPr>
          </w:p>
        </w:tc>
      </w:tr>
      <w:tr w:rsidR="0045691F" w:rsidRPr="00F83346">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SKUPAJ</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45691F" w:rsidRPr="00F83346" w:rsidRDefault="0045691F">
            <w:pPr>
              <w:spacing w:before="0" w:after="0"/>
              <w:jc w:val="right"/>
              <w:rPr>
                <w:b/>
                <w:bCs/>
                <w:noProof/>
                <w:color w:val="000000"/>
                <w:sz w:val="16"/>
                <w:szCs w:val="16"/>
              </w:rPr>
            </w:pPr>
            <w:r w:rsidRPr="00F83346">
              <w:rPr>
                <w:b/>
                <w:noProof/>
                <w:color w:val="000000"/>
                <w:sz w:val="16"/>
              </w:rPr>
              <w:t>0,000</w:t>
            </w:r>
          </w:p>
        </w:tc>
      </w:tr>
    </w:tbl>
    <w:p w:rsidR="0045691F" w:rsidRPr="00F83346" w:rsidRDefault="0045691F">
      <w:pPr>
        <w:rPr>
          <w:noProof/>
          <w:sz w:val="22"/>
          <w:szCs w:val="28"/>
        </w:rPr>
      </w:pPr>
      <w:r w:rsidRPr="00F83346">
        <w:rPr>
          <w:noProof/>
          <w:sz w:val="22"/>
        </w:rPr>
        <w:t>Potrebe po odobritvah za človeške vire in druge odhodke upravne narave se krijejo z odobritvami generalnega direktorata, ki so že dodeljene za upravljanje ukrepa in/ali so bile prerazporejene znotraj generalnega direktorata, po potrebi skupaj z dodatnimi viri, ki se lahko pristojnemu generalnemu direktoratu dodelijo v postopku letne dodelitve virov glede na proračunske omejitve.</w:t>
      </w:r>
    </w:p>
    <w:p w:rsidR="0045691F" w:rsidRPr="00F83346" w:rsidRDefault="0045691F">
      <w:pPr>
        <w:pStyle w:val="ManualHeading3"/>
        <w:rPr>
          <w:bCs/>
          <w:noProof/>
          <w:szCs w:val="24"/>
        </w:rPr>
      </w:pPr>
      <w:bookmarkStart w:id="162" w:name="_Toc167220294"/>
      <w:bookmarkStart w:id="163" w:name="_Toc177549027"/>
      <w:r w:rsidRPr="00F83346">
        <w:rPr>
          <w:noProof/>
        </w:rPr>
        <w:t>3.2.4</w:t>
      </w:r>
      <w:r w:rsidRPr="00F83346">
        <w:rPr>
          <w:noProof/>
        </w:rPr>
        <w:tab/>
        <w:t>Ocenjene potrebe po človeških virih</w:t>
      </w:r>
      <w:bookmarkEnd w:id="162"/>
      <w:bookmarkEnd w:id="163"/>
      <w:r w:rsidRPr="00F83346">
        <w:rPr>
          <w:noProof/>
        </w:rPr>
        <w:t xml:space="preserve"> </w:t>
      </w:r>
    </w:p>
    <w:p w:rsidR="0045691F" w:rsidRPr="00F83346" w:rsidRDefault="00270B24">
      <w:pPr>
        <w:pStyle w:val="ListDash1"/>
        <w:rPr>
          <w:noProof/>
        </w:rPr>
      </w:pPr>
      <w:r w:rsidRPr="00F83346">
        <w:rPr>
          <w:rFonts w:ascii="Wingdings" w:hAnsi="Wingdings"/>
          <w:noProof/>
        </w:rPr>
        <w:t></w:t>
      </w:r>
      <w:r w:rsidRPr="00F83346">
        <w:rPr>
          <w:noProof/>
        </w:rPr>
        <w:tab/>
        <w:t xml:space="preserve">Za predlog/pobudo niso potrebni človeški viri. </w:t>
      </w:r>
    </w:p>
    <w:p w:rsidR="0045691F" w:rsidRPr="00F83346" w:rsidRDefault="0045691F">
      <w:pPr>
        <w:pStyle w:val="ListDash1"/>
        <w:rPr>
          <w:noProof/>
        </w:rPr>
      </w:pPr>
      <w:r w:rsidRPr="00F83346">
        <w:rPr>
          <w:rFonts w:ascii="Wingdings" w:hAnsi="Wingdings"/>
          <w:noProof/>
        </w:rPr>
        <w:t></w:t>
      </w:r>
      <w:r w:rsidRPr="00F83346">
        <w:rPr>
          <w:noProof/>
        </w:rPr>
        <w:tab/>
        <w:t>Za predlog/pobudo so potrebni človeški viri, kot je pojasnjeno v nadaljevanju:</w:t>
      </w:r>
    </w:p>
    <w:p w:rsidR="0045691F" w:rsidRPr="00F83346" w:rsidRDefault="0045691F">
      <w:pPr>
        <w:pStyle w:val="ManualHeading3"/>
        <w:rPr>
          <w:noProof/>
        </w:rPr>
      </w:pPr>
      <w:bookmarkStart w:id="164" w:name="_Toc167220295"/>
      <w:bookmarkStart w:id="165" w:name="_Toc177549028"/>
      <w:r w:rsidRPr="00F83346">
        <w:rPr>
          <w:noProof/>
        </w:rPr>
        <w:t>3.2.4.1</w:t>
      </w:r>
      <w:r w:rsidRPr="00F83346">
        <w:rPr>
          <w:noProof/>
        </w:rPr>
        <w:tab/>
        <w:t>Financirano iz izglasovanega proračuna</w:t>
      </w:r>
      <w:bookmarkEnd w:id="164"/>
      <w:bookmarkEnd w:id="165"/>
    </w:p>
    <w:p w:rsidR="0045691F" w:rsidRPr="00F83346" w:rsidRDefault="0045691F">
      <w:pPr>
        <w:spacing w:after="60"/>
        <w:jc w:val="right"/>
        <w:rPr>
          <w:i/>
          <w:noProof/>
          <w:sz w:val="20"/>
        </w:rPr>
      </w:pPr>
      <w:r w:rsidRPr="00F83346">
        <w:rPr>
          <w:i/>
          <w:noProof/>
          <w:sz w:val="20"/>
        </w:rPr>
        <w:t>ocena, izražena v ekvivalentu polnega delovnega časa</w:t>
      </w:r>
      <w:r w:rsidRPr="00F83346">
        <w:rPr>
          <w:rStyle w:val="FootnoteReference"/>
          <w:i/>
          <w:noProof/>
          <w:sz w:val="20"/>
        </w:rPr>
        <w:footnoteReference w:id="34"/>
      </w:r>
    </w:p>
    <w:tbl>
      <w:tblPr>
        <w:tblW w:w="5000" w:type="pct"/>
        <w:tblLook w:val="04A0" w:firstRow="1" w:lastRow="0" w:firstColumn="1" w:lastColumn="0" w:noHBand="0" w:noVBand="1"/>
      </w:tblPr>
      <w:tblGrid>
        <w:gridCol w:w="1513"/>
        <w:gridCol w:w="3898"/>
        <w:gridCol w:w="970"/>
        <w:gridCol w:w="970"/>
        <w:gridCol w:w="970"/>
        <w:gridCol w:w="968"/>
      </w:tblGrid>
      <w:tr w:rsidR="0045691F" w:rsidRPr="00F83346">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18"/>
                <w:szCs w:val="18"/>
              </w:rPr>
            </w:pPr>
            <w:bookmarkStart w:id="166" w:name="_Hlk156979231"/>
            <w:r w:rsidRPr="00F83346">
              <w:rPr>
                <w:b/>
                <w:noProof/>
                <w:color w:val="000000"/>
                <w:sz w:val="18"/>
              </w:rPr>
              <w:t>IZGLASOVANE ODOBRITVE</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r>
      <w:tr w:rsidR="0045691F" w:rsidRPr="00F83346">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45691F" w:rsidRPr="00F83346" w:rsidRDefault="0045691F">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Wingdings" w:hAnsi="Wingdings"/>
                <w:b/>
                <w:noProof/>
                <w:color w:val="000000"/>
                <w:sz w:val="16"/>
              </w:rPr>
              <w:t></w:t>
            </w:r>
            <w:r w:rsidRPr="00F83346">
              <w:rPr>
                <w:b/>
                <w:noProof/>
                <w:color w:val="000000"/>
                <w:sz w:val="16"/>
              </w:rPr>
              <w:t xml:space="preserve"> Delovna mesta v skladu s kadrovskim načrtom (uradniki in začasni uslužbenci)</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20 01 02 01</w:t>
            </w:r>
            <w:r w:rsidRPr="00F83346">
              <w:rPr>
                <w:rFonts w:ascii="Arial Narrow" w:hAnsi="Arial Narrow"/>
                <w:noProof/>
                <w:color w:val="000000"/>
                <w:sz w:val="20"/>
              </w:rPr>
              <w:t xml:space="preserve"> </w:t>
            </w:r>
            <w:r w:rsidRPr="00F83346">
              <w:rPr>
                <w:noProof/>
                <w:color w:val="000000"/>
                <w:sz w:val="16"/>
              </w:rPr>
              <w:t>(sedež in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03 (delegacije EU)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01 01 01 01</w:t>
            </w:r>
            <w:r w:rsidRPr="00F83346">
              <w:rPr>
                <w:rFonts w:ascii="Arial Narrow" w:hAnsi="Arial Narrow"/>
                <w:noProof/>
                <w:color w:val="000000"/>
                <w:sz w:val="20"/>
              </w:rPr>
              <w:t xml:space="preserve"> </w:t>
            </w:r>
            <w:r w:rsidRPr="00F83346">
              <w:rPr>
                <w:noProof/>
                <w:color w:val="000000"/>
                <w:sz w:val="16"/>
              </w:rPr>
              <w:t>(posredne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11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Calibri" w:hAnsi="Calibri"/>
                <w:b/>
                <w:noProof/>
                <w:color w:val="000000"/>
                <w:sz w:val="16"/>
              </w:rPr>
              <w:t>•</w:t>
            </w:r>
            <w:r w:rsidRPr="00F83346">
              <w:rPr>
                <w:b/>
                <w:noProof/>
                <w:color w:val="000000"/>
                <w:sz w:val="16"/>
              </w:rPr>
              <w:t xml:space="preserve"> Zunanji sodelavci (v ekvivalentu polnega delovnega časa)</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20 02 01</w:t>
            </w:r>
            <w:r w:rsidRPr="00F83346">
              <w:rPr>
                <w:rFonts w:ascii="Arial Narrow" w:hAnsi="Arial Narrow"/>
                <w:noProof/>
                <w:color w:val="000000"/>
                <w:sz w:val="20"/>
              </w:rPr>
              <w:t xml:space="preserve"> </w:t>
            </w:r>
            <w:r w:rsidRPr="00F83346">
              <w:rPr>
                <w:noProof/>
                <w:color w:val="000000"/>
                <w:sz w:val="16"/>
              </w:rPr>
              <w:t>(PU in NNS iz splošnih sredstev)</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03 (PU, LU, NNS in MSD na delegacijah EU)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6"/>
                <w:szCs w:val="16"/>
              </w:rPr>
            </w:pPr>
            <w:r w:rsidRPr="00F83346">
              <w:rPr>
                <w:noProof/>
                <w:color w:val="000000"/>
                <w:sz w:val="16"/>
              </w:rPr>
              <w:t>Vrstica za upravno podporo</w:t>
            </w:r>
            <w:r w:rsidRPr="00F83346">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na sedežu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815"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xml:space="preserve">– na delegacijah EU </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01 01 01 02</w:t>
            </w:r>
            <w:r w:rsidRPr="00F83346">
              <w:rPr>
                <w:rFonts w:ascii="Arial Narrow" w:hAnsi="Arial Narrow"/>
                <w:noProof/>
                <w:color w:val="000000"/>
                <w:sz w:val="20"/>
              </w:rPr>
              <w:t xml:space="preserve"> </w:t>
            </w:r>
            <w:r w:rsidRPr="00F83346">
              <w:rPr>
                <w:noProof/>
                <w:color w:val="000000"/>
                <w:sz w:val="16"/>
              </w:rPr>
              <w:t>(PU in NNS za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12 (PU in NNS za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iz razdelka 7</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zunaj razdelka 7</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b/>
                <w:bCs/>
                <w:noProof/>
                <w:color w:val="000000"/>
                <w:sz w:val="16"/>
                <w:szCs w:val="16"/>
              </w:rPr>
            </w:pPr>
            <w:r w:rsidRPr="00F83346">
              <w:rPr>
                <w:b/>
                <w:noProof/>
                <w:color w:val="000000"/>
                <w:sz w:val="16"/>
              </w:rPr>
              <w:t>SKUPAJ</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r>
    </w:tbl>
    <w:p w:rsidR="0045691F" w:rsidRPr="00F83346" w:rsidRDefault="0045691F">
      <w:pPr>
        <w:pStyle w:val="ManualHeading3"/>
        <w:rPr>
          <w:noProof/>
        </w:rPr>
      </w:pPr>
      <w:bookmarkStart w:id="167" w:name="_Toc167220296"/>
      <w:bookmarkStart w:id="168" w:name="_Toc177549029"/>
      <w:r w:rsidRPr="00F83346">
        <w:rPr>
          <w:noProof/>
        </w:rPr>
        <w:t>3.2.4.2</w:t>
      </w:r>
      <w:r w:rsidRPr="00F83346">
        <w:rPr>
          <w:noProof/>
        </w:rPr>
        <w:tab/>
        <w:t>Financirano iz zunanjih namenskih prejemkov</w:t>
      </w:r>
      <w:bookmarkEnd w:id="167"/>
      <w:bookmarkEnd w:id="168"/>
    </w:p>
    <w:tbl>
      <w:tblPr>
        <w:tblW w:w="5000" w:type="pct"/>
        <w:tblLook w:val="04A0" w:firstRow="1" w:lastRow="0" w:firstColumn="1" w:lastColumn="0" w:noHBand="0" w:noVBand="1"/>
      </w:tblPr>
      <w:tblGrid>
        <w:gridCol w:w="1513"/>
        <w:gridCol w:w="3898"/>
        <w:gridCol w:w="970"/>
        <w:gridCol w:w="970"/>
        <w:gridCol w:w="970"/>
        <w:gridCol w:w="968"/>
      </w:tblGrid>
      <w:tr w:rsidR="0045691F" w:rsidRPr="00F83346">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ZUNANJI NAMENSKI PREJEMKI</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r>
      <w:tr w:rsidR="0045691F" w:rsidRPr="00F83346">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45691F" w:rsidRPr="00F83346" w:rsidRDefault="0045691F">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Wingdings" w:hAnsi="Wingdings"/>
                <w:b/>
                <w:noProof/>
                <w:color w:val="000000"/>
                <w:sz w:val="16"/>
              </w:rPr>
              <w:t></w:t>
            </w:r>
            <w:r w:rsidRPr="00F83346">
              <w:rPr>
                <w:b/>
                <w:noProof/>
                <w:color w:val="000000"/>
                <w:sz w:val="16"/>
              </w:rPr>
              <w:t xml:space="preserve"> Delovna mesta v skladu s kadrovskim načrtom (uradniki in začasni uslužbenci)</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20 01 02 01</w:t>
            </w:r>
            <w:r w:rsidRPr="00F83346">
              <w:rPr>
                <w:rFonts w:ascii="Arial Narrow" w:hAnsi="Arial Narrow"/>
                <w:noProof/>
                <w:color w:val="000000"/>
                <w:sz w:val="20"/>
              </w:rPr>
              <w:t xml:space="preserve"> </w:t>
            </w:r>
            <w:r w:rsidRPr="00F83346">
              <w:rPr>
                <w:noProof/>
                <w:color w:val="000000"/>
                <w:sz w:val="16"/>
              </w:rPr>
              <w:t>(sedež in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03 (delegacije EU)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01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11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Calibri" w:hAnsi="Calibri"/>
                <w:b/>
                <w:noProof/>
                <w:color w:val="000000"/>
                <w:sz w:val="16"/>
              </w:rPr>
              <w:t>•</w:t>
            </w:r>
            <w:r w:rsidRPr="00F83346">
              <w:rPr>
                <w:b/>
                <w:noProof/>
                <w:color w:val="000000"/>
                <w:sz w:val="16"/>
              </w:rPr>
              <w:t xml:space="preserve"> Zunanji sodelavci (v ekvivalentu polnega delovnega časa)</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20 02 01</w:t>
            </w:r>
            <w:r w:rsidRPr="00F83346">
              <w:rPr>
                <w:rFonts w:ascii="Arial Narrow" w:hAnsi="Arial Narrow"/>
                <w:noProof/>
                <w:color w:val="000000"/>
                <w:sz w:val="20"/>
              </w:rPr>
              <w:t xml:space="preserve"> </w:t>
            </w:r>
            <w:r w:rsidRPr="00F83346">
              <w:rPr>
                <w:noProof/>
                <w:color w:val="000000"/>
                <w:sz w:val="16"/>
              </w:rPr>
              <w:t>(PU in NNS iz splošnih sredstev)</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03 (PU, LU, NNS in MSD na delegacijah EU)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6"/>
                <w:szCs w:val="16"/>
              </w:rPr>
            </w:pPr>
            <w:r w:rsidRPr="00F83346">
              <w:rPr>
                <w:noProof/>
                <w:color w:val="000000"/>
                <w:sz w:val="16"/>
              </w:rPr>
              <w:t xml:space="preserve">Vrstica za upravno podporo </w:t>
            </w:r>
            <w:r w:rsidRPr="00F83346">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na sedežu</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815" w:type="pct"/>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xml:space="preserve">– na delegacijah EU </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01 01 01 02</w:t>
            </w:r>
            <w:r w:rsidRPr="00F83346">
              <w:rPr>
                <w:rFonts w:ascii="Arial Narrow" w:hAnsi="Arial Narrow"/>
                <w:noProof/>
                <w:color w:val="000000"/>
                <w:sz w:val="20"/>
              </w:rPr>
              <w:t xml:space="preserve"> </w:t>
            </w:r>
            <w:r w:rsidRPr="00F83346">
              <w:rPr>
                <w:noProof/>
                <w:color w:val="000000"/>
                <w:sz w:val="16"/>
              </w:rPr>
              <w:t>(PU in NNS za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12 (PU in NNS za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iz razdelka 7</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zunaj razdelka 7</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b/>
                <w:bCs/>
                <w:noProof/>
                <w:color w:val="000000"/>
                <w:sz w:val="16"/>
                <w:szCs w:val="16"/>
              </w:rPr>
            </w:pPr>
            <w:r w:rsidRPr="00F83346">
              <w:rPr>
                <w:b/>
                <w:noProof/>
                <w:color w:val="000000"/>
                <w:sz w:val="16"/>
              </w:rPr>
              <w:t>SKUPAJ</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r>
    </w:tbl>
    <w:p w:rsidR="0045691F" w:rsidRPr="00F83346" w:rsidRDefault="0045691F">
      <w:pPr>
        <w:pStyle w:val="ManualHeading3"/>
        <w:rPr>
          <w:noProof/>
        </w:rPr>
      </w:pPr>
      <w:bookmarkStart w:id="169" w:name="_Toc167220297"/>
      <w:bookmarkStart w:id="170" w:name="_Toc177549030"/>
      <w:r w:rsidRPr="00F83346">
        <w:rPr>
          <w:noProof/>
        </w:rPr>
        <w:t>3.2.4.3</w:t>
      </w:r>
      <w:r w:rsidRPr="00F83346">
        <w:rPr>
          <w:noProof/>
        </w:rPr>
        <w:tab/>
        <w:t>Potrebe po človeških virih skupaj</w:t>
      </w:r>
      <w:bookmarkEnd w:id="169"/>
      <w:bookmarkEnd w:id="170"/>
    </w:p>
    <w:tbl>
      <w:tblPr>
        <w:tblW w:w="9200" w:type="dxa"/>
        <w:tblLook w:val="04A0" w:firstRow="1" w:lastRow="0" w:firstColumn="1" w:lastColumn="0" w:noHBand="0" w:noVBand="1"/>
      </w:tblPr>
      <w:tblGrid>
        <w:gridCol w:w="1500"/>
        <w:gridCol w:w="3860"/>
        <w:gridCol w:w="960"/>
        <w:gridCol w:w="960"/>
        <w:gridCol w:w="960"/>
        <w:gridCol w:w="960"/>
      </w:tblGrid>
      <w:tr w:rsidR="0045691F" w:rsidRPr="00F83346">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5691F" w:rsidRPr="00F83346" w:rsidRDefault="0045691F">
            <w:pPr>
              <w:spacing w:before="0" w:after="0"/>
              <w:jc w:val="center"/>
              <w:rPr>
                <w:b/>
                <w:bCs/>
                <w:noProof/>
                <w:color w:val="000000"/>
                <w:sz w:val="18"/>
                <w:szCs w:val="18"/>
              </w:rPr>
            </w:pPr>
            <w:r w:rsidRPr="00F83346">
              <w:rPr>
                <w:b/>
                <w:noProof/>
                <w:color w:val="000000"/>
                <w:sz w:val="18"/>
              </w:rPr>
              <w:t xml:space="preserve">IZGLASOVANE ODOBRITVE </w:t>
            </w:r>
            <w:r w:rsidRPr="00F83346">
              <w:rPr>
                <w:b/>
                <w:noProof/>
                <w:color w:val="000000"/>
                <w:sz w:val="18"/>
              </w:rPr>
              <w:br/>
              <w:t xml:space="preserve">+ </w:t>
            </w:r>
            <w:r w:rsidRPr="00F83346">
              <w:rPr>
                <w:b/>
                <w:noProof/>
                <w:color w:val="000000"/>
                <w:sz w:val="18"/>
              </w:rPr>
              <w:br/>
              <w:t xml:space="preserve">ZUNANJI NAMENSKI PREJEMKI </w:t>
            </w:r>
            <w:r w:rsidRPr="00F83346">
              <w:rPr>
                <w:b/>
                <w:noProof/>
                <w:color w:val="000000"/>
                <w:sz w:val="18"/>
              </w:rPr>
              <w:br/>
              <w:t>SKUPAJ</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45691F" w:rsidRPr="00F83346" w:rsidRDefault="0045691F">
            <w:pPr>
              <w:spacing w:before="0" w:after="0"/>
              <w:jc w:val="center"/>
              <w:rPr>
                <w:noProof/>
                <w:color w:val="000000"/>
                <w:sz w:val="20"/>
                <w:szCs w:val="20"/>
              </w:rPr>
            </w:pPr>
            <w:r w:rsidRPr="00F83346">
              <w:rPr>
                <w:noProof/>
                <w:color w:val="000000"/>
                <w:sz w:val="20"/>
              </w:rPr>
              <w:t>Leto</w:t>
            </w:r>
          </w:p>
        </w:tc>
      </w:tr>
      <w:tr w:rsidR="0045691F" w:rsidRPr="00F83346">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45691F" w:rsidRPr="00F83346" w:rsidRDefault="0045691F">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jc w:val="center"/>
              <w:rPr>
                <w:b/>
                <w:bCs/>
                <w:noProof/>
                <w:color w:val="000000"/>
                <w:sz w:val="20"/>
                <w:szCs w:val="20"/>
              </w:rPr>
            </w:pPr>
            <w:r w:rsidRPr="00F83346">
              <w:rPr>
                <w:b/>
                <w:noProof/>
                <w:color w:val="000000"/>
                <w:sz w:val="20"/>
              </w:rPr>
              <w:t>2027</w:t>
            </w:r>
          </w:p>
        </w:tc>
      </w:tr>
      <w:tr w:rsidR="0045691F" w:rsidRPr="00F83346">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Wingdings" w:hAnsi="Wingdings"/>
                <w:b/>
                <w:noProof/>
                <w:color w:val="000000"/>
                <w:sz w:val="16"/>
              </w:rPr>
              <w:t></w:t>
            </w:r>
            <w:r w:rsidRPr="00F83346">
              <w:rPr>
                <w:b/>
                <w:noProof/>
                <w:color w:val="000000"/>
                <w:sz w:val="16"/>
              </w:rPr>
              <w:t xml:space="preserve"> Delovna mesta v skladu s kadrovskim načrtom (uradniki in začasni uslužbenci)</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20 01 02 01</w:t>
            </w:r>
            <w:r w:rsidRPr="00F83346">
              <w:rPr>
                <w:rFonts w:ascii="Arial Narrow" w:hAnsi="Arial Narrow"/>
                <w:noProof/>
                <w:color w:val="000000"/>
                <w:sz w:val="20"/>
              </w:rPr>
              <w:t xml:space="preserve"> </w:t>
            </w:r>
            <w:r w:rsidRPr="00F83346">
              <w:rPr>
                <w:noProof/>
                <w:color w:val="000000"/>
                <w:sz w:val="16"/>
              </w:rPr>
              <w:t>(sedež in predstavništva Komisije)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01 02 03 (delegacije EU)</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01 01 01 01</w:t>
            </w:r>
            <w:r w:rsidRPr="00F83346">
              <w:rPr>
                <w:rFonts w:ascii="Arial Narrow" w:hAnsi="Arial Narrow"/>
                <w:noProof/>
                <w:color w:val="000000"/>
                <w:sz w:val="20"/>
              </w:rPr>
              <w:t xml:space="preserve"> </w:t>
            </w:r>
            <w:r w:rsidRPr="00F83346">
              <w:rPr>
                <w:noProof/>
                <w:color w:val="000000"/>
                <w:sz w:val="16"/>
              </w:rPr>
              <w:t>(posredne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11 (neposredne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45691F" w:rsidRPr="00F83346" w:rsidRDefault="0045691F">
            <w:pPr>
              <w:spacing w:before="0" w:after="0"/>
              <w:jc w:val="left"/>
              <w:rPr>
                <w:rFonts w:ascii="Wingdings" w:hAnsi="Wingdings" w:cs="Calibri"/>
                <w:b/>
                <w:bCs/>
                <w:noProof/>
                <w:color w:val="000000"/>
                <w:sz w:val="16"/>
                <w:szCs w:val="16"/>
              </w:rPr>
            </w:pPr>
            <w:r w:rsidRPr="00F83346">
              <w:rPr>
                <w:rFonts w:ascii="Calibri" w:hAnsi="Calibri"/>
                <w:b/>
                <w:noProof/>
                <w:color w:val="000000"/>
                <w:sz w:val="16"/>
              </w:rPr>
              <w:t>•</w:t>
            </w:r>
            <w:r w:rsidRPr="00F83346">
              <w:rPr>
                <w:b/>
                <w:noProof/>
                <w:color w:val="000000"/>
                <w:sz w:val="16"/>
              </w:rPr>
              <w:t xml:space="preserve"> Zunanji sodelavci (v ekvivalentu polnega delovnega časa)</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20 02 01</w:t>
            </w:r>
            <w:r w:rsidRPr="00F83346">
              <w:rPr>
                <w:rFonts w:ascii="Arial Narrow" w:hAnsi="Arial Narrow"/>
                <w:noProof/>
                <w:color w:val="000000"/>
                <w:sz w:val="20"/>
              </w:rPr>
              <w:t xml:space="preserve"> </w:t>
            </w:r>
            <w:r w:rsidRPr="00F83346">
              <w:rPr>
                <w:noProof/>
                <w:color w:val="000000"/>
                <w:sz w:val="16"/>
              </w:rPr>
              <w:t>(PU in NNS iz splošnih sredstev)</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20 02 03 (PU, LU, NNS in MSD na delegacijah EU)</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jc w:val="center"/>
              <w:rPr>
                <w:noProof/>
                <w:color w:val="000000"/>
                <w:sz w:val="16"/>
                <w:szCs w:val="16"/>
              </w:rPr>
            </w:pPr>
            <w:r w:rsidRPr="00F83346">
              <w:rPr>
                <w:noProof/>
                <w:color w:val="000000"/>
                <w:sz w:val="16"/>
              </w:rPr>
              <w:t xml:space="preserve">Vrstica za upravno podporo </w:t>
            </w:r>
            <w:r w:rsidRPr="00F83346">
              <w:rPr>
                <w:noProof/>
                <w:color w:val="000000"/>
                <w:sz w:val="16"/>
              </w:rPr>
              <w:br/>
              <w:t>[XX 01 YY YY]</w:t>
            </w:r>
          </w:p>
        </w:tc>
        <w:tc>
          <w:tcPr>
            <w:tcW w:w="38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na sedežu</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1500" w:type="dxa"/>
            <w:vMerge/>
            <w:tcBorders>
              <w:top w:val="nil"/>
              <w:left w:val="single" w:sz="8" w:space="0" w:color="auto"/>
              <w:bottom w:val="single" w:sz="8" w:space="0" w:color="auto"/>
              <w:right w:val="single" w:sz="8" w:space="0" w:color="auto"/>
            </w:tcBorders>
            <w:vAlign w:val="center"/>
            <w:hideMark/>
          </w:tcPr>
          <w:p w:rsidR="0045691F" w:rsidRPr="00F83346" w:rsidRDefault="0045691F">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 xml:space="preserve">– na delegacijah EU </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01 01 01 02</w:t>
            </w:r>
            <w:r w:rsidRPr="00F83346">
              <w:rPr>
                <w:rFonts w:ascii="Arial Narrow" w:hAnsi="Arial Narrow"/>
                <w:noProof/>
                <w:color w:val="000000"/>
                <w:sz w:val="20"/>
              </w:rPr>
              <w:t xml:space="preserve"> </w:t>
            </w:r>
            <w:r w:rsidRPr="00F83346">
              <w:rPr>
                <w:noProof/>
                <w:color w:val="000000"/>
                <w:sz w:val="16"/>
              </w:rPr>
              <w:t>(PU in NNS za 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01 01 01 12 (PU in NNS za neposredne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iz razdelka 7</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noProof/>
                <w:color w:val="000000"/>
                <w:sz w:val="16"/>
                <w:szCs w:val="16"/>
              </w:rPr>
            </w:pPr>
            <w:r w:rsidRPr="00F83346">
              <w:rPr>
                <w:noProof/>
                <w:color w:val="000000"/>
                <w:sz w:val="16"/>
              </w:rPr>
              <w:t>Druge proračunske vrstice (navedite) – zunaj razdelka 7</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noProof/>
                <w:color w:val="000000"/>
                <w:sz w:val="16"/>
                <w:szCs w:val="16"/>
              </w:rPr>
            </w:pPr>
            <w:r w:rsidRPr="00F83346">
              <w:rPr>
                <w:noProof/>
                <w:color w:val="000000"/>
                <w:sz w:val="16"/>
              </w:rPr>
              <w:t>0</w:t>
            </w:r>
          </w:p>
        </w:tc>
      </w:tr>
      <w:tr w:rsidR="0045691F" w:rsidRPr="00F83346">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5691F" w:rsidRPr="00F83346" w:rsidRDefault="0045691F">
            <w:pPr>
              <w:spacing w:before="0" w:after="0"/>
              <w:ind w:firstLineChars="100" w:firstLine="160"/>
              <w:jc w:val="left"/>
              <w:rPr>
                <w:b/>
                <w:bCs/>
                <w:noProof/>
                <w:color w:val="000000"/>
                <w:sz w:val="16"/>
                <w:szCs w:val="16"/>
              </w:rPr>
            </w:pPr>
            <w:r w:rsidRPr="00F83346">
              <w:rPr>
                <w:b/>
                <w:noProof/>
                <w:color w:val="000000"/>
                <w:sz w:val="16"/>
              </w:rPr>
              <w:t>SKUPAJ</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45691F" w:rsidRPr="00F83346" w:rsidRDefault="0045691F">
            <w:pPr>
              <w:spacing w:before="0" w:after="0"/>
              <w:jc w:val="center"/>
              <w:rPr>
                <w:b/>
                <w:bCs/>
                <w:noProof/>
                <w:color w:val="000000"/>
                <w:sz w:val="16"/>
                <w:szCs w:val="16"/>
              </w:rPr>
            </w:pPr>
            <w:r w:rsidRPr="00F83346">
              <w:rPr>
                <w:b/>
                <w:noProof/>
                <w:color w:val="000000"/>
                <w:sz w:val="16"/>
              </w:rPr>
              <w:t>0</w:t>
            </w:r>
          </w:p>
        </w:tc>
      </w:tr>
    </w:tbl>
    <w:p w:rsidR="0045691F" w:rsidRPr="00F83346" w:rsidRDefault="0045691F" w:rsidP="00946A2B">
      <w:pPr>
        <w:pStyle w:val="Text1"/>
        <w:rPr>
          <w:noProof/>
          <w:color w:val="000000" w:themeColor="text1"/>
        </w:rPr>
      </w:pPr>
      <w:bookmarkStart w:id="171" w:name="_Hlk167692843"/>
      <w:bookmarkEnd w:id="166"/>
      <w:r w:rsidRPr="00F83346">
        <w:rPr>
          <w:noProof/>
          <w:color w:val="000000" w:themeColor="text1"/>
        </w:rPr>
        <w:t xml:space="preserve">Osebje, potrebno za izvajanje predloga (v ekvivalentu polnega delovnega časa):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45691F" w:rsidRPr="00F83346" w:rsidTr="04B73BB1">
        <w:trPr>
          <w:trHeight w:val="300"/>
        </w:trPr>
        <w:tc>
          <w:tcPr>
            <w:tcW w:w="1845" w:type="dxa"/>
          </w:tcPr>
          <w:p w:rsidR="0045691F" w:rsidRPr="00F83346" w:rsidRDefault="0045691F">
            <w:pPr>
              <w:pStyle w:val="Text1"/>
              <w:ind w:left="0"/>
              <w:jc w:val="center"/>
              <w:rPr>
                <w:b/>
                <w:bCs/>
                <w:noProof/>
                <w:sz w:val="22"/>
                <w:szCs w:val="28"/>
              </w:rPr>
            </w:pPr>
          </w:p>
        </w:tc>
        <w:tc>
          <w:tcPr>
            <w:tcW w:w="2031" w:type="dxa"/>
          </w:tcPr>
          <w:p w:rsidR="0045691F" w:rsidRPr="00F83346" w:rsidRDefault="0045691F">
            <w:pPr>
              <w:pStyle w:val="Text1"/>
              <w:ind w:left="0"/>
              <w:jc w:val="center"/>
              <w:rPr>
                <w:b/>
                <w:bCs/>
                <w:noProof/>
                <w:sz w:val="22"/>
              </w:rPr>
            </w:pPr>
            <w:r w:rsidRPr="00F83346">
              <w:rPr>
                <w:b/>
                <w:noProof/>
                <w:sz w:val="22"/>
              </w:rPr>
              <w:t xml:space="preserve">Obstoječe osebje na voljo v službah Komisije </w:t>
            </w:r>
          </w:p>
        </w:tc>
        <w:tc>
          <w:tcPr>
            <w:tcW w:w="5611" w:type="dxa"/>
            <w:gridSpan w:val="3"/>
          </w:tcPr>
          <w:p w:rsidR="0045691F" w:rsidRPr="00F83346" w:rsidRDefault="0045691F">
            <w:pPr>
              <w:pStyle w:val="Text1"/>
              <w:ind w:left="0"/>
              <w:jc w:val="center"/>
              <w:rPr>
                <w:b/>
                <w:bCs/>
                <w:noProof/>
                <w:sz w:val="22"/>
              </w:rPr>
            </w:pPr>
            <w:r w:rsidRPr="00F83346">
              <w:rPr>
                <w:b/>
                <w:noProof/>
                <w:sz w:val="22"/>
              </w:rPr>
              <w:t>Izredno dodatno osebje*</w:t>
            </w:r>
          </w:p>
        </w:tc>
      </w:tr>
      <w:tr w:rsidR="0045691F" w:rsidRPr="00F83346" w:rsidTr="04B73BB1">
        <w:trPr>
          <w:trHeight w:val="300"/>
        </w:trPr>
        <w:tc>
          <w:tcPr>
            <w:tcW w:w="1845" w:type="dxa"/>
          </w:tcPr>
          <w:p w:rsidR="0045691F" w:rsidRPr="00F83346" w:rsidRDefault="0045691F">
            <w:pPr>
              <w:pStyle w:val="Text1"/>
              <w:ind w:left="0"/>
              <w:jc w:val="center"/>
              <w:rPr>
                <w:b/>
                <w:bCs/>
                <w:noProof/>
                <w:sz w:val="22"/>
                <w:szCs w:val="28"/>
              </w:rPr>
            </w:pPr>
          </w:p>
        </w:tc>
        <w:tc>
          <w:tcPr>
            <w:tcW w:w="2031" w:type="dxa"/>
          </w:tcPr>
          <w:p w:rsidR="0045691F" w:rsidRPr="00F83346" w:rsidRDefault="0045691F">
            <w:pPr>
              <w:pStyle w:val="Text1"/>
              <w:ind w:left="0"/>
              <w:jc w:val="center"/>
              <w:rPr>
                <w:b/>
                <w:bCs/>
                <w:noProof/>
                <w:sz w:val="22"/>
                <w:szCs w:val="28"/>
              </w:rPr>
            </w:pPr>
          </w:p>
        </w:tc>
        <w:tc>
          <w:tcPr>
            <w:tcW w:w="1925" w:type="dxa"/>
          </w:tcPr>
          <w:p w:rsidR="0045691F" w:rsidRPr="00F83346" w:rsidRDefault="0045691F" w:rsidP="04B73BB1">
            <w:pPr>
              <w:pStyle w:val="Text1"/>
              <w:ind w:left="0"/>
              <w:jc w:val="center"/>
              <w:rPr>
                <w:b/>
                <w:bCs/>
                <w:noProof/>
                <w:sz w:val="22"/>
                <w:szCs w:val="22"/>
              </w:rPr>
            </w:pPr>
            <w:r w:rsidRPr="00F83346">
              <w:rPr>
                <w:b/>
                <w:noProof/>
                <w:sz w:val="22"/>
              </w:rPr>
              <w:t>financirano iz razdelka 7 ali odobritev za raziskave</w:t>
            </w:r>
          </w:p>
        </w:tc>
        <w:tc>
          <w:tcPr>
            <w:tcW w:w="1938" w:type="dxa"/>
          </w:tcPr>
          <w:p w:rsidR="0045691F" w:rsidRPr="00F83346" w:rsidRDefault="0045691F">
            <w:pPr>
              <w:pStyle w:val="Text1"/>
              <w:ind w:left="0"/>
              <w:jc w:val="center"/>
              <w:rPr>
                <w:b/>
                <w:bCs/>
                <w:noProof/>
                <w:sz w:val="22"/>
                <w:szCs w:val="28"/>
              </w:rPr>
            </w:pPr>
            <w:r w:rsidRPr="00F83346">
              <w:rPr>
                <w:b/>
                <w:noProof/>
                <w:sz w:val="22"/>
              </w:rPr>
              <w:t>financirano iz vrstice BA</w:t>
            </w:r>
          </w:p>
        </w:tc>
        <w:tc>
          <w:tcPr>
            <w:tcW w:w="1748" w:type="dxa"/>
          </w:tcPr>
          <w:p w:rsidR="0045691F" w:rsidRPr="00F83346" w:rsidRDefault="0045691F">
            <w:pPr>
              <w:pStyle w:val="Text1"/>
              <w:ind w:left="0"/>
              <w:jc w:val="center"/>
              <w:rPr>
                <w:b/>
                <w:bCs/>
                <w:noProof/>
                <w:sz w:val="22"/>
                <w:szCs w:val="28"/>
              </w:rPr>
            </w:pPr>
            <w:r w:rsidRPr="00F83346">
              <w:rPr>
                <w:b/>
                <w:noProof/>
                <w:sz w:val="22"/>
              </w:rPr>
              <w:t>financirano s pristojbinami</w:t>
            </w:r>
          </w:p>
        </w:tc>
      </w:tr>
      <w:tr w:rsidR="0045691F" w:rsidRPr="00F83346" w:rsidTr="04B73BB1">
        <w:trPr>
          <w:trHeight w:val="300"/>
        </w:trPr>
        <w:tc>
          <w:tcPr>
            <w:tcW w:w="1845" w:type="dxa"/>
          </w:tcPr>
          <w:p w:rsidR="0045691F" w:rsidRPr="00F83346" w:rsidRDefault="0045691F">
            <w:pPr>
              <w:pStyle w:val="Text1"/>
              <w:ind w:left="0"/>
              <w:rPr>
                <w:noProof/>
                <w:sz w:val="22"/>
                <w:szCs w:val="28"/>
              </w:rPr>
            </w:pPr>
            <w:r w:rsidRPr="00F83346">
              <w:rPr>
                <w:noProof/>
                <w:sz w:val="22"/>
              </w:rPr>
              <w:t>Delovna mesta v skladu s kadrovskim načrtom</w:t>
            </w:r>
          </w:p>
        </w:tc>
        <w:tc>
          <w:tcPr>
            <w:tcW w:w="2031" w:type="dxa"/>
          </w:tcPr>
          <w:p w:rsidR="0045691F" w:rsidRPr="00F83346" w:rsidRDefault="002A1380">
            <w:pPr>
              <w:pStyle w:val="Text1"/>
              <w:ind w:left="0"/>
              <w:rPr>
                <w:noProof/>
                <w:sz w:val="22"/>
                <w:szCs w:val="28"/>
              </w:rPr>
            </w:pPr>
            <w:r w:rsidRPr="00F83346">
              <w:rPr>
                <w:noProof/>
                <w:sz w:val="22"/>
              </w:rPr>
              <w:t>0</w:t>
            </w:r>
          </w:p>
        </w:tc>
        <w:tc>
          <w:tcPr>
            <w:tcW w:w="1925" w:type="dxa"/>
          </w:tcPr>
          <w:p w:rsidR="0045691F" w:rsidRPr="00F83346" w:rsidRDefault="0045691F">
            <w:pPr>
              <w:pStyle w:val="Text1"/>
              <w:ind w:left="0"/>
              <w:rPr>
                <w:noProof/>
                <w:sz w:val="22"/>
                <w:szCs w:val="28"/>
              </w:rPr>
            </w:pPr>
          </w:p>
        </w:tc>
        <w:tc>
          <w:tcPr>
            <w:tcW w:w="1938" w:type="dxa"/>
          </w:tcPr>
          <w:p w:rsidR="0045691F" w:rsidRPr="00F83346" w:rsidRDefault="0045691F">
            <w:pPr>
              <w:pStyle w:val="Text1"/>
              <w:ind w:left="0"/>
              <w:rPr>
                <w:noProof/>
                <w:sz w:val="22"/>
                <w:szCs w:val="28"/>
              </w:rPr>
            </w:pPr>
            <w:r w:rsidRPr="00F83346">
              <w:rPr>
                <w:noProof/>
                <w:sz w:val="22"/>
              </w:rPr>
              <w:t>n. r.</w:t>
            </w:r>
          </w:p>
        </w:tc>
        <w:tc>
          <w:tcPr>
            <w:tcW w:w="1748" w:type="dxa"/>
          </w:tcPr>
          <w:p w:rsidR="0045691F" w:rsidRPr="00F83346" w:rsidRDefault="0045691F">
            <w:pPr>
              <w:pStyle w:val="Text1"/>
              <w:ind w:left="0"/>
              <w:rPr>
                <w:noProof/>
                <w:sz w:val="22"/>
                <w:szCs w:val="28"/>
              </w:rPr>
            </w:pPr>
          </w:p>
        </w:tc>
      </w:tr>
      <w:tr w:rsidR="0045691F" w:rsidRPr="00F83346" w:rsidTr="04B73BB1">
        <w:trPr>
          <w:trHeight w:val="300"/>
        </w:trPr>
        <w:tc>
          <w:tcPr>
            <w:tcW w:w="1845" w:type="dxa"/>
          </w:tcPr>
          <w:p w:rsidR="0045691F" w:rsidRPr="00F83346" w:rsidRDefault="0045691F">
            <w:pPr>
              <w:pStyle w:val="Text1"/>
              <w:ind w:left="0"/>
              <w:rPr>
                <w:noProof/>
                <w:sz w:val="22"/>
                <w:szCs w:val="28"/>
              </w:rPr>
            </w:pPr>
            <w:r w:rsidRPr="00F83346">
              <w:rPr>
                <w:noProof/>
                <w:sz w:val="22"/>
              </w:rPr>
              <w:t>Zunanji sodelavci (PU, NNS, AU)</w:t>
            </w:r>
          </w:p>
        </w:tc>
        <w:tc>
          <w:tcPr>
            <w:tcW w:w="2031" w:type="dxa"/>
          </w:tcPr>
          <w:p w:rsidR="0045691F" w:rsidRPr="00F83346" w:rsidRDefault="002A1380">
            <w:pPr>
              <w:pStyle w:val="Text1"/>
              <w:ind w:left="0"/>
              <w:rPr>
                <w:noProof/>
                <w:sz w:val="22"/>
                <w:szCs w:val="28"/>
              </w:rPr>
            </w:pPr>
            <w:r w:rsidRPr="00F83346">
              <w:rPr>
                <w:noProof/>
                <w:sz w:val="22"/>
              </w:rPr>
              <w:t>0</w:t>
            </w:r>
          </w:p>
        </w:tc>
        <w:tc>
          <w:tcPr>
            <w:tcW w:w="1925" w:type="dxa"/>
          </w:tcPr>
          <w:p w:rsidR="0045691F" w:rsidRPr="00F83346" w:rsidRDefault="0045691F">
            <w:pPr>
              <w:pStyle w:val="Text1"/>
              <w:ind w:left="0"/>
              <w:rPr>
                <w:noProof/>
                <w:sz w:val="22"/>
                <w:szCs w:val="28"/>
              </w:rPr>
            </w:pPr>
          </w:p>
        </w:tc>
        <w:tc>
          <w:tcPr>
            <w:tcW w:w="1938" w:type="dxa"/>
          </w:tcPr>
          <w:p w:rsidR="0045691F" w:rsidRPr="00F83346" w:rsidRDefault="0045691F">
            <w:pPr>
              <w:pStyle w:val="Text1"/>
              <w:ind w:left="0"/>
              <w:rPr>
                <w:noProof/>
                <w:sz w:val="22"/>
                <w:szCs w:val="28"/>
              </w:rPr>
            </w:pPr>
          </w:p>
        </w:tc>
        <w:tc>
          <w:tcPr>
            <w:tcW w:w="1748" w:type="dxa"/>
          </w:tcPr>
          <w:p w:rsidR="0045691F" w:rsidRPr="00F83346" w:rsidRDefault="0045691F">
            <w:pPr>
              <w:pStyle w:val="Text1"/>
              <w:ind w:left="0"/>
              <w:rPr>
                <w:noProof/>
                <w:sz w:val="22"/>
                <w:szCs w:val="28"/>
              </w:rPr>
            </w:pPr>
          </w:p>
        </w:tc>
      </w:tr>
    </w:tbl>
    <w:p w:rsidR="0045691F" w:rsidRPr="00F83346" w:rsidRDefault="0045691F" w:rsidP="00946A2B">
      <w:pPr>
        <w:pStyle w:val="Text1"/>
        <w:rPr>
          <w:noProof/>
        </w:rPr>
      </w:pPr>
      <w:r w:rsidRPr="00F83346">
        <w:rPr>
          <w:noProof/>
        </w:rPr>
        <w:t>Opis nalog: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5691F" w:rsidRPr="00F83346">
        <w:tc>
          <w:tcPr>
            <w:tcW w:w="3240" w:type="dxa"/>
          </w:tcPr>
          <w:p w:rsidR="0045691F" w:rsidRPr="00F83346" w:rsidRDefault="0045691F">
            <w:pPr>
              <w:rPr>
                <w:noProof/>
                <w:sz w:val="20"/>
              </w:rPr>
            </w:pPr>
            <w:r w:rsidRPr="00F83346">
              <w:rPr>
                <w:noProof/>
                <w:sz w:val="20"/>
              </w:rPr>
              <w:t>Uradniki in začasni uslužbenci</w:t>
            </w:r>
          </w:p>
        </w:tc>
        <w:tc>
          <w:tcPr>
            <w:tcW w:w="7200" w:type="dxa"/>
          </w:tcPr>
          <w:p w:rsidR="0045691F" w:rsidRPr="00F83346" w:rsidRDefault="0045691F">
            <w:pPr>
              <w:rPr>
                <w:noProof/>
                <w:sz w:val="20"/>
              </w:rPr>
            </w:pPr>
          </w:p>
        </w:tc>
      </w:tr>
      <w:tr w:rsidR="0045691F" w:rsidRPr="00F83346">
        <w:tc>
          <w:tcPr>
            <w:tcW w:w="3240" w:type="dxa"/>
          </w:tcPr>
          <w:p w:rsidR="0045691F" w:rsidRPr="00F83346" w:rsidRDefault="0045691F">
            <w:pPr>
              <w:spacing w:before="60" w:after="60"/>
              <w:rPr>
                <w:noProof/>
                <w:sz w:val="20"/>
              </w:rPr>
            </w:pPr>
            <w:r w:rsidRPr="00F83346">
              <w:rPr>
                <w:noProof/>
                <w:sz w:val="20"/>
              </w:rPr>
              <w:t>Zunanji sodelavci</w:t>
            </w:r>
          </w:p>
        </w:tc>
        <w:tc>
          <w:tcPr>
            <w:tcW w:w="7200" w:type="dxa"/>
          </w:tcPr>
          <w:p w:rsidR="0045691F" w:rsidRPr="00F83346" w:rsidRDefault="0045691F">
            <w:pPr>
              <w:rPr>
                <w:noProof/>
                <w:sz w:val="20"/>
              </w:rPr>
            </w:pPr>
          </w:p>
        </w:tc>
      </w:tr>
    </w:tbl>
    <w:p w:rsidR="0045691F" w:rsidRPr="00F83346" w:rsidRDefault="0045691F">
      <w:pPr>
        <w:pStyle w:val="ManualHeading3"/>
        <w:rPr>
          <w:noProof/>
        </w:rPr>
      </w:pPr>
      <w:bookmarkStart w:id="172" w:name="_Toc177549031"/>
      <w:r w:rsidRPr="00F83346">
        <w:rPr>
          <w:noProof/>
        </w:rPr>
        <w:t>3.2.5</w:t>
      </w:r>
      <w:r w:rsidRPr="00F83346">
        <w:rPr>
          <w:noProof/>
        </w:rPr>
        <w:tab/>
        <w:t>Pregled ocenjenih posledic za naložbe, povezane z digitalnimi tehnologijami</w:t>
      </w:r>
      <w:bookmarkEnd w:id="172"/>
    </w:p>
    <w:p w:rsidR="0045691F" w:rsidRPr="00F83346" w:rsidRDefault="0045691F">
      <w:pPr>
        <w:pStyle w:val="Text1"/>
        <w:spacing w:line="259" w:lineRule="auto"/>
        <w:rPr>
          <w:noProof/>
        </w:rPr>
      </w:pPr>
      <w:r w:rsidRPr="00F83346">
        <w:rPr>
          <w:noProof/>
        </w:rPr>
        <w:t xml:space="preserve">Obvezno: v spodnjo tabelo je treba vstaviti najboljšo oceno z digitalnimi tehnologijami povezanih naložb, ki so vključene v predlog/pobudo. </w:t>
      </w:r>
    </w:p>
    <w:p w:rsidR="0045691F" w:rsidRPr="00F83346" w:rsidRDefault="0045691F">
      <w:pPr>
        <w:pStyle w:val="Text1"/>
        <w:spacing w:line="259" w:lineRule="auto"/>
        <w:rPr>
          <w:noProof/>
        </w:rPr>
      </w:pPr>
      <w:r w:rsidRPr="00F83346">
        <w:rPr>
          <w:noProof/>
        </w:rPr>
        <w:t xml:space="preserve">Izjemoma, kadar je to potrebno za izvajanje predloga/pobude, je treba odobritve iz razdelka 7 vnesti v za to določeno vrstico. </w:t>
      </w:r>
    </w:p>
    <w:p w:rsidR="0045691F" w:rsidRPr="00F83346" w:rsidRDefault="0045691F">
      <w:pPr>
        <w:pStyle w:val="Text1"/>
        <w:spacing w:line="259" w:lineRule="auto"/>
        <w:rPr>
          <w:noProof/>
        </w:rPr>
      </w:pPr>
      <w:r w:rsidRPr="00F83346">
        <w:rPr>
          <w:noProof/>
        </w:rPr>
        <w:t>Odobritve iz razdelkov 1–6 je treba prikazati kot „Odhodke za IT za operativne programe (v okviru politik)“. Ti odhodki se nanašajo na operativni proračun, ki se uporabi za ponovno uporabo / nakup / razvoj platform/orodij IT, ki so neposredno povezani z izvajanjem pobude in naložbami, povezanimi z njimi (npr. licence, študije, shranjevanje podatkov itd.). Informacije v tej tabeli morajo biti usklajene s podatki, predstavljenimi v oddelku 4 „Digitalne razsežnosti“.</w:t>
      </w:r>
    </w:p>
    <w:tbl>
      <w:tblPr>
        <w:tblW w:w="0" w:type="auto"/>
        <w:tblLayout w:type="fixed"/>
        <w:tblLook w:val="04A0" w:firstRow="1" w:lastRow="0" w:firstColumn="1" w:lastColumn="0" w:noHBand="0" w:noVBand="1"/>
      </w:tblPr>
      <w:tblGrid>
        <w:gridCol w:w="3214"/>
        <w:gridCol w:w="835"/>
        <w:gridCol w:w="835"/>
        <w:gridCol w:w="835"/>
        <w:gridCol w:w="835"/>
        <w:gridCol w:w="981"/>
      </w:tblGrid>
      <w:tr w:rsidR="0045691F" w:rsidRPr="00F83346">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Odobritve za digitalno in IT področje SKUPAJ</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45691F" w:rsidRPr="00F83346" w:rsidRDefault="0045691F">
            <w:pPr>
              <w:spacing w:before="0" w:after="0"/>
              <w:jc w:val="center"/>
              <w:rPr>
                <w:noProof/>
                <w:color w:val="000000" w:themeColor="text1"/>
                <w:sz w:val="18"/>
                <w:szCs w:val="18"/>
              </w:rPr>
            </w:pPr>
            <w:r w:rsidRPr="00F83346">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45691F" w:rsidRPr="00F83346" w:rsidRDefault="0045691F">
            <w:pPr>
              <w:spacing w:before="0" w:after="0"/>
              <w:jc w:val="center"/>
              <w:rPr>
                <w:noProof/>
                <w:color w:val="000000" w:themeColor="text1"/>
                <w:sz w:val="18"/>
                <w:szCs w:val="18"/>
              </w:rPr>
            </w:pPr>
            <w:r w:rsidRPr="00F83346">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45691F" w:rsidRPr="00F83346" w:rsidRDefault="0045691F">
            <w:pPr>
              <w:spacing w:before="0" w:after="0"/>
              <w:jc w:val="center"/>
              <w:rPr>
                <w:noProof/>
                <w:color w:val="000000" w:themeColor="text1"/>
                <w:sz w:val="18"/>
                <w:szCs w:val="18"/>
              </w:rPr>
            </w:pPr>
            <w:r w:rsidRPr="00F83346">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45691F" w:rsidRPr="00F83346" w:rsidRDefault="0045691F">
            <w:pPr>
              <w:spacing w:before="0" w:after="0"/>
              <w:jc w:val="center"/>
              <w:rPr>
                <w:noProof/>
                <w:color w:val="000000" w:themeColor="text1"/>
                <w:sz w:val="18"/>
                <w:szCs w:val="18"/>
              </w:rPr>
            </w:pPr>
            <w:r w:rsidRPr="00F83346">
              <w:rPr>
                <w:noProof/>
                <w:color w:val="000000" w:themeColor="text1"/>
                <w:sz w:val="18"/>
              </w:rPr>
              <w:t>Leto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VFO 2021–2027 SKUPAJ</w:t>
            </w:r>
          </w:p>
        </w:tc>
      </w:tr>
      <w:tr w:rsidR="0045691F" w:rsidRPr="00F83346">
        <w:trPr>
          <w:trHeight w:val="525"/>
        </w:trPr>
        <w:tc>
          <w:tcPr>
            <w:tcW w:w="3214" w:type="dxa"/>
            <w:vMerge/>
            <w:tcBorders>
              <w:top w:val="single" w:sz="8" w:space="0" w:color="auto"/>
              <w:left w:val="single" w:sz="4" w:space="0" w:color="auto"/>
              <w:right w:val="single" w:sz="4" w:space="0" w:color="auto"/>
            </w:tcBorders>
            <w:vAlign w:val="center"/>
          </w:tcPr>
          <w:p w:rsidR="0045691F" w:rsidRPr="00F83346" w:rsidRDefault="0045691F">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8"/>
                <w:szCs w:val="18"/>
              </w:rPr>
            </w:pPr>
            <w:r w:rsidRPr="00F83346">
              <w:rPr>
                <w:b/>
                <w:noProof/>
                <w:color w:val="000000" w:themeColor="text1"/>
                <w:sz w:val="18"/>
              </w:rPr>
              <w:t>2027</w:t>
            </w:r>
          </w:p>
        </w:tc>
        <w:tc>
          <w:tcPr>
            <w:tcW w:w="981" w:type="dxa"/>
            <w:vMerge/>
            <w:tcBorders>
              <w:bottom w:val="single" w:sz="4" w:space="0" w:color="auto"/>
              <w:right w:val="single" w:sz="4" w:space="0" w:color="auto"/>
            </w:tcBorders>
            <w:vAlign w:val="center"/>
          </w:tcPr>
          <w:p w:rsidR="0045691F" w:rsidRPr="00F83346" w:rsidRDefault="0045691F">
            <w:pPr>
              <w:rPr>
                <w:noProof/>
              </w:rPr>
            </w:pPr>
          </w:p>
        </w:tc>
      </w:tr>
      <w:tr w:rsidR="0045691F" w:rsidRPr="00F83346">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left"/>
              <w:rPr>
                <w:b/>
                <w:bCs/>
                <w:noProof/>
                <w:sz w:val="16"/>
                <w:szCs w:val="16"/>
              </w:rPr>
            </w:pPr>
            <w:r w:rsidRPr="00F83346">
              <w:rPr>
                <w:b/>
                <w:noProof/>
                <w:sz w:val="16"/>
              </w:rPr>
              <w:t>RAZDELEK 7</w:t>
            </w:r>
          </w:p>
        </w:tc>
      </w:tr>
      <w:tr w:rsidR="0045691F" w:rsidRPr="00F83346">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left"/>
              <w:rPr>
                <w:noProof/>
                <w:color w:val="000000" w:themeColor="text1"/>
                <w:sz w:val="16"/>
                <w:szCs w:val="16"/>
              </w:rPr>
            </w:pPr>
            <w:r w:rsidRPr="00F83346">
              <w:rPr>
                <w:rFonts w:ascii="Arial Narrow" w:hAnsi="Arial Narrow"/>
                <w:noProof/>
                <w:color w:val="000000" w:themeColor="text1"/>
                <w:sz w:val="20"/>
              </w:rPr>
              <w:t>Odhodki za IT (na ravni organizacije)</w:t>
            </w:r>
            <w:r w:rsidRPr="00F83346">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r>
      <w:tr w:rsidR="0045691F" w:rsidRPr="00F83346">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45691F" w:rsidRPr="00F83346" w:rsidRDefault="0045691F">
            <w:pPr>
              <w:spacing w:before="0" w:after="0"/>
              <w:jc w:val="center"/>
              <w:rPr>
                <w:b/>
                <w:bCs/>
                <w:noProof/>
                <w:color w:val="000000" w:themeColor="text1"/>
                <w:sz w:val="16"/>
                <w:szCs w:val="16"/>
              </w:rPr>
            </w:pPr>
            <w:r w:rsidRPr="00F83346">
              <w:rPr>
                <w:b/>
                <w:noProof/>
                <w:color w:val="000000" w:themeColor="text1"/>
                <w:sz w:val="16"/>
              </w:rPr>
              <w:t>Seštevek za RAZDELEK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r>
      <w:tr w:rsidR="0045691F" w:rsidRPr="00F83346">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left"/>
              <w:rPr>
                <w:b/>
                <w:bCs/>
                <w:noProof/>
                <w:sz w:val="16"/>
                <w:szCs w:val="16"/>
              </w:rPr>
            </w:pPr>
            <w:r w:rsidRPr="00F83346">
              <w:rPr>
                <w:b/>
                <w:noProof/>
                <w:sz w:val="16"/>
              </w:rPr>
              <w:t>Odobritve zunaj RAZDELKA 7</w:t>
            </w:r>
          </w:p>
        </w:tc>
      </w:tr>
      <w:tr w:rsidR="0045691F" w:rsidRPr="00F83346">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left"/>
              <w:rPr>
                <w:rFonts w:ascii="Arial Narrow" w:eastAsia="Arial Narrow" w:hAnsi="Arial Narrow" w:cs="Arial Narrow"/>
                <w:noProof/>
                <w:color w:val="000000" w:themeColor="text1"/>
                <w:sz w:val="20"/>
                <w:szCs w:val="20"/>
              </w:rPr>
            </w:pPr>
            <w:r w:rsidRPr="00F83346">
              <w:rPr>
                <w:rFonts w:ascii="Arial Narrow" w:hAnsi="Arial Narrow"/>
                <w:noProof/>
                <w:color w:val="000000" w:themeColor="text1"/>
                <w:sz w:val="20"/>
              </w:rPr>
              <w:t>Odhodki za IT za operativne programe (v okviru politik)</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noProof/>
                <w:color w:val="000000" w:themeColor="text1"/>
                <w:sz w:val="16"/>
                <w:szCs w:val="16"/>
              </w:rPr>
            </w:pPr>
            <w:r w:rsidRPr="00F83346">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r>
      <w:tr w:rsidR="0045691F" w:rsidRPr="00F83346">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45691F" w:rsidRPr="00F83346" w:rsidRDefault="0045691F">
            <w:pPr>
              <w:spacing w:before="0" w:after="0"/>
              <w:jc w:val="center"/>
              <w:rPr>
                <w:b/>
                <w:bCs/>
                <w:noProof/>
                <w:color w:val="000000" w:themeColor="text1"/>
                <w:sz w:val="16"/>
                <w:szCs w:val="16"/>
              </w:rPr>
            </w:pPr>
            <w:r w:rsidRPr="00F83346">
              <w:rPr>
                <w:b/>
                <w:noProof/>
                <w:color w:val="000000" w:themeColor="text1"/>
                <w:sz w:val="16"/>
              </w:rPr>
              <w:t>Seštevek za odobritve zunaj RAZDELKA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r>
      <w:tr w:rsidR="0045691F" w:rsidRPr="00F83346">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5691F" w:rsidRPr="00F83346" w:rsidRDefault="0045691F">
            <w:pPr>
              <w:spacing w:before="0" w:after="0"/>
              <w:jc w:val="center"/>
              <w:rPr>
                <w:noProof/>
                <w:color w:val="000000" w:themeColor="text1"/>
                <w:sz w:val="16"/>
                <w:szCs w:val="16"/>
              </w:rPr>
            </w:pPr>
          </w:p>
        </w:tc>
      </w:tr>
      <w:tr w:rsidR="0045691F" w:rsidRPr="00F83346">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45691F" w:rsidRPr="00F83346" w:rsidRDefault="0045691F">
            <w:pPr>
              <w:spacing w:before="0" w:after="0"/>
              <w:jc w:val="center"/>
              <w:rPr>
                <w:b/>
                <w:bCs/>
                <w:noProof/>
                <w:color w:val="000000" w:themeColor="text1"/>
                <w:sz w:val="16"/>
                <w:szCs w:val="16"/>
              </w:rPr>
            </w:pPr>
            <w:r w:rsidRPr="00F83346">
              <w:rPr>
                <w:b/>
                <w:noProof/>
                <w:color w:val="000000" w:themeColor="text1"/>
                <w:sz w:val="16"/>
              </w:rPr>
              <w:t>SKUPAJ</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45691F" w:rsidRPr="00F83346" w:rsidRDefault="0045691F">
            <w:pPr>
              <w:spacing w:before="0" w:after="0"/>
              <w:jc w:val="right"/>
              <w:rPr>
                <w:b/>
                <w:bCs/>
                <w:noProof/>
                <w:color w:val="000000" w:themeColor="text1"/>
                <w:sz w:val="16"/>
                <w:szCs w:val="16"/>
              </w:rPr>
            </w:pPr>
            <w:r w:rsidRPr="00F83346">
              <w:rPr>
                <w:b/>
                <w:noProof/>
                <w:color w:val="000000" w:themeColor="text1"/>
                <w:sz w:val="16"/>
              </w:rPr>
              <w:t>0,000</w:t>
            </w:r>
          </w:p>
        </w:tc>
      </w:tr>
    </w:tbl>
    <w:p w:rsidR="0045691F" w:rsidRPr="00F83346" w:rsidRDefault="0045691F">
      <w:pPr>
        <w:pStyle w:val="ManualHeading3"/>
        <w:rPr>
          <w:noProof/>
        </w:rPr>
      </w:pPr>
      <w:bookmarkStart w:id="173" w:name="_Toc514938056"/>
      <w:bookmarkStart w:id="174" w:name="_Toc520485055"/>
      <w:bookmarkStart w:id="175" w:name="_Toc160804599"/>
      <w:bookmarkStart w:id="176" w:name="_Toc167220298"/>
      <w:bookmarkStart w:id="177" w:name="_Toc177549032"/>
      <w:bookmarkEnd w:id="171"/>
      <w:r w:rsidRPr="00F83346">
        <w:rPr>
          <w:noProof/>
        </w:rPr>
        <w:t>3.2.6</w:t>
      </w:r>
      <w:r w:rsidRPr="00F83346">
        <w:rPr>
          <w:noProof/>
        </w:rPr>
        <w:tab/>
        <w:t>Skladnost z veljavnim večletnim finančnim okvirom</w:t>
      </w:r>
      <w:bookmarkEnd w:id="173"/>
      <w:bookmarkEnd w:id="174"/>
      <w:bookmarkEnd w:id="175"/>
      <w:bookmarkEnd w:id="176"/>
      <w:bookmarkEnd w:id="177"/>
      <w:r w:rsidRPr="00F83346">
        <w:rPr>
          <w:noProof/>
        </w:rPr>
        <w:t xml:space="preserve"> </w:t>
      </w:r>
    </w:p>
    <w:p w:rsidR="0045691F" w:rsidRPr="00F83346" w:rsidRDefault="0045691F">
      <w:pPr>
        <w:pStyle w:val="Text1"/>
        <w:rPr>
          <w:noProof/>
        </w:rPr>
      </w:pPr>
      <w:r w:rsidRPr="00F83346">
        <w:rPr>
          <w:noProof/>
        </w:rPr>
        <w:t>Predlog/pobuda:</w:t>
      </w:r>
    </w:p>
    <w:p w:rsidR="0045691F" w:rsidRPr="00F83346" w:rsidRDefault="0045691F">
      <w:pPr>
        <w:pStyle w:val="ListDash1"/>
        <w:rPr>
          <w:noProof/>
        </w:rPr>
      </w:pPr>
      <w:r w:rsidRPr="00F83346">
        <w:rPr>
          <w:rFonts w:ascii="Wingdings" w:hAnsi="Wingdings"/>
          <w:noProof/>
        </w:rPr>
        <w:t></w:t>
      </w:r>
      <w:r w:rsidRPr="00F83346">
        <w:rPr>
          <w:noProof/>
        </w:rPr>
        <w:tab/>
        <w:t>se lahko v celoti financira s prerazporeditvijo znotraj zadevnega razdelka večletnega finančnega okvira</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ListDash1"/>
        <w:rPr>
          <w:noProof/>
        </w:rPr>
      </w:pPr>
      <w:r w:rsidRPr="00F83346">
        <w:rPr>
          <w:rFonts w:ascii="Wingdings" w:hAnsi="Wingdings"/>
          <w:noProof/>
        </w:rPr>
        <w:t></w:t>
      </w:r>
      <w:r w:rsidRPr="00F83346">
        <w:rPr>
          <w:noProof/>
        </w:rPr>
        <w:tab/>
        <w:t>zahteva uporabo nedodeljene razlike do zgornje meje v zadevnem razdelku večletnega finančnega okvira in/ali uporabo posebnih instrumentov, kot so opredeljeni v uredbi o večletnem finančnem okviru</w:t>
      </w:r>
    </w:p>
    <w:p w:rsidR="0045691F" w:rsidRPr="00F83346" w:rsidRDefault="002A1380">
      <w:pPr>
        <w:pStyle w:val="Text1"/>
        <w:pBdr>
          <w:top w:val="single" w:sz="4" w:space="0"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ListDash1"/>
        <w:rPr>
          <w:noProof/>
        </w:rPr>
      </w:pPr>
      <w:r w:rsidRPr="00F83346">
        <w:rPr>
          <w:rFonts w:ascii="Wingdings" w:hAnsi="Wingdings"/>
          <w:noProof/>
        </w:rPr>
        <w:t></w:t>
      </w:r>
      <w:r w:rsidRPr="00F83346">
        <w:rPr>
          <w:noProof/>
        </w:rPr>
        <w:tab/>
        <w:t>zahteva spremembo večletnega finančnega okvira</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ManualHeading3"/>
        <w:rPr>
          <w:noProof/>
        </w:rPr>
      </w:pPr>
      <w:bookmarkStart w:id="178" w:name="_Toc514938058"/>
      <w:bookmarkStart w:id="179" w:name="_Toc520485056"/>
      <w:bookmarkStart w:id="180" w:name="_Toc160804600"/>
      <w:bookmarkStart w:id="181" w:name="_Toc167220299"/>
      <w:bookmarkStart w:id="182" w:name="_Toc177549033"/>
      <w:r w:rsidRPr="00F83346">
        <w:rPr>
          <w:noProof/>
        </w:rPr>
        <w:t>3.2.7</w:t>
      </w:r>
      <w:r w:rsidRPr="00F83346">
        <w:rPr>
          <w:noProof/>
        </w:rPr>
        <w:tab/>
        <w:t>Udeležba tretjih oseb pri financiranju</w:t>
      </w:r>
      <w:bookmarkEnd w:id="178"/>
      <w:bookmarkEnd w:id="179"/>
      <w:bookmarkEnd w:id="180"/>
      <w:bookmarkEnd w:id="181"/>
      <w:bookmarkEnd w:id="182"/>
      <w:r w:rsidRPr="00F83346">
        <w:rPr>
          <w:noProof/>
        </w:rPr>
        <w:t xml:space="preserve"> </w:t>
      </w:r>
    </w:p>
    <w:p w:rsidR="0045691F" w:rsidRPr="00F83346" w:rsidRDefault="0045691F">
      <w:pPr>
        <w:pStyle w:val="Text1"/>
        <w:rPr>
          <w:noProof/>
        </w:rPr>
      </w:pPr>
      <w:r w:rsidRPr="00F83346">
        <w:rPr>
          <w:noProof/>
        </w:rPr>
        <w:t>V predlogu/pobudi:</w:t>
      </w:r>
    </w:p>
    <w:p w:rsidR="0045691F" w:rsidRPr="00F83346" w:rsidRDefault="00C6389E">
      <w:pPr>
        <w:pStyle w:val="ListDash1"/>
        <w:rPr>
          <w:noProof/>
        </w:rPr>
      </w:pPr>
      <w:r w:rsidRPr="00F83346">
        <w:rPr>
          <w:rFonts w:ascii="Wingdings" w:hAnsi="Wingdings"/>
          <w:noProof/>
        </w:rPr>
        <w:t></w:t>
      </w:r>
      <w:r w:rsidRPr="00F83346">
        <w:rPr>
          <w:noProof/>
        </w:rPr>
        <w:tab/>
        <w:t>ni načrtovano sofinanciranje tretjih oseb</w:t>
      </w:r>
    </w:p>
    <w:p w:rsidR="0045691F" w:rsidRPr="00F83346" w:rsidRDefault="0045691F">
      <w:pPr>
        <w:pStyle w:val="ListDash1"/>
        <w:rPr>
          <w:noProof/>
        </w:rPr>
      </w:pPr>
      <w:r w:rsidRPr="00F83346">
        <w:rPr>
          <w:rFonts w:ascii="Wingdings" w:hAnsi="Wingdings"/>
          <w:noProof/>
        </w:rPr>
        <w:t></w:t>
      </w:r>
      <w:r w:rsidRPr="00F83346">
        <w:rPr>
          <w:noProof/>
        </w:rPr>
        <w:tab/>
        <w:t>je načrtovano sofinanciranje tretjih oseb, kot je ocenjeno v nadaljevanju:</w:t>
      </w:r>
    </w:p>
    <w:p w:rsidR="0045691F" w:rsidRPr="00F83346" w:rsidRDefault="0045691F">
      <w:pPr>
        <w:jc w:val="right"/>
        <w:rPr>
          <w:noProof/>
          <w:sz w:val="20"/>
        </w:rPr>
      </w:pPr>
      <w:r w:rsidRPr="00F83346">
        <w:rPr>
          <w:noProof/>
          <w:sz w:val="20"/>
        </w:rPr>
        <w:t>odobritve v mio. EUR (na tri decimalna mesta natančno)</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45691F" w:rsidRPr="00F83346">
        <w:trPr>
          <w:cantSplit/>
        </w:trPr>
        <w:tc>
          <w:tcPr>
            <w:tcW w:w="1591" w:type="pct"/>
          </w:tcPr>
          <w:p w:rsidR="0045691F" w:rsidRPr="00F83346" w:rsidRDefault="0045691F">
            <w:pPr>
              <w:spacing w:before="60" w:after="60"/>
              <w:rPr>
                <w:noProof/>
                <w:sz w:val="20"/>
              </w:rPr>
            </w:pPr>
          </w:p>
        </w:tc>
        <w:tc>
          <w:tcPr>
            <w:tcW w:w="655" w:type="pct"/>
            <w:vAlign w:val="center"/>
          </w:tcPr>
          <w:p w:rsidR="0045691F" w:rsidRPr="00F83346" w:rsidRDefault="0045691F">
            <w:pPr>
              <w:jc w:val="center"/>
              <w:rPr>
                <w:noProof/>
                <w:sz w:val="20"/>
              </w:rPr>
            </w:pPr>
            <w:r w:rsidRPr="00F83346">
              <w:rPr>
                <w:noProof/>
                <w:sz w:val="20"/>
              </w:rPr>
              <w:t>Leto</w:t>
            </w:r>
            <w:r w:rsidRPr="00F83346">
              <w:rPr>
                <w:noProof/>
                <w:sz w:val="22"/>
              </w:rPr>
              <w:br/>
            </w:r>
            <w:r w:rsidRPr="00F83346">
              <w:rPr>
                <w:b/>
                <w:noProof/>
                <w:sz w:val="20"/>
              </w:rPr>
              <w:t>2024</w:t>
            </w:r>
          </w:p>
        </w:tc>
        <w:tc>
          <w:tcPr>
            <w:tcW w:w="655" w:type="pct"/>
            <w:vAlign w:val="center"/>
          </w:tcPr>
          <w:p w:rsidR="0045691F" w:rsidRPr="00F83346" w:rsidRDefault="0045691F">
            <w:pPr>
              <w:jc w:val="center"/>
              <w:rPr>
                <w:noProof/>
                <w:sz w:val="20"/>
              </w:rPr>
            </w:pPr>
            <w:r w:rsidRPr="00F83346">
              <w:rPr>
                <w:noProof/>
                <w:sz w:val="20"/>
              </w:rPr>
              <w:t>Leto</w:t>
            </w:r>
            <w:r w:rsidRPr="00F83346">
              <w:rPr>
                <w:noProof/>
                <w:sz w:val="22"/>
              </w:rPr>
              <w:br/>
            </w:r>
            <w:r w:rsidRPr="00F83346">
              <w:rPr>
                <w:b/>
                <w:noProof/>
                <w:sz w:val="20"/>
              </w:rPr>
              <w:t>2025</w:t>
            </w:r>
          </w:p>
        </w:tc>
        <w:tc>
          <w:tcPr>
            <w:tcW w:w="655" w:type="pct"/>
            <w:vAlign w:val="center"/>
          </w:tcPr>
          <w:p w:rsidR="0045691F" w:rsidRPr="00F83346" w:rsidRDefault="0045691F">
            <w:pPr>
              <w:jc w:val="center"/>
              <w:rPr>
                <w:noProof/>
                <w:sz w:val="20"/>
              </w:rPr>
            </w:pPr>
            <w:r w:rsidRPr="00F83346">
              <w:rPr>
                <w:noProof/>
                <w:sz w:val="20"/>
              </w:rPr>
              <w:t>Leto</w:t>
            </w:r>
            <w:r w:rsidRPr="00F83346">
              <w:rPr>
                <w:noProof/>
                <w:sz w:val="22"/>
              </w:rPr>
              <w:br/>
            </w:r>
            <w:r w:rsidRPr="00F83346">
              <w:rPr>
                <w:b/>
                <w:noProof/>
                <w:sz w:val="20"/>
              </w:rPr>
              <w:t>2026</w:t>
            </w:r>
          </w:p>
        </w:tc>
        <w:tc>
          <w:tcPr>
            <w:tcW w:w="655" w:type="pct"/>
            <w:vAlign w:val="center"/>
          </w:tcPr>
          <w:p w:rsidR="0045691F" w:rsidRPr="00F83346" w:rsidRDefault="0045691F">
            <w:pPr>
              <w:jc w:val="center"/>
              <w:rPr>
                <w:noProof/>
                <w:sz w:val="20"/>
              </w:rPr>
            </w:pPr>
            <w:r w:rsidRPr="00F83346">
              <w:rPr>
                <w:noProof/>
                <w:sz w:val="20"/>
              </w:rPr>
              <w:t>Leto</w:t>
            </w:r>
            <w:r w:rsidRPr="00F83346">
              <w:rPr>
                <w:noProof/>
                <w:sz w:val="22"/>
              </w:rPr>
              <w:br/>
            </w:r>
            <w:r w:rsidRPr="00F83346">
              <w:rPr>
                <w:b/>
                <w:noProof/>
                <w:sz w:val="20"/>
              </w:rPr>
              <w:t>2027</w:t>
            </w:r>
          </w:p>
        </w:tc>
        <w:tc>
          <w:tcPr>
            <w:tcW w:w="787" w:type="pct"/>
            <w:vAlign w:val="center"/>
          </w:tcPr>
          <w:p w:rsidR="0045691F" w:rsidRPr="00F83346" w:rsidRDefault="0045691F">
            <w:pPr>
              <w:spacing w:before="60" w:after="60"/>
              <w:jc w:val="center"/>
              <w:rPr>
                <w:noProof/>
                <w:sz w:val="20"/>
              </w:rPr>
            </w:pPr>
            <w:r w:rsidRPr="00F83346">
              <w:rPr>
                <w:noProof/>
                <w:sz w:val="20"/>
              </w:rPr>
              <w:t>Skupaj</w:t>
            </w:r>
          </w:p>
        </w:tc>
      </w:tr>
      <w:tr w:rsidR="0045691F" w:rsidRPr="00F83346">
        <w:trPr>
          <w:cantSplit/>
        </w:trPr>
        <w:tc>
          <w:tcPr>
            <w:tcW w:w="1591" w:type="pct"/>
          </w:tcPr>
          <w:p w:rsidR="0045691F" w:rsidRPr="00F83346" w:rsidRDefault="0045691F">
            <w:pPr>
              <w:rPr>
                <w:noProof/>
              </w:rPr>
            </w:pPr>
            <w:r w:rsidRPr="00F83346">
              <w:rPr>
                <w:noProof/>
                <w:sz w:val="20"/>
              </w:rPr>
              <w:t>Navedite organ, ki bo sofinanciral predlog/pobudo</w:t>
            </w:r>
            <w:r w:rsidRPr="00F83346">
              <w:rPr>
                <w:i/>
                <w:noProof/>
                <w:sz w:val="20"/>
              </w:rPr>
              <w:t xml:space="preserve"> </w:t>
            </w: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787" w:type="pct"/>
            <w:vAlign w:val="center"/>
          </w:tcPr>
          <w:p w:rsidR="0045691F" w:rsidRPr="00F83346" w:rsidRDefault="0045691F">
            <w:pPr>
              <w:spacing w:before="60" w:after="60"/>
              <w:jc w:val="center"/>
              <w:rPr>
                <w:noProof/>
                <w:sz w:val="20"/>
              </w:rPr>
            </w:pPr>
          </w:p>
        </w:tc>
      </w:tr>
      <w:tr w:rsidR="0045691F" w:rsidRPr="00F83346">
        <w:trPr>
          <w:cantSplit/>
        </w:trPr>
        <w:tc>
          <w:tcPr>
            <w:tcW w:w="1591" w:type="pct"/>
          </w:tcPr>
          <w:p w:rsidR="0045691F" w:rsidRPr="00F83346" w:rsidRDefault="0045691F">
            <w:pPr>
              <w:spacing w:before="60" w:after="60"/>
              <w:jc w:val="left"/>
              <w:rPr>
                <w:noProof/>
                <w:sz w:val="20"/>
              </w:rPr>
            </w:pPr>
            <w:r w:rsidRPr="00F83346">
              <w:rPr>
                <w:noProof/>
                <w:sz w:val="20"/>
              </w:rPr>
              <w:t xml:space="preserve">Sofinancirane odobritve SKUPAJ </w:t>
            </w: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655" w:type="pct"/>
            <w:vAlign w:val="center"/>
          </w:tcPr>
          <w:p w:rsidR="0045691F" w:rsidRPr="00F83346" w:rsidRDefault="0045691F">
            <w:pPr>
              <w:spacing w:before="60" w:after="60"/>
              <w:jc w:val="center"/>
              <w:rPr>
                <w:noProof/>
                <w:sz w:val="20"/>
              </w:rPr>
            </w:pPr>
          </w:p>
        </w:tc>
        <w:tc>
          <w:tcPr>
            <w:tcW w:w="787" w:type="pct"/>
            <w:vAlign w:val="center"/>
          </w:tcPr>
          <w:p w:rsidR="0045691F" w:rsidRPr="00F83346" w:rsidRDefault="0045691F">
            <w:pPr>
              <w:spacing w:before="60" w:after="60"/>
              <w:jc w:val="center"/>
              <w:rPr>
                <w:noProof/>
                <w:sz w:val="20"/>
              </w:rPr>
            </w:pPr>
          </w:p>
        </w:tc>
      </w:tr>
    </w:tbl>
    <w:p w:rsidR="0045691F" w:rsidRPr="00F83346" w:rsidRDefault="0045691F">
      <w:pPr>
        <w:outlineLvl w:val="1"/>
        <w:rPr>
          <w:noProof/>
          <w:szCs w:val="24"/>
        </w:rPr>
      </w:pPr>
      <w:r w:rsidRPr="00F83346">
        <w:rPr>
          <w:noProof/>
        </w:rPr>
        <w:br/>
      </w:r>
      <w:bookmarkStart w:id="183" w:name="_Toc514938059"/>
      <w:bookmarkStart w:id="184" w:name="_Toc520485057"/>
      <w:bookmarkStart w:id="185" w:name="_Toc160804602"/>
      <w:bookmarkStart w:id="186" w:name="_Toc167220300"/>
      <w:bookmarkStart w:id="187" w:name="_Toc177549034"/>
      <w:bookmarkStart w:id="188" w:name="_Hlk166860179"/>
      <w:r w:rsidRPr="00F83346">
        <w:rPr>
          <w:noProof/>
        </w:rPr>
        <w:t>3.3</w:t>
      </w:r>
      <w:r w:rsidRPr="00F83346">
        <w:rPr>
          <w:noProof/>
        </w:rPr>
        <w:tab/>
        <w:t>Ocenjene posledice za prihodke</w:t>
      </w:r>
      <w:bookmarkEnd w:id="183"/>
      <w:bookmarkEnd w:id="184"/>
      <w:bookmarkEnd w:id="185"/>
      <w:bookmarkEnd w:id="186"/>
      <w:bookmarkEnd w:id="187"/>
      <w:r w:rsidRPr="00F83346">
        <w:rPr>
          <w:noProof/>
        </w:rPr>
        <w:t xml:space="preserve"> </w:t>
      </w:r>
    </w:p>
    <w:bookmarkEnd w:id="188"/>
    <w:p w:rsidR="0045691F" w:rsidRPr="00F83346" w:rsidRDefault="00C6389E">
      <w:pPr>
        <w:pStyle w:val="ListDash1"/>
        <w:rPr>
          <w:noProof/>
        </w:rPr>
      </w:pPr>
      <w:r w:rsidRPr="00F83346">
        <w:rPr>
          <w:rFonts w:ascii="Wingdings" w:hAnsi="Wingdings"/>
          <w:noProof/>
        </w:rPr>
        <w:t></w:t>
      </w:r>
      <w:r w:rsidRPr="00F83346">
        <w:rPr>
          <w:noProof/>
        </w:rPr>
        <w:tab/>
        <w:t>Predlog/pobuda nima finančnih posledic za prihodke.</w:t>
      </w:r>
    </w:p>
    <w:p w:rsidR="0045691F" w:rsidRPr="00F83346" w:rsidRDefault="0045691F">
      <w:pPr>
        <w:pStyle w:val="ListDash1"/>
        <w:rPr>
          <w:noProof/>
        </w:rPr>
      </w:pPr>
      <w:r w:rsidRPr="00F83346">
        <w:rPr>
          <w:rFonts w:ascii="Wingdings" w:hAnsi="Wingdings"/>
          <w:noProof/>
        </w:rPr>
        <w:t></w:t>
      </w:r>
      <w:r w:rsidRPr="00F83346">
        <w:rPr>
          <w:noProof/>
        </w:rPr>
        <w:tab/>
        <w:t>Predlog/pobuda ima finančne posledice, kot je pojasnjeno v nadaljevanju:</w:t>
      </w:r>
    </w:p>
    <w:p w:rsidR="0045691F" w:rsidRPr="00F83346" w:rsidRDefault="0045691F" w:rsidP="0045691F">
      <w:pPr>
        <w:pStyle w:val="ListNumberLevel3"/>
        <w:rPr>
          <w:noProof/>
        </w:rPr>
      </w:pPr>
      <w:r w:rsidRPr="00F83346">
        <w:rPr>
          <w:rFonts w:ascii="Wingdings" w:hAnsi="Wingdings"/>
          <w:noProof/>
        </w:rPr>
        <w:t></w:t>
      </w:r>
      <w:r w:rsidRPr="00F83346">
        <w:rPr>
          <w:noProof/>
        </w:rPr>
        <w:tab/>
        <w:t xml:space="preserve">za lastna sredstva </w:t>
      </w:r>
    </w:p>
    <w:p w:rsidR="0045691F" w:rsidRPr="00F83346" w:rsidRDefault="0045691F" w:rsidP="0045691F">
      <w:pPr>
        <w:pStyle w:val="ListNumberLevel3"/>
        <w:rPr>
          <w:noProof/>
        </w:rPr>
      </w:pPr>
      <w:r w:rsidRPr="00F83346">
        <w:rPr>
          <w:rFonts w:ascii="Wingdings" w:hAnsi="Wingdings"/>
          <w:noProof/>
        </w:rPr>
        <w:t></w:t>
      </w:r>
      <w:r w:rsidRPr="00F83346">
        <w:rPr>
          <w:noProof/>
        </w:rPr>
        <w:tab/>
        <w:t>za druge prihodke</w:t>
      </w:r>
    </w:p>
    <w:p w:rsidR="0045691F" w:rsidRPr="00F83346" w:rsidRDefault="0045691F" w:rsidP="0045691F">
      <w:pPr>
        <w:pStyle w:val="ListNumberLevel3"/>
        <w:rPr>
          <w:noProof/>
        </w:rPr>
      </w:pPr>
      <w:r w:rsidRPr="00F83346">
        <w:rPr>
          <w:rFonts w:ascii="Wingdings" w:hAnsi="Wingdings"/>
          <w:noProof/>
        </w:rPr>
        <w:t></w:t>
      </w:r>
      <w:r w:rsidRPr="00F83346">
        <w:rPr>
          <w:rFonts w:ascii="Wingdings" w:hAnsi="Wingdings"/>
          <w:noProof/>
        </w:rPr>
        <w:tab/>
      </w:r>
      <w:r w:rsidRPr="00F83346">
        <w:rPr>
          <w:noProof/>
        </w:rPr>
        <w:t>Navedite, ali so prihodki dodeljeni za odhodkovne vrstice</w:t>
      </w:r>
    </w:p>
    <w:p w:rsidR="0045691F" w:rsidRPr="00F83346" w:rsidRDefault="0045691F">
      <w:pPr>
        <w:jc w:val="right"/>
        <w:rPr>
          <w:noProof/>
          <w:sz w:val="20"/>
        </w:rPr>
      </w:pPr>
      <w:r w:rsidRPr="00F83346">
        <w:rPr>
          <w:noProof/>
          <w:sz w:val="20"/>
        </w:rPr>
        <w:t>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45691F" w:rsidRPr="00F83346">
        <w:trPr>
          <w:trHeight w:val="388"/>
        </w:trPr>
        <w:tc>
          <w:tcPr>
            <w:tcW w:w="1423" w:type="pct"/>
            <w:vMerge w:val="restart"/>
            <w:vAlign w:val="center"/>
          </w:tcPr>
          <w:p w:rsidR="0045691F" w:rsidRPr="00F83346" w:rsidRDefault="0045691F">
            <w:pPr>
              <w:spacing w:before="40" w:after="40"/>
              <w:rPr>
                <w:noProof/>
                <w:sz w:val="18"/>
              </w:rPr>
            </w:pPr>
            <w:r w:rsidRPr="00F83346">
              <w:rPr>
                <w:noProof/>
                <w:sz w:val="18"/>
              </w:rPr>
              <w:t>Prihodkovna proračunska vrstica</w:t>
            </w:r>
          </w:p>
        </w:tc>
        <w:tc>
          <w:tcPr>
            <w:tcW w:w="869" w:type="pct"/>
            <w:vMerge w:val="restart"/>
            <w:vAlign w:val="center"/>
          </w:tcPr>
          <w:p w:rsidR="0045691F" w:rsidRPr="00F83346" w:rsidRDefault="0045691F">
            <w:pPr>
              <w:jc w:val="center"/>
              <w:rPr>
                <w:noProof/>
                <w:sz w:val="18"/>
              </w:rPr>
            </w:pPr>
            <w:r w:rsidRPr="00F83346">
              <w:rPr>
                <w:noProof/>
                <w:sz w:val="18"/>
              </w:rPr>
              <w:t>Odobritve na voljo za tekoče proračunsko leto</w:t>
            </w:r>
          </w:p>
        </w:tc>
        <w:tc>
          <w:tcPr>
            <w:tcW w:w="2709" w:type="pct"/>
            <w:gridSpan w:val="4"/>
            <w:vAlign w:val="center"/>
          </w:tcPr>
          <w:p w:rsidR="0045691F" w:rsidRPr="00F83346" w:rsidRDefault="0045691F">
            <w:pPr>
              <w:jc w:val="center"/>
              <w:rPr>
                <w:noProof/>
                <w:sz w:val="18"/>
              </w:rPr>
            </w:pPr>
            <w:r w:rsidRPr="00F83346">
              <w:rPr>
                <w:noProof/>
                <w:sz w:val="18"/>
              </w:rPr>
              <w:t>Posledice predloga/pobude</w:t>
            </w:r>
            <w:r w:rsidRPr="00F83346">
              <w:rPr>
                <w:rStyle w:val="FootnoteReference"/>
                <w:noProof/>
                <w:sz w:val="18"/>
                <w:szCs w:val="18"/>
              </w:rPr>
              <w:footnoteReference w:id="35"/>
            </w:r>
          </w:p>
        </w:tc>
      </w:tr>
      <w:tr w:rsidR="0045691F" w:rsidRPr="00F83346">
        <w:trPr>
          <w:trHeight w:val="388"/>
        </w:trPr>
        <w:tc>
          <w:tcPr>
            <w:tcW w:w="1423" w:type="pct"/>
            <w:vMerge/>
          </w:tcPr>
          <w:p w:rsidR="0045691F" w:rsidRPr="00F83346" w:rsidRDefault="0045691F">
            <w:pPr>
              <w:spacing w:before="40" w:after="40"/>
              <w:rPr>
                <w:noProof/>
                <w:sz w:val="18"/>
              </w:rPr>
            </w:pPr>
          </w:p>
        </w:tc>
        <w:tc>
          <w:tcPr>
            <w:tcW w:w="869" w:type="pct"/>
            <w:vMerge/>
          </w:tcPr>
          <w:p w:rsidR="0045691F" w:rsidRPr="00F83346" w:rsidRDefault="0045691F">
            <w:pPr>
              <w:spacing w:beforeLines="40" w:before="96" w:afterLines="40" w:after="96"/>
              <w:rPr>
                <w:i/>
                <w:noProof/>
                <w:sz w:val="18"/>
              </w:rPr>
            </w:pPr>
          </w:p>
        </w:tc>
        <w:tc>
          <w:tcPr>
            <w:tcW w:w="911" w:type="pct"/>
            <w:vAlign w:val="center"/>
          </w:tcPr>
          <w:p w:rsidR="0045691F" w:rsidRPr="00F83346" w:rsidRDefault="0045691F">
            <w:pPr>
              <w:jc w:val="center"/>
              <w:rPr>
                <w:noProof/>
                <w:sz w:val="18"/>
              </w:rPr>
            </w:pPr>
            <w:r w:rsidRPr="00F83346">
              <w:rPr>
                <w:noProof/>
                <w:sz w:val="18"/>
              </w:rPr>
              <w:t xml:space="preserve">leto </w:t>
            </w:r>
            <w:r w:rsidRPr="00F83346">
              <w:rPr>
                <w:b/>
                <w:noProof/>
                <w:sz w:val="18"/>
              </w:rPr>
              <w:t>2024</w:t>
            </w:r>
          </w:p>
        </w:tc>
        <w:tc>
          <w:tcPr>
            <w:tcW w:w="562" w:type="pct"/>
            <w:vAlign w:val="center"/>
          </w:tcPr>
          <w:p w:rsidR="0045691F" w:rsidRPr="00F83346" w:rsidRDefault="0045691F">
            <w:pPr>
              <w:jc w:val="center"/>
              <w:rPr>
                <w:noProof/>
                <w:sz w:val="18"/>
              </w:rPr>
            </w:pPr>
            <w:r w:rsidRPr="00F83346">
              <w:rPr>
                <w:noProof/>
                <w:sz w:val="18"/>
              </w:rPr>
              <w:t xml:space="preserve">leto </w:t>
            </w:r>
            <w:r w:rsidRPr="00F83346">
              <w:rPr>
                <w:b/>
                <w:noProof/>
                <w:sz w:val="18"/>
              </w:rPr>
              <w:t>2025</w:t>
            </w:r>
          </w:p>
        </w:tc>
        <w:tc>
          <w:tcPr>
            <w:tcW w:w="557" w:type="pct"/>
            <w:vAlign w:val="center"/>
          </w:tcPr>
          <w:p w:rsidR="0045691F" w:rsidRPr="00F83346" w:rsidRDefault="0045691F">
            <w:pPr>
              <w:jc w:val="center"/>
              <w:rPr>
                <w:noProof/>
                <w:sz w:val="18"/>
              </w:rPr>
            </w:pPr>
            <w:r w:rsidRPr="00F83346">
              <w:rPr>
                <w:noProof/>
                <w:sz w:val="18"/>
              </w:rPr>
              <w:t xml:space="preserve">leto </w:t>
            </w:r>
            <w:r w:rsidRPr="00F83346">
              <w:rPr>
                <w:b/>
                <w:noProof/>
                <w:sz w:val="18"/>
              </w:rPr>
              <w:t>2026</w:t>
            </w:r>
          </w:p>
        </w:tc>
        <w:tc>
          <w:tcPr>
            <w:tcW w:w="679" w:type="pct"/>
            <w:vAlign w:val="center"/>
          </w:tcPr>
          <w:p w:rsidR="0045691F" w:rsidRPr="00F83346" w:rsidRDefault="0045691F">
            <w:pPr>
              <w:jc w:val="center"/>
              <w:rPr>
                <w:noProof/>
                <w:sz w:val="18"/>
              </w:rPr>
            </w:pPr>
            <w:r w:rsidRPr="00F83346">
              <w:rPr>
                <w:noProof/>
                <w:sz w:val="18"/>
              </w:rPr>
              <w:t xml:space="preserve">leto </w:t>
            </w:r>
            <w:r w:rsidRPr="00F83346">
              <w:rPr>
                <w:b/>
                <w:noProof/>
                <w:sz w:val="18"/>
              </w:rPr>
              <w:t>2027</w:t>
            </w:r>
          </w:p>
        </w:tc>
      </w:tr>
      <w:tr w:rsidR="0045691F" w:rsidRPr="00F83346">
        <w:trPr>
          <w:trHeight w:val="388"/>
        </w:trPr>
        <w:tc>
          <w:tcPr>
            <w:tcW w:w="1423" w:type="pct"/>
            <w:vAlign w:val="center"/>
          </w:tcPr>
          <w:p w:rsidR="0045691F" w:rsidRPr="00F83346" w:rsidRDefault="0045691F">
            <w:pPr>
              <w:spacing w:before="40" w:after="40"/>
              <w:rPr>
                <w:noProof/>
                <w:sz w:val="18"/>
              </w:rPr>
            </w:pPr>
            <w:r w:rsidRPr="00F83346">
              <w:rPr>
                <w:noProof/>
                <w:sz w:val="18"/>
              </w:rPr>
              <w:t>Člen ………….</w:t>
            </w:r>
          </w:p>
        </w:tc>
        <w:tc>
          <w:tcPr>
            <w:tcW w:w="869" w:type="pct"/>
          </w:tcPr>
          <w:p w:rsidR="0045691F" w:rsidRPr="00F83346" w:rsidRDefault="0045691F">
            <w:pPr>
              <w:spacing w:beforeLines="40" w:before="96" w:afterLines="40" w:after="96"/>
              <w:jc w:val="center"/>
              <w:rPr>
                <w:i/>
                <w:noProof/>
                <w:sz w:val="18"/>
              </w:rPr>
            </w:pPr>
          </w:p>
        </w:tc>
        <w:tc>
          <w:tcPr>
            <w:tcW w:w="911" w:type="pct"/>
          </w:tcPr>
          <w:p w:rsidR="0045691F" w:rsidRPr="00F83346" w:rsidRDefault="0045691F">
            <w:pPr>
              <w:spacing w:beforeLines="40" w:before="96" w:afterLines="40" w:after="96"/>
              <w:jc w:val="center"/>
              <w:rPr>
                <w:noProof/>
                <w:sz w:val="18"/>
              </w:rPr>
            </w:pPr>
          </w:p>
        </w:tc>
        <w:tc>
          <w:tcPr>
            <w:tcW w:w="562" w:type="pct"/>
          </w:tcPr>
          <w:p w:rsidR="0045691F" w:rsidRPr="00F83346" w:rsidRDefault="0045691F">
            <w:pPr>
              <w:spacing w:beforeLines="40" w:before="96" w:afterLines="40" w:after="96"/>
              <w:jc w:val="center"/>
              <w:rPr>
                <w:noProof/>
                <w:sz w:val="18"/>
              </w:rPr>
            </w:pPr>
          </w:p>
        </w:tc>
        <w:tc>
          <w:tcPr>
            <w:tcW w:w="557" w:type="pct"/>
          </w:tcPr>
          <w:p w:rsidR="0045691F" w:rsidRPr="00F83346" w:rsidRDefault="0045691F">
            <w:pPr>
              <w:spacing w:beforeLines="40" w:before="96" w:afterLines="40" w:after="96"/>
              <w:jc w:val="center"/>
              <w:rPr>
                <w:noProof/>
                <w:sz w:val="18"/>
              </w:rPr>
            </w:pPr>
          </w:p>
        </w:tc>
        <w:tc>
          <w:tcPr>
            <w:tcW w:w="679" w:type="pct"/>
          </w:tcPr>
          <w:p w:rsidR="0045691F" w:rsidRPr="00F83346" w:rsidRDefault="0045691F">
            <w:pPr>
              <w:spacing w:beforeLines="40" w:before="96" w:afterLines="40" w:after="96"/>
              <w:jc w:val="center"/>
              <w:rPr>
                <w:noProof/>
                <w:sz w:val="18"/>
              </w:rPr>
            </w:pPr>
          </w:p>
        </w:tc>
      </w:tr>
    </w:tbl>
    <w:p w:rsidR="0045691F" w:rsidRPr="00F83346" w:rsidRDefault="0045691F">
      <w:pPr>
        <w:pStyle w:val="Text1"/>
        <w:rPr>
          <w:noProof/>
          <w:szCs w:val="24"/>
        </w:rPr>
      </w:pPr>
      <w:r w:rsidRPr="00F83346">
        <w:rPr>
          <w:noProof/>
        </w:rPr>
        <w:t>Za namenske prejemke navedite zadevne odhodkovne proračunske vrstice.</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Text1"/>
        <w:rPr>
          <w:noProof/>
          <w:szCs w:val="24"/>
        </w:rPr>
      </w:pPr>
      <w:r w:rsidRPr="00F83346">
        <w:rPr>
          <w:noProof/>
        </w:rPr>
        <w:t>Druge opombe (npr. metoda/formula za izračun posledic za prihodke ali druge informacije).</w:t>
      </w:r>
    </w:p>
    <w:p w:rsidR="0045691F" w:rsidRPr="00F83346" w:rsidRDefault="002A1380">
      <w:pPr>
        <w:pStyle w:val="Text1"/>
        <w:pBdr>
          <w:top w:val="single" w:sz="4" w:space="1" w:color="auto"/>
          <w:left w:val="single" w:sz="4" w:space="4" w:color="auto"/>
          <w:bottom w:val="single" w:sz="4" w:space="1" w:color="auto"/>
          <w:right w:val="single" w:sz="4" w:space="4" w:color="auto"/>
        </w:pBdr>
        <w:rPr>
          <w:noProof/>
        </w:rPr>
      </w:pPr>
      <w:r w:rsidRPr="00F83346">
        <w:rPr>
          <w:noProof/>
        </w:rPr>
        <w:t>Se ne uporablja za ta predlog – ni proračunskih posledic.</w:t>
      </w:r>
    </w:p>
    <w:p w:rsidR="0045691F" w:rsidRPr="00F83346" w:rsidRDefault="0045691F">
      <w:pPr>
        <w:pStyle w:val="ManualHeading1"/>
        <w:rPr>
          <w:caps/>
          <w:noProof/>
        </w:rPr>
      </w:pPr>
      <w:bookmarkStart w:id="189" w:name="_Toc167220301"/>
      <w:bookmarkStart w:id="190" w:name="_Toc177549035"/>
      <w:r w:rsidRPr="00F83346">
        <w:rPr>
          <w:noProof/>
        </w:rPr>
        <w:t>4.</w:t>
      </w:r>
      <w:r w:rsidRPr="00F83346">
        <w:rPr>
          <w:noProof/>
        </w:rPr>
        <w:tab/>
      </w:r>
      <w:bookmarkStart w:id="191" w:name="_Hlk167692977"/>
      <w:r w:rsidRPr="00F83346">
        <w:rPr>
          <w:caps/>
          <w:noProof/>
        </w:rPr>
        <w:t>Digitalne razsežnosti</w:t>
      </w:r>
      <w:bookmarkEnd w:id="189"/>
      <w:bookmarkEnd w:id="190"/>
    </w:p>
    <w:p w:rsidR="0045691F" w:rsidRPr="00F83346" w:rsidRDefault="0045691F">
      <w:pPr>
        <w:pStyle w:val="ManualHeading2"/>
        <w:rPr>
          <w:noProof/>
        </w:rPr>
      </w:pPr>
      <w:bookmarkStart w:id="192" w:name="_Toc167220302"/>
      <w:bookmarkStart w:id="193" w:name="_Toc177549037"/>
      <w:r w:rsidRPr="00F83346">
        <w:rPr>
          <w:noProof/>
        </w:rPr>
        <w:t>4.1</w:t>
      </w:r>
      <w:r w:rsidRPr="00F83346">
        <w:rPr>
          <w:noProof/>
        </w:rPr>
        <w:tab/>
        <w:t>Zahteve digitalnega pomena</w:t>
      </w:r>
      <w:bookmarkEnd w:id="192"/>
      <w:bookmarkEnd w:id="193"/>
    </w:p>
    <w:tbl>
      <w:tblPr>
        <w:tblStyle w:val="TableGrid"/>
        <w:tblW w:w="9072" w:type="dxa"/>
        <w:tblInd w:w="-5" w:type="dxa"/>
        <w:tblLayout w:type="fixed"/>
        <w:tblLook w:val="06A0" w:firstRow="1" w:lastRow="0" w:firstColumn="1" w:lastColumn="0" w:noHBand="1" w:noVBand="1"/>
      </w:tblPr>
      <w:tblGrid>
        <w:gridCol w:w="9072"/>
      </w:tblGrid>
      <w:tr w:rsidR="0045691F" w:rsidRPr="00F83346" w:rsidTr="04B73BB1">
        <w:trPr>
          <w:trHeight w:val="300"/>
        </w:trPr>
        <w:tc>
          <w:tcPr>
            <w:tcW w:w="9072" w:type="dxa"/>
          </w:tcPr>
          <w:p w:rsidR="0045691F" w:rsidRPr="00F83346" w:rsidRDefault="75B91AEE" w:rsidP="04B73BB1">
            <w:pPr>
              <w:rPr>
                <w:noProof/>
              </w:rPr>
            </w:pPr>
            <w:r w:rsidRPr="00F83346">
              <w:rPr>
                <w:noProof/>
              </w:rPr>
              <w:t>Pobuda nima zahtev digitalnega pomena. Nanaša se na elemente, ki jih banke uporabljajo za določitev svojih likvidnostnih zahtev v skladu z uredbo o kapitalskih zahtevah, in ne vpliva na obstoječe zahteve glede poročanja. Prav tako ne vpliva na čezmejno interoperabilnost omrežnih in informacijskih sistemov, ki se uporabljajo za zagotavljanje ali upravljanje javnih storitev v Uniji.</w:t>
            </w:r>
          </w:p>
        </w:tc>
      </w:tr>
    </w:tbl>
    <w:p w:rsidR="0045691F" w:rsidRPr="00F83346" w:rsidRDefault="0045691F">
      <w:pPr>
        <w:pStyle w:val="ManualHeading2"/>
        <w:rPr>
          <w:noProof/>
        </w:rPr>
      </w:pPr>
      <w:bookmarkStart w:id="194" w:name="_Toc167220303"/>
      <w:bookmarkStart w:id="195" w:name="_Toc177549038"/>
      <w:r w:rsidRPr="00F83346">
        <w:rPr>
          <w:noProof/>
        </w:rPr>
        <w:t>4.2</w:t>
      </w:r>
      <w:r w:rsidRPr="00F83346">
        <w:rPr>
          <w:noProof/>
        </w:rPr>
        <w:tab/>
        <w:t>Podatki</w:t>
      </w:r>
      <w:bookmarkEnd w:id="194"/>
      <w:bookmarkEnd w:id="195"/>
    </w:p>
    <w:tbl>
      <w:tblPr>
        <w:tblStyle w:val="TableGrid"/>
        <w:tblW w:w="0" w:type="auto"/>
        <w:tblLook w:val="04A0" w:firstRow="1" w:lastRow="0" w:firstColumn="1" w:lastColumn="0" w:noHBand="0" w:noVBand="1"/>
      </w:tblPr>
      <w:tblGrid>
        <w:gridCol w:w="9063"/>
      </w:tblGrid>
      <w:tr w:rsidR="0045691F" w:rsidRPr="00F83346">
        <w:tc>
          <w:tcPr>
            <w:tcW w:w="9063" w:type="dxa"/>
          </w:tcPr>
          <w:p w:rsidR="0045691F" w:rsidRPr="00F83346" w:rsidRDefault="00AD10AB" w:rsidP="00AD10AB">
            <w:pPr>
              <w:rPr>
                <w:noProof/>
                <w:color w:val="0000FF"/>
              </w:rPr>
            </w:pPr>
            <w:r w:rsidRPr="00F83346">
              <w:rPr>
                <w:noProof/>
              </w:rPr>
              <w:t>Se ne uporablja za ta predlog – ni ustvarjenih novih podatkov.</w:t>
            </w:r>
          </w:p>
        </w:tc>
      </w:tr>
    </w:tbl>
    <w:p w:rsidR="0045691F" w:rsidRPr="00F83346" w:rsidRDefault="0045691F">
      <w:pPr>
        <w:pStyle w:val="ManualHeading2"/>
        <w:rPr>
          <w:noProof/>
        </w:rPr>
      </w:pPr>
      <w:bookmarkStart w:id="196" w:name="_Toc167220305"/>
      <w:bookmarkStart w:id="197" w:name="_Toc177549039"/>
      <w:r w:rsidRPr="00F83346">
        <w:rPr>
          <w:noProof/>
        </w:rPr>
        <w:t>4.3</w:t>
      </w:r>
      <w:r w:rsidRPr="00F83346">
        <w:rPr>
          <w:noProof/>
        </w:rPr>
        <w:tab/>
        <w:t>Digitalne rešitve</w:t>
      </w:r>
      <w:bookmarkEnd w:id="196"/>
      <w:bookmarkEnd w:id="197"/>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45691F" w:rsidRPr="00F83346" w:rsidTr="04B73BB1">
        <w:tc>
          <w:tcPr>
            <w:tcW w:w="9067" w:type="dxa"/>
          </w:tcPr>
          <w:p w:rsidR="0045691F" w:rsidRPr="00F83346" w:rsidRDefault="383E3F7F">
            <w:pPr>
              <w:rPr>
                <w:noProof/>
              </w:rPr>
            </w:pPr>
            <w:r w:rsidRPr="00F83346">
              <w:rPr>
                <w:noProof/>
              </w:rPr>
              <w:t>Se ne uporablja za ta predlog – posebne digitalne rešitve niso potrebne.</w:t>
            </w:r>
          </w:p>
        </w:tc>
      </w:tr>
    </w:tbl>
    <w:p w:rsidR="0045691F" w:rsidRPr="00F83346" w:rsidRDefault="0045691F" w:rsidP="04B73BB1">
      <w:pPr>
        <w:pStyle w:val="ManualHeading2"/>
        <w:rPr>
          <w:rStyle w:val="Emphasis"/>
          <w:b w:val="0"/>
          <w:i w:val="0"/>
          <w:iCs w:val="0"/>
          <w:noProof/>
        </w:rPr>
      </w:pPr>
      <w:bookmarkStart w:id="198" w:name="_Toc167220304"/>
      <w:bookmarkStart w:id="199" w:name="_Toc177549040"/>
      <w:r w:rsidRPr="00F83346">
        <w:rPr>
          <w:rStyle w:val="Emphasis"/>
          <w:noProof/>
        </w:rPr>
        <w:t>4.4</w:t>
      </w:r>
      <w:r w:rsidRPr="00F83346">
        <w:rPr>
          <w:noProof/>
        </w:rPr>
        <w:tab/>
      </w:r>
      <w:r w:rsidRPr="00F83346">
        <w:rPr>
          <w:rStyle w:val="Emphasis"/>
          <w:noProof/>
        </w:rPr>
        <w:t>Ocena interoperabilnosti</w:t>
      </w:r>
      <w:bookmarkEnd w:id="198"/>
      <w:bookmarkEnd w:id="199"/>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45691F" w:rsidRPr="00F83346">
        <w:trPr>
          <w:trHeight w:val="300"/>
        </w:trPr>
        <w:tc>
          <w:tcPr>
            <w:tcW w:w="9067" w:type="dxa"/>
          </w:tcPr>
          <w:p w:rsidR="0045691F" w:rsidRPr="00F83346" w:rsidRDefault="00AD10AB">
            <w:pPr>
              <w:rPr>
                <w:i/>
                <w:iCs/>
                <w:noProof/>
                <w:color w:val="215868" w:themeColor="accent5" w:themeShade="80"/>
              </w:rPr>
            </w:pPr>
            <w:r w:rsidRPr="00F83346">
              <w:rPr>
                <w:noProof/>
              </w:rPr>
              <w:t>Se ne uporablja za ta predlog – ni pomislekov glede interoperabilnosti.</w:t>
            </w:r>
          </w:p>
        </w:tc>
      </w:tr>
    </w:tbl>
    <w:p w:rsidR="0045691F" w:rsidRPr="00F83346" w:rsidRDefault="0045691F">
      <w:pPr>
        <w:pStyle w:val="ManualHeading2"/>
        <w:rPr>
          <w:noProof/>
        </w:rPr>
      </w:pPr>
      <w:bookmarkStart w:id="200" w:name="_Toc167220306"/>
      <w:bookmarkStart w:id="201" w:name="_Toc177549041"/>
      <w:r w:rsidRPr="00F83346">
        <w:rPr>
          <w:noProof/>
        </w:rPr>
        <w:t>4.5</w:t>
      </w:r>
      <w:r w:rsidRPr="00F83346">
        <w:rPr>
          <w:noProof/>
        </w:rPr>
        <w:tab/>
        <w:t>Ukrepi v podporo digitalnemu izvajanju</w:t>
      </w:r>
      <w:bookmarkEnd w:id="200"/>
      <w:bookmarkEnd w:id="201"/>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45691F" w:rsidRPr="004327F0">
        <w:tc>
          <w:tcPr>
            <w:tcW w:w="9067" w:type="dxa"/>
          </w:tcPr>
          <w:p w:rsidR="0045691F" w:rsidRPr="004327F0" w:rsidRDefault="00AD10AB" w:rsidP="00AD10AB">
            <w:pPr>
              <w:rPr>
                <w:noProof/>
                <w:color w:val="0000FF"/>
              </w:rPr>
            </w:pPr>
            <w:r w:rsidRPr="00F83346">
              <w:rPr>
                <w:noProof/>
              </w:rPr>
              <w:t>Se ne uporablja za ta predlog – nadaljnja podpora digitalnemu izvajanju ni potrebna.</w:t>
            </w:r>
          </w:p>
        </w:tc>
      </w:tr>
      <w:bookmarkEnd w:id="191"/>
    </w:tbl>
    <w:p w:rsidR="0045691F" w:rsidRPr="004327F0" w:rsidRDefault="0045691F">
      <w:pPr>
        <w:rPr>
          <w:noProof/>
          <w:color w:val="008000"/>
        </w:rPr>
      </w:pPr>
    </w:p>
    <w:sectPr w:rsidR="0045691F" w:rsidRPr="004327F0" w:rsidSect="00F82B96">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7D" w:rsidRPr="00FE12B0" w:rsidRDefault="0016677D" w:rsidP="0045691F">
      <w:pPr>
        <w:spacing w:before="0" w:after="0"/>
      </w:pPr>
      <w:r w:rsidRPr="00FE12B0">
        <w:separator/>
      </w:r>
    </w:p>
  </w:endnote>
  <w:endnote w:type="continuationSeparator" w:id="0">
    <w:p w:rsidR="0016677D" w:rsidRPr="00FE12B0" w:rsidRDefault="0016677D" w:rsidP="0045691F">
      <w:pPr>
        <w:spacing w:before="0" w:after="0"/>
      </w:pPr>
      <w:r w:rsidRPr="00FE12B0">
        <w:continuationSeparator/>
      </w:r>
    </w:p>
  </w:endnote>
  <w:endnote w:type="continuationNotice" w:id="1">
    <w:p w:rsidR="0016677D" w:rsidRPr="00FE12B0" w:rsidRDefault="001667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Footer"/>
      <w:rPr>
        <w:rFonts w:ascii="Arial" w:hAnsi="Arial" w:cs="Arial"/>
        <w:b/>
        <w:sz w:val="48"/>
      </w:rPr>
    </w:pPr>
    <w:r w:rsidRPr="00F82B96">
      <w:rPr>
        <w:rFonts w:ascii="Arial" w:hAnsi="Arial" w:cs="Arial"/>
        <w:b/>
        <w:sz w:val="48"/>
      </w:rPr>
      <w:t>SL</w:t>
    </w:r>
    <w:r w:rsidRPr="00F82B96">
      <w:rPr>
        <w:rFonts w:ascii="Arial" w:hAnsi="Arial" w:cs="Arial"/>
        <w:b/>
        <w:sz w:val="48"/>
      </w:rPr>
      <w:tab/>
    </w:r>
    <w:r w:rsidRPr="00F82B96">
      <w:rPr>
        <w:rFonts w:ascii="Arial" w:hAnsi="Arial" w:cs="Arial"/>
        <w:b/>
        <w:sz w:val="48"/>
      </w:rPr>
      <w:tab/>
    </w:r>
    <w:r w:rsidRPr="00F82B96">
      <w:tab/>
    </w:r>
    <w:r w:rsidRPr="00F82B96">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Footer"/>
      <w:rPr>
        <w:rFonts w:ascii="Arial" w:hAnsi="Arial" w:cs="Arial"/>
        <w:b/>
        <w:sz w:val="48"/>
      </w:rPr>
    </w:pPr>
    <w:r w:rsidRPr="00F82B96">
      <w:rPr>
        <w:rFonts w:ascii="Arial" w:hAnsi="Arial" w:cs="Arial"/>
        <w:b/>
        <w:sz w:val="48"/>
      </w:rPr>
      <w:t>SL</w:t>
    </w:r>
    <w:r w:rsidRPr="00F82B96">
      <w:rPr>
        <w:rFonts w:ascii="Arial" w:hAnsi="Arial" w:cs="Arial"/>
        <w:b/>
        <w:sz w:val="48"/>
      </w:rPr>
      <w:tab/>
    </w:r>
    <w:r w:rsidRPr="00F82B96">
      <w:rPr>
        <w:rFonts w:ascii="Arial" w:hAnsi="Arial" w:cs="Arial"/>
        <w:b/>
        <w:sz w:val="48"/>
      </w:rPr>
      <w:tab/>
    </w:r>
    <w:r w:rsidRPr="00F82B96">
      <w:tab/>
    </w:r>
    <w:r w:rsidRPr="00F82B96">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Default="00F82B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Footer"/>
      <w:rPr>
        <w:rFonts w:ascii="Arial" w:hAnsi="Arial" w:cs="Arial"/>
        <w:b/>
        <w:sz w:val="48"/>
      </w:rPr>
    </w:pPr>
    <w:r w:rsidRPr="00F82B96">
      <w:rPr>
        <w:rFonts w:ascii="Arial" w:hAnsi="Arial" w:cs="Arial"/>
        <w:b/>
        <w:sz w:val="48"/>
      </w:rPr>
      <w:t>SL</w:t>
    </w:r>
    <w:r w:rsidRPr="00F82B96">
      <w:rPr>
        <w:rFonts w:ascii="Arial" w:hAnsi="Arial" w:cs="Arial"/>
        <w:b/>
        <w:sz w:val="48"/>
      </w:rPr>
      <w:tab/>
    </w:r>
    <w:r>
      <w:fldChar w:fldCharType="begin"/>
    </w:r>
    <w:r>
      <w:instrText xml:space="preserve"> PAGE  \* MERGEFORMAT </w:instrText>
    </w:r>
    <w:r>
      <w:fldChar w:fldCharType="separate"/>
    </w:r>
    <w:r w:rsidR="00EE6C7B">
      <w:rPr>
        <w:noProof/>
      </w:rPr>
      <w:t>15</w:t>
    </w:r>
    <w:r>
      <w:fldChar w:fldCharType="end"/>
    </w:r>
    <w:r>
      <w:tab/>
    </w:r>
    <w:r w:rsidRPr="00F82B96">
      <w:tab/>
    </w:r>
    <w:r w:rsidRPr="00F82B96">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Default="00F82B96" w:rsidP="00F82B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FooterLandscape"/>
      <w:rPr>
        <w:rFonts w:ascii="Arial" w:hAnsi="Arial" w:cs="Arial"/>
        <w:b/>
        <w:sz w:val="48"/>
      </w:rPr>
    </w:pPr>
    <w:r w:rsidRPr="00F82B96">
      <w:rPr>
        <w:rFonts w:ascii="Arial" w:hAnsi="Arial" w:cs="Arial"/>
        <w:b/>
        <w:sz w:val="48"/>
      </w:rPr>
      <w:t>SL</w:t>
    </w:r>
    <w:r w:rsidRPr="00F82B9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82B96">
      <w:tab/>
    </w:r>
    <w:r w:rsidRPr="00F82B96">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Footer"/>
      <w:rPr>
        <w:rFonts w:ascii="Arial" w:hAnsi="Arial" w:cs="Arial"/>
        <w:b/>
        <w:sz w:val="48"/>
      </w:rPr>
    </w:pPr>
    <w:r w:rsidRPr="00F82B96">
      <w:rPr>
        <w:rFonts w:ascii="Arial" w:hAnsi="Arial" w:cs="Arial"/>
        <w:b/>
        <w:sz w:val="48"/>
      </w:rPr>
      <w:t>SL</w:t>
    </w:r>
    <w:r w:rsidRPr="00F82B9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82B96">
      <w:tab/>
    </w:r>
    <w:r w:rsidRPr="00F82B96">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7D" w:rsidRPr="00FE12B0" w:rsidRDefault="0016677D" w:rsidP="0045691F">
      <w:pPr>
        <w:spacing w:before="0" w:after="0"/>
      </w:pPr>
      <w:r w:rsidRPr="00FE12B0">
        <w:separator/>
      </w:r>
    </w:p>
  </w:footnote>
  <w:footnote w:type="continuationSeparator" w:id="0">
    <w:p w:rsidR="0016677D" w:rsidRPr="00FE12B0" w:rsidRDefault="0016677D" w:rsidP="0045691F">
      <w:pPr>
        <w:spacing w:before="0" w:after="0"/>
      </w:pPr>
      <w:r w:rsidRPr="00FE12B0">
        <w:continuationSeparator/>
      </w:r>
    </w:p>
  </w:footnote>
  <w:footnote w:type="continuationNotice" w:id="1">
    <w:p w:rsidR="0016677D" w:rsidRPr="00FE12B0" w:rsidRDefault="0016677D">
      <w:pPr>
        <w:spacing w:before="0" w:after="0"/>
      </w:pPr>
    </w:p>
  </w:footnote>
  <w:footnote w:id="2">
    <w:p w:rsidR="00AF3F69" w:rsidRPr="008E3972" w:rsidRDefault="00AF3F69" w:rsidP="00723423">
      <w:pPr>
        <w:pStyle w:val="FootnoteText"/>
      </w:pPr>
      <w:r>
        <w:rPr>
          <w:rStyle w:val="FootnoteReference"/>
        </w:rPr>
        <w:footnoteRef/>
      </w:r>
      <w:bookmarkStart w:id="1" w:name="_Hlk191306365"/>
      <w:r>
        <w:tab/>
        <w:t>Poročilo ESMA o trgu poslov financiranja z vrednostnimi papirji v EU (sklic: ESMA50–524821–3147), objavljeno 9. aprila 2024.</w:t>
      </w:r>
      <w:bookmarkEnd w:id="1"/>
    </w:p>
  </w:footnote>
  <w:footnote w:id="3">
    <w:p w:rsidR="005B04A6" w:rsidRPr="00723423" w:rsidRDefault="005B04A6" w:rsidP="00723423">
      <w:pPr>
        <w:pStyle w:val="FootnoteText"/>
      </w:pPr>
      <w:r>
        <w:rPr>
          <w:rStyle w:val="FootnoteReference"/>
        </w:rPr>
        <w:footnoteRef/>
      </w:r>
      <w:r>
        <w:tab/>
        <w:t>Poročilo ESMA o trgu poslov financiranja z vrednostnimi papirji v EU (sklic: ESMA50–524821–3147), objavljeno 9. aprila 2024.</w:t>
      </w:r>
    </w:p>
  </w:footnote>
  <w:footnote w:id="4">
    <w:p w:rsidR="0045691F" w:rsidRPr="00683764" w:rsidRDefault="0045691F" w:rsidP="00D142D6">
      <w:pPr>
        <w:pStyle w:val="FootnoteText"/>
      </w:pPr>
      <w:r>
        <w:rPr>
          <w:rStyle w:val="FootnoteReference"/>
        </w:rPr>
        <w:footnoteRef/>
      </w:r>
      <w:r>
        <w:tab/>
        <w:t>Predlog uredbe Evropskega parlamenta in Sveta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zahtevami po razkritju ter o spremembi Uredbe (EU) št. 648/2012 (</w:t>
      </w:r>
      <w:hyperlink r:id="rId1" w:history="1">
        <w:r>
          <w:rPr>
            <w:rStyle w:val="Hyperlink"/>
          </w:rPr>
          <w:t>EUR-Lex – 52016PC0850 – SL – EUR-Lex</w:t>
        </w:r>
      </w:hyperlink>
      <w:r>
        <w:t>).</w:t>
      </w:r>
    </w:p>
  </w:footnote>
  <w:footnote w:id="5">
    <w:p w:rsidR="0045691F" w:rsidRPr="00683764" w:rsidRDefault="0045691F" w:rsidP="00D142D6">
      <w:pPr>
        <w:pStyle w:val="FootnoteText"/>
      </w:pPr>
      <w:r>
        <w:rPr>
          <w:rStyle w:val="FootnoteReference"/>
        </w:rPr>
        <w:footnoteRef/>
      </w:r>
      <w:r>
        <w:tab/>
        <w:t>Delovni dokument služb Komisije o oceni učinka, priložen predlogu o spremembi Uredbe (EU) št. 575/2013 o bonitetnih zahtevah za kreditne institucije in investicijska podjetja (</w:t>
      </w:r>
      <w:hyperlink r:id="rId2" w:history="1">
        <w:r>
          <w:rPr>
            <w:rStyle w:val="Hyperlink"/>
          </w:rPr>
          <w:t>EUR-Lex – 52016SC0377 – EN – EUR-Lex</w:t>
        </w:r>
      </w:hyperlink>
      <w:r>
        <w:t>).</w:t>
      </w:r>
    </w:p>
  </w:footnote>
  <w:footnote w:id="6">
    <w:p w:rsidR="0005279E" w:rsidRPr="00723423" w:rsidRDefault="0005279E" w:rsidP="00723423">
      <w:pPr>
        <w:pStyle w:val="FootnoteText"/>
      </w:pPr>
      <w:r>
        <w:rPr>
          <w:rStyle w:val="FootnoteReference"/>
        </w:rPr>
        <w:footnoteRef/>
      </w:r>
      <w:r>
        <w:tab/>
        <w:t>Visokokakovostna likvidna sredstva, kot so opredeljena v Delegirani uredbi (EU) 2015/61 o dopolnitvi Uredbe (EU) št. 575/2013, zlasti člena 460.</w:t>
      </w:r>
    </w:p>
  </w:footnote>
  <w:footnote w:id="7">
    <w:p w:rsidR="0045691F" w:rsidRPr="00683764" w:rsidRDefault="0045691F" w:rsidP="00D142D6">
      <w:pPr>
        <w:pStyle w:val="FootnoteText"/>
      </w:pPr>
      <w:r>
        <w:rPr>
          <w:rStyle w:val="FootnoteReference"/>
        </w:rPr>
        <w:footnoteRef/>
      </w:r>
      <w:r>
        <w:tab/>
        <w:t>Glej oceno Baselskega odbora za bančni nadzor iz julija 2023 glede baselskih predpisov o količniku neto stabilnega financiranja v Združenih državah (</w:t>
      </w:r>
      <w:hyperlink r:id="rId3" w:history="1">
        <w:r>
          <w:rPr>
            <w:rStyle w:val="Hyperlink"/>
          </w:rPr>
          <w:t>Program za oceno regulativne doslednosti:</w:t>
        </w:r>
      </w:hyperlink>
      <w:hyperlink r:id="rId4" w:history="1">
        <w:r>
          <w:rPr>
            <w:rStyle w:val="Hyperlink"/>
          </w:rPr>
          <w:t xml:space="preserve"> ocena standarda Baselskega odbora za bančni nadzor glede količnika neto stabilnega financiranja v Združenih državah</w:t>
        </w:r>
      </w:hyperlink>
      <w:r>
        <w:t>).</w:t>
      </w:r>
    </w:p>
  </w:footnote>
  <w:footnote w:id="8">
    <w:p w:rsidR="0045691F" w:rsidRPr="00683764" w:rsidRDefault="0045691F" w:rsidP="00D142D6">
      <w:pPr>
        <w:pStyle w:val="FootnoteText"/>
      </w:pPr>
      <w:r>
        <w:rPr>
          <w:rStyle w:val="FootnoteReference"/>
        </w:rPr>
        <w:footnoteRef/>
      </w:r>
      <w:r>
        <w:tab/>
        <w:t>EBA objavil analizo posebnih vidikov okvira za količnik neto stabilnega financiranja | Evropski bančni organ (</w:t>
      </w:r>
      <w:hyperlink r:id="rId5" w:history="1">
        <w:r>
          <w:rPr>
            <w:rStyle w:val="Hyperlink"/>
          </w:rPr>
          <w:t>https://www.eba.europa.eu/publications-and-media/press-releases/eba-publishes-analysis-specific-aspects-net-stable-funding</w:t>
        </w:r>
      </w:hyperlink>
      <w:r>
        <w:t>).</w:t>
      </w:r>
    </w:p>
  </w:footnote>
  <w:footnote w:id="9">
    <w:p w:rsidR="00FB1F4F" w:rsidRPr="00723423" w:rsidRDefault="00FB1F4F" w:rsidP="00723423">
      <w:pPr>
        <w:pStyle w:val="FootnoteText"/>
      </w:pPr>
      <w:r>
        <w:rPr>
          <w:rStyle w:val="FootnoteReference"/>
        </w:rPr>
        <w:footnoteRef/>
      </w:r>
      <w:r>
        <w:tab/>
        <w:t>Uredba (EU) 2019/876 Evropskega parlamenta in Sveta z dne 20. maja 2019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razkritja ter Uredbe (EU) št. 648/2012 (https://eur-lex.europa.eu/eli/reg/2019/876/oj).</w:t>
      </w:r>
    </w:p>
  </w:footnote>
  <w:footnote w:id="10">
    <w:p w:rsidR="682B5502" w:rsidRDefault="682B5502" w:rsidP="00D142D6">
      <w:pPr>
        <w:pStyle w:val="FootnoteText"/>
      </w:pPr>
      <w:r>
        <w:rPr>
          <w:rStyle w:val="FootnoteReference"/>
        </w:rPr>
        <w:footnoteRef/>
      </w:r>
      <w:r>
        <w:rPr>
          <w:rStyle w:val="Hyperlink"/>
        </w:rPr>
        <w:tab/>
        <w:t>Dopis, objavljen na spletišču Politico (https://www.politico.eu/wp-content/uploads/2024/10/03/Letter-to-DG-Berrigan_241002_152826.clean_.pdf).</w:t>
      </w:r>
    </w:p>
  </w:footnote>
  <w:footnote w:id="11">
    <w:p w:rsidR="00697691" w:rsidRPr="00683764" w:rsidRDefault="00697691" w:rsidP="00D142D6">
      <w:pPr>
        <w:pStyle w:val="FootnoteText"/>
      </w:pPr>
      <w:r>
        <w:rPr>
          <w:rStyle w:val="FootnoteReference"/>
        </w:rPr>
        <w:footnoteRef/>
      </w:r>
      <w:r>
        <w:tab/>
        <w:t>Predlog uredbe Evropskega parlamenta in Sveta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zahtevami po razkritju ter o spremembi Uredbe (EU) št. 648/2012 (</w:t>
      </w:r>
      <w:hyperlink r:id="rId6" w:history="1">
        <w:r>
          <w:rPr>
            <w:rStyle w:val="Hyperlink"/>
          </w:rPr>
          <w:t>EUR-Lex – 52016PC0850 – SL – EUR-Lex</w:t>
        </w:r>
      </w:hyperlink>
      <w:r>
        <w:t>).</w:t>
      </w:r>
    </w:p>
  </w:footnote>
  <w:footnote w:id="12">
    <w:p w:rsidR="00344BB1" w:rsidRPr="00683764" w:rsidRDefault="00344BB1" w:rsidP="00D142D6">
      <w:pPr>
        <w:pStyle w:val="FootnoteText"/>
      </w:pPr>
      <w:r>
        <w:rPr>
          <w:rStyle w:val="FootnoteReference"/>
        </w:rPr>
        <w:footnoteRef/>
      </w:r>
      <w:r>
        <w:tab/>
        <w:t>UL C , , str.</w:t>
      </w:r>
    </w:p>
  </w:footnote>
  <w:footnote w:id="13">
    <w:p w:rsidR="00274A1E" w:rsidRPr="00683764" w:rsidRDefault="00274A1E" w:rsidP="00D142D6">
      <w:pPr>
        <w:pStyle w:val="FootnoteText"/>
      </w:pPr>
      <w:r>
        <w:rPr>
          <w:rStyle w:val="FootnoteReference"/>
        </w:rPr>
        <w:footnoteRef/>
      </w:r>
      <w:r>
        <w:tab/>
        <w:t>UL C , , str.</w:t>
      </w:r>
    </w:p>
  </w:footnote>
  <w:footnote w:id="14">
    <w:p w:rsidR="00847D59" w:rsidRPr="000642B5" w:rsidRDefault="00847D59">
      <w:pPr>
        <w:pStyle w:val="FootnoteText"/>
      </w:pPr>
      <w:r>
        <w:rPr>
          <w:rStyle w:val="FootnoteReference"/>
        </w:rPr>
        <w:footnoteRef/>
      </w:r>
      <w:r>
        <w:tab/>
        <w:t>Uredba (EU) 2019/876 Evropskega parlamenta in Sveta z dne 20. maja 2019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razkritja ter Uredbe (EU) št. 648/2012 (UL L 150, 7.6.2019, str. 1, ELI: http://data.europa.eu/eli/reg/2019/876/oj).</w:t>
      </w:r>
    </w:p>
  </w:footnote>
  <w:footnote w:id="15">
    <w:p w:rsidR="00617070" w:rsidRPr="000642B5" w:rsidRDefault="00617070">
      <w:pPr>
        <w:pStyle w:val="FootnoteText"/>
      </w:pPr>
      <w:r>
        <w:rPr>
          <w:rStyle w:val="FootnoteReference"/>
        </w:rPr>
        <w:footnoteRef/>
      </w:r>
      <w:r>
        <w:tab/>
        <w:t>Uredba (EU) št. 575/2013 Evropskega parlamenta in Sveta z dne 26. junija 2013 o bonitetnih zahtevah za kreditne institucije in o spremembi Uredbe (EU) št. 648/2012 (UL L 176, 27.6.2013, str. 1, ELI: </w:t>
      </w:r>
      <w:hyperlink r:id="rId7" w:tooltip="Povezava ELI na ta dokument" w:history="1">
        <w:r>
          <w:rPr>
            <w:rStyle w:val="Hyperlink"/>
          </w:rPr>
          <w:t>http://data.europa.eu/eli/reg/2013/575/oj</w:t>
        </w:r>
      </w:hyperlink>
      <w:r>
        <w:t>).</w:t>
      </w:r>
    </w:p>
  </w:footnote>
  <w:footnote w:id="16">
    <w:p w:rsidR="006346BD" w:rsidRPr="00146047" w:rsidRDefault="006346BD">
      <w:pPr>
        <w:pStyle w:val="FootnoteText"/>
      </w:pPr>
      <w:r>
        <w:rPr>
          <w:rStyle w:val="FootnoteReference"/>
        </w:rPr>
        <w:footnoteRef/>
      </w:r>
      <w:r>
        <w:tab/>
        <w:t>Poročilo Evropskega bančnega organa z dne 16. januarja 2024 o posebnih vidikih okvira količnika neto stabilnega financiranja v skladu s členom 510(4), (6) in (9) Uredbe (EU) št. 575/2013 (EBA/Rep/2024/01) (</w:t>
      </w:r>
      <w:hyperlink r:id="rId8" w:history="1">
        <w:r>
          <w:rPr>
            <w:rStyle w:val="Hyperlink"/>
          </w:rPr>
          <w:t>https://www.eba.europa.eu/sites/default/files/2024-01/8d7c0d40-2d79-4763-bd9c-ad66c0bf4076/Report%20on%20specific%20aspects%20of%20the%20NSFR%20framework%20under%20Art%20510%20CRR.pdf</w:t>
        </w:r>
      </w:hyperlink>
      <w:r>
        <w:t>).</w:t>
      </w:r>
    </w:p>
  </w:footnote>
  <w:footnote w:id="17">
    <w:p w:rsidR="0045691F" w:rsidRPr="00683764" w:rsidRDefault="0045691F" w:rsidP="00D142D6">
      <w:pPr>
        <w:pStyle w:val="FootnoteText"/>
      </w:pPr>
      <w:r>
        <w:rPr>
          <w:rStyle w:val="FootnoteReference"/>
        </w:rPr>
        <w:footnoteRef/>
      </w:r>
      <w:r>
        <w:tab/>
        <w:t>Po členu 58(2), točka (a) oz. (b), finančne uredbe.</w:t>
      </w:r>
    </w:p>
  </w:footnote>
  <w:footnote w:id="18">
    <w:p w:rsidR="0045691F" w:rsidRPr="00683764" w:rsidRDefault="0045691F" w:rsidP="00D142D6">
      <w:pPr>
        <w:pStyle w:val="FootnoteText"/>
        <w:rPr>
          <w:szCs w:val="24"/>
        </w:rPr>
      </w:pPr>
      <w:r>
        <w:rPr>
          <w:rStyle w:val="FootnoteReference"/>
        </w:rPr>
        <w:footnoteRef/>
      </w:r>
      <w:r>
        <w:tab/>
        <w:t xml:space="preserve">Pojasnila o načinih izvrševanja proračuna in sklici na finančno uredbo so na voljo na spletišču BUDGpedia: </w:t>
      </w:r>
      <w:hyperlink r:id="rId9" w:history="1">
        <w:r>
          <w:rPr>
            <w:rStyle w:val="Hyperlink"/>
          </w:rPr>
          <w:t>https://myintracomm.ec.europa.eu/corp/budget/financial-rules/budget-implementation/Pages/implementation-methods.aspx</w:t>
        </w:r>
      </w:hyperlink>
      <w:r>
        <w:t>.</w:t>
      </w:r>
    </w:p>
  </w:footnote>
  <w:footnote w:id="19">
    <w:p w:rsidR="0045691F" w:rsidRPr="00683764" w:rsidRDefault="0045691F" w:rsidP="00D142D6">
      <w:pPr>
        <w:pStyle w:val="FootnoteText"/>
        <w:rPr>
          <w:szCs w:val="24"/>
        </w:rPr>
      </w:pPr>
      <w:r>
        <w:rPr>
          <w:rStyle w:val="FootnoteReference"/>
        </w:rPr>
        <w:footnoteRef/>
      </w:r>
      <w:r>
        <w:tab/>
        <w:t>Dif. = diferencirana sredstva / nedif. = nediferencirana sredstva.</w:t>
      </w:r>
    </w:p>
  </w:footnote>
  <w:footnote w:id="20">
    <w:p w:rsidR="0045691F" w:rsidRPr="00683764" w:rsidRDefault="0045691F" w:rsidP="00D142D6">
      <w:pPr>
        <w:pStyle w:val="FootnoteText"/>
        <w:rPr>
          <w:szCs w:val="24"/>
        </w:rPr>
      </w:pPr>
      <w:r>
        <w:rPr>
          <w:rStyle w:val="FootnoteReference"/>
        </w:rPr>
        <w:footnoteRef/>
      </w:r>
      <w:r>
        <w:tab/>
        <w:t>Efta: Evropsko združenje za prosto trgovino.</w:t>
      </w:r>
    </w:p>
  </w:footnote>
  <w:footnote w:id="21">
    <w:p w:rsidR="0045691F" w:rsidRPr="00683764" w:rsidRDefault="0045691F" w:rsidP="00D142D6">
      <w:pPr>
        <w:pStyle w:val="FootnoteText"/>
        <w:rPr>
          <w:szCs w:val="24"/>
        </w:rPr>
      </w:pPr>
      <w:r>
        <w:rPr>
          <w:rStyle w:val="FootnoteReference"/>
        </w:rPr>
        <w:footnoteRef/>
      </w:r>
      <w:r>
        <w:tab/>
        <w:t>Države kandidatke in po potrebi potencialne kandidatke z Zahodnega Balkana.</w:t>
      </w:r>
    </w:p>
  </w:footnote>
  <w:footnote w:id="22">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3">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4">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5">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6">
    <w:p w:rsidR="0045691F" w:rsidRPr="00683764" w:rsidRDefault="0045691F" w:rsidP="00D142D6">
      <w:pPr>
        <w:pStyle w:val="FootnoteText"/>
      </w:pPr>
      <w:r>
        <w:rPr>
          <w:rStyle w:val="FootnoteReference"/>
        </w:rPr>
        <w:footnoteRef/>
      </w:r>
      <w:r>
        <w:tab/>
      </w:r>
      <w:r>
        <w:rPr>
          <w:color w:val="374151"/>
          <w:sz w:val="18"/>
        </w:rPr>
        <w:t>Potrebne odobritve je treba določiti na podlagi povprečnih letnih stroškov, ki so na voljo na ustrezni spletni strani BUDGpedie</w:t>
      </w:r>
      <w:r>
        <w:rPr>
          <w:color w:val="374151"/>
        </w:rPr>
        <w:t>.</w:t>
      </w:r>
    </w:p>
  </w:footnote>
  <w:footnote w:id="27">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8">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29">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30">
    <w:p w:rsidR="0045691F" w:rsidRPr="00683764" w:rsidRDefault="0045691F" w:rsidP="00D142D6">
      <w:pPr>
        <w:pStyle w:val="FootnoteText"/>
      </w:pPr>
      <w:r>
        <w:rPr>
          <w:rStyle w:val="FootnoteReference"/>
        </w:rPr>
        <w:footnoteRef/>
      </w:r>
      <w:r>
        <w:tab/>
      </w:r>
      <w:r>
        <w:rPr>
          <w:sz w:val="18"/>
        </w:rPr>
        <w:t>Tehnična in/ali upravna pomoč ter odhodki za podporo izvajanja programov in/ali ukrepov EU (prej vrstice BA), posredne raziskave, neposredne raziskave.</w:t>
      </w:r>
    </w:p>
  </w:footnote>
  <w:footnote w:id="31">
    <w:p w:rsidR="0045691F" w:rsidRPr="00683764" w:rsidRDefault="0045691F" w:rsidP="00D142D6">
      <w:pPr>
        <w:pStyle w:val="FootnoteText"/>
      </w:pPr>
      <w:r>
        <w:rPr>
          <w:rStyle w:val="FootnoteReference"/>
        </w:rPr>
        <w:footnoteRef/>
      </w:r>
      <w:r>
        <w:tab/>
      </w:r>
      <w:r>
        <w:rPr>
          <w:color w:val="374151"/>
          <w:sz w:val="18"/>
        </w:rPr>
        <w:t>Potrebne odobritve je treba določiti na podlagi povprečnih letnih stroškov, ki so na voljo na ustrezni spletni strani BUDGpedie.</w:t>
      </w:r>
    </w:p>
  </w:footnote>
  <w:footnote w:id="32">
    <w:p w:rsidR="0045691F" w:rsidRPr="00683764" w:rsidRDefault="0045691F" w:rsidP="00D142D6">
      <w:pPr>
        <w:pStyle w:val="FootnoteText"/>
        <w:rPr>
          <w:szCs w:val="24"/>
        </w:rPr>
      </w:pPr>
      <w:r>
        <w:rPr>
          <w:rStyle w:val="FootnoteReference"/>
        </w:rPr>
        <w:footnoteRef/>
      </w:r>
      <w:r>
        <w:tab/>
        <w:t>Realizacije so dobavljeni proizvodi in opravljene storitve (npr. število financiranih izmenjav študentov, število kilometrov novozgrajenih cest …).</w:t>
      </w:r>
    </w:p>
  </w:footnote>
  <w:footnote w:id="33">
    <w:p w:rsidR="0045691F" w:rsidRPr="00683764" w:rsidRDefault="0045691F" w:rsidP="00D142D6">
      <w:pPr>
        <w:pStyle w:val="FootnoteText"/>
        <w:rPr>
          <w:szCs w:val="24"/>
        </w:rPr>
      </w:pPr>
      <w:r>
        <w:rPr>
          <w:rStyle w:val="FootnoteReference"/>
        </w:rPr>
        <w:footnoteRef/>
      </w:r>
      <w:r>
        <w:tab/>
        <w:t>Kakor je opisan v oddelku 1.3.2 Specifični cilji.</w:t>
      </w:r>
    </w:p>
  </w:footnote>
  <w:footnote w:id="34">
    <w:p w:rsidR="0045691F" w:rsidRPr="00683764" w:rsidRDefault="0045691F" w:rsidP="00D142D6">
      <w:pPr>
        <w:pStyle w:val="FootnoteText"/>
      </w:pPr>
      <w:r>
        <w:rPr>
          <w:rStyle w:val="FootnoteReference"/>
        </w:rPr>
        <w:footnoteRef/>
      </w:r>
      <w:r>
        <w:tab/>
        <w:t>Pod tabelo navedite, koliko ekvivalentov polnega delovnega časa od navedenih je že dodeljenih za upravljanje ukrepa in/ali jih je mogoče prerazporediti znotraj vašega generalnega direktorata ter kakšne so vaše neto potrebe.</w:t>
      </w:r>
    </w:p>
  </w:footnote>
  <w:footnote w:id="35">
    <w:p w:rsidR="0045691F" w:rsidRPr="00683764" w:rsidRDefault="0045691F" w:rsidP="00D142D6">
      <w:pPr>
        <w:pStyle w:val="FootnoteText"/>
        <w:rPr>
          <w:szCs w:val="24"/>
        </w:rPr>
      </w:pPr>
      <w:r>
        <w:rPr>
          <w:rStyle w:val="FootnoteReference"/>
        </w:rPr>
        <w:footnoteRef/>
      </w:r>
      <w:r>
        <w:tab/>
        <w:t>Pri tradicionalnih lastnih sredstvih (carine, prelevmani na sladkor) se navedejo neto zneski, tj. bruto zneski po odbitku 20 % stroškov pobiranja.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Default="00F82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Default="00F82B96" w:rsidP="00F82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6" w:rsidRPr="00F82B96" w:rsidRDefault="00F82B96" w:rsidP="00F8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15"/>
    <w:lvlOverride w:ilvl="0">
      <w:startOverride w:val="1"/>
    </w:lvlOverride>
  </w:num>
  <w:num w:numId="18">
    <w:abstractNumId w:val="30"/>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 w:numId="35">
    <w:abstractNumId w:val="23"/>
  </w:num>
  <w:num w:numId="36">
    <w:abstractNumId w:val="12"/>
  </w:num>
  <w:num w:numId="37">
    <w:abstractNumId w:val="26"/>
  </w:num>
  <w:num w:numId="38">
    <w:abstractNumId w:val="6"/>
  </w:num>
  <w:num w:numId="39">
    <w:abstractNumId w:val="13"/>
  </w:num>
  <w:num w:numId="40">
    <w:abstractNumId w:val="14"/>
  </w:num>
  <w:num w:numId="41">
    <w:abstractNumId w:val="4"/>
  </w:num>
  <w:num w:numId="42">
    <w:abstractNumId w:val="25"/>
  </w:num>
  <w:num w:numId="43">
    <w:abstractNumId w:val="3"/>
  </w:num>
  <w:num w:numId="44">
    <w:abstractNumId w:val="15"/>
  </w:num>
  <w:num w:numId="45">
    <w:abstractNumId w:val="21"/>
  </w:num>
  <w:num w:numId="46">
    <w:abstractNumId w:val="22"/>
  </w:num>
  <w:num w:numId="47">
    <w:abstractNumId w:val="5"/>
  </w:num>
  <w:num w:numId="48">
    <w:abstractNumId w:val="19"/>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3-27 09:07: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8F59FBC-115C-41F2-A5FB-25AB6CF694D0"/>
    <w:docVar w:name="LW_COVERPAGE_TYPE" w:val="1"/>
    <w:docVar w:name="LW_CreatedUtc" w:val="2025-01-28T07:55:51.6312785Z"/>
    <w:docVar w:name="LW_CROSSREFERENCE" w:val="{SWD(2025) 77 final}"/>
    <w:docVar w:name="LW_DocType" w:val="COM"/>
    <w:docVar w:name="LW_EMISSION" w:val="31.3.2025"/>
    <w:docVar w:name="LW_EMISSION_ISODATE" w:val="2025-03-31"/>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077"/>
    <w:docVar w:name="LW_REF.II.NEW.CP_YEAR" w:val="2025"/>
    <w:docVar w:name="LW_REF.INST.NEW" w:val="COM"/>
    <w:docVar w:name="LW_REF.INST.NEW_ADOPTED" w:val="final"/>
    <w:docVar w:name="LW_REF.INST.NEW_TEXT" w:val="(2025) 14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Uredbe (EU) \u353?t. 575/2013 o bonitetnih zahtevah za kreditne institucije v zvezi z zahtevami za posle financiranja z vrednostnimi papirji glede koli\u269?nika neto stabilnega financiranja"/>
    <w:docVar w:name="LW_TYPE.DOC.CP" w:val="UREDBA EVROPSKEGA PARLAMENTA IN SVETA"/>
    <w:docVar w:name="LwApiVersions" w:val="LW4CoDe 1.24.5.0; LW 9.0, Build 20240221"/>
  </w:docVars>
  <w:rsids>
    <w:rsidRoot w:val="0045691F"/>
    <w:rsid w:val="00000AE8"/>
    <w:rsid w:val="00000C35"/>
    <w:rsid w:val="000018F5"/>
    <w:rsid w:val="000059CA"/>
    <w:rsid w:val="00005B42"/>
    <w:rsid w:val="000079F1"/>
    <w:rsid w:val="0001128D"/>
    <w:rsid w:val="00012CB3"/>
    <w:rsid w:val="00012F99"/>
    <w:rsid w:val="00013209"/>
    <w:rsid w:val="000147E7"/>
    <w:rsid w:val="00014B85"/>
    <w:rsid w:val="00015382"/>
    <w:rsid w:val="00015F48"/>
    <w:rsid w:val="0002091D"/>
    <w:rsid w:val="00021F0A"/>
    <w:rsid w:val="00022500"/>
    <w:rsid w:val="00022A9E"/>
    <w:rsid w:val="000277BC"/>
    <w:rsid w:val="000317A6"/>
    <w:rsid w:val="00032665"/>
    <w:rsid w:val="00035B79"/>
    <w:rsid w:val="00037B0D"/>
    <w:rsid w:val="00040ACB"/>
    <w:rsid w:val="000464FE"/>
    <w:rsid w:val="00050498"/>
    <w:rsid w:val="00051DFB"/>
    <w:rsid w:val="00051FB8"/>
    <w:rsid w:val="0005279E"/>
    <w:rsid w:val="000529AF"/>
    <w:rsid w:val="00054761"/>
    <w:rsid w:val="00056137"/>
    <w:rsid w:val="00056892"/>
    <w:rsid w:val="00057803"/>
    <w:rsid w:val="0005780B"/>
    <w:rsid w:val="000600AF"/>
    <w:rsid w:val="00061D42"/>
    <w:rsid w:val="00062D23"/>
    <w:rsid w:val="000642B5"/>
    <w:rsid w:val="0006473B"/>
    <w:rsid w:val="00067A4C"/>
    <w:rsid w:val="0007021F"/>
    <w:rsid w:val="000713AF"/>
    <w:rsid w:val="00072C07"/>
    <w:rsid w:val="000745E0"/>
    <w:rsid w:val="000753D1"/>
    <w:rsid w:val="00075772"/>
    <w:rsid w:val="00076B41"/>
    <w:rsid w:val="00076FB6"/>
    <w:rsid w:val="0007780C"/>
    <w:rsid w:val="00080880"/>
    <w:rsid w:val="00081DC7"/>
    <w:rsid w:val="00083BCD"/>
    <w:rsid w:val="00084506"/>
    <w:rsid w:val="00086F67"/>
    <w:rsid w:val="0009105E"/>
    <w:rsid w:val="00091F02"/>
    <w:rsid w:val="00093671"/>
    <w:rsid w:val="000937C9"/>
    <w:rsid w:val="00093F63"/>
    <w:rsid w:val="0009505D"/>
    <w:rsid w:val="000A0578"/>
    <w:rsid w:val="000A2016"/>
    <w:rsid w:val="000A28C0"/>
    <w:rsid w:val="000A3A90"/>
    <w:rsid w:val="000A4CD4"/>
    <w:rsid w:val="000A58A8"/>
    <w:rsid w:val="000A5C3E"/>
    <w:rsid w:val="000A60CF"/>
    <w:rsid w:val="000A632E"/>
    <w:rsid w:val="000A688B"/>
    <w:rsid w:val="000A7CA5"/>
    <w:rsid w:val="000B03AB"/>
    <w:rsid w:val="000B50B6"/>
    <w:rsid w:val="000B7069"/>
    <w:rsid w:val="000B7F86"/>
    <w:rsid w:val="000C030D"/>
    <w:rsid w:val="000C397B"/>
    <w:rsid w:val="000C4AD9"/>
    <w:rsid w:val="000C4DAD"/>
    <w:rsid w:val="000C4F05"/>
    <w:rsid w:val="000C67D0"/>
    <w:rsid w:val="000D0345"/>
    <w:rsid w:val="000D16D6"/>
    <w:rsid w:val="000D2271"/>
    <w:rsid w:val="000D52E9"/>
    <w:rsid w:val="000E1776"/>
    <w:rsid w:val="000E1E74"/>
    <w:rsid w:val="000E3C49"/>
    <w:rsid w:val="000E42EE"/>
    <w:rsid w:val="000E76BE"/>
    <w:rsid w:val="000E79E8"/>
    <w:rsid w:val="000F345D"/>
    <w:rsid w:val="000F372D"/>
    <w:rsid w:val="000F494C"/>
    <w:rsid w:val="000F5A16"/>
    <w:rsid w:val="000F63F7"/>
    <w:rsid w:val="000F78B7"/>
    <w:rsid w:val="00100164"/>
    <w:rsid w:val="00100942"/>
    <w:rsid w:val="00100C9F"/>
    <w:rsid w:val="00103F07"/>
    <w:rsid w:val="00105A87"/>
    <w:rsid w:val="00105F7A"/>
    <w:rsid w:val="00106022"/>
    <w:rsid w:val="001065F5"/>
    <w:rsid w:val="001070C2"/>
    <w:rsid w:val="00107114"/>
    <w:rsid w:val="001071AB"/>
    <w:rsid w:val="001126E9"/>
    <w:rsid w:val="00112BDB"/>
    <w:rsid w:val="00116B4D"/>
    <w:rsid w:val="001206FC"/>
    <w:rsid w:val="001208C0"/>
    <w:rsid w:val="0012201C"/>
    <w:rsid w:val="00122C0A"/>
    <w:rsid w:val="00122D5F"/>
    <w:rsid w:val="00123522"/>
    <w:rsid w:val="0012366A"/>
    <w:rsid w:val="001238EF"/>
    <w:rsid w:val="00124AF0"/>
    <w:rsid w:val="00125C33"/>
    <w:rsid w:val="001310CA"/>
    <w:rsid w:val="0013127D"/>
    <w:rsid w:val="00131391"/>
    <w:rsid w:val="0013268A"/>
    <w:rsid w:val="0013346D"/>
    <w:rsid w:val="00133873"/>
    <w:rsid w:val="001352B4"/>
    <w:rsid w:val="00140F72"/>
    <w:rsid w:val="001410B8"/>
    <w:rsid w:val="00141E48"/>
    <w:rsid w:val="001426FE"/>
    <w:rsid w:val="00143D48"/>
    <w:rsid w:val="00146047"/>
    <w:rsid w:val="00147E37"/>
    <w:rsid w:val="001501FB"/>
    <w:rsid w:val="00153920"/>
    <w:rsid w:val="00153B74"/>
    <w:rsid w:val="00154B05"/>
    <w:rsid w:val="001563F1"/>
    <w:rsid w:val="00157533"/>
    <w:rsid w:val="00157CCB"/>
    <w:rsid w:val="00157DD5"/>
    <w:rsid w:val="00160C38"/>
    <w:rsid w:val="001632FF"/>
    <w:rsid w:val="00163F29"/>
    <w:rsid w:val="001642A4"/>
    <w:rsid w:val="0016677D"/>
    <w:rsid w:val="00166824"/>
    <w:rsid w:val="00170F6C"/>
    <w:rsid w:val="0017156A"/>
    <w:rsid w:val="00173573"/>
    <w:rsid w:val="0017420A"/>
    <w:rsid w:val="0017550E"/>
    <w:rsid w:val="00177C27"/>
    <w:rsid w:val="00181317"/>
    <w:rsid w:val="00182BBF"/>
    <w:rsid w:val="00182F8D"/>
    <w:rsid w:val="00183430"/>
    <w:rsid w:val="001856D3"/>
    <w:rsid w:val="001860E2"/>
    <w:rsid w:val="001941D2"/>
    <w:rsid w:val="00197613"/>
    <w:rsid w:val="001A017E"/>
    <w:rsid w:val="001A2E79"/>
    <w:rsid w:val="001A334E"/>
    <w:rsid w:val="001A3B7E"/>
    <w:rsid w:val="001A3CD8"/>
    <w:rsid w:val="001A4355"/>
    <w:rsid w:val="001A70C2"/>
    <w:rsid w:val="001B327D"/>
    <w:rsid w:val="001B38F4"/>
    <w:rsid w:val="001B4685"/>
    <w:rsid w:val="001B519C"/>
    <w:rsid w:val="001B5565"/>
    <w:rsid w:val="001B62C9"/>
    <w:rsid w:val="001B7EC4"/>
    <w:rsid w:val="001C1667"/>
    <w:rsid w:val="001C1757"/>
    <w:rsid w:val="001C2A5F"/>
    <w:rsid w:val="001C543C"/>
    <w:rsid w:val="001D0186"/>
    <w:rsid w:val="001D146B"/>
    <w:rsid w:val="001D1855"/>
    <w:rsid w:val="001D3D3C"/>
    <w:rsid w:val="001D4D44"/>
    <w:rsid w:val="001D5D87"/>
    <w:rsid w:val="001D6849"/>
    <w:rsid w:val="001D6BAD"/>
    <w:rsid w:val="001D6D0E"/>
    <w:rsid w:val="001D70AC"/>
    <w:rsid w:val="001D7E80"/>
    <w:rsid w:val="001E0FE2"/>
    <w:rsid w:val="001E11B2"/>
    <w:rsid w:val="001E1E50"/>
    <w:rsid w:val="001E2DD2"/>
    <w:rsid w:val="001E653B"/>
    <w:rsid w:val="001E7AC0"/>
    <w:rsid w:val="001F033F"/>
    <w:rsid w:val="001F1B1A"/>
    <w:rsid w:val="001F1B45"/>
    <w:rsid w:val="001F56CF"/>
    <w:rsid w:val="001F6616"/>
    <w:rsid w:val="001F7F1A"/>
    <w:rsid w:val="0020172A"/>
    <w:rsid w:val="00201F28"/>
    <w:rsid w:val="00203B04"/>
    <w:rsid w:val="002042C4"/>
    <w:rsid w:val="00205E38"/>
    <w:rsid w:val="002072BF"/>
    <w:rsid w:val="002079E8"/>
    <w:rsid w:val="00211378"/>
    <w:rsid w:val="0021155C"/>
    <w:rsid w:val="00212A28"/>
    <w:rsid w:val="00215BD5"/>
    <w:rsid w:val="00216F51"/>
    <w:rsid w:val="00217175"/>
    <w:rsid w:val="00220FBD"/>
    <w:rsid w:val="00221417"/>
    <w:rsid w:val="00221B2E"/>
    <w:rsid w:val="00221F44"/>
    <w:rsid w:val="00223EBF"/>
    <w:rsid w:val="00225DB2"/>
    <w:rsid w:val="00230630"/>
    <w:rsid w:val="002332D4"/>
    <w:rsid w:val="002338AC"/>
    <w:rsid w:val="00233DC7"/>
    <w:rsid w:val="00234A8C"/>
    <w:rsid w:val="00236563"/>
    <w:rsid w:val="0023671D"/>
    <w:rsid w:val="00237E7D"/>
    <w:rsid w:val="00240A9D"/>
    <w:rsid w:val="00243763"/>
    <w:rsid w:val="00244E5C"/>
    <w:rsid w:val="00247778"/>
    <w:rsid w:val="00247779"/>
    <w:rsid w:val="002502E7"/>
    <w:rsid w:val="0025147D"/>
    <w:rsid w:val="00252045"/>
    <w:rsid w:val="0025229D"/>
    <w:rsid w:val="00253D29"/>
    <w:rsid w:val="002545AF"/>
    <w:rsid w:val="00255E66"/>
    <w:rsid w:val="0025613A"/>
    <w:rsid w:val="002603A5"/>
    <w:rsid w:val="00263BB6"/>
    <w:rsid w:val="0026477A"/>
    <w:rsid w:val="00265A40"/>
    <w:rsid w:val="00265F7E"/>
    <w:rsid w:val="0026720D"/>
    <w:rsid w:val="00267EB4"/>
    <w:rsid w:val="00270444"/>
    <w:rsid w:val="00270B24"/>
    <w:rsid w:val="00272C00"/>
    <w:rsid w:val="00273291"/>
    <w:rsid w:val="00273852"/>
    <w:rsid w:val="00274A1E"/>
    <w:rsid w:val="00276285"/>
    <w:rsid w:val="00276DAE"/>
    <w:rsid w:val="00277EFC"/>
    <w:rsid w:val="00280626"/>
    <w:rsid w:val="00280874"/>
    <w:rsid w:val="00280AB3"/>
    <w:rsid w:val="00280BF4"/>
    <w:rsid w:val="00282B56"/>
    <w:rsid w:val="00283379"/>
    <w:rsid w:val="00283C21"/>
    <w:rsid w:val="00285BEE"/>
    <w:rsid w:val="00285C36"/>
    <w:rsid w:val="0028776E"/>
    <w:rsid w:val="00292A9A"/>
    <w:rsid w:val="00292D97"/>
    <w:rsid w:val="002940AC"/>
    <w:rsid w:val="0029461D"/>
    <w:rsid w:val="0029533F"/>
    <w:rsid w:val="00295C8F"/>
    <w:rsid w:val="002962BA"/>
    <w:rsid w:val="0029706C"/>
    <w:rsid w:val="002A1380"/>
    <w:rsid w:val="002A265C"/>
    <w:rsid w:val="002A2F62"/>
    <w:rsid w:val="002A3EF7"/>
    <w:rsid w:val="002A4815"/>
    <w:rsid w:val="002A48D2"/>
    <w:rsid w:val="002A5449"/>
    <w:rsid w:val="002A79A4"/>
    <w:rsid w:val="002A7EBA"/>
    <w:rsid w:val="002B04CF"/>
    <w:rsid w:val="002B0F4D"/>
    <w:rsid w:val="002B25B7"/>
    <w:rsid w:val="002B2B06"/>
    <w:rsid w:val="002B30AF"/>
    <w:rsid w:val="002B35BE"/>
    <w:rsid w:val="002B4108"/>
    <w:rsid w:val="002B64F4"/>
    <w:rsid w:val="002C15E5"/>
    <w:rsid w:val="002C1D86"/>
    <w:rsid w:val="002C2E73"/>
    <w:rsid w:val="002C3826"/>
    <w:rsid w:val="002C5C7D"/>
    <w:rsid w:val="002C5F72"/>
    <w:rsid w:val="002C78DF"/>
    <w:rsid w:val="002D0A86"/>
    <w:rsid w:val="002D1484"/>
    <w:rsid w:val="002D294B"/>
    <w:rsid w:val="002D663D"/>
    <w:rsid w:val="002D6A34"/>
    <w:rsid w:val="002D767C"/>
    <w:rsid w:val="002E0318"/>
    <w:rsid w:val="002E33A3"/>
    <w:rsid w:val="002E3476"/>
    <w:rsid w:val="002E7E2E"/>
    <w:rsid w:val="002F18CF"/>
    <w:rsid w:val="002F2C1B"/>
    <w:rsid w:val="002F36DE"/>
    <w:rsid w:val="002F3AB9"/>
    <w:rsid w:val="002F400F"/>
    <w:rsid w:val="002F6C33"/>
    <w:rsid w:val="002F7166"/>
    <w:rsid w:val="002F7179"/>
    <w:rsid w:val="002F7939"/>
    <w:rsid w:val="00300E3C"/>
    <w:rsid w:val="00303703"/>
    <w:rsid w:val="00303F12"/>
    <w:rsid w:val="003041B8"/>
    <w:rsid w:val="00312E18"/>
    <w:rsid w:val="0031479E"/>
    <w:rsid w:val="00317DAF"/>
    <w:rsid w:val="00320D53"/>
    <w:rsid w:val="00323636"/>
    <w:rsid w:val="00323D34"/>
    <w:rsid w:val="00326D7C"/>
    <w:rsid w:val="00327E3B"/>
    <w:rsid w:val="0033112D"/>
    <w:rsid w:val="0033344A"/>
    <w:rsid w:val="00333B23"/>
    <w:rsid w:val="00334EFD"/>
    <w:rsid w:val="00335DB5"/>
    <w:rsid w:val="003362EA"/>
    <w:rsid w:val="00336FA0"/>
    <w:rsid w:val="0033739C"/>
    <w:rsid w:val="00337FEE"/>
    <w:rsid w:val="00344BB1"/>
    <w:rsid w:val="00345504"/>
    <w:rsid w:val="003458E5"/>
    <w:rsid w:val="0034618B"/>
    <w:rsid w:val="003462C6"/>
    <w:rsid w:val="003504EB"/>
    <w:rsid w:val="00350C9E"/>
    <w:rsid w:val="00351CB8"/>
    <w:rsid w:val="00351E51"/>
    <w:rsid w:val="00352182"/>
    <w:rsid w:val="003553BD"/>
    <w:rsid w:val="003553F8"/>
    <w:rsid w:val="003558E5"/>
    <w:rsid w:val="00355DE5"/>
    <w:rsid w:val="003564EA"/>
    <w:rsid w:val="00360560"/>
    <w:rsid w:val="003613C1"/>
    <w:rsid w:val="0036466B"/>
    <w:rsid w:val="00365387"/>
    <w:rsid w:val="00365526"/>
    <w:rsid w:val="00365828"/>
    <w:rsid w:val="00366073"/>
    <w:rsid w:val="003673F1"/>
    <w:rsid w:val="003719FB"/>
    <w:rsid w:val="0037331D"/>
    <w:rsid w:val="00373405"/>
    <w:rsid w:val="00375AF7"/>
    <w:rsid w:val="00377D7A"/>
    <w:rsid w:val="00377DF6"/>
    <w:rsid w:val="00377E66"/>
    <w:rsid w:val="00380616"/>
    <w:rsid w:val="0038501E"/>
    <w:rsid w:val="0038779B"/>
    <w:rsid w:val="00391695"/>
    <w:rsid w:val="00393C44"/>
    <w:rsid w:val="003962C0"/>
    <w:rsid w:val="00396779"/>
    <w:rsid w:val="00396C66"/>
    <w:rsid w:val="0039731B"/>
    <w:rsid w:val="00397593"/>
    <w:rsid w:val="003A21B8"/>
    <w:rsid w:val="003A4154"/>
    <w:rsid w:val="003A5339"/>
    <w:rsid w:val="003A6A52"/>
    <w:rsid w:val="003A6C62"/>
    <w:rsid w:val="003A6F12"/>
    <w:rsid w:val="003A77CD"/>
    <w:rsid w:val="003B18C6"/>
    <w:rsid w:val="003B21EA"/>
    <w:rsid w:val="003B31F9"/>
    <w:rsid w:val="003B4793"/>
    <w:rsid w:val="003B4ABD"/>
    <w:rsid w:val="003B4ECB"/>
    <w:rsid w:val="003B644F"/>
    <w:rsid w:val="003B70AB"/>
    <w:rsid w:val="003B76FF"/>
    <w:rsid w:val="003C0CB7"/>
    <w:rsid w:val="003C138B"/>
    <w:rsid w:val="003C4589"/>
    <w:rsid w:val="003C52B1"/>
    <w:rsid w:val="003C5A79"/>
    <w:rsid w:val="003C630F"/>
    <w:rsid w:val="003C6BB8"/>
    <w:rsid w:val="003D0825"/>
    <w:rsid w:val="003D1E53"/>
    <w:rsid w:val="003D23F2"/>
    <w:rsid w:val="003D35AB"/>
    <w:rsid w:val="003D5F23"/>
    <w:rsid w:val="003D6756"/>
    <w:rsid w:val="003D769D"/>
    <w:rsid w:val="003D76C0"/>
    <w:rsid w:val="003D7D67"/>
    <w:rsid w:val="003E10B8"/>
    <w:rsid w:val="003E2B32"/>
    <w:rsid w:val="003E4142"/>
    <w:rsid w:val="003E4742"/>
    <w:rsid w:val="003E4DBB"/>
    <w:rsid w:val="003E57A4"/>
    <w:rsid w:val="003E70E6"/>
    <w:rsid w:val="003E71AF"/>
    <w:rsid w:val="003E7729"/>
    <w:rsid w:val="003F18E0"/>
    <w:rsid w:val="003F2DAD"/>
    <w:rsid w:val="003F2FE2"/>
    <w:rsid w:val="003F672E"/>
    <w:rsid w:val="00400BAC"/>
    <w:rsid w:val="0040204A"/>
    <w:rsid w:val="004032E0"/>
    <w:rsid w:val="00405898"/>
    <w:rsid w:val="00406E28"/>
    <w:rsid w:val="00407250"/>
    <w:rsid w:val="00410F90"/>
    <w:rsid w:val="00412A77"/>
    <w:rsid w:val="0041364C"/>
    <w:rsid w:val="00413B57"/>
    <w:rsid w:val="0041491D"/>
    <w:rsid w:val="0041542B"/>
    <w:rsid w:val="004176DE"/>
    <w:rsid w:val="0042287E"/>
    <w:rsid w:val="00423779"/>
    <w:rsid w:val="00425892"/>
    <w:rsid w:val="0042648E"/>
    <w:rsid w:val="004270D6"/>
    <w:rsid w:val="0043174F"/>
    <w:rsid w:val="004327F0"/>
    <w:rsid w:val="004340DC"/>
    <w:rsid w:val="0043513C"/>
    <w:rsid w:val="004352E7"/>
    <w:rsid w:val="00435757"/>
    <w:rsid w:val="00436827"/>
    <w:rsid w:val="004402BB"/>
    <w:rsid w:val="00443035"/>
    <w:rsid w:val="00443685"/>
    <w:rsid w:val="00443AFC"/>
    <w:rsid w:val="004441A8"/>
    <w:rsid w:val="00444251"/>
    <w:rsid w:val="00444661"/>
    <w:rsid w:val="004468A4"/>
    <w:rsid w:val="00447B53"/>
    <w:rsid w:val="00450B9E"/>
    <w:rsid w:val="00451D63"/>
    <w:rsid w:val="00455556"/>
    <w:rsid w:val="004568C0"/>
    <w:rsid w:val="0045691F"/>
    <w:rsid w:val="004603CB"/>
    <w:rsid w:val="00461631"/>
    <w:rsid w:val="00461CB8"/>
    <w:rsid w:val="004622F8"/>
    <w:rsid w:val="0046456D"/>
    <w:rsid w:val="004651ED"/>
    <w:rsid w:val="00466B12"/>
    <w:rsid w:val="0046738B"/>
    <w:rsid w:val="00470CB8"/>
    <w:rsid w:val="004730F6"/>
    <w:rsid w:val="004761F7"/>
    <w:rsid w:val="00476776"/>
    <w:rsid w:val="004768D5"/>
    <w:rsid w:val="00476F50"/>
    <w:rsid w:val="004770FC"/>
    <w:rsid w:val="00483243"/>
    <w:rsid w:val="00490B97"/>
    <w:rsid w:val="0049148D"/>
    <w:rsid w:val="00491846"/>
    <w:rsid w:val="00491C7E"/>
    <w:rsid w:val="004936D2"/>
    <w:rsid w:val="004955AA"/>
    <w:rsid w:val="004A199A"/>
    <w:rsid w:val="004A219F"/>
    <w:rsid w:val="004A2BFD"/>
    <w:rsid w:val="004A380A"/>
    <w:rsid w:val="004A6B66"/>
    <w:rsid w:val="004A7B21"/>
    <w:rsid w:val="004B0B79"/>
    <w:rsid w:val="004B16FE"/>
    <w:rsid w:val="004B26CB"/>
    <w:rsid w:val="004B5669"/>
    <w:rsid w:val="004B5DA8"/>
    <w:rsid w:val="004B6135"/>
    <w:rsid w:val="004B628F"/>
    <w:rsid w:val="004B660D"/>
    <w:rsid w:val="004B6938"/>
    <w:rsid w:val="004B6952"/>
    <w:rsid w:val="004B69FF"/>
    <w:rsid w:val="004B7232"/>
    <w:rsid w:val="004C05FF"/>
    <w:rsid w:val="004C0846"/>
    <w:rsid w:val="004C11FB"/>
    <w:rsid w:val="004C1802"/>
    <w:rsid w:val="004C4496"/>
    <w:rsid w:val="004C572D"/>
    <w:rsid w:val="004C6D56"/>
    <w:rsid w:val="004C7A3B"/>
    <w:rsid w:val="004D07C0"/>
    <w:rsid w:val="004D4116"/>
    <w:rsid w:val="004D454A"/>
    <w:rsid w:val="004D4C01"/>
    <w:rsid w:val="004D4EE3"/>
    <w:rsid w:val="004E0A3A"/>
    <w:rsid w:val="004E1032"/>
    <w:rsid w:val="004E3080"/>
    <w:rsid w:val="004E70FC"/>
    <w:rsid w:val="004E74C3"/>
    <w:rsid w:val="004F3699"/>
    <w:rsid w:val="004F6A90"/>
    <w:rsid w:val="00503290"/>
    <w:rsid w:val="00505F8F"/>
    <w:rsid w:val="0050721D"/>
    <w:rsid w:val="00507666"/>
    <w:rsid w:val="00507B86"/>
    <w:rsid w:val="005106ED"/>
    <w:rsid w:val="005115ED"/>
    <w:rsid w:val="00511D66"/>
    <w:rsid w:val="0051206A"/>
    <w:rsid w:val="00512097"/>
    <w:rsid w:val="0051239E"/>
    <w:rsid w:val="00515B4D"/>
    <w:rsid w:val="00516650"/>
    <w:rsid w:val="00520BE2"/>
    <w:rsid w:val="00520D52"/>
    <w:rsid w:val="00520D65"/>
    <w:rsid w:val="00521FA2"/>
    <w:rsid w:val="00522864"/>
    <w:rsid w:val="00523393"/>
    <w:rsid w:val="0052355F"/>
    <w:rsid w:val="00524957"/>
    <w:rsid w:val="00525247"/>
    <w:rsid w:val="00525341"/>
    <w:rsid w:val="00525FE6"/>
    <w:rsid w:val="005273B9"/>
    <w:rsid w:val="00530B77"/>
    <w:rsid w:val="00532AC2"/>
    <w:rsid w:val="0053357E"/>
    <w:rsid w:val="005369FC"/>
    <w:rsid w:val="005378BF"/>
    <w:rsid w:val="00544AAB"/>
    <w:rsid w:val="00544BDD"/>
    <w:rsid w:val="005451CB"/>
    <w:rsid w:val="00545462"/>
    <w:rsid w:val="00545DDD"/>
    <w:rsid w:val="00546F45"/>
    <w:rsid w:val="00547034"/>
    <w:rsid w:val="0055010F"/>
    <w:rsid w:val="005512B9"/>
    <w:rsid w:val="0055249D"/>
    <w:rsid w:val="00554805"/>
    <w:rsid w:val="005550A5"/>
    <w:rsid w:val="005552D1"/>
    <w:rsid w:val="00555967"/>
    <w:rsid w:val="00556220"/>
    <w:rsid w:val="00556871"/>
    <w:rsid w:val="005572C1"/>
    <w:rsid w:val="00560BC8"/>
    <w:rsid w:val="00560FE4"/>
    <w:rsid w:val="00563978"/>
    <w:rsid w:val="005669F0"/>
    <w:rsid w:val="0057014B"/>
    <w:rsid w:val="00572E1B"/>
    <w:rsid w:val="00573D70"/>
    <w:rsid w:val="0057468C"/>
    <w:rsid w:val="005756A9"/>
    <w:rsid w:val="00575D1A"/>
    <w:rsid w:val="005760E1"/>
    <w:rsid w:val="00577587"/>
    <w:rsid w:val="00577DBA"/>
    <w:rsid w:val="00581643"/>
    <w:rsid w:val="00583931"/>
    <w:rsid w:val="0058565A"/>
    <w:rsid w:val="005857FE"/>
    <w:rsid w:val="005875B0"/>
    <w:rsid w:val="00587D04"/>
    <w:rsid w:val="00590886"/>
    <w:rsid w:val="00591905"/>
    <w:rsid w:val="00592306"/>
    <w:rsid w:val="00593C71"/>
    <w:rsid w:val="0059480C"/>
    <w:rsid w:val="0059653F"/>
    <w:rsid w:val="0059681F"/>
    <w:rsid w:val="005A1878"/>
    <w:rsid w:val="005A2292"/>
    <w:rsid w:val="005A38AE"/>
    <w:rsid w:val="005A424D"/>
    <w:rsid w:val="005A4359"/>
    <w:rsid w:val="005A4F4D"/>
    <w:rsid w:val="005A57D9"/>
    <w:rsid w:val="005A7471"/>
    <w:rsid w:val="005B04A6"/>
    <w:rsid w:val="005B1EB6"/>
    <w:rsid w:val="005B238D"/>
    <w:rsid w:val="005B3F21"/>
    <w:rsid w:val="005C03EB"/>
    <w:rsid w:val="005C3616"/>
    <w:rsid w:val="005C37D6"/>
    <w:rsid w:val="005C3A96"/>
    <w:rsid w:val="005C42B6"/>
    <w:rsid w:val="005C4963"/>
    <w:rsid w:val="005C5F1F"/>
    <w:rsid w:val="005C7C5E"/>
    <w:rsid w:val="005D064F"/>
    <w:rsid w:val="005D084C"/>
    <w:rsid w:val="005D0FE4"/>
    <w:rsid w:val="005D1C04"/>
    <w:rsid w:val="005D29C4"/>
    <w:rsid w:val="005D2BE1"/>
    <w:rsid w:val="005D2C90"/>
    <w:rsid w:val="005D3933"/>
    <w:rsid w:val="005D499D"/>
    <w:rsid w:val="005D5384"/>
    <w:rsid w:val="005D7BEE"/>
    <w:rsid w:val="005E224B"/>
    <w:rsid w:val="005E266B"/>
    <w:rsid w:val="005E3F23"/>
    <w:rsid w:val="005E5179"/>
    <w:rsid w:val="005E522E"/>
    <w:rsid w:val="005E6AA2"/>
    <w:rsid w:val="005E6FD6"/>
    <w:rsid w:val="005F0188"/>
    <w:rsid w:val="005F110C"/>
    <w:rsid w:val="005F1C9A"/>
    <w:rsid w:val="005F1CBC"/>
    <w:rsid w:val="005F2F1C"/>
    <w:rsid w:val="005F3623"/>
    <w:rsid w:val="005F39F6"/>
    <w:rsid w:val="005F4479"/>
    <w:rsid w:val="005F4983"/>
    <w:rsid w:val="005F589A"/>
    <w:rsid w:val="005F65AF"/>
    <w:rsid w:val="00600638"/>
    <w:rsid w:val="00600AE6"/>
    <w:rsid w:val="00603AC3"/>
    <w:rsid w:val="00606D8C"/>
    <w:rsid w:val="00607743"/>
    <w:rsid w:val="00611C32"/>
    <w:rsid w:val="006133A1"/>
    <w:rsid w:val="00614B89"/>
    <w:rsid w:val="00617070"/>
    <w:rsid w:val="0061707C"/>
    <w:rsid w:val="00622255"/>
    <w:rsid w:val="006222C4"/>
    <w:rsid w:val="00622744"/>
    <w:rsid w:val="0062476F"/>
    <w:rsid w:val="006268B4"/>
    <w:rsid w:val="00630256"/>
    <w:rsid w:val="0063076F"/>
    <w:rsid w:val="006310F1"/>
    <w:rsid w:val="006314ED"/>
    <w:rsid w:val="00632B2C"/>
    <w:rsid w:val="00634522"/>
    <w:rsid w:val="006346BD"/>
    <w:rsid w:val="006364EF"/>
    <w:rsid w:val="00640540"/>
    <w:rsid w:val="00641989"/>
    <w:rsid w:val="006419F1"/>
    <w:rsid w:val="00642224"/>
    <w:rsid w:val="00643081"/>
    <w:rsid w:val="006442A6"/>
    <w:rsid w:val="00646D16"/>
    <w:rsid w:val="00647A96"/>
    <w:rsid w:val="00653C8C"/>
    <w:rsid w:val="00654CF6"/>
    <w:rsid w:val="006560BA"/>
    <w:rsid w:val="00656FD7"/>
    <w:rsid w:val="00660769"/>
    <w:rsid w:val="00661684"/>
    <w:rsid w:val="00663EA4"/>
    <w:rsid w:val="006661D1"/>
    <w:rsid w:val="0066722C"/>
    <w:rsid w:val="0066795C"/>
    <w:rsid w:val="00670A29"/>
    <w:rsid w:val="00670A4B"/>
    <w:rsid w:val="00673B8B"/>
    <w:rsid w:val="00673C86"/>
    <w:rsid w:val="006743D5"/>
    <w:rsid w:val="00676738"/>
    <w:rsid w:val="00676F49"/>
    <w:rsid w:val="00681A75"/>
    <w:rsid w:val="00683764"/>
    <w:rsid w:val="0068433E"/>
    <w:rsid w:val="00685EDE"/>
    <w:rsid w:val="00687720"/>
    <w:rsid w:val="006908F9"/>
    <w:rsid w:val="00690C87"/>
    <w:rsid w:val="0069153B"/>
    <w:rsid w:val="00691565"/>
    <w:rsid w:val="00691A75"/>
    <w:rsid w:val="00691F15"/>
    <w:rsid w:val="00692091"/>
    <w:rsid w:val="006923FE"/>
    <w:rsid w:val="00693BB0"/>
    <w:rsid w:val="006942AC"/>
    <w:rsid w:val="00694706"/>
    <w:rsid w:val="00695D68"/>
    <w:rsid w:val="00697691"/>
    <w:rsid w:val="006979B0"/>
    <w:rsid w:val="006A03D1"/>
    <w:rsid w:val="006A21DA"/>
    <w:rsid w:val="006A2CD5"/>
    <w:rsid w:val="006B04CB"/>
    <w:rsid w:val="006B1F41"/>
    <w:rsid w:val="006B2585"/>
    <w:rsid w:val="006B4E4B"/>
    <w:rsid w:val="006B53BF"/>
    <w:rsid w:val="006B6D0C"/>
    <w:rsid w:val="006B6DA1"/>
    <w:rsid w:val="006B7922"/>
    <w:rsid w:val="006C11F1"/>
    <w:rsid w:val="006C3BB1"/>
    <w:rsid w:val="006C59BC"/>
    <w:rsid w:val="006C7FC2"/>
    <w:rsid w:val="006D0B58"/>
    <w:rsid w:val="006D19C5"/>
    <w:rsid w:val="006D476A"/>
    <w:rsid w:val="006D6A0E"/>
    <w:rsid w:val="006D6F98"/>
    <w:rsid w:val="006E0123"/>
    <w:rsid w:val="006E15ED"/>
    <w:rsid w:val="006E1FF9"/>
    <w:rsid w:val="006E5E66"/>
    <w:rsid w:val="006E61A8"/>
    <w:rsid w:val="006E6C1C"/>
    <w:rsid w:val="006E6CE4"/>
    <w:rsid w:val="006F008E"/>
    <w:rsid w:val="006F1303"/>
    <w:rsid w:val="006F158B"/>
    <w:rsid w:val="006F1D3A"/>
    <w:rsid w:val="006F2D4A"/>
    <w:rsid w:val="006F3836"/>
    <w:rsid w:val="006F3EA2"/>
    <w:rsid w:val="006F5AFD"/>
    <w:rsid w:val="006F5F3D"/>
    <w:rsid w:val="006F5FDC"/>
    <w:rsid w:val="006F639B"/>
    <w:rsid w:val="006F6CFF"/>
    <w:rsid w:val="006F6DBD"/>
    <w:rsid w:val="006F70F0"/>
    <w:rsid w:val="007005C6"/>
    <w:rsid w:val="00701A75"/>
    <w:rsid w:val="00701F86"/>
    <w:rsid w:val="0070239C"/>
    <w:rsid w:val="00702D13"/>
    <w:rsid w:val="00702D95"/>
    <w:rsid w:val="00702DF9"/>
    <w:rsid w:val="0070601C"/>
    <w:rsid w:val="00706278"/>
    <w:rsid w:val="00706626"/>
    <w:rsid w:val="0070698D"/>
    <w:rsid w:val="00706BCD"/>
    <w:rsid w:val="00706ED1"/>
    <w:rsid w:val="0071068E"/>
    <w:rsid w:val="00711A1F"/>
    <w:rsid w:val="00712D38"/>
    <w:rsid w:val="00713D5B"/>
    <w:rsid w:val="0071576B"/>
    <w:rsid w:val="00716325"/>
    <w:rsid w:val="00716959"/>
    <w:rsid w:val="00717C77"/>
    <w:rsid w:val="00720053"/>
    <w:rsid w:val="007202CE"/>
    <w:rsid w:val="00721611"/>
    <w:rsid w:val="0072309E"/>
    <w:rsid w:val="00723423"/>
    <w:rsid w:val="00724286"/>
    <w:rsid w:val="00724969"/>
    <w:rsid w:val="00731FF4"/>
    <w:rsid w:val="00735B4D"/>
    <w:rsid w:val="00740DB6"/>
    <w:rsid w:val="007410D0"/>
    <w:rsid w:val="0074144D"/>
    <w:rsid w:val="00742F01"/>
    <w:rsid w:val="00742FD3"/>
    <w:rsid w:val="007448AC"/>
    <w:rsid w:val="0074573D"/>
    <w:rsid w:val="00745CA3"/>
    <w:rsid w:val="007465C6"/>
    <w:rsid w:val="00746AC2"/>
    <w:rsid w:val="00746B51"/>
    <w:rsid w:val="00750DD0"/>
    <w:rsid w:val="007518F5"/>
    <w:rsid w:val="00752C9C"/>
    <w:rsid w:val="00753F5C"/>
    <w:rsid w:val="00755161"/>
    <w:rsid w:val="00760CD9"/>
    <w:rsid w:val="00762097"/>
    <w:rsid w:val="00763E9F"/>
    <w:rsid w:val="007642E7"/>
    <w:rsid w:val="007644DB"/>
    <w:rsid w:val="0076497D"/>
    <w:rsid w:val="007652EC"/>
    <w:rsid w:val="00767F95"/>
    <w:rsid w:val="0077108E"/>
    <w:rsid w:val="007711CA"/>
    <w:rsid w:val="00771A0B"/>
    <w:rsid w:val="00773331"/>
    <w:rsid w:val="007740A1"/>
    <w:rsid w:val="007747BB"/>
    <w:rsid w:val="00775A61"/>
    <w:rsid w:val="00775A71"/>
    <w:rsid w:val="00776AC5"/>
    <w:rsid w:val="00784128"/>
    <w:rsid w:val="00785160"/>
    <w:rsid w:val="00785C88"/>
    <w:rsid w:val="00786CC1"/>
    <w:rsid w:val="007903B7"/>
    <w:rsid w:val="00790B23"/>
    <w:rsid w:val="007911D9"/>
    <w:rsid w:val="007928F2"/>
    <w:rsid w:val="00793135"/>
    <w:rsid w:val="007932EF"/>
    <w:rsid w:val="0079357D"/>
    <w:rsid w:val="00794082"/>
    <w:rsid w:val="00795EFC"/>
    <w:rsid w:val="007A0BD4"/>
    <w:rsid w:val="007A0E80"/>
    <w:rsid w:val="007A16B5"/>
    <w:rsid w:val="007A4314"/>
    <w:rsid w:val="007A6809"/>
    <w:rsid w:val="007A7221"/>
    <w:rsid w:val="007A7BC5"/>
    <w:rsid w:val="007B2359"/>
    <w:rsid w:val="007B35DD"/>
    <w:rsid w:val="007B3666"/>
    <w:rsid w:val="007B4531"/>
    <w:rsid w:val="007B52C6"/>
    <w:rsid w:val="007B6021"/>
    <w:rsid w:val="007B6EF6"/>
    <w:rsid w:val="007B7725"/>
    <w:rsid w:val="007C0A99"/>
    <w:rsid w:val="007C2B94"/>
    <w:rsid w:val="007C4FCF"/>
    <w:rsid w:val="007C50FF"/>
    <w:rsid w:val="007C53EA"/>
    <w:rsid w:val="007C5A76"/>
    <w:rsid w:val="007C7B00"/>
    <w:rsid w:val="007D0C2F"/>
    <w:rsid w:val="007D100E"/>
    <w:rsid w:val="007D34E3"/>
    <w:rsid w:val="007D4DCD"/>
    <w:rsid w:val="007D6070"/>
    <w:rsid w:val="007D6EA6"/>
    <w:rsid w:val="007D7E59"/>
    <w:rsid w:val="007D7E75"/>
    <w:rsid w:val="007E05B0"/>
    <w:rsid w:val="007E25DC"/>
    <w:rsid w:val="007E28A6"/>
    <w:rsid w:val="007E36EB"/>
    <w:rsid w:val="007E4CB0"/>
    <w:rsid w:val="007E5CF9"/>
    <w:rsid w:val="007E6779"/>
    <w:rsid w:val="007E68D9"/>
    <w:rsid w:val="007F0806"/>
    <w:rsid w:val="007F1A54"/>
    <w:rsid w:val="007F27F2"/>
    <w:rsid w:val="007F459B"/>
    <w:rsid w:val="007F5333"/>
    <w:rsid w:val="007F57B2"/>
    <w:rsid w:val="007F62C9"/>
    <w:rsid w:val="007F6FD8"/>
    <w:rsid w:val="00801556"/>
    <w:rsid w:val="00804B62"/>
    <w:rsid w:val="00804E33"/>
    <w:rsid w:val="00807625"/>
    <w:rsid w:val="0080764C"/>
    <w:rsid w:val="00810AC7"/>
    <w:rsid w:val="00811124"/>
    <w:rsid w:val="008111FF"/>
    <w:rsid w:val="008135FC"/>
    <w:rsid w:val="00813CE6"/>
    <w:rsid w:val="00814046"/>
    <w:rsid w:val="00820BB2"/>
    <w:rsid w:val="00820E25"/>
    <w:rsid w:val="00823397"/>
    <w:rsid w:val="00824B15"/>
    <w:rsid w:val="00827164"/>
    <w:rsid w:val="008273F3"/>
    <w:rsid w:val="00830251"/>
    <w:rsid w:val="00830A6D"/>
    <w:rsid w:val="00833D84"/>
    <w:rsid w:val="00835EC5"/>
    <w:rsid w:val="00836CB7"/>
    <w:rsid w:val="0083758F"/>
    <w:rsid w:val="00842E98"/>
    <w:rsid w:val="008437C1"/>
    <w:rsid w:val="0084789D"/>
    <w:rsid w:val="00847D59"/>
    <w:rsid w:val="00851D42"/>
    <w:rsid w:val="0085323C"/>
    <w:rsid w:val="00856152"/>
    <w:rsid w:val="00857108"/>
    <w:rsid w:val="00857C0A"/>
    <w:rsid w:val="00857C8B"/>
    <w:rsid w:val="00857EB9"/>
    <w:rsid w:val="00857EE5"/>
    <w:rsid w:val="00857F0D"/>
    <w:rsid w:val="008600D1"/>
    <w:rsid w:val="00862142"/>
    <w:rsid w:val="00863915"/>
    <w:rsid w:val="00863A45"/>
    <w:rsid w:val="00863BD9"/>
    <w:rsid w:val="00863DC9"/>
    <w:rsid w:val="00864222"/>
    <w:rsid w:val="00864F0B"/>
    <w:rsid w:val="00865127"/>
    <w:rsid w:val="00871D94"/>
    <w:rsid w:val="00872993"/>
    <w:rsid w:val="00874D22"/>
    <w:rsid w:val="00876DEF"/>
    <w:rsid w:val="00880737"/>
    <w:rsid w:val="008807C3"/>
    <w:rsid w:val="008808E6"/>
    <w:rsid w:val="00880A74"/>
    <w:rsid w:val="00880B88"/>
    <w:rsid w:val="00881C94"/>
    <w:rsid w:val="00882057"/>
    <w:rsid w:val="00882213"/>
    <w:rsid w:val="008829C6"/>
    <w:rsid w:val="0088364F"/>
    <w:rsid w:val="008877BE"/>
    <w:rsid w:val="00887EF9"/>
    <w:rsid w:val="008905D7"/>
    <w:rsid w:val="00890BF5"/>
    <w:rsid w:val="00892DF1"/>
    <w:rsid w:val="00893188"/>
    <w:rsid w:val="00894059"/>
    <w:rsid w:val="008941DA"/>
    <w:rsid w:val="00894C46"/>
    <w:rsid w:val="0089571C"/>
    <w:rsid w:val="0089675D"/>
    <w:rsid w:val="008A063A"/>
    <w:rsid w:val="008A0A30"/>
    <w:rsid w:val="008A0A84"/>
    <w:rsid w:val="008A21D5"/>
    <w:rsid w:val="008A267D"/>
    <w:rsid w:val="008A2914"/>
    <w:rsid w:val="008A3A18"/>
    <w:rsid w:val="008A4D73"/>
    <w:rsid w:val="008A5964"/>
    <w:rsid w:val="008A5AC4"/>
    <w:rsid w:val="008A5DC4"/>
    <w:rsid w:val="008A6349"/>
    <w:rsid w:val="008A70E8"/>
    <w:rsid w:val="008A71F5"/>
    <w:rsid w:val="008A754B"/>
    <w:rsid w:val="008B0F2C"/>
    <w:rsid w:val="008B23A8"/>
    <w:rsid w:val="008B7437"/>
    <w:rsid w:val="008B74E6"/>
    <w:rsid w:val="008B7C41"/>
    <w:rsid w:val="008C04BD"/>
    <w:rsid w:val="008C2566"/>
    <w:rsid w:val="008C404D"/>
    <w:rsid w:val="008C4D9B"/>
    <w:rsid w:val="008C4F58"/>
    <w:rsid w:val="008C5778"/>
    <w:rsid w:val="008C5D97"/>
    <w:rsid w:val="008C6041"/>
    <w:rsid w:val="008C6B31"/>
    <w:rsid w:val="008C6B8F"/>
    <w:rsid w:val="008C7509"/>
    <w:rsid w:val="008D0B44"/>
    <w:rsid w:val="008D0E71"/>
    <w:rsid w:val="008D20DA"/>
    <w:rsid w:val="008D2188"/>
    <w:rsid w:val="008D2BB1"/>
    <w:rsid w:val="008D2DB2"/>
    <w:rsid w:val="008D4CFB"/>
    <w:rsid w:val="008D5830"/>
    <w:rsid w:val="008D6E99"/>
    <w:rsid w:val="008D7151"/>
    <w:rsid w:val="008D7D36"/>
    <w:rsid w:val="008E077F"/>
    <w:rsid w:val="008E28BC"/>
    <w:rsid w:val="008E3062"/>
    <w:rsid w:val="008E4D8E"/>
    <w:rsid w:val="008E5480"/>
    <w:rsid w:val="008E5D59"/>
    <w:rsid w:val="008F0810"/>
    <w:rsid w:val="008F0AEF"/>
    <w:rsid w:val="008F1B6A"/>
    <w:rsid w:val="008F45B9"/>
    <w:rsid w:val="008F4C70"/>
    <w:rsid w:val="008F5FDA"/>
    <w:rsid w:val="008F7783"/>
    <w:rsid w:val="008F7AC6"/>
    <w:rsid w:val="00901FB1"/>
    <w:rsid w:val="009039E6"/>
    <w:rsid w:val="00903A97"/>
    <w:rsid w:val="00903DB8"/>
    <w:rsid w:val="00904A5A"/>
    <w:rsid w:val="00905253"/>
    <w:rsid w:val="0090659B"/>
    <w:rsid w:val="00910607"/>
    <w:rsid w:val="00910A61"/>
    <w:rsid w:val="00912BFB"/>
    <w:rsid w:val="00914664"/>
    <w:rsid w:val="009155AC"/>
    <w:rsid w:val="00915FF3"/>
    <w:rsid w:val="0091668A"/>
    <w:rsid w:val="00920259"/>
    <w:rsid w:val="00920879"/>
    <w:rsid w:val="0092096B"/>
    <w:rsid w:val="00923ECB"/>
    <w:rsid w:val="00924833"/>
    <w:rsid w:val="00924927"/>
    <w:rsid w:val="00925DDC"/>
    <w:rsid w:val="0093256E"/>
    <w:rsid w:val="00933F4A"/>
    <w:rsid w:val="00934518"/>
    <w:rsid w:val="009372DF"/>
    <w:rsid w:val="00937E09"/>
    <w:rsid w:val="009403D5"/>
    <w:rsid w:val="00942B07"/>
    <w:rsid w:val="00943B31"/>
    <w:rsid w:val="009446F0"/>
    <w:rsid w:val="00946A2B"/>
    <w:rsid w:val="00951CAF"/>
    <w:rsid w:val="00953EDB"/>
    <w:rsid w:val="0095512F"/>
    <w:rsid w:val="00960957"/>
    <w:rsid w:val="00961DB6"/>
    <w:rsid w:val="009636C0"/>
    <w:rsid w:val="009638CD"/>
    <w:rsid w:val="009643FC"/>
    <w:rsid w:val="0096571F"/>
    <w:rsid w:val="00966A27"/>
    <w:rsid w:val="00971D0E"/>
    <w:rsid w:val="00971DBE"/>
    <w:rsid w:val="00973E82"/>
    <w:rsid w:val="00974B06"/>
    <w:rsid w:val="0097544F"/>
    <w:rsid w:val="00975B81"/>
    <w:rsid w:val="00975BA6"/>
    <w:rsid w:val="00976E84"/>
    <w:rsid w:val="00977671"/>
    <w:rsid w:val="009779C3"/>
    <w:rsid w:val="00980E48"/>
    <w:rsid w:val="0098135B"/>
    <w:rsid w:val="00981E2C"/>
    <w:rsid w:val="009823F9"/>
    <w:rsid w:val="0098604C"/>
    <w:rsid w:val="00991411"/>
    <w:rsid w:val="00992BCB"/>
    <w:rsid w:val="009936E0"/>
    <w:rsid w:val="0099536E"/>
    <w:rsid w:val="00996B7F"/>
    <w:rsid w:val="009A3027"/>
    <w:rsid w:val="009A3FB3"/>
    <w:rsid w:val="009A4AA5"/>
    <w:rsid w:val="009A5772"/>
    <w:rsid w:val="009A68C7"/>
    <w:rsid w:val="009B0A79"/>
    <w:rsid w:val="009B0F68"/>
    <w:rsid w:val="009B4380"/>
    <w:rsid w:val="009B4CCA"/>
    <w:rsid w:val="009B58CD"/>
    <w:rsid w:val="009B6114"/>
    <w:rsid w:val="009B6C58"/>
    <w:rsid w:val="009B7CF3"/>
    <w:rsid w:val="009C141D"/>
    <w:rsid w:val="009C1C04"/>
    <w:rsid w:val="009C45FF"/>
    <w:rsid w:val="009C680B"/>
    <w:rsid w:val="009C6D74"/>
    <w:rsid w:val="009C6E62"/>
    <w:rsid w:val="009C6F88"/>
    <w:rsid w:val="009D0ED0"/>
    <w:rsid w:val="009D11AF"/>
    <w:rsid w:val="009D140F"/>
    <w:rsid w:val="009D2DA9"/>
    <w:rsid w:val="009D6C1D"/>
    <w:rsid w:val="009D6C3F"/>
    <w:rsid w:val="009D7488"/>
    <w:rsid w:val="009D7812"/>
    <w:rsid w:val="009E365D"/>
    <w:rsid w:val="009E448B"/>
    <w:rsid w:val="009E4CB0"/>
    <w:rsid w:val="009E5C5C"/>
    <w:rsid w:val="009E658F"/>
    <w:rsid w:val="009E664B"/>
    <w:rsid w:val="009E7491"/>
    <w:rsid w:val="009F07AE"/>
    <w:rsid w:val="009F3232"/>
    <w:rsid w:val="009F4774"/>
    <w:rsid w:val="009F5137"/>
    <w:rsid w:val="00A004F5"/>
    <w:rsid w:val="00A01D71"/>
    <w:rsid w:val="00A01F15"/>
    <w:rsid w:val="00A0203E"/>
    <w:rsid w:val="00A036A5"/>
    <w:rsid w:val="00A03C87"/>
    <w:rsid w:val="00A11E26"/>
    <w:rsid w:val="00A11FDA"/>
    <w:rsid w:val="00A12761"/>
    <w:rsid w:val="00A13A9D"/>
    <w:rsid w:val="00A15AED"/>
    <w:rsid w:val="00A207AD"/>
    <w:rsid w:val="00A21CFA"/>
    <w:rsid w:val="00A22B3B"/>
    <w:rsid w:val="00A25E82"/>
    <w:rsid w:val="00A26E05"/>
    <w:rsid w:val="00A272F6"/>
    <w:rsid w:val="00A2735D"/>
    <w:rsid w:val="00A27C3C"/>
    <w:rsid w:val="00A32335"/>
    <w:rsid w:val="00A32927"/>
    <w:rsid w:val="00A32F48"/>
    <w:rsid w:val="00A33D59"/>
    <w:rsid w:val="00A340F6"/>
    <w:rsid w:val="00A34A61"/>
    <w:rsid w:val="00A35910"/>
    <w:rsid w:val="00A36295"/>
    <w:rsid w:val="00A374C4"/>
    <w:rsid w:val="00A40CA6"/>
    <w:rsid w:val="00A4155D"/>
    <w:rsid w:val="00A44AA6"/>
    <w:rsid w:val="00A4527B"/>
    <w:rsid w:val="00A45C6F"/>
    <w:rsid w:val="00A45EE4"/>
    <w:rsid w:val="00A46837"/>
    <w:rsid w:val="00A468C2"/>
    <w:rsid w:val="00A50762"/>
    <w:rsid w:val="00A5218B"/>
    <w:rsid w:val="00A56B58"/>
    <w:rsid w:val="00A61733"/>
    <w:rsid w:val="00A64053"/>
    <w:rsid w:val="00A64CE7"/>
    <w:rsid w:val="00A66DB0"/>
    <w:rsid w:val="00A67232"/>
    <w:rsid w:val="00A70181"/>
    <w:rsid w:val="00A7058B"/>
    <w:rsid w:val="00A70783"/>
    <w:rsid w:val="00A710A9"/>
    <w:rsid w:val="00A72075"/>
    <w:rsid w:val="00A7223D"/>
    <w:rsid w:val="00A72DC3"/>
    <w:rsid w:val="00A7466B"/>
    <w:rsid w:val="00A75AD9"/>
    <w:rsid w:val="00A7610A"/>
    <w:rsid w:val="00A762F0"/>
    <w:rsid w:val="00A77C13"/>
    <w:rsid w:val="00A77C5D"/>
    <w:rsid w:val="00A83915"/>
    <w:rsid w:val="00A83D08"/>
    <w:rsid w:val="00A84CB4"/>
    <w:rsid w:val="00A856A0"/>
    <w:rsid w:val="00A86B90"/>
    <w:rsid w:val="00A870CE"/>
    <w:rsid w:val="00A87384"/>
    <w:rsid w:val="00A965CF"/>
    <w:rsid w:val="00A96657"/>
    <w:rsid w:val="00A96B6D"/>
    <w:rsid w:val="00A96D2E"/>
    <w:rsid w:val="00A9763C"/>
    <w:rsid w:val="00A97EB7"/>
    <w:rsid w:val="00AA0BFE"/>
    <w:rsid w:val="00AA1446"/>
    <w:rsid w:val="00AA1481"/>
    <w:rsid w:val="00AA1A99"/>
    <w:rsid w:val="00AA1BF7"/>
    <w:rsid w:val="00AA3E4A"/>
    <w:rsid w:val="00AA47CC"/>
    <w:rsid w:val="00AA5E8B"/>
    <w:rsid w:val="00AA69D7"/>
    <w:rsid w:val="00AA759E"/>
    <w:rsid w:val="00AA7AEE"/>
    <w:rsid w:val="00AA7D27"/>
    <w:rsid w:val="00AB04EF"/>
    <w:rsid w:val="00AB0A63"/>
    <w:rsid w:val="00AB1EC4"/>
    <w:rsid w:val="00AB33B8"/>
    <w:rsid w:val="00AB47B3"/>
    <w:rsid w:val="00AB5123"/>
    <w:rsid w:val="00AB5AF9"/>
    <w:rsid w:val="00AB5E67"/>
    <w:rsid w:val="00AB752F"/>
    <w:rsid w:val="00AC2D66"/>
    <w:rsid w:val="00AC46FD"/>
    <w:rsid w:val="00AC6FCC"/>
    <w:rsid w:val="00AC7906"/>
    <w:rsid w:val="00AD06E5"/>
    <w:rsid w:val="00AD10AB"/>
    <w:rsid w:val="00AD1EFF"/>
    <w:rsid w:val="00AD27C5"/>
    <w:rsid w:val="00AD39B1"/>
    <w:rsid w:val="00AD4320"/>
    <w:rsid w:val="00AD57B8"/>
    <w:rsid w:val="00AD5876"/>
    <w:rsid w:val="00AD61F8"/>
    <w:rsid w:val="00AD6D6B"/>
    <w:rsid w:val="00AD71B0"/>
    <w:rsid w:val="00AD7AD7"/>
    <w:rsid w:val="00AD7C92"/>
    <w:rsid w:val="00AE06D0"/>
    <w:rsid w:val="00AE3B39"/>
    <w:rsid w:val="00AE6C73"/>
    <w:rsid w:val="00AE72CF"/>
    <w:rsid w:val="00AE7670"/>
    <w:rsid w:val="00AE79AA"/>
    <w:rsid w:val="00AE7D3F"/>
    <w:rsid w:val="00AF1612"/>
    <w:rsid w:val="00AF3F69"/>
    <w:rsid w:val="00AF4212"/>
    <w:rsid w:val="00AF4EB4"/>
    <w:rsid w:val="00AF5DB0"/>
    <w:rsid w:val="00AF62D7"/>
    <w:rsid w:val="00B00806"/>
    <w:rsid w:val="00B015EC"/>
    <w:rsid w:val="00B02138"/>
    <w:rsid w:val="00B02C70"/>
    <w:rsid w:val="00B04641"/>
    <w:rsid w:val="00B04949"/>
    <w:rsid w:val="00B05E00"/>
    <w:rsid w:val="00B0714D"/>
    <w:rsid w:val="00B113A7"/>
    <w:rsid w:val="00B12AF7"/>
    <w:rsid w:val="00B134F0"/>
    <w:rsid w:val="00B13D92"/>
    <w:rsid w:val="00B1477B"/>
    <w:rsid w:val="00B14CF3"/>
    <w:rsid w:val="00B20C46"/>
    <w:rsid w:val="00B20E62"/>
    <w:rsid w:val="00B2460E"/>
    <w:rsid w:val="00B248DE"/>
    <w:rsid w:val="00B24E7B"/>
    <w:rsid w:val="00B263C4"/>
    <w:rsid w:val="00B26C97"/>
    <w:rsid w:val="00B27749"/>
    <w:rsid w:val="00B3080C"/>
    <w:rsid w:val="00B308AA"/>
    <w:rsid w:val="00B340BE"/>
    <w:rsid w:val="00B36DE2"/>
    <w:rsid w:val="00B41AB0"/>
    <w:rsid w:val="00B422E4"/>
    <w:rsid w:val="00B44C18"/>
    <w:rsid w:val="00B45C57"/>
    <w:rsid w:val="00B45C69"/>
    <w:rsid w:val="00B53749"/>
    <w:rsid w:val="00B541C8"/>
    <w:rsid w:val="00B554AC"/>
    <w:rsid w:val="00B57710"/>
    <w:rsid w:val="00B6012C"/>
    <w:rsid w:val="00B601B1"/>
    <w:rsid w:val="00B63C37"/>
    <w:rsid w:val="00B648ED"/>
    <w:rsid w:val="00B6512B"/>
    <w:rsid w:val="00B65462"/>
    <w:rsid w:val="00B713A3"/>
    <w:rsid w:val="00B734FF"/>
    <w:rsid w:val="00B735B5"/>
    <w:rsid w:val="00B74A0D"/>
    <w:rsid w:val="00B7620D"/>
    <w:rsid w:val="00B768B4"/>
    <w:rsid w:val="00B82019"/>
    <w:rsid w:val="00B82BEA"/>
    <w:rsid w:val="00B82EA6"/>
    <w:rsid w:val="00B83475"/>
    <w:rsid w:val="00B84917"/>
    <w:rsid w:val="00B84C6C"/>
    <w:rsid w:val="00B85751"/>
    <w:rsid w:val="00B85E94"/>
    <w:rsid w:val="00B86ED7"/>
    <w:rsid w:val="00B872CB"/>
    <w:rsid w:val="00B93292"/>
    <w:rsid w:val="00B93458"/>
    <w:rsid w:val="00B93D1A"/>
    <w:rsid w:val="00B978AA"/>
    <w:rsid w:val="00BA0A89"/>
    <w:rsid w:val="00BA0BC5"/>
    <w:rsid w:val="00BA1883"/>
    <w:rsid w:val="00BA18FF"/>
    <w:rsid w:val="00BA1B83"/>
    <w:rsid w:val="00BA2089"/>
    <w:rsid w:val="00BA2E3D"/>
    <w:rsid w:val="00BA44E1"/>
    <w:rsid w:val="00BA4E11"/>
    <w:rsid w:val="00BA6DB9"/>
    <w:rsid w:val="00BA7207"/>
    <w:rsid w:val="00BB281C"/>
    <w:rsid w:val="00BB3C70"/>
    <w:rsid w:val="00BB4235"/>
    <w:rsid w:val="00BB5BC2"/>
    <w:rsid w:val="00BB74A9"/>
    <w:rsid w:val="00BB7E45"/>
    <w:rsid w:val="00BC4E9E"/>
    <w:rsid w:val="00BC6001"/>
    <w:rsid w:val="00BC7A2D"/>
    <w:rsid w:val="00BD06BF"/>
    <w:rsid w:val="00BD0F48"/>
    <w:rsid w:val="00BD31E0"/>
    <w:rsid w:val="00BD392D"/>
    <w:rsid w:val="00BD66B6"/>
    <w:rsid w:val="00BD67AF"/>
    <w:rsid w:val="00BE0509"/>
    <w:rsid w:val="00BE163D"/>
    <w:rsid w:val="00BE2572"/>
    <w:rsid w:val="00BE28D8"/>
    <w:rsid w:val="00BE7EE6"/>
    <w:rsid w:val="00BF0E97"/>
    <w:rsid w:val="00BF15AF"/>
    <w:rsid w:val="00BF1CB2"/>
    <w:rsid w:val="00BF3C6E"/>
    <w:rsid w:val="00BF593F"/>
    <w:rsid w:val="00BF5F5C"/>
    <w:rsid w:val="00BF73E3"/>
    <w:rsid w:val="00C001BC"/>
    <w:rsid w:val="00C021CD"/>
    <w:rsid w:val="00C04795"/>
    <w:rsid w:val="00C05C75"/>
    <w:rsid w:val="00C06020"/>
    <w:rsid w:val="00C079BC"/>
    <w:rsid w:val="00C103E9"/>
    <w:rsid w:val="00C1050E"/>
    <w:rsid w:val="00C10C24"/>
    <w:rsid w:val="00C11160"/>
    <w:rsid w:val="00C11DB1"/>
    <w:rsid w:val="00C11DB3"/>
    <w:rsid w:val="00C12301"/>
    <w:rsid w:val="00C13E80"/>
    <w:rsid w:val="00C1436B"/>
    <w:rsid w:val="00C20555"/>
    <w:rsid w:val="00C20818"/>
    <w:rsid w:val="00C20A2A"/>
    <w:rsid w:val="00C2431D"/>
    <w:rsid w:val="00C24795"/>
    <w:rsid w:val="00C24962"/>
    <w:rsid w:val="00C25F0A"/>
    <w:rsid w:val="00C25F1C"/>
    <w:rsid w:val="00C262E5"/>
    <w:rsid w:val="00C31F1C"/>
    <w:rsid w:val="00C403ED"/>
    <w:rsid w:val="00C40CBB"/>
    <w:rsid w:val="00C42057"/>
    <w:rsid w:val="00C43E1A"/>
    <w:rsid w:val="00C453A8"/>
    <w:rsid w:val="00C469AD"/>
    <w:rsid w:val="00C47218"/>
    <w:rsid w:val="00C47CD4"/>
    <w:rsid w:val="00C52833"/>
    <w:rsid w:val="00C545C5"/>
    <w:rsid w:val="00C54A8A"/>
    <w:rsid w:val="00C54B08"/>
    <w:rsid w:val="00C5703D"/>
    <w:rsid w:val="00C6389E"/>
    <w:rsid w:val="00C66CC2"/>
    <w:rsid w:val="00C6764B"/>
    <w:rsid w:val="00C679A7"/>
    <w:rsid w:val="00C7141B"/>
    <w:rsid w:val="00C719BD"/>
    <w:rsid w:val="00C73536"/>
    <w:rsid w:val="00C73CCC"/>
    <w:rsid w:val="00C7630C"/>
    <w:rsid w:val="00C7695F"/>
    <w:rsid w:val="00C843CD"/>
    <w:rsid w:val="00C85EFD"/>
    <w:rsid w:val="00C86074"/>
    <w:rsid w:val="00C86269"/>
    <w:rsid w:val="00C86B8D"/>
    <w:rsid w:val="00C86F19"/>
    <w:rsid w:val="00C92033"/>
    <w:rsid w:val="00C94EFD"/>
    <w:rsid w:val="00C950D5"/>
    <w:rsid w:val="00C95DAF"/>
    <w:rsid w:val="00C95FFE"/>
    <w:rsid w:val="00C97665"/>
    <w:rsid w:val="00C97EFB"/>
    <w:rsid w:val="00CA04C0"/>
    <w:rsid w:val="00CA1F73"/>
    <w:rsid w:val="00CA2939"/>
    <w:rsid w:val="00CA2F86"/>
    <w:rsid w:val="00CA3CEF"/>
    <w:rsid w:val="00CA50BE"/>
    <w:rsid w:val="00CA6625"/>
    <w:rsid w:val="00CA6ADC"/>
    <w:rsid w:val="00CA6E01"/>
    <w:rsid w:val="00CB0509"/>
    <w:rsid w:val="00CB13DC"/>
    <w:rsid w:val="00CB141F"/>
    <w:rsid w:val="00CB18B3"/>
    <w:rsid w:val="00CB3AC2"/>
    <w:rsid w:val="00CB542B"/>
    <w:rsid w:val="00CB5B7D"/>
    <w:rsid w:val="00CB6981"/>
    <w:rsid w:val="00CB76FB"/>
    <w:rsid w:val="00CC01A2"/>
    <w:rsid w:val="00CC0A84"/>
    <w:rsid w:val="00CC1168"/>
    <w:rsid w:val="00CC1F68"/>
    <w:rsid w:val="00CC4396"/>
    <w:rsid w:val="00CC4C8F"/>
    <w:rsid w:val="00CC594C"/>
    <w:rsid w:val="00CC6C81"/>
    <w:rsid w:val="00CC7563"/>
    <w:rsid w:val="00CC76B5"/>
    <w:rsid w:val="00CD1C23"/>
    <w:rsid w:val="00CD1DDA"/>
    <w:rsid w:val="00CD2881"/>
    <w:rsid w:val="00CD2D1A"/>
    <w:rsid w:val="00CD4761"/>
    <w:rsid w:val="00CD4BBC"/>
    <w:rsid w:val="00CD5CF9"/>
    <w:rsid w:val="00CD7216"/>
    <w:rsid w:val="00CD7FD9"/>
    <w:rsid w:val="00CE06DC"/>
    <w:rsid w:val="00CE0A8E"/>
    <w:rsid w:val="00CE0AAD"/>
    <w:rsid w:val="00CE0CB3"/>
    <w:rsid w:val="00CE0DF5"/>
    <w:rsid w:val="00CE1248"/>
    <w:rsid w:val="00CE1A73"/>
    <w:rsid w:val="00CE24F4"/>
    <w:rsid w:val="00CE4BAE"/>
    <w:rsid w:val="00CF081E"/>
    <w:rsid w:val="00CF091C"/>
    <w:rsid w:val="00CF2D2F"/>
    <w:rsid w:val="00CF2D73"/>
    <w:rsid w:val="00CF405D"/>
    <w:rsid w:val="00CF5F81"/>
    <w:rsid w:val="00CF6137"/>
    <w:rsid w:val="00CF613F"/>
    <w:rsid w:val="00CF6844"/>
    <w:rsid w:val="00D01954"/>
    <w:rsid w:val="00D02336"/>
    <w:rsid w:val="00D0475C"/>
    <w:rsid w:val="00D04B7A"/>
    <w:rsid w:val="00D05DE6"/>
    <w:rsid w:val="00D10870"/>
    <w:rsid w:val="00D110C0"/>
    <w:rsid w:val="00D12A49"/>
    <w:rsid w:val="00D142D6"/>
    <w:rsid w:val="00D1498F"/>
    <w:rsid w:val="00D1515D"/>
    <w:rsid w:val="00D16858"/>
    <w:rsid w:val="00D1739F"/>
    <w:rsid w:val="00D17817"/>
    <w:rsid w:val="00D17E8F"/>
    <w:rsid w:val="00D20381"/>
    <w:rsid w:val="00D2185A"/>
    <w:rsid w:val="00D2262F"/>
    <w:rsid w:val="00D234A1"/>
    <w:rsid w:val="00D238B5"/>
    <w:rsid w:val="00D24DAA"/>
    <w:rsid w:val="00D251B4"/>
    <w:rsid w:val="00D25690"/>
    <w:rsid w:val="00D26B06"/>
    <w:rsid w:val="00D3169C"/>
    <w:rsid w:val="00D32C64"/>
    <w:rsid w:val="00D34464"/>
    <w:rsid w:val="00D35032"/>
    <w:rsid w:val="00D3537A"/>
    <w:rsid w:val="00D353C5"/>
    <w:rsid w:val="00D35442"/>
    <w:rsid w:val="00D35645"/>
    <w:rsid w:val="00D3657C"/>
    <w:rsid w:val="00D3712F"/>
    <w:rsid w:val="00D37166"/>
    <w:rsid w:val="00D41A10"/>
    <w:rsid w:val="00D41BED"/>
    <w:rsid w:val="00D50BC2"/>
    <w:rsid w:val="00D52706"/>
    <w:rsid w:val="00D55972"/>
    <w:rsid w:val="00D604DC"/>
    <w:rsid w:val="00D607CC"/>
    <w:rsid w:val="00D61AD3"/>
    <w:rsid w:val="00D62F59"/>
    <w:rsid w:val="00D63FA5"/>
    <w:rsid w:val="00D64AAA"/>
    <w:rsid w:val="00D652AC"/>
    <w:rsid w:val="00D675DA"/>
    <w:rsid w:val="00D70290"/>
    <w:rsid w:val="00D70EE1"/>
    <w:rsid w:val="00D71811"/>
    <w:rsid w:val="00D71870"/>
    <w:rsid w:val="00D77FBC"/>
    <w:rsid w:val="00D812A7"/>
    <w:rsid w:val="00D81FFD"/>
    <w:rsid w:val="00D824E2"/>
    <w:rsid w:val="00D824F8"/>
    <w:rsid w:val="00D83448"/>
    <w:rsid w:val="00D83C69"/>
    <w:rsid w:val="00D84372"/>
    <w:rsid w:val="00D85D40"/>
    <w:rsid w:val="00D87BC2"/>
    <w:rsid w:val="00D87C81"/>
    <w:rsid w:val="00D901E0"/>
    <w:rsid w:val="00D9085E"/>
    <w:rsid w:val="00D91C52"/>
    <w:rsid w:val="00D94D05"/>
    <w:rsid w:val="00D964F7"/>
    <w:rsid w:val="00DA0DD1"/>
    <w:rsid w:val="00DA13D1"/>
    <w:rsid w:val="00DA2141"/>
    <w:rsid w:val="00DA4DB1"/>
    <w:rsid w:val="00DA4E24"/>
    <w:rsid w:val="00DB0199"/>
    <w:rsid w:val="00DB1CA1"/>
    <w:rsid w:val="00DB1F0A"/>
    <w:rsid w:val="00DB2453"/>
    <w:rsid w:val="00DB2A43"/>
    <w:rsid w:val="00DB30BC"/>
    <w:rsid w:val="00DB4938"/>
    <w:rsid w:val="00DB4FB2"/>
    <w:rsid w:val="00DB5086"/>
    <w:rsid w:val="00DB6014"/>
    <w:rsid w:val="00DB6974"/>
    <w:rsid w:val="00DC3AAE"/>
    <w:rsid w:val="00DC3B52"/>
    <w:rsid w:val="00DC4EF7"/>
    <w:rsid w:val="00DC56D6"/>
    <w:rsid w:val="00DC61A9"/>
    <w:rsid w:val="00DC6943"/>
    <w:rsid w:val="00DC6BA1"/>
    <w:rsid w:val="00DC73D8"/>
    <w:rsid w:val="00DD1373"/>
    <w:rsid w:val="00DD36E2"/>
    <w:rsid w:val="00DD7A79"/>
    <w:rsid w:val="00DD7FA3"/>
    <w:rsid w:val="00DE058B"/>
    <w:rsid w:val="00DE1D56"/>
    <w:rsid w:val="00DE1D61"/>
    <w:rsid w:val="00DE2151"/>
    <w:rsid w:val="00DE30A9"/>
    <w:rsid w:val="00DE749B"/>
    <w:rsid w:val="00DF2397"/>
    <w:rsid w:val="00DF5CF5"/>
    <w:rsid w:val="00DF6E5D"/>
    <w:rsid w:val="00E0098C"/>
    <w:rsid w:val="00E01774"/>
    <w:rsid w:val="00E02E20"/>
    <w:rsid w:val="00E0383F"/>
    <w:rsid w:val="00E0472E"/>
    <w:rsid w:val="00E04E8B"/>
    <w:rsid w:val="00E05202"/>
    <w:rsid w:val="00E0548C"/>
    <w:rsid w:val="00E06C3D"/>
    <w:rsid w:val="00E07168"/>
    <w:rsid w:val="00E079DA"/>
    <w:rsid w:val="00E1030C"/>
    <w:rsid w:val="00E1113B"/>
    <w:rsid w:val="00E122C9"/>
    <w:rsid w:val="00E128BE"/>
    <w:rsid w:val="00E1621A"/>
    <w:rsid w:val="00E17207"/>
    <w:rsid w:val="00E179D3"/>
    <w:rsid w:val="00E2026A"/>
    <w:rsid w:val="00E20E62"/>
    <w:rsid w:val="00E2387D"/>
    <w:rsid w:val="00E24B06"/>
    <w:rsid w:val="00E265E5"/>
    <w:rsid w:val="00E27463"/>
    <w:rsid w:val="00E304E2"/>
    <w:rsid w:val="00E3333B"/>
    <w:rsid w:val="00E35E59"/>
    <w:rsid w:val="00E40698"/>
    <w:rsid w:val="00E408CB"/>
    <w:rsid w:val="00E4124F"/>
    <w:rsid w:val="00E414B0"/>
    <w:rsid w:val="00E42ADD"/>
    <w:rsid w:val="00E43C49"/>
    <w:rsid w:val="00E44C74"/>
    <w:rsid w:val="00E45996"/>
    <w:rsid w:val="00E45D67"/>
    <w:rsid w:val="00E461F8"/>
    <w:rsid w:val="00E46631"/>
    <w:rsid w:val="00E46B70"/>
    <w:rsid w:val="00E478D2"/>
    <w:rsid w:val="00E47ABB"/>
    <w:rsid w:val="00E47E16"/>
    <w:rsid w:val="00E501BD"/>
    <w:rsid w:val="00E50205"/>
    <w:rsid w:val="00E51C8B"/>
    <w:rsid w:val="00E529ED"/>
    <w:rsid w:val="00E543AF"/>
    <w:rsid w:val="00E54DB0"/>
    <w:rsid w:val="00E5524C"/>
    <w:rsid w:val="00E555E8"/>
    <w:rsid w:val="00E56144"/>
    <w:rsid w:val="00E56D08"/>
    <w:rsid w:val="00E577E9"/>
    <w:rsid w:val="00E6002F"/>
    <w:rsid w:val="00E6087A"/>
    <w:rsid w:val="00E61797"/>
    <w:rsid w:val="00E63F37"/>
    <w:rsid w:val="00E67734"/>
    <w:rsid w:val="00E67E30"/>
    <w:rsid w:val="00E70D5A"/>
    <w:rsid w:val="00E74F34"/>
    <w:rsid w:val="00E76451"/>
    <w:rsid w:val="00E80C20"/>
    <w:rsid w:val="00E84A31"/>
    <w:rsid w:val="00E84A40"/>
    <w:rsid w:val="00E86385"/>
    <w:rsid w:val="00E87D91"/>
    <w:rsid w:val="00E87FB7"/>
    <w:rsid w:val="00E926C4"/>
    <w:rsid w:val="00E92E92"/>
    <w:rsid w:val="00E93A25"/>
    <w:rsid w:val="00E95F75"/>
    <w:rsid w:val="00E96547"/>
    <w:rsid w:val="00E97687"/>
    <w:rsid w:val="00E97EE1"/>
    <w:rsid w:val="00EA1288"/>
    <w:rsid w:val="00EA2077"/>
    <w:rsid w:val="00EA3751"/>
    <w:rsid w:val="00EA7407"/>
    <w:rsid w:val="00EB0466"/>
    <w:rsid w:val="00EB3E8F"/>
    <w:rsid w:val="00EB3FC6"/>
    <w:rsid w:val="00EB669D"/>
    <w:rsid w:val="00EB7C93"/>
    <w:rsid w:val="00EC3A27"/>
    <w:rsid w:val="00EC3C19"/>
    <w:rsid w:val="00EC5BA0"/>
    <w:rsid w:val="00EC64AA"/>
    <w:rsid w:val="00EC68D1"/>
    <w:rsid w:val="00ED1594"/>
    <w:rsid w:val="00ED34AF"/>
    <w:rsid w:val="00ED3913"/>
    <w:rsid w:val="00ED4572"/>
    <w:rsid w:val="00ED5419"/>
    <w:rsid w:val="00ED543D"/>
    <w:rsid w:val="00ED572C"/>
    <w:rsid w:val="00ED62FF"/>
    <w:rsid w:val="00ED6814"/>
    <w:rsid w:val="00ED6E50"/>
    <w:rsid w:val="00ED6E60"/>
    <w:rsid w:val="00ED7169"/>
    <w:rsid w:val="00ED7249"/>
    <w:rsid w:val="00EE0C1A"/>
    <w:rsid w:val="00EE0E20"/>
    <w:rsid w:val="00EE1D25"/>
    <w:rsid w:val="00EE3907"/>
    <w:rsid w:val="00EE47EB"/>
    <w:rsid w:val="00EE52A7"/>
    <w:rsid w:val="00EE6C7B"/>
    <w:rsid w:val="00EF006F"/>
    <w:rsid w:val="00EF23F3"/>
    <w:rsid w:val="00EF28E7"/>
    <w:rsid w:val="00EF6278"/>
    <w:rsid w:val="00EF6E12"/>
    <w:rsid w:val="00EF6F35"/>
    <w:rsid w:val="00EF741F"/>
    <w:rsid w:val="00EF7432"/>
    <w:rsid w:val="00F009AF"/>
    <w:rsid w:val="00F00B3F"/>
    <w:rsid w:val="00F01826"/>
    <w:rsid w:val="00F029F5"/>
    <w:rsid w:val="00F02F45"/>
    <w:rsid w:val="00F03978"/>
    <w:rsid w:val="00F039E2"/>
    <w:rsid w:val="00F04541"/>
    <w:rsid w:val="00F0521C"/>
    <w:rsid w:val="00F05CE2"/>
    <w:rsid w:val="00F12299"/>
    <w:rsid w:val="00F133EF"/>
    <w:rsid w:val="00F14CF2"/>
    <w:rsid w:val="00F152E0"/>
    <w:rsid w:val="00F154E3"/>
    <w:rsid w:val="00F15751"/>
    <w:rsid w:val="00F15EFC"/>
    <w:rsid w:val="00F1666E"/>
    <w:rsid w:val="00F16A7C"/>
    <w:rsid w:val="00F20C6C"/>
    <w:rsid w:val="00F2312E"/>
    <w:rsid w:val="00F2360A"/>
    <w:rsid w:val="00F24DD4"/>
    <w:rsid w:val="00F265AF"/>
    <w:rsid w:val="00F272C8"/>
    <w:rsid w:val="00F30C4F"/>
    <w:rsid w:val="00F3130A"/>
    <w:rsid w:val="00F31D2E"/>
    <w:rsid w:val="00F32355"/>
    <w:rsid w:val="00F329DD"/>
    <w:rsid w:val="00F33B2A"/>
    <w:rsid w:val="00F349F9"/>
    <w:rsid w:val="00F357B3"/>
    <w:rsid w:val="00F36355"/>
    <w:rsid w:val="00F42727"/>
    <w:rsid w:val="00F43006"/>
    <w:rsid w:val="00F433DC"/>
    <w:rsid w:val="00F44ACE"/>
    <w:rsid w:val="00F46A54"/>
    <w:rsid w:val="00F46AEA"/>
    <w:rsid w:val="00F46FDE"/>
    <w:rsid w:val="00F47060"/>
    <w:rsid w:val="00F50DDB"/>
    <w:rsid w:val="00F50F12"/>
    <w:rsid w:val="00F53191"/>
    <w:rsid w:val="00F556E5"/>
    <w:rsid w:val="00F55855"/>
    <w:rsid w:val="00F56426"/>
    <w:rsid w:val="00F56990"/>
    <w:rsid w:val="00F57279"/>
    <w:rsid w:val="00F57AF0"/>
    <w:rsid w:val="00F57BE4"/>
    <w:rsid w:val="00F57D6F"/>
    <w:rsid w:val="00F60309"/>
    <w:rsid w:val="00F60A90"/>
    <w:rsid w:val="00F61464"/>
    <w:rsid w:val="00F62F9A"/>
    <w:rsid w:val="00F651F3"/>
    <w:rsid w:val="00F656AE"/>
    <w:rsid w:val="00F66755"/>
    <w:rsid w:val="00F6774E"/>
    <w:rsid w:val="00F7069C"/>
    <w:rsid w:val="00F7458B"/>
    <w:rsid w:val="00F75F82"/>
    <w:rsid w:val="00F76762"/>
    <w:rsid w:val="00F77D10"/>
    <w:rsid w:val="00F809D6"/>
    <w:rsid w:val="00F818F2"/>
    <w:rsid w:val="00F82B96"/>
    <w:rsid w:val="00F82BE1"/>
    <w:rsid w:val="00F83346"/>
    <w:rsid w:val="00F84496"/>
    <w:rsid w:val="00F85E1D"/>
    <w:rsid w:val="00F90E75"/>
    <w:rsid w:val="00F91BB3"/>
    <w:rsid w:val="00F93F12"/>
    <w:rsid w:val="00F94A6E"/>
    <w:rsid w:val="00F9508D"/>
    <w:rsid w:val="00F9559A"/>
    <w:rsid w:val="00FA096F"/>
    <w:rsid w:val="00FA176D"/>
    <w:rsid w:val="00FA3593"/>
    <w:rsid w:val="00FA403B"/>
    <w:rsid w:val="00FA51BF"/>
    <w:rsid w:val="00FA61B6"/>
    <w:rsid w:val="00FA76D8"/>
    <w:rsid w:val="00FB129A"/>
    <w:rsid w:val="00FB144D"/>
    <w:rsid w:val="00FB1557"/>
    <w:rsid w:val="00FB17D7"/>
    <w:rsid w:val="00FB1F4F"/>
    <w:rsid w:val="00FB2A78"/>
    <w:rsid w:val="00FB4B1C"/>
    <w:rsid w:val="00FB5ED5"/>
    <w:rsid w:val="00FB6C78"/>
    <w:rsid w:val="00FB6FB6"/>
    <w:rsid w:val="00FB751E"/>
    <w:rsid w:val="00FC1BC8"/>
    <w:rsid w:val="00FC2396"/>
    <w:rsid w:val="00FC2621"/>
    <w:rsid w:val="00FC38F8"/>
    <w:rsid w:val="00FC3D66"/>
    <w:rsid w:val="00FC4A64"/>
    <w:rsid w:val="00FC6E54"/>
    <w:rsid w:val="00FD1BD0"/>
    <w:rsid w:val="00FD4930"/>
    <w:rsid w:val="00FD4AB6"/>
    <w:rsid w:val="00FE12B0"/>
    <w:rsid w:val="00FE1E88"/>
    <w:rsid w:val="00FE2D2E"/>
    <w:rsid w:val="00FE3E9D"/>
    <w:rsid w:val="00FE4AF3"/>
    <w:rsid w:val="00FE5481"/>
    <w:rsid w:val="00FE5F73"/>
    <w:rsid w:val="00FE616C"/>
    <w:rsid w:val="00FE7244"/>
    <w:rsid w:val="00FE7941"/>
    <w:rsid w:val="00FF4A39"/>
    <w:rsid w:val="00FF52E0"/>
    <w:rsid w:val="00FF5BD0"/>
    <w:rsid w:val="02AAFA53"/>
    <w:rsid w:val="031F28FB"/>
    <w:rsid w:val="04B73BB1"/>
    <w:rsid w:val="05108D17"/>
    <w:rsid w:val="05A9CE5F"/>
    <w:rsid w:val="095CE572"/>
    <w:rsid w:val="0A95B06A"/>
    <w:rsid w:val="0B0D3AED"/>
    <w:rsid w:val="0D893519"/>
    <w:rsid w:val="0EE7B1BB"/>
    <w:rsid w:val="10905A13"/>
    <w:rsid w:val="11BFA7B2"/>
    <w:rsid w:val="12255294"/>
    <w:rsid w:val="1590735C"/>
    <w:rsid w:val="15C9024A"/>
    <w:rsid w:val="16004C21"/>
    <w:rsid w:val="16731B0A"/>
    <w:rsid w:val="18A2463A"/>
    <w:rsid w:val="19C12CD4"/>
    <w:rsid w:val="1CD569C6"/>
    <w:rsid w:val="1EAA1663"/>
    <w:rsid w:val="1EC52E8F"/>
    <w:rsid w:val="1F199A0F"/>
    <w:rsid w:val="1F642418"/>
    <w:rsid w:val="1FCB120E"/>
    <w:rsid w:val="2064F4A1"/>
    <w:rsid w:val="21DCCB4B"/>
    <w:rsid w:val="2344BD90"/>
    <w:rsid w:val="23B7F203"/>
    <w:rsid w:val="26323B9E"/>
    <w:rsid w:val="27671822"/>
    <w:rsid w:val="29016D19"/>
    <w:rsid w:val="2B97C915"/>
    <w:rsid w:val="2C21E5EA"/>
    <w:rsid w:val="2D40002D"/>
    <w:rsid w:val="2DD81168"/>
    <w:rsid w:val="2E260FD9"/>
    <w:rsid w:val="2E74D5B6"/>
    <w:rsid w:val="2E7A74AB"/>
    <w:rsid w:val="310C22E8"/>
    <w:rsid w:val="33D7A5E0"/>
    <w:rsid w:val="34E41F04"/>
    <w:rsid w:val="3568CDF0"/>
    <w:rsid w:val="360C2863"/>
    <w:rsid w:val="36452627"/>
    <w:rsid w:val="37756321"/>
    <w:rsid w:val="383E3F7F"/>
    <w:rsid w:val="389216ED"/>
    <w:rsid w:val="3971DD49"/>
    <w:rsid w:val="3F193FB9"/>
    <w:rsid w:val="40C060BE"/>
    <w:rsid w:val="42111BCC"/>
    <w:rsid w:val="4333D5C0"/>
    <w:rsid w:val="45137642"/>
    <w:rsid w:val="4554B91F"/>
    <w:rsid w:val="4697F32B"/>
    <w:rsid w:val="46D31933"/>
    <w:rsid w:val="4781EA02"/>
    <w:rsid w:val="48EBB89C"/>
    <w:rsid w:val="4968E4CE"/>
    <w:rsid w:val="49B65CDA"/>
    <w:rsid w:val="4C1B3677"/>
    <w:rsid w:val="4C2F7320"/>
    <w:rsid w:val="4CE6339C"/>
    <w:rsid w:val="4EC152E2"/>
    <w:rsid w:val="4F6B5808"/>
    <w:rsid w:val="51BC8624"/>
    <w:rsid w:val="53D086E1"/>
    <w:rsid w:val="56624AB9"/>
    <w:rsid w:val="56AD229D"/>
    <w:rsid w:val="56B3142F"/>
    <w:rsid w:val="576BC4D9"/>
    <w:rsid w:val="5A22C226"/>
    <w:rsid w:val="5C409219"/>
    <w:rsid w:val="5D5A1789"/>
    <w:rsid w:val="622A8045"/>
    <w:rsid w:val="62F65E13"/>
    <w:rsid w:val="634945D0"/>
    <w:rsid w:val="647B044C"/>
    <w:rsid w:val="64F12031"/>
    <w:rsid w:val="650D6989"/>
    <w:rsid w:val="679BB662"/>
    <w:rsid w:val="682B5502"/>
    <w:rsid w:val="6969D555"/>
    <w:rsid w:val="6BF18200"/>
    <w:rsid w:val="6FCD6BA4"/>
    <w:rsid w:val="706CCA22"/>
    <w:rsid w:val="71AF5053"/>
    <w:rsid w:val="7308CEEA"/>
    <w:rsid w:val="74608734"/>
    <w:rsid w:val="748425B3"/>
    <w:rsid w:val="74848D46"/>
    <w:rsid w:val="758E1449"/>
    <w:rsid w:val="75B91AEE"/>
    <w:rsid w:val="77546BA6"/>
    <w:rsid w:val="7DB146D7"/>
    <w:rsid w:val="7F773E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FB0FAAD-9FFB-49E7-9CB4-4D0C3676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45691F"/>
    <w:pPr>
      <w:numPr>
        <w:numId w:val="2"/>
      </w:numPr>
      <w:tabs>
        <w:tab w:val="num" w:pos="360"/>
      </w:tabs>
      <w:ind w:left="0" w:firstLine="0"/>
    </w:pPr>
    <w:rPr>
      <w:rFonts w:eastAsia="Times New Roman"/>
      <w:lang w:eastAsia="de-DE"/>
    </w:rPr>
  </w:style>
  <w:style w:type="paragraph" w:styleId="ListNumber">
    <w:name w:val="List Number"/>
    <w:basedOn w:val="Normal"/>
    <w:rsid w:val="0045691F"/>
    <w:pPr>
      <w:numPr>
        <w:numId w:val="6"/>
      </w:numPr>
    </w:pPr>
    <w:rPr>
      <w:rFonts w:eastAsia="Times New Roman"/>
      <w:lang w:eastAsia="de-DE"/>
    </w:rPr>
  </w:style>
  <w:style w:type="paragraph" w:customStyle="1" w:styleId="ListBullet1">
    <w:name w:val="List Bullet 1"/>
    <w:basedOn w:val="Normal"/>
    <w:rsid w:val="0045691F"/>
    <w:pPr>
      <w:numPr>
        <w:numId w:val="1"/>
      </w:numPr>
    </w:pPr>
    <w:rPr>
      <w:rFonts w:eastAsia="Times New Roman"/>
      <w:lang w:eastAsia="de-DE"/>
    </w:rPr>
  </w:style>
  <w:style w:type="paragraph" w:customStyle="1" w:styleId="ListDash">
    <w:name w:val="List Dash"/>
    <w:basedOn w:val="Normal"/>
    <w:rsid w:val="0045691F"/>
    <w:pPr>
      <w:numPr>
        <w:numId w:val="3"/>
      </w:numPr>
    </w:pPr>
    <w:rPr>
      <w:rFonts w:eastAsia="Times New Roman"/>
      <w:lang w:eastAsia="de-DE"/>
    </w:rPr>
  </w:style>
  <w:style w:type="paragraph" w:customStyle="1" w:styleId="ListDash1">
    <w:name w:val="List Dash 1"/>
    <w:basedOn w:val="Normal"/>
    <w:rsid w:val="0045691F"/>
    <w:pPr>
      <w:numPr>
        <w:numId w:val="4"/>
      </w:numPr>
    </w:pPr>
    <w:rPr>
      <w:rFonts w:eastAsia="Times New Roman"/>
      <w:lang w:eastAsia="de-DE"/>
    </w:rPr>
  </w:style>
  <w:style w:type="paragraph" w:customStyle="1" w:styleId="ListDash2">
    <w:name w:val="List Dash 2"/>
    <w:basedOn w:val="Normal"/>
    <w:rsid w:val="0045691F"/>
    <w:pPr>
      <w:numPr>
        <w:numId w:val="5"/>
      </w:numPr>
    </w:pPr>
    <w:rPr>
      <w:rFonts w:eastAsia="Times New Roman"/>
      <w:lang w:eastAsia="de-DE"/>
    </w:rPr>
  </w:style>
  <w:style w:type="paragraph" w:customStyle="1" w:styleId="ListNumberLevel2">
    <w:name w:val="List Number (Level 2)"/>
    <w:basedOn w:val="Normal"/>
    <w:rsid w:val="0045691F"/>
    <w:pPr>
      <w:numPr>
        <w:ilvl w:val="1"/>
        <w:numId w:val="6"/>
      </w:numPr>
    </w:pPr>
    <w:rPr>
      <w:rFonts w:eastAsia="Times New Roman"/>
      <w:lang w:eastAsia="de-DE"/>
    </w:rPr>
  </w:style>
  <w:style w:type="paragraph" w:customStyle="1" w:styleId="ListNumberLevel3">
    <w:name w:val="List Number (Level 3)"/>
    <w:basedOn w:val="Normal"/>
    <w:rsid w:val="0045691F"/>
    <w:pPr>
      <w:numPr>
        <w:ilvl w:val="2"/>
        <w:numId w:val="6"/>
      </w:numPr>
    </w:pPr>
    <w:rPr>
      <w:rFonts w:eastAsia="Times New Roman"/>
      <w:lang w:eastAsia="de-DE"/>
    </w:rPr>
  </w:style>
  <w:style w:type="paragraph" w:customStyle="1" w:styleId="ListNumberLevel4">
    <w:name w:val="List Number (Level 4)"/>
    <w:basedOn w:val="Normal"/>
    <w:rsid w:val="0045691F"/>
    <w:pPr>
      <w:numPr>
        <w:ilvl w:val="3"/>
        <w:numId w:val="6"/>
      </w:numPr>
    </w:pPr>
    <w:rPr>
      <w:rFonts w:eastAsia="Times New Roman"/>
      <w:lang w:eastAsia="de-DE"/>
    </w:rPr>
  </w:style>
  <w:style w:type="table" w:styleId="TableGrid">
    <w:name w:val="Table Grid"/>
    <w:basedOn w:val="TableNormal"/>
    <w:rsid w:val="0045691F"/>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5691F"/>
    <w:rPr>
      <w:color w:val="0000FF"/>
      <w:u w:val="single"/>
    </w:rPr>
  </w:style>
  <w:style w:type="paragraph" w:styleId="ListBullet">
    <w:name w:val="List Bullet"/>
    <w:basedOn w:val="Normal"/>
    <w:rsid w:val="0045691F"/>
    <w:pPr>
      <w:numPr>
        <w:numId w:val="7"/>
      </w:numPr>
    </w:pPr>
    <w:rPr>
      <w:rFonts w:eastAsia="Times New Roman"/>
      <w:lang w:eastAsia="en-GB"/>
    </w:rPr>
  </w:style>
  <w:style w:type="paragraph" w:styleId="ListBullet2">
    <w:name w:val="List Bullet 2"/>
    <w:basedOn w:val="Normal"/>
    <w:rsid w:val="0045691F"/>
    <w:pPr>
      <w:numPr>
        <w:numId w:val="8"/>
      </w:numPr>
    </w:pPr>
    <w:rPr>
      <w:rFonts w:eastAsia="Times New Roman"/>
      <w:lang w:eastAsia="en-GB"/>
    </w:rPr>
  </w:style>
  <w:style w:type="paragraph" w:styleId="ListBullet3">
    <w:name w:val="List Bullet 3"/>
    <w:basedOn w:val="Normal"/>
    <w:rsid w:val="0045691F"/>
    <w:pPr>
      <w:numPr>
        <w:numId w:val="9"/>
      </w:numPr>
    </w:pPr>
    <w:rPr>
      <w:rFonts w:eastAsia="Times New Roman"/>
      <w:lang w:eastAsia="en-GB"/>
    </w:rPr>
  </w:style>
  <w:style w:type="paragraph" w:styleId="ListNumber2">
    <w:name w:val="List Number 2"/>
    <w:basedOn w:val="Normal"/>
    <w:rsid w:val="0045691F"/>
    <w:pPr>
      <w:numPr>
        <w:numId w:val="13"/>
      </w:numPr>
    </w:pPr>
    <w:rPr>
      <w:rFonts w:eastAsia="Times New Roman"/>
      <w:lang w:eastAsia="en-GB"/>
    </w:rPr>
  </w:style>
  <w:style w:type="paragraph" w:styleId="ListNumber3">
    <w:name w:val="List Number 3"/>
    <w:basedOn w:val="Normal"/>
    <w:rsid w:val="0045691F"/>
    <w:pPr>
      <w:numPr>
        <w:numId w:val="14"/>
      </w:numPr>
    </w:pPr>
    <w:rPr>
      <w:rFonts w:eastAsia="Times New Roman"/>
      <w:lang w:eastAsia="en-GB"/>
    </w:rPr>
  </w:style>
  <w:style w:type="paragraph" w:styleId="ListNumber4">
    <w:name w:val="List Number 4"/>
    <w:basedOn w:val="Normal"/>
    <w:rsid w:val="0045691F"/>
    <w:pPr>
      <w:numPr>
        <w:numId w:val="15"/>
      </w:numPr>
    </w:pPr>
    <w:rPr>
      <w:rFonts w:eastAsia="Times New Roman"/>
      <w:lang w:eastAsia="en-GB"/>
    </w:rPr>
  </w:style>
  <w:style w:type="paragraph" w:customStyle="1" w:styleId="ListDash3">
    <w:name w:val="List Dash 3"/>
    <w:basedOn w:val="Normal"/>
    <w:rsid w:val="0045691F"/>
    <w:pPr>
      <w:numPr>
        <w:numId w:val="10"/>
      </w:numPr>
    </w:pPr>
    <w:rPr>
      <w:rFonts w:eastAsia="Times New Roman"/>
      <w:lang w:eastAsia="en-GB"/>
    </w:rPr>
  </w:style>
  <w:style w:type="paragraph" w:customStyle="1" w:styleId="ListDash4">
    <w:name w:val="List Dash 4"/>
    <w:basedOn w:val="Normal"/>
    <w:rsid w:val="0045691F"/>
    <w:pPr>
      <w:numPr>
        <w:numId w:val="11"/>
      </w:numPr>
    </w:pPr>
    <w:rPr>
      <w:rFonts w:eastAsia="Times New Roman"/>
      <w:lang w:eastAsia="en-GB"/>
    </w:rPr>
  </w:style>
  <w:style w:type="paragraph" w:customStyle="1" w:styleId="ListNumber1">
    <w:name w:val="List Number 1"/>
    <w:basedOn w:val="Text1"/>
    <w:rsid w:val="0045691F"/>
    <w:pPr>
      <w:numPr>
        <w:numId w:val="12"/>
      </w:numPr>
    </w:pPr>
    <w:rPr>
      <w:rFonts w:eastAsia="Times New Roman"/>
      <w:lang w:eastAsia="en-GB"/>
    </w:rPr>
  </w:style>
  <w:style w:type="paragraph" w:customStyle="1" w:styleId="ListNumber1Level2">
    <w:name w:val="List Number 1 (Level 2)"/>
    <w:basedOn w:val="Text1"/>
    <w:rsid w:val="0045691F"/>
    <w:pPr>
      <w:numPr>
        <w:ilvl w:val="1"/>
        <w:numId w:val="12"/>
      </w:numPr>
    </w:pPr>
    <w:rPr>
      <w:rFonts w:eastAsia="Times New Roman"/>
      <w:lang w:eastAsia="en-GB"/>
    </w:rPr>
  </w:style>
  <w:style w:type="paragraph" w:customStyle="1" w:styleId="ListNumber2Level2">
    <w:name w:val="List Number 2 (Level 2)"/>
    <w:basedOn w:val="Text2"/>
    <w:rsid w:val="0045691F"/>
    <w:pPr>
      <w:numPr>
        <w:ilvl w:val="1"/>
        <w:numId w:val="13"/>
      </w:numPr>
    </w:pPr>
    <w:rPr>
      <w:rFonts w:eastAsia="Times New Roman"/>
      <w:lang w:eastAsia="en-GB"/>
    </w:rPr>
  </w:style>
  <w:style w:type="paragraph" w:customStyle="1" w:styleId="ListNumber3Level2">
    <w:name w:val="List Number 3 (Level 2)"/>
    <w:basedOn w:val="Text3"/>
    <w:rsid w:val="0045691F"/>
    <w:pPr>
      <w:numPr>
        <w:ilvl w:val="1"/>
        <w:numId w:val="14"/>
      </w:numPr>
    </w:pPr>
    <w:rPr>
      <w:rFonts w:eastAsia="Times New Roman"/>
      <w:lang w:eastAsia="en-GB"/>
    </w:rPr>
  </w:style>
  <w:style w:type="paragraph" w:customStyle="1" w:styleId="ListNumber4Level2">
    <w:name w:val="List Number 4 (Level 2)"/>
    <w:basedOn w:val="Text4"/>
    <w:rsid w:val="0045691F"/>
    <w:pPr>
      <w:numPr>
        <w:ilvl w:val="1"/>
        <w:numId w:val="15"/>
      </w:numPr>
    </w:pPr>
    <w:rPr>
      <w:rFonts w:eastAsia="Times New Roman"/>
      <w:lang w:eastAsia="en-GB"/>
    </w:rPr>
  </w:style>
  <w:style w:type="paragraph" w:customStyle="1" w:styleId="ListNumber1Level3">
    <w:name w:val="List Number 1 (Level 3)"/>
    <w:basedOn w:val="Text1"/>
    <w:rsid w:val="0045691F"/>
    <w:pPr>
      <w:numPr>
        <w:ilvl w:val="2"/>
        <w:numId w:val="12"/>
      </w:numPr>
    </w:pPr>
    <w:rPr>
      <w:rFonts w:eastAsia="Times New Roman"/>
      <w:lang w:eastAsia="en-GB"/>
    </w:rPr>
  </w:style>
  <w:style w:type="paragraph" w:customStyle="1" w:styleId="ListNumber2Level3">
    <w:name w:val="List Number 2 (Level 3)"/>
    <w:basedOn w:val="Text2"/>
    <w:rsid w:val="0045691F"/>
    <w:pPr>
      <w:numPr>
        <w:ilvl w:val="2"/>
        <w:numId w:val="13"/>
      </w:numPr>
    </w:pPr>
    <w:rPr>
      <w:rFonts w:eastAsia="Times New Roman"/>
      <w:lang w:eastAsia="en-GB"/>
    </w:rPr>
  </w:style>
  <w:style w:type="paragraph" w:customStyle="1" w:styleId="ListNumber3Level3">
    <w:name w:val="List Number 3 (Level 3)"/>
    <w:basedOn w:val="Text3"/>
    <w:rsid w:val="0045691F"/>
    <w:pPr>
      <w:numPr>
        <w:ilvl w:val="2"/>
        <w:numId w:val="14"/>
      </w:numPr>
    </w:pPr>
    <w:rPr>
      <w:rFonts w:eastAsia="Times New Roman"/>
      <w:lang w:eastAsia="en-GB"/>
    </w:rPr>
  </w:style>
  <w:style w:type="paragraph" w:customStyle="1" w:styleId="ListNumber4Level3">
    <w:name w:val="List Number 4 (Level 3)"/>
    <w:basedOn w:val="Text4"/>
    <w:rsid w:val="0045691F"/>
    <w:pPr>
      <w:numPr>
        <w:ilvl w:val="2"/>
        <w:numId w:val="15"/>
      </w:numPr>
    </w:pPr>
    <w:rPr>
      <w:rFonts w:eastAsia="Times New Roman"/>
      <w:lang w:eastAsia="en-GB"/>
    </w:rPr>
  </w:style>
  <w:style w:type="paragraph" w:customStyle="1" w:styleId="ListNumber1Level4">
    <w:name w:val="List Number 1 (Level 4)"/>
    <w:basedOn w:val="Text1"/>
    <w:rsid w:val="0045691F"/>
    <w:pPr>
      <w:numPr>
        <w:ilvl w:val="3"/>
        <w:numId w:val="12"/>
      </w:numPr>
    </w:pPr>
    <w:rPr>
      <w:rFonts w:eastAsia="Times New Roman"/>
      <w:lang w:eastAsia="en-GB"/>
    </w:rPr>
  </w:style>
  <w:style w:type="paragraph" w:customStyle="1" w:styleId="ListNumber2Level4">
    <w:name w:val="List Number 2 (Level 4)"/>
    <w:basedOn w:val="Text2"/>
    <w:rsid w:val="0045691F"/>
    <w:pPr>
      <w:numPr>
        <w:ilvl w:val="3"/>
        <w:numId w:val="13"/>
      </w:numPr>
    </w:pPr>
    <w:rPr>
      <w:rFonts w:eastAsia="Times New Roman"/>
      <w:lang w:eastAsia="en-GB"/>
    </w:rPr>
  </w:style>
  <w:style w:type="paragraph" w:customStyle="1" w:styleId="ListNumber3Level4">
    <w:name w:val="List Number 3 (Level 4)"/>
    <w:basedOn w:val="Text3"/>
    <w:rsid w:val="0045691F"/>
    <w:pPr>
      <w:numPr>
        <w:ilvl w:val="3"/>
        <w:numId w:val="14"/>
      </w:numPr>
    </w:pPr>
    <w:rPr>
      <w:rFonts w:eastAsia="Times New Roman"/>
      <w:lang w:eastAsia="en-GB"/>
    </w:rPr>
  </w:style>
  <w:style w:type="paragraph" w:customStyle="1" w:styleId="ListNumber4Level4">
    <w:name w:val="List Number 4 (Level 4)"/>
    <w:basedOn w:val="Text4"/>
    <w:rsid w:val="0045691F"/>
    <w:pPr>
      <w:numPr>
        <w:ilvl w:val="3"/>
        <w:numId w:val="15"/>
      </w:numPr>
    </w:pPr>
    <w:rPr>
      <w:rFonts w:eastAsia="Times New Roman"/>
      <w:lang w:eastAsia="en-GB"/>
    </w:rPr>
  </w:style>
  <w:style w:type="paragraph" w:customStyle="1" w:styleId="Annexetitreacte">
    <w:name w:val="Annexe titre (acte)"/>
    <w:basedOn w:val="Normal"/>
    <w:next w:val="Normal"/>
    <w:rsid w:val="0045691F"/>
    <w:pPr>
      <w:jc w:val="center"/>
    </w:pPr>
    <w:rPr>
      <w:rFonts w:eastAsia="Times New Roman"/>
      <w:b/>
      <w:u w:val="single"/>
      <w:lang w:eastAsia="en-GB"/>
    </w:rPr>
  </w:style>
  <w:style w:type="paragraph" w:customStyle="1" w:styleId="Annexetitreexposglobal">
    <w:name w:val="Annexe titre (exposé global)"/>
    <w:basedOn w:val="Normal"/>
    <w:next w:val="Normal"/>
    <w:rsid w:val="0045691F"/>
    <w:pPr>
      <w:jc w:val="center"/>
    </w:pPr>
    <w:rPr>
      <w:rFonts w:eastAsia="Times New Roman"/>
      <w:b/>
      <w:u w:val="single"/>
      <w:lang w:eastAsia="en-GB"/>
    </w:rPr>
  </w:style>
  <w:style w:type="paragraph" w:customStyle="1" w:styleId="Annexetitrefichefinacte">
    <w:name w:val="Annexe titre (fiche fin. acte)"/>
    <w:basedOn w:val="Normal"/>
    <w:next w:val="Normal"/>
    <w:rsid w:val="0045691F"/>
    <w:pPr>
      <w:jc w:val="center"/>
    </w:pPr>
    <w:rPr>
      <w:rFonts w:eastAsia="Times New Roman"/>
      <w:b/>
      <w:u w:val="single"/>
      <w:lang w:eastAsia="en-GB"/>
    </w:rPr>
  </w:style>
  <w:style w:type="paragraph" w:customStyle="1" w:styleId="Annexetitrefichefinglobale">
    <w:name w:val="Annexe titre (fiche fin. globale)"/>
    <w:basedOn w:val="Normal"/>
    <w:next w:val="Normal"/>
    <w:rsid w:val="0045691F"/>
    <w:pPr>
      <w:jc w:val="center"/>
    </w:pPr>
    <w:rPr>
      <w:rFonts w:eastAsia="Times New Roman"/>
      <w:b/>
      <w:u w:val="single"/>
      <w:lang w:eastAsia="en-GB"/>
    </w:rPr>
  </w:style>
  <w:style w:type="paragraph" w:customStyle="1" w:styleId="Annexetitreglobale">
    <w:name w:val="Annexe titre (globale)"/>
    <w:basedOn w:val="Normal"/>
    <w:next w:val="Normal"/>
    <w:rsid w:val="0045691F"/>
    <w:pPr>
      <w:jc w:val="center"/>
    </w:pPr>
    <w:rPr>
      <w:rFonts w:eastAsia="Times New Roman"/>
      <w:b/>
      <w:u w:val="single"/>
      <w:lang w:eastAsia="en-GB"/>
    </w:rPr>
  </w:style>
  <w:style w:type="paragraph" w:customStyle="1" w:styleId="Exposdesmotifstitreglobal">
    <w:name w:val="Exposé des motifs titre (global)"/>
    <w:basedOn w:val="Normal"/>
    <w:next w:val="Normal"/>
    <w:rsid w:val="0045691F"/>
    <w:pPr>
      <w:jc w:val="center"/>
    </w:pPr>
    <w:rPr>
      <w:rFonts w:eastAsia="Times New Roman"/>
      <w:b/>
      <w:u w:val="single"/>
      <w:lang w:eastAsia="en-GB"/>
    </w:rPr>
  </w:style>
  <w:style w:type="paragraph" w:customStyle="1" w:styleId="Langueoriginale">
    <w:name w:val="Langue originale"/>
    <w:basedOn w:val="Normal"/>
    <w:rsid w:val="0045691F"/>
    <w:pPr>
      <w:spacing w:before="360"/>
      <w:jc w:val="center"/>
    </w:pPr>
    <w:rPr>
      <w:rFonts w:eastAsia="Times New Roman"/>
      <w:caps/>
      <w:lang w:eastAsia="en-GB"/>
    </w:rPr>
  </w:style>
  <w:style w:type="paragraph" w:customStyle="1" w:styleId="Phrasefinale">
    <w:name w:val="Phrase finale"/>
    <w:basedOn w:val="Normal"/>
    <w:next w:val="Normal"/>
    <w:rsid w:val="0045691F"/>
    <w:pPr>
      <w:spacing w:before="360" w:after="0"/>
      <w:jc w:val="center"/>
    </w:pPr>
    <w:rPr>
      <w:rFonts w:eastAsia="Times New Roman"/>
      <w:lang w:eastAsia="en-GB"/>
    </w:rPr>
  </w:style>
  <w:style w:type="paragraph" w:customStyle="1" w:styleId="Prliminairetitre">
    <w:name w:val="Préliminaire titre"/>
    <w:basedOn w:val="Normal"/>
    <w:next w:val="Normal"/>
    <w:rsid w:val="0045691F"/>
    <w:pPr>
      <w:spacing w:before="360" w:after="360"/>
      <w:jc w:val="center"/>
    </w:pPr>
    <w:rPr>
      <w:rFonts w:eastAsia="Times New Roman"/>
      <w:b/>
      <w:lang w:eastAsia="en-GB"/>
    </w:rPr>
  </w:style>
  <w:style w:type="paragraph" w:customStyle="1" w:styleId="Prliminairetype">
    <w:name w:val="Préliminaire type"/>
    <w:basedOn w:val="Normal"/>
    <w:next w:val="Normal"/>
    <w:rsid w:val="0045691F"/>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5691F"/>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5691F"/>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5691F"/>
    <w:pPr>
      <w:spacing w:before="0" w:after="0"/>
      <w:ind w:left="5103"/>
      <w:jc w:val="left"/>
    </w:pPr>
    <w:rPr>
      <w:rFonts w:eastAsia="Times New Roman"/>
      <w:lang w:eastAsia="en-GB"/>
    </w:rPr>
  </w:style>
  <w:style w:type="paragraph" w:customStyle="1" w:styleId="Sous-titreobjetprliminaire">
    <w:name w:val="Sous-titre objet (préliminaire)"/>
    <w:basedOn w:val="Normal"/>
    <w:rsid w:val="0045691F"/>
    <w:pPr>
      <w:spacing w:before="0" w:after="0"/>
      <w:jc w:val="center"/>
    </w:pPr>
    <w:rPr>
      <w:rFonts w:eastAsia="Times New Roman"/>
      <w:b/>
      <w:lang w:eastAsia="en-GB"/>
    </w:rPr>
  </w:style>
  <w:style w:type="paragraph" w:customStyle="1" w:styleId="Statutprliminaire">
    <w:name w:val="Statut (préliminaire)"/>
    <w:basedOn w:val="Normal"/>
    <w:next w:val="Normal"/>
    <w:rsid w:val="0045691F"/>
    <w:pPr>
      <w:spacing w:before="360" w:after="0"/>
      <w:jc w:val="center"/>
    </w:pPr>
    <w:rPr>
      <w:rFonts w:eastAsia="Times New Roman"/>
      <w:lang w:eastAsia="en-GB"/>
    </w:rPr>
  </w:style>
  <w:style w:type="paragraph" w:customStyle="1" w:styleId="Titreobjetprliminaire">
    <w:name w:val="Titre objet (préliminaire)"/>
    <w:basedOn w:val="Normal"/>
    <w:next w:val="Normal"/>
    <w:rsid w:val="0045691F"/>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5691F"/>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5691F"/>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5691F"/>
    <w:pPr>
      <w:jc w:val="center"/>
    </w:pPr>
    <w:rPr>
      <w:rFonts w:eastAsia="Times New Roman"/>
      <w:b/>
      <w:u w:val="single"/>
      <w:lang w:eastAsia="en-GB"/>
    </w:rPr>
  </w:style>
  <w:style w:type="paragraph" w:customStyle="1" w:styleId="Fichefinanciretravailtitre">
    <w:name w:val="Fiche financière (travail) titre"/>
    <w:basedOn w:val="Normal"/>
    <w:next w:val="Normal"/>
    <w:rsid w:val="0045691F"/>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5691F"/>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5691F"/>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5691F"/>
    <w:pPr>
      <w:jc w:val="center"/>
    </w:pPr>
    <w:rPr>
      <w:rFonts w:eastAsia="Times New Roman"/>
      <w:b/>
      <w:u w:val="single"/>
      <w:lang w:eastAsia="en-GB"/>
    </w:rPr>
  </w:style>
  <w:style w:type="character" w:styleId="CommentReference">
    <w:name w:val="annotation reference"/>
    <w:rsid w:val="0045691F"/>
    <w:rPr>
      <w:rFonts w:cs="Times New Roman"/>
      <w:sz w:val="16"/>
      <w:szCs w:val="16"/>
    </w:rPr>
  </w:style>
  <w:style w:type="paragraph" w:styleId="CommentText">
    <w:name w:val="annotation text"/>
    <w:basedOn w:val="Normal"/>
    <w:link w:val="CommentTextChar"/>
    <w:rsid w:val="0045691F"/>
    <w:rPr>
      <w:rFonts w:eastAsia="Times New Roman"/>
      <w:sz w:val="20"/>
      <w:szCs w:val="20"/>
      <w:lang w:eastAsia="en-GB"/>
    </w:rPr>
  </w:style>
  <w:style w:type="character" w:customStyle="1" w:styleId="CommentTextChar">
    <w:name w:val="Comment Text Char"/>
    <w:basedOn w:val="DefaultParagraphFont"/>
    <w:link w:val="CommentText"/>
    <w:rsid w:val="0045691F"/>
    <w:rPr>
      <w:rFonts w:ascii="Times New Roman" w:eastAsia="Times New Roman" w:hAnsi="Times New Roman" w:cs="Times New Roman"/>
      <w:sz w:val="20"/>
      <w:szCs w:val="20"/>
      <w:lang w:val="sl-SI" w:eastAsia="en-GB"/>
    </w:rPr>
  </w:style>
  <w:style w:type="paragraph" w:styleId="CommentSubject">
    <w:name w:val="annotation subject"/>
    <w:basedOn w:val="CommentText"/>
    <w:next w:val="CommentText"/>
    <w:link w:val="CommentSubjectChar"/>
    <w:rsid w:val="0045691F"/>
    <w:rPr>
      <w:b/>
      <w:bCs/>
    </w:rPr>
  </w:style>
  <w:style w:type="character" w:customStyle="1" w:styleId="CommentSubjectChar">
    <w:name w:val="Comment Subject Char"/>
    <w:basedOn w:val="CommentTextChar"/>
    <w:link w:val="CommentSubject"/>
    <w:rsid w:val="0045691F"/>
    <w:rPr>
      <w:rFonts w:ascii="Times New Roman" w:eastAsia="Times New Roman" w:hAnsi="Times New Roman" w:cs="Times New Roman"/>
      <w:b/>
      <w:bCs/>
      <w:sz w:val="20"/>
      <w:szCs w:val="20"/>
      <w:lang w:val="sl-SI" w:eastAsia="en-GB"/>
    </w:rPr>
  </w:style>
  <w:style w:type="paragraph" w:styleId="BalloonText">
    <w:name w:val="Balloon Text"/>
    <w:basedOn w:val="Normal"/>
    <w:link w:val="BalloonTextChar"/>
    <w:rsid w:val="0045691F"/>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5691F"/>
    <w:rPr>
      <w:rFonts w:ascii="Tahoma" w:eastAsia="Times New Roman" w:hAnsi="Tahoma" w:cs="Tahoma"/>
      <w:sz w:val="16"/>
      <w:szCs w:val="16"/>
      <w:lang w:val="sl-SI" w:eastAsia="en-GB"/>
    </w:rPr>
  </w:style>
  <w:style w:type="paragraph" w:styleId="Caption">
    <w:name w:val="caption"/>
    <w:basedOn w:val="Normal"/>
    <w:next w:val="Normal"/>
    <w:qFormat/>
    <w:rsid w:val="0045691F"/>
    <w:rPr>
      <w:rFonts w:eastAsia="Times New Roman"/>
      <w:b/>
      <w:bCs/>
      <w:sz w:val="20"/>
      <w:szCs w:val="20"/>
      <w:lang w:eastAsia="en-GB"/>
    </w:rPr>
  </w:style>
  <w:style w:type="paragraph" w:styleId="TableofFigures">
    <w:name w:val="table of figures"/>
    <w:basedOn w:val="Normal"/>
    <w:next w:val="Normal"/>
    <w:rsid w:val="0045691F"/>
    <w:rPr>
      <w:rFonts w:eastAsia="Times New Roman"/>
      <w:lang w:eastAsia="en-GB"/>
    </w:rPr>
  </w:style>
  <w:style w:type="character" w:styleId="PageNumber">
    <w:name w:val="page number"/>
    <w:rsid w:val="0045691F"/>
  </w:style>
  <w:style w:type="character" w:customStyle="1" w:styleId="tw4winMark">
    <w:name w:val="tw4winMark"/>
    <w:rsid w:val="0045691F"/>
    <w:rPr>
      <w:vanish/>
      <w:color w:val="800080"/>
      <w:vertAlign w:val="subscript"/>
    </w:rPr>
  </w:style>
  <w:style w:type="character" w:styleId="FollowedHyperlink">
    <w:name w:val="FollowedHyperlink"/>
    <w:rsid w:val="0045691F"/>
    <w:rPr>
      <w:color w:val="800080"/>
      <w:u w:val="single"/>
    </w:rPr>
  </w:style>
  <w:style w:type="paragraph" w:customStyle="1" w:styleId="Sous-titreobjet">
    <w:name w:val="Sous-titre objet"/>
    <w:basedOn w:val="Normal"/>
    <w:rsid w:val="0045691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5691F"/>
  </w:style>
  <w:style w:type="paragraph" w:styleId="Revision">
    <w:name w:val="Revision"/>
    <w:hidden/>
    <w:uiPriority w:val="99"/>
    <w:semiHidden/>
    <w:rsid w:val="0045691F"/>
    <w:rPr>
      <w:rFonts w:ascii="Calibri" w:eastAsia="Calibri" w:hAnsi="Calibri" w:cs="Times New Roman"/>
      <w:sz w:val="24"/>
      <w:lang w:eastAsia="en-GB"/>
    </w:rPr>
  </w:style>
  <w:style w:type="paragraph" w:customStyle="1" w:styleId="FooterCoverPage">
    <w:name w:val="Footer Cover Page"/>
    <w:basedOn w:val="Normal"/>
    <w:link w:val="FooterCoverPageChar"/>
    <w:rsid w:val="0045691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5691F"/>
    <w:rPr>
      <w:rFonts w:ascii="Times New Roman" w:hAnsi="Times New Roman" w:cs="Times New Roman"/>
      <w:b/>
      <w:sz w:val="28"/>
      <w:lang w:val="sl-SI"/>
    </w:rPr>
  </w:style>
  <w:style w:type="character" w:customStyle="1" w:styleId="FooterCoverPageChar">
    <w:name w:val="Footer Cover Page Char"/>
    <w:link w:val="FooterCoverPage"/>
    <w:rsid w:val="0045691F"/>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45691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5691F"/>
    <w:rPr>
      <w:rFonts w:ascii="Times New Roman" w:eastAsia="Calibri" w:hAnsi="Times New Roman" w:cs="Times New Roman"/>
      <w:sz w:val="24"/>
      <w:lang w:val="sl-SI" w:eastAsia="en-GB"/>
    </w:rPr>
  </w:style>
  <w:style w:type="character" w:customStyle="1" w:styleId="FooterSensitivityChar">
    <w:name w:val="Footer Sensitivity Char"/>
    <w:rsid w:val="0045691F"/>
    <w:rPr>
      <w:rFonts w:ascii="Times New Roman" w:hAnsi="Times New Roman" w:cs="Times New Roman"/>
      <w:b/>
      <w:sz w:val="32"/>
      <w:lang w:val="sl-SI"/>
    </w:rPr>
  </w:style>
  <w:style w:type="character" w:customStyle="1" w:styleId="HeaderSensitivityChar">
    <w:name w:val="Header Sensitivity Char"/>
    <w:rsid w:val="0045691F"/>
    <w:rPr>
      <w:rFonts w:ascii="Times New Roman" w:hAnsi="Times New Roman" w:cs="Times New Roman"/>
      <w:b/>
      <w:sz w:val="32"/>
      <w:lang w:val="sl-SI"/>
    </w:rPr>
  </w:style>
  <w:style w:type="character" w:customStyle="1" w:styleId="HeaderSensitivityRightChar">
    <w:name w:val="Header Sensitivity Right Char"/>
    <w:rsid w:val="0045691F"/>
    <w:rPr>
      <w:rFonts w:ascii="Times New Roman" w:hAnsi="Times New Roman" w:cs="Times New Roman"/>
      <w:sz w:val="28"/>
      <w:lang w:val="sl-SI"/>
    </w:rPr>
  </w:style>
  <w:style w:type="paragraph" w:customStyle="1" w:styleId="LegalNumPar">
    <w:name w:val="LegalNumPar"/>
    <w:basedOn w:val="Normal"/>
    <w:rsid w:val="0045691F"/>
    <w:pPr>
      <w:numPr>
        <w:numId w:val="16"/>
      </w:numPr>
      <w:spacing w:line="360" w:lineRule="auto"/>
    </w:pPr>
    <w:rPr>
      <w:rFonts w:eastAsia="Times New Roman"/>
      <w:lang w:eastAsia="en-GB"/>
    </w:rPr>
  </w:style>
  <w:style w:type="paragraph" w:customStyle="1" w:styleId="LegalNumPar2">
    <w:name w:val="LegalNumPar2"/>
    <w:basedOn w:val="Normal"/>
    <w:rsid w:val="0045691F"/>
    <w:pPr>
      <w:numPr>
        <w:ilvl w:val="1"/>
        <w:numId w:val="16"/>
      </w:numPr>
      <w:spacing w:line="360" w:lineRule="auto"/>
    </w:pPr>
    <w:rPr>
      <w:rFonts w:eastAsia="Times New Roman"/>
      <w:lang w:eastAsia="en-GB"/>
    </w:rPr>
  </w:style>
  <w:style w:type="paragraph" w:customStyle="1" w:styleId="LegalNumPar3">
    <w:name w:val="LegalNumPar3"/>
    <w:basedOn w:val="Normal"/>
    <w:rsid w:val="0045691F"/>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45691F"/>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45691F"/>
    <w:rPr>
      <w:color w:val="605E5C"/>
      <w:shd w:val="clear" w:color="auto" w:fill="E1DFDD"/>
    </w:rPr>
  </w:style>
  <w:style w:type="character" w:styleId="Strong">
    <w:name w:val="Strong"/>
    <w:basedOn w:val="DefaultParagraphFont"/>
    <w:qFormat/>
    <w:rsid w:val="0045691F"/>
    <w:rPr>
      <w:b/>
      <w:bCs/>
    </w:rPr>
  </w:style>
  <w:style w:type="character" w:styleId="Emphasis">
    <w:name w:val="Emphasis"/>
    <w:basedOn w:val="DefaultParagraphFont"/>
    <w:qFormat/>
    <w:rsid w:val="0045691F"/>
    <w:rPr>
      <w:i/>
      <w:iCs/>
    </w:rPr>
  </w:style>
  <w:style w:type="character" w:customStyle="1" w:styleId="Mention">
    <w:name w:val="Mention"/>
    <w:basedOn w:val="DefaultParagraphFont"/>
    <w:uiPriority w:val="99"/>
    <w:unhideWhenUsed/>
    <w:rsid w:val="0045691F"/>
    <w:rPr>
      <w:color w:val="2B579A"/>
      <w:shd w:val="clear" w:color="auto" w:fill="E1DFDD"/>
    </w:rPr>
  </w:style>
  <w:style w:type="character" w:customStyle="1" w:styleId="normaltextrun">
    <w:name w:val="normaltextrun"/>
    <w:basedOn w:val="DefaultParagraphFont"/>
    <w:rsid w:val="0045691F"/>
  </w:style>
  <w:style w:type="character" w:customStyle="1" w:styleId="eop">
    <w:name w:val="eop"/>
    <w:basedOn w:val="DefaultParagraphFont"/>
    <w:rsid w:val="0045691F"/>
  </w:style>
  <w:style w:type="paragraph" w:customStyle="1" w:styleId="Ext1">
    <w:name w:val="Ext 1"/>
    <w:basedOn w:val="NumPar1"/>
    <w:rsid w:val="00871D94"/>
    <w:pPr>
      <w:numPr>
        <w:numId w:val="0"/>
      </w:numPr>
      <w:tabs>
        <w:tab w:val="num" w:pos="850"/>
      </w:tabs>
      <w:ind w:left="850" w:hanging="850"/>
    </w:pPr>
  </w:style>
  <w:style w:type="character" w:customStyle="1" w:styleId="HeaderChar">
    <w:name w:val="Header Char"/>
    <w:basedOn w:val="DefaultParagraphFont"/>
    <w:link w:val="Header"/>
    <w:uiPriority w:val="99"/>
    <w:rsid w:val="00F82B96"/>
    <w:rPr>
      <w:rFonts w:ascii="Times New Roman" w:hAnsi="Times New Roman" w:cs="Times New Roman"/>
      <w:sz w:val="24"/>
      <w:lang w:val="sl-SI"/>
    </w:rPr>
  </w:style>
  <w:style w:type="character" w:customStyle="1" w:styleId="FooterChar">
    <w:name w:val="Footer Char"/>
    <w:basedOn w:val="DefaultParagraphFont"/>
    <w:link w:val="Footer"/>
    <w:uiPriority w:val="99"/>
    <w:rsid w:val="00F82B96"/>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82B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2B96"/>
    <w:pPr>
      <w:spacing w:before="0"/>
      <w:jc w:val="right"/>
    </w:pPr>
    <w:rPr>
      <w:sz w:val="28"/>
    </w:rPr>
  </w:style>
  <w:style w:type="paragraph" w:customStyle="1" w:styleId="FooterSensitivity">
    <w:name w:val="Footer Sensitivity"/>
    <w:basedOn w:val="Normal"/>
    <w:rsid w:val="00F82B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82B96"/>
    <w:pPr>
      <w:tabs>
        <w:tab w:val="center" w:pos="4535"/>
        <w:tab w:val="right" w:pos="9071"/>
      </w:tabs>
      <w:spacing w:before="0"/>
    </w:pPr>
  </w:style>
  <w:style w:type="paragraph" w:customStyle="1" w:styleId="HeaderLandscape">
    <w:name w:val="HeaderLandscape"/>
    <w:basedOn w:val="Normal"/>
    <w:rsid w:val="00F82B96"/>
    <w:pPr>
      <w:tabs>
        <w:tab w:val="center" w:pos="7285"/>
        <w:tab w:val="right" w:pos="14003"/>
      </w:tabs>
      <w:spacing w:before="0"/>
    </w:pPr>
  </w:style>
  <w:style w:type="paragraph" w:styleId="Footer">
    <w:name w:val="footer"/>
    <w:basedOn w:val="Normal"/>
    <w:link w:val="FooterChar"/>
    <w:uiPriority w:val="99"/>
    <w:unhideWhenUsed/>
    <w:rsid w:val="00F82B9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82B9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7547">
      <w:bodyDiv w:val="1"/>
      <w:marLeft w:val="0"/>
      <w:marRight w:val="0"/>
      <w:marTop w:val="0"/>
      <w:marBottom w:val="0"/>
      <w:divBdr>
        <w:top w:val="none" w:sz="0" w:space="0" w:color="auto"/>
        <w:left w:val="none" w:sz="0" w:space="0" w:color="auto"/>
        <w:bottom w:val="none" w:sz="0" w:space="0" w:color="auto"/>
        <w:right w:val="none" w:sz="0" w:space="0" w:color="auto"/>
      </w:divBdr>
    </w:div>
    <w:div w:id="497497461">
      <w:bodyDiv w:val="1"/>
      <w:marLeft w:val="0"/>
      <w:marRight w:val="0"/>
      <w:marTop w:val="0"/>
      <w:marBottom w:val="0"/>
      <w:divBdr>
        <w:top w:val="none" w:sz="0" w:space="0" w:color="auto"/>
        <w:left w:val="none" w:sz="0" w:space="0" w:color="auto"/>
        <w:bottom w:val="none" w:sz="0" w:space="0" w:color="auto"/>
        <w:right w:val="none" w:sz="0" w:space="0" w:color="auto"/>
      </w:divBdr>
    </w:div>
    <w:div w:id="623385717">
      <w:bodyDiv w:val="1"/>
      <w:marLeft w:val="0"/>
      <w:marRight w:val="0"/>
      <w:marTop w:val="0"/>
      <w:marBottom w:val="0"/>
      <w:divBdr>
        <w:top w:val="none" w:sz="0" w:space="0" w:color="auto"/>
        <w:left w:val="none" w:sz="0" w:space="0" w:color="auto"/>
        <w:bottom w:val="none" w:sz="0" w:space="0" w:color="auto"/>
        <w:right w:val="none" w:sz="0" w:space="0" w:color="auto"/>
      </w:divBdr>
    </w:div>
    <w:div w:id="684865353">
      <w:bodyDiv w:val="1"/>
      <w:marLeft w:val="0"/>
      <w:marRight w:val="0"/>
      <w:marTop w:val="0"/>
      <w:marBottom w:val="0"/>
      <w:divBdr>
        <w:top w:val="none" w:sz="0" w:space="0" w:color="auto"/>
        <w:left w:val="none" w:sz="0" w:space="0" w:color="auto"/>
        <w:bottom w:val="none" w:sz="0" w:space="0" w:color="auto"/>
        <w:right w:val="none" w:sz="0" w:space="0" w:color="auto"/>
      </w:divBdr>
    </w:div>
    <w:div w:id="852646392">
      <w:bodyDiv w:val="1"/>
      <w:marLeft w:val="0"/>
      <w:marRight w:val="0"/>
      <w:marTop w:val="0"/>
      <w:marBottom w:val="0"/>
      <w:divBdr>
        <w:top w:val="none" w:sz="0" w:space="0" w:color="auto"/>
        <w:left w:val="none" w:sz="0" w:space="0" w:color="auto"/>
        <w:bottom w:val="none" w:sz="0" w:space="0" w:color="auto"/>
        <w:right w:val="none" w:sz="0" w:space="0" w:color="auto"/>
      </w:divBdr>
      <w:divsChild>
        <w:div w:id="1447700936">
          <w:marLeft w:val="0"/>
          <w:marRight w:val="0"/>
          <w:marTop w:val="0"/>
          <w:marBottom w:val="0"/>
          <w:divBdr>
            <w:top w:val="none" w:sz="0" w:space="0" w:color="auto"/>
            <w:left w:val="none" w:sz="0" w:space="0" w:color="auto"/>
            <w:bottom w:val="none" w:sz="0" w:space="0" w:color="auto"/>
            <w:right w:val="none" w:sz="0" w:space="0" w:color="auto"/>
          </w:divBdr>
          <w:divsChild>
            <w:div w:id="250510290">
              <w:marLeft w:val="0"/>
              <w:marRight w:val="0"/>
              <w:marTop w:val="0"/>
              <w:marBottom w:val="0"/>
              <w:divBdr>
                <w:top w:val="none" w:sz="0" w:space="0" w:color="auto"/>
                <w:left w:val="none" w:sz="0" w:space="0" w:color="auto"/>
                <w:bottom w:val="none" w:sz="0" w:space="0" w:color="auto"/>
                <w:right w:val="none" w:sz="0" w:space="0" w:color="auto"/>
              </w:divBdr>
              <w:divsChild>
                <w:div w:id="1359232398">
                  <w:marLeft w:val="0"/>
                  <w:marRight w:val="0"/>
                  <w:marTop w:val="0"/>
                  <w:marBottom w:val="0"/>
                  <w:divBdr>
                    <w:top w:val="none" w:sz="0" w:space="0" w:color="auto"/>
                    <w:left w:val="none" w:sz="0" w:space="0" w:color="auto"/>
                    <w:bottom w:val="none" w:sz="0" w:space="0" w:color="auto"/>
                    <w:right w:val="none" w:sz="0" w:space="0" w:color="auto"/>
                  </w:divBdr>
                  <w:divsChild>
                    <w:div w:id="213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0322">
      <w:bodyDiv w:val="1"/>
      <w:marLeft w:val="0"/>
      <w:marRight w:val="0"/>
      <w:marTop w:val="0"/>
      <w:marBottom w:val="0"/>
      <w:divBdr>
        <w:top w:val="none" w:sz="0" w:space="0" w:color="auto"/>
        <w:left w:val="none" w:sz="0" w:space="0" w:color="auto"/>
        <w:bottom w:val="none" w:sz="0" w:space="0" w:color="auto"/>
        <w:right w:val="none" w:sz="0" w:space="0" w:color="auto"/>
      </w:divBdr>
      <w:divsChild>
        <w:div w:id="1962958762">
          <w:marLeft w:val="0"/>
          <w:marRight w:val="0"/>
          <w:marTop w:val="0"/>
          <w:marBottom w:val="0"/>
          <w:divBdr>
            <w:top w:val="none" w:sz="0" w:space="0" w:color="auto"/>
            <w:left w:val="none" w:sz="0" w:space="0" w:color="auto"/>
            <w:bottom w:val="none" w:sz="0" w:space="0" w:color="auto"/>
            <w:right w:val="none" w:sz="0" w:space="0" w:color="auto"/>
          </w:divBdr>
          <w:divsChild>
            <w:div w:id="1764297895">
              <w:marLeft w:val="0"/>
              <w:marRight w:val="0"/>
              <w:marTop w:val="0"/>
              <w:marBottom w:val="0"/>
              <w:divBdr>
                <w:top w:val="none" w:sz="0" w:space="0" w:color="auto"/>
                <w:left w:val="none" w:sz="0" w:space="0" w:color="auto"/>
                <w:bottom w:val="none" w:sz="0" w:space="0" w:color="auto"/>
                <w:right w:val="none" w:sz="0" w:space="0" w:color="auto"/>
              </w:divBdr>
              <w:divsChild>
                <w:div w:id="318194752">
                  <w:marLeft w:val="0"/>
                  <w:marRight w:val="0"/>
                  <w:marTop w:val="0"/>
                  <w:marBottom w:val="0"/>
                  <w:divBdr>
                    <w:top w:val="none" w:sz="0" w:space="0" w:color="auto"/>
                    <w:left w:val="none" w:sz="0" w:space="0" w:color="auto"/>
                    <w:bottom w:val="none" w:sz="0" w:space="0" w:color="auto"/>
                    <w:right w:val="none" w:sz="0" w:space="0" w:color="auto"/>
                  </w:divBdr>
                  <w:divsChild>
                    <w:div w:id="5119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02568">
      <w:bodyDiv w:val="1"/>
      <w:marLeft w:val="0"/>
      <w:marRight w:val="0"/>
      <w:marTop w:val="0"/>
      <w:marBottom w:val="0"/>
      <w:divBdr>
        <w:top w:val="none" w:sz="0" w:space="0" w:color="auto"/>
        <w:left w:val="none" w:sz="0" w:space="0" w:color="auto"/>
        <w:bottom w:val="none" w:sz="0" w:space="0" w:color="auto"/>
        <w:right w:val="none" w:sz="0" w:space="0" w:color="auto"/>
      </w:divBdr>
    </w:div>
    <w:div w:id="1248073814">
      <w:bodyDiv w:val="1"/>
      <w:marLeft w:val="0"/>
      <w:marRight w:val="0"/>
      <w:marTop w:val="0"/>
      <w:marBottom w:val="0"/>
      <w:divBdr>
        <w:top w:val="none" w:sz="0" w:space="0" w:color="auto"/>
        <w:left w:val="none" w:sz="0" w:space="0" w:color="auto"/>
        <w:bottom w:val="none" w:sz="0" w:space="0" w:color="auto"/>
        <w:right w:val="none" w:sz="0" w:space="0" w:color="auto"/>
      </w:divBdr>
    </w:div>
    <w:div w:id="1276983742">
      <w:bodyDiv w:val="1"/>
      <w:marLeft w:val="0"/>
      <w:marRight w:val="0"/>
      <w:marTop w:val="0"/>
      <w:marBottom w:val="0"/>
      <w:divBdr>
        <w:top w:val="none" w:sz="0" w:space="0" w:color="auto"/>
        <w:left w:val="none" w:sz="0" w:space="0" w:color="auto"/>
        <w:bottom w:val="none" w:sz="0" w:space="0" w:color="auto"/>
        <w:right w:val="none" w:sz="0" w:space="0" w:color="auto"/>
      </w:divBdr>
    </w:div>
    <w:div w:id="1667629326">
      <w:bodyDiv w:val="1"/>
      <w:marLeft w:val="0"/>
      <w:marRight w:val="0"/>
      <w:marTop w:val="0"/>
      <w:marBottom w:val="0"/>
      <w:divBdr>
        <w:top w:val="none" w:sz="0" w:space="0" w:color="auto"/>
        <w:left w:val="none" w:sz="0" w:space="0" w:color="auto"/>
        <w:bottom w:val="none" w:sz="0" w:space="0" w:color="auto"/>
        <w:right w:val="none" w:sz="0" w:space="0" w:color="auto"/>
      </w:divBdr>
    </w:div>
    <w:div w:id="1889026346">
      <w:bodyDiv w:val="1"/>
      <w:marLeft w:val="0"/>
      <w:marRight w:val="0"/>
      <w:marTop w:val="0"/>
      <w:marBottom w:val="0"/>
      <w:divBdr>
        <w:top w:val="none" w:sz="0" w:space="0" w:color="auto"/>
        <w:left w:val="none" w:sz="0" w:space="0" w:color="auto"/>
        <w:bottom w:val="none" w:sz="0" w:space="0" w:color="auto"/>
        <w:right w:val="none" w:sz="0" w:space="0" w:color="auto"/>
      </w:divBdr>
    </w:div>
    <w:div w:id="1893690635">
      <w:bodyDiv w:val="1"/>
      <w:marLeft w:val="0"/>
      <w:marRight w:val="0"/>
      <w:marTop w:val="0"/>
      <w:marBottom w:val="0"/>
      <w:divBdr>
        <w:top w:val="none" w:sz="0" w:space="0" w:color="auto"/>
        <w:left w:val="none" w:sz="0" w:space="0" w:color="auto"/>
        <w:bottom w:val="none" w:sz="0" w:space="0" w:color="auto"/>
        <w:right w:val="none" w:sz="0" w:space="0" w:color="auto"/>
      </w:divBdr>
    </w:div>
    <w:div w:id="2062703341">
      <w:bodyDiv w:val="1"/>
      <w:marLeft w:val="0"/>
      <w:marRight w:val="0"/>
      <w:marTop w:val="0"/>
      <w:marBottom w:val="0"/>
      <w:divBdr>
        <w:top w:val="none" w:sz="0" w:space="0" w:color="auto"/>
        <w:left w:val="none" w:sz="0" w:space="0" w:color="auto"/>
        <w:bottom w:val="none" w:sz="0" w:space="0" w:color="auto"/>
        <w:right w:val="none" w:sz="0" w:space="0" w:color="auto"/>
      </w:divBdr>
    </w:div>
    <w:div w:id="21230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eba.europa.eu/sites/default/files/2024-01/8d7c0d40-2d79-4763-bd9c-ad66c0bf4076/Report%20on%20specific%20aspects%20of%20the%20NSFR%20framework%20under%20Art%20510%20CRR.pdf" TargetMode="External"/><Relationship Id="rId3" Type="http://schemas.openxmlformats.org/officeDocument/2006/relationships/hyperlink" Target="https://www.bis.org/bcbs/publ/d553.htm" TargetMode="External"/><Relationship Id="rId7" Type="http://schemas.openxmlformats.org/officeDocument/2006/relationships/hyperlink" Target="http://data.europa.eu/eli/reg/2013/575/oj" TargetMode="External"/><Relationship Id="rId2" Type="http://schemas.openxmlformats.org/officeDocument/2006/relationships/hyperlink" Target="https://eur-lex.europa.eu/legal-content/EN/TXT/?uri=SWD%3A2016%3A0377%3AFIN" TargetMode="External"/><Relationship Id="rId1" Type="http://schemas.openxmlformats.org/officeDocument/2006/relationships/hyperlink" Target="https://eur-lex.europa.eu/legal-content/SL/TXT/?uri=COM%3A2016%3A0850%3AFIN" TargetMode="External"/><Relationship Id="rId6" Type="http://schemas.openxmlformats.org/officeDocument/2006/relationships/hyperlink" Target="https://eur-lex.europa.eu/legal-content/SL/TXT/?uri=COM%3A2016%3A0850%3AFIN" TargetMode="External"/><Relationship Id="rId5" Type="http://schemas.openxmlformats.org/officeDocument/2006/relationships/hyperlink" Target="https://www.eba.europa.eu/publications-and-media/press-releases/eba-publishes-analysis-specific-aspects-net-stable-funding" TargetMode="External"/><Relationship Id="rId4" Type="http://schemas.openxmlformats.org/officeDocument/2006/relationships/hyperlink" Target="https://www.bis.org/bcbs/publ/d553.htm" TargetMode="External"/><Relationship Id="rId9"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ABB0-7F8A-45C6-8937-482883FA8FCB}">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5306D6F5-92B0-453C-9D26-1ACC9035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CB87E-8583-4D2F-96A6-079F0C6D07A6}">
  <ds:schemaRefs>
    <ds:schemaRef ds:uri="http://schemas.microsoft.com/sharepoint/v3/contenttype/forms"/>
  </ds:schemaRefs>
</ds:datastoreItem>
</file>

<file path=customXml/itemProps4.xml><?xml version="1.0" encoding="utf-8"?>
<ds:datastoreItem xmlns:ds="http://schemas.openxmlformats.org/officeDocument/2006/customXml" ds:itemID="{298C4B27-3F48-4680-A65B-59D16BE2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22</Pages>
  <Words>10753</Words>
  <Characters>61297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71907</CharactersWithSpaces>
  <SharedDoc>false</SharedDoc>
  <HLinks>
    <vt:vector size="48" baseType="variant">
      <vt:variant>
        <vt:i4>262150</vt:i4>
      </vt:variant>
      <vt:variant>
        <vt:i4>21</vt:i4>
      </vt:variant>
      <vt:variant>
        <vt:i4>0</vt:i4>
      </vt:variant>
      <vt:variant>
        <vt:i4>5</vt:i4>
      </vt:variant>
      <vt:variant>
        <vt:lpwstr>https://myintracomm.ec.europa.eu/corp/budget/financial-rules/budget-implementation/Pages/implementation-methods.aspx</vt:lpwstr>
      </vt:variant>
      <vt:variant>
        <vt:lpwstr/>
      </vt:variant>
      <vt:variant>
        <vt:i4>1900567</vt:i4>
      </vt:variant>
      <vt:variant>
        <vt:i4>18</vt:i4>
      </vt:variant>
      <vt:variant>
        <vt:i4>0</vt:i4>
      </vt:variant>
      <vt:variant>
        <vt:i4>5</vt:i4>
      </vt:variant>
      <vt:variant>
        <vt:lpwstr>https://www.eba.europa.eu/sites/default/files/2024-01/8d7c0d40-2d79-4763-bd9c-ad66c0bf4076/Report on specific aspects of the NSFR framework under Art 510 CRR.pdf</vt:lpwstr>
      </vt:variant>
      <vt:variant>
        <vt:lpwstr/>
      </vt:variant>
      <vt:variant>
        <vt:i4>4259864</vt:i4>
      </vt:variant>
      <vt:variant>
        <vt:i4>15</vt:i4>
      </vt:variant>
      <vt:variant>
        <vt:i4>0</vt:i4>
      </vt:variant>
      <vt:variant>
        <vt:i4>5</vt:i4>
      </vt:variant>
      <vt:variant>
        <vt:lpwstr>http://data.europa.eu/eli/reg/2013/575/oj</vt:lpwstr>
      </vt:variant>
      <vt:variant>
        <vt:lpwstr/>
      </vt:variant>
      <vt:variant>
        <vt:i4>6815778</vt:i4>
      </vt:variant>
      <vt:variant>
        <vt:i4>12</vt:i4>
      </vt:variant>
      <vt:variant>
        <vt:i4>0</vt:i4>
      </vt:variant>
      <vt:variant>
        <vt:i4>5</vt:i4>
      </vt:variant>
      <vt:variant>
        <vt:lpwstr>https://eur-lex.europa.eu/legal-content/EN/TXT/?uri=COM%3A2016%3A0850%3AFIN</vt:lpwstr>
      </vt:variant>
      <vt:variant>
        <vt:lpwstr/>
      </vt:variant>
      <vt:variant>
        <vt:i4>4128892</vt:i4>
      </vt:variant>
      <vt:variant>
        <vt:i4>9</vt:i4>
      </vt:variant>
      <vt:variant>
        <vt:i4>0</vt:i4>
      </vt:variant>
      <vt:variant>
        <vt:i4>5</vt:i4>
      </vt:variant>
      <vt:variant>
        <vt:lpwstr>https://www.eba.europa.eu/publications-and-media/press-releases/eba-publishes-analysis-specific-aspects-net-stable-funding</vt:lpwstr>
      </vt:variant>
      <vt:variant>
        <vt:lpwstr/>
      </vt:variant>
      <vt:variant>
        <vt:i4>8126564</vt:i4>
      </vt:variant>
      <vt:variant>
        <vt:i4>6</vt:i4>
      </vt:variant>
      <vt:variant>
        <vt:i4>0</vt:i4>
      </vt:variant>
      <vt:variant>
        <vt:i4>5</vt:i4>
      </vt:variant>
      <vt:variant>
        <vt:lpwstr>https://www.bis.org/bcbs/publ/d553.htm</vt:lpwstr>
      </vt:variant>
      <vt:variant>
        <vt:lpwstr/>
      </vt:variant>
      <vt:variant>
        <vt:i4>7471159</vt:i4>
      </vt:variant>
      <vt:variant>
        <vt:i4>3</vt:i4>
      </vt:variant>
      <vt:variant>
        <vt:i4>0</vt:i4>
      </vt:variant>
      <vt:variant>
        <vt:i4>5</vt:i4>
      </vt:variant>
      <vt:variant>
        <vt:lpwstr>https://eur-lex.europa.eu/legal-content/EN/TXT/?uri=SWD%3A2016%3A0377%3AFIN</vt:lpwstr>
      </vt:variant>
      <vt:variant>
        <vt:lpwstr/>
      </vt:variant>
      <vt:variant>
        <vt:i4>6815778</vt:i4>
      </vt:variant>
      <vt:variant>
        <vt:i4>0</vt:i4>
      </vt:variant>
      <vt:variant>
        <vt:i4>0</vt:i4>
      </vt:variant>
      <vt:variant>
        <vt:i4>5</vt:i4>
      </vt:variant>
      <vt:variant>
        <vt:lpwstr>https://eur-lex.europa.eu/legal-content/EN/TXT/?uri=COM%3A2016%3A0850%3AFIN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2025-03-26T10:53:00Z</dcterms:created>
  <dcterms:modified xsi:type="dcterms:W3CDTF">2025-03-27T08:07:00Z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2025-01-28T08:03:52Z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27f3098e-e3ea-40eb-94ea-9edbaf4e3d37</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