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101D6F" w14:textId="7BE3521C" w:rsidR="006C7F87" w:rsidRPr="009B5623" w:rsidRDefault="0022615E" w:rsidP="0022615E">
      <w:pPr>
        <w:pStyle w:val="Pagedecouverture"/>
        <w:rPr>
          <w:noProof/>
        </w:rPr>
      </w:pPr>
      <w:r>
        <w:rPr>
          <w:noProof/>
        </w:rPr>
        <w:pict w14:anchorId="523450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8D27736A-5161-4DF3-B614-4822DD361A4E" style="width:455.25pt;height:426pt">
            <v:imagedata r:id="rId11" o:title=""/>
          </v:shape>
        </w:pict>
      </w:r>
    </w:p>
    <w:p w14:paraId="424625E9" w14:textId="77777777" w:rsidR="006C7F87" w:rsidRPr="009B5623" w:rsidRDefault="006C7F87" w:rsidP="006C7F87">
      <w:pPr>
        <w:rPr>
          <w:noProof/>
        </w:rPr>
        <w:sectPr w:rsidR="006C7F87" w:rsidRPr="009B5623" w:rsidSect="0022615E">
          <w:footerReference w:type="even" r:id="rId12"/>
          <w:footerReference w:type="default" r:id="rId13"/>
          <w:pgSz w:w="11907" w:h="16839"/>
          <w:pgMar w:top="1134" w:right="1417" w:bottom="1134" w:left="1417" w:header="709" w:footer="709" w:gutter="0"/>
          <w:pgNumType w:start="0"/>
          <w:cols w:space="720"/>
          <w:docGrid w:linePitch="360"/>
        </w:sectPr>
      </w:pPr>
    </w:p>
    <w:p w14:paraId="18292C6C" w14:textId="77777777" w:rsidR="006C7F87" w:rsidRPr="009B5623" w:rsidRDefault="006C7F87" w:rsidP="0094068A">
      <w:pPr>
        <w:pStyle w:val="Exposdesmotifstitre"/>
        <w:rPr>
          <w:noProof/>
        </w:rPr>
      </w:pPr>
      <w:bookmarkStart w:id="0" w:name="_GoBack"/>
      <w:bookmarkEnd w:id="0"/>
      <w:r w:rsidRPr="009B5623">
        <w:rPr>
          <w:noProof/>
        </w:rPr>
        <w:lastRenderedPageBreak/>
        <w:t>OBRAZLOŽITVENI MEMORANDUM</w:t>
      </w:r>
    </w:p>
    <w:p w14:paraId="7E99D75D" w14:textId="77777777" w:rsidR="006C7F87" w:rsidRPr="009B5623" w:rsidRDefault="006C7F87" w:rsidP="0094068A">
      <w:pPr>
        <w:pStyle w:val="ManualHeading1"/>
        <w:rPr>
          <w:noProof/>
        </w:rPr>
      </w:pPr>
      <w:r w:rsidRPr="009B5623">
        <w:rPr>
          <w:noProof/>
        </w:rPr>
        <w:t>1.</w:t>
      </w:r>
      <w:r w:rsidRPr="009B5623">
        <w:rPr>
          <w:noProof/>
        </w:rPr>
        <w:tab/>
        <w:t>OZADJE PREDLOGA</w:t>
      </w:r>
    </w:p>
    <w:p w14:paraId="6EE80A76" w14:textId="77777777" w:rsidR="006C7F87" w:rsidRPr="009B5623" w:rsidRDefault="006C7F87" w:rsidP="0094068A">
      <w:pPr>
        <w:pStyle w:val="ManualHeading2"/>
        <w:rPr>
          <w:rFonts w:eastAsia="Arial Unicode MS"/>
          <w:noProof/>
        </w:rPr>
      </w:pPr>
      <w:r w:rsidRPr="009B5623">
        <w:rPr>
          <w:noProof/>
          <w:color w:val="000000"/>
          <w:u w:color="000000"/>
          <w:bdr w:val="nil"/>
        </w:rPr>
        <w:t>•</w:t>
      </w:r>
      <w:r w:rsidRPr="009B5623">
        <w:rPr>
          <w:noProof/>
          <w:color w:val="000000"/>
          <w:u w:color="000000"/>
          <w:bdr w:val="nil"/>
        </w:rPr>
        <w:tab/>
      </w:r>
      <w:r w:rsidRPr="009B5623">
        <w:rPr>
          <w:noProof/>
        </w:rPr>
        <w:t>Razlogi za predlog in njegovi cilji</w:t>
      </w:r>
    </w:p>
    <w:p w14:paraId="56E63E7C" w14:textId="77777777" w:rsidR="00A53DB0" w:rsidRPr="009B5623" w:rsidRDefault="00A53DB0" w:rsidP="00A53DB0">
      <w:pPr>
        <w:pBdr>
          <w:top w:val="nil"/>
          <w:left w:val="nil"/>
          <w:bottom w:val="nil"/>
          <w:right w:val="nil"/>
          <w:between w:val="nil"/>
          <w:bar w:val="nil"/>
        </w:pBdr>
        <w:spacing w:before="0" w:after="240"/>
        <w:rPr>
          <w:rStyle w:val="normaltextrun"/>
          <w:noProof/>
          <w:u w:val="single"/>
        </w:rPr>
      </w:pPr>
      <w:r w:rsidRPr="009B5623">
        <w:rPr>
          <w:rStyle w:val="normaltextrun"/>
          <w:noProof/>
          <w:u w:val="single"/>
        </w:rPr>
        <w:t>Splošno ozadje in cilji</w:t>
      </w:r>
    </w:p>
    <w:p w14:paraId="59F8115B" w14:textId="77777777" w:rsidR="004875CD" w:rsidRPr="009B5623" w:rsidRDefault="004875CD" w:rsidP="004875CD">
      <w:pPr>
        <w:tabs>
          <w:tab w:val="num" w:pos="709"/>
        </w:tabs>
        <w:rPr>
          <w:noProof/>
        </w:rPr>
      </w:pPr>
      <w:r w:rsidRPr="009B5623">
        <w:rPr>
          <w:noProof/>
        </w:rPr>
        <w:t>Mario Draghi je v svojem poročilu o prihodnosti evropske konkurenčnosti poudaril, da mora Evropa ustvariti regulativno okolje, ki bo spodbujalo konkurenčnost in odpornost, ter opozoril na breme in stroške izpolnjevanja obveznosti, ki jih ustvarjata direktiva o poročanju podjetij o trajnostnosti in direktiva o skrbnem pregledu v podjetjih glede trajnostnosti</w:t>
      </w:r>
      <w:r w:rsidRPr="009B5623">
        <w:rPr>
          <w:rStyle w:val="FootnoteReference"/>
          <w:noProof/>
        </w:rPr>
        <w:footnoteReference w:id="2"/>
      </w:r>
      <w:r w:rsidRPr="009B5623">
        <w:rPr>
          <w:noProof/>
        </w:rPr>
        <w:t>. Voditelji držav in vlad EU so v izjavi iz Budimpešte o novem dogovoru o evropski konkurenčnosti pozvali h „koreniti[m] sprememb[am] in poenostavit[vam], tako da bo zagotovljen jasen, preprost in pameten regulativni okvir za podjetja ter močno zmanjšana upravna in regulativna bremena in bremena poročanja, še posebej za MSP“.</w:t>
      </w:r>
      <w:r w:rsidRPr="009B5623">
        <w:rPr>
          <w:noProof/>
          <w:sz w:val="22"/>
          <w:vertAlign w:val="superscript"/>
        </w:rPr>
        <w:t xml:space="preserve"> </w:t>
      </w:r>
      <w:r w:rsidRPr="009B5623">
        <w:rPr>
          <w:rStyle w:val="FootnoteReference"/>
          <w:noProof/>
        </w:rPr>
        <w:footnoteReference w:id="3"/>
      </w:r>
      <w:r w:rsidRPr="009B5623">
        <w:rPr>
          <w:noProof/>
        </w:rPr>
        <w:t xml:space="preserve"> Komisijo so pozvali, naj predloži konkretne predloge za zmanjšanje zahtev glede poročanja za vsaj 25 % v prvi polovici leta 2025. </w:t>
      </w:r>
    </w:p>
    <w:p w14:paraId="1CBEC8FF" w14:textId="77777777" w:rsidR="004875CD" w:rsidRPr="009B5623" w:rsidRDefault="004875CD" w:rsidP="004875CD">
      <w:pPr>
        <w:tabs>
          <w:tab w:val="num" w:pos="709"/>
        </w:tabs>
        <w:rPr>
          <w:noProof/>
        </w:rPr>
      </w:pPr>
      <w:r w:rsidRPr="009B5623">
        <w:rPr>
          <w:noProof/>
        </w:rPr>
        <w:t>Komisija je v svojem sporočilu o kompasu za konkurenčnost za EU potrdila, da bo predlagala prvi „zbirni sveženj za poenostavitev“, ki bi vključeval daljnosežno poenostavitev na področjih poročanja o trajnostnem financiranju, potrebne skrbnosti glede trajnostnosti in taksonomije</w:t>
      </w:r>
      <w:r w:rsidRPr="009B5623">
        <w:rPr>
          <w:rStyle w:val="FootnoteReference"/>
          <w:noProof/>
        </w:rPr>
        <w:footnoteReference w:id="4"/>
      </w:r>
      <w:r w:rsidRPr="009B5623">
        <w:rPr>
          <w:noProof/>
        </w:rPr>
        <w:t>.</w:t>
      </w:r>
      <w:r w:rsidRPr="009B5623">
        <w:rPr>
          <w:noProof/>
          <w:sz w:val="22"/>
          <w:vertAlign w:val="superscript"/>
        </w:rPr>
        <w:t xml:space="preserve"> </w:t>
      </w:r>
      <w:r w:rsidRPr="009B5623">
        <w:rPr>
          <w:noProof/>
        </w:rPr>
        <w:t>Komisija je v svojem sporočilu z naslovom Enostavnejša in hitrejša Evropa: Sporočilo o izvajanju in poenostavitvi določila program izvajanja in poenostavitve, ki prinaša hitre in vidne izboljšave za ljudi in podjetja na terenu, za kar ne zadostuje postopen pristop, ter poudarila potrebo po drznem ukrepanju za racionalizacijo in poenostavitev pravil EU ter nacionalnih in regionalnih pravil</w:t>
      </w:r>
      <w:r w:rsidRPr="009B5623">
        <w:rPr>
          <w:rStyle w:val="FootnoteReference"/>
          <w:noProof/>
        </w:rPr>
        <w:footnoteReference w:id="5"/>
      </w:r>
      <w:r w:rsidRPr="009B5623">
        <w:rPr>
          <w:noProof/>
        </w:rPr>
        <w:t>.</w:t>
      </w:r>
    </w:p>
    <w:p w14:paraId="5E31988E" w14:textId="77777777" w:rsidR="00A53DB0" w:rsidRPr="009B5623" w:rsidRDefault="00A53DB0" w:rsidP="00A53DB0">
      <w:pPr>
        <w:pBdr>
          <w:top w:val="nil"/>
          <w:left w:val="nil"/>
          <w:bottom w:val="nil"/>
          <w:right w:val="nil"/>
          <w:between w:val="nil"/>
          <w:bar w:val="nil"/>
        </w:pBdr>
        <w:spacing w:before="0" w:after="240"/>
        <w:rPr>
          <w:rStyle w:val="eop"/>
          <w:noProof/>
          <w:shd w:val="clear" w:color="auto" w:fill="FFFFFF"/>
        </w:rPr>
      </w:pPr>
      <w:r w:rsidRPr="009B5623">
        <w:rPr>
          <w:rStyle w:val="normaltextrun"/>
          <w:noProof/>
        </w:rPr>
        <w:t>Direktiva o poročanju podjetij o trajnostnosti je začela veljati 5. januarja 2023</w:t>
      </w:r>
      <w:r w:rsidRPr="009B5623">
        <w:rPr>
          <w:rStyle w:val="FootnoteReference"/>
          <w:noProof/>
        </w:rPr>
        <w:footnoteReference w:id="6"/>
      </w:r>
      <w:r w:rsidRPr="009B5623">
        <w:rPr>
          <w:rStyle w:val="normaltextrun"/>
          <w:noProof/>
        </w:rPr>
        <w:t>. Okrepila in posodobila je zahteve glede poročanja podjetij o trajnostnosti s spremembami računovodske direktive, direktive o preglednosti, direktive o revizijah in uredbe o revizijah</w:t>
      </w:r>
      <w:r w:rsidRPr="009B5623">
        <w:rPr>
          <w:rStyle w:val="FootnoteReference"/>
          <w:noProof/>
        </w:rPr>
        <w:footnoteReference w:id="7"/>
      </w:r>
      <w:r w:rsidRPr="009B5623">
        <w:rPr>
          <w:rStyle w:val="normaltextrun"/>
          <w:noProof/>
        </w:rPr>
        <w:t xml:space="preserve">. </w:t>
      </w:r>
      <w:r w:rsidRPr="009B5623">
        <w:rPr>
          <w:rStyle w:val="eop"/>
          <w:noProof/>
          <w:shd w:val="clear" w:color="auto" w:fill="FFFFFF"/>
        </w:rPr>
        <w:t>Direktiva o poročanju podjetij o trajnostnosti je pomemben element evropskega zelenega dogovora in akcijskega načrta za trajnostno financiranje</w:t>
      </w:r>
      <w:r w:rsidRPr="009B5623">
        <w:rPr>
          <w:rStyle w:val="FootnoteReference"/>
          <w:noProof/>
        </w:rPr>
        <w:footnoteReference w:id="8"/>
      </w:r>
      <w:r w:rsidRPr="009B5623">
        <w:rPr>
          <w:rStyle w:val="eop"/>
          <w:noProof/>
          <w:shd w:val="clear" w:color="auto" w:fill="FFFFFF"/>
        </w:rPr>
        <w:t xml:space="preserve">. Njen cilj je zagotoviti, da imajo vlagatelji informacije, ki jih potrebujejo za razumevanje in obvladovanje tveganj, ki so jim podjetja, v katera se vlaga, izpostavljena zaradi podnebnih sprememb in drugih vprašanj v zvezi s trajnostnostjo. Njen cilj je tudi zagotoviti, da imajo vlagatelji in drugi deležniki potrebne informacije o vplivih podjetij na ljudi in okolje. S tem prispeva k finančni stabilnosti in okoljski celovitosti. To je nujen pogoj za to, da se finančni viri stekajo k podjetjem, ki si prizadevajo za cilje glede trajnostnosti, ter ustvarja večjo odgovornost in preglednost do vseh deležnikov v zvezi s trajnostno uspešnostjo podjetij. </w:t>
      </w:r>
    </w:p>
    <w:p w14:paraId="2FB66916" w14:textId="1EEC1A69" w:rsidR="00A718DA" w:rsidRPr="009B5623" w:rsidRDefault="00A53DB0" w:rsidP="00A53DB0">
      <w:pPr>
        <w:pBdr>
          <w:top w:val="nil"/>
          <w:left w:val="nil"/>
          <w:bottom w:val="nil"/>
          <w:right w:val="nil"/>
          <w:between w:val="nil"/>
          <w:bar w:val="nil"/>
        </w:pBdr>
        <w:spacing w:before="0" w:after="240"/>
        <w:rPr>
          <w:rFonts w:eastAsia="Arial Unicode MS"/>
          <w:noProof/>
        </w:rPr>
      </w:pPr>
      <w:r w:rsidRPr="009B5623">
        <w:rPr>
          <w:noProof/>
        </w:rPr>
        <w:t xml:space="preserve">Direktiva o skrbnem pregledu v podjetjih glede trajnostnosti je bila sprejeta 13. junija 2024. Njen cilj je prispevati k širšim ambicijam Evropske unije za prehod na trajnostno in podnebno nevtralno gospodarstvo, kot je določeno v evropskem zelenem dogovoru. Od podjetij zahteva, da prepoznajo in obravnavajo negativne vplive na človekove pravice in okolje pri svojem poslovanju, poslovanju svojih hčerinskih družb in njihovih verigah dejavnosti. </w:t>
      </w:r>
    </w:p>
    <w:p w14:paraId="03EA413F" w14:textId="77777777" w:rsidR="00A53DB0" w:rsidRPr="009B5623" w:rsidRDefault="00A53DB0" w:rsidP="00A53DB0">
      <w:pPr>
        <w:pBdr>
          <w:top w:val="nil"/>
          <w:left w:val="nil"/>
          <w:bottom w:val="nil"/>
          <w:right w:val="nil"/>
          <w:between w:val="nil"/>
          <w:bar w:val="nil"/>
        </w:pBdr>
        <w:spacing w:before="0" w:after="240"/>
        <w:rPr>
          <w:noProof/>
        </w:rPr>
      </w:pPr>
      <w:r w:rsidRPr="009B5623">
        <w:rPr>
          <w:noProof/>
        </w:rPr>
        <w:t>Direktiva o poročanju podjetij o trajnostnosti in direktiva o skrbnem pregledu v podjetjih glede trajnostnosti se zdaj izvajata v novih in težkih razmerah. Ruska vojna agresija proti Ukrajini je zvišala cene energije za podjetja EU. Trgovinske napetosti se povečujejo, saj se geopolitično okolje še naprej spreminja. Zaradi različnega pristopa nekaterih drugih večjih jurisdikcij v zvezi z ureditvijo poročanja podjetij o trajnostnosti in skrbnega pregleda se porajajo vprašanja o učinkih teh aktov na konkurenčni položaj podjetij EU. Sposobnost Unije, da ohrani in zaščiti svoje vrednote, je med drugim odvisna od sposobnosti njenega gospodarstva, da se prilagodi in konkurira v nestabilnih in včasih sovražnih geopolitičnih razmerah.</w:t>
      </w:r>
    </w:p>
    <w:p w14:paraId="4CD5AF9B" w14:textId="77777777" w:rsidR="00A53DB0" w:rsidRPr="009B5623" w:rsidRDefault="00A53DB0" w:rsidP="00A53DB0">
      <w:pPr>
        <w:pBdr>
          <w:top w:val="nil"/>
          <w:left w:val="nil"/>
          <w:bottom w:val="nil"/>
          <w:right w:val="nil"/>
          <w:between w:val="nil"/>
          <w:bar w:val="nil"/>
        </w:pBdr>
        <w:spacing w:before="0" w:after="240"/>
        <w:rPr>
          <w:noProof/>
        </w:rPr>
      </w:pPr>
      <w:r w:rsidRPr="009B5623">
        <w:rPr>
          <w:noProof/>
        </w:rPr>
        <w:t xml:space="preserve">S tem predlogom se zato odloži začetek uporabe direktive o skrbnem pregledu v podjetjih glede trajnostnosti in nekaterih določb direktive o poročanju podjetij o trajnostnosti.  </w:t>
      </w:r>
    </w:p>
    <w:p w14:paraId="3CBE9D1C" w14:textId="77777777" w:rsidR="00A53DB0" w:rsidRPr="009B5623" w:rsidRDefault="00A53DB0" w:rsidP="00A53DB0">
      <w:pPr>
        <w:pBdr>
          <w:top w:val="nil"/>
          <w:left w:val="nil"/>
          <w:bottom w:val="nil"/>
          <w:right w:val="nil"/>
          <w:between w:val="nil"/>
          <w:bar w:val="nil"/>
        </w:pBdr>
        <w:spacing w:before="0" w:after="240"/>
        <w:rPr>
          <w:noProof/>
          <w:u w:val="single"/>
        </w:rPr>
      </w:pPr>
      <w:r w:rsidRPr="009B5623">
        <w:rPr>
          <w:noProof/>
          <w:u w:val="single"/>
        </w:rPr>
        <w:t>Posebno ozadje in cilji tega predloga v zvezi z direktivo o poročanju podjetij o trajnostnosti</w:t>
      </w:r>
    </w:p>
    <w:p w14:paraId="779DFFCE" w14:textId="77777777" w:rsidR="00A53DB0" w:rsidRPr="009B5623" w:rsidRDefault="006D059E" w:rsidP="00A53DB0">
      <w:pPr>
        <w:pBdr>
          <w:top w:val="nil"/>
          <w:left w:val="nil"/>
          <w:bottom w:val="nil"/>
          <w:right w:val="nil"/>
          <w:between w:val="nil"/>
          <w:bar w:val="nil"/>
        </w:pBdr>
        <w:spacing w:before="0" w:after="240"/>
        <w:rPr>
          <w:noProof/>
        </w:rPr>
      </w:pPr>
      <w:r w:rsidRPr="009B5623">
        <w:rPr>
          <w:noProof/>
        </w:rPr>
        <w:t>Direktiva o poročanju podjetij o trajnostnosti se trenutno uporablja za velika podjetja, MSP z vrednostnimi papirji, ki kotirajo na reguliranih trgih EU, obvladujoča podjetja velikih skupin in izdajatelje, ki spadajo v te kategorije podjetij. Začetek uporabe zahtev glede poročanja, uvedenih z direktivo o poročanju podjetij o trajnostnosti, poteka postopoma glede na različne kategorije podjetij. V prvem valu morajo veliki subjekti javnega interesa z več kot 500 zaposlenimi prvič poročati leta 2025 za poslovno leto 2024</w:t>
      </w:r>
      <w:r w:rsidR="00A53DB0" w:rsidRPr="009B5623">
        <w:rPr>
          <w:rStyle w:val="FootnoteReference"/>
          <w:rFonts w:eastAsia="Arial Unicode MS"/>
          <w:noProof/>
          <w:lang w:eastAsia="en-GB"/>
        </w:rPr>
        <w:footnoteReference w:id="9"/>
      </w:r>
      <w:r w:rsidRPr="009B5623">
        <w:rPr>
          <w:noProof/>
        </w:rPr>
        <w:t>. V drugem valu morajo druga velika podjetja poročati leta 2026 za poslovno leto 2025</w:t>
      </w:r>
      <w:r w:rsidR="0079497B" w:rsidRPr="009B5623">
        <w:rPr>
          <w:rStyle w:val="FootnoteReference"/>
          <w:rFonts w:eastAsia="Arial Unicode MS"/>
          <w:noProof/>
          <w:lang w:eastAsia="en-GB"/>
        </w:rPr>
        <w:footnoteReference w:id="10"/>
      </w:r>
      <w:r w:rsidRPr="009B5623">
        <w:rPr>
          <w:noProof/>
        </w:rPr>
        <w:t>. V tretjem valu morajo MSP z vrednostnimi papirji, ki kotirajo na reguliranih trgih EU, leta 2027 poročati za poslovno leto 2026, čeprav imajo možnost, da se odločijo za izvzetje iz poročanja za poslovni leti 2026 in 2027</w:t>
      </w:r>
      <w:r w:rsidR="00691CEA" w:rsidRPr="009B5623">
        <w:rPr>
          <w:rStyle w:val="FootnoteReference"/>
          <w:rFonts w:eastAsia="Arial Unicode MS"/>
          <w:noProof/>
          <w:lang w:eastAsia="en-GB"/>
        </w:rPr>
        <w:footnoteReference w:id="11"/>
      </w:r>
      <w:r w:rsidRPr="009B5623">
        <w:rPr>
          <w:noProof/>
        </w:rPr>
        <w:t>. V četrtem valu morajo nekatera podjetja zunaj EU, ki poslujejo na ozemlju Unije nad določenimi pragovi, poročati leta 2029 za poslovno leto 2028</w:t>
      </w:r>
      <w:r w:rsidR="001E0B9F" w:rsidRPr="009B5623">
        <w:rPr>
          <w:rStyle w:val="FootnoteReference"/>
          <w:rFonts w:eastAsia="Arial Unicode MS"/>
          <w:noProof/>
          <w:lang w:eastAsia="en-GB"/>
        </w:rPr>
        <w:footnoteReference w:id="12"/>
      </w:r>
      <w:r w:rsidRPr="009B5623">
        <w:rPr>
          <w:noProof/>
        </w:rPr>
        <w:t xml:space="preserve">. </w:t>
      </w:r>
    </w:p>
    <w:p w14:paraId="036B6A5D" w14:textId="77777777" w:rsidR="00A53DB0" w:rsidRPr="009B5623" w:rsidRDefault="00A53DB0" w:rsidP="00A53DB0">
      <w:pPr>
        <w:pBdr>
          <w:top w:val="nil"/>
          <w:left w:val="nil"/>
          <w:bottom w:val="nil"/>
          <w:right w:val="nil"/>
          <w:between w:val="nil"/>
          <w:bar w:val="nil"/>
        </w:pBdr>
        <w:spacing w:before="0" w:after="240"/>
        <w:rPr>
          <w:rStyle w:val="normaltextrun"/>
          <w:noProof/>
          <w:color w:val="000000"/>
          <w:shd w:val="clear" w:color="auto" w:fill="FFFFFF"/>
        </w:rPr>
      </w:pPr>
      <w:r w:rsidRPr="009B5623">
        <w:rPr>
          <w:rStyle w:val="normaltextrun"/>
          <w:noProof/>
        </w:rPr>
        <w:t xml:space="preserve">V skladu z direktivo o poročanju podjetij o trajnostnosti morajo podjetja, ki spadajo na področje uporabe, poročati informacije o trajnostnosti v skladu z obveznimi evropskimi standardi poročanja o trajnostnosti (ESRS), Komisija pa mora take standarde sprejeti z delegiranimi akti. Komisija je julija 2023 </w:t>
      </w:r>
      <w:r w:rsidRPr="009B5623">
        <w:rPr>
          <w:rStyle w:val="normaltextrun"/>
          <w:noProof/>
          <w:color w:val="000000"/>
          <w:shd w:val="clear" w:color="auto" w:fill="FFFFFF"/>
        </w:rPr>
        <w:t>sprejela prvi sklop ESRS, ki so nesektorski, kar pomeni, da jih morajo uporabljati vsa podjetja, ki spadajo na področje uporabe, ne glede na gospodarski sektor, v katerem podjetje posluje.</w:t>
      </w:r>
      <w:r w:rsidRPr="009B5623">
        <w:rPr>
          <w:rStyle w:val="FootnoteReference"/>
          <w:noProof/>
          <w:color w:val="000000"/>
        </w:rPr>
        <w:footnoteReference w:id="13"/>
      </w:r>
      <w:r w:rsidRPr="009B5623">
        <w:rPr>
          <w:rStyle w:val="normaltextrun"/>
          <w:noProof/>
          <w:color w:val="000000"/>
          <w:shd w:val="clear" w:color="auto" w:fill="FFFFFF"/>
        </w:rPr>
        <w:t xml:space="preserve"> V skladu z direktivo o poročanju podjetij o trajnostnosti mora Komisija sprejeti tudi sektorske standarde poročanja, prvi sklop takih standardov pa naj bi bil sprejet do junija 2026. Direktiva o poročanju podjetij o trajnostnosti omogoča MSP, ki kotirajo na borzi, da namesto celotnega sklopa ESRS poročajo z uporabo ločenega in enostavnejšega, sorazmernega sklopa standardov. </w:t>
      </w:r>
    </w:p>
    <w:p w14:paraId="4ADC343F" w14:textId="77777777" w:rsidR="00A53DB0" w:rsidRPr="009B5623" w:rsidRDefault="00A53DB0" w:rsidP="00A53DB0">
      <w:pPr>
        <w:pBdr>
          <w:top w:val="nil"/>
          <w:left w:val="nil"/>
          <w:bottom w:val="nil"/>
          <w:right w:val="nil"/>
          <w:between w:val="nil"/>
          <w:bar w:val="nil"/>
        </w:pBdr>
        <w:spacing w:before="0" w:after="240"/>
        <w:rPr>
          <w:rStyle w:val="eop"/>
          <w:noProof/>
          <w:shd w:val="clear" w:color="auto" w:fill="FFFFFF"/>
        </w:rPr>
      </w:pPr>
      <w:r w:rsidRPr="009B5623">
        <w:rPr>
          <w:rStyle w:val="normaltextrun"/>
          <w:noProof/>
          <w:color w:val="000000"/>
          <w:shd w:val="clear" w:color="auto" w:fill="FFFFFF"/>
        </w:rPr>
        <w:t>EFRAG je na zahtevo Komisije predložila standard poročanja o trajnostnosti za prostovoljno uporabo s strani MSP, ki ne spadajo na področje uporabe zahtev glede poročanja (v nadaljnjem besedilu: prostovoljni standard za MSP)</w:t>
      </w:r>
      <w:r w:rsidRPr="009B5623">
        <w:rPr>
          <w:rStyle w:val="FootnoteReference"/>
          <w:noProof/>
          <w:color w:val="000000"/>
        </w:rPr>
        <w:footnoteReference w:id="14"/>
      </w:r>
      <w:r w:rsidRPr="009B5623">
        <w:rPr>
          <w:rStyle w:val="normaltextrun"/>
          <w:noProof/>
          <w:color w:val="000000"/>
          <w:shd w:val="clear" w:color="auto" w:fill="FFFFFF"/>
        </w:rPr>
        <w:t>. Cilj prostovoljnega standarda za MSP je MSP zagotoviti enostavno, splošno priznano orodje, s katerim lahko zagotavljajo informacije o trajnostnosti bankam, velikim podjetjem in drugim deležnikom, ki bi lahko zahtevali take informacije.</w:t>
      </w:r>
    </w:p>
    <w:p w14:paraId="7CCD3325" w14:textId="77777777" w:rsidR="00A53DB0" w:rsidRPr="009B5623" w:rsidRDefault="00A53DB0" w:rsidP="00A53DB0">
      <w:pPr>
        <w:pBdr>
          <w:top w:val="nil"/>
          <w:left w:val="nil"/>
          <w:bottom w:val="nil"/>
          <w:right w:val="nil"/>
          <w:between w:val="nil"/>
          <w:bar w:val="nil"/>
        </w:pBdr>
        <w:spacing w:before="0" w:after="240"/>
        <w:rPr>
          <w:noProof/>
        </w:rPr>
      </w:pPr>
      <w:r w:rsidRPr="009B5623">
        <w:rPr>
          <w:noProof/>
        </w:rPr>
        <w:t>Drugi pomembni vidiki direktive o poročanju podjetij o trajnostnosti so določbe o dajanju zagotovil in poročanju informacij o vrednostni verigi. Podjetja morajo objaviti svoje informacije o trajnostnosti skupaj z mnenjem zakonitega revizorja ali, če države članice to dovolijo, neodvisnega ponudnika storitev dajanja zagotovil. Sedanja zahteva se nanaša na dajanje omejenega zagotovila, direktiva o poročanju podjetij o trajnostnosti pa določa, da bi to lahko v prihodnosti pod določenimi pogoji postala zahteva za dajanje sprejemljivega zagotovila</w:t>
      </w:r>
      <w:r w:rsidRPr="009B5623">
        <w:rPr>
          <w:rStyle w:val="FootnoteReference"/>
          <w:rFonts w:eastAsia="Arial Unicode MS"/>
          <w:noProof/>
          <w:lang w:eastAsia="en-GB"/>
        </w:rPr>
        <w:footnoteReference w:id="15"/>
      </w:r>
      <w:r w:rsidRPr="009B5623">
        <w:rPr>
          <w:noProof/>
        </w:rPr>
        <w:t xml:space="preserve">. V skladu z direktivo o poročanju podjetij o trajnostnosti mora Komisija z delegiranimi akti sprejeti tudi standarde za dajanje zagotovil o trajnostnosti. </w:t>
      </w:r>
    </w:p>
    <w:p w14:paraId="672FFF9C" w14:textId="77777777" w:rsidR="00A53DB0" w:rsidRPr="009B5623" w:rsidRDefault="00A53DB0" w:rsidP="00A53DB0">
      <w:pPr>
        <w:pBdr>
          <w:top w:val="nil"/>
          <w:left w:val="nil"/>
          <w:bottom w:val="nil"/>
          <w:right w:val="nil"/>
          <w:between w:val="nil"/>
          <w:bar w:val="nil"/>
        </w:pBdr>
        <w:spacing w:before="0" w:after="240"/>
        <w:rPr>
          <w:noProof/>
        </w:rPr>
      </w:pPr>
      <w:r w:rsidRPr="009B5623">
        <w:rPr>
          <w:noProof/>
        </w:rPr>
        <w:t xml:space="preserve">V skladu z direktivo o poročanju podjetij o trajnostnosti morajo podjetja poročati informacije o vrednostni verigi v obsegu, ki je potreben za razumevanje njihovih vplivov, tveganj in priložnosti, povezanih s trajnostnostjo. V direktivi o poročanju podjetij o trajnostnosti je določena tako imenovana omejitev pri vrednostni verigi, ki določa, da ESRS ne smejo vsebovati zahtev glede poročanja, ki bi od podjetij zahtevale, da od MSP v svoji vrednostni verigi pridobijo informacije, ki presegajo informacije, ki jih je treba razkriti v skladu s sorazmernim standardom za MSP, ki kotirajo na borzi. </w:t>
      </w:r>
    </w:p>
    <w:p w14:paraId="376DF68A" w14:textId="77777777" w:rsidR="00A53DB0" w:rsidRPr="009B5623" w:rsidRDefault="005E4A88" w:rsidP="00A53DB0">
      <w:pPr>
        <w:pBdr>
          <w:top w:val="nil"/>
          <w:left w:val="nil"/>
          <w:bottom w:val="nil"/>
          <w:right w:val="nil"/>
          <w:between w:val="nil"/>
          <w:bar w:val="nil"/>
        </w:pBdr>
        <w:spacing w:before="0" w:after="240"/>
        <w:rPr>
          <w:noProof/>
        </w:rPr>
      </w:pPr>
      <w:r w:rsidRPr="009B5623">
        <w:rPr>
          <w:noProof/>
        </w:rPr>
        <w:t>Namen tega predloga je zmanjšati breme poročanja in omejiti kaskadni učinek pri obveznostih na manjša podjetja. Prvič, ločen zakonodajni predlog, ki ga je Komisija predložila vzporedno s tem predlogom, bi poenostavil okvir in zmanjšal breme na naslednje načine:</w:t>
      </w:r>
    </w:p>
    <w:p w14:paraId="1097D112" w14:textId="77777777" w:rsidR="00A53DB0" w:rsidRPr="009B5623" w:rsidRDefault="00A53DB0" w:rsidP="00373936">
      <w:pPr>
        <w:pStyle w:val="Tiret0"/>
        <w:numPr>
          <w:ilvl w:val="0"/>
          <w:numId w:val="21"/>
        </w:numPr>
        <w:rPr>
          <w:noProof/>
        </w:rPr>
      </w:pPr>
      <w:r w:rsidRPr="009B5623">
        <w:rPr>
          <w:noProof/>
        </w:rPr>
        <w:t>število podjetij, za katera veljajo zahteve glede obveznega poročanja o trajnostnosti, bi se zmanjšalo za približno 80 %, pri čemer bi se iz področja uporabe izključila velika podjetja z do 1 000 zaposlenimi (tj. nekatera podjetja iz drugega vala in nekatera podjetja iz prvega vala) in MSP, ki kotirajo na borzi (tj. vsa podjetja iz tretjega vala). Zahteve glede poročanja bi se uporabljale samo za velika podjetja s povprečno več kot 1 000 zaposlenimi (tj. podjetja, ki imajo več kot 1 000 zaposlenih in bodisi prihodek nad 50 milijonov EUR bodisi bilanco stanja nad 25 milijonov EUR). S tem spremenjenim pragom bi direktivo o poročanju podjetij o trajnostnosti tesneje uskladili z direktivo o skrbnem pregledu v podjetjih glede trajnostnosti</w:t>
      </w:r>
      <w:r w:rsidR="00C37F8F" w:rsidRPr="009B5623">
        <w:rPr>
          <w:rStyle w:val="FootnoteReference"/>
          <w:rFonts w:eastAsia="Arial Unicode MS"/>
          <w:noProof/>
        </w:rPr>
        <w:footnoteReference w:id="16"/>
      </w:r>
      <w:r w:rsidRPr="009B5623">
        <w:rPr>
          <w:noProof/>
        </w:rPr>
        <w:t>;</w:t>
      </w:r>
    </w:p>
    <w:p w14:paraId="2B3C5736" w14:textId="77777777" w:rsidR="00494487" w:rsidRPr="009B5623" w:rsidRDefault="00494487" w:rsidP="00DD2BEC">
      <w:pPr>
        <w:pStyle w:val="Tiret0"/>
        <w:rPr>
          <w:noProof/>
        </w:rPr>
      </w:pPr>
      <w:r w:rsidRPr="009B5623">
        <w:rPr>
          <w:noProof/>
        </w:rPr>
        <w:t>za podjetja, za katera ne veljajo zahteve glede obveznega poročanja o trajnostnosti, Komisija predlaga sorazmeren standard za prostovoljno uporabo, ki bi temeljil na prostovoljnem standardu za MSP, ki ga je razvila EFRAG. V skladu s tem predlogom bi Komisija ta prostovoljni standard sprejela kot delegirani akt. Medtem namerava Komisija za obravnavo povpraševanja na trgu čim prej izdati priporočilo o prostovoljnem poročanju o trajnostnosti na podlagi prostovoljnega standarda za MSP, ki ga je razvila EFRAG;</w:t>
      </w:r>
    </w:p>
    <w:p w14:paraId="44EA8AE2" w14:textId="421E6F27" w:rsidR="00A53DB0" w:rsidRPr="009B5623" w:rsidRDefault="00A53DB0" w:rsidP="00DD2BEC">
      <w:pPr>
        <w:pStyle w:val="Tiret0"/>
        <w:rPr>
          <w:noProof/>
        </w:rPr>
      </w:pPr>
      <w:r w:rsidRPr="009B5623">
        <w:rPr>
          <w:noProof/>
        </w:rPr>
        <w:t>omejitev pri vrednostni verigi bi se razširila in okrepila. Uporabljala bi se neposredno za podjetje, ki poroča, namesto da bi bila samo omejitev tega, kar se lahko določi z ESRS. Zaščitila bi vsa podjetja z do 1 000 zaposlenimi in ne le MSP, kot to velja zdaj. Omejitev bi bila opredeljena s prostovoljnim standardom, ki ga Komisija sprejme kot delegirani akt na podlagi prostovoljnega standarda za MSP, ki ga je razvila EFRAG.  To bo znatno zmanjšalo kaskadni učinek;</w:t>
      </w:r>
    </w:p>
    <w:p w14:paraId="74DED8E4" w14:textId="77777777" w:rsidR="00A53DB0" w:rsidRPr="009B5623" w:rsidRDefault="00A53DB0" w:rsidP="00DD2BEC">
      <w:pPr>
        <w:pStyle w:val="Tiret0"/>
        <w:rPr>
          <w:noProof/>
        </w:rPr>
      </w:pPr>
      <w:r w:rsidRPr="009B5623">
        <w:rPr>
          <w:noProof/>
        </w:rPr>
        <w:t xml:space="preserve">ne bi bilo sektorskih standardov poročanja, s čimer bi se izognili povečanju števila predpisanih podatkovnih točk, ki bi jih morala poročati podjetja;  </w:t>
      </w:r>
    </w:p>
    <w:p w14:paraId="24338609" w14:textId="77777777" w:rsidR="00A53DB0" w:rsidRPr="009B5623" w:rsidRDefault="00A53DB0" w:rsidP="00DD2BEC">
      <w:pPr>
        <w:pStyle w:val="Tiret0"/>
        <w:rPr>
          <w:noProof/>
        </w:rPr>
      </w:pPr>
      <w:r w:rsidRPr="009B5623">
        <w:rPr>
          <w:noProof/>
        </w:rPr>
        <w:t xml:space="preserve">možnost prehoda z zahteve po dajanju omejenega zagotovila na zahtevo po dajanju sprejemljivega zagotovila bi bila odpravljena. To bo zagotovilo jasnost, da se stroški dajanja zagotovil za podjetja, ki spadajo na področje uporabe, v prihodnosti ne bodo povečali;  </w:t>
      </w:r>
    </w:p>
    <w:p w14:paraId="67A9CDA0" w14:textId="77777777" w:rsidR="00557418" w:rsidRPr="009B5623" w:rsidRDefault="00120567" w:rsidP="00DD2BEC">
      <w:pPr>
        <w:pStyle w:val="Tiret0"/>
        <w:rPr>
          <w:noProof/>
        </w:rPr>
      </w:pPr>
      <w:r w:rsidRPr="009B5623">
        <w:rPr>
          <w:noProof/>
        </w:rPr>
        <w:t>namesto obveznosti Komisije, da do leta 2026 sprejme standarde za dajanje zagotovil o trajnostnosti, bo Komisija do leta 2026 izdala ciljno usmerjene smernice o dajanju zagotovil. To bo Komisiji omogočilo, da hitreje obravnava porajajoča se vprašanja na področju dajanja zagotovil o trajnostnosti, ki lahko ustvarijo nepotrebno breme za podjetja, za katera veljajo zahteve glede poročanja;</w:t>
      </w:r>
    </w:p>
    <w:p w14:paraId="78426277" w14:textId="77777777" w:rsidR="00A53DB0" w:rsidRPr="009B5623" w:rsidRDefault="42A06590" w:rsidP="00DD2BEC">
      <w:pPr>
        <w:pStyle w:val="Tiret0"/>
        <w:rPr>
          <w:noProof/>
        </w:rPr>
      </w:pPr>
      <w:r w:rsidRPr="009B5623">
        <w:rPr>
          <w:noProof/>
        </w:rPr>
        <w:t>predlog uvaja ureditev prostovoljne vključitve, v skladu s katero velika podjetja s povprečno več kot 1 000 zaposlenimi (tj. podjetja, ki imajo več kot 1 000 zaposlenih in bodisi promet nad 50 milijonov EUR bodisi bilanco stanja nad 25 milijonov EUR) in čistim prihodkom, ki ne presega 450 milijonov EUR, ki trdijo, da so njihove dejavnosti usklajene ali delno usklajene s taksonomijo EU, razkrijejo svoje ključne kazalnike uspešnosti za prihodke in za naložbe v osnovna sredstva ter se lahko odločijo razkriti svoj ključni kazalnik uspešnosti za naložbe v obratna sredstva. S tem pristopom prostovoljne vključitve se bodo v celoti odpravili stroški izpolnjevanja pravil o poročanju o taksonomiji za velika podjetja s povprečno več kot 1 000 zaposlenimi (tj. podjetja, ki imajo več kot 1 000 zaposlenih in bodisi promet nad 50 milijonov EUR bodisi bilanco stanja nad 25 milijonov EUR) in čistim prihodkom, ki ne presega 450 milijonov EUR, ki ne trdijo, da so njihove dejavnosti povezane z gospodarskimi dejavnostmi, ki se v skladu z uredbo o taksonomiji štejejo za okoljsko trajnostne. Poleg tega ta predlog zagotavlja več prožnosti, saj tem podjetjem omogoča, da poročajo o dejavnostih, ki izpolnjujejo nekatera tehnična merila za pregled taksonomije, ne da bi izpolnjevale vsa. Tako poročanje o delni usklajenosti lahko sčasoma spodbudi postopen okoljski prehod dejavnosti v skladu s ciljem povečanja financiranja prehoda.</w:t>
      </w:r>
    </w:p>
    <w:p w14:paraId="25C86C4A" w14:textId="77777777" w:rsidR="00A53DB0" w:rsidRPr="009B5623" w:rsidRDefault="00A53DB0" w:rsidP="00A53DB0">
      <w:pPr>
        <w:pBdr>
          <w:top w:val="nil"/>
          <w:left w:val="nil"/>
          <w:bottom w:val="nil"/>
          <w:right w:val="nil"/>
          <w:between w:val="nil"/>
          <w:bar w:val="nil"/>
        </w:pBdr>
        <w:spacing w:before="0" w:after="240"/>
        <w:rPr>
          <w:noProof/>
        </w:rPr>
      </w:pPr>
      <w:r w:rsidRPr="009B5623">
        <w:rPr>
          <w:noProof/>
        </w:rPr>
        <w:t xml:space="preserve">Drugič, Komisija namerava brez odlašanja sprejeti delegirani akt za revizijo prvega sklopa ESRS. Da bi hitro dosegli poenostavitev in racionalizacijo ESRS ter podjetjem zagotovili jasnost in pravno varnost, namerava Komisija sprejeti potreben delegirani akt čim prej, najpozneje pa šest mesecev po začetku veljavnosti direktive za poenostavitev okvira poročanja, ki je predmet zgoraj navedenega ločenega zakonodajnega predloga. Z revizijo delegiranega akta se bo znatno zmanjšalo število obveznih podatkovnih točk ESRS z (i) odstranitvijo tistih, ki se štejejo za najmanj pomembne za poročanje o trajnostnosti za splošne namene, (ii) dajanjem prednosti kvantitativnim podatkovnim točkam pred opisnim besedilom ter (iii) nadaljnjim razlikovanjem med obveznimi in prostovoljnimi podatkovnimi točkami, ne da bi ogrozili interoperabilnost s svetovnimi standardi poročanja in brez poseganja v oceno pomembnosti vsakega podjetja. Z revizijo bodo pojasnjene določbe, ki se štejejo za nejasne. Izboljšala se bo skladnost z drugimi zakonodajnimi akti EU. Revizija bo zagotovila jasnejša navodila o tem, kako uporabljati načelo pomembnosti, da se zagotovi, da podjetja poročajo le pomembne informacije, in da se zmanjša tveganje, da ponudniki storitev dajanja zagotovil podjetja nenamerno spodbujajo k poročanju informacij, ki niso potrebne, ali k namenjanju prekomernih virov za postopek ocenjevanja pomembnosti. Poenostavila bo strukturo in predstavitev standardov. Dodatno bo okrepila že tako zelo visoko stopnjo interoperabilnosti s svetovnimi standardi poročanja o trajnostnosti. Uvedle se bodo tudi vse druge spremembe, ki se morda štejejo za potrebne glede na izkušnje s prvo uporabo ESRS. </w:t>
      </w:r>
    </w:p>
    <w:p w14:paraId="14EF0C81" w14:textId="77777777" w:rsidR="00A53DB0" w:rsidRPr="009B5623" w:rsidRDefault="00A53DB0" w:rsidP="00A53DB0">
      <w:pPr>
        <w:pBdr>
          <w:top w:val="nil"/>
          <w:left w:val="nil"/>
          <w:bottom w:val="nil"/>
          <w:right w:val="nil"/>
          <w:between w:val="nil"/>
          <w:bar w:val="nil"/>
        </w:pBdr>
        <w:spacing w:before="0" w:after="240"/>
        <w:rPr>
          <w:noProof/>
        </w:rPr>
      </w:pPr>
      <w:r w:rsidRPr="009B5623">
        <w:rPr>
          <w:noProof/>
        </w:rPr>
        <w:t>Tretjič, s tem predlogom bi se za dve leti odložil začetek uporabe zahtev glede poročanja za drugi val (velika podjetja, ki niso subjekti javnega interesa in imajo več kot 500 zaposlenih, ter velika podjetja z manj kot 500 zaposlenimi</w:t>
      </w:r>
      <w:r w:rsidR="00A957BF" w:rsidRPr="009B5623">
        <w:rPr>
          <w:rStyle w:val="FootnoteReference"/>
          <w:rFonts w:eastAsia="Arial Unicode MS"/>
          <w:noProof/>
          <w:lang w:eastAsia="en-GB"/>
        </w:rPr>
        <w:footnoteReference w:id="17"/>
      </w:r>
      <w:r w:rsidRPr="009B5623">
        <w:rPr>
          <w:noProof/>
        </w:rPr>
        <w:t>) in tretji val (MSP, ki kotirajo na borzi, majhne in nekompleksne kreditne institucije ter lastne zavarovalnice in pozavarovalnice). Cilj odloga je preprečiti, da bi morala nekatera podjetja poročati za poslovno leto 2025 (drugi val) ali 2026 (tretji val), nato pa bi bila oproščena te zahteve. Takšna situacija bi zadevnim podjetjem povzročila nepotrebne stroške, ki bi se jim bilo mogoče izogniti.</w:t>
      </w:r>
    </w:p>
    <w:p w14:paraId="31BF7E7D" w14:textId="77777777" w:rsidR="00A53DB0" w:rsidRPr="009B5623" w:rsidRDefault="00A53DB0" w:rsidP="00A53DB0">
      <w:pPr>
        <w:pBdr>
          <w:top w:val="nil"/>
          <w:left w:val="nil"/>
          <w:bottom w:val="nil"/>
          <w:right w:val="nil"/>
          <w:between w:val="nil"/>
          <w:bar w:val="nil"/>
        </w:pBdr>
        <w:spacing w:before="0" w:after="240"/>
        <w:rPr>
          <w:noProof/>
        </w:rPr>
      </w:pPr>
      <w:r w:rsidRPr="009B5623">
        <w:rPr>
          <w:noProof/>
        </w:rPr>
        <w:t xml:space="preserve">Komisija poziva sozakonodajalca, naj hitro dosežeta dogovor o predlaganem odlogu, zlasti za zagotovitev potrebne pravne jasnosti za podjetja v drugem valu, od katerih se trenutno zahteva, da prvič poročajo leta 2026 za poslovno leto 2025. </w:t>
      </w:r>
    </w:p>
    <w:p w14:paraId="1A646225" w14:textId="77777777" w:rsidR="00A53DB0" w:rsidRPr="009B5623" w:rsidRDefault="00A53DB0" w:rsidP="00A53DB0">
      <w:pPr>
        <w:pBdr>
          <w:top w:val="nil"/>
          <w:left w:val="nil"/>
          <w:bottom w:val="nil"/>
          <w:right w:val="nil"/>
          <w:between w:val="nil"/>
          <w:bar w:val="nil"/>
        </w:pBdr>
        <w:spacing w:before="0" w:after="240"/>
        <w:rPr>
          <w:noProof/>
          <w:u w:val="single"/>
        </w:rPr>
      </w:pPr>
      <w:r w:rsidRPr="009B5623">
        <w:rPr>
          <w:noProof/>
          <w:u w:val="single"/>
        </w:rPr>
        <w:t>Posebno ozadje in cilji tega predloga v zvezi z direktivo o skrbnem pregledu v podjetjih glede trajnostnosti</w:t>
      </w:r>
    </w:p>
    <w:p w14:paraId="1815EC07" w14:textId="77777777" w:rsidR="00DD6F15" w:rsidRPr="009B5623" w:rsidRDefault="00A427AE" w:rsidP="00977655">
      <w:pPr>
        <w:pBdr>
          <w:top w:val="nil"/>
          <w:left w:val="nil"/>
          <w:bottom w:val="nil"/>
          <w:right w:val="nil"/>
          <w:between w:val="nil"/>
          <w:bar w:val="nil"/>
        </w:pBdr>
        <w:spacing w:before="0" w:after="240"/>
        <w:rPr>
          <w:noProof/>
        </w:rPr>
      </w:pPr>
      <w:r w:rsidRPr="009B5623">
        <w:rPr>
          <w:noProof/>
        </w:rPr>
        <w:t xml:space="preserve">V skladu s sedanjimi pravili bi morale države članice direktivo o skrbnem pregledu v podjetjih glede trajnostnosti prenesti do 26. julija 2026. Začetek uporabe je predviden v treh fazah: od julija 2027 bi se pravila začela uporabljati le za največja podjetja EU, tj. tista, ki imajo več kot 5 000 zaposlenih in poročajo o letnem (svetovnem) čistem prihodku v višini več kot 1,5 milijarde EUR, ter za podjetja zunaj EU, ki ustvarijo več kot 1,5 milijarde EUR čistega prihodka v EU. V drugem valu bi morala od julija 2028 novi okvir upoštevati podjetja EU z več kot 3 000 zaposlenimi in več kot 900 milijoni EUR čistega prihodka ter podjetja zunaj EU, ki ustvarjajo tak čisti prihodek v EU. Nazadnje, julija 2029 bi morala vsa druga podjetja, ki spadajo na splošno področje uporabe, začeti uporabljati direktivo (nacionalna pravila za njen prenos). Ocenjuje se, da se bo od tega datuma direktiva o skrbnem pregledu v podjetjih glede trajnostnosti uporabljala za približno 6 000 velikih podjetij EU in približno 900 podjetij zunaj EU. Osebno področje uporabe in postopna uporaba upoštevata, da imajo podjetja različnih velikosti različne zmogljivosti za izvajanje novega obveznega okvira in sta kot taka ključna elementa pri zagotavljanju sorazmernega pristopa. </w:t>
      </w:r>
    </w:p>
    <w:p w14:paraId="1C0C8011" w14:textId="77777777" w:rsidR="00E12051" w:rsidRPr="009B5623" w:rsidRDefault="00E631F3" w:rsidP="00A53DB0">
      <w:pPr>
        <w:pBdr>
          <w:top w:val="nil"/>
          <w:left w:val="nil"/>
          <w:bottom w:val="nil"/>
          <w:right w:val="nil"/>
          <w:between w:val="nil"/>
          <w:bar w:val="nil"/>
        </w:pBdr>
        <w:spacing w:before="0" w:after="240"/>
        <w:rPr>
          <w:noProof/>
        </w:rPr>
      </w:pPr>
      <w:r w:rsidRPr="009B5623">
        <w:rPr>
          <w:noProof/>
        </w:rPr>
        <w:t>Poleg tega bi ločen zakonodajni predlog, ki ga je Komisija predložila vzporedno s tem predlogom, poenostavil okvir in zmanjšal breme podjetij na več načinov. S tem predlogom bi se prva faza začetka uporabe direktive odložila za eno leto. Cilj odloga je prvi skupini podjetij zagotoviti dodaten čas, da se pripravijo na svoje obveznosti iz direktive, kakor je bila spremenjena, tudi ob upoštevanju smernic, ki jih bo Komisija sprejela v skladu s krajšo časovnico, določeno v vzporednem predlogu za poenostavitev.</w:t>
      </w:r>
    </w:p>
    <w:p w14:paraId="2699D682" w14:textId="77777777" w:rsidR="00480F54" w:rsidRPr="009B5623" w:rsidRDefault="00E12051" w:rsidP="0094068A">
      <w:pPr>
        <w:pBdr>
          <w:top w:val="nil"/>
          <w:left w:val="nil"/>
          <w:bottom w:val="nil"/>
          <w:right w:val="nil"/>
          <w:between w:val="nil"/>
          <w:bar w:val="nil"/>
        </w:pBdr>
        <w:spacing w:before="0" w:after="240"/>
        <w:rPr>
          <w:noProof/>
        </w:rPr>
      </w:pPr>
      <w:r w:rsidRPr="009B5623">
        <w:rPr>
          <w:noProof/>
        </w:rPr>
        <w:t>Poleg tega bi se s tem predlogom rok za prenos za države članice odložil za eno leto, da bi se upoštevale morebitne zamude pri njihovih tekočih prizadevanjih za prenos direktive o skrbnem pregledu v podjetjih glede trajnostnosti zaradi morebitnih sprememb direktive z vzporednim predlogom za poenostavitev.</w:t>
      </w:r>
    </w:p>
    <w:p w14:paraId="76C6F3E4" w14:textId="77777777" w:rsidR="006C7F87" w:rsidRPr="009B5623" w:rsidRDefault="006C7F87" w:rsidP="0094068A">
      <w:pPr>
        <w:pStyle w:val="ManualHeading2"/>
        <w:rPr>
          <w:rFonts w:eastAsia="Arial Unicode MS"/>
          <w:noProof/>
          <w:color w:val="000000"/>
          <w:u w:color="000000"/>
          <w:bdr w:val="nil"/>
        </w:rPr>
      </w:pPr>
      <w:r w:rsidRPr="009B5623">
        <w:rPr>
          <w:noProof/>
          <w:color w:val="000000"/>
          <w:u w:color="000000"/>
          <w:bdr w:val="nil"/>
        </w:rPr>
        <w:t>•</w:t>
      </w:r>
      <w:r w:rsidRPr="009B5623">
        <w:rPr>
          <w:noProof/>
          <w:color w:val="000000"/>
          <w:u w:color="000000"/>
          <w:bdr w:val="nil"/>
        </w:rPr>
        <w:tab/>
      </w:r>
      <w:r w:rsidRPr="009B5623">
        <w:rPr>
          <w:noProof/>
        </w:rPr>
        <w:t>Skladnost z veljavnimi predpisi s področja zadevne politike</w:t>
      </w:r>
    </w:p>
    <w:p w14:paraId="49877AA6" w14:textId="77777777" w:rsidR="00F763CA" w:rsidRPr="009B5623" w:rsidRDefault="00F763CA" w:rsidP="00F763CA">
      <w:pPr>
        <w:pBdr>
          <w:top w:val="nil"/>
          <w:left w:val="nil"/>
          <w:bottom w:val="nil"/>
          <w:right w:val="nil"/>
          <w:between w:val="nil"/>
          <w:bar w:val="nil"/>
        </w:pBdr>
        <w:spacing w:before="0" w:after="240"/>
        <w:rPr>
          <w:rFonts w:eastAsia="Arial Unicode MS"/>
          <w:noProof/>
        </w:rPr>
      </w:pPr>
      <w:r w:rsidRPr="009B5623">
        <w:rPr>
          <w:noProof/>
        </w:rPr>
        <w:t>Od podjetij, za katera veljajo zahteve glede poročanja iz direktive o poročanju podjetij o trajnostnosti, se tudi samodejno zahteva poročanje o nekaterih kazalnikih v skladu s členom 8 uredbe o taksonomiji. Z odlogom uporabe zahtev glede poročanja za podjetja v drugem in tretjem valu bi se s tem predlogom zato samodejno odložil tudi datum, do katerega morajo taka podjetja poročati o teh kazalnikih v skladu z uredbo o taksonomiji.</w:t>
      </w:r>
    </w:p>
    <w:p w14:paraId="6D78FFDA" w14:textId="77777777" w:rsidR="00F763CA" w:rsidRPr="009B5623" w:rsidRDefault="00F763CA" w:rsidP="00F763CA">
      <w:pPr>
        <w:pBdr>
          <w:top w:val="nil"/>
          <w:left w:val="nil"/>
          <w:bottom w:val="nil"/>
          <w:right w:val="nil"/>
          <w:between w:val="nil"/>
          <w:bar w:val="nil"/>
        </w:pBdr>
        <w:spacing w:before="0" w:after="240"/>
        <w:rPr>
          <w:rFonts w:eastAsia="Arial Unicode MS"/>
          <w:noProof/>
        </w:rPr>
      </w:pPr>
      <w:r w:rsidRPr="009B5623">
        <w:rPr>
          <w:noProof/>
        </w:rPr>
        <w:t xml:space="preserve">Namen zahtev glede poročanja iz direktive o poročanju podjetij o trajnostnosti in ESRS je med drugim zagotoviti, da imajo udeleženci na finančnem trgu, kreditne institucije in upravljavci referenčnih vrednosti dostop do informacij o trajnostnosti, ki jih potrebujejo od podjetij za izpolnjevanje svojih obveznosti poročanja v skladu z uredbo o razkritjih v zvezi s trajnostnostjo, uredbo o kapitalskih zahtevah in uredbo o referenčnih vrednostih. Predlagani odlog bo zamaknil izboljšave glede razpoložljivosti informacij za udeležence na finančnem trgu, kreditne institucije in upravljavce referenčnih vrednosti.  </w:t>
      </w:r>
    </w:p>
    <w:p w14:paraId="55FC4E52" w14:textId="77777777" w:rsidR="00F763CA" w:rsidRPr="009B5623" w:rsidRDefault="00F763CA" w:rsidP="0094068A">
      <w:pPr>
        <w:pBdr>
          <w:top w:val="nil"/>
          <w:left w:val="nil"/>
          <w:bottom w:val="nil"/>
          <w:right w:val="nil"/>
          <w:between w:val="nil"/>
          <w:bar w:val="nil"/>
        </w:pBdr>
        <w:spacing w:before="0" w:after="240"/>
        <w:rPr>
          <w:rFonts w:eastAsia="Arial Unicode MS"/>
          <w:noProof/>
        </w:rPr>
      </w:pPr>
      <w:r w:rsidRPr="009B5623">
        <w:rPr>
          <w:noProof/>
        </w:rPr>
        <w:t xml:space="preserve">Direktiva o skrbnem pregledu v podjetjih glede trajnostnosti od podjetij, za katera veljata tako direktiva o poročanju podjetij o trajnostnosti kot direktiva o skrbnem pregledu v podjetjih glede trajnostnosti, ne zahteva, da poleg tega, kar morajo poročati v skladu z direktivo o poročanju podjetij o trajnostnosti, poročajo kakršne koli dodatne informacije. Ker ta predlog odlaga ukrepe, predvidene v direktivi o skrbnem pregledu v podjetjih glede trajnostnosti, in datum začetka uporabe zahtev glede poročanja za nekatera podjetja iz direktive o poročanju podjetij o trajnostnosti, to pomeni, da se ohrani skladnost med tema zakonodajnima aktoma. </w:t>
      </w:r>
    </w:p>
    <w:p w14:paraId="4B559101" w14:textId="77777777" w:rsidR="006C7F87" w:rsidRPr="009B5623" w:rsidRDefault="006C7F87" w:rsidP="0094068A">
      <w:pPr>
        <w:pStyle w:val="ManualHeading2"/>
        <w:rPr>
          <w:rFonts w:eastAsia="Arial Unicode MS"/>
          <w:noProof/>
        </w:rPr>
      </w:pPr>
      <w:r w:rsidRPr="009B5623">
        <w:rPr>
          <w:noProof/>
          <w:color w:val="000000"/>
          <w:u w:color="000000"/>
          <w:bdr w:val="nil"/>
        </w:rPr>
        <w:t>•</w:t>
      </w:r>
      <w:r w:rsidRPr="009B5623">
        <w:rPr>
          <w:noProof/>
          <w:color w:val="000000"/>
          <w:u w:color="000000"/>
          <w:bdr w:val="nil"/>
        </w:rPr>
        <w:tab/>
      </w:r>
      <w:r w:rsidRPr="009B5623">
        <w:rPr>
          <w:noProof/>
        </w:rPr>
        <w:t>Skladnost z drugimi politikami Unije</w:t>
      </w:r>
    </w:p>
    <w:p w14:paraId="2CA8BED0" w14:textId="77777777" w:rsidR="00B8576D" w:rsidRPr="009B5623" w:rsidRDefault="00B8576D" w:rsidP="00B8576D">
      <w:pPr>
        <w:pBdr>
          <w:top w:val="nil"/>
          <w:left w:val="nil"/>
          <w:bottom w:val="nil"/>
          <w:right w:val="nil"/>
          <w:between w:val="nil"/>
          <w:bar w:val="nil"/>
        </w:pBdr>
        <w:spacing w:before="0" w:after="240"/>
        <w:rPr>
          <w:rFonts w:eastAsia="Arial Unicode MS"/>
          <w:noProof/>
        </w:rPr>
      </w:pPr>
      <w:r w:rsidRPr="009B5623">
        <w:rPr>
          <w:noProof/>
        </w:rPr>
        <w:t xml:space="preserve">Ta predlog je skladen s politiko EU za povečanje konkurenčnosti, poenostavitev regulativnega okvira in zmanjšanje bremena za podjetja, hkrati pa še vedno dosega cilje politike iz direktive o poročanju podjetij o trajnostnosti in direktive o skrbnem pregledu v podjetjih glede trajnostnosti. To vključuje ohranjanje zelenega dogovora, saj je srednje- do dolgoročna konkurenčnost odvisna od tega, ali podjetja v svoje poslovanje ustrezno vključijo vidike trajnostnosti. </w:t>
      </w:r>
    </w:p>
    <w:p w14:paraId="60ACF72B" w14:textId="77777777" w:rsidR="006C7F87" w:rsidRPr="009B5623" w:rsidRDefault="006C7F87" w:rsidP="0094068A">
      <w:pPr>
        <w:pStyle w:val="ManualHeading1"/>
        <w:rPr>
          <w:noProof/>
        </w:rPr>
      </w:pPr>
      <w:r w:rsidRPr="009B5623">
        <w:rPr>
          <w:noProof/>
        </w:rPr>
        <w:t>2.</w:t>
      </w:r>
      <w:r w:rsidRPr="009B5623">
        <w:rPr>
          <w:noProof/>
        </w:rPr>
        <w:tab/>
        <w:t>PRAVNA PODLAGA, SUBSIDIARNOST IN SORAZMERNOST</w:t>
      </w:r>
    </w:p>
    <w:p w14:paraId="66932301" w14:textId="77777777" w:rsidR="006C7F87" w:rsidRPr="009B5623" w:rsidRDefault="006C7F87" w:rsidP="0094068A">
      <w:pPr>
        <w:pStyle w:val="ManualHeading2"/>
        <w:rPr>
          <w:rFonts w:eastAsia="Arial Unicode MS"/>
          <w:noProof/>
          <w:u w:color="000000"/>
          <w:bdr w:val="nil"/>
        </w:rPr>
      </w:pPr>
      <w:r w:rsidRPr="009B5623">
        <w:rPr>
          <w:noProof/>
          <w:u w:color="000000"/>
          <w:bdr w:val="nil"/>
        </w:rPr>
        <w:t>•</w:t>
      </w:r>
      <w:r w:rsidRPr="009B5623">
        <w:rPr>
          <w:noProof/>
          <w:u w:color="000000"/>
          <w:bdr w:val="nil"/>
        </w:rPr>
        <w:tab/>
        <w:t>Pravna podlaga</w:t>
      </w:r>
    </w:p>
    <w:p w14:paraId="35B2DD44" w14:textId="77777777" w:rsidR="006C7F87" w:rsidRPr="009B5623" w:rsidRDefault="009C089C" w:rsidP="0094068A">
      <w:pPr>
        <w:pBdr>
          <w:top w:val="nil"/>
          <w:left w:val="nil"/>
          <w:bottom w:val="nil"/>
          <w:right w:val="nil"/>
          <w:between w:val="nil"/>
          <w:bar w:val="nil"/>
        </w:pBdr>
        <w:spacing w:before="0" w:after="240"/>
        <w:rPr>
          <w:rFonts w:eastAsia="Arial Unicode MS"/>
          <w:noProof/>
        </w:rPr>
      </w:pPr>
      <w:r w:rsidRPr="009B5623">
        <w:rPr>
          <w:noProof/>
        </w:rPr>
        <w:t>Pravna podlaga predloga sta člena 50 in 114 Pogodbe o delovanju Evropske unije (PDEU). Člen 50 PDEU je pravna podlaga za sprejetje ukrepov EU za uresničevanje svobode ustanavljanja na enotnem trgu na področju prava gospodarskih družb ter Evropski parlament in Svet pooblašča, da ukrepata z direktivami. Člen 114 PDEU je splošna pravna podlaga, katere cilj je vzpostaviti ali zagotoviti delovanje enotnega trga – v tem primeru prostega pretoka kapitala. Člena 50 in 114 PDEU sta pravna podlaga za Direktivo (EU) 2022/2464 in Direktivo (EU) 2024/1760.</w:t>
      </w:r>
    </w:p>
    <w:p w14:paraId="29DF55DE" w14:textId="77777777" w:rsidR="006C7F87" w:rsidRPr="009B5623" w:rsidRDefault="006C7F87" w:rsidP="0094068A">
      <w:pPr>
        <w:pStyle w:val="ManualHeading2"/>
        <w:rPr>
          <w:rFonts w:eastAsia="Arial Unicode MS"/>
          <w:noProof/>
          <w:u w:color="000000"/>
          <w:bdr w:val="nil"/>
        </w:rPr>
      </w:pPr>
      <w:r w:rsidRPr="009B5623">
        <w:rPr>
          <w:noProof/>
          <w:u w:color="000000"/>
          <w:bdr w:val="nil"/>
        </w:rPr>
        <w:t>•</w:t>
      </w:r>
      <w:r w:rsidRPr="009B5623">
        <w:rPr>
          <w:noProof/>
          <w:u w:color="000000"/>
          <w:bdr w:val="nil"/>
        </w:rPr>
        <w:tab/>
        <w:t xml:space="preserve">Subsidiarnost (za neizključno pristojnost) </w:t>
      </w:r>
    </w:p>
    <w:p w14:paraId="77EDE928" w14:textId="77777777" w:rsidR="006C7F87" w:rsidRPr="009B5623" w:rsidRDefault="000515FD" w:rsidP="0094068A">
      <w:pPr>
        <w:pBdr>
          <w:top w:val="nil"/>
          <w:left w:val="nil"/>
          <w:bottom w:val="nil"/>
          <w:right w:val="nil"/>
          <w:between w:val="nil"/>
          <w:bar w:val="nil"/>
        </w:pBdr>
        <w:spacing w:before="0" w:after="240"/>
        <w:rPr>
          <w:rFonts w:eastAsia="Arial Unicode MS"/>
          <w:noProof/>
        </w:rPr>
      </w:pPr>
      <w:r w:rsidRPr="009B5623">
        <w:rPr>
          <w:noProof/>
        </w:rPr>
        <w:t>S tem predlogom se spreminjajo</w:t>
      </w:r>
      <w:bookmarkStart w:id="1" w:name="_Hlk189940979"/>
      <w:r w:rsidRPr="009B5623">
        <w:rPr>
          <w:noProof/>
        </w:rPr>
        <w:t xml:space="preserve"> datumi začetka uporabe nekaterih določb prava EU</w:t>
      </w:r>
      <w:bookmarkEnd w:id="1"/>
      <w:r w:rsidRPr="009B5623">
        <w:rPr>
          <w:noProof/>
        </w:rPr>
        <w:t xml:space="preserve">. Te datume je mogoče spremeniti le z ukrepanjem na ravni EU. </w:t>
      </w:r>
    </w:p>
    <w:p w14:paraId="7D16969E" w14:textId="77777777" w:rsidR="006C7F87" w:rsidRPr="009B5623" w:rsidRDefault="006C7F87" w:rsidP="0094068A">
      <w:pPr>
        <w:pStyle w:val="ManualHeading2"/>
        <w:rPr>
          <w:rFonts w:eastAsia="Arial Unicode MS"/>
          <w:noProof/>
          <w:u w:color="000000"/>
          <w:bdr w:val="nil"/>
        </w:rPr>
      </w:pPr>
      <w:r w:rsidRPr="009B5623">
        <w:rPr>
          <w:noProof/>
          <w:u w:color="000000"/>
          <w:bdr w:val="nil"/>
        </w:rPr>
        <w:t>•</w:t>
      </w:r>
      <w:r w:rsidRPr="009B5623">
        <w:rPr>
          <w:noProof/>
          <w:u w:color="000000"/>
          <w:bdr w:val="nil"/>
        </w:rPr>
        <w:tab/>
        <w:t>Sorazmernost</w:t>
      </w:r>
    </w:p>
    <w:p w14:paraId="669D2B99" w14:textId="77777777" w:rsidR="006C7F87" w:rsidRPr="009B5623" w:rsidRDefault="00A67FB0" w:rsidP="0094068A">
      <w:pPr>
        <w:pBdr>
          <w:top w:val="nil"/>
          <w:left w:val="nil"/>
          <w:bottom w:val="nil"/>
          <w:right w:val="nil"/>
          <w:between w:val="nil"/>
          <w:bar w:val="nil"/>
        </w:pBdr>
        <w:spacing w:before="0" w:after="240"/>
        <w:rPr>
          <w:rFonts w:eastAsia="Arial Unicode MS"/>
          <w:noProof/>
        </w:rPr>
      </w:pPr>
      <w:r w:rsidRPr="009B5623">
        <w:rPr>
          <w:noProof/>
        </w:rPr>
        <w:t xml:space="preserve">Cilj politike je odložiti datume začetka uporabe nekaterih določb prava EU. Ta cilj je mogoče doseči le tako, da se predlaga sprememba teh datumov.  </w:t>
      </w:r>
    </w:p>
    <w:p w14:paraId="369E84B1" w14:textId="77777777" w:rsidR="006C7F87" w:rsidRPr="009B5623" w:rsidRDefault="006C7F87" w:rsidP="0094068A">
      <w:pPr>
        <w:pStyle w:val="ManualHeading2"/>
        <w:rPr>
          <w:rFonts w:eastAsia="Arial Unicode MS"/>
          <w:noProof/>
          <w:u w:color="000000"/>
          <w:bdr w:val="nil"/>
        </w:rPr>
      </w:pPr>
      <w:r w:rsidRPr="009B5623">
        <w:rPr>
          <w:noProof/>
          <w:u w:color="000000"/>
          <w:bdr w:val="nil"/>
        </w:rPr>
        <w:t>•</w:t>
      </w:r>
      <w:r w:rsidRPr="009B5623">
        <w:rPr>
          <w:noProof/>
          <w:u w:color="000000"/>
          <w:bdr w:val="nil"/>
        </w:rPr>
        <w:tab/>
        <w:t>Izbira instrumenta</w:t>
      </w:r>
    </w:p>
    <w:p w14:paraId="7A555AA8" w14:textId="77777777" w:rsidR="006C7F87" w:rsidRPr="009B5623" w:rsidRDefault="00327AFF" w:rsidP="0094068A">
      <w:pPr>
        <w:pBdr>
          <w:top w:val="nil"/>
          <w:left w:val="nil"/>
          <w:bottom w:val="nil"/>
          <w:right w:val="nil"/>
          <w:between w:val="nil"/>
          <w:bar w:val="nil"/>
        </w:pBdr>
        <w:spacing w:before="0" w:after="240"/>
        <w:rPr>
          <w:rFonts w:eastAsia="Arial Unicode MS"/>
          <w:noProof/>
        </w:rPr>
      </w:pPr>
      <w:r w:rsidRPr="009B5623">
        <w:rPr>
          <w:noProof/>
        </w:rPr>
        <w:t>Ta predlog sestavlja direktiva, ki spreminja določbe direktive o poročanju podjetij o trajnostnosti in direktive o skrbnem pregledu v podjetjih glede trajnostnosti. Direktiva omnibus se šteje za najprimernejši pravni instrument za spremembo obstoječih direktiv v zvezi s poenostavitvijo in zmanjšanjem bremena na področju poročanja o trajnostnosti in skrbnega pregleda.</w:t>
      </w:r>
    </w:p>
    <w:p w14:paraId="3783CF80" w14:textId="77777777" w:rsidR="006C7F87" w:rsidRPr="009B5623" w:rsidRDefault="006C7F87" w:rsidP="0094068A">
      <w:pPr>
        <w:pStyle w:val="ManualHeading1"/>
        <w:rPr>
          <w:noProof/>
        </w:rPr>
      </w:pPr>
      <w:r w:rsidRPr="009B5623">
        <w:rPr>
          <w:noProof/>
        </w:rPr>
        <w:t>3.</w:t>
      </w:r>
      <w:r w:rsidRPr="009B5623">
        <w:rPr>
          <w:noProof/>
        </w:rPr>
        <w:tab/>
        <w:t>REZULTATI NAKNADNIH OCEN, POSVETOVANJ Z DELEŽNIKI IN OCEN UČINKA</w:t>
      </w:r>
    </w:p>
    <w:p w14:paraId="56BC2DB3" w14:textId="77777777" w:rsidR="006C7F87" w:rsidRPr="009B5623" w:rsidRDefault="006C7F87" w:rsidP="0094068A">
      <w:pPr>
        <w:pStyle w:val="ManualHeading2"/>
        <w:rPr>
          <w:rFonts w:eastAsia="Arial Unicode MS"/>
          <w:noProof/>
          <w:u w:color="000000"/>
          <w:bdr w:val="nil"/>
        </w:rPr>
      </w:pPr>
      <w:r w:rsidRPr="009B5623">
        <w:rPr>
          <w:noProof/>
          <w:u w:color="000000"/>
          <w:bdr w:val="nil"/>
        </w:rPr>
        <w:t>•</w:t>
      </w:r>
      <w:r w:rsidRPr="009B5623">
        <w:rPr>
          <w:noProof/>
          <w:u w:color="000000"/>
          <w:bdr w:val="nil"/>
        </w:rPr>
        <w:tab/>
        <w:t>Naknadne ocene/preverjanja primernosti obstoječe zakonodaje</w:t>
      </w:r>
    </w:p>
    <w:p w14:paraId="0C3221D1" w14:textId="77777777" w:rsidR="00D03258" w:rsidRPr="009B5623" w:rsidRDefault="00D03258" w:rsidP="00D03258">
      <w:pPr>
        <w:pBdr>
          <w:top w:val="nil"/>
          <w:left w:val="nil"/>
          <w:bottom w:val="nil"/>
          <w:right w:val="nil"/>
          <w:between w:val="nil"/>
          <w:bar w:val="nil"/>
        </w:pBdr>
        <w:spacing w:before="0" w:after="240"/>
        <w:rPr>
          <w:rFonts w:eastAsia="Arial Unicode MS"/>
          <w:noProof/>
        </w:rPr>
      </w:pPr>
      <w:r w:rsidRPr="009B5623">
        <w:rPr>
          <w:noProof/>
        </w:rPr>
        <w:t xml:space="preserve">Direktiva o skrbnem pregledu v podjetjih glede trajnostnosti še ni bila prenesena oziroma je podjetja še niso uporabljala. Direktivo o poročanju podjetij o trajnostnosti je uporabil prvi sklop podjetij, ki prve izjave o trajnostnosti objavljajo predvsem v prvi polovici leta 2025. Zato ni bilo mogoče opraviti naknadne ocene ali preverjanja primernosti nobenega od zakonodajnih aktov.  </w:t>
      </w:r>
    </w:p>
    <w:p w14:paraId="7A481714" w14:textId="77777777" w:rsidR="006C7F87" w:rsidRPr="009B5623" w:rsidRDefault="006C7F87" w:rsidP="0094068A">
      <w:pPr>
        <w:pStyle w:val="ManualHeading2"/>
        <w:rPr>
          <w:rFonts w:eastAsia="Arial Unicode MS"/>
          <w:noProof/>
          <w:u w:color="000000"/>
          <w:bdr w:val="nil"/>
        </w:rPr>
      </w:pPr>
      <w:r w:rsidRPr="009B5623">
        <w:rPr>
          <w:noProof/>
          <w:u w:color="000000"/>
          <w:bdr w:val="nil"/>
        </w:rPr>
        <w:t>•</w:t>
      </w:r>
      <w:r w:rsidRPr="009B5623">
        <w:rPr>
          <w:noProof/>
          <w:u w:color="000000"/>
          <w:bdr w:val="nil"/>
        </w:rPr>
        <w:tab/>
        <w:t>Posvetovanja z deležniki</w:t>
      </w:r>
    </w:p>
    <w:p w14:paraId="3AAA5766" w14:textId="77777777" w:rsidR="001275AC" w:rsidRPr="009B5623" w:rsidRDefault="001275AC" w:rsidP="001275AC">
      <w:pPr>
        <w:pBdr>
          <w:top w:val="nil"/>
          <w:left w:val="nil"/>
          <w:bottom w:val="nil"/>
          <w:right w:val="nil"/>
          <w:between w:val="nil"/>
          <w:bar w:val="nil"/>
        </w:pBdr>
        <w:spacing w:before="0" w:after="240"/>
        <w:rPr>
          <w:noProof/>
        </w:rPr>
      </w:pPr>
      <w:r w:rsidRPr="009B5623">
        <w:rPr>
          <w:noProof/>
        </w:rPr>
        <w:t xml:space="preserve">Naslednje posvetovalne dejavnosti so prispevale k oblikovanju vsebine tega predloga: </w:t>
      </w:r>
    </w:p>
    <w:p w14:paraId="33E7A4B8" w14:textId="77777777" w:rsidR="001275AC" w:rsidRPr="009B5623" w:rsidRDefault="001275AC" w:rsidP="000B7904">
      <w:pPr>
        <w:pStyle w:val="paragraph"/>
        <w:numPr>
          <w:ilvl w:val="0"/>
          <w:numId w:val="17"/>
        </w:numPr>
        <w:spacing w:before="0" w:beforeAutospacing="0" w:after="0" w:afterAutospacing="0"/>
        <w:jc w:val="both"/>
        <w:textAlignment w:val="baseline"/>
        <w:rPr>
          <w:rStyle w:val="normaltextrun"/>
          <w:rFonts w:ascii="Segoe UI" w:hAnsi="Segoe UI" w:cs="Segoe UI"/>
          <w:noProof/>
          <w:sz w:val="18"/>
          <w:szCs w:val="18"/>
        </w:rPr>
      </w:pPr>
      <w:r w:rsidRPr="009B5623">
        <w:rPr>
          <w:rStyle w:val="normaltextrun"/>
          <w:noProof/>
          <w:color w:val="000000"/>
          <w:shd w:val="clear" w:color="auto" w:fill="FFFFFF"/>
        </w:rPr>
        <w:t>poziv Evropske komisije k predložitvi dokazov o racionalizaciji zahtev glede poročanja od oktobra do decembra 2023</w:t>
      </w:r>
      <w:r w:rsidRPr="009B5623">
        <w:rPr>
          <w:rStyle w:val="FootnoteReference"/>
          <w:noProof/>
          <w:color w:val="000000"/>
        </w:rPr>
        <w:footnoteReference w:id="18"/>
      </w:r>
      <w:r w:rsidRPr="009B5623">
        <w:rPr>
          <w:rStyle w:val="normaltextrun"/>
          <w:noProof/>
          <w:color w:val="000000"/>
          <w:shd w:val="clear" w:color="auto" w:fill="FFFFFF"/>
        </w:rPr>
        <w:t xml:space="preserve">; </w:t>
      </w:r>
    </w:p>
    <w:p w14:paraId="58A6F751" w14:textId="77777777" w:rsidR="001275AC" w:rsidRPr="009B5623" w:rsidRDefault="001275AC" w:rsidP="000B7904">
      <w:pPr>
        <w:pStyle w:val="paragraph"/>
        <w:numPr>
          <w:ilvl w:val="0"/>
          <w:numId w:val="17"/>
        </w:numPr>
        <w:spacing w:before="0" w:beforeAutospacing="0" w:after="0" w:afterAutospacing="0"/>
        <w:jc w:val="both"/>
        <w:textAlignment w:val="baseline"/>
        <w:rPr>
          <w:rStyle w:val="normaltextrun"/>
          <w:rFonts w:ascii="Segoe UI" w:hAnsi="Segoe UI" w:cs="Segoe UI"/>
          <w:noProof/>
          <w:sz w:val="18"/>
          <w:szCs w:val="18"/>
        </w:rPr>
      </w:pPr>
      <w:r w:rsidRPr="009B5623">
        <w:rPr>
          <w:rStyle w:val="normaltextrun"/>
          <w:noProof/>
        </w:rPr>
        <w:t>Evropska komisija, pregled dejanskega stanja poročanja o trajnostnosti in okrogla miza o poenostavitvi v začetku februarja 2025;</w:t>
      </w:r>
    </w:p>
    <w:p w14:paraId="186ABB6A" w14:textId="77777777" w:rsidR="001275AC" w:rsidRPr="009B5623" w:rsidRDefault="001275AC" w:rsidP="000B7904">
      <w:pPr>
        <w:pStyle w:val="paragraph"/>
        <w:numPr>
          <w:ilvl w:val="0"/>
          <w:numId w:val="17"/>
        </w:numPr>
        <w:spacing w:before="0" w:beforeAutospacing="0" w:after="0" w:afterAutospacing="0"/>
        <w:jc w:val="both"/>
        <w:textAlignment w:val="baseline"/>
        <w:rPr>
          <w:rFonts w:ascii="Segoe UI" w:hAnsi="Segoe UI" w:cs="Segoe UI"/>
          <w:noProof/>
          <w:sz w:val="18"/>
          <w:szCs w:val="18"/>
        </w:rPr>
      </w:pPr>
      <w:r w:rsidRPr="009B5623">
        <w:rPr>
          <w:rStyle w:val="normaltextrun"/>
          <w:noProof/>
        </w:rPr>
        <w:t>Evropska</w:t>
      </w:r>
      <w:r w:rsidRPr="009B5623">
        <w:rPr>
          <w:noProof/>
        </w:rPr>
        <w:t xml:space="preserve"> komisija je organizirala tudi ločene dejavnosti deležnikov, vključno z dvema velikima hibridnima forumoma deležnikov o direktivi o poročanju podjetij o trajnostnosti maja in novembra 2024, na katerih je sodelovalo več kot 400 ljudi v živo in več kot 3 000 ljudi virtualno;</w:t>
      </w:r>
    </w:p>
    <w:p w14:paraId="51A494F1" w14:textId="77777777" w:rsidR="000A19BC" w:rsidRPr="009B5623" w:rsidRDefault="000A19BC" w:rsidP="000B7904">
      <w:pPr>
        <w:pStyle w:val="paragraph"/>
        <w:numPr>
          <w:ilvl w:val="0"/>
          <w:numId w:val="17"/>
        </w:numPr>
        <w:spacing w:before="0" w:beforeAutospacing="0" w:after="0" w:afterAutospacing="0"/>
        <w:jc w:val="both"/>
        <w:textAlignment w:val="baseline"/>
        <w:rPr>
          <w:noProof/>
        </w:rPr>
      </w:pPr>
      <w:r w:rsidRPr="009B5623">
        <w:rPr>
          <w:noProof/>
        </w:rPr>
        <w:t>Evropska komisija je prejela zelo veliko število dopisov in podrobnih analiz vseh vrst deležnikov (od podjetij do vlagateljev, bank, civilne družbe, nevladnih organizacij, gospodarskih zbornic in nacionalnih uprav držav članic).</w:t>
      </w:r>
    </w:p>
    <w:p w14:paraId="31F2CDAC" w14:textId="77777777" w:rsidR="000A19BC" w:rsidRPr="009B5623" w:rsidRDefault="000A19BC" w:rsidP="000A19BC">
      <w:pPr>
        <w:pStyle w:val="paragraph"/>
        <w:spacing w:before="0" w:beforeAutospacing="0" w:after="0" w:afterAutospacing="0"/>
        <w:ind w:left="720"/>
        <w:jc w:val="both"/>
        <w:textAlignment w:val="baseline"/>
        <w:rPr>
          <w:rFonts w:ascii="Segoe UI" w:hAnsi="Segoe UI" w:cs="Segoe UI"/>
          <w:noProof/>
          <w:sz w:val="18"/>
          <w:szCs w:val="18"/>
        </w:rPr>
      </w:pPr>
    </w:p>
    <w:p w14:paraId="4AC91D72" w14:textId="77777777" w:rsidR="005A6B99" w:rsidRPr="009B5623" w:rsidRDefault="005A6B99" w:rsidP="005A6B99">
      <w:pPr>
        <w:pBdr>
          <w:top w:val="nil"/>
          <w:left w:val="nil"/>
          <w:bottom w:val="nil"/>
          <w:right w:val="nil"/>
          <w:between w:val="nil"/>
          <w:bar w:val="nil"/>
        </w:pBdr>
        <w:spacing w:before="0" w:after="240"/>
        <w:rPr>
          <w:rStyle w:val="normaltextrun"/>
          <w:rFonts w:eastAsia="Arial Unicode MS"/>
          <w:noProof/>
          <w:u w:val="single"/>
        </w:rPr>
      </w:pPr>
      <w:r w:rsidRPr="009B5623">
        <w:rPr>
          <w:noProof/>
          <w:u w:val="single"/>
        </w:rPr>
        <w:t>Direktiva o poročanju podjetij o trajnostnosti</w:t>
      </w:r>
    </w:p>
    <w:p w14:paraId="207B6FB7" w14:textId="77777777" w:rsidR="005A6B99" w:rsidRPr="009B5623" w:rsidRDefault="005A6B99" w:rsidP="005A6B99">
      <w:pPr>
        <w:pStyle w:val="paragraph"/>
        <w:spacing w:before="0" w:beforeAutospacing="0" w:after="0" w:afterAutospacing="0"/>
        <w:jc w:val="both"/>
        <w:textAlignment w:val="baseline"/>
        <w:rPr>
          <w:rStyle w:val="eop"/>
          <w:rFonts w:eastAsiaTheme="majorEastAsia"/>
          <w:noProof/>
          <w:color w:val="000000"/>
          <w:shd w:val="clear" w:color="auto" w:fill="FFFFFF"/>
        </w:rPr>
      </w:pPr>
      <w:r w:rsidRPr="009B5623">
        <w:rPr>
          <w:rStyle w:val="normaltextrun"/>
          <w:noProof/>
          <w:color w:val="000000"/>
          <w:shd w:val="clear" w:color="auto" w:fill="FFFFFF"/>
        </w:rPr>
        <w:t>Evropska komisija je s pozivom k predložitvi dokazov o racionalizaciji zahtev glede poročanja</w:t>
      </w:r>
      <w:r w:rsidRPr="009B5623">
        <w:rPr>
          <w:noProof/>
          <w:color w:val="000000"/>
          <w:shd w:val="clear" w:color="auto" w:fill="FFFFFF"/>
        </w:rPr>
        <w:t xml:space="preserve"> želela pridobiti dokaze in mnenja v zvezi s predpisi, ki naj bi ustvarjali upravno breme. </w:t>
      </w:r>
      <w:r w:rsidRPr="009B5623">
        <w:rPr>
          <w:rStyle w:val="normaltextrun"/>
          <w:noProof/>
          <w:color w:val="000000"/>
          <w:shd w:val="clear" w:color="auto" w:fill="FFFFFF"/>
        </w:rPr>
        <w:t xml:space="preserve">Odzvalo se je skoraj 200 deležnikov in pozvalo predvsem k poenostavitvi poročanja o trajnostnosti, skrbnega pregleda in taksonomije EU. </w:t>
      </w:r>
    </w:p>
    <w:p w14:paraId="3A797607" w14:textId="77777777" w:rsidR="005A6B99" w:rsidRPr="009B5623" w:rsidRDefault="005A6B99" w:rsidP="005A6B99">
      <w:pPr>
        <w:pStyle w:val="paragraph"/>
        <w:spacing w:before="0" w:beforeAutospacing="0" w:after="0" w:afterAutospacing="0"/>
        <w:jc w:val="both"/>
        <w:textAlignment w:val="baseline"/>
        <w:rPr>
          <w:rFonts w:ascii="Segoe UI" w:hAnsi="Segoe UI" w:cs="Segoe UI"/>
          <w:noProof/>
          <w:sz w:val="18"/>
          <w:szCs w:val="18"/>
        </w:rPr>
      </w:pPr>
    </w:p>
    <w:p w14:paraId="60B1CD5F" w14:textId="77777777" w:rsidR="005A6B99" w:rsidRPr="009B5623" w:rsidRDefault="005A6B99" w:rsidP="005A6B99">
      <w:pPr>
        <w:pBdr>
          <w:top w:val="nil"/>
          <w:left w:val="nil"/>
          <w:bottom w:val="nil"/>
          <w:right w:val="nil"/>
          <w:between w:val="nil"/>
          <w:bar w:val="nil"/>
        </w:pBdr>
        <w:spacing w:before="0" w:after="240"/>
        <w:rPr>
          <w:noProof/>
        </w:rPr>
      </w:pPr>
      <w:r w:rsidRPr="009B5623">
        <w:rPr>
          <w:rStyle w:val="normaltextrun"/>
          <w:noProof/>
        </w:rPr>
        <w:t>Na srečanjih</w:t>
      </w:r>
      <w:r w:rsidRPr="009B5623">
        <w:rPr>
          <w:noProof/>
        </w:rPr>
        <w:t xml:space="preserve"> Evropske komisije z evropsko industrijo, socialnimi partnerji in civilno družbo v začetku februarja 2025 so deležniki izrazili podporo splošnim ciljem direktive o poročanju podjetij o trajnostnosti in direktive o skrbnem pregledu v podjetjih glede trajnostnosti, vendar so poudarili potrebo po poenostavitvi in harmonizaciji njunega izvajanja. </w:t>
      </w:r>
    </w:p>
    <w:p w14:paraId="2020A5C2" w14:textId="77777777" w:rsidR="00083FC5" w:rsidRPr="009B5623" w:rsidRDefault="00083FC5" w:rsidP="005A6B99">
      <w:pPr>
        <w:pBdr>
          <w:top w:val="nil"/>
          <w:left w:val="nil"/>
          <w:bottom w:val="nil"/>
          <w:right w:val="nil"/>
          <w:between w:val="nil"/>
          <w:bar w:val="nil"/>
        </w:pBdr>
        <w:spacing w:before="0" w:after="240"/>
        <w:rPr>
          <w:noProof/>
        </w:rPr>
      </w:pPr>
      <w:r w:rsidRPr="009B5623">
        <w:rPr>
          <w:noProof/>
        </w:rPr>
        <w:t xml:space="preserve">Nekateri deležniki, zlasti poslovne in industrijske skupine, so predlagali zaustavitev uporabe obstoječe zakonodaje, da bi se osredotočili na poenostavitev. Menili so, da bi odložitev zahtev glede poročanja iz direktive o poročanju podjetij o trajnostnosti Komisiji omogočila poenostavitev okvira, podjetjem pa dala več časa, da se pripravijo na morebitne prihodnje spremembe. </w:t>
      </w:r>
    </w:p>
    <w:p w14:paraId="1F83BAB3" w14:textId="77777777" w:rsidR="00083FC5" w:rsidRPr="009B5623" w:rsidRDefault="00083FC5" w:rsidP="001275AC">
      <w:pPr>
        <w:pBdr>
          <w:top w:val="nil"/>
          <w:left w:val="nil"/>
          <w:bottom w:val="nil"/>
          <w:right w:val="nil"/>
          <w:between w:val="nil"/>
          <w:bar w:val="nil"/>
        </w:pBdr>
        <w:spacing w:before="0" w:after="240"/>
        <w:rPr>
          <w:noProof/>
        </w:rPr>
      </w:pPr>
      <w:r w:rsidRPr="009B5623">
        <w:rPr>
          <w:noProof/>
        </w:rPr>
        <w:t>Drugi deležniki, zlasti skupine civilne družbe, so menili, da je ohranitev pravil zelo koristna, ter se zavzeli za pomen pravne varnosti in regulativne stabilnosti za podjetja ter za ohranitev ciljev evropskega zelenega dogovora in akcijskega načrta za trajnostno financiranje. Poudarili so tudi, da bi bilo treba za pojasnitev in poenostavitev nekaterih delov okvira za poročanje o trajnostnosti namesto odloga ali spremembe obstoječih pravil uporabiti smernice za izvajanje.</w:t>
      </w:r>
    </w:p>
    <w:p w14:paraId="1B9E39D9" w14:textId="77777777" w:rsidR="00D1796E" w:rsidRPr="009B5623" w:rsidRDefault="00D1796E" w:rsidP="00D1796E">
      <w:pPr>
        <w:pStyle w:val="paragraph"/>
        <w:spacing w:before="0" w:beforeAutospacing="0" w:after="0" w:afterAutospacing="0"/>
        <w:jc w:val="both"/>
        <w:textAlignment w:val="baseline"/>
        <w:rPr>
          <w:rStyle w:val="eop"/>
          <w:noProof/>
          <w:color w:val="000000"/>
          <w:shd w:val="clear" w:color="auto" w:fill="FFFFFF"/>
        </w:rPr>
      </w:pPr>
      <w:r w:rsidRPr="009B5623">
        <w:rPr>
          <w:rStyle w:val="normaltextrun"/>
          <w:noProof/>
          <w:color w:val="000000"/>
          <w:shd w:val="clear" w:color="auto" w:fill="FFFFFF"/>
        </w:rPr>
        <w:t>Potreba po poenostavitvi je bila izražena tudi v številnih drugih poročilih, priporočilih in stališčih deležnikov, tako s strani podjetij finančnega kot nefinančnega sektorja, od katerih številna poudarjajo pomen zmanjšanja zapletenosti in upravnih bremen ter so podlaga za ukrepe za zmanjšanje bremena, opisane v tem predlogu. </w:t>
      </w:r>
      <w:r w:rsidRPr="009B5623">
        <w:rPr>
          <w:rStyle w:val="eop"/>
          <w:noProof/>
          <w:color w:val="000000"/>
          <w:shd w:val="clear" w:color="auto" w:fill="FFFFFF"/>
        </w:rPr>
        <w:t> </w:t>
      </w:r>
    </w:p>
    <w:p w14:paraId="201E04FD" w14:textId="77777777" w:rsidR="00D1796E" w:rsidRPr="009B5623" w:rsidRDefault="00D1796E" w:rsidP="00D1796E">
      <w:pPr>
        <w:pStyle w:val="paragraph"/>
        <w:spacing w:before="0" w:beforeAutospacing="0" w:after="0" w:afterAutospacing="0"/>
        <w:jc w:val="both"/>
        <w:textAlignment w:val="baseline"/>
        <w:rPr>
          <w:rFonts w:ascii="Segoe UI" w:hAnsi="Segoe UI" w:cs="Segoe UI"/>
          <w:noProof/>
          <w:sz w:val="18"/>
          <w:szCs w:val="18"/>
        </w:rPr>
      </w:pPr>
    </w:p>
    <w:p w14:paraId="3AB21881" w14:textId="77777777" w:rsidR="001275AC" w:rsidRPr="009B5623" w:rsidRDefault="001275AC" w:rsidP="001275AC">
      <w:pPr>
        <w:pBdr>
          <w:top w:val="nil"/>
          <w:left w:val="nil"/>
          <w:bottom w:val="nil"/>
          <w:right w:val="nil"/>
          <w:between w:val="nil"/>
          <w:bar w:val="nil"/>
        </w:pBdr>
        <w:spacing w:before="0" w:after="240"/>
        <w:rPr>
          <w:rFonts w:eastAsia="Arial Unicode MS"/>
          <w:noProof/>
          <w:u w:val="single"/>
        </w:rPr>
      </w:pPr>
      <w:r w:rsidRPr="009B5623">
        <w:rPr>
          <w:noProof/>
          <w:u w:val="single"/>
        </w:rPr>
        <w:t>Direktiva o skrbnem pregledu v podjetjih glede trajnostnosti</w:t>
      </w:r>
    </w:p>
    <w:p w14:paraId="5D62E859" w14:textId="77777777" w:rsidR="004B0309" w:rsidRPr="009B5623" w:rsidRDefault="004B0309" w:rsidP="004B0309">
      <w:pPr>
        <w:rPr>
          <w:noProof/>
        </w:rPr>
      </w:pPr>
      <w:r w:rsidRPr="009B5623">
        <w:rPr>
          <w:noProof/>
        </w:rPr>
        <w:t>Predlog temelji na informacijah iz posvetovanj z različnimi deležniki, vključno s podjetji, panožnimi združenji in organizacijami civilne družbe, ter na drugih stikih z deležniki in prejetih prispevkih deležnikov. To vključuje zlasti dvodnevni dogodek za deležnike, ki je Komisiji omogočil, da je od izvajalcev izvedela, katere izzive vidijo v zvezi s sedanjim zakonodajnim okvirom in kakšne bi bile možne rešitve za njihovo odpravo. Medtem ko so nekateri deležniki pozvali k daljnosežnim spremembam in odlogom, so drugi poudarili potrebo po regulativni varnosti in nasprotovali ponovnemu odprtju direktive ter se namesto tega osredotočili na izvajanje. Namen predloga je skupaj z vzporednim predlogom o poenostavitvi uravnotežiti te poglede z ohranjanjem celovitosti direktive o skrbnem pregledu v podjetjih glede trajnostnosti, hkrati pa uvesti spremembe za poenostavitev in racionalizacijo direktive.</w:t>
      </w:r>
    </w:p>
    <w:p w14:paraId="36789638" w14:textId="77777777" w:rsidR="006C7F87" w:rsidRPr="009B5623" w:rsidRDefault="006C7F87" w:rsidP="0094068A">
      <w:pPr>
        <w:pStyle w:val="ManualHeading2"/>
        <w:rPr>
          <w:rFonts w:eastAsia="Arial Unicode MS"/>
          <w:noProof/>
          <w:u w:color="000000"/>
          <w:bdr w:val="nil"/>
        </w:rPr>
      </w:pPr>
      <w:r w:rsidRPr="009B5623">
        <w:rPr>
          <w:noProof/>
          <w:u w:color="000000"/>
          <w:bdr w:val="nil"/>
        </w:rPr>
        <w:t>•</w:t>
      </w:r>
      <w:r w:rsidRPr="009B5623">
        <w:rPr>
          <w:noProof/>
          <w:u w:color="000000"/>
          <w:bdr w:val="nil"/>
        </w:rPr>
        <w:tab/>
        <w:t>Zbiranje in uporaba strokovnih mnenj</w:t>
      </w:r>
    </w:p>
    <w:p w14:paraId="4B27ADCC" w14:textId="77777777" w:rsidR="006C7F87" w:rsidRPr="009B5623" w:rsidRDefault="0077312E" w:rsidP="0094068A">
      <w:pPr>
        <w:pBdr>
          <w:top w:val="nil"/>
          <w:left w:val="nil"/>
          <w:bottom w:val="nil"/>
          <w:right w:val="nil"/>
          <w:between w:val="nil"/>
          <w:bar w:val="nil"/>
        </w:pBdr>
        <w:spacing w:before="0" w:after="240"/>
        <w:rPr>
          <w:noProof/>
        </w:rPr>
      </w:pPr>
      <w:r w:rsidRPr="009B5623">
        <w:rPr>
          <w:noProof/>
        </w:rPr>
        <w:t xml:space="preserve">Ni relevantno. </w:t>
      </w:r>
    </w:p>
    <w:p w14:paraId="4C434194" w14:textId="77777777" w:rsidR="006C7F87" w:rsidRPr="009B5623" w:rsidRDefault="006C7F87" w:rsidP="0094068A">
      <w:pPr>
        <w:pStyle w:val="ManualHeading2"/>
        <w:rPr>
          <w:rFonts w:eastAsia="Arial Unicode MS"/>
          <w:noProof/>
          <w:u w:color="000000"/>
          <w:bdr w:val="nil"/>
        </w:rPr>
      </w:pPr>
      <w:r w:rsidRPr="009B5623">
        <w:rPr>
          <w:noProof/>
          <w:u w:color="000000"/>
          <w:bdr w:val="nil"/>
        </w:rPr>
        <w:t>•</w:t>
      </w:r>
      <w:r w:rsidRPr="009B5623">
        <w:rPr>
          <w:noProof/>
          <w:u w:color="000000"/>
          <w:bdr w:val="nil"/>
        </w:rPr>
        <w:tab/>
        <w:t>Ocena učinka</w:t>
      </w:r>
    </w:p>
    <w:p w14:paraId="4B3795C5" w14:textId="77777777" w:rsidR="006C7F87" w:rsidRPr="009B5623" w:rsidRDefault="00E649C0" w:rsidP="0094068A">
      <w:pPr>
        <w:pBdr>
          <w:top w:val="nil"/>
          <w:left w:val="nil"/>
          <w:bottom w:val="nil"/>
          <w:right w:val="nil"/>
          <w:between w:val="nil"/>
          <w:bar w:val="nil"/>
        </w:pBdr>
        <w:spacing w:before="0" w:after="240"/>
        <w:rPr>
          <w:noProof/>
        </w:rPr>
      </w:pPr>
      <w:r w:rsidRPr="009B5623">
        <w:rPr>
          <w:noProof/>
        </w:rPr>
        <w:t xml:space="preserve">Temu predlogu je priložen delovni dokument služb Komisije, ki vključuje analizo učinkov predlaganih ukrepov. Glede na nujno potrebo po predložitvi predlogov za reševanje ugotovljenih težav ni bilo mogoče pripraviti celovite ocene učinka.  </w:t>
      </w:r>
    </w:p>
    <w:p w14:paraId="2E797997" w14:textId="77777777" w:rsidR="006C7F87" w:rsidRPr="009B5623" w:rsidRDefault="006C7F87" w:rsidP="0094068A">
      <w:pPr>
        <w:pStyle w:val="ManualHeading2"/>
        <w:rPr>
          <w:rFonts w:eastAsia="Arial Unicode MS"/>
          <w:noProof/>
          <w:u w:color="000000"/>
          <w:bdr w:val="nil"/>
        </w:rPr>
      </w:pPr>
      <w:r w:rsidRPr="009B5623">
        <w:rPr>
          <w:noProof/>
          <w:u w:color="000000"/>
          <w:bdr w:val="nil"/>
        </w:rPr>
        <w:t>•</w:t>
      </w:r>
      <w:r w:rsidRPr="009B5623">
        <w:rPr>
          <w:noProof/>
          <w:u w:color="000000"/>
          <w:bdr w:val="nil"/>
        </w:rPr>
        <w:tab/>
        <w:t>Primernost in poenostavitev ureditve</w:t>
      </w:r>
    </w:p>
    <w:p w14:paraId="053A533A" w14:textId="77777777" w:rsidR="006C7F87" w:rsidRPr="009B5623" w:rsidRDefault="00645D12" w:rsidP="0094068A">
      <w:pPr>
        <w:pBdr>
          <w:top w:val="nil"/>
          <w:left w:val="nil"/>
          <w:bottom w:val="nil"/>
          <w:right w:val="nil"/>
          <w:between w:val="nil"/>
          <w:bar w:val="nil"/>
        </w:pBdr>
        <w:spacing w:before="0" w:after="240"/>
        <w:rPr>
          <w:rFonts w:eastAsia="Arial Unicode MS"/>
          <w:noProof/>
        </w:rPr>
      </w:pPr>
      <w:r w:rsidRPr="009B5623">
        <w:rPr>
          <w:noProof/>
        </w:rPr>
        <w:t>Ta predlog je izrecno namenjen olajšanju večje poenostavitve ureditve poročanja o trajnostnosti.</w:t>
      </w:r>
    </w:p>
    <w:p w14:paraId="2997827B" w14:textId="77777777" w:rsidR="006C7F87" w:rsidRPr="009B5623" w:rsidRDefault="006C7F87" w:rsidP="0094068A">
      <w:pPr>
        <w:pStyle w:val="ManualHeading2"/>
        <w:rPr>
          <w:rFonts w:eastAsia="Arial Unicode MS"/>
          <w:noProof/>
          <w:u w:color="000000"/>
          <w:bdr w:val="nil"/>
        </w:rPr>
      </w:pPr>
      <w:r w:rsidRPr="009B5623">
        <w:rPr>
          <w:noProof/>
          <w:u w:color="000000"/>
          <w:bdr w:val="nil"/>
        </w:rPr>
        <w:t>•</w:t>
      </w:r>
      <w:r w:rsidRPr="009B5623">
        <w:rPr>
          <w:noProof/>
          <w:u w:color="000000"/>
          <w:bdr w:val="nil"/>
        </w:rPr>
        <w:tab/>
        <w:t>Temeljne pravice</w:t>
      </w:r>
    </w:p>
    <w:p w14:paraId="34757B2E" w14:textId="77777777" w:rsidR="007730D3" w:rsidRPr="009B5623" w:rsidRDefault="007730D3" w:rsidP="007730D3">
      <w:pPr>
        <w:pBdr>
          <w:top w:val="nil"/>
          <w:left w:val="nil"/>
          <w:bottom w:val="nil"/>
          <w:right w:val="nil"/>
          <w:between w:val="nil"/>
          <w:bar w:val="nil"/>
        </w:pBdr>
        <w:spacing w:before="0" w:after="240"/>
        <w:rPr>
          <w:noProof/>
          <w:u w:val="single"/>
        </w:rPr>
      </w:pPr>
      <w:r w:rsidRPr="009B5623">
        <w:rPr>
          <w:noProof/>
          <w:u w:val="single"/>
        </w:rPr>
        <w:t>Direktiva o poročanju podjetij o trajnostnosti</w:t>
      </w:r>
    </w:p>
    <w:p w14:paraId="1A036D07" w14:textId="77777777" w:rsidR="007C2EAE" w:rsidRPr="009B5623" w:rsidRDefault="007C2EAE" w:rsidP="007C2EAE">
      <w:pPr>
        <w:pBdr>
          <w:top w:val="nil"/>
          <w:left w:val="nil"/>
          <w:bottom w:val="nil"/>
          <w:right w:val="nil"/>
          <w:between w:val="nil"/>
          <w:bar w:val="nil"/>
        </w:pBdr>
        <w:spacing w:before="0" w:after="240"/>
        <w:rPr>
          <w:noProof/>
        </w:rPr>
      </w:pPr>
      <w:r w:rsidRPr="009B5623">
        <w:rPr>
          <w:noProof/>
        </w:rPr>
        <w:t xml:space="preserve">Ta predlog spoštuje temeljne pravice in upošteva načela iz Listine Evropske unije o temeljnih pravicah. Direktiva o poročanju podjetij o trajnostnosti posredno pozitivno vpliva na temeljne pravice, saj lahko zahteve glede poročanja o trajnostnosti vplivajo na boljše ravnanje podjetij. Služi temu, da bi se podjetja bolj zavedala temeljnih pravic, in pozitivno vpliva na to, kako prepoznavajo in obvladujejo dejanske in morebitne škodljive vplive na temeljne pravice. Predlagani odlog bi zamaknil tudi te pozitivne učinke v zvezi s podjetji, ki bi zahteve glede poročanja začela uporabljati pozneje. Vendar bi moralo zmanjšanje bremena za taka podjetja in zlasti zmanjšanje bremena za podjetja, ki bi se izključila iz področja uporabe direktive o poročanju podjetij o trajnostnosti z ločenim predlogom, ki ga je Komisija predložila vzporedno s tem predlogom, privesti do drugih družbenih koristi v smislu ustvarjanja bogastva, zaposlovanja in inovacij, vključno z inovacijami za trajnostnost. </w:t>
      </w:r>
    </w:p>
    <w:p w14:paraId="107A6CCE" w14:textId="77777777" w:rsidR="004B79C1" w:rsidRPr="009B5623" w:rsidRDefault="004B79C1" w:rsidP="004B79C1">
      <w:pPr>
        <w:pBdr>
          <w:top w:val="nil"/>
          <w:left w:val="nil"/>
          <w:bottom w:val="nil"/>
          <w:right w:val="nil"/>
          <w:between w:val="nil"/>
          <w:bar w:val="nil"/>
        </w:pBdr>
        <w:spacing w:before="0" w:after="240"/>
        <w:rPr>
          <w:noProof/>
          <w:u w:val="single"/>
        </w:rPr>
      </w:pPr>
      <w:r w:rsidRPr="009B5623">
        <w:rPr>
          <w:noProof/>
          <w:u w:val="single"/>
        </w:rPr>
        <w:t>Direktiva o skrbnem pregledu v podjetjih glede trajnostnosti</w:t>
      </w:r>
    </w:p>
    <w:p w14:paraId="43ACC459" w14:textId="77777777" w:rsidR="007730D3" w:rsidRPr="009B5623" w:rsidRDefault="009B0967" w:rsidP="007C2EAE">
      <w:pPr>
        <w:pBdr>
          <w:top w:val="nil"/>
          <w:left w:val="nil"/>
          <w:bottom w:val="nil"/>
          <w:right w:val="nil"/>
          <w:between w:val="nil"/>
          <w:bar w:val="nil"/>
        </w:pBdr>
        <w:spacing w:before="0" w:after="240"/>
        <w:rPr>
          <w:noProof/>
        </w:rPr>
      </w:pPr>
      <w:r w:rsidRPr="009B5623">
        <w:rPr>
          <w:noProof/>
        </w:rPr>
        <w:t xml:space="preserve">Ta predlog spoštuje temeljne pravice in upošteva načela iz Listine Evropske unije o temeljnih pravicah. Eden glavnih ciljev direktive o skrbnem pregledu v podjetjih glede trajnostnosti je varstvo in spodbujanje temeljnih pravic. Od zelo velikih podjetij zahteva, da prepoznajo in obravnavajo negativne vplive na človekove pravice in okolje pri svojem poslovanju, poslovanju svojih hčerinskih družb in njihovih verigah dejavnosti. Predlagani odlog bi zamaknil te pozitivne učinke v zvezi s prvo skupino podjetji, ki spadajo na področje uporabe direktive in bi zahteve glede skrbnega pregleda začela uporabljati pozneje. </w:t>
      </w:r>
    </w:p>
    <w:p w14:paraId="55F555EF" w14:textId="77777777" w:rsidR="006C7F87" w:rsidRPr="009B5623" w:rsidRDefault="006C7F87" w:rsidP="0094068A">
      <w:pPr>
        <w:pStyle w:val="ManualHeading1"/>
        <w:rPr>
          <w:noProof/>
        </w:rPr>
      </w:pPr>
      <w:r w:rsidRPr="009B5623">
        <w:rPr>
          <w:noProof/>
        </w:rPr>
        <w:t>4.</w:t>
      </w:r>
      <w:r w:rsidRPr="009B5623">
        <w:rPr>
          <w:noProof/>
        </w:rPr>
        <w:tab/>
        <w:t>PRORAČUNSKE POSLEDICE</w:t>
      </w:r>
    </w:p>
    <w:p w14:paraId="3FEE963A" w14:textId="77777777" w:rsidR="006C7F87" w:rsidRPr="009B5623" w:rsidRDefault="00661D1F" w:rsidP="0094068A">
      <w:pPr>
        <w:pBdr>
          <w:top w:val="nil"/>
          <w:left w:val="nil"/>
          <w:bottom w:val="nil"/>
          <w:right w:val="nil"/>
          <w:between w:val="nil"/>
          <w:bar w:val="nil"/>
        </w:pBdr>
        <w:spacing w:before="0" w:after="240"/>
        <w:rPr>
          <w:rFonts w:eastAsia="Arial Unicode MS"/>
          <w:noProof/>
        </w:rPr>
      </w:pPr>
      <w:r w:rsidRPr="009B5623">
        <w:rPr>
          <w:noProof/>
        </w:rPr>
        <w:t xml:space="preserve">Predlog nima proračunskih posledic. </w:t>
      </w:r>
    </w:p>
    <w:p w14:paraId="3F061832" w14:textId="77777777" w:rsidR="006C7F87" w:rsidRPr="009B5623" w:rsidRDefault="006C7F87" w:rsidP="0094068A">
      <w:pPr>
        <w:pStyle w:val="ManualHeading1"/>
        <w:rPr>
          <w:noProof/>
        </w:rPr>
      </w:pPr>
      <w:r w:rsidRPr="009B5623">
        <w:rPr>
          <w:noProof/>
        </w:rPr>
        <w:t>5.</w:t>
      </w:r>
      <w:r w:rsidRPr="009B5623">
        <w:rPr>
          <w:noProof/>
        </w:rPr>
        <w:tab/>
        <w:t>DRUGI ELEMENTI</w:t>
      </w:r>
    </w:p>
    <w:p w14:paraId="67DB09EF" w14:textId="77777777" w:rsidR="006C7F87" w:rsidRPr="009B5623" w:rsidRDefault="006C7F87" w:rsidP="0094068A">
      <w:pPr>
        <w:pStyle w:val="ManualHeading2"/>
        <w:rPr>
          <w:rFonts w:eastAsia="Arial Unicode MS"/>
          <w:noProof/>
          <w:u w:color="000000"/>
          <w:bdr w:val="nil"/>
        </w:rPr>
      </w:pPr>
      <w:r w:rsidRPr="009B5623">
        <w:rPr>
          <w:noProof/>
          <w:u w:color="000000"/>
          <w:bdr w:val="nil"/>
        </w:rPr>
        <w:t>•</w:t>
      </w:r>
      <w:r w:rsidRPr="009B5623">
        <w:rPr>
          <w:noProof/>
          <w:u w:color="000000"/>
          <w:bdr w:val="nil"/>
        </w:rPr>
        <w:tab/>
        <w:t>Načrti za izvedbo ter ureditev spremljanja, ocenjevanja in poročanja</w:t>
      </w:r>
    </w:p>
    <w:p w14:paraId="5918F282" w14:textId="77777777" w:rsidR="006C7F87" w:rsidRPr="009B5623" w:rsidRDefault="00733A6F" w:rsidP="0094068A">
      <w:pPr>
        <w:pBdr>
          <w:top w:val="nil"/>
          <w:left w:val="nil"/>
          <w:bottom w:val="nil"/>
          <w:right w:val="nil"/>
          <w:between w:val="nil"/>
          <w:bar w:val="nil"/>
        </w:pBdr>
        <w:spacing w:before="0" w:after="240"/>
        <w:rPr>
          <w:noProof/>
        </w:rPr>
      </w:pPr>
      <w:r w:rsidRPr="009B5623">
        <w:rPr>
          <w:noProof/>
        </w:rPr>
        <w:t>Ni relevantno.</w:t>
      </w:r>
    </w:p>
    <w:p w14:paraId="2D1C5984" w14:textId="77777777" w:rsidR="006C7F87" w:rsidRPr="009B5623" w:rsidRDefault="006C7F87" w:rsidP="0094068A">
      <w:pPr>
        <w:pStyle w:val="ManualHeading2"/>
        <w:rPr>
          <w:rFonts w:eastAsia="Arial Unicode MS"/>
          <w:noProof/>
          <w:u w:color="000000"/>
          <w:bdr w:val="nil"/>
        </w:rPr>
      </w:pPr>
      <w:r w:rsidRPr="009B5623">
        <w:rPr>
          <w:noProof/>
          <w:u w:color="000000"/>
          <w:bdr w:val="nil"/>
        </w:rPr>
        <w:t>•</w:t>
      </w:r>
      <w:r w:rsidRPr="009B5623">
        <w:rPr>
          <w:noProof/>
          <w:u w:color="000000"/>
          <w:bdr w:val="nil"/>
        </w:rPr>
        <w:tab/>
        <w:t>Obrazložitveni dokumenti (za direktive)</w:t>
      </w:r>
    </w:p>
    <w:p w14:paraId="33A2F332" w14:textId="77777777" w:rsidR="006A1E17" w:rsidRPr="009B5623" w:rsidRDefault="006A1E17" w:rsidP="006A1E17">
      <w:pPr>
        <w:pBdr>
          <w:top w:val="nil"/>
          <w:left w:val="nil"/>
          <w:bottom w:val="nil"/>
          <w:right w:val="nil"/>
          <w:between w:val="nil"/>
          <w:bar w:val="nil"/>
        </w:pBdr>
        <w:spacing w:before="0" w:after="240"/>
        <w:rPr>
          <w:rFonts w:eastAsia="Arial Unicode MS"/>
          <w:noProof/>
        </w:rPr>
      </w:pPr>
      <w:r w:rsidRPr="009B5623">
        <w:rPr>
          <w:noProof/>
        </w:rPr>
        <w:t>Obrazložitveni dokumenti niso potrebni.</w:t>
      </w:r>
    </w:p>
    <w:p w14:paraId="1C3D5683" w14:textId="7CE0BE1C" w:rsidR="006C7F87" w:rsidRPr="009B5623" w:rsidRDefault="006C7F87" w:rsidP="00DD2BEC">
      <w:pPr>
        <w:pStyle w:val="ManualHeading2"/>
        <w:rPr>
          <w:rFonts w:eastAsia="Arial Unicode MS"/>
          <w:noProof/>
          <w:u w:color="000000"/>
          <w:bdr w:val="nil"/>
        </w:rPr>
      </w:pPr>
      <w:r w:rsidRPr="009B5623">
        <w:rPr>
          <w:noProof/>
          <w:u w:color="000000"/>
          <w:bdr w:val="nil"/>
        </w:rPr>
        <w:t>•</w:t>
      </w:r>
      <w:r w:rsidRPr="009B5623">
        <w:rPr>
          <w:noProof/>
          <w:u w:color="000000"/>
          <w:bdr w:val="nil"/>
        </w:rPr>
        <w:tab/>
        <w:t>Natančnejša pojasnitev posameznih določb predloga</w:t>
      </w:r>
    </w:p>
    <w:p w14:paraId="782C9BD4" w14:textId="77777777" w:rsidR="00D1123F" w:rsidRPr="009B5623" w:rsidRDefault="00D1123F" w:rsidP="0057371C">
      <w:pPr>
        <w:spacing w:before="0" w:after="0"/>
        <w:rPr>
          <w:noProof/>
        </w:rPr>
      </w:pPr>
      <w:bookmarkStart w:id="2" w:name="_Hlk190089865"/>
      <w:r w:rsidRPr="009B5623">
        <w:rPr>
          <w:noProof/>
        </w:rPr>
        <w:t xml:space="preserve">Člen 1 spreminja člen 5(2) Direktive (EU) 2022/2464 (direktiva o poročanju podjetij o trajnostnosti) z uvedbo dvoletnega odloga za zahteve glede poročanja o trajnostnosti za vsa podjetja, ki spadajo na področje uporabe direktive o poročanju podjetij o trajnostnosti in ki jih morajo izpolnjevati od poslovnega leta 2025 ali 2026, odvisno od njihove velikosti. </w:t>
      </w:r>
    </w:p>
    <w:p w14:paraId="626315B7" w14:textId="77777777" w:rsidR="002C75E5" w:rsidRPr="009B5623" w:rsidRDefault="002C75E5" w:rsidP="0057371C">
      <w:pPr>
        <w:spacing w:before="0" w:after="0"/>
        <w:rPr>
          <w:noProof/>
        </w:rPr>
      </w:pPr>
      <w:r w:rsidRPr="009B5623">
        <w:rPr>
          <w:noProof/>
        </w:rPr>
        <w:t>Zlasti:</w:t>
      </w:r>
    </w:p>
    <w:p w14:paraId="0E44F782" w14:textId="77777777" w:rsidR="003D234B" w:rsidRPr="009B5623" w:rsidRDefault="00482FA2" w:rsidP="00DD2BEC">
      <w:pPr>
        <w:pStyle w:val="Tiret0"/>
        <w:rPr>
          <w:noProof/>
        </w:rPr>
      </w:pPr>
      <w:r w:rsidRPr="009B5623">
        <w:rPr>
          <w:noProof/>
        </w:rPr>
        <w:t>z odstavkom 1, točka (a), se od držav članic zahteva, da zagotovijo, da naslednja podjetja poročajo o trajnostnosti od poslovnih let, ki se začnejo 1. januarja 2027 (namesto 1. januarja 2025) ali pozneje:</w:t>
      </w:r>
    </w:p>
    <w:p w14:paraId="06D7EA88" w14:textId="77777777" w:rsidR="003D234B" w:rsidRPr="009B5623" w:rsidRDefault="00571B79" w:rsidP="00373936">
      <w:pPr>
        <w:pStyle w:val="Bullet0"/>
        <w:numPr>
          <w:ilvl w:val="0"/>
          <w:numId w:val="22"/>
        </w:numPr>
        <w:tabs>
          <w:tab w:val="clear" w:pos="850"/>
          <w:tab w:val="num" w:pos="1560"/>
        </w:tabs>
        <w:ind w:left="1276" w:hanging="425"/>
        <w:rPr>
          <w:noProof/>
        </w:rPr>
      </w:pPr>
      <w:r w:rsidRPr="009B5623">
        <w:rPr>
          <w:noProof/>
        </w:rPr>
        <w:t xml:space="preserve">velika podjetja s povprečno največ 500 zaposlenimi v poslovnem letu; </w:t>
      </w:r>
    </w:p>
    <w:p w14:paraId="244D0EA4" w14:textId="77777777" w:rsidR="003D234B" w:rsidRPr="009B5623" w:rsidRDefault="003D234B" w:rsidP="00DD2BEC">
      <w:pPr>
        <w:pStyle w:val="Bullet0"/>
        <w:tabs>
          <w:tab w:val="clear" w:pos="850"/>
          <w:tab w:val="num" w:pos="1560"/>
        </w:tabs>
        <w:ind w:left="1276" w:hanging="425"/>
        <w:rPr>
          <w:noProof/>
        </w:rPr>
      </w:pPr>
      <w:r w:rsidRPr="009B5623">
        <w:rPr>
          <w:noProof/>
        </w:rPr>
        <w:t xml:space="preserve">velika podjetja s povprečno več kot 500 zaposlenimi v poslovnem letu, ki niso subjekti javnega interesa; </w:t>
      </w:r>
    </w:p>
    <w:p w14:paraId="3B377C00" w14:textId="77777777" w:rsidR="00F83E1C" w:rsidRPr="009B5623" w:rsidRDefault="00F83E1C" w:rsidP="00DD2BEC">
      <w:pPr>
        <w:pStyle w:val="Bullet0"/>
        <w:tabs>
          <w:tab w:val="clear" w:pos="850"/>
          <w:tab w:val="num" w:pos="1560"/>
        </w:tabs>
        <w:ind w:left="1276" w:hanging="425"/>
        <w:rPr>
          <w:noProof/>
        </w:rPr>
      </w:pPr>
      <w:r w:rsidRPr="009B5623">
        <w:rPr>
          <w:noProof/>
        </w:rPr>
        <w:t>obvladujoča podjetja velike skupine s povprečno več kot 500 zaposlenimi v poslovnem letu na dan bilance stanja na konsolidirani podlagi;</w:t>
      </w:r>
    </w:p>
    <w:p w14:paraId="5A9CDE58" w14:textId="77777777" w:rsidR="003D234B" w:rsidRPr="009B5623" w:rsidRDefault="000A419A" w:rsidP="00DD2BEC">
      <w:pPr>
        <w:pStyle w:val="Bullet0"/>
        <w:tabs>
          <w:tab w:val="clear" w:pos="850"/>
          <w:tab w:val="num" w:pos="1560"/>
        </w:tabs>
        <w:ind w:left="1276" w:hanging="425"/>
        <w:rPr>
          <w:noProof/>
        </w:rPr>
      </w:pPr>
      <w:r w:rsidRPr="009B5623">
        <w:rPr>
          <w:noProof/>
        </w:rPr>
        <w:t>obvladujoča podjetja velike skupine s povprečno več kot 500 zaposlenimi v poslovnem letu na dan bilance stanja na konsolidirani podlagi, ki niso subjekti javnega interesa;</w:t>
      </w:r>
    </w:p>
    <w:p w14:paraId="4F0AC7B6" w14:textId="77777777" w:rsidR="00AE44DE" w:rsidRPr="009B5623" w:rsidRDefault="00996F14" w:rsidP="00DD2BEC">
      <w:pPr>
        <w:pStyle w:val="Tiret0"/>
        <w:rPr>
          <w:noProof/>
        </w:rPr>
      </w:pPr>
      <w:r w:rsidRPr="009B5623">
        <w:rPr>
          <w:noProof/>
        </w:rPr>
        <w:t xml:space="preserve">z odstavkom 1, točka (b), se od držav članic zahteva, da zagotovijo, da MSP z vrednostnimi papirji, sprejetimi v trgovanje na reguliranem trgu EU, majhne in nekompleksne institucije (če so velika podjetja ali MSP, ki kotirajo na borzi) ter lastne (po)zavarovalnice EU (če so velika podjetja ali MSP, ki kotirajo na borzi) poročajo o trajnostnosti od poslovnih let, ki se začnejo 1. januarja 2028 (namesto 1. januarja 2026) ali pozneje; </w:t>
      </w:r>
    </w:p>
    <w:p w14:paraId="6B9C609D" w14:textId="77777777" w:rsidR="00965588" w:rsidRPr="009B5623" w:rsidRDefault="00996F14" w:rsidP="00DD2BEC">
      <w:pPr>
        <w:pStyle w:val="Tiret0"/>
        <w:rPr>
          <w:noProof/>
        </w:rPr>
      </w:pPr>
      <w:r w:rsidRPr="009B5623">
        <w:rPr>
          <w:noProof/>
        </w:rPr>
        <w:t>z odstavkom 2, točka (a), se od držav članic zahteva, da zagotovijo, da naslednji izdajatelji poročajo o trajnostnosti od poslovnih let, ki se začnejo 1. januarja 2027 (namesto 1. januarja 2025) ali pozneje:</w:t>
      </w:r>
    </w:p>
    <w:p w14:paraId="69335C85" w14:textId="77777777" w:rsidR="001F18C1" w:rsidRPr="009B5623" w:rsidRDefault="009A2097" w:rsidP="00DD2BEC">
      <w:pPr>
        <w:pStyle w:val="Bullet0"/>
        <w:tabs>
          <w:tab w:val="clear" w:pos="850"/>
          <w:tab w:val="num" w:pos="1276"/>
        </w:tabs>
        <w:ind w:left="1276" w:hanging="425"/>
        <w:rPr>
          <w:noProof/>
        </w:rPr>
      </w:pPr>
      <w:r w:rsidRPr="009B5623">
        <w:rPr>
          <w:noProof/>
        </w:rPr>
        <w:t xml:space="preserve">izdajatelji, ki so velika podjetja s povprečno največ 500 zaposlenimi v poslovnem letu; </w:t>
      </w:r>
    </w:p>
    <w:p w14:paraId="72715353" w14:textId="77777777" w:rsidR="001F18C1" w:rsidRPr="009B5623" w:rsidRDefault="006E5885" w:rsidP="00DD2BEC">
      <w:pPr>
        <w:pStyle w:val="Bullet0"/>
        <w:tabs>
          <w:tab w:val="clear" w:pos="850"/>
          <w:tab w:val="num" w:pos="1276"/>
        </w:tabs>
        <w:ind w:left="1276" w:hanging="425"/>
        <w:rPr>
          <w:noProof/>
        </w:rPr>
      </w:pPr>
      <w:r w:rsidRPr="009B5623">
        <w:rPr>
          <w:noProof/>
        </w:rPr>
        <w:t>izdajatelji, ki so obvladujoča podjetja velike skupine s povprečno največ 500 zaposlenimi v poslovnem letu na konsolidirani podlagi;</w:t>
      </w:r>
    </w:p>
    <w:p w14:paraId="00967E68" w14:textId="77777777" w:rsidR="00965588" w:rsidRPr="009B5623" w:rsidRDefault="00996F14" w:rsidP="00DD2BEC">
      <w:pPr>
        <w:pStyle w:val="Tiret0"/>
        <w:rPr>
          <w:noProof/>
        </w:rPr>
      </w:pPr>
      <w:r w:rsidRPr="009B5623">
        <w:rPr>
          <w:noProof/>
        </w:rPr>
        <w:t xml:space="preserve">z odstavkom 2, točka (b), se od držav članic zahteva, da zagotovijo, da izdajatelji, ki so MSP, majhne in nekompleksne institucije (če so velika podjetja ali MSP, ki kotirajo na borzi) ter lastne (po)zavarovalnice EU (če so velika podjetja ali MSP, ki kotirajo na borzi), poročajo o trajnostnosti od poslovnih let, ki se začnejo 1. januarja 2028 (namesto 1. januarja 2026) ali pozneje. </w:t>
      </w:r>
    </w:p>
    <w:bookmarkEnd w:id="2"/>
    <w:p w14:paraId="287C1AF3" w14:textId="77777777" w:rsidR="00D1123F" w:rsidRPr="009B5623" w:rsidRDefault="00D1123F" w:rsidP="00044603">
      <w:pPr>
        <w:pStyle w:val="ListParagraph"/>
        <w:spacing w:before="0" w:after="0"/>
        <w:rPr>
          <w:noProof/>
        </w:rPr>
      </w:pPr>
    </w:p>
    <w:p w14:paraId="3C22947A" w14:textId="77777777" w:rsidR="00240611" w:rsidRPr="009B5623" w:rsidRDefault="00D1123F" w:rsidP="008E7E13">
      <w:pPr>
        <w:spacing w:before="0" w:after="0"/>
        <w:rPr>
          <w:noProof/>
        </w:rPr>
      </w:pPr>
      <w:r w:rsidRPr="009B5623">
        <w:rPr>
          <w:noProof/>
        </w:rPr>
        <w:t>Člen 2 spreminja člen 37 Direktive (EU) 2024/1760 (direktiva o skrbnem pregledu v podjetjih glede trajnostnosti) z odlogom roka za prenos in uporabe direktive za eno leto za prvo skupino podjetij, ki spadajo na področje uporabe direktive.</w:t>
      </w:r>
    </w:p>
    <w:p w14:paraId="15A6D424" w14:textId="77777777" w:rsidR="00AE5E8C" w:rsidRPr="009B5623" w:rsidRDefault="00AE5E8C" w:rsidP="00AE5E8C">
      <w:pPr>
        <w:spacing w:before="0" w:after="0"/>
        <w:jc w:val="left"/>
        <w:rPr>
          <w:noProof/>
        </w:rPr>
      </w:pPr>
    </w:p>
    <w:p w14:paraId="3C2533B5" w14:textId="77777777" w:rsidR="00D1123F" w:rsidRPr="009B5623" w:rsidRDefault="00D1123F" w:rsidP="004A73DD">
      <w:pPr>
        <w:spacing w:before="0" w:after="0"/>
        <w:rPr>
          <w:noProof/>
        </w:rPr>
      </w:pPr>
      <w:r w:rsidRPr="009B5623">
        <w:rPr>
          <w:noProof/>
        </w:rPr>
        <w:t xml:space="preserve">Člen 3 od držav članic zahteva, da najpozneje do 31. decembra 2025 prenesejo člen 1 te direktive in Komisiji sporočijo besedilo svojih ukrepov za prenos. </w:t>
      </w:r>
    </w:p>
    <w:p w14:paraId="7A3D7D4B" w14:textId="77777777" w:rsidR="00D4127B" w:rsidRPr="009B5623" w:rsidRDefault="00D4127B" w:rsidP="004A73DD">
      <w:pPr>
        <w:spacing w:before="0" w:after="0"/>
        <w:rPr>
          <w:noProof/>
        </w:rPr>
      </w:pPr>
    </w:p>
    <w:p w14:paraId="23FC9E95" w14:textId="77777777" w:rsidR="00F74219" w:rsidRPr="009B5623" w:rsidRDefault="00D1123F" w:rsidP="004A73DD">
      <w:pPr>
        <w:spacing w:before="0" w:after="0"/>
        <w:rPr>
          <w:noProof/>
        </w:rPr>
      </w:pPr>
      <w:r w:rsidRPr="009B5623">
        <w:rPr>
          <w:noProof/>
        </w:rPr>
        <w:t>Člen 4 določa, da ta direktiva začne veljati dan po objavi v </w:t>
      </w:r>
      <w:r w:rsidRPr="009B5623">
        <w:rPr>
          <w:i/>
          <w:noProof/>
        </w:rPr>
        <w:t>Uradnem listu Evropske unije</w:t>
      </w:r>
      <w:r w:rsidRPr="009B5623">
        <w:rPr>
          <w:noProof/>
        </w:rPr>
        <w:t>.</w:t>
      </w:r>
    </w:p>
    <w:p w14:paraId="2D5C892E" w14:textId="77777777" w:rsidR="006C7F87" w:rsidRPr="009B5623" w:rsidRDefault="00AA6233" w:rsidP="004A73DD">
      <w:pPr>
        <w:spacing w:before="0" w:after="0"/>
        <w:rPr>
          <w:noProof/>
        </w:rPr>
        <w:sectPr w:rsidR="006C7F87" w:rsidRPr="009B5623" w:rsidSect="0022615E">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pPr>
      <w:r w:rsidRPr="009B5623">
        <w:rPr>
          <w:noProof/>
        </w:rPr>
        <w:t xml:space="preserve"> </w:t>
      </w:r>
    </w:p>
    <w:p w14:paraId="0EC6F386" w14:textId="478E27C8" w:rsidR="001F5A76" w:rsidRPr="009B5623" w:rsidRDefault="009B5623" w:rsidP="009B5623">
      <w:pPr>
        <w:pStyle w:val="Rfrenceinterinstitutionnelle"/>
        <w:rPr>
          <w:noProof/>
        </w:rPr>
      </w:pPr>
      <w:r>
        <w:rPr>
          <w:noProof/>
        </w:rPr>
        <w:t>2025/0044 (COD)</w:t>
      </w:r>
    </w:p>
    <w:p w14:paraId="52077563" w14:textId="11C885B7" w:rsidR="006C7F87" w:rsidRPr="009B5623" w:rsidRDefault="009B5623" w:rsidP="009B5623">
      <w:pPr>
        <w:pStyle w:val="Statut"/>
        <w:rPr>
          <w:noProof/>
        </w:rPr>
      </w:pPr>
      <w:r w:rsidRPr="009B5623">
        <w:rPr>
          <w:noProof/>
        </w:rPr>
        <w:t>Predlog</w:t>
      </w:r>
    </w:p>
    <w:p w14:paraId="032F4257" w14:textId="27F4E4B4" w:rsidR="006C7F87" w:rsidRPr="009B5623" w:rsidRDefault="009B5623" w:rsidP="009B5623">
      <w:pPr>
        <w:pStyle w:val="Typedudocument"/>
        <w:rPr>
          <w:noProof/>
        </w:rPr>
      </w:pPr>
      <w:r w:rsidRPr="009B5623">
        <w:rPr>
          <w:noProof/>
        </w:rPr>
        <w:t>DIREKTIVA EVROPSKEGA PARLAMENTA IN SVETA</w:t>
      </w:r>
    </w:p>
    <w:p w14:paraId="4710C23F" w14:textId="295AB588" w:rsidR="006C7F87" w:rsidRPr="009B5623" w:rsidRDefault="009B5623" w:rsidP="009B5623">
      <w:pPr>
        <w:pStyle w:val="Titreobjet"/>
        <w:rPr>
          <w:noProof/>
        </w:rPr>
      </w:pPr>
      <w:r w:rsidRPr="009B5623">
        <w:rPr>
          <w:noProof/>
        </w:rPr>
        <w:t>o spremembi direktiv (EU) 2022/2464 in (EU) 2024/1760 glede datumov, od katerih morajo države članice uporabljati nekatere zahteve glede poročanja podjetij o trajnostnosti in skrbnega pregleda v podjetjih glede trajnostnosti</w:t>
      </w:r>
    </w:p>
    <w:p w14:paraId="68F8BF08" w14:textId="5B010564" w:rsidR="006D1D06" w:rsidRPr="009B5623" w:rsidRDefault="009B5623" w:rsidP="009B5623">
      <w:pPr>
        <w:pStyle w:val="IntrtEEE"/>
        <w:rPr>
          <w:noProof/>
        </w:rPr>
      </w:pPr>
      <w:r w:rsidRPr="009B5623">
        <w:rPr>
          <w:noProof/>
        </w:rPr>
        <w:t>(Besedilo velja za EGP)</w:t>
      </w:r>
    </w:p>
    <w:p w14:paraId="29C58613" w14:textId="77777777" w:rsidR="006C7F87" w:rsidRPr="009B5623" w:rsidRDefault="006C7F87" w:rsidP="0094068A">
      <w:pPr>
        <w:pStyle w:val="Institutionquiagit"/>
        <w:rPr>
          <w:noProof/>
        </w:rPr>
      </w:pPr>
      <w:r w:rsidRPr="009B5623">
        <w:rPr>
          <w:noProof/>
        </w:rPr>
        <w:t>EVROPSKI PARLAMENT IN SVET EVROPSKE UNIJE STA –</w:t>
      </w:r>
    </w:p>
    <w:p w14:paraId="19B55D86" w14:textId="77777777" w:rsidR="006C7F87" w:rsidRPr="009B5623" w:rsidRDefault="006C7F87" w:rsidP="0094068A">
      <w:pPr>
        <w:rPr>
          <w:noProof/>
        </w:rPr>
      </w:pPr>
      <w:r w:rsidRPr="009B5623">
        <w:rPr>
          <w:noProof/>
        </w:rPr>
        <w:t>ob upoštevanju Pogodbe o delovanju Evropske unije ter zlasti členov 50 in 114 Pogodbe,</w:t>
      </w:r>
    </w:p>
    <w:p w14:paraId="5DD19041" w14:textId="77777777" w:rsidR="006C7F87" w:rsidRPr="009B5623" w:rsidRDefault="006C7F87" w:rsidP="0094068A">
      <w:pPr>
        <w:rPr>
          <w:noProof/>
        </w:rPr>
      </w:pPr>
      <w:r w:rsidRPr="009B5623">
        <w:rPr>
          <w:noProof/>
        </w:rPr>
        <w:t>ob upoštevanju predloga Evropske komisije,</w:t>
      </w:r>
    </w:p>
    <w:p w14:paraId="4B97FEC1" w14:textId="77777777" w:rsidR="006C7F87" w:rsidRPr="009B5623" w:rsidRDefault="006C7F87" w:rsidP="0094068A">
      <w:pPr>
        <w:rPr>
          <w:noProof/>
        </w:rPr>
      </w:pPr>
      <w:r w:rsidRPr="009B5623">
        <w:rPr>
          <w:noProof/>
        </w:rPr>
        <w:t>po posredovanju osnutka zakonodajnega akta nacionalnim parlamentom,</w:t>
      </w:r>
    </w:p>
    <w:p w14:paraId="21151698" w14:textId="77777777" w:rsidR="006C7F87" w:rsidRPr="009B5623" w:rsidRDefault="006C7F87" w:rsidP="0094068A">
      <w:pPr>
        <w:rPr>
          <w:noProof/>
        </w:rPr>
      </w:pPr>
      <w:r w:rsidRPr="009B5623">
        <w:rPr>
          <w:noProof/>
        </w:rPr>
        <w:t>ob upoštevanju mnenja Evropskega ekonomsko-socialnega odbora</w:t>
      </w:r>
      <w:r w:rsidRPr="009B5623">
        <w:rPr>
          <w:rStyle w:val="FootnoteReference"/>
          <w:noProof/>
        </w:rPr>
        <w:footnoteReference w:id="19"/>
      </w:r>
      <w:r w:rsidRPr="009B5623">
        <w:rPr>
          <w:noProof/>
        </w:rPr>
        <w:t xml:space="preserve">, </w:t>
      </w:r>
    </w:p>
    <w:p w14:paraId="41108EF3" w14:textId="77777777" w:rsidR="006C7F87" w:rsidRPr="009B5623" w:rsidRDefault="006C7F87" w:rsidP="0094068A">
      <w:pPr>
        <w:rPr>
          <w:noProof/>
        </w:rPr>
      </w:pPr>
      <w:r w:rsidRPr="009B5623">
        <w:rPr>
          <w:noProof/>
        </w:rPr>
        <w:t>v skladu z rednim zakonodajnim postopkom,</w:t>
      </w:r>
    </w:p>
    <w:p w14:paraId="3348CFED" w14:textId="77777777" w:rsidR="006C7F87" w:rsidRPr="009B5623" w:rsidRDefault="006C7F87" w:rsidP="0094068A">
      <w:pPr>
        <w:rPr>
          <w:noProof/>
        </w:rPr>
      </w:pPr>
      <w:r w:rsidRPr="009B5623">
        <w:rPr>
          <w:noProof/>
        </w:rPr>
        <w:t>ob upoštevanju naslednjega:</w:t>
      </w:r>
    </w:p>
    <w:p w14:paraId="0B5D942A" w14:textId="4CBF0C4B" w:rsidR="00D93D4A" w:rsidRPr="009B5623" w:rsidRDefault="00157C1D" w:rsidP="00157C1D">
      <w:pPr>
        <w:pStyle w:val="ManualConsidrant"/>
        <w:rPr>
          <w:noProof/>
        </w:rPr>
      </w:pPr>
      <w:r w:rsidRPr="00157C1D">
        <w:rPr>
          <w:noProof/>
        </w:rPr>
        <w:t>(1)</w:t>
      </w:r>
      <w:r w:rsidRPr="00157C1D">
        <w:rPr>
          <w:noProof/>
        </w:rPr>
        <w:tab/>
      </w:r>
      <w:r w:rsidR="3B0C1D98" w:rsidRPr="009B5623">
        <w:rPr>
          <w:noProof/>
        </w:rPr>
        <w:t>Komisija je v svojem sporočilu z dne 11. februarja 2025 z naslovom Enostavnejša in hitrejša Evropa: Sporočilo o izvajanju in poenostavitvi</w:t>
      </w:r>
      <w:r w:rsidR="00F06FCD" w:rsidRPr="009B5623">
        <w:rPr>
          <w:rStyle w:val="FootnoteReference"/>
          <w:noProof/>
        </w:rPr>
        <w:footnoteReference w:id="20"/>
      </w:r>
      <w:r w:rsidR="3B0C1D98" w:rsidRPr="009B5623">
        <w:rPr>
          <w:noProof/>
        </w:rPr>
        <w:t xml:space="preserve"> določila vizijo programa izvajanja in poenostavitve, ki prinaša hitre in vidne izboljšave za ljudi in podjetja na terenu. Za to ne zadostuje postopen pristop, Unija mora za dosego tega cilja ukrepati drzno. Komisija, Evropski parlament, Svet, organi držav članic na vseh ravneh in deležniki morajo sodelovati, da bi se racionalizirala in poenostavila pravila Unije ter nacionalna in regionalna pravila ter da bi se politike učinkoviteje izvajale.</w:t>
      </w:r>
    </w:p>
    <w:p w14:paraId="2009B34D" w14:textId="456EF523" w:rsidR="006C7F87" w:rsidRPr="009B5623" w:rsidRDefault="00157C1D" w:rsidP="00157C1D">
      <w:pPr>
        <w:pStyle w:val="ManualConsidrant"/>
        <w:rPr>
          <w:noProof/>
        </w:rPr>
      </w:pPr>
      <w:r w:rsidRPr="00157C1D">
        <w:rPr>
          <w:noProof/>
        </w:rPr>
        <w:t>(2)</w:t>
      </w:r>
      <w:r w:rsidRPr="00157C1D">
        <w:rPr>
          <w:noProof/>
        </w:rPr>
        <w:tab/>
      </w:r>
      <w:r w:rsidR="6C848968" w:rsidRPr="009B5623">
        <w:rPr>
          <w:noProof/>
        </w:rPr>
        <w:t>V okviru zaveze Komisije, da bo zmanjšala bremena poročanja in povečala konkurenčnost, je treba uvesti ciljno usmerjene spremembe direktiv (EU) 2022/2464</w:t>
      </w:r>
      <w:r w:rsidR="0005409B" w:rsidRPr="009B5623">
        <w:rPr>
          <w:rStyle w:val="FootnoteReference"/>
          <w:noProof/>
        </w:rPr>
        <w:footnoteReference w:id="21"/>
      </w:r>
      <w:r w:rsidR="6C848968" w:rsidRPr="009B5623">
        <w:rPr>
          <w:noProof/>
        </w:rPr>
        <w:t xml:space="preserve"> in (EU) 2024/1760</w:t>
      </w:r>
      <w:r w:rsidR="005C7196" w:rsidRPr="009B5623">
        <w:rPr>
          <w:rStyle w:val="FootnoteReference"/>
          <w:noProof/>
        </w:rPr>
        <w:footnoteReference w:id="22"/>
      </w:r>
      <w:r w:rsidR="6C848968" w:rsidRPr="009B5623">
        <w:rPr>
          <w:noProof/>
        </w:rPr>
        <w:t xml:space="preserve"> Evropskega parlamenta in Sveta, da bi dosegli ta cilja, hkrati pa ohranili cilje politike iz zelenega dogovora</w:t>
      </w:r>
      <w:r w:rsidR="00E6553B" w:rsidRPr="009B5623">
        <w:rPr>
          <w:rStyle w:val="FootnoteReference"/>
          <w:noProof/>
        </w:rPr>
        <w:footnoteReference w:id="23"/>
      </w:r>
      <w:r w:rsidR="6C848968" w:rsidRPr="009B5623">
        <w:rPr>
          <w:noProof/>
        </w:rPr>
        <w:t xml:space="preserve"> in akcijskega načrta za financiranje trajnostne rasti</w:t>
      </w:r>
      <w:r w:rsidR="005C7196" w:rsidRPr="009B5623">
        <w:rPr>
          <w:rStyle w:val="FootnoteReference"/>
          <w:noProof/>
        </w:rPr>
        <w:footnoteReference w:id="24"/>
      </w:r>
      <w:r w:rsidR="6C848968" w:rsidRPr="009B5623">
        <w:rPr>
          <w:noProof/>
        </w:rPr>
        <w:t xml:space="preserve">. </w:t>
      </w:r>
    </w:p>
    <w:p w14:paraId="2F30529C" w14:textId="0C1CBC42" w:rsidR="006C7F87" w:rsidRPr="009B5623" w:rsidRDefault="00157C1D" w:rsidP="00157C1D">
      <w:pPr>
        <w:pStyle w:val="ManualConsidrant"/>
        <w:rPr>
          <w:noProof/>
        </w:rPr>
      </w:pPr>
      <w:r w:rsidRPr="00157C1D">
        <w:rPr>
          <w:noProof/>
        </w:rPr>
        <w:t>(3)</w:t>
      </w:r>
      <w:r w:rsidRPr="00157C1D">
        <w:rPr>
          <w:noProof/>
        </w:rPr>
        <w:tab/>
      </w:r>
      <w:r w:rsidR="58D6BACA" w:rsidRPr="009B5623">
        <w:rPr>
          <w:noProof/>
        </w:rPr>
        <w:t>Člen 5(2), prvi pododstavek, Direktive (EU) 2022/2464 določa datume, od katerih morajo države članice uporabljati zahteve glede poročanja o trajnostnosti iz Direktive 2013/34/EU Evropskega parlamenta in Sveta</w:t>
      </w:r>
      <w:r w:rsidR="0015348C" w:rsidRPr="009B5623">
        <w:rPr>
          <w:rStyle w:val="FootnoteReference"/>
          <w:noProof/>
        </w:rPr>
        <w:footnoteReference w:id="25"/>
      </w:r>
      <w:r w:rsidR="58D6BACA" w:rsidRPr="009B5623">
        <w:rPr>
          <w:noProof/>
        </w:rPr>
        <w:t>, pri čemer so datumi različni glede na velikost zadevnega podjetja. Velika podjetja, ki so subjekti javnega interesa, s povprečno več kot 500 zaposlenimi v poslovnem letu, in subjekti javnega interesa, ki so obvladujoča podjetja velike skupine, s povprečno več kot 500 zaposlenimi v poslovnem letu na dan bilance stanja na konsolidirani podlagi, morajo leta 2025 poročati za poslovna leta, ki se začnejo 1. januarja 2024 ali pozneje. Druga velika podjetja in druga obvladujoča podjetja velike skupine morajo poročati leta 2026 za poslovna leta, ki se začnejo 1. januarja 2025 ali pozneje. Mala in srednja podjetja – razen mikropodjetij –, majhne in nekompleksne institucije ter lastne (po)zavarovalnice morajo poročati leta 2027 za poslovna leta, ki se začnejo 1. januarja 2026 ali pozneje. Glede na tekoče pobude Komisije za poenostavitev nekaterih obstoječih obveznosti poročanja o trajnostnosti ter za zmanjšanje povezanega upravnega bremena podjetij, zagotovitev pravne jasnosti in preprečitev, da bi podjetja, od katerih se trenutno zahteva, da poročajo za poslovna leta, ki se začnejo 1. januarja 2025 ali pozneje oziroma 1. januarja 2026 ali pozneje, imela nepotrebne stroške, ki bi se jim bilo mogoče izogniti, bi bilo treba zahteve glede poročanja o trajnostnosti za ta podjetja odložiti za dve leti.</w:t>
      </w:r>
    </w:p>
    <w:p w14:paraId="6BDE0901" w14:textId="2B58E382" w:rsidR="00C7534A" w:rsidRPr="009B5623" w:rsidRDefault="00157C1D" w:rsidP="00157C1D">
      <w:pPr>
        <w:pStyle w:val="ManualConsidrant"/>
        <w:rPr>
          <w:noProof/>
          <w:sz w:val="22"/>
        </w:rPr>
      </w:pPr>
      <w:r w:rsidRPr="00157C1D">
        <w:rPr>
          <w:noProof/>
        </w:rPr>
        <w:t>(4)</w:t>
      </w:r>
      <w:r w:rsidRPr="00157C1D">
        <w:rPr>
          <w:noProof/>
        </w:rPr>
        <w:tab/>
      </w:r>
      <w:r w:rsidR="64BE5097" w:rsidRPr="009B5623">
        <w:rPr>
          <w:noProof/>
        </w:rPr>
        <w:t>Člen 5(2), tretji pododstavek, Direktive (EU) 2022/2464 določa datume, od katerih morajo države članice uporabljati zahteve glede poročanja o trajnostnosti iz Direktive 2004/109/ES Evropskega parlamenta in Sveta</w:t>
      </w:r>
      <w:r w:rsidR="007B433C" w:rsidRPr="009B5623">
        <w:rPr>
          <w:rStyle w:val="FootnoteReference"/>
          <w:noProof/>
        </w:rPr>
        <w:footnoteReference w:id="26"/>
      </w:r>
      <w:r w:rsidR="64BE5097" w:rsidRPr="009B5623">
        <w:rPr>
          <w:noProof/>
        </w:rPr>
        <w:t xml:space="preserve">, pri čemer so datumi različni glede na velikost zadevnega izdajatelja. Izdajatelji, ki so velika podjetja, s povprečno več kot 500 zaposlenimi v poslovnem letu, in izdajatelji, ki so obvladujoča podjetja velike skupine, s povprečno več kot 500 zaposlenimi v poslovnem letu na dan bilance stanja na konsolidirani podlagi, morajo leta 2025 poročati za poslovna leta, ki se začnejo 1. januarja 2024 ali pozneje. Drugi izdajatelji, ki so velika podjetja, in drugi izdajatelji, ki so obvladujoča podjetja velike skupine, morajo poročati leta 2026 za poslovna leta, ki se začnejo 1. januarja 2025 ali pozneje. Izdajatelji, ki so mala in srednja podjetja – razen mikropodjetij –, majhne in nekompleksne institucije ter lastne (po)zavarovalnice morajo poročati leta 2027 za poslovna leta, ki se začnejo 1. januarja 2026 ali pozneje. Glede na tekoče pobude Komisije za poenostavitev nekaterih obstoječih obveznosti poročanja o trajnostnosti ter za zmanjšanje povezanega upravnega bremena podjetij, zagotovitev pravne jasnosti in preprečitev, da bi izdajatelji, od katerih se trenutno zahteva, da poročajo za poslovna leta, ki se začnejo 1. januarja 2025 ali pozneje in 1. januarja 2026 ali pozneje, imeli nepotrebne stroške, ki bi se jim bilo mogoče izogniti, bi bilo treba zahteve glede poročanja o trajnostnosti za te izdajatelje odložiti za dve leti. </w:t>
      </w:r>
    </w:p>
    <w:p w14:paraId="400C5F81" w14:textId="2AB2E070" w:rsidR="00C7534A" w:rsidRPr="009B5623" w:rsidRDefault="00157C1D" w:rsidP="00157C1D">
      <w:pPr>
        <w:pStyle w:val="ManualConsidrant"/>
        <w:rPr>
          <w:noProof/>
          <w:sz w:val="22"/>
        </w:rPr>
      </w:pPr>
      <w:r w:rsidRPr="00157C1D">
        <w:rPr>
          <w:noProof/>
        </w:rPr>
        <w:t>(5)</w:t>
      </w:r>
      <w:r w:rsidRPr="00157C1D">
        <w:rPr>
          <w:noProof/>
        </w:rPr>
        <w:tab/>
      </w:r>
      <w:r w:rsidR="1E77F9F9" w:rsidRPr="009B5623">
        <w:rPr>
          <w:noProof/>
        </w:rPr>
        <w:t>Datum, do katerega morajo države članice začeti uporabljati Direktivo 2024/1760, bi bilo treba odložiti za eno leto za prvo skupino podjetij, ki spadajo na področje uporabe navedene direktive, da se podjetjem zagotovi več časa za pripravo na zahteve iz navedene direktive in da se jim omogoči, da upoštevajo smernice, ki jih bo izdala Komisija, o tem, kako bi morala v praksi izpolnjevati svoje obveznosti skrbnega pregleda.</w:t>
      </w:r>
    </w:p>
    <w:p w14:paraId="35B8A052" w14:textId="501758B4" w:rsidR="002E2D55" w:rsidRPr="009B5623" w:rsidRDefault="00157C1D" w:rsidP="00157C1D">
      <w:pPr>
        <w:pStyle w:val="ManualConsidrant"/>
        <w:rPr>
          <w:noProof/>
        </w:rPr>
      </w:pPr>
      <w:r w:rsidRPr="00157C1D">
        <w:rPr>
          <w:noProof/>
        </w:rPr>
        <w:t>(6)</w:t>
      </w:r>
      <w:r w:rsidRPr="00157C1D">
        <w:rPr>
          <w:noProof/>
        </w:rPr>
        <w:tab/>
      </w:r>
      <w:r w:rsidR="1E77F9F9" w:rsidRPr="009B5623">
        <w:rPr>
          <w:noProof/>
        </w:rPr>
        <w:t>Poleg tega bi bilo treba glede na vzporedni zakonodajni predlog, katerega cilj je poenostavitev okvira za trajnostnost in zmanjšanje bremen za podjetja, rok, do katerega morajo države članice prenesti Direktivo 2024/1760, podaljšati za eno leto, da bi se upoštevale morebitne zamude pri njihovih tekočih prizadevanjih za prenos zaradi morebitnih sprememb navedene direktive.</w:t>
      </w:r>
    </w:p>
    <w:p w14:paraId="06EB3612" w14:textId="52062070" w:rsidR="002E2D55" w:rsidRPr="009B5623" w:rsidRDefault="00157C1D" w:rsidP="00157C1D">
      <w:pPr>
        <w:pStyle w:val="ManualConsidrant"/>
        <w:rPr>
          <w:noProof/>
        </w:rPr>
      </w:pPr>
      <w:r w:rsidRPr="00157C1D">
        <w:rPr>
          <w:noProof/>
        </w:rPr>
        <w:t>(7)</w:t>
      </w:r>
      <w:r w:rsidRPr="00157C1D">
        <w:rPr>
          <w:noProof/>
        </w:rPr>
        <w:tab/>
      </w:r>
      <w:r w:rsidR="5260DB5D" w:rsidRPr="009B5623">
        <w:rPr>
          <w:noProof/>
          <w:shd w:val="clear" w:color="auto" w:fill="FFFFFF"/>
        </w:rPr>
        <w:t>Ker ciljev te direktive države članice ne morejo zadovoljivo doseči, temveč se zaradi obsega ali učinkov predlaganega ukrepa lažje dosežejo na ravni Unije, lahko Unija sprejme ukrepe v skladu z načelom subsidiarnosti iz člena 5 Pogodbe o Evropski uniji. V skladu z načelom sorazmernosti iz navedenega člena ta direktiva ne presega tistega, kar je potrebno za doseganje navedenih ciljev.</w:t>
      </w:r>
    </w:p>
    <w:p w14:paraId="08860092" w14:textId="1755CF80" w:rsidR="00922DE6" w:rsidRPr="009B5623" w:rsidRDefault="00157C1D" w:rsidP="00157C1D">
      <w:pPr>
        <w:pStyle w:val="ManualConsidrant"/>
        <w:rPr>
          <w:noProof/>
        </w:rPr>
      </w:pPr>
      <w:r w:rsidRPr="00157C1D">
        <w:rPr>
          <w:noProof/>
        </w:rPr>
        <w:t>(8)</w:t>
      </w:r>
      <w:r w:rsidRPr="00157C1D">
        <w:rPr>
          <w:noProof/>
        </w:rPr>
        <w:tab/>
      </w:r>
      <w:r w:rsidR="5260DB5D" w:rsidRPr="009B5623">
        <w:rPr>
          <w:noProof/>
        </w:rPr>
        <w:t>Direktivi (EU) 2022/2464 in (EU) 2024/1760 bi bilo zato treba ustrezno spremeniti.</w:t>
      </w:r>
    </w:p>
    <w:p w14:paraId="17D0A514" w14:textId="4B79B65C" w:rsidR="002E2D55" w:rsidRPr="009B5623" w:rsidRDefault="00157C1D" w:rsidP="00157C1D">
      <w:pPr>
        <w:pStyle w:val="ManualConsidrant"/>
        <w:rPr>
          <w:noProof/>
        </w:rPr>
      </w:pPr>
      <w:r w:rsidRPr="00157C1D">
        <w:rPr>
          <w:noProof/>
        </w:rPr>
        <w:t>(9)</w:t>
      </w:r>
      <w:r w:rsidRPr="00157C1D">
        <w:rPr>
          <w:noProof/>
        </w:rPr>
        <w:tab/>
      </w:r>
      <w:r w:rsidR="4D4898BF" w:rsidRPr="009B5623">
        <w:rPr>
          <w:noProof/>
        </w:rPr>
        <w:t>Ta direktiva bi morala zaradi nujnosti in za čimprejšnjo zagotovitev pravne varnosti začeti veljati dan po objavi –</w:t>
      </w:r>
    </w:p>
    <w:p w14:paraId="3A59A10B" w14:textId="77777777" w:rsidR="006C7F87" w:rsidRPr="009B5623" w:rsidRDefault="006C7F87" w:rsidP="0094068A">
      <w:pPr>
        <w:pStyle w:val="Formuledadoption"/>
        <w:rPr>
          <w:noProof/>
        </w:rPr>
      </w:pPr>
      <w:r w:rsidRPr="009B5623">
        <w:rPr>
          <w:noProof/>
        </w:rPr>
        <w:t>SPREJELA NASLEDNJO DIREKTIVO:</w:t>
      </w:r>
    </w:p>
    <w:p w14:paraId="1B84065B" w14:textId="77777777" w:rsidR="006C7F87" w:rsidRPr="009B5623" w:rsidRDefault="006C7F87" w:rsidP="0094068A">
      <w:pPr>
        <w:pStyle w:val="Titrearticle"/>
        <w:rPr>
          <w:noProof/>
        </w:rPr>
      </w:pPr>
      <w:r w:rsidRPr="009B5623">
        <w:rPr>
          <w:noProof/>
        </w:rPr>
        <w:t>Člen 1</w:t>
      </w:r>
    </w:p>
    <w:p w14:paraId="32F47EFE" w14:textId="77777777" w:rsidR="006C7F87" w:rsidRPr="009B5623" w:rsidRDefault="001C785F" w:rsidP="000D5AA7">
      <w:pPr>
        <w:pStyle w:val="Titrearticle"/>
        <w:rPr>
          <w:b/>
          <w:bCs/>
          <w:i w:val="0"/>
          <w:iCs/>
          <w:noProof/>
        </w:rPr>
      </w:pPr>
      <w:r w:rsidRPr="009B5623">
        <w:rPr>
          <w:b/>
          <w:i w:val="0"/>
          <w:noProof/>
        </w:rPr>
        <w:t>Spremembe Direktive (EU) 2022/2464</w:t>
      </w:r>
    </w:p>
    <w:p w14:paraId="68B89702" w14:textId="77777777" w:rsidR="000D5AA7" w:rsidRPr="009B5623" w:rsidRDefault="000C13CE" w:rsidP="000D5AA7">
      <w:pPr>
        <w:rPr>
          <w:noProof/>
        </w:rPr>
      </w:pPr>
      <w:r w:rsidRPr="009B5623">
        <w:rPr>
          <w:noProof/>
        </w:rPr>
        <w:t>V Direktivi (EU) 2022/2464 se člen 5(2) spremeni:</w:t>
      </w:r>
    </w:p>
    <w:p w14:paraId="0C862589" w14:textId="546F4367" w:rsidR="00922DE6" w:rsidRPr="009B5623" w:rsidRDefault="00157C1D" w:rsidP="00157C1D">
      <w:pPr>
        <w:pStyle w:val="Point0"/>
        <w:rPr>
          <w:noProof/>
        </w:rPr>
      </w:pPr>
      <w:r w:rsidRPr="00157C1D">
        <w:rPr>
          <w:noProof/>
        </w:rPr>
        <w:t>(1)</w:t>
      </w:r>
      <w:r w:rsidRPr="00157C1D">
        <w:rPr>
          <w:noProof/>
        </w:rPr>
        <w:tab/>
      </w:r>
      <w:r w:rsidR="0059025E" w:rsidRPr="009B5623">
        <w:rPr>
          <w:noProof/>
        </w:rPr>
        <w:t>prvi pododstavek se spremeni:</w:t>
      </w:r>
    </w:p>
    <w:p w14:paraId="115AAB46" w14:textId="56108FF3" w:rsidR="00820DCA" w:rsidRPr="009B5623" w:rsidRDefault="00157C1D" w:rsidP="00157C1D">
      <w:pPr>
        <w:pStyle w:val="Point1"/>
        <w:rPr>
          <w:noProof/>
        </w:rPr>
      </w:pPr>
      <w:r w:rsidRPr="00157C1D">
        <w:rPr>
          <w:noProof/>
        </w:rPr>
        <w:t>(a)</w:t>
      </w:r>
      <w:r w:rsidRPr="00157C1D">
        <w:rPr>
          <w:noProof/>
        </w:rPr>
        <w:tab/>
      </w:r>
      <w:r w:rsidR="00922DE6" w:rsidRPr="009B5623">
        <w:rPr>
          <w:noProof/>
        </w:rPr>
        <w:t>v točki (b) se uvodno besedilo nadomesti z naslednjim:</w:t>
      </w:r>
    </w:p>
    <w:p w14:paraId="5E69603D" w14:textId="77777777" w:rsidR="00820DCA" w:rsidRPr="009B5623" w:rsidRDefault="00820DCA" w:rsidP="000A30FC">
      <w:pPr>
        <w:ind w:left="1418"/>
        <w:rPr>
          <w:noProof/>
        </w:rPr>
      </w:pPr>
      <w:r w:rsidRPr="009B5623">
        <w:rPr>
          <w:noProof/>
        </w:rPr>
        <w:t>„za poslovna leta, ki se začnejo 1. januarja 2027 ali pozneje:“;</w:t>
      </w:r>
    </w:p>
    <w:p w14:paraId="0B9DECC3" w14:textId="511963A5" w:rsidR="00573C2F" w:rsidRPr="009B5623" w:rsidRDefault="00157C1D" w:rsidP="00157C1D">
      <w:pPr>
        <w:pStyle w:val="Point1"/>
        <w:rPr>
          <w:noProof/>
        </w:rPr>
      </w:pPr>
      <w:r w:rsidRPr="00157C1D">
        <w:rPr>
          <w:noProof/>
        </w:rPr>
        <w:t>(b)</w:t>
      </w:r>
      <w:r w:rsidRPr="00157C1D">
        <w:rPr>
          <w:noProof/>
        </w:rPr>
        <w:tab/>
      </w:r>
      <w:r w:rsidR="007C593B" w:rsidRPr="009B5623">
        <w:rPr>
          <w:noProof/>
        </w:rPr>
        <w:t>v točki (c) se uvodno besedilo nadomesti z naslednjim:</w:t>
      </w:r>
    </w:p>
    <w:p w14:paraId="4490BE32" w14:textId="77777777" w:rsidR="00573C2F" w:rsidRPr="009B5623" w:rsidRDefault="00573C2F" w:rsidP="000A30FC">
      <w:pPr>
        <w:ind w:left="1418"/>
        <w:rPr>
          <w:noProof/>
        </w:rPr>
      </w:pPr>
      <w:r w:rsidRPr="009B5623">
        <w:rPr>
          <w:noProof/>
        </w:rPr>
        <w:t>„za poslovna leta, ki se začnejo 1. januarja 2028 ali pozneje:“;</w:t>
      </w:r>
    </w:p>
    <w:p w14:paraId="7FDD5755" w14:textId="489E8018" w:rsidR="000869E9" w:rsidRPr="009B5623" w:rsidRDefault="00157C1D" w:rsidP="00157C1D">
      <w:pPr>
        <w:pStyle w:val="Point0"/>
        <w:rPr>
          <w:noProof/>
        </w:rPr>
      </w:pPr>
      <w:r w:rsidRPr="00157C1D">
        <w:rPr>
          <w:noProof/>
        </w:rPr>
        <w:t>(2)</w:t>
      </w:r>
      <w:r w:rsidRPr="00157C1D">
        <w:rPr>
          <w:noProof/>
        </w:rPr>
        <w:tab/>
      </w:r>
      <w:r w:rsidR="0059025E" w:rsidRPr="009B5623">
        <w:rPr>
          <w:noProof/>
        </w:rPr>
        <w:t>tretji pododstavek se spremeni:</w:t>
      </w:r>
    </w:p>
    <w:p w14:paraId="696C498B" w14:textId="09B0399A" w:rsidR="00573C2F" w:rsidRPr="009B5623" w:rsidRDefault="00157C1D" w:rsidP="00157C1D">
      <w:pPr>
        <w:pStyle w:val="Point1"/>
        <w:rPr>
          <w:noProof/>
        </w:rPr>
      </w:pPr>
      <w:r w:rsidRPr="00157C1D">
        <w:rPr>
          <w:noProof/>
        </w:rPr>
        <w:t>(a)</w:t>
      </w:r>
      <w:r w:rsidRPr="00157C1D">
        <w:rPr>
          <w:noProof/>
        </w:rPr>
        <w:tab/>
      </w:r>
      <w:r w:rsidR="003F368B" w:rsidRPr="009B5623">
        <w:rPr>
          <w:noProof/>
        </w:rPr>
        <w:t>v točki (b) se uvodno besedilo nadomesti z naslednjim:</w:t>
      </w:r>
    </w:p>
    <w:p w14:paraId="7A4E4876" w14:textId="77777777" w:rsidR="00573C2F" w:rsidRPr="009B5623" w:rsidRDefault="00573C2F" w:rsidP="000A30FC">
      <w:pPr>
        <w:ind w:left="1418"/>
        <w:rPr>
          <w:noProof/>
        </w:rPr>
      </w:pPr>
      <w:r w:rsidRPr="009B5623">
        <w:rPr>
          <w:noProof/>
        </w:rPr>
        <w:t>„za poslovna leta, ki se začnejo 1. januarja 2027 ali pozneje:“;</w:t>
      </w:r>
    </w:p>
    <w:p w14:paraId="283ED772" w14:textId="2F69D229" w:rsidR="00573C2F" w:rsidRPr="009B5623" w:rsidRDefault="00157C1D" w:rsidP="00157C1D">
      <w:pPr>
        <w:pStyle w:val="Point1"/>
        <w:rPr>
          <w:noProof/>
        </w:rPr>
      </w:pPr>
      <w:r w:rsidRPr="00157C1D">
        <w:rPr>
          <w:noProof/>
        </w:rPr>
        <w:t>(b)</w:t>
      </w:r>
      <w:r w:rsidRPr="00157C1D">
        <w:rPr>
          <w:noProof/>
        </w:rPr>
        <w:tab/>
      </w:r>
      <w:r w:rsidR="003F368B" w:rsidRPr="009B5623">
        <w:rPr>
          <w:noProof/>
        </w:rPr>
        <w:t>v točki (c) se uvodno besedilo nadomesti z naslednjim:</w:t>
      </w:r>
    </w:p>
    <w:p w14:paraId="0DDBFE91" w14:textId="77777777" w:rsidR="00573C2F" w:rsidRPr="009B5623" w:rsidRDefault="00573C2F" w:rsidP="000A30FC">
      <w:pPr>
        <w:ind w:left="1418"/>
        <w:rPr>
          <w:noProof/>
        </w:rPr>
      </w:pPr>
      <w:r w:rsidRPr="009B5623">
        <w:rPr>
          <w:noProof/>
        </w:rPr>
        <w:t>„za poslovna leta, ki se začnejo 1. januarja 2028 ali pozneje:“.</w:t>
      </w:r>
    </w:p>
    <w:p w14:paraId="4BC1C576" w14:textId="77777777" w:rsidR="000D5AA7" w:rsidRPr="009B5623" w:rsidRDefault="000D5AA7" w:rsidP="000D5AA7">
      <w:pPr>
        <w:pStyle w:val="Titrearticle"/>
        <w:rPr>
          <w:noProof/>
        </w:rPr>
      </w:pPr>
      <w:r w:rsidRPr="009B5623">
        <w:rPr>
          <w:noProof/>
        </w:rPr>
        <w:t>Člen 2</w:t>
      </w:r>
    </w:p>
    <w:p w14:paraId="63C10FF7" w14:textId="77777777" w:rsidR="000D5AA7" w:rsidRPr="009B5623" w:rsidRDefault="000D5AA7" w:rsidP="000D5AA7">
      <w:pPr>
        <w:pStyle w:val="Titrearticle"/>
        <w:rPr>
          <w:b/>
          <w:bCs/>
          <w:i w:val="0"/>
          <w:iCs/>
          <w:noProof/>
        </w:rPr>
      </w:pPr>
      <w:r w:rsidRPr="009B5623">
        <w:rPr>
          <w:b/>
          <w:i w:val="0"/>
          <w:noProof/>
        </w:rPr>
        <w:t>Spremembe Direktive (EU) 2024/1760</w:t>
      </w:r>
    </w:p>
    <w:p w14:paraId="008E573E" w14:textId="77777777" w:rsidR="00046A65" w:rsidRPr="009B5623" w:rsidRDefault="003D2B3B" w:rsidP="00EA3B38">
      <w:pPr>
        <w:rPr>
          <w:noProof/>
        </w:rPr>
      </w:pPr>
      <w:r w:rsidRPr="009B5623">
        <w:rPr>
          <w:noProof/>
        </w:rPr>
        <w:t>V členu 37(1) Direktive (EU) 2024/1760 se prvi in drugi pododstavek nadomestita z naslednjim:</w:t>
      </w:r>
    </w:p>
    <w:p w14:paraId="6FB59733" w14:textId="77777777" w:rsidR="00046A65" w:rsidRPr="009B5623" w:rsidRDefault="00ED6798" w:rsidP="002002BC">
      <w:pPr>
        <w:rPr>
          <w:noProof/>
        </w:rPr>
      </w:pPr>
      <w:r w:rsidRPr="009B5623">
        <w:rPr>
          <w:noProof/>
        </w:rPr>
        <w:t>„Države članice sprejmejo in objavijo zakone in druge predpise, potrebne za uskladitev s to direktivo, do 26. julija 2027. Komisiji takoj sporočijo besedilo teh predpisov.</w:t>
      </w:r>
    </w:p>
    <w:p w14:paraId="247669C7" w14:textId="77777777" w:rsidR="00046A65" w:rsidRPr="009B5623" w:rsidRDefault="00046A65" w:rsidP="002002BC">
      <w:pPr>
        <w:rPr>
          <w:noProof/>
        </w:rPr>
      </w:pPr>
      <w:r w:rsidRPr="009B5623">
        <w:rPr>
          <w:noProof/>
        </w:rPr>
        <w:t>Države članice te predpise uporabljajo: </w:t>
      </w:r>
    </w:p>
    <w:p w14:paraId="6DC4CC09" w14:textId="4F2DE9A9" w:rsidR="00725A9E" w:rsidRPr="009B5623" w:rsidRDefault="00157C1D" w:rsidP="00157C1D">
      <w:pPr>
        <w:pStyle w:val="Point0"/>
        <w:rPr>
          <w:noProof/>
        </w:rPr>
      </w:pPr>
      <w:r w:rsidRPr="00157C1D">
        <w:rPr>
          <w:noProof/>
        </w:rPr>
        <w:t>(a)</w:t>
      </w:r>
      <w:r w:rsidRPr="00157C1D">
        <w:rPr>
          <w:noProof/>
        </w:rPr>
        <w:tab/>
      </w:r>
      <w:r w:rsidR="00472108" w:rsidRPr="009B5623">
        <w:rPr>
          <w:noProof/>
        </w:rPr>
        <w:t>od 26. julija 2028 za podjetja iz člena 2(1), točki (a) in (b), ki so ustanovljena v skladu z zakonodajo države članice ter so imela v povprečju več kot 3 000 zaposlenih in ustvarila več kot 900 000 000 EUR svetovnega čistega prihodka v zadnjem poslovnem letu pred 26. julijem 2028, za katero so bili ali bi morali biti sprejeti letni računovodski izkazi, razen predpisov, potrebnih za uskladitev s členom 16, ki jih države članice uporabljajo za ta podjetja za poslovna leta, ki se začnejo 1. januarja 2029 ali pozneje;</w:t>
      </w:r>
    </w:p>
    <w:p w14:paraId="31D45FD2" w14:textId="652C55ED" w:rsidR="00472108" w:rsidRPr="009B5623" w:rsidRDefault="00157C1D" w:rsidP="00157C1D">
      <w:pPr>
        <w:pStyle w:val="Point0"/>
        <w:rPr>
          <w:noProof/>
        </w:rPr>
      </w:pPr>
      <w:r w:rsidRPr="00157C1D">
        <w:rPr>
          <w:noProof/>
        </w:rPr>
        <w:t>(b)</w:t>
      </w:r>
      <w:r w:rsidRPr="00157C1D">
        <w:rPr>
          <w:noProof/>
        </w:rPr>
        <w:tab/>
      </w:r>
      <w:r w:rsidR="00472108" w:rsidRPr="009B5623">
        <w:rPr>
          <w:noProof/>
        </w:rPr>
        <w:t>od 26. julija 2028 za podjetja iz člena 2(2), točki (a) in (b), ki so ustanovljena v skladu z zakonodajo tretje države in so ustvarila več kot 900 000 000 EUR čistega prihodka v Uniji v poslovnem letu pred zadnjim poslovnim letom pred 26. julijem 2028, razen predpisov, potrebnih za uskladitev s členom 16, ki jih države članice uporabljajo za ta podjetja za poslovna leta, ki se začnejo 1. januarja 2029 ali pozneje;</w:t>
      </w:r>
    </w:p>
    <w:p w14:paraId="3B6CBA28" w14:textId="16FF8F62" w:rsidR="00472108" w:rsidRPr="009B5623" w:rsidRDefault="00157C1D" w:rsidP="00157C1D">
      <w:pPr>
        <w:pStyle w:val="Point0"/>
        <w:rPr>
          <w:noProof/>
        </w:rPr>
      </w:pPr>
      <w:r w:rsidRPr="00157C1D">
        <w:rPr>
          <w:noProof/>
        </w:rPr>
        <w:t>(c)</w:t>
      </w:r>
      <w:r w:rsidRPr="00157C1D">
        <w:rPr>
          <w:noProof/>
        </w:rPr>
        <w:tab/>
      </w:r>
      <w:r w:rsidR="00472108" w:rsidRPr="009B5623">
        <w:rPr>
          <w:noProof/>
        </w:rPr>
        <w:t>od 26. julija 2029 za vsa druga podjetja iz člena 2(1), točki (a) in (b), ter člena 2(2), točki (a) in (b), ter podjetja iz člena 2(1), točka (c), in člena 2(2), točka (c), razen predpisov, potrebnih za uskladitev s členom 16, ki jih države članice uporabljajo za ta podjetja za poslovna leta, ki se začnejo 1. januarja 2030 ali pozneje.“.</w:t>
      </w:r>
    </w:p>
    <w:p w14:paraId="552E5337" w14:textId="77777777" w:rsidR="006C7F87" w:rsidRPr="009B5623" w:rsidRDefault="006C7F87" w:rsidP="0094068A">
      <w:pPr>
        <w:pStyle w:val="Titrearticle"/>
        <w:keepLines/>
        <w:rPr>
          <w:noProof/>
        </w:rPr>
      </w:pPr>
      <w:r w:rsidRPr="009B5623">
        <w:rPr>
          <w:noProof/>
        </w:rPr>
        <w:t xml:space="preserve">Člen 3 </w:t>
      </w:r>
    </w:p>
    <w:p w14:paraId="6D3B5825" w14:textId="77777777" w:rsidR="006C7F87" w:rsidRPr="009B5623" w:rsidRDefault="00787171" w:rsidP="00787171">
      <w:pPr>
        <w:pStyle w:val="Titrearticle"/>
        <w:rPr>
          <w:b/>
          <w:bCs/>
          <w:i w:val="0"/>
          <w:iCs/>
          <w:noProof/>
        </w:rPr>
      </w:pPr>
      <w:r w:rsidRPr="009B5623">
        <w:rPr>
          <w:b/>
          <w:i w:val="0"/>
          <w:noProof/>
        </w:rPr>
        <w:t>Prenos</w:t>
      </w:r>
    </w:p>
    <w:p w14:paraId="18B16440" w14:textId="77777777" w:rsidR="006C7F87" w:rsidRPr="009B5623" w:rsidRDefault="006C7F87" w:rsidP="0094068A">
      <w:pPr>
        <w:pStyle w:val="ManualNumPar1"/>
        <w:rPr>
          <w:noProof/>
        </w:rPr>
      </w:pPr>
      <w:r w:rsidRPr="009B5623">
        <w:rPr>
          <w:noProof/>
        </w:rPr>
        <w:t>1.</w:t>
      </w:r>
      <w:r w:rsidRPr="009B5623">
        <w:rPr>
          <w:noProof/>
        </w:rPr>
        <w:tab/>
        <w:t>Države članice uveljavijo zakone in druge predpise, potrebne za uskladitev s to direktivo, najpozneje do 31. decembra 2025. Komisiji takoj sporočijo besedilo teh predpisov.</w:t>
      </w:r>
    </w:p>
    <w:p w14:paraId="685FB8CC" w14:textId="77777777" w:rsidR="006C7F87" w:rsidRPr="009B5623" w:rsidRDefault="006C7F87" w:rsidP="0094068A">
      <w:pPr>
        <w:pStyle w:val="Text1"/>
        <w:rPr>
          <w:noProof/>
        </w:rPr>
      </w:pPr>
      <w:r w:rsidRPr="009B5623">
        <w:rPr>
          <w:noProof/>
        </w:rPr>
        <w:t>Države članice se v sprejetih predpisih sklicujejo na to direktivo ali pa sklic nanjo navedejo ob njihovi uradni objavi. Način sklicevanja določijo države članice.</w:t>
      </w:r>
    </w:p>
    <w:p w14:paraId="3B416A3D" w14:textId="77777777" w:rsidR="006C7F87" w:rsidRPr="009B5623" w:rsidRDefault="006C7F87" w:rsidP="0094068A">
      <w:pPr>
        <w:pStyle w:val="ManualNumPar1"/>
        <w:rPr>
          <w:noProof/>
        </w:rPr>
      </w:pPr>
      <w:r w:rsidRPr="009B5623">
        <w:rPr>
          <w:noProof/>
        </w:rPr>
        <w:t>2.</w:t>
      </w:r>
      <w:r w:rsidRPr="009B5623">
        <w:rPr>
          <w:noProof/>
        </w:rPr>
        <w:tab/>
        <w:t>Države članice Komisiji sporočijo besedilo temeljnih predpisov nacionalnega prava, sprejetih na področju, ki ga ureja ta direktiva.</w:t>
      </w:r>
    </w:p>
    <w:p w14:paraId="579570DD" w14:textId="77777777" w:rsidR="006C7F87" w:rsidRPr="009B5623" w:rsidRDefault="006C7F87" w:rsidP="0094068A">
      <w:pPr>
        <w:pStyle w:val="Titrearticle"/>
        <w:rPr>
          <w:noProof/>
        </w:rPr>
      </w:pPr>
      <w:r w:rsidRPr="009B5623">
        <w:rPr>
          <w:noProof/>
        </w:rPr>
        <w:t>Člen 4</w:t>
      </w:r>
    </w:p>
    <w:p w14:paraId="1B17ABCC" w14:textId="77777777" w:rsidR="00AC7306" w:rsidRPr="009B5623" w:rsidRDefault="00AC7306" w:rsidP="00AC7306">
      <w:pPr>
        <w:pStyle w:val="Titrearticle"/>
        <w:rPr>
          <w:b/>
          <w:bCs/>
          <w:i w:val="0"/>
          <w:iCs/>
          <w:noProof/>
        </w:rPr>
      </w:pPr>
      <w:r w:rsidRPr="009B5623">
        <w:rPr>
          <w:b/>
          <w:i w:val="0"/>
          <w:noProof/>
        </w:rPr>
        <w:t>Začetek veljavnosti</w:t>
      </w:r>
    </w:p>
    <w:p w14:paraId="76267EF5" w14:textId="77777777" w:rsidR="006C7F87" w:rsidRPr="009B5623" w:rsidRDefault="74F27777" w:rsidP="0094068A">
      <w:pPr>
        <w:rPr>
          <w:noProof/>
        </w:rPr>
      </w:pPr>
      <w:r w:rsidRPr="009B5623">
        <w:rPr>
          <w:noProof/>
        </w:rPr>
        <w:t xml:space="preserve">Ta direktiva začne veljati dan po objavi v </w:t>
      </w:r>
      <w:r w:rsidRPr="009B5623">
        <w:rPr>
          <w:i/>
          <w:noProof/>
        </w:rPr>
        <w:t>Uradnem listu Evropske unije</w:t>
      </w:r>
      <w:r w:rsidRPr="009B5623">
        <w:rPr>
          <w:noProof/>
        </w:rPr>
        <w:t>.</w:t>
      </w:r>
    </w:p>
    <w:p w14:paraId="3DE172A4" w14:textId="77777777" w:rsidR="006C7F87" w:rsidRPr="009B5623" w:rsidRDefault="006C7F87" w:rsidP="0094068A">
      <w:pPr>
        <w:pStyle w:val="Titrearticle"/>
        <w:rPr>
          <w:noProof/>
        </w:rPr>
      </w:pPr>
      <w:r w:rsidRPr="009B5623">
        <w:rPr>
          <w:noProof/>
        </w:rPr>
        <w:t>Člen 5</w:t>
      </w:r>
    </w:p>
    <w:p w14:paraId="0CF7DE50" w14:textId="77777777" w:rsidR="00AC7306" w:rsidRPr="009B5623" w:rsidRDefault="00AC7306" w:rsidP="00FB284A">
      <w:pPr>
        <w:pStyle w:val="Titrearticle"/>
        <w:rPr>
          <w:noProof/>
        </w:rPr>
      </w:pPr>
      <w:r w:rsidRPr="009B5623">
        <w:rPr>
          <w:b/>
          <w:i w:val="0"/>
          <w:noProof/>
        </w:rPr>
        <w:t>Naslovniki</w:t>
      </w:r>
    </w:p>
    <w:p w14:paraId="1C1869A6" w14:textId="77777777" w:rsidR="006C7F87" w:rsidRPr="009B5623" w:rsidRDefault="006C7F87" w:rsidP="0094068A">
      <w:pPr>
        <w:keepNext/>
        <w:keepLines/>
        <w:rPr>
          <w:noProof/>
        </w:rPr>
      </w:pPr>
      <w:r w:rsidRPr="009B5623">
        <w:rPr>
          <w:noProof/>
        </w:rPr>
        <w:t>Ta direktiva je naslovljena na države članice.</w:t>
      </w:r>
    </w:p>
    <w:p w14:paraId="6F99BCD3" w14:textId="6857B9D1" w:rsidR="006C7F87" w:rsidRPr="009B5623" w:rsidRDefault="009B5623" w:rsidP="00FB284A">
      <w:pPr>
        <w:pStyle w:val="Fait"/>
        <w:rPr>
          <w:noProof/>
        </w:rPr>
      </w:pPr>
      <w:r>
        <w:rPr>
          <w:noProof/>
        </w:rPr>
        <w:t>V Bruslju,</w:t>
      </w:r>
    </w:p>
    <w:p w14:paraId="77EDDB57" w14:textId="77777777" w:rsidR="006C7F87" w:rsidRPr="009B5623" w:rsidRDefault="006C7F87" w:rsidP="00FB284A">
      <w:pPr>
        <w:pStyle w:val="Institutionquisigne"/>
        <w:rPr>
          <w:noProof/>
        </w:rPr>
      </w:pPr>
      <w:r w:rsidRPr="009B5623">
        <w:rPr>
          <w:noProof/>
        </w:rPr>
        <w:t>Za Evropski parlament</w:t>
      </w:r>
      <w:r w:rsidRPr="009B5623">
        <w:rPr>
          <w:noProof/>
        </w:rPr>
        <w:tab/>
        <w:t>Za Svet</w:t>
      </w:r>
    </w:p>
    <w:p w14:paraId="7B049FFF" w14:textId="77777777" w:rsidR="00CA2B31" w:rsidRPr="009B5623" w:rsidRDefault="006C7F87" w:rsidP="00BB1CDB">
      <w:pPr>
        <w:pStyle w:val="Personnequisigne"/>
        <w:rPr>
          <w:noProof/>
        </w:rPr>
      </w:pPr>
      <w:r w:rsidRPr="009B5623">
        <w:rPr>
          <w:noProof/>
        </w:rPr>
        <w:t>predsednik</w:t>
      </w:r>
      <w:r w:rsidRPr="009B5623">
        <w:rPr>
          <w:noProof/>
        </w:rPr>
        <w:tab/>
        <w:t>predsednik</w:t>
      </w:r>
    </w:p>
    <w:p w14:paraId="7B7B0287" w14:textId="77777777" w:rsidR="00CA2B31" w:rsidRPr="009B5623" w:rsidRDefault="001A1613" w:rsidP="0078133F">
      <w:pPr>
        <w:spacing w:before="0" w:after="200" w:line="276" w:lineRule="auto"/>
        <w:jc w:val="left"/>
        <w:rPr>
          <w:noProof/>
        </w:rPr>
      </w:pPr>
      <w:r w:rsidRPr="009B5623">
        <w:rPr>
          <w:noProof/>
        </w:rPr>
        <w:br w:type="page"/>
      </w:r>
    </w:p>
    <w:p w14:paraId="391CEFDA" w14:textId="77777777" w:rsidR="00CA2B31" w:rsidRPr="009B5623" w:rsidRDefault="00CA2B31" w:rsidP="00CA2B31">
      <w:pPr>
        <w:pStyle w:val="Fichefinanciretitre"/>
        <w:keepNext/>
        <w:rPr>
          <w:noProof/>
        </w:rPr>
      </w:pPr>
      <w:r w:rsidRPr="009B5623">
        <w:rPr>
          <w:noProof/>
        </w:rPr>
        <w:t>OCENA FINANČNIH POSLEDIC IN DIGITALNIH RAZSEŽNOSTI ZAKONODAJNEGA PREDLOGA</w:t>
      </w:r>
    </w:p>
    <w:p w14:paraId="262A4CF2" w14:textId="77777777" w:rsidR="000F2513" w:rsidRPr="009B5623" w:rsidRDefault="000F2513" w:rsidP="0078133F">
      <w:pPr>
        <w:rPr>
          <w:noProof/>
        </w:rPr>
      </w:pPr>
    </w:p>
    <w:p w14:paraId="3FD6B615" w14:textId="77777777" w:rsidR="00CA2B31" w:rsidRPr="009B5623" w:rsidRDefault="00CA2B31" w:rsidP="00CA2B31">
      <w:pPr>
        <w:pStyle w:val="TOC1"/>
        <w:rPr>
          <w:rFonts w:asciiTheme="minorHAnsi" w:eastAsiaTheme="minorEastAsia" w:hAnsiTheme="minorHAnsi" w:cstheme="minorBidi"/>
          <w:noProof/>
          <w:kern w:val="2"/>
          <w:sz w:val="22"/>
          <w14:ligatures w14:val="standardContextual"/>
        </w:rPr>
      </w:pPr>
      <w:r w:rsidRPr="009B5623">
        <w:rPr>
          <w:noProof/>
        </w:rPr>
        <w:t>1.</w:t>
      </w:r>
      <w:r w:rsidRPr="009B5623">
        <w:rPr>
          <w:rFonts w:asciiTheme="minorHAnsi" w:hAnsiTheme="minorHAnsi"/>
          <w:noProof/>
          <w:sz w:val="22"/>
        </w:rPr>
        <w:tab/>
      </w:r>
      <w:r w:rsidRPr="009B5623">
        <w:rPr>
          <w:noProof/>
        </w:rPr>
        <w:t>OKVIR PREDLOGA/POBUDE</w:t>
      </w:r>
      <w:r w:rsidRPr="009B5623">
        <w:rPr>
          <w:noProof/>
          <w:webHidden/>
        </w:rPr>
        <w:tab/>
        <w:t>3</w:t>
      </w:r>
    </w:p>
    <w:p w14:paraId="2B141920" w14:textId="77777777" w:rsidR="00CA2B31" w:rsidRPr="009B5623" w:rsidRDefault="00CA2B31" w:rsidP="00CA2B31">
      <w:pPr>
        <w:pStyle w:val="TOC2"/>
        <w:rPr>
          <w:rFonts w:asciiTheme="minorHAnsi" w:eastAsiaTheme="minorEastAsia" w:hAnsiTheme="minorHAnsi" w:cstheme="minorBidi"/>
          <w:noProof/>
          <w:kern w:val="2"/>
          <w:sz w:val="22"/>
          <w14:ligatures w14:val="standardContextual"/>
        </w:rPr>
      </w:pPr>
      <w:r w:rsidRPr="009B5623">
        <w:rPr>
          <w:noProof/>
        </w:rPr>
        <w:t>1.1</w:t>
      </w:r>
      <w:r w:rsidRPr="009B5623">
        <w:rPr>
          <w:rFonts w:asciiTheme="minorHAnsi" w:hAnsiTheme="minorHAnsi"/>
          <w:noProof/>
          <w:sz w:val="22"/>
        </w:rPr>
        <w:tab/>
      </w:r>
      <w:r w:rsidRPr="009B5623">
        <w:rPr>
          <w:noProof/>
        </w:rPr>
        <w:t>Naslov predloga/pobude</w:t>
      </w:r>
      <w:r w:rsidRPr="009B5623">
        <w:rPr>
          <w:noProof/>
          <w:webHidden/>
        </w:rPr>
        <w:tab/>
        <w:t>3</w:t>
      </w:r>
    </w:p>
    <w:p w14:paraId="3D149DC4" w14:textId="77777777" w:rsidR="00CA2B31" w:rsidRPr="009B5623" w:rsidRDefault="00CA2B31" w:rsidP="00CA2B31">
      <w:pPr>
        <w:pStyle w:val="TOC2"/>
        <w:rPr>
          <w:rFonts w:asciiTheme="minorHAnsi" w:eastAsiaTheme="minorEastAsia" w:hAnsiTheme="minorHAnsi" w:cstheme="minorBidi"/>
          <w:noProof/>
          <w:kern w:val="2"/>
          <w:sz w:val="22"/>
          <w14:ligatures w14:val="standardContextual"/>
        </w:rPr>
      </w:pPr>
      <w:r w:rsidRPr="009B5623">
        <w:rPr>
          <w:noProof/>
        </w:rPr>
        <w:t>1.2</w:t>
      </w:r>
      <w:r w:rsidRPr="009B5623">
        <w:rPr>
          <w:rFonts w:asciiTheme="minorHAnsi" w:hAnsiTheme="minorHAnsi"/>
          <w:noProof/>
          <w:sz w:val="22"/>
        </w:rPr>
        <w:tab/>
      </w:r>
      <w:r w:rsidRPr="009B5623">
        <w:rPr>
          <w:noProof/>
        </w:rPr>
        <w:t>Zadevna področja</w:t>
      </w:r>
      <w:r w:rsidRPr="009B5623">
        <w:rPr>
          <w:noProof/>
          <w:webHidden/>
        </w:rPr>
        <w:tab/>
        <w:t>3</w:t>
      </w:r>
    </w:p>
    <w:p w14:paraId="5AF54A6F" w14:textId="77777777" w:rsidR="00CA2B31" w:rsidRPr="009B5623" w:rsidRDefault="00CA2B31" w:rsidP="00CA2B31">
      <w:pPr>
        <w:pStyle w:val="TOC2"/>
        <w:rPr>
          <w:rFonts w:asciiTheme="minorHAnsi" w:eastAsiaTheme="minorEastAsia" w:hAnsiTheme="minorHAnsi" w:cstheme="minorBidi"/>
          <w:noProof/>
          <w:kern w:val="2"/>
          <w:sz w:val="22"/>
          <w14:ligatures w14:val="standardContextual"/>
        </w:rPr>
      </w:pPr>
      <w:r w:rsidRPr="009B5623">
        <w:rPr>
          <w:noProof/>
        </w:rPr>
        <w:t>1.3</w:t>
      </w:r>
      <w:r w:rsidRPr="009B5623">
        <w:rPr>
          <w:rFonts w:asciiTheme="minorHAnsi" w:hAnsiTheme="minorHAnsi"/>
          <w:noProof/>
          <w:sz w:val="22"/>
        </w:rPr>
        <w:tab/>
      </w:r>
      <w:r w:rsidRPr="009B5623">
        <w:rPr>
          <w:noProof/>
        </w:rPr>
        <w:t>Cilji</w:t>
      </w:r>
      <w:r w:rsidRPr="009B5623">
        <w:rPr>
          <w:noProof/>
          <w:webHidden/>
        </w:rPr>
        <w:tab/>
        <w:t>3</w:t>
      </w:r>
    </w:p>
    <w:p w14:paraId="0F356330" w14:textId="77777777" w:rsidR="00CA2B31" w:rsidRPr="009B5623" w:rsidRDefault="00CA2B31" w:rsidP="00CA2B31">
      <w:pPr>
        <w:pStyle w:val="TOC3"/>
        <w:rPr>
          <w:rFonts w:asciiTheme="minorHAnsi" w:eastAsiaTheme="minorEastAsia" w:hAnsiTheme="minorHAnsi" w:cstheme="minorBidi"/>
          <w:noProof/>
          <w:kern w:val="2"/>
          <w:sz w:val="22"/>
          <w14:ligatures w14:val="standardContextual"/>
        </w:rPr>
      </w:pPr>
      <w:r w:rsidRPr="009B5623">
        <w:rPr>
          <w:noProof/>
        </w:rPr>
        <w:t>1.3.1</w:t>
      </w:r>
      <w:r w:rsidRPr="009B5623">
        <w:rPr>
          <w:rFonts w:asciiTheme="minorHAnsi" w:hAnsiTheme="minorHAnsi"/>
          <w:noProof/>
          <w:sz w:val="22"/>
        </w:rPr>
        <w:tab/>
      </w:r>
      <w:r w:rsidRPr="009B5623">
        <w:rPr>
          <w:noProof/>
        </w:rPr>
        <w:t>Splošni cilji</w:t>
      </w:r>
      <w:r w:rsidRPr="009B5623">
        <w:rPr>
          <w:noProof/>
          <w:webHidden/>
        </w:rPr>
        <w:tab/>
        <w:t>3</w:t>
      </w:r>
    </w:p>
    <w:p w14:paraId="0E2ADA45" w14:textId="77777777" w:rsidR="00CA2B31" w:rsidRPr="009B5623" w:rsidRDefault="00CA2B31" w:rsidP="00CA2B31">
      <w:pPr>
        <w:pStyle w:val="TOC3"/>
        <w:rPr>
          <w:rFonts w:asciiTheme="minorHAnsi" w:eastAsiaTheme="minorEastAsia" w:hAnsiTheme="minorHAnsi" w:cstheme="minorBidi"/>
          <w:noProof/>
          <w:kern w:val="2"/>
          <w:sz w:val="22"/>
          <w14:ligatures w14:val="standardContextual"/>
        </w:rPr>
      </w:pPr>
      <w:r w:rsidRPr="009B5623">
        <w:rPr>
          <w:noProof/>
        </w:rPr>
        <w:t>1.3.2</w:t>
      </w:r>
      <w:r w:rsidRPr="009B5623">
        <w:rPr>
          <w:rFonts w:asciiTheme="minorHAnsi" w:hAnsiTheme="minorHAnsi"/>
          <w:noProof/>
          <w:sz w:val="22"/>
        </w:rPr>
        <w:tab/>
      </w:r>
      <w:r w:rsidRPr="009B5623">
        <w:rPr>
          <w:noProof/>
        </w:rPr>
        <w:t>Specifični cilji</w:t>
      </w:r>
      <w:r w:rsidRPr="009B5623">
        <w:rPr>
          <w:noProof/>
          <w:webHidden/>
        </w:rPr>
        <w:tab/>
        <w:t>3</w:t>
      </w:r>
    </w:p>
    <w:p w14:paraId="1D043487" w14:textId="77777777" w:rsidR="00CA2B31" w:rsidRPr="009B5623" w:rsidRDefault="00CA2B31" w:rsidP="00CA2B31">
      <w:pPr>
        <w:pStyle w:val="TOC3"/>
        <w:rPr>
          <w:rFonts w:asciiTheme="minorHAnsi" w:eastAsiaTheme="minorEastAsia" w:hAnsiTheme="minorHAnsi" w:cstheme="minorBidi"/>
          <w:noProof/>
          <w:kern w:val="2"/>
          <w:sz w:val="22"/>
          <w14:ligatures w14:val="standardContextual"/>
        </w:rPr>
      </w:pPr>
      <w:r w:rsidRPr="009B5623">
        <w:rPr>
          <w:noProof/>
        </w:rPr>
        <w:t>1.3.3</w:t>
      </w:r>
      <w:r w:rsidRPr="009B5623">
        <w:rPr>
          <w:rFonts w:asciiTheme="minorHAnsi" w:hAnsiTheme="minorHAnsi"/>
          <w:noProof/>
          <w:sz w:val="22"/>
        </w:rPr>
        <w:tab/>
      </w:r>
      <w:r w:rsidRPr="009B5623">
        <w:rPr>
          <w:noProof/>
        </w:rPr>
        <w:t>Pričakovani rezultati in posledice</w:t>
      </w:r>
      <w:r w:rsidRPr="009B5623">
        <w:rPr>
          <w:noProof/>
          <w:webHidden/>
        </w:rPr>
        <w:tab/>
        <w:t>3</w:t>
      </w:r>
    </w:p>
    <w:p w14:paraId="455FE001" w14:textId="77777777" w:rsidR="00CA2B31" w:rsidRPr="009B5623" w:rsidRDefault="00CA2B31" w:rsidP="00CA2B31">
      <w:pPr>
        <w:pStyle w:val="TOC3"/>
        <w:rPr>
          <w:rFonts w:asciiTheme="minorHAnsi" w:eastAsiaTheme="minorEastAsia" w:hAnsiTheme="minorHAnsi" w:cstheme="minorBidi"/>
          <w:noProof/>
          <w:kern w:val="2"/>
          <w:sz w:val="22"/>
          <w14:ligatures w14:val="standardContextual"/>
        </w:rPr>
      </w:pPr>
      <w:r w:rsidRPr="009B5623">
        <w:rPr>
          <w:noProof/>
        </w:rPr>
        <w:t>1.3.4</w:t>
      </w:r>
      <w:r w:rsidRPr="009B5623">
        <w:rPr>
          <w:rFonts w:asciiTheme="minorHAnsi" w:hAnsiTheme="minorHAnsi"/>
          <w:noProof/>
          <w:sz w:val="22"/>
        </w:rPr>
        <w:tab/>
      </w:r>
      <w:r w:rsidRPr="009B5623">
        <w:rPr>
          <w:noProof/>
        </w:rPr>
        <w:t>Kazalniki smotrnosti</w:t>
      </w:r>
      <w:r w:rsidRPr="009B5623">
        <w:rPr>
          <w:noProof/>
          <w:webHidden/>
        </w:rPr>
        <w:tab/>
        <w:t>3</w:t>
      </w:r>
    </w:p>
    <w:p w14:paraId="0A2172B7" w14:textId="77777777" w:rsidR="00CA2B31" w:rsidRPr="009B5623" w:rsidRDefault="00CA2B31" w:rsidP="00CA2B31">
      <w:pPr>
        <w:pStyle w:val="TOC2"/>
        <w:rPr>
          <w:rFonts w:asciiTheme="minorHAnsi" w:eastAsiaTheme="minorEastAsia" w:hAnsiTheme="minorHAnsi" w:cstheme="minorBidi"/>
          <w:noProof/>
          <w:kern w:val="2"/>
          <w:sz w:val="22"/>
          <w14:ligatures w14:val="standardContextual"/>
        </w:rPr>
      </w:pPr>
      <w:r w:rsidRPr="009B5623">
        <w:rPr>
          <w:noProof/>
        </w:rPr>
        <w:t>1.4</w:t>
      </w:r>
      <w:r w:rsidRPr="009B5623">
        <w:rPr>
          <w:rFonts w:asciiTheme="minorHAnsi" w:hAnsiTheme="minorHAnsi"/>
          <w:noProof/>
          <w:sz w:val="22"/>
        </w:rPr>
        <w:tab/>
      </w:r>
      <w:r w:rsidRPr="009B5623">
        <w:rPr>
          <w:noProof/>
        </w:rPr>
        <w:t>Ukrep, na katerega se predlog/pobuda nanaša</w:t>
      </w:r>
      <w:r w:rsidRPr="009B5623">
        <w:rPr>
          <w:noProof/>
          <w:webHidden/>
        </w:rPr>
        <w:tab/>
        <w:t>4</w:t>
      </w:r>
    </w:p>
    <w:p w14:paraId="403A7C9F" w14:textId="77777777" w:rsidR="00CA2B31" w:rsidRPr="009B5623" w:rsidRDefault="00CA2B31" w:rsidP="00CA2B31">
      <w:pPr>
        <w:pStyle w:val="TOC2"/>
        <w:rPr>
          <w:rFonts w:asciiTheme="minorHAnsi" w:eastAsiaTheme="minorEastAsia" w:hAnsiTheme="minorHAnsi" w:cstheme="minorBidi"/>
          <w:noProof/>
          <w:kern w:val="2"/>
          <w:sz w:val="22"/>
          <w14:ligatures w14:val="standardContextual"/>
        </w:rPr>
      </w:pPr>
      <w:r w:rsidRPr="009B5623">
        <w:rPr>
          <w:noProof/>
        </w:rPr>
        <w:t>1.5</w:t>
      </w:r>
      <w:r w:rsidRPr="009B5623">
        <w:rPr>
          <w:rFonts w:asciiTheme="minorHAnsi" w:hAnsiTheme="minorHAnsi"/>
          <w:noProof/>
          <w:sz w:val="22"/>
        </w:rPr>
        <w:tab/>
      </w:r>
      <w:r w:rsidRPr="009B5623">
        <w:rPr>
          <w:noProof/>
        </w:rPr>
        <w:t>Utemeljitev predloga/pobude</w:t>
      </w:r>
      <w:r w:rsidRPr="009B5623">
        <w:rPr>
          <w:noProof/>
          <w:webHidden/>
        </w:rPr>
        <w:tab/>
        <w:t>4</w:t>
      </w:r>
    </w:p>
    <w:p w14:paraId="1ECBA4B3" w14:textId="77777777" w:rsidR="00CA2B31" w:rsidRPr="009B5623" w:rsidRDefault="00CA2B31" w:rsidP="00CA2B31">
      <w:pPr>
        <w:pStyle w:val="TOC3"/>
        <w:rPr>
          <w:rFonts w:asciiTheme="minorHAnsi" w:eastAsiaTheme="minorEastAsia" w:hAnsiTheme="minorHAnsi" w:cstheme="minorBidi"/>
          <w:noProof/>
          <w:kern w:val="2"/>
          <w:sz w:val="22"/>
          <w14:ligatures w14:val="standardContextual"/>
        </w:rPr>
      </w:pPr>
      <w:r w:rsidRPr="009B5623">
        <w:rPr>
          <w:noProof/>
        </w:rPr>
        <w:t>1.5.1</w:t>
      </w:r>
      <w:r w:rsidRPr="009B5623">
        <w:rPr>
          <w:rFonts w:asciiTheme="minorHAnsi" w:hAnsiTheme="minorHAnsi"/>
          <w:noProof/>
          <w:sz w:val="22"/>
        </w:rPr>
        <w:tab/>
      </w:r>
      <w:r w:rsidRPr="009B5623">
        <w:rPr>
          <w:noProof/>
        </w:rPr>
        <w:t>Potrebe, ki jih je treba zadovoljiti kratkoročno ali dolgoročno, vključno s podrobno časovnico za uvajanje ustreznih ukrepov za izvajanje pobude</w:t>
      </w:r>
      <w:r w:rsidRPr="009B5623">
        <w:rPr>
          <w:noProof/>
          <w:webHidden/>
        </w:rPr>
        <w:tab/>
        <w:t>4</w:t>
      </w:r>
    </w:p>
    <w:p w14:paraId="057A1EB4" w14:textId="77777777" w:rsidR="00CA2B31" w:rsidRPr="009B5623" w:rsidRDefault="00CA2B31" w:rsidP="00CA2B31">
      <w:pPr>
        <w:pStyle w:val="TOC3"/>
        <w:rPr>
          <w:rFonts w:asciiTheme="minorHAnsi" w:eastAsiaTheme="minorEastAsia" w:hAnsiTheme="minorHAnsi" w:cstheme="minorBidi"/>
          <w:noProof/>
          <w:kern w:val="2"/>
          <w:sz w:val="22"/>
          <w14:ligatures w14:val="standardContextual"/>
        </w:rPr>
      </w:pPr>
      <w:r w:rsidRPr="009B5623">
        <w:rPr>
          <w:noProof/>
        </w:rPr>
        <w:t>1.5.2</w:t>
      </w:r>
      <w:r w:rsidRPr="009B5623">
        <w:rPr>
          <w:rFonts w:asciiTheme="minorHAnsi" w:hAnsiTheme="minorHAnsi"/>
          <w:noProof/>
          <w:sz w:val="22"/>
        </w:rPr>
        <w:tab/>
      </w:r>
      <w:r w:rsidRPr="009B5623">
        <w:rPr>
          <w:noProof/>
        </w:rPr>
        <w:t>Dodana vrednost ukrepanja EU (ki je lahko posledica različnih dejavnikov, npr. boljšega usklajevanja, pravne varnosti, večje učinkovitosti ali dopolnjevanja). Za namene tega oddelka je „dodana vrednost ukrepanja EU“ vrednost, ki izhaja iz ukrepanja EU in predstavlja dodatno vrednost poleg tiste, ki bi jo sicer ustvarile države članice same.</w:t>
      </w:r>
      <w:r w:rsidRPr="009B5623">
        <w:rPr>
          <w:noProof/>
          <w:webHidden/>
        </w:rPr>
        <w:tab/>
        <w:t>4</w:t>
      </w:r>
    </w:p>
    <w:p w14:paraId="38F8914B" w14:textId="77777777" w:rsidR="00CA2B31" w:rsidRPr="009B5623" w:rsidRDefault="00CA2B31" w:rsidP="00CA2B31">
      <w:pPr>
        <w:pStyle w:val="TOC3"/>
        <w:rPr>
          <w:rFonts w:asciiTheme="minorHAnsi" w:eastAsiaTheme="minorEastAsia" w:hAnsiTheme="minorHAnsi" w:cstheme="minorBidi"/>
          <w:noProof/>
          <w:kern w:val="2"/>
          <w:sz w:val="22"/>
          <w14:ligatures w14:val="standardContextual"/>
        </w:rPr>
      </w:pPr>
      <w:r w:rsidRPr="009B5623">
        <w:rPr>
          <w:noProof/>
        </w:rPr>
        <w:t>1.5.3</w:t>
      </w:r>
      <w:r w:rsidRPr="009B5623">
        <w:rPr>
          <w:rFonts w:asciiTheme="minorHAnsi" w:hAnsiTheme="minorHAnsi"/>
          <w:noProof/>
          <w:sz w:val="22"/>
        </w:rPr>
        <w:tab/>
      </w:r>
      <w:r w:rsidRPr="009B5623">
        <w:rPr>
          <w:noProof/>
        </w:rPr>
        <w:t>Spoznanja iz podobnih izkušenj v preteklosti</w:t>
      </w:r>
      <w:r w:rsidRPr="009B5623">
        <w:rPr>
          <w:noProof/>
          <w:webHidden/>
        </w:rPr>
        <w:tab/>
        <w:t>4</w:t>
      </w:r>
    </w:p>
    <w:p w14:paraId="32EAC30A" w14:textId="77777777" w:rsidR="00CA2B31" w:rsidRPr="009B5623" w:rsidRDefault="00CA2B31" w:rsidP="00CA2B31">
      <w:pPr>
        <w:pStyle w:val="TOC1"/>
        <w:rPr>
          <w:rFonts w:asciiTheme="minorHAnsi" w:eastAsiaTheme="minorEastAsia" w:hAnsiTheme="minorHAnsi" w:cstheme="minorBidi"/>
          <w:noProof/>
          <w:kern w:val="2"/>
          <w:sz w:val="22"/>
          <w14:ligatures w14:val="standardContextual"/>
        </w:rPr>
      </w:pPr>
      <w:r w:rsidRPr="009B5623">
        <w:rPr>
          <w:noProof/>
        </w:rPr>
        <w:t>2.</w:t>
      </w:r>
      <w:r w:rsidRPr="009B5623">
        <w:rPr>
          <w:rFonts w:asciiTheme="minorHAnsi" w:hAnsiTheme="minorHAnsi"/>
          <w:noProof/>
          <w:sz w:val="22"/>
        </w:rPr>
        <w:tab/>
      </w:r>
      <w:r w:rsidRPr="009B5623">
        <w:rPr>
          <w:noProof/>
        </w:rPr>
        <w:t>UKREPI UPRAVLJANJA</w:t>
      </w:r>
      <w:r w:rsidRPr="009B5623">
        <w:rPr>
          <w:noProof/>
          <w:webHidden/>
        </w:rPr>
        <w:tab/>
        <w:t>8</w:t>
      </w:r>
    </w:p>
    <w:p w14:paraId="73491379" w14:textId="77777777" w:rsidR="00CA2B31" w:rsidRPr="009B5623" w:rsidRDefault="00CA2B31" w:rsidP="00CA2B31">
      <w:pPr>
        <w:pStyle w:val="TOC2"/>
        <w:rPr>
          <w:rFonts w:asciiTheme="minorHAnsi" w:eastAsiaTheme="minorEastAsia" w:hAnsiTheme="minorHAnsi" w:cstheme="minorBidi"/>
          <w:noProof/>
          <w:kern w:val="2"/>
          <w:sz w:val="22"/>
          <w14:ligatures w14:val="standardContextual"/>
        </w:rPr>
      </w:pPr>
      <w:r w:rsidRPr="009B5623">
        <w:rPr>
          <w:noProof/>
        </w:rPr>
        <w:t>2.1</w:t>
      </w:r>
      <w:r w:rsidRPr="009B5623">
        <w:rPr>
          <w:rFonts w:asciiTheme="minorHAnsi" w:hAnsiTheme="minorHAnsi"/>
          <w:noProof/>
          <w:sz w:val="22"/>
        </w:rPr>
        <w:tab/>
      </w:r>
      <w:r w:rsidRPr="009B5623">
        <w:rPr>
          <w:noProof/>
        </w:rPr>
        <w:t>Pravila o spremljanju in poročanju</w:t>
      </w:r>
      <w:r w:rsidRPr="009B5623">
        <w:rPr>
          <w:noProof/>
          <w:webHidden/>
        </w:rPr>
        <w:tab/>
        <w:t>8</w:t>
      </w:r>
    </w:p>
    <w:p w14:paraId="557CF5AD" w14:textId="77777777" w:rsidR="00CA2B31" w:rsidRPr="009B5623" w:rsidRDefault="00CA2B31" w:rsidP="00CA2B31">
      <w:pPr>
        <w:pStyle w:val="TOC2"/>
        <w:rPr>
          <w:rFonts w:asciiTheme="minorHAnsi" w:eastAsiaTheme="minorEastAsia" w:hAnsiTheme="minorHAnsi" w:cstheme="minorBidi"/>
          <w:noProof/>
          <w:kern w:val="2"/>
          <w:sz w:val="22"/>
          <w14:ligatures w14:val="standardContextual"/>
        </w:rPr>
      </w:pPr>
      <w:r w:rsidRPr="009B5623">
        <w:rPr>
          <w:noProof/>
        </w:rPr>
        <w:t>2.2</w:t>
      </w:r>
      <w:r w:rsidRPr="009B5623">
        <w:rPr>
          <w:rFonts w:asciiTheme="minorHAnsi" w:hAnsiTheme="minorHAnsi"/>
          <w:noProof/>
          <w:sz w:val="22"/>
        </w:rPr>
        <w:tab/>
      </w:r>
      <w:r w:rsidRPr="009B5623">
        <w:rPr>
          <w:noProof/>
        </w:rPr>
        <w:t>Upravljavski in kontrolni sistemi</w:t>
      </w:r>
      <w:r w:rsidRPr="009B5623">
        <w:rPr>
          <w:noProof/>
          <w:webHidden/>
        </w:rPr>
        <w:tab/>
        <w:t>8</w:t>
      </w:r>
    </w:p>
    <w:p w14:paraId="35E9DD44" w14:textId="77777777" w:rsidR="00CA2B31" w:rsidRPr="009B5623" w:rsidRDefault="00CA2B31" w:rsidP="00CA2B31">
      <w:pPr>
        <w:pStyle w:val="TOC3"/>
        <w:rPr>
          <w:rFonts w:asciiTheme="minorHAnsi" w:eastAsiaTheme="minorEastAsia" w:hAnsiTheme="minorHAnsi" w:cstheme="minorBidi"/>
          <w:noProof/>
          <w:kern w:val="2"/>
          <w:sz w:val="22"/>
          <w14:ligatures w14:val="standardContextual"/>
        </w:rPr>
      </w:pPr>
      <w:r w:rsidRPr="009B5623">
        <w:rPr>
          <w:noProof/>
        </w:rPr>
        <w:t>2.2.1</w:t>
      </w:r>
      <w:r w:rsidRPr="009B5623">
        <w:rPr>
          <w:rFonts w:asciiTheme="minorHAnsi" w:hAnsiTheme="minorHAnsi"/>
          <w:noProof/>
          <w:sz w:val="22"/>
        </w:rPr>
        <w:tab/>
      </w:r>
      <w:r w:rsidRPr="009B5623">
        <w:rPr>
          <w:noProof/>
        </w:rPr>
        <w:t>Utemeljitev načinov izvrševanja proračuna, mehanizmov financiranja, načinov plačevanja in predlagane strategije kontrol</w:t>
      </w:r>
      <w:r w:rsidRPr="009B5623">
        <w:rPr>
          <w:noProof/>
          <w:webHidden/>
        </w:rPr>
        <w:tab/>
        <w:t>8</w:t>
      </w:r>
    </w:p>
    <w:p w14:paraId="67DA575D" w14:textId="77777777" w:rsidR="00CA2B31" w:rsidRPr="009B5623" w:rsidRDefault="00CA2B31" w:rsidP="00CA2B31">
      <w:pPr>
        <w:pStyle w:val="TOC3"/>
        <w:rPr>
          <w:rFonts w:asciiTheme="minorHAnsi" w:eastAsiaTheme="minorEastAsia" w:hAnsiTheme="minorHAnsi" w:cstheme="minorBidi"/>
          <w:noProof/>
          <w:kern w:val="2"/>
          <w:sz w:val="22"/>
          <w14:ligatures w14:val="standardContextual"/>
        </w:rPr>
      </w:pPr>
      <w:r w:rsidRPr="009B5623">
        <w:rPr>
          <w:noProof/>
        </w:rPr>
        <w:t>2.2.2</w:t>
      </w:r>
      <w:r w:rsidRPr="009B5623">
        <w:rPr>
          <w:rFonts w:asciiTheme="minorHAnsi" w:hAnsiTheme="minorHAnsi"/>
          <w:noProof/>
          <w:sz w:val="22"/>
        </w:rPr>
        <w:tab/>
      </w:r>
      <w:r w:rsidRPr="009B5623">
        <w:rPr>
          <w:noProof/>
        </w:rPr>
        <w:t>Podatki o ugotovljenih tveganjih in vzpostavljenih sistemih notranjih kontrol za njihovo zmanjševanje</w:t>
      </w:r>
      <w:r w:rsidRPr="009B5623">
        <w:rPr>
          <w:noProof/>
          <w:webHidden/>
        </w:rPr>
        <w:tab/>
        <w:t>8</w:t>
      </w:r>
    </w:p>
    <w:p w14:paraId="3E566693" w14:textId="77777777" w:rsidR="00CA2B31" w:rsidRPr="009B5623" w:rsidRDefault="00CA2B31" w:rsidP="00CA2B31">
      <w:pPr>
        <w:pStyle w:val="TOC3"/>
        <w:rPr>
          <w:rFonts w:asciiTheme="minorHAnsi" w:eastAsiaTheme="minorEastAsia" w:hAnsiTheme="minorHAnsi" w:cstheme="minorBidi"/>
          <w:noProof/>
          <w:kern w:val="2"/>
          <w:sz w:val="22"/>
          <w14:ligatures w14:val="standardContextual"/>
        </w:rPr>
      </w:pPr>
      <w:r w:rsidRPr="009B5623">
        <w:rPr>
          <w:noProof/>
        </w:rPr>
        <w:t>2.2.3</w:t>
      </w:r>
      <w:r w:rsidRPr="009B5623">
        <w:rPr>
          <w:rFonts w:asciiTheme="minorHAnsi" w:hAnsiTheme="minorHAnsi"/>
          <w:noProof/>
          <w:sz w:val="22"/>
        </w:rPr>
        <w:tab/>
      </w:r>
      <w:r w:rsidRPr="009B5623">
        <w:rPr>
          <w:noProof/>
        </w:rPr>
        <w:t>Ocena in utemeljitev stroškovne učinkovitosti kontrol (razmerje med stroški kontrol in vrednostjo z njimi povezanih upravljanih sredstev) ter ocena pričakovane stopnje tveganja napake (ob plačilu in ob zaključku)</w:t>
      </w:r>
      <w:r w:rsidRPr="009B5623">
        <w:rPr>
          <w:noProof/>
          <w:webHidden/>
        </w:rPr>
        <w:tab/>
        <w:t>8</w:t>
      </w:r>
    </w:p>
    <w:p w14:paraId="13A9DC70" w14:textId="77777777" w:rsidR="00CA2B31" w:rsidRPr="009B5623" w:rsidRDefault="00CA2B31" w:rsidP="00CA2B31">
      <w:pPr>
        <w:pStyle w:val="TOC2"/>
        <w:rPr>
          <w:rFonts w:asciiTheme="minorHAnsi" w:eastAsiaTheme="minorEastAsia" w:hAnsiTheme="minorHAnsi" w:cstheme="minorBidi"/>
          <w:noProof/>
          <w:kern w:val="2"/>
          <w:sz w:val="22"/>
          <w14:ligatures w14:val="standardContextual"/>
        </w:rPr>
      </w:pPr>
      <w:r w:rsidRPr="009B5623">
        <w:rPr>
          <w:noProof/>
        </w:rPr>
        <w:t>2.3</w:t>
      </w:r>
      <w:r w:rsidRPr="009B5623">
        <w:rPr>
          <w:rFonts w:asciiTheme="minorHAnsi" w:hAnsiTheme="minorHAnsi"/>
          <w:noProof/>
          <w:sz w:val="22"/>
        </w:rPr>
        <w:tab/>
      </w:r>
      <w:r w:rsidRPr="009B5623">
        <w:rPr>
          <w:noProof/>
        </w:rPr>
        <w:t>Ukrepi za preprečevanje goljufij in nepravilnosti</w:t>
      </w:r>
      <w:r w:rsidRPr="009B5623">
        <w:rPr>
          <w:noProof/>
          <w:webHidden/>
        </w:rPr>
        <w:tab/>
        <w:t>9</w:t>
      </w:r>
    </w:p>
    <w:p w14:paraId="767A6FA7" w14:textId="77777777" w:rsidR="00CA2B31" w:rsidRPr="009B5623" w:rsidRDefault="00CA2B31" w:rsidP="00CA2B31">
      <w:pPr>
        <w:pStyle w:val="TOC1"/>
        <w:rPr>
          <w:rFonts w:asciiTheme="minorHAnsi" w:eastAsiaTheme="minorEastAsia" w:hAnsiTheme="minorHAnsi" w:cstheme="minorBidi"/>
          <w:noProof/>
          <w:kern w:val="2"/>
          <w:sz w:val="22"/>
          <w14:ligatures w14:val="standardContextual"/>
        </w:rPr>
      </w:pPr>
      <w:r w:rsidRPr="009B5623">
        <w:rPr>
          <w:noProof/>
        </w:rPr>
        <w:t>4.</w:t>
      </w:r>
      <w:r w:rsidRPr="009B5623">
        <w:rPr>
          <w:rFonts w:asciiTheme="minorHAnsi" w:hAnsiTheme="minorHAnsi"/>
          <w:noProof/>
          <w:sz w:val="22"/>
        </w:rPr>
        <w:tab/>
      </w:r>
      <w:r w:rsidRPr="009B5623">
        <w:rPr>
          <w:caps/>
          <w:noProof/>
        </w:rPr>
        <w:t>Digitalne razsežnosti</w:t>
      </w:r>
      <w:r w:rsidRPr="009B5623">
        <w:rPr>
          <w:noProof/>
          <w:webHidden/>
        </w:rPr>
        <w:tab/>
        <w:t>29</w:t>
      </w:r>
    </w:p>
    <w:p w14:paraId="521A57FF" w14:textId="77777777" w:rsidR="00CA2B31" w:rsidRPr="009B5623" w:rsidRDefault="00CA2B31" w:rsidP="00CA2B31">
      <w:pPr>
        <w:pStyle w:val="TOC2"/>
        <w:rPr>
          <w:rFonts w:asciiTheme="minorHAnsi" w:eastAsiaTheme="minorEastAsia" w:hAnsiTheme="minorHAnsi" w:cstheme="minorBidi"/>
          <w:noProof/>
          <w:kern w:val="2"/>
          <w:sz w:val="22"/>
          <w14:ligatures w14:val="standardContextual"/>
        </w:rPr>
      </w:pPr>
      <w:r w:rsidRPr="009B5623">
        <w:rPr>
          <w:noProof/>
        </w:rPr>
        <w:t>4.1</w:t>
      </w:r>
      <w:r w:rsidRPr="009B5623">
        <w:rPr>
          <w:rFonts w:asciiTheme="minorHAnsi" w:hAnsiTheme="minorHAnsi"/>
          <w:noProof/>
          <w:sz w:val="22"/>
        </w:rPr>
        <w:tab/>
      </w:r>
      <w:r w:rsidRPr="009B5623">
        <w:rPr>
          <w:noProof/>
        </w:rPr>
        <w:t>Zahteve digitalnega pomena</w:t>
      </w:r>
      <w:r w:rsidRPr="009B5623">
        <w:rPr>
          <w:noProof/>
          <w:webHidden/>
        </w:rPr>
        <w:tab/>
        <w:t>30</w:t>
      </w:r>
    </w:p>
    <w:p w14:paraId="57AEB511" w14:textId="77777777" w:rsidR="00CA2B31" w:rsidRPr="009B5623" w:rsidRDefault="00CA2B31" w:rsidP="00CA2B31">
      <w:pPr>
        <w:pStyle w:val="TOC2"/>
        <w:rPr>
          <w:rFonts w:asciiTheme="minorHAnsi" w:eastAsiaTheme="minorEastAsia" w:hAnsiTheme="minorHAnsi" w:cstheme="minorBidi"/>
          <w:noProof/>
          <w:kern w:val="2"/>
          <w:sz w:val="22"/>
          <w14:ligatures w14:val="standardContextual"/>
        </w:rPr>
      </w:pPr>
      <w:r w:rsidRPr="009B5623">
        <w:rPr>
          <w:noProof/>
        </w:rPr>
        <w:t>4.2</w:t>
      </w:r>
      <w:r w:rsidRPr="009B5623">
        <w:rPr>
          <w:rFonts w:asciiTheme="minorHAnsi" w:hAnsiTheme="minorHAnsi"/>
          <w:noProof/>
          <w:sz w:val="22"/>
        </w:rPr>
        <w:tab/>
      </w:r>
      <w:r w:rsidRPr="009B5623">
        <w:rPr>
          <w:noProof/>
        </w:rPr>
        <w:t>Podatki</w:t>
      </w:r>
      <w:r w:rsidRPr="009B5623">
        <w:rPr>
          <w:noProof/>
          <w:webHidden/>
        </w:rPr>
        <w:tab/>
        <w:t>30</w:t>
      </w:r>
    </w:p>
    <w:p w14:paraId="64652870" w14:textId="77777777" w:rsidR="00CA2B31" w:rsidRPr="009B5623" w:rsidRDefault="00CA2B31" w:rsidP="00CA2B31">
      <w:pPr>
        <w:pStyle w:val="TOC2"/>
        <w:rPr>
          <w:rFonts w:asciiTheme="minorHAnsi" w:eastAsiaTheme="minorEastAsia" w:hAnsiTheme="minorHAnsi" w:cstheme="minorBidi"/>
          <w:noProof/>
          <w:kern w:val="2"/>
          <w:sz w:val="22"/>
          <w14:ligatures w14:val="standardContextual"/>
        </w:rPr>
      </w:pPr>
      <w:r w:rsidRPr="009B5623">
        <w:rPr>
          <w:noProof/>
        </w:rPr>
        <w:t>4.3</w:t>
      </w:r>
      <w:r w:rsidRPr="009B5623">
        <w:rPr>
          <w:rFonts w:asciiTheme="minorHAnsi" w:hAnsiTheme="minorHAnsi"/>
          <w:noProof/>
          <w:sz w:val="22"/>
        </w:rPr>
        <w:tab/>
      </w:r>
      <w:r w:rsidRPr="009B5623">
        <w:rPr>
          <w:noProof/>
        </w:rPr>
        <w:t>Digitalne rešitve</w:t>
      </w:r>
      <w:r w:rsidRPr="009B5623">
        <w:rPr>
          <w:noProof/>
          <w:webHidden/>
        </w:rPr>
        <w:tab/>
        <w:t>31</w:t>
      </w:r>
    </w:p>
    <w:p w14:paraId="17CD33AC" w14:textId="77777777" w:rsidR="00CA2B31" w:rsidRPr="009B5623" w:rsidRDefault="00CA2B31" w:rsidP="00CA2B31">
      <w:pPr>
        <w:pStyle w:val="TOC2"/>
        <w:rPr>
          <w:rFonts w:asciiTheme="minorHAnsi" w:eastAsiaTheme="minorEastAsia" w:hAnsiTheme="minorHAnsi" w:cstheme="minorBidi"/>
          <w:noProof/>
          <w:kern w:val="2"/>
          <w:sz w:val="22"/>
          <w14:ligatures w14:val="standardContextual"/>
        </w:rPr>
      </w:pPr>
      <w:r w:rsidRPr="009B5623">
        <w:rPr>
          <w:noProof/>
        </w:rPr>
        <w:t>4.4</w:t>
      </w:r>
      <w:r w:rsidRPr="009B5623">
        <w:rPr>
          <w:rFonts w:asciiTheme="minorHAnsi" w:hAnsiTheme="minorHAnsi"/>
          <w:noProof/>
          <w:sz w:val="22"/>
        </w:rPr>
        <w:tab/>
      </w:r>
      <w:r w:rsidRPr="009B5623">
        <w:rPr>
          <w:noProof/>
        </w:rPr>
        <w:t>Ocena interoperabilnosti</w:t>
      </w:r>
      <w:r w:rsidRPr="009B5623">
        <w:rPr>
          <w:noProof/>
          <w:webHidden/>
        </w:rPr>
        <w:tab/>
        <w:t>31</w:t>
      </w:r>
    </w:p>
    <w:p w14:paraId="3643FEF0" w14:textId="77777777" w:rsidR="00CA2B31" w:rsidRPr="009B5623" w:rsidRDefault="00CA2B31" w:rsidP="00CA2B31">
      <w:pPr>
        <w:pStyle w:val="TOC2"/>
        <w:rPr>
          <w:rFonts w:asciiTheme="minorHAnsi" w:eastAsiaTheme="minorEastAsia" w:hAnsiTheme="minorHAnsi" w:cstheme="minorBidi"/>
          <w:noProof/>
          <w:kern w:val="2"/>
          <w:sz w:val="22"/>
          <w14:ligatures w14:val="standardContextual"/>
        </w:rPr>
      </w:pPr>
      <w:r w:rsidRPr="009B5623">
        <w:rPr>
          <w:noProof/>
        </w:rPr>
        <w:t>4.5</w:t>
      </w:r>
      <w:r w:rsidRPr="009B5623">
        <w:rPr>
          <w:rFonts w:asciiTheme="minorHAnsi" w:hAnsiTheme="minorHAnsi"/>
          <w:noProof/>
          <w:sz w:val="22"/>
        </w:rPr>
        <w:tab/>
      </w:r>
      <w:r w:rsidRPr="009B5623">
        <w:rPr>
          <w:noProof/>
        </w:rPr>
        <w:t>Ukrepi v podporo digitalnemu izvajanju</w:t>
      </w:r>
      <w:r w:rsidRPr="009B5623">
        <w:rPr>
          <w:noProof/>
          <w:webHidden/>
        </w:rPr>
        <w:tab/>
        <w:t>32</w:t>
      </w:r>
    </w:p>
    <w:p w14:paraId="69981287" w14:textId="77777777" w:rsidR="00CA2B31" w:rsidRPr="009B5623" w:rsidRDefault="00CA2B31" w:rsidP="00CA2B31">
      <w:pPr>
        <w:pStyle w:val="TOC1"/>
        <w:ind w:left="0" w:firstLine="0"/>
        <w:rPr>
          <w:noProof/>
        </w:rPr>
        <w:sectPr w:rsidR="00CA2B31" w:rsidRPr="009B5623" w:rsidSect="0022615E">
          <w:pgSz w:w="11907" w:h="16840" w:code="9"/>
          <w:pgMar w:top="1134" w:right="1418" w:bottom="1134" w:left="1418" w:header="709" w:footer="709" w:gutter="0"/>
          <w:pgNumType w:start="1"/>
          <w:cols w:space="720"/>
          <w:docGrid w:linePitch="360"/>
        </w:sectPr>
      </w:pPr>
    </w:p>
    <w:p w14:paraId="0A0BC0FA" w14:textId="77777777" w:rsidR="00CA2B31" w:rsidRPr="009B5623" w:rsidRDefault="00CA2B31" w:rsidP="00CA2B31">
      <w:pPr>
        <w:pStyle w:val="ManualHeading1"/>
        <w:rPr>
          <w:noProof/>
        </w:rPr>
      </w:pPr>
      <w:bookmarkStart w:id="3" w:name="_Toc514938007"/>
      <w:bookmarkStart w:id="4" w:name="_Toc520485025"/>
      <w:bookmarkStart w:id="5" w:name="_Toc160804567"/>
      <w:bookmarkStart w:id="6" w:name="_Toc167220259"/>
      <w:bookmarkStart w:id="7" w:name="_Toc177548992"/>
      <w:r w:rsidRPr="009B5623">
        <w:rPr>
          <w:noProof/>
        </w:rPr>
        <w:t>1.</w:t>
      </w:r>
      <w:r w:rsidRPr="009B5623">
        <w:rPr>
          <w:noProof/>
        </w:rPr>
        <w:tab/>
        <w:t>OKVIR PREDLOGA/POBUDE</w:t>
      </w:r>
      <w:bookmarkEnd w:id="3"/>
      <w:bookmarkEnd w:id="4"/>
      <w:bookmarkEnd w:id="5"/>
      <w:bookmarkEnd w:id="6"/>
      <w:bookmarkEnd w:id="7"/>
      <w:r w:rsidRPr="009B5623">
        <w:rPr>
          <w:noProof/>
        </w:rPr>
        <w:t xml:space="preserve"> </w:t>
      </w:r>
    </w:p>
    <w:p w14:paraId="7FF6FAED" w14:textId="77777777" w:rsidR="00CA2B31" w:rsidRPr="009B5623" w:rsidRDefault="00CA2B31" w:rsidP="00CA2B31">
      <w:pPr>
        <w:pStyle w:val="ManualHeading2"/>
        <w:rPr>
          <w:noProof/>
        </w:rPr>
      </w:pPr>
      <w:bookmarkStart w:id="8" w:name="_Toc514938008"/>
      <w:bookmarkStart w:id="9" w:name="_Toc520485026"/>
      <w:bookmarkStart w:id="10" w:name="_Toc160804568"/>
      <w:bookmarkStart w:id="11" w:name="_Toc167220260"/>
      <w:bookmarkStart w:id="12" w:name="_Toc177548993"/>
      <w:r w:rsidRPr="009B5623">
        <w:rPr>
          <w:noProof/>
        </w:rPr>
        <w:t>1.1</w:t>
      </w:r>
      <w:r w:rsidRPr="009B5623">
        <w:rPr>
          <w:noProof/>
        </w:rPr>
        <w:tab/>
        <w:t>Naslov predloga/pobude</w:t>
      </w:r>
      <w:bookmarkEnd w:id="8"/>
      <w:bookmarkEnd w:id="9"/>
      <w:bookmarkEnd w:id="10"/>
      <w:bookmarkEnd w:id="11"/>
      <w:bookmarkEnd w:id="12"/>
    </w:p>
    <w:p w14:paraId="41055A92" w14:textId="77777777" w:rsidR="00CA2B31" w:rsidRPr="009B5623" w:rsidRDefault="00CA2B31" w:rsidP="00DF6FDE">
      <w:pPr>
        <w:pStyle w:val="Text1"/>
        <w:pBdr>
          <w:top w:val="single" w:sz="4" w:space="1" w:color="auto"/>
          <w:left w:val="single" w:sz="4" w:space="4" w:color="auto"/>
          <w:bottom w:val="single" w:sz="4" w:space="1" w:color="auto"/>
          <w:right w:val="single" w:sz="4" w:space="4" w:color="auto"/>
        </w:pBdr>
        <w:rPr>
          <w:noProof/>
        </w:rPr>
      </w:pPr>
      <w:r w:rsidRPr="009B5623">
        <w:rPr>
          <w:noProof/>
        </w:rPr>
        <w:t xml:space="preserve">Predlog direktive Evropskega parlamenta in Sveta o spremembi direktiv (EU) 2022/2464 in (EU) 2024/1760 v zvezi z nekaterimi zahtevami glede poročanja podjetij o trajnostnosti in skrbnega pregleda v podjetjih glede trajnostnosti. </w:t>
      </w:r>
    </w:p>
    <w:p w14:paraId="05707247" w14:textId="77777777" w:rsidR="00CA2B31" w:rsidRPr="009B5623" w:rsidRDefault="00CA2B31" w:rsidP="00CA2B31">
      <w:pPr>
        <w:pStyle w:val="ManualHeading2"/>
        <w:rPr>
          <w:i/>
          <w:noProof/>
        </w:rPr>
      </w:pPr>
      <w:bookmarkStart w:id="13" w:name="_Toc514938011"/>
      <w:bookmarkStart w:id="14" w:name="_Toc520485027"/>
      <w:bookmarkStart w:id="15" w:name="_Toc160804569"/>
      <w:bookmarkStart w:id="16" w:name="_Toc167220261"/>
      <w:bookmarkStart w:id="17" w:name="_Toc177548994"/>
      <w:r w:rsidRPr="009B5623">
        <w:rPr>
          <w:noProof/>
        </w:rPr>
        <w:t>1.2</w:t>
      </w:r>
      <w:r w:rsidRPr="009B5623">
        <w:rPr>
          <w:noProof/>
        </w:rPr>
        <w:tab/>
        <w:t>Zadevna področja</w:t>
      </w:r>
      <w:bookmarkEnd w:id="13"/>
      <w:bookmarkEnd w:id="14"/>
      <w:bookmarkEnd w:id="15"/>
      <w:bookmarkEnd w:id="16"/>
      <w:bookmarkEnd w:id="17"/>
      <w:r w:rsidRPr="009B5623">
        <w:rPr>
          <w:i/>
          <w:noProof/>
        </w:rPr>
        <w:t xml:space="preserve"> </w:t>
      </w:r>
    </w:p>
    <w:p w14:paraId="45DCBC19" w14:textId="77777777" w:rsidR="00CA2B31" w:rsidRPr="009B5623" w:rsidRDefault="00CA2B31" w:rsidP="00CA2B31">
      <w:pPr>
        <w:pStyle w:val="Text1"/>
        <w:pBdr>
          <w:top w:val="single" w:sz="4" w:space="1" w:color="auto"/>
          <w:left w:val="single" w:sz="4" w:space="4" w:color="auto"/>
          <w:bottom w:val="single" w:sz="4" w:space="1" w:color="auto"/>
          <w:right w:val="single" w:sz="4" w:space="4" w:color="auto"/>
        </w:pBdr>
        <w:rPr>
          <w:noProof/>
        </w:rPr>
      </w:pPr>
      <w:r w:rsidRPr="009B5623">
        <w:rPr>
          <w:noProof/>
        </w:rPr>
        <w:t xml:space="preserve">Unija kapitalskih trgov, unija prihrankov in naložb, evropski zeleni dogovor, strategija za financiranje trajnostne rasti, pravo gospodarskih družb in upravljanje podjetij. </w:t>
      </w:r>
    </w:p>
    <w:p w14:paraId="4028EEA9" w14:textId="77777777" w:rsidR="00CA2B31" w:rsidRPr="009B5623" w:rsidRDefault="00CA2B31" w:rsidP="00CA2B31">
      <w:pPr>
        <w:pStyle w:val="ManualHeading2"/>
        <w:rPr>
          <w:noProof/>
        </w:rPr>
      </w:pPr>
      <w:bookmarkStart w:id="18" w:name="_Toc514938015"/>
      <w:bookmarkStart w:id="19" w:name="_Toc520485029"/>
      <w:bookmarkStart w:id="20" w:name="_Toc160804571"/>
      <w:bookmarkStart w:id="21" w:name="_Toc167220263"/>
      <w:bookmarkStart w:id="22" w:name="_Toc177548995"/>
      <w:r w:rsidRPr="009B5623">
        <w:rPr>
          <w:noProof/>
        </w:rPr>
        <w:t>1.3</w:t>
      </w:r>
      <w:r w:rsidRPr="009B5623">
        <w:rPr>
          <w:noProof/>
        </w:rPr>
        <w:tab/>
        <w:t>Cilji</w:t>
      </w:r>
      <w:bookmarkEnd w:id="18"/>
      <w:bookmarkEnd w:id="19"/>
      <w:bookmarkEnd w:id="20"/>
      <w:bookmarkEnd w:id="21"/>
      <w:bookmarkEnd w:id="22"/>
    </w:p>
    <w:p w14:paraId="7D58B297" w14:textId="77777777" w:rsidR="00CA2B31" w:rsidRPr="009B5623" w:rsidRDefault="00CA2B31" w:rsidP="00CA2B31">
      <w:pPr>
        <w:pStyle w:val="ManualHeading3"/>
        <w:rPr>
          <w:noProof/>
        </w:rPr>
      </w:pPr>
      <w:bookmarkStart w:id="23" w:name="_Toc514938016"/>
      <w:bookmarkStart w:id="24" w:name="_Toc520485030"/>
      <w:bookmarkStart w:id="25" w:name="_Toc160804572"/>
      <w:bookmarkStart w:id="26" w:name="_Toc167220264"/>
      <w:bookmarkStart w:id="27" w:name="_Toc177548996"/>
      <w:r w:rsidRPr="009B5623">
        <w:rPr>
          <w:noProof/>
        </w:rPr>
        <w:t>1.3.1</w:t>
      </w:r>
      <w:r w:rsidRPr="009B5623">
        <w:rPr>
          <w:noProof/>
        </w:rPr>
        <w:tab/>
        <w:t>Splošni cilji</w:t>
      </w:r>
      <w:bookmarkEnd w:id="23"/>
      <w:bookmarkEnd w:id="24"/>
      <w:bookmarkEnd w:id="25"/>
      <w:bookmarkEnd w:id="26"/>
      <w:bookmarkEnd w:id="27"/>
    </w:p>
    <w:p w14:paraId="4EC84BF5" w14:textId="77777777" w:rsidR="00CA2B31" w:rsidRPr="009B5623" w:rsidRDefault="00CA2B31" w:rsidP="00CA2B31">
      <w:pPr>
        <w:pStyle w:val="Text1"/>
        <w:pBdr>
          <w:top w:val="single" w:sz="4" w:space="1" w:color="auto"/>
          <w:left w:val="single" w:sz="4" w:space="4" w:color="auto"/>
          <w:bottom w:val="single" w:sz="4" w:space="1" w:color="auto"/>
          <w:right w:val="single" w:sz="4" w:space="4" w:color="auto"/>
        </w:pBdr>
        <w:rPr>
          <w:noProof/>
        </w:rPr>
      </w:pPr>
      <w:r w:rsidRPr="009B5623">
        <w:rPr>
          <w:noProof/>
        </w:rPr>
        <w:t>Splošna cilja tega zakonodajnega predloga sta poenostavitev in zmanjšanje nekaterih elementov Direktive 2006/43/ES, Direktive 2013/34/EU, Direktive (EU) 2022/2464 in Direktive (EU) 2024/1760, da se zmanjša breme poročanja za podjetja, ki spadajo na področje uporabe zahtev.</w:t>
      </w:r>
    </w:p>
    <w:p w14:paraId="7516CEA4" w14:textId="77777777" w:rsidR="00CA2B31" w:rsidRPr="009B5623" w:rsidRDefault="00CA2B31" w:rsidP="00DF6FDE">
      <w:pPr>
        <w:pStyle w:val="Text1"/>
        <w:pBdr>
          <w:top w:val="single" w:sz="4" w:space="1" w:color="auto"/>
          <w:left w:val="single" w:sz="4" w:space="4" w:color="auto"/>
          <w:bottom w:val="single" w:sz="4" w:space="1" w:color="auto"/>
          <w:right w:val="single" w:sz="4" w:space="4" w:color="auto"/>
        </w:pBdr>
        <w:rPr>
          <w:noProof/>
        </w:rPr>
      </w:pPr>
      <w:r w:rsidRPr="009B5623">
        <w:rPr>
          <w:noProof/>
        </w:rPr>
        <w:t xml:space="preserve">Namen tega predloga je z zmanjšanjem upravnega bremena, povezanega z zahtevami glede poročanja, in stroškov izpolnjevanja obveznosti v zvezi s poročanjem o trajnostnosti, ki izhajajo iz navedene zakonodaje, povečati sorazmernost okvira in konkurenčnost evropskih podjetij, hkrati pa tudi ohraniti cilje evropskega zelenega dogovora. </w:t>
      </w:r>
    </w:p>
    <w:p w14:paraId="07026537" w14:textId="77777777" w:rsidR="00CA2B31" w:rsidRPr="009B5623" w:rsidRDefault="00CA2B31" w:rsidP="00CA2B31">
      <w:pPr>
        <w:pStyle w:val="ManualHeading3"/>
        <w:rPr>
          <w:noProof/>
        </w:rPr>
      </w:pPr>
      <w:bookmarkStart w:id="28" w:name="_Toc514938018"/>
      <w:bookmarkStart w:id="29" w:name="_Toc520485031"/>
      <w:bookmarkStart w:id="30" w:name="_Toc160804573"/>
      <w:bookmarkStart w:id="31" w:name="_Toc167220265"/>
      <w:bookmarkStart w:id="32" w:name="_Toc177548997"/>
      <w:r w:rsidRPr="009B5623">
        <w:rPr>
          <w:noProof/>
        </w:rPr>
        <w:t>1.3.2</w:t>
      </w:r>
      <w:r w:rsidRPr="009B5623">
        <w:rPr>
          <w:noProof/>
        </w:rPr>
        <w:tab/>
        <w:t>Specifični cilji</w:t>
      </w:r>
      <w:bookmarkEnd w:id="28"/>
      <w:bookmarkEnd w:id="29"/>
      <w:bookmarkEnd w:id="30"/>
      <w:bookmarkEnd w:id="31"/>
      <w:bookmarkEnd w:id="32"/>
    </w:p>
    <w:p w14:paraId="01F1975F" w14:textId="77777777" w:rsidR="00CA2B31" w:rsidRPr="009B5623" w:rsidRDefault="00CA2B31" w:rsidP="00A147FF">
      <w:pPr>
        <w:pStyle w:val="Text1"/>
        <w:pBdr>
          <w:top w:val="single" w:sz="4" w:space="1" w:color="auto"/>
          <w:left w:val="single" w:sz="4" w:space="4" w:color="auto"/>
          <w:bottom w:val="single" w:sz="4" w:space="1" w:color="auto"/>
          <w:right w:val="single" w:sz="4" w:space="4" w:color="auto"/>
        </w:pBdr>
        <w:rPr>
          <w:noProof/>
        </w:rPr>
      </w:pPr>
      <w:r w:rsidRPr="009B5623">
        <w:rPr>
          <w:noProof/>
        </w:rPr>
        <w:t xml:space="preserve">Namen specifičnih ciljev predlaganih sprememb Direktive (EU) 2022/2464, vključenih v ta predlog, je doseči naslednje rezultate: </w:t>
      </w:r>
    </w:p>
    <w:p w14:paraId="2C48C751" w14:textId="77777777" w:rsidR="00CA2B31" w:rsidRPr="009B5623" w:rsidRDefault="00CA2B31" w:rsidP="00373936">
      <w:pPr>
        <w:pStyle w:val="Tiret1"/>
        <w:numPr>
          <w:ilvl w:val="0"/>
          <w:numId w:val="23"/>
        </w:numPr>
        <w:rPr>
          <w:noProof/>
        </w:rPr>
      </w:pPr>
      <w:r w:rsidRPr="009B5623">
        <w:rPr>
          <w:noProof/>
        </w:rPr>
        <w:t xml:space="preserve">odložiti zahteve glede poročanja o trajnostnosti za podjetja iz drugega in tretjega vala za dve leti. </w:t>
      </w:r>
    </w:p>
    <w:p w14:paraId="7F1343EB" w14:textId="77777777" w:rsidR="00CA2B31" w:rsidRPr="009B5623" w:rsidRDefault="00CA2B31" w:rsidP="00CA2B31">
      <w:pPr>
        <w:pStyle w:val="Text1"/>
        <w:pBdr>
          <w:top w:val="single" w:sz="4" w:space="1" w:color="auto"/>
          <w:left w:val="single" w:sz="4" w:space="4" w:color="auto"/>
          <w:bottom w:val="single" w:sz="4" w:space="1" w:color="auto"/>
          <w:right w:val="single" w:sz="4" w:space="4" w:color="auto"/>
        </w:pBdr>
        <w:rPr>
          <w:noProof/>
        </w:rPr>
      </w:pPr>
      <w:r w:rsidRPr="009B5623">
        <w:rPr>
          <w:noProof/>
        </w:rPr>
        <w:t xml:space="preserve">Namen specifičnih ciljev predlaganih sprememb Direktive (EU) 2024/1760, vključenih v ta predlog, je doseči naslednje rezultate: </w:t>
      </w:r>
    </w:p>
    <w:p w14:paraId="212188E2" w14:textId="77777777" w:rsidR="003F2BB2" w:rsidRPr="009B5623" w:rsidRDefault="004D5429" w:rsidP="00DD2BEC">
      <w:pPr>
        <w:pStyle w:val="Tiret1"/>
        <w:rPr>
          <w:noProof/>
        </w:rPr>
      </w:pPr>
      <w:r w:rsidRPr="009B5623">
        <w:rPr>
          <w:noProof/>
        </w:rPr>
        <w:t>odložiti rok za prenos in uporabo zahtev glede skrbnega pregleda glede trajnostnosti za podjetja iz prvega vala za eno leto.</w:t>
      </w:r>
    </w:p>
    <w:p w14:paraId="1E8CF8FB" w14:textId="77777777" w:rsidR="00CA2B31" w:rsidRPr="009B5623" w:rsidRDefault="00CA2B31" w:rsidP="00CA2B31">
      <w:pPr>
        <w:pStyle w:val="ManualHeading3"/>
        <w:rPr>
          <w:noProof/>
        </w:rPr>
      </w:pPr>
      <w:bookmarkStart w:id="33" w:name="_Toc514938019"/>
      <w:bookmarkStart w:id="34" w:name="_Toc520485032"/>
      <w:bookmarkStart w:id="35" w:name="_Toc160804574"/>
      <w:bookmarkStart w:id="36" w:name="_Toc167220266"/>
      <w:bookmarkStart w:id="37" w:name="_Toc177548998"/>
      <w:r w:rsidRPr="009B5623">
        <w:rPr>
          <w:noProof/>
        </w:rPr>
        <w:t>1.3.3</w:t>
      </w:r>
      <w:r w:rsidRPr="009B5623">
        <w:rPr>
          <w:noProof/>
        </w:rPr>
        <w:tab/>
        <w:t>Pričakovani rezultati in posledice</w:t>
      </w:r>
      <w:bookmarkEnd w:id="33"/>
      <w:bookmarkEnd w:id="34"/>
      <w:bookmarkEnd w:id="35"/>
      <w:bookmarkEnd w:id="36"/>
      <w:bookmarkEnd w:id="37"/>
    </w:p>
    <w:p w14:paraId="21387579" w14:textId="77777777" w:rsidR="00CA2B31" w:rsidRPr="009B5623" w:rsidRDefault="00CA2B31" w:rsidP="00CA2B31">
      <w:pPr>
        <w:pStyle w:val="Text1"/>
        <w:rPr>
          <w:noProof/>
        </w:rPr>
      </w:pPr>
      <w:r w:rsidRPr="009B5623">
        <w:rPr>
          <w:i/>
          <w:noProof/>
          <w:sz w:val="20"/>
        </w:rPr>
        <w:t>Navedite, kakšne učinke naj bi imel(-a) predlog/pobuda za upravičence/ciljne skupine.</w:t>
      </w:r>
    </w:p>
    <w:p w14:paraId="0DFF76F4" w14:textId="77777777" w:rsidR="00CA2B31" w:rsidRPr="009B5623" w:rsidRDefault="00CA2B31" w:rsidP="00CA2B31">
      <w:pPr>
        <w:pStyle w:val="Text1"/>
        <w:pBdr>
          <w:top w:val="single" w:sz="4" w:space="1" w:color="auto"/>
          <w:left w:val="single" w:sz="4" w:space="4" w:color="auto"/>
          <w:bottom w:val="single" w:sz="4" w:space="1" w:color="auto"/>
          <w:right w:val="single" w:sz="4" w:space="4" w:color="auto"/>
        </w:pBdr>
        <w:rPr>
          <w:noProof/>
        </w:rPr>
      </w:pPr>
      <w:r w:rsidRPr="009B5623">
        <w:rPr>
          <w:noProof/>
        </w:rPr>
        <w:t xml:space="preserve">Pričakovani rezultati in posledice predlaganih sprememb so poenostaviti zahteve glede poročanja o trajnostnosti in tako zmanjšati upravno breme za podjetja v zvezi s tem, hkrati pa ohraniti cilje evropskega zelenega dogovora in akcijskega načrta za trajnostno financiranje. Pričakuje se tudi, da bodo predlagane spremembe podjetjem, ki spadajo na področje uporabe, pri poročanju o trajnostnosti prinesle znatne prihranke pri stroških. </w:t>
      </w:r>
    </w:p>
    <w:p w14:paraId="1C8339DF" w14:textId="77777777" w:rsidR="00CA2B31" w:rsidRPr="009B5623" w:rsidRDefault="00DD4334" w:rsidP="00CA2B31">
      <w:pPr>
        <w:pStyle w:val="Text1"/>
        <w:pBdr>
          <w:top w:val="single" w:sz="4" w:space="1" w:color="auto"/>
          <w:left w:val="single" w:sz="4" w:space="4" w:color="auto"/>
          <w:bottom w:val="single" w:sz="4" w:space="1" w:color="auto"/>
          <w:right w:val="single" w:sz="4" w:space="4" w:color="auto"/>
        </w:pBdr>
        <w:rPr>
          <w:noProof/>
        </w:rPr>
      </w:pPr>
      <w:r w:rsidRPr="009B5623">
        <w:rPr>
          <w:noProof/>
        </w:rPr>
        <w:t>Pričakuje se, da bodo spremembe Direktive (EU) 2024/1760, vključene v ta predlog, zmanjšale regulativno breme za podjetja, saj bodo imela več časa za pripravo na izpolnjevanje obveznosti ter prilagoditev svojih politik, procesov in postopkov, tudi ob upoštevanju smernic, ki jih bo izdala Komisija, kar jim bo omogočilo, da gradijo na dobrih praksah in zmanjšajo svojo odvisnost od pravnega svetovanja in svetovalnih storitev.</w:t>
      </w:r>
    </w:p>
    <w:p w14:paraId="714FE192" w14:textId="77777777" w:rsidR="00CA2B31" w:rsidRPr="009B5623" w:rsidRDefault="00CA2B31" w:rsidP="00CA2B31">
      <w:pPr>
        <w:pStyle w:val="ManualHeading3"/>
        <w:rPr>
          <w:noProof/>
        </w:rPr>
      </w:pPr>
      <w:bookmarkStart w:id="38" w:name="_Toc514938023"/>
      <w:bookmarkStart w:id="39" w:name="_Toc520485033"/>
      <w:bookmarkStart w:id="40" w:name="_Toc160804575"/>
      <w:bookmarkStart w:id="41" w:name="_Toc167220267"/>
      <w:bookmarkStart w:id="42" w:name="_Toc177548999"/>
      <w:r w:rsidRPr="009B5623">
        <w:rPr>
          <w:noProof/>
        </w:rPr>
        <w:t>1.3.4</w:t>
      </w:r>
      <w:r w:rsidRPr="009B5623">
        <w:rPr>
          <w:noProof/>
        </w:rPr>
        <w:tab/>
        <w:t>Kazalniki smotrnosti</w:t>
      </w:r>
      <w:bookmarkEnd w:id="38"/>
      <w:bookmarkEnd w:id="39"/>
      <w:bookmarkEnd w:id="40"/>
      <w:bookmarkEnd w:id="41"/>
      <w:bookmarkEnd w:id="42"/>
    </w:p>
    <w:p w14:paraId="208D9BC5" w14:textId="77777777" w:rsidR="00CA2B31" w:rsidRPr="009B5623" w:rsidRDefault="00CA2B31" w:rsidP="00CA2B31">
      <w:pPr>
        <w:pStyle w:val="Text1"/>
        <w:rPr>
          <w:i/>
          <w:noProof/>
          <w:sz w:val="20"/>
        </w:rPr>
      </w:pPr>
      <w:r w:rsidRPr="009B5623">
        <w:rPr>
          <w:i/>
          <w:noProof/>
          <w:sz w:val="20"/>
        </w:rPr>
        <w:t>Navedite, s katerimi kazalniki se bodo spremljali napredek in dosežki.</w:t>
      </w:r>
    </w:p>
    <w:p w14:paraId="739DA69C" w14:textId="77777777" w:rsidR="00CA2B31" w:rsidRPr="009B5623" w:rsidRDefault="00CA2B31" w:rsidP="00CA2B31">
      <w:pPr>
        <w:pStyle w:val="Text1"/>
        <w:pBdr>
          <w:top w:val="single" w:sz="4" w:space="1" w:color="auto"/>
          <w:left w:val="single" w:sz="4" w:space="4" w:color="auto"/>
          <w:bottom w:val="single" w:sz="4" w:space="1" w:color="auto"/>
          <w:right w:val="single" w:sz="4" w:space="4" w:color="auto"/>
        </w:pBdr>
        <w:rPr>
          <w:noProof/>
        </w:rPr>
      </w:pPr>
      <w:r w:rsidRPr="009B5623">
        <w:rPr>
          <w:noProof/>
        </w:rPr>
        <w:t xml:space="preserve">Direktivo o poročanju podjetij o trajnostnosti je uporabil prvi sklop podjetij, ki prve izjave o trajnostnosti objavljajo predvsem v prvi polovici leta 2025. Zato ni bilo mogoče opraviti naknadne ocene ali preverjanja primernosti nobenega od zakonodajnih aktov.  </w:t>
      </w:r>
    </w:p>
    <w:p w14:paraId="020DAAE8" w14:textId="77777777" w:rsidR="00CA2B31" w:rsidRPr="009B5623" w:rsidRDefault="00CA2B31" w:rsidP="00CA2B31">
      <w:pPr>
        <w:pStyle w:val="Text1"/>
        <w:pBdr>
          <w:top w:val="single" w:sz="4" w:space="1" w:color="auto"/>
          <w:left w:val="single" w:sz="4" w:space="4" w:color="auto"/>
          <w:bottom w:val="single" w:sz="4" w:space="1" w:color="auto"/>
          <w:right w:val="single" w:sz="4" w:space="4" w:color="auto"/>
        </w:pBdr>
        <w:rPr>
          <w:noProof/>
        </w:rPr>
      </w:pPr>
      <w:r w:rsidRPr="009B5623">
        <w:rPr>
          <w:noProof/>
        </w:rPr>
        <w:t xml:space="preserve">Za spremljanje napredka pri doseganju specifičnih ciljev predloga bo Komisija preučila možnost organizacije izmenjav z deležniki v različnih oblikah ter rednih anket uporabnikov informacij o trajnostnosti in podjetij, ki take informacije poročajo, odvisno od razpoložljivosti finančnih sredstev. V skladu s členom 6 direktive o poročanju podjetij o trajnostnosti mora Komisija do aprila 2029 predložiti poročilo o izvajanju direktive. </w:t>
      </w:r>
    </w:p>
    <w:p w14:paraId="6162400D" w14:textId="77777777" w:rsidR="00CA2B31" w:rsidRPr="009B5623" w:rsidRDefault="00CA2B31" w:rsidP="00CA2B31">
      <w:pPr>
        <w:pStyle w:val="Text1"/>
        <w:pBdr>
          <w:top w:val="single" w:sz="4" w:space="1" w:color="auto"/>
          <w:left w:val="single" w:sz="4" w:space="4" w:color="auto"/>
          <w:bottom w:val="single" w:sz="4" w:space="1" w:color="auto"/>
          <w:right w:val="single" w:sz="4" w:space="4" w:color="auto"/>
        </w:pBdr>
        <w:rPr>
          <w:noProof/>
        </w:rPr>
      </w:pPr>
      <w:r w:rsidRPr="009B5623">
        <w:rPr>
          <w:noProof/>
        </w:rPr>
        <w:t>Komisija se v tem predlogu zavezuje tudi k reviziji prvega sklopa ESRS. V skladu z Direktivo 2013/34/EU mora Komisija te standarde poročanja o trajnosti, tudi tiste za mala in srednja podjetja, pregledati vsaka tri leta, da bi upoštevala relevanten razvoj dogodkov, tudi na področju mednarodnih standardov.</w:t>
      </w:r>
    </w:p>
    <w:p w14:paraId="11400E4A" w14:textId="77777777" w:rsidR="00CA2B31" w:rsidRPr="009B5623" w:rsidRDefault="00CA2B31" w:rsidP="00381DB2">
      <w:pPr>
        <w:pStyle w:val="Text1"/>
        <w:pBdr>
          <w:top w:val="single" w:sz="4" w:space="1" w:color="auto"/>
          <w:left w:val="single" w:sz="4" w:space="4" w:color="auto"/>
          <w:bottom w:val="single" w:sz="4" w:space="1" w:color="auto"/>
          <w:right w:val="single" w:sz="4" w:space="4" w:color="auto"/>
        </w:pBdr>
        <w:rPr>
          <w:noProof/>
        </w:rPr>
      </w:pPr>
      <w:r w:rsidRPr="009B5623">
        <w:rPr>
          <w:noProof/>
        </w:rPr>
        <w:t xml:space="preserve">Izvajanje direktive o skrbnem pregledu v podjetjih glede trajnostnosti, kakor je bila spremenjena, in njena učinkovitost pri izpolnjevanju njenih ciljev, zlasti pri obravnavanju negativnih vplivov, bosta prav tako predmet rednega ocenjevanja v skladu s členom 36 navedene direktive. </w:t>
      </w:r>
    </w:p>
    <w:p w14:paraId="6170F603" w14:textId="77777777" w:rsidR="00CA2B31" w:rsidRPr="009B5623" w:rsidRDefault="00CA2B31" w:rsidP="00CA2B31">
      <w:pPr>
        <w:pStyle w:val="Text1"/>
        <w:pBdr>
          <w:top w:val="single" w:sz="4" w:space="1" w:color="auto"/>
          <w:left w:val="single" w:sz="4" w:space="4" w:color="auto"/>
          <w:bottom w:val="single" w:sz="4" w:space="1" w:color="auto"/>
          <w:right w:val="single" w:sz="4" w:space="4" w:color="auto"/>
        </w:pBdr>
        <w:rPr>
          <w:noProof/>
        </w:rPr>
      </w:pPr>
      <w:r w:rsidRPr="009B5623">
        <w:rPr>
          <w:noProof/>
        </w:rPr>
        <w:t>Za spremljanje napredka pri teh predlogih se bo uporabljalo več kazalnikov, kot so učinkovitost in pravočasnost predlaganih ukrepov, učinkovitost postopkov za zbiranje in obdelavo podatkov v skladu z zahtevami glede poročanja o trajnostnosti ter cilj omejitve upravnega bremena in izogibanja nepotrebnim ali podvojenim zahtevam glede poročanja.</w:t>
      </w:r>
    </w:p>
    <w:p w14:paraId="459AB5B8" w14:textId="77777777" w:rsidR="00CA2B31" w:rsidRPr="009B5623" w:rsidRDefault="00CA2B31" w:rsidP="00CA2B31">
      <w:pPr>
        <w:pStyle w:val="ManualHeading2"/>
        <w:rPr>
          <w:noProof/>
        </w:rPr>
      </w:pPr>
      <w:bookmarkStart w:id="43" w:name="_Toc177549000"/>
      <w:r w:rsidRPr="009B5623">
        <w:rPr>
          <w:noProof/>
        </w:rPr>
        <w:t>1.4</w:t>
      </w:r>
      <w:r w:rsidRPr="009B5623">
        <w:rPr>
          <w:noProof/>
        </w:rPr>
        <w:tab/>
        <w:t>Ukrep, na katerega se predlog/pobuda nanaša</w:t>
      </w:r>
      <w:bookmarkEnd w:id="43"/>
      <w:r w:rsidRPr="009B5623">
        <w:rPr>
          <w:noProof/>
        </w:rPr>
        <w:t xml:space="preserve"> </w:t>
      </w:r>
    </w:p>
    <w:p w14:paraId="5B3A2B82" w14:textId="77777777" w:rsidR="00CA2B31" w:rsidRPr="009B5623" w:rsidRDefault="00CA2B31" w:rsidP="00CA2B31">
      <w:pPr>
        <w:pStyle w:val="Text1"/>
        <w:rPr>
          <w:noProof/>
          <w:sz w:val="22"/>
        </w:rPr>
      </w:pPr>
      <w:r w:rsidRPr="009B5623">
        <w:rPr>
          <w:rFonts w:ascii="Wingdings" w:hAnsi="Wingdings"/>
          <w:noProof/>
          <w:sz w:val="22"/>
        </w:rPr>
        <w:t></w:t>
      </w:r>
      <w:r w:rsidRPr="009B5623">
        <w:rPr>
          <w:i/>
          <w:noProof/>
          <w:sz w:val="22"/>
        </w:rPr>
        <w:t xml:space="preserve"> </w:t>
      </w:r>
      <w:r w:rsidRPr="009B5623">
        <w:rPr>
          <w:noProof/>
        </w:rPr>
        <w:t>Nov ukrep</w:t>
      </w:r>
      <w:r w:rsidRPr="009B5623">
        <w:rPr>
          <w:noProof/>
          <w:sz w:val="22"/>
        </w:rPr>
        <w:t xml:space="preserve"> </w:t>
      </w:r>
    </w:p>
    <w:p w14:paraId="61A407FF" w14:textId="77777777" w:rsidR="00CA2B31" w:rsidRPr="009B5623" w:rsidRDefault="00CA2B31" w:rsidP="00CA2B31">
      <w:pPr>
        <w:pStyle w:val="Text1"/>
        <w:rPr>
          <w:noProof/>
          <w:sz w:val="22"/>
        </w:rPr>
      </w:pPr>
      <w:r w:rsidRPr="009B5623">
        <w:rPr>
          <w:rFonts w:ascii="Wingdings" w:hAnsi="Wingdings"/>
          <w:noProof/>
          <w:sz w:val="22"/>
        </w:rPr>
        <w:t></w:t>
      </w:r>
      <w:r w:rsidRPr="009B5623">
        <w:rPr>
          <w:i/>
          <w:noProof/>
          <w:sz w:val="22"/>
        </w:rPr>
        <w:t xml:space="preserve"> </w:t>
      </w:r>
      <w:r w:rsidRPr="009B5623">
        <w:rPr>
          <w:noProof/>
        </w:rPr>
        <w:t>Nov ukrep na podlagi pilotnega projekta / pripravljalnega ukrepa</w:t>
      </w:r>
      <w:r w:rsidRPr="009B5623">
        <w:rPr>
          <w:rStyle w:val="FootnoteReference"/>
          <w:noProof/>
        </w:rPr>
        <w:footnoteReference w:id="27"/>
      </w:r>
      <w:r w:rsidRPr="009B5623">
        <w:rPr>
          <w:noProof/>
          <w:sz w:val="22"/>
        </w:rPr>
        <w:t xml:space="preserve"> </w:t>
      </w:r>
    </w:p>
    <w:p w14:paraId="6CD39F72" w14:textId="77777777" w:rsidR="00CA2B31" w:rsidRPr="009B5623" w:rsidRDefault="00CA2B31" w:rsidP="00CA2B31">
      <w:pPr>
        <w:pStyle w:val="Text1"/>
        <w:rPr>
          <w:noProof/>
          <w:sz w:val="22"/>
        </w:rPr>
      </w:pPr>
      <w:r w:rsidRPr="009B5623">
        <w:rPr>
          <w:rFonts w:ascii="Wingdings" w:hAnsi="Wingdings"/>
          <w:noProof/>
          <w:sz w:val="22"/>
        </w:rPr>
        <w:t></w:t>
      </w:r>
      <w:r w:rsidRPr="009B5623">
        <w:rPr>
          <w:i/>
          <w:noProof/>
          <w:sz w:val="22"/>
        </w:rPr>
        <w:t xml:space="preserve"> </w:t>
      </w:r>
      <w:r w:rsidRPr="009B5623">
        <w:rPr>
          <w:noProof/>
        </w:rPr>
        <w:t>Podaljšanje obstoječega ukrepa</w:t>
      </w:r>
      <w:r w:rsidRPr="009B5623">
        <w:rPr>
          <w:noProof/>
          <w:sz w:val="22"/>
        </w:rPr>
        <w:t xml:space="preserve"> </w:t>
      </w:r>
    </w:p>
    <w:p w14:paraId="0D98C224" w14:textId="77777777" w:rsidR="00CA2B31" w:rsidRPr="009B5623" w:rsidRDefault="00161789" w:rsidP="00CA2B31">
      <w:pPr>
        <w:pStyle w:val="Text1"/>
        <w:rPr>
          <w:noProof/>
        </w:rPr>
      </w:pPr>
      <w:r w:rsidRPr="009B5623">
        <w:rPr>
          <w:rFonts w:ascii="Wingdings" w:hAnsi="Wingdings"/>
          <w:noProof/>
          <w:sz w:val="22"/>
        </w:rPr>
        <w:t></w:t>
      </w:r>
      <w:r w:rsidRPr="009B5623">
        <w:rPr>
          <w:i/>
          <w:noProof/>
          <w:sz w:val="22"/>
        </w:rPr>
        <w:t xml:space="preserve"> </w:t>
      </w:r>
      <w:r w:rsidRPr="009B5623">
        <w:rPr>
          <w:noProof/>
        </w:rPr>
        <w:t>Združitev ali preusmeritev enega ali več ukrepov v drug/nov ukrep</w:t>
      </w:r>
    </w:p>
    <w:p w14:paraId="385C9DF2" w14:textId="77777777" w:rsidR="00CA2B31" w:rsidRPr="009B5623" w:rsidRDefault="00CA2B31" w:rsidP="00CA2B31">
      <w:pPr>
        <w:pStyle w:val="ManualHeading2"/>
        <w:rPr>
          <w:bCs/>
          <w:noProof/>
          <w:szCs w:val="24"/>
        </w:rPr>
      </w:pPr>
      <w:bookmarkStart w:id="44" w:name="_Toc514938025"/>
      <w:bookmarkStart w:id="45" w:name="_Toc520485034"/>
      <w:bookmarkStart w:id="46" w:name="_Toc160804576"/>
      <w:bookmarkStart w:id="47" w:name="_Toc167220268"/>
      <w:bookmarkStart w:id="48" w:name="_Toc177549001"/>
      <w:r w:rsidRPr="009B5623">
        <w:rPr>
          <w:noProof/>
        </w:rPr>
        <w:t>1.5</w:t>
      </w:r>
      <w:r w:rsidRPr="009B5623">
        <w:rPr>
          <w:noProof/>
        </w:rPr>
        <w:tab/>
        <w:t>Utemeljitev predloga/pobude</w:t>
      </w:r>
      <w:bookmarkEnd w:id="44"/>
      <w:bookmarkEnd w:id="45"/>
      <w:bookmarkEnd w:id="46"/>
      <w:bookmarkEnd w:id="47"/>
      <w:bookmarkEnd w:id="48"/>
      <w:r w:rsidRPr="009B5623">
        <w:rPr>
          <w:noProof/>
        </w:rPr>
        <w:t xml:space="preserve"> </w:t>
      </w:r>
    </w:p>
    <w:p w14:paraId="54240F99" w14:textId="77777777" w:rsidR="00CA2B31" w:rsidRPr="009B5623" w:rsidRDefault="00CA2B31" w:rsidP="00CA2B31">
      <w:pPr>
        <w:pStyle w:val="ManualHeading3"/>
        <w:rPr>
          <w:noProof/>
        </w:rPr>
      </w:pPr>
      <w:bookmarkStart w:id="49" w:name="_Toc514938026"/>
      <w:bookmarkStart w:id="50" w:name="_Toc520485035"/>
      <w:bookmarkStart w:id="51" w:name="_Toc160804577"/>
      <w:bookmarkStart w:id="52" w:name="_Toc167220269"/>
      <w:bookmarkStart w:id="53" w:name="_Toc177549002"/>
      <w:r w:rsidRPr="009B5623">
        <w:rPr>
          <w:noProof/>
        </w:rPr>
        <w:t>1.5.1</w:t>
      </w:r>
      <w:r w:rsidRPr="009B5623">
        <w:rPr>
          <w:noProof/>
        </w:rPr>
        <w:tab/>
        <w:t>Potrebe, ki jih je treba zadovoljiti kratkoročno ali dolgoročno, vključno s podrobno časovnico za uvajanje ustreznih ukrepov za izvajanje pobude</w:t>
      </w:r>
      <w:bookmarkEnd w:id="49"/>
      <w:bookmarkEnd w:id="50"/>
      <w:bookmarkEnd w:id="51"/>
      <w:bookmarkEnd w:id="52"/>
      <w:bookmarkEnd w:id="53"/>
    </w:p>
    <w:p w14:paraId="067753C0" w14:textId="77777777" w:rsidR="00CA2B31" w:rsidRPr="009B5623" w:rsidRDefault="00CA2B31" w:rsidP="00CA2B31">
      <w:pPr>
        <w:pStyle w:val="Text1"/>
        <w:pBdr>
          <w:top w:val="single" w:sz="4" w:space="1" w:color="auto"/>
          <w:left w:val="single" w:sz="4" w:space="4" w:color="auto"/>
          <w:bottom w:val="single" w:sz="4" w:space="1" w:color="auto"/>
          <w:right w:val="single" w:sz="4" w:space="4" w:color="auto"/>
        </w:pBdr>
        <w:rPr>
          <w:noProof/>
        </w:rPr>
      </w:pPr>
      <w:r w:rsidRPr="009B5623">
        <w:rPr>
          <w:noProof/>
        </w:rPr>
        <w:t>Komisija s tem predlogom predlaga direktivo o spremembi direktiv (EU) 2022/2464 in (EU) 2024/1760. Ko bosta sozakonodajalca dosegla dogovor o vsebini predloga, bodo imele države članice na voljo določeno obdobje za prenos sprememb, uvedenih s to direktivo, v zvezi z odlogom datuma, od katerega morajo nekatere skupine podjetij uporabljati ti direktivi, v nacionalno zakonodajo. V skladu s tem predlogom je ta rok za prenos 31. december 2025. Namen tega predloga je tudi odložiti rok za prenos Direktive (EU) 2024/1760 za eno leto. Zato bi morale države članice direktivo o skrbnem pregledu v podjetjih glede trajnostnosti prenesti najpozneje do 26. julija 2027.</w:t>
      </w:r>
    </w:p>
    <w:p w14:paraId="2AD4A732" w14:textId="77777777" w:rsidR="00A71B9A" w:rsidRPr="009B5623" w:rsidRDefault="00CA2B31" w:rsidP="00A71B9A">
      <w:pPr>
        <w:pStyle w:val="Text1"/>
        <w:pBdr>
          <w:top w:val="single" w:sz="4" w:space="1" w:color="auto"/>
          <w:left w:val="single" w:sz="4" w:space="4" w:color="auto"/>
          <w:bottom w:val="single" w:sz="4" w:space="1" w:color="auto"/>
          <w:right w:val="single" w:sz="4" w:space="4" w:color="auto"/>
        </w:pBdr>
        <w:rPr>
          <w:noProof/>
        </w:rPr>
      </w:pPr>
      <w:r w:rsidRPr="009B5623">
        <w:rPr>
          <w:noProof/>
        </w:rPr>
        <w:t xml:space="preserve">Komisija v ločenem zakonodajnem predlogu predlaga spremembo več določb direktiv 2006/43/ES, 2013/34/EU, (EU) 2022/2464 in (EU) 2024/1760. Komisija predlaga tudi revizijo Delegirane uredbe Komisije (EU) 2023/2772 (evropski standardi poročanja o trajnostnosti). Komisija bo revidirani delegirani akt o ESRS sprejela pravočasno, da bi tista podjetja v drugem valu, ki bi morala na podlagi direktive o poročanju podjetij o trajnostnosti začeti poročati leta 2028 za poslovno leto 2027, lahko uporabljala revidirane standarde. </w:t>
      </w:r>
    </w:p>
    <w:p w14:paraId="3B1EF6B7" w14:textId="77777777" w:rsidR="00CA2B31" w:rsidRPr="009B5623" w:rsidRDefault="00CA2B31" w:rsidP="00CA2B31">
      <w:pPr>
        <w:pStyle w:val="Text1"/>
        <w:pBdr>
          <w:top w:val="single" w:sz="4" w:space="1" w:color="auto"/>
          <w:left w:val="single" w:sz="4" w:space="4" w:color="auto"/>
          <w:bottom w:val="single" w:sz="4" w:space="1" w:color="auto"/>
          <w:right w:val="single" w:sz="4" w:space="4" w:color="auto"/>
        </w:pBdr>
        <w:rPr>
          <w:noProof/>
        </w:rPr>
      </w:pPr>
      <w:r w:rsidRPr="009B5623">
        <w:rPr>
          <w:noProof/>
        </w:rPr>
        <w:t>Za spremljanje napredka pri doseganju specifičnih ciljev predloga bo Komisija preučila možnost organizacije izmenjav z deležniki v različnih oblikah ter rednih anket uporabnikov informacij o trajnostnosti in podjetij, ki take informacije poročajo, odvisno od razpoložljivosti finančnih sredstev. V skladu s členom 6 direktive o poročanju podjetij o trajnostnosti mora Komisija do aprila 2029 predložiti poročilo o izvajanju direktive. Izvajanje direktive o skrbnem pregledu v podjetjih glede trajnostnosti, kakor je bila spremenjena, in njena učinkovitost pri izpolnjevanju njenih ciljev, zlasti pri obravnavanju negativnih vplivov, bosta prav tako predmet rednega ocenjevanja v skladu s členom 36 navedene direktive. Ta predlog ne zahteva načrta za izvedbo.</w:t>
      </w:r>
    </w:p>
    <w:p w14:paraId="2DEBA43F" w14:textId="77777777" w:rsidR="00CA2B31" w:rsidRPr="009B5623" w:rsidRDefault="00CA2B31" w:rsidP="00CA2B31">
      <w:pPr>
        <w:pStyle w:val="ManualHeading3"/>
        <w:rPr>
          <w:bCs/>
          <w:noProof/>
          <w:szCs w:val="24"/>
        </w:rPr>
      </w:pPr>
      <w:bookmarkStart w:id="54" w:name="_Toc514938029"/>
      <w:bookmarkStart w:id="55" w:name="_Toc520485036"/>
      <w:bookmarkStart w:id="56" w:name="_Toc160804578"/>
      <w:bookmarkStart w:id="57" w:name="_Toc167220270"/>
      <w:bookmarkStart w:id="58" w:name="_Toc177549003"/>
      <w:r w:rsidRPr="009B5623">
        <w:rPr>
          <w:noProof/>
        </w:rPr>
        <w:t>1.5.2</w:t>
      </w:r>
      <w:r w:rsidRPr="009B5623">
        <w:rPr>
          <w:noProof/>
        </w:rPr>
        <w:tab/>
        <w:t>Dodana vrednost ukrepanja EU (ki je lahko posledica različnih dejavnikov, npr. boljšega usklajevanja, pravne varnosti, večje učinkovitosti ali dopolnjevanja). Za namene tega oddelka je „dodana vrednost ukrepanja EU“ vrednost, ki izhaja iz ukrepanja EU in predstavlja dodatno vrednost poleg tiste, ki bi jo sicer ustvarile države članice same.</w:t>
      </w:r>
      <w:bookmarkEnd w:id="54"/>
      <w:bookmarkEnd w:id="55"/>
      <w:bookmarkEnd w:id="56"/>
      <w:bookmarkEnd w:id="57"/>
      <w:bookmarkEnd w:id="58"/>
    </w:p>
    <w:p w14:paraId="4408CF97" w14:textId="77777777" w:rsidR="00CA2B31" w:rsidRPr="009B5623" w:rsidRDefault="00CA2B31" w:rsidP="00CA2B31">
      <w:pPr>
        <w:pStyle w:val="Text1"/>
        <w:pBdr>
          <w:top w:val="single" w:sz="4" w:space="1" w:color="auto"/>
          <w:left w:val="single" w:sz="4" w:space="4" w:color="auto"/>
          <w:bottom w:val="single" w:sz="4" w:space="1" w:color="auto"/>
          <w:right w:val="single" w:sz="4" w:space="4" w:color="auto"/>
        </w:pBdr>
        <w:rPr>
          <w:noProof/>
        </w:rPr>
      </w:pPr>
      <w:r w:rsidRPr="009B5623">
        <w:rPr>
          <w:noProof/>
        </w:rPr>
        <w:t xml:space="preserve">Računovodska direktiva, kakor je bila spremenjena z direktivo o poročanju podjetij o trajnostnosti, že ureja razkritje informacij o trajnostnosti v EU. Skupna pravila o poročanju o trajnostnosti in dajanju zagotovil o njegovi zanesljivosti zagotavljajo enake konkurenčne pogoje za podjetja s sedežem v različnih državah članicah. Znatne razlike v zahtevah glede poročanja in dajanja zagotovil o trajnostnosti med državami članicami bi povzročile dodatne stroške in zapletenost za podjetja, ki poslujejo čezmejno, kar bi škodilo enotnemu trgu. Države članice same ne morejo spremeniti obstoječe zakonodaje EU, da bi zmanjšale breme za podjetja.  </w:t>
      </w:r>
    </w:p>
    <w:p w14:paraId="2110B15E" w14:textId="77777777" w:rsidR="00B52CFF" w:rsidRPr="009B5623" w:rsidRDefault="00B52CFF" w:rsidP="00065E58">
      <w:pPr>
        <w:pStyle w:val="Text1"/>
        <w:pBdr>
          <w:top w:val="single" w:sz="4" w:space="1" w:color="auto"/>
          <w:left w:val="single" w:sz="4" w:space="4" w:color="auto"/>
          <w:bottom w:val="single" w:sz="4" w:space="1" w:color="auto"/>
          <w:right w:val="single" w:sz="4" w:space="4" w:color="auto"/>
        </w:pBdr>
        <w:rPr>
          <w:noProof/>
        </w:rPr>
      </w:pPr>
      <w:r w:rsidRPr="009B5623">
        <w:rPr>
          <w:noProof/>
        </w:rPr>
        <w:t xml:space="preserve">Podobno direktiva o skrbnem pregledu v podjetjih glede trajnostnosti že določa harmoniziran regulativni okvir za skrbni pregled v podjetjih glede trajnostnosti in zajema tudi nekatera podjetja iz tretjih držav, dejavna na trgu EU, kar zagotavlja enake konkurenčne pogoje na tem področju politike. </w:t>
      </w:r>
    </w:p>
    <w:p w14:paraId="18713100" w14:textId="77777777" w:rsidR="00CA2B31" w:rsidRPr="009B5623" w:rsidRDefault="00CA2B31" w:rsidP="00CA2B31">
      <w:pPr>
        <w:pStyle w:val="ManualHeading3"/>
        <w:rPr>
          <w:noProof/>
        </w:rPr>
      </w:pPr>
      <w:bookmarkStart w:id="59" w:name="_Toc514938030"/>
      <w:bookmarkStart w:id="60" w:name="_Toc520485037"/>
      <w:bookmarkStart w:id="61" w:name="_Toc160804579"/>
      <w:bookmarkStart w:id="62" w:name="_Toc167220271"/>
      <w:bookmarkStart w:id="63" w:name="_Toc177549004"/>
      <w:r w:rsidRPr="009B5623">
        <w:rPr>
          <w:noProof/>
        </w:rPr>
        <w:t>1.5.3</w:t>
      </w:r>
      <w:r w:rsidRPr="009B5623">
        <w:rPr>
          <w:noProof/>
        </w:rPr>
        <w:tab/>
        <w:t>Spoznanja iz podobnih izkušenj v preteklosti</w:t>
      </w:r>
      <w:bookmarkEnd w:id="59"/>
      <w:bookmarkEnd w:id="60"/>
      <w:bookmarkEnd w:id="61"/>
      <w:bookmarkEnd w:id="62"/>
      <w:bookmarkEnd w:id="63"/>
    </w:p>
    <w:p w14:paraId="49719C46" w14:textId="77777777" w:rsidR="00CA2B31" w:rsidRPr="009B5623" w:rsidRDefault="00CA2B31" w:rsidP="00CA2B31">
      <w:pPr>
        <w:pStyle w:val="Text1"/>
        <w:pBdr>
          <w:top w:val="single" w:sz="4" w:space="1" w:color="auto"/>
          <w:left w:val="single" w:sz="4" w:space="4" w:color="auto"/>
          <w:bottom w:val="single" w:sz="4" w:space="1" w:color="auto"/>
          <w:right w:val="single" w:sz="4" w:space="4" w:color="auto"/>
        </w:pBdr>
        <w:rPr>
          <w:noProof/>
        </w:rPr>
      </w:pPr>
      <w:r w:rsidRPr="009B5623">
        <w:rPr>
          <w:noProof/>
        </w:rPr>
        <w:t>n. r.</w:t>
      </w:r>
    </w:p>
    <w:p w14:paraId="26850A04" w14:textId="77777777" w:rsidR="00CA2B31" w:rsidRPr="009B5623" w:rsidRDefault="00CA2B31" w:rsidP="00CA2B31">
      <w:pPr>
        <w:pStyle w:val="ManualHeading3"/>
        <w:rPr>
          <w:noProof/>
        </w:rPr>
      </w:pPr>
      <w:bookmarkStart w:id="64" w:name="_Toc514938033"/>
      <w:bookmarkStart w:id="65" w:name="_Toc520485038"/>
      <w:bookmarkStart w:id="66" w:name="_Toc160804580"/>
      <w:bookmarkStart w:id="67" w:name="_Toc167220272"/>
      <w:bookmarkStart w:id="68" w:name="_Toc177549005"/>
      <w:r w:rsidRPr="009B5623">
        <w:rPr>
          <w:noProof/>
        </w:rPr>
        <w:t>1.5.4</w:t>
      </w:r>
      <w:r w:rsidRPr="009B5623">
        <w:rPr>
          <w:noProof/>
        </w:rPr>
        <w:tab/>
        <w:t>Skladnost z večletnim finančnim okvirom in možne sinergije z drugimi ustreznimi instrumenti</w:t>
      </w:r>
      <w:bookmarkEnd w:id="64"/>
      <w:bookmarkEnd w:id="65"/>
      <w:bookmarkEnd w:id="66"/>
      <w:bookmarkEnd w:id="67"/>
      <w:bookmarkEnd w:id="68"/>
    </w:p>
    <w:p w14:paraId="58DDF419" w14:textId="77777777" w:rsidR="00CA2B31" w:rsidRPr="009B5623" w:rsidRDefault="00CA2B31" w:rsidP="00CA2B31">
      <w:pPr>
        <w:pStyle w:val="Text1"/>
        <w:pBdr>
          <w:top w:val="single" w:sz="4" w:space="1" w:color="auto"/>
          <w:left w:val="single" w:sz="4" w:space="4" w:color="auto"/>
          <w:bottom w:val="single" w:sz="4" w:space="1" w:color="auto"/>
          <w:right w:val="single" w:sz="4" w:space="4" w:color="auto"/>
        </w:pBdr>
        <w:rPr>
          <w:noProof/>
        </w:rPr>
      </w:pPr>
      <w:r w:rsidRPr="009B5623">
        <w:rPr>
          <w:noProof/>
        </w:rPr>
        <w:t>n. r.</w:t>
      </w:r>
    </w:p>
    <w:p w14:paraId="55EA4935" w14:textId="77777777" w:rsidR="00CA2B31" w:rsidRPr="009B5623" w:rsidRDefault="00CA2B31" w:rsidP="00CA2B31">
      <w:pPr>
        <w:pStyle w:val="ManualHeading3"/>
        <w:rPr>
          <w:noProof/>
        </w:rPr>
      </w:pPr>
      <w:bookmarkStart w:id="69" w:name="_Toc514938036"/>
      <w:bookmarkStart w:id="70" w:name="_Toc520485039"/>
      <w:bookmarkStart w:id="71" w:name="_Toc160804581"/>
      <w:bookmarkStart w:id="72" w:name="_Toc167220273"/>
      <w:bookmarkStart w:id="73" w:name="_Toc177549006"/>
      <w:r w:rsidRPr="009B5623">
        <w:rPr>
          <w:noProof/>
        </w:rPr>
        <w:t>1.5.5</w:t>
      </w:r>
      <w:r w:rsidRPr="009B5623">
        <w:rPr>
          <w:noProof/>
        </w:rPr>
        <w:tab/>
        <w:t>Ocena različnih razpoložljivih možnosti financiranja, vključno z možnostmi za prerazporeditev</w:t>
      </w:r>
      <w:bookmarkEnd w:id="69"/>
      <w:bookmarkEnd w:id="70"/>
      <w:bookmarkEnd w:id="71"/>
      <w:bookmarkEnd w:id="72"/>
      <w:bookmarkEnd w:id="73"/>
    </w:p>
    <w:p w14:paraId="18076633" w14:textId="77777777" w:rsidR="00CA2B31" w:rsidRPr="009B5623" w:rsidRDefault="00CA2B31" w:rsidP="00CA2B31">
      <w:pPr>
        <w:pStyle w:val="Text1"/>
        <w:pBdr>
          <w:top w:val="single" w:sz="4" w:space="1" w:color="auto"/>
          <w:left w:val="single" w:sz="4" w:space="4" w:color="auto"/>
          <w:bottom w:val="single" w:sz="4" w:space="1" w:color="auto"/>
          <w:right w:val="single" w:sz="4" w:space="4" w:color="auto"/>
        </w:pBdr>
        <w:rPr>
          <w:noProof/>
        </w:rPr>
      </w:pPr>
      <w:r w:rsidRPr="009B5623">
        <w:rPr>
          <w:noProof/>
        </w:rPr>
        <w:t>n. r.</w:t>
      </w:r>
    </w:p>
    <w:p w14:paraId="6EE8743D" w14:textId="77777777" w:rsidR="00CA2B31" w:rsidRPr="009B5623" w:rsidRDefault="00CA2B31" w:rsidP="00CA2B31">
      <w:pPr>
        <w:rPr>
          <w:noProof/>
        </w:rPr>
        <w:sectPr w:rsidR="00CA2B31" w:rsidRPr="009B5623" w:rsidSect="0022615E">
          <w:pgSz w:w="11907" w:h="16840" w:code="9"/>
          <w:pgMar w:top="1134" w:right="1418" w:bottom="1134" w:left="1418" w:header="709" w:footer="709" w:gutter="0"/>
          <w:cols w:space="708"/>
          <w:docGrid w:linePitch="360"/>
        </w:sectPr>
      </w:pPr>
    </w:p>
    <w:p w14:paraId="66C02D76" w14:textId="77777777" w:rsidR="00CA2B31" w:rsidRPr="009B5623" w:rsidRDefault="00CA2B31" w:rsidP="00CA2B31">
      <w:pPr>
        <w:pStyle w:val="ManualHeading1"/>
        <w:rPr>
          <w:bCs/>
          <w:noProof/>
          <w:szCs w:val="24"/>
        </w:rPr>
      </w:pPr>
      <w:bookmarkStart w:id="74" w:name="_Toc514938050"/>
      <w:bookmarkStart w:id="75" w:name="_Toc520485049"/>
      <w:bookmarkStart w:id="76" w:name="_Toc160804591"/>
      <w:bookmarkStart w:id="77" w:name="_Toc167220283"/>
      <w:bookmarkStart w:id="78" w:name="_Toc177549016"/>
      <w:r w:rsidRPr="009B5623">
        <w:rPr>
          <w:noProof/>
        </w:rPr>
        <w:t>3.</w:t>
      </w:r>
      <w:r w:rsidRPr="009B5623">
        <w:rPr>
          <w:noProof/>
        </w:rPr>
        <w:tab/>
        <w:t>OCENA FINANČNIH POSLEDIC PREDLOGA/POBUDE</w:t>
      </w:r>
      <w:bookmarkEnd w:id="74"/>
      <w:bookmarkEnd w:id="75"/>
      <w:bookmarkEnd w:id="76"/>
      <w:bookmarkEnd w:id="77"/>
      <w:bookmarkEnd w:id="78"/>
      <w:r w:rsidRPr="009B5623">
        <w:rPr>
          <w:noProof/>
        </w:rPr>
        <w:t xml:space="preserve"> </w:t>
      </w:r>
    </w:p>
    <w:p w14:paraId="759CF7E2" w14:textId="77777777" w:rsidR="00CA2B31" w:rsidRPr="009B5623" w:rsidRDefault="00CA2B31" w:rsidP="00CA2B31">
      <w:pPr>
        <w:pStyle w:val="ManualHeading2"/>
        <w:rPr>
          <w:noProof/>
        </w:rPr>
      </w:pPr>
      <w:bookmarkStart w:id="79" w:name="_Toc514938051"/>
      <w:bookmarkStart w:id="80" w:name="_Toc520485050"/>
      <w:bookmarkStart w:id="81" w:name="_Toc160804592"/>
      <w:bookmarkStart w:id="82" w:name="_Toc167220284"/>
      <w:bookmarkStart w:id="83" w:name="_Toc177549017"/>
      <w:r w:rsidRPr="009B5623">
        <w:rPr>
          <w:noProof/>
        </w:rPr>
        <w:t>3.1</w:t>
      </w:r>
      <w:r w:rsidRPr="009B5623">
        <w:rPr>
          <w:noProof/>
        </w:rPr>
        <w:tab/>
        <w:t>Zadevni razdelki večletnega finančnega okvira in odhodkovne proračunske vrstice</w:t>
      </w:r>
      <w:bookmarkEnd w:id="79"/>
      <w:bookmarkEnd w:id="80"/>
      <w:bookmarkEnd w:id="81"/>
      <w:bookmarkEnd w:id="82"/>
      <w:bookmarkEnd w:id="83"/>
      <w:r w:rsidRPr="009B5623">
        <w:rPr>
          <w:noProof/>
        </w:rPr>
        <w:t xml:space="preserve"> </w:t>
      </w:r>
    </w:p>
    <w:p w14:paraId="21DE8826" w14:textId="77777777" w:rsidR="00CA2B31" w:rsidRPr="009B5623" w:rsidRDefault="00CA2B31" w:rsidP="00CA2B31">
      <w:pPr>
        <w:pStyle w:val="Text1"/>
        <w:pBdr>
          <w:top w:val="single" w:sz="4" w:space="1" w:color="auto"/>
          <w:left w:val="single" w:sz="4" w:space="4" w:color="auto"/>
          <w:bottom w:val="single" w:sz="4" w:space="1" w:color="auto"/>
          <w:right w:val="single" w:sz="4" w:space="4" w:color="auto"/>
        </w:pBdr>
        <w:rPr>
          <w:noProof/>
        </w:rPr>
      </w:pPr>
      <w:bookmarkStart w:id="84" w:name="_Hlk157691648"/>
      <w:r w:rsidRPr="009B5623">
        <w:rPr>
          <w:noProof/>
        </w:rPr>
        <w:t>n. r.</w:t>
      </w:r>
    </w:p>
    <w:p w14:paraId="7119D4C5" w14:textId="77777777" w:rsidR="00CA2B31" w:rsidRPr="009B5623" w:rsidRDefault="00CA2B31" w:rsidP="00CA2B31">
      <w:pPr>
        <w:pStyle w:val="ManualHeading1"/>
        <w:rPr>
          <w:caps/>
          <w:noProof/>
        </w:rPr>
      </w:pPr>
      <w:bookmarkStart w:id="85" w:name="_Toc167220301"/>
      <w:bookmarkStart w:id="86" w:name="_Toc177549035"/>
      <w:bookmarkEnd w:id="84"/>
      <w:r w:rsidRPr="009B5623">
        <w:rPr>
          <w:noProof/>
        </w:rPr>
        <w:t>4.</w:t>
      </w:r>
      <w:r w:rsidRPr="009B5623">
        <w:rPr>
          <w:noProof/>
        </w:rPr>
        <w:tab/>
      </w:r>
      <w:bookmarkStart w:id="87" w:name="_Hlk167692977"/>
      <w:r w:rsidRPr="009B5623">
        <w:rPr>
          <w:caps/>
          <w:noProof/>
        </w:rPr>
        <w:t>Digitalne razsežnosti</w:t>
      </w:r>
      <w:bookmarkEnd w:id="85"/>
      <w:bookmarkEnd w:id="86"/>
    </w:p>
    <w:p w14:paraId="070487E6" w14:textId="77777777" w:rsidR="00CA2B31" w:rsidRPr="009B5623" w:rsidRDefault="00CA2B31" w:rsidP="00CA2B31">
      <w:pPr>
        <w:pStyle w:val="ManualHeading2"/>
        <w:rPr>
          <w:noProof/>
        </w:rPr>
      </w:pPr>
      <w:bookmarkStart w:id="88" w:name="_Toc167220302"/>
      <w:bookmarkStart w:id="89" w:name="_Toc177549037"/>
      <w:r w:rsidRPr="009B5623">
        <w:rPr>
          <w:noProof/>
        </w:rPr>
        <w:t>4.1</w:t>
      </w:r>
      <w:r w:rsidRPr="009B5623">
        <w:rPr>
          <w:noProof/>
        </w:rPr>
        <w:tab/>
        <w:t>Zahteve digitalnega pomena</w:t>
      </w:r>
      <w:bookmarkEnd w:id="88"/>
      <w:bookmarkEnd w:id="89"/>
    </w:p>
    <w:tbl>
      <w:tblPr>
        <w:tblStyle w:val="TableGrid"/>
        <w:tblW w:w="9072" w:type="dxa"/>
        <w:tblInd w:w="-5" w:type="dxa"/>
        <w:tblLayout w:type="fixed"/>
        <w:tblLook w:val="06A0" w:firstRow="1" w:lastRow="0" w:firstColumn="1" w:lastColumn="0" w:noHBand="1" w:noVBand="1"/>
      </w:tblPr>
      <w:tblGrid>
        <w:gridCol w:w="9072"/>
      </w:tblGrid>
      <w:tr w:rsidR="00CA2B31" w:rsidRPr="009B5623" w14:paraId="1FF1B370" w14:textId="77777777">
        <w:trPr>
          <w:trHeight w:val="300"/>
        </w:trPr>
        <w:tc>
          <w:tcPr>
            <w:tcW w:w="9072" w:type="dxa"/>
          </w:tcPr>
          <w:p w14:paraId="53DE3F9F" w14:textId="77777777" w:rsidR="00CA2B31" w:rsidRPr="009B5623" w:rsidRDefault="00CA2B31">
            <w:pPr>
              <w:rPr>
                <w:noProof/>
              </w:rPr>
            </w:pPr>
            <w:r w:rsidRPr="009B5623">
              <w:rPr>
                <w:noProof/>
              </w:rPr>
              <w:t xml:space="preserve">Zahteve glede poročanja, uvedene z Direktivo 2013/34/EU, od podjetij zahtevajo, da zbirajo in poročajo podatke o svojih vplivih, tveganjih in priložnostih v zvezi s pomembnimi zadevami v zvezi s trajnostnostjo. To vključuje pomembno identifikacijo, zbiranje, obdelavo, preverjanje in objavo podatkov. Podjetja za zbiranje ustreznih podatkov pogosto uporabljajo digitalne platforme za zbiranje in deljenje podatkov. Poleg tega podjetja za shranjevanje in obdelavo podatkov za namene poročanja o trajnostnosti pogosto uporabljajo tudi digitalna orodja za upravljanje podatkov. </w:t>
            </w:r>
          </w:p>
          <w:p w14:paraId="103B9207" w14:textId="77777777" w:rsidR="00CA2B31" w:rsidRPr="009B5623" w:rsidRDefault="00CA2B31">
            <w:pPr>
              <w:rPr>
                <w:noProof/>
              </w:rPr>
            </w:pPr>
            <w:r w:rsidRPr="009B5623">
              <w:rPr>
                <w:noProof/>
              </w:rPr>
              <w:t xml:space="preserve">Uporabniki informacij o trajnostnosti vse pogosteje pričakujejo, da so te informacije dostopne ter jih je mogoče primerjati in strojno brati v digitalnih oblikah. Države članice morajo zahtevati, da podjetja, za katera veljajo zahteve glede poročanja o trajnostnosti iz Direktive 2013/34/EU, svoja poslovna poročila dajo na voljo javnosti, in sicer brezplačno na svojih spletnih mestih. Digitalizacija ustvarja priložnosti za učinkovitejše izkoriščanje informacij in omogoča znatne prihranke pri stroških za uporabnike in podjetja. Digitalizacija poleg tega omogoča centralizacijo podatkov na ravni Unije in držav članic, in sicer v odprti in dostopni obliki, ki omogoča lažje branje in primerjavo podatkov. Te zahteve tudi dopolnjujejo vzpostavitev evropske enotne točke dostopa (ESAP) za javne informacije o podjetjih. </w:t>
            </w:r>
          </w:p>
          <w:p w14:paraId="585DD329" w14:textId="77777777" w:rsidR="00CA2B31" w:rsidRPr="009B5623" w:rsidRDefault="00CA2B31">
            <w:pPr>
              <w:rPr>
                <w:noProof/>
              </w:rPr>
            </w:pPr>
            <w:r w:rsidRPr="009B5623">
              <w:rPr>
                <w:noProof/>
              </w:rPr>
              <w:t xml:space="preserve">V zvezi s posebnimi zahtevami v okviru direktive, ki so digitalnega pomena, glej spodaj. </w:t>
            </w:r>
          </w:p>
          <w:p w14:paraId="227AA3B6" w14:textId="77777777" w:rsidR="00C8775A" w:rsidRPr="009B5623" w:rsidRDefault="00C8775A" w:rsidP="00C8775A">
            <w:pPr>
              <w:rPr>
                <w:noProof/>
              </w:rPr>
            </w:pPr>
            <w:r w:rsidRPr="009B5623">
              <w:rPr>
                <w:noProof/>
              </w:rPr>
              <w:t>Direktiva 2013/34/EU zahteva od podjetij, za katera velja poročanje o trajnostnosti, da pripravijo svoje poslovno poročilo v elektronski obliki poročanja, določeni v členu 3 Delegirane uredbe Komisije (EU) 2019/815 (v nadaljnjem besedilu: delegirana uredba o enotni elektronski obliki poročanja). Od teh podjetij zahteva tudi, da svoje poročanje o trajnostnosti, vključno z razkritji, ki se zahtevajo s členom 8 Uredbe (EU) 2020/852, opremijo z oznakami v skladu z digitalno taksonomijo, ki jo sprejme Komisija s spremembo delegirane uredbe o enotni elektronski obliki poročanja.</w:t>
            </w:r>
          </w:p>
          <w:p w14:paraId="55E75276" w14:textId="77777777" w:rsidR="00BA76ED" w:rsidRPr="009B5623" w:rsidRDefault="00C8775A" w:rsidP="00C8775A">
            <w:pPr>
              <w:rPr>
                <w:noProof/>
              </w:rPr>
            </w:pPr>
            <w:r w:rsidRPr="009B5623">
              <w:rPr>
                <w:noProof/>
              </w:rPr>
              <w:t xml:space="preserve">Digitalna taksonomija za standarde Unije za poročanje o trajnostnosti bo omogočila označevanje in strojno berljivost poročanja o trajnostnosti. Do sprejetja te digitalne taksonomije podjetjem svojih izjav o trajnostnosti ni treba opremiti z oznakami. Glede na to, da bo izjava o trajnostnosti postala strojno berljiva šele, ko bo vključena v dokument XHTML in opremljena z oznakami v skladu z digitalno taksonomijo, podjetjem do sprejetja digitalne taksonomije tudi ni treba pripraviti poslovnega poročila v XHTML. </w:t>
            </w:r>
          </w:p>
          <w:p w14:paraId="26534E70" w14:textId="77777777" w:rsidR="00CA2B31" w:rsidRPr="009B5623" w:rsidRDefault="00CA2B31">
            <w:pPr>
              <w:rPr>
                <w:noProof/>
              </w:rPr>
            </w:pPr>
          </w:p>
          <w:p w14:paraId="64F4E2CC" w14:textId="77777777" w:rsidR="00CA2B31" w:rsidRPr="009B5623" w:rsidRDefault="00CA2B31">
            <w:pPr>
              <w:rPr>
                <w:noProof/>
              </w:rPr>
            </w:pPr>
            <w:r w:rsidRPr="009B5623">
              <w:rPr>
                <w:noProof/>
              </w:rPr>
              <w:t>Deležniki, na katere vplivajo te zahteve, vključujejo podjetja, ki morajo pripraviti in objaviti izjavo o trajnostnosti, ki je bila digitalno označena in zagotovljena v obliki XHTML, ter ponudnike dajanja zagotovil, ki morajo preveriti, ali izjava o trajnostnosti izpolnjuje potrebne zahteve.</w:t>
            </w:r>
          </w:p>
          <w:p w14:paraId="21AD8A39" w14:textId="77777777" w:rsidR="00CA2B31" w:rsidRPr="009B5623" w:rsidRDefault="00CA2B31" w:rsidP="00845B88">
            <w:pPr>
              <w:pBdr>
                <w:top w:val="nil"/>
                <w:left w:val="nil"/>
                <w:bottom w:val="nil"/>
                <w:right w:val="nil"/>
                <w:between w:val="nil"/>
                <w:bar w:val="nil"/>
              </w:pBdr>
              <w:spacing w:before="0" w:after="240"/>
              <w:rPr>
                <w:rFonts w:eastAsia="Arial Unicode MS"/>
                <w:noProof/>
              </w:rPr>
            </w:pPr>
            <w:r w:rsidRPr="009B5623">
              <w:rPr>
                <w:noProof/>
              </w:rPr>
              <w:t xml:space="preserve">Ta predlog ne spreminja obstoječih pravil o digitalnem označevanju ali obliki, uvedenih z direktivo o poročanju podjetij o trajnostnosti, ki bodo izboljšala digitalno poročanje in omogočila uporabo umetne inteligence pri uporabi informacij, ki jih poročajo podjetja. </w:t>
            </w:r>
          </w:p>
          <w:p w14:paraId="199C6595" w14:textId="77777777" w:rsidR="00904981" w:rsidRPr="009B5623" w:rsidRDefault="00904981" w:rsidP="00845B88">
            <w:pPr>
              <w:pBdr>
                <w:top w:val="nil"/>
                <w:left w:val="nil"/>
                <w:bottom w:val="nil"/>
                <w:right w:val="nil"/>
                <w:between w:val="nil"/>
                <w:bar w:val="nil"/>
              </w:pBdr>
              <w:spacing w:before="0" w:after="240"/>
              <w:rPr>
                <w:rFonts w:eastAsia="Arial Unicode MS"/>
                <w:noProof/>
                <w:color w:val="000000" w:themeColor="text1"/>
              </w:rPr>
            </w:pPr>
            <w:r w:rsidRPr="009B5623">
              <w:rPr>
                <w:noProof/>
              </w:rPr>
              <w:t>Kar zadeva direktivo o skrbnem pregledu v podjetjih glede trajnostnosti, bi lahko digitalna orodja in tehnologije podprli in zmanjšali stroške za zbiranje in ocenjevanje podatkov. Ta predlog ne spreminja ustreznih določb direktive o skrbnem pregledu v podjetjih glede trajnostnosti.</w:t>
            </w:r>
          </w:p>
        </w:tc>
      </w:tr>
    </w:tbl>
    <w:p w14:paraId="167D8CE8" w14:textId="77777777" w:rsidR="00CA2B31" w:rsidRPr="009B5623" w:rsidRDefault="00CA2B31" w:rsidP="00CA2B31">
      <w:pPr>
        <w:pStyle w:val="ManualHeading2"/>
        <w:rPr>
          <w:noProof/>
        </w:rPr>
      </w:pPr>
      <w:bookmarkStart w:id="90" w:name="_Toc167220303"/>
      <w:bookmarkStart w:id="91" w:name="_Toc177549038"/>
      <w:r w:rsidRPr="009B5623">
        <w:rPr>
          <w:noProof/>
        </w:rPr>
        <w:t>4.2</w:t>
      </w:r>
      <w:r w:rsidRPr="009B5623">
        <w:rPr>
          <w:noProof/>
        </w:rPr>
        <w:tab/>
        <w:t>Podatki</w:t>
      </w:r>
      <w:bookmarkEnd w:id="90"/>
      <w:bookmarkEnd w:id="91"/>
    </w:p>
    <w:tbl>
      <w:tblPr>
        <w:tblStyle w:val="TableGrid"/>
        <w:tblW w:w="0" w:type="auto"/>
        <w:tblLook w:val="04A0" w:firstRow="1" w:lastRow="0" w:firstColumn="1" w:lastColumn="0" w:noHBand="0" w:noVBand="1"/>
      </w:tblPr>
      <w:tblGrid>
        <w:gridCol w:w="9063"/>
      </w:tblGrid>
      <w:tr w:rsidR="00CA2B31" w:rsidRPr="009B5623" w14:paraId="564E50A3" w14:textId="77777777">
        <w:tc>
          <w:tcPr>
            <w:tcW w:w="9063" w:type="dxa"/>
          </w:tcPr>
          <w:p w14:paraId="6993631D" w14:textId="77777777" w:rsidR="00CA2B31" w:rsidRPr="009B5623" w:rsidRDefault="00CA2B31">
            <w:pPr>
              <w:rPr>
                <w:noProof/>
              </w:rPr>
            </w:pPr>
            <w:r w:rsidRPr="009B5623">
              <w:rPr>
                <w:noProof/>
              </w:rPr>
              <w:t xml:space="preserve">Glej oddelek zgoraj. </w:t>
            </w:r>
          </w:p>
        </w:tc>
      </w:tr>
    </w:tbl>
    <w:p w14:paraId="157855C8" w14:textId="77777777" w:rsidR="00CA2B31" w:rsidRPr="009B5623" w:rsidRDefault="00CA2B31" w:rsidP="00CA2B31">
      <w:pPr>
        <w:pStyle w:val="ManualHeading2"/>
        <w:rPr>
          <w:noProof/>
        </w:rPr>
      </w:pPr>
      <w:bookmarkStart w:id="92" w:name="_Toc167220305"/>
      <w:bookmarkStart w:id="93" w:name="_Toc177549039"/>
      <w:r w:rsidRPr="009B5623">
        <w:rPr>
          <w:noProof/>
        </w:rPr>
        <w:t>4.3</w:t>
      </w:r>
      <w:r w:rsidRPr="009B5623">
        <w:rPr>
          <w:noProof/>
        </w:rPr>
        <w:tab/>
        <w:t>Digitalne rešitve</w:t>
      </w:r>
      <w:bookmarkEnd w:id="92"/>
      <w:bookmarkEnd w:id="93"/>
    </w:p>
    <w:tbl>
      <w:tblPr>
        <w:tblStyle w:val="TableGrid"/>
        <w:tblpPr w:leftFromText="141" w:rightFromText="141" w:vertAnchor="text" w:horzAnchor="margin" w:tblpY="2"/>
        <w:tblW w:w="9067" w:type="dxa"/>
        <w:tblLook w:val="04A0" w:firstRow="1" w:lastRow="0" w:firstColumn="1" w:lastColumn="0" w:noHBand="0" w:noVBand="1"/>
      </w:tblPr>
      <w:tblGrid>
        <w:gridCol w:w="9067"/>
      </w:tblGrid>
      <w:tr w:rsidR="00CA2B31" w:rsidRPr="009B5623" w14:paraId="705B34B9" w14:textId="77777777">
        <w:tc>
          <w:tcPr>
            <w:tcW w:w="9067" w:type="dxa"/>
          </w:tcPr>
          <w:p w14:paraId="447FA7F5" w14:textId="77777777" w:rsidR="00CA2B31" w:rsidRPr="009B5623" w:rsidRDefault="00CA2B31">
            <w:pPr>
              <w:rPr>
                <w:noProof/>
              </w:rPr>
            </w:pPr>
            <w:r w:rsidRPr="009B5623">
              <w:rPr>
                <w:noProof/>
              </w:rPr>
              <w:t xml:space="preserve">Glej oddelek zgoraj. </w:t>
            </w:r>
          </w:p>
        </w:tc>
      </w:tr>
    </w:tbl>
    <w:p w14:paraId="76028B6C" w14:textId="77777777" w:rsidR="00CA2B31" w:rsidRPr="009B5623" w:rsidRDefault="00CA2B31" w:rsidP="00CA2B31">
      <w:pPr>
        <w:pStyle w:val="ManualHeading2"/>
        <w:rPr>
          <w:rStyle w:val="Emphasis"/>
          <w:b w:val="0"/>
          <w:bCs/>
          <w:i w:val="0"/>
          <w:iCs w:val="0"/>
          <w:noProof/>
        </w:rPr>
      </w:pPr>
      <w:bookmarkStart w:id="94" w:name="_Toc167220304"/>
      <w:bookmarkStart w:id="95" w:name="_Toc177549040"/>
      <w:r w:rsidRPr="009B5623">
        <w:rPr>
          <w:rStyle w:val="Emphasis"/>
          <w:noProof/>
        </w:rPr>
        <w:t>4.4</w:t>
      </w:r>
      <w:r w:rsidRPr="009B5623">
        <w:rPr>
          <w:noProof/>
        </w:rPr>
        <w:tab/>
      </w:r>
      <w:r w:rsidRPr="009B5623">
        <w:rPr>
          <w:rStyle w:val="Emphasis"/>
          <w:noProof/>
        </w:rPr>
        <w:t>Ocena interoperabilnosti</w:t>
      </w:r>
      <w:bookmarkEnd w:id="94"/>
      <w:bookmarkEnd w:id="95"/>
    </w:p>
    <w:tbl>
      <w:tblPr>
        <w:tblStyle w:val="TableGrid"/>
        <w:tblpPr w:leftFromText="141" w:rightFromText="141" w:vertAnchor="text" w:horzAnchor="margin" w:tblpY="36"/>
        <w:tblW w:w="9067" w:type="dxa"/>
        <w:tblLayout w:type="fixed"/>
        <w:tblLook w:val="06A0" w:firstRow="1" w:lastRow="0" w:firstColumn="1" w:lastColumn="0" w:noHBand="1" w:noVBand="1"/>
      </w:tblPr>
      <w:tblGrid>
        <w:gridCol w:w="9067"/>
      </w:tblGrid>
      <w:tr w:rsidR="00CA2B31" w:rsidRPr="009B5623" w14:paraId="086F4381" w14:textId="77777777">
        <w:trPr>
          <w:trHeight w:val="300"/>
        </w:trPr>
        <w:tc>
          <w:tcPr>
            <w:tcW w:w="9067" w:type="dxa"/>
          </w:tcPr>
          <w:p w14:paraId="5AABB5EE" w14:textId="77777777" w:rsidR="00CA2B31" w:rsidRPr="009B5623" w:rsidRDefault="00CA2B31">
            <w:pPr>
              <w:rPr>
                <w:i/>
                <w:iCs/>
                <w:noProof/>
                <w:color w:val="215868" w:themeColor="accent5" w:themeShade="80"/>
              </w:rPr>
            </w:pPr>
            <w:r w:rsidRPr="009B5623">
              <w:rPr>
                <w:noProof/>
              </w:rPr>
              <w:t>n. r.</w:t>
            </w:r>
          </w:p>
        </w:tc>
      </w:tr>
    </w:tbl>
    <w:p w14:paraId="2F7D6FC0" w14:textId="77777777" w:rsidR="00CA2B31" w:rsidRPr="009B5623" w:rsidRDefault="00CA2B31" w:rsidP="00CA2B31">
      <w:pPr>
        <w:pStyle w:val="ManualHeading2"/>
        <w:rPr>
          <w:noProof/>
        </w:rPr>
      </w:pPr>
      <w:bookmarkStart w:id="96" w:name="_Toc167220306"/>
      <w:bookmarkStart w:id="97" w:name="_Toc177549041"/>
      <w:r w:rsidRPr="009B5623">
        <w:rPr>
          <w:noProof/>
        </w:rPr>
        <w:t>4.5</w:t>
      </w:r>
      <w:r w:rsidRPr="009B5623">
        <w:rPr>
          <w:noProof/>
        </w:rPr>
        <w:tab/>
        <w:t>Ukrepi v podporo digitalnemu izvajanju</w:t>
      </w:r>
      <w:bookmarkEnd w:id="96"/>
      <w:bookmarkEnd w:id="97"/>
    </w:p>
    <w:tbl>
      <w:tblPr>
        <w:tblStyle w:val="TableGrid"/>
        <w:tblpPr w:leftFromText="141" w:rightFromText="141" w:vertAnchor="text" w:horzAnchor="margin" w:tblpY="49"/>
        <w:tblW w:w="9067" w:type="dxa"/>
        <w:tblLook w:val="04A0" w:firstRow="1" w:lastRow="0" w:firstColumn="1" w:lastColumn="0" w:noHBand="0" w:noVBand="1"/>
      </w:tblPr>
      <w:tblGrid>
        <w:gridCol w:w="9067"/>
      </w:tblGrid>
      <w:tr w:rsidR="00CA2B31" w:rsidRPr="009B5623" w14:paraId="537B6991" w14:textId="77777777">
        <w:tc>
          <w:tcPr>
            <w:tcW w:w="9067" w:type="dxa"/>
          </w:tcPr>
          <w:p w14:paraId="7A34E1F4" w14:textId="77777777" w:rsidR="00CA2B31" w:rsidRPr="009B5623" w:rsidRDefault="00CA2B31">
            <w:pPr>
              <w:rPr>
                <w:noProof/>
              </w:rPr>
            </w:pPr>
            <w:r w:rsidRPr="009B5623">
              <w:rPr>
                <w:noProof/>
              </w:rPr>
              <w:t xml:space="preserve">Za lažje nemoteno izvajanje zahtev digitalnega pomena, opredeljenih v oddelku 4.1, je Komisija vključena v več pobud. </w:t>
            </w:r>
          </w:p>
          <w:p w14:paraId="59CD393D" w14:textId="77777777" w:rsidR="00CA2B31" w:rsidRPr="009B5623" w:rsidRDefault="00CA2B31">
            <w:pPr>
              <w:rPr>
                <w:noProof/>
              </w:rPr>
            </w:pPr>
            <w:r w:rsidRPr="009B5623">
              <w:rPr>
                <w:noProof/>
              </w:rPr>
              <w:t xml:space="preserve">Prvič, potrebna bo digitalna taksonomija za standarde Unije za poročanje o trajnostnosti, da se bodo lahko poročane informacije označile v skladu s temi standardi poročanja o trajnostni. Komisija bo po prejemu strokovnega nasveta ESMA z delegiranim aktom sprejela digitalno taksonomijo za označevanje informacij o trajnostnosti. </w:t>
            </w:r>
          </w:p>
          <w:p w14:paraId="3119ACB5" w14:textId="77777777" w:rsidR="00CA2B31" w:rsidRPr="009B5623" w:rsidRDefault="00CA2B31">
            <w:pPr>
              <w:rPr>
                <w:noProof/>
              </w:rPr>
            </w:pPr>
            <w:r w:rsidRPr="009B5623">
              <w:rPr>
                <w:noProof/>
              </w:rPr>
              <w:t>Drugič, v okviru Instrumenta za tehnično podporo za leto 2025 namerava Komisija začeti vodilni večdržavni projekt z imenom „Izboljšanje poročanja o trajnostnosti za podjetja“. Ta pobuda je namenjena krepitvi zmogljivosti držav članic, da podprejo podjetja, zlasti MSP, pri izvajanju zahtev glede poročanja iz direktive o poročanju podjetij o trajnostnosti in taksonomije EU. Pri podpori v okviru te pobude se bo upošteval razvoj zahtev glede poročanja, pomembna pa bo tudi za MSP, ki ne kotirajo na borzi in za katera ne velja obvezno poročanje, vendar se soočajo z vse večjimi zahtevami po informacijah o trajnostnosti od svojih finančnih partnerjev in partnerjev v vrednostni verigi.</w:t>
            </w:r>
          </w:p>
          <w:p w14:paraId="41036389" w14:textId="77777777" w:rsidR="00CA2B31" w:rsidRPr="009B5623" w:rsidRDefault="00CA2B31">
            <w:pPr>
              <w:rPr>
                <w:noProof/>
              </w:rPr>
            </w:pPr>
            <w:r w:rsidRPr="009B5623">
              <w:rPr>
                <w:noProof/>
              </w:rPr>
              <w:t xml:space="preserve">Tretjič, EFRAG je vzpostavila forum za MSP, kjer združuje ustrezne deležnike iz skupnosti MSP, da bi razpravljali o izvajanju zahtev glede poročanja o trajnostnosti ter o tem, kako je mogoče digitalne rešitve in orodja uporabiti za olajšanje poročanja o trajnostnosti za MSP. </w:t>
            </w:r>
          </w:p>
          <w:p w14:paraId="3A0E590F" w14:textId="77777777" w:rsidR="004F2909" w:rsidRPr="009B5623" w:rsidRDefault="004F2909">
            <w:pPr>
              <w:rPr>
                <w:noProof/>
              </w:rPr>
            </w:pPr>
            <w:r w:rsidRPr="009B5623">
              <w:rPr>
                <w:noProof/>
              </w:rPr>
              <w:t>Kar zadeva direktivo o skrbnem pregledu v podjetjih glede trajnostnosti, direktiva spodbuja uporabo digitalnih orodij in tehnologij ter od Komisije zahteva, da izda smernice s koristnimi informacijami in sklici na ustrezne vire, da bi podjetjem pomagali pri izpolnjevanju njihovih obveznosti skrbnega pregleda vzdolž njihove vrednostne verige. Ta predlog ne spreminja ustreznih določb.</w:t>
            </w:r>
          </w:p>
        </w:tc>
      </w:tr>
      <w:bookmarkEnd w:id="87"/>
    </w:tbl>
    <w:p w14:paraId="408DC6B4" w14:textId="77777777" w:rsidR="00CA2B31" w:rsidRPr="009B5623" w:rsidRDefault="00CA2B31" w:rsidP="00D13127">
      <w:pPr>
        <w:rPr>
          <w:noProof/>
        </w:rPr>
      </w:pPr>
    </w:p>
    <w:sectPr w:rsidR="00CA2B31" w:rsidRPr="009B5623" w:rsidSect="0022615E">
      <w:pgSz w:w="11907" w:h="16840" w:code="9"/>
      <w:pgMar w:top="1134" w:right="1418" w:bottom="1134" w:left="1418" w:header="709" w:footer="709"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A1914D" w14:textId="77777777" w:rsidR="00A3793C" w:rsidRDefault="00A3793C" w:rsidP="006C7F87">
      <w:pPr>
        <w:spacing w:before="0" w:after="0"/>
      </w:pPr>
      <w:r>
        <w:separator/>
      </w:r>
    </w:p>
  </w:endnote>
  <w:endnote w:type="continuationSeparator" w:id="0">
    <w:p w14:paraId="44E92779" w14:textId="77777777" w:rsidR="00A3793C" w:rsidRDefault="00A3793C" w:rsidP="006C7F87">
      <w:pPr>
        <w:spacing w:before="0" w:after="0"/>
      </w:pPr>
      <w:r>
        <w:continuationSeparator/>
      </w:r>
    </w:p>
  </w:endnote>
  <w:endnote w:type="continuationNotice" w:id="1">
    <w:p w14:paraId="625B8ADE" w14:textId="77777777" w:rsidR="00A3793C" w:rsidRDefault="00A3793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91AC1" w14:textId="16B4AD89" w:rsidR="0022615E" w:rsidRPr="0022615E" w:rsidRDefault="0022615E" w:rsidP="0022615E">
    <w:pPr>
      <w:pStyle w:val="Footer"/>
      <w:rPr>
        <w:rFonts w:ascii="Arial" w:hAnsi="Arial" w:cs="Arial"/>
        <w:b/>
        <w:sz w:val="48"/>
      </w:rPr>
    </w:pPr>
    <w:r w:rsidRPr="0022615E">
      <w:rPr>
        <w:rFonts w:ascii="Arial" w:hAnsi="Arial" w:cs="Arial"/>
        <w:b/>
        <w:sz w:val="48"/>
      </w:rPr>
      <w:t>SL</w:t>
    </w:r>
    <w:r w:rsidRPr="0022615E">
      <w:rPr>
        <w:rFonts w:ascii="Arial" w:hAnsi="Arial" w:cs="Arial"/>
        <w:b/>
        <w:sz w:val="48"/>
      </w:rPr>
      <w:tab/>
    </w:r>
    <w:r w:rsidRPr="0022615E">
      <w:rPr>
        <w:rFonts w:ascii="Arial" w:hAnsi="Arial" w:cs="Arial"/>
        <w:b/>
        <w:sz w:val="48"/>
      </w:rPr>
      <w:tab/>
    </w:r>
    <w:r w:rsidRPr="0022615E">
      <w:tab/>
    </w:r>
    <w:r w:rsidRPr="0022615E">
      <w:rPr>
        <w:rFonts w:ascii="Arial" w:hAnsi="Arial" w:cs="Arial"/>
        <w:b/>
        <w:sz w:val="48"/>
      </w:rPr>
      <w:t>SL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FAA0A" w14:textId="385BBA13" w:rsidR="0022615E" w:rsidRPr="0022615E" w:rsidRDefault="0022615E" w:rsidP="0022615E">
    <w:pPr>
      <w:pStyle w:val="Footer"/>
      <w:rPr>
        <w:rFonts w:ascii="Arial" w:hAnsi="Arial" w:cs="Arial"/>
        <w:b/>
        <w:sz w:val="48"/>
      </w:rPr>
    </w:pPr>
    <w:r w:rsidRPr="0022615E">
      <w:rPr>
        <w:rFonts w:ascii="Arial" w:hAnsi="Arial" w:cs="Arial"/>
        <w:b/>
        <w:sz w:val="48"/>
      </w:rPr>
      <w:t>SL</w:t>
    </w:r>
    <w:r w:rsidRPr="0022615E">
      <w:rPr>
        <w:rFonts w:ascii="Arial" w:hAnsi="Arial" w:cs="Arial"/>
        <w:b/>
        <w:sz w:val="48"/>
      </w:rPr>
      <w:tab/>
    </w:r>
    <w:r w:rsidRPr="0022615E">
      <w:rPr>
        <w:rFonts w:ascii="Arial" w:hAnsi="Arial" w:cs="Arial"/>
        <w:b/>
        <w:sz w:val="48"/>
      </w:rPr>
      <w:tab/>
    </w:r>
    <w:r w:rsidRPr="0022615E">
      <w:tab/>
    </w:r>
    <w:r w:rsidRPr="0022615E">
      <w:rPr>
        <w:rFonts w:ascii="Arial" w:hAnsi="Arial" w:cs="Arial"/>
        <w:b/>
        <w:sz w:val="48"/>
      </w:rPr>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C8DA3" w14:textId="77777777" w:rsidR="0022615E" w:rsidRDefault="0022615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25003" w14:textId="2A10CE98" w:rsidR="0022615E" w:rsidRPr="0022615E" w:rsidRDefault="0022615E" w:rsidP="0022615E">
    <w:pPr>
      <w:pStyle w:val="Footer"/>
      <w:rPr>
        <w:rFonts w:ascii="Arial" w:hAnsi="Arial" w:cs="Arial"/>
        <w:b/>
        <w:sz w:val="48"/>
      </w:rPr>
    </w:pPr>
    <w:r w:rsidRPr="0022615E">
      <w:rPr>
        <w:rFonts w:ascii="Arial" w:hAnsi="Arial" w:cs="Arial"/>
        <w:b/>
        <w:sz w:val="48"/>
      </w:rPr>
      <w:t>SL</w:t>
    </w:r>
    <w:r w:rsidRPr="0022615E">
      <w:rPr>
        <w:rFonts w:ascii="Arial" w:hAnsi="Arial" w:cs="Arial"/>
        <w:b/>
        <w:sz w:val="48"/>
      </w:rPr>
      <w:tab/>
    </w:r>
    <w:r>
      <w:fldChar w:fldCharType="begin"/>
    </w:r>
    <w:r>
      <w:instrText xml:space="preserve"> PAGE  \* MERGEFORMAT </w:instrText>
    </w:r>
    <w:r>
      <w:fldChar w:fldCharType="separate"/>
    </w:r>
    <w:r w:rsidR="00FB284A">
      <w:rPr>
        <w:noProof/>
      </w:rPr>
      <w:t>5</w:t>
    </w:r>
    <w:r>
      <w:fldChar w:fldCharType="end"/>
    </w:r>
    <w:r>
      <w:tab/>
    </w:r>
    <w:r w:rsidRPr="0022615E">
      <w:tab/>
    </w:r>
    <w:r w:rsidRPr="0022615E">
      <w:rPr>
        <w:rFonts w:ascii="Arial" w:hAnsi="Arial" w:cs="Arial"/>
        <w:b/>
        <w:sz w:val="48"/>
      </w:rPr>
      <w:t>SL</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5D459" w14:textId="77777777" w:rsidR="0022615E" w:rsidRDefault="0022615E" w:rsidP="00226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3DE9D8" w14:textId="77777777" w:rsidR="00A3793C" w:rsidRDefault="00A3793C" w:rsidP="006C7F87">
      <w:pPr>
        <w:spacing w:before="0" w:after="0"/>
      </w:pPr>
      <w:r>
        <w:separator/>
      </w:r>
    </w:p>
  </w:footnote>
  <w:footnote w:type="continuationSeparator" w:id="0">
    <w:p w14:paraId="0A5AB533" w14:textId="77777777" w:rsidR="00A3793C" w:rsidRDefault="00A3793C" w:rsidP="006C7F87">
      <w:pPr>
        <w:spacing w:before="0" w:after="0"/>
      </w:pPr>
      <w:r>
        <w:continuationSeparator/>
      </w:r>
    </w:p>
  </w:footnote>
  <w:footnote w:type="continuationNotice" w:id="1">
    <w:p w14:paraId="18E194F9" w14:textId="77777777" w:rsidR="00A3793C" w:rsidRDefault="00A3793C">
      <w:pPr>
        <w:spacing w:before="0" w:after="0"/>
      </w:pPr>
    </w:p>
  </w:footnote>
  <w:footnote w:id="2">
    <w:p w14:paraId="65BF8F8C" w14:textId="4B473DB0" w:rsidR="004875CD" w:rsidRPr="001C5090" w:rsidRDefault="004875CD" w:rsidP="004875CD">
      <w:pPr>
        <w:pStyle w:val="FootnoteText"/>
      </w:pPr>
      <w:r>
        <w:rPr>
          <w:rStyle w:val="FootnoteReference"/>
        </w:rPr>
        <w:footnoteRef/>
      </w:r>
      <w:r>
        <w:tab/>
        <w:t xml:space="preserve">Prihodnost evropske konkurenčnosti, september 2024. </w:t>
      </w:r>
    </w:p>
  </w:footnote>
  <w:footnote w:id="3">
    <w:p w14:paraId="00F2CD19" w14:textId="415E1FA9" w:rsidR="004875CD" w:rsidRPr="00A92F39" w:rsidRDefault="004875CD" w:rsidP="004875CD">
      <w:pPr>
        <w:pStyle w:val="FootnoteText"/>
      </w:pPr>
      <w:r>
        <w:rPr>
          <w:rStyle w:val="FootnoteReference"/>
        </w:rPr>
        <w:footnoteRef/>
      </w:r>
      <w:r>
        <w:tab/>
        <w:t xml:space="preserve">Izjava iz Budimpešte o novem dogovoru o evropski konkurenčnosti, 8. november 2024. </w:t>
      </w:r>
    </w:p>
  </w:footnote>
  <w:footnote w:id="4">
    <w:p w14:paraId="7DB2E662" w14:textId="788CCA97" w:rsidR="004875CD" w:rsidRPr="00A92F39" w:rsidRDefault="004875CD" w:rsidP="004875CD">
      <w:pPr>
        <w:pStyle w:val="FootnoteText"/>
        <w:ind w:left="0" w:firstLine="0"/>
      </w:pPr>
      <w:r>
        <w:rPr>
          <w:rStyle w:val="FootnoteReference"/>
        </w:rPr>
        <w:footnoteRef/>
      </w:r>
      <w:r>
        <w:tab/>
        <w:t xml:space="preserve">Sporočilo Komisije Evropskemu parlamentu, Evropskemu svetu, Svetu, Evropskemu ekonomsko-socialnemu odboru in Odboru regij (COM(2025) 30 final): Kompas za konkurenčnost za EU.  </w:t>
      </w:r>
    </w:p>
  </w:footnote>
  <w:footnote w:id="5">
    <w:p w14:paraId="533D478B" w14:textId="3E79E686" w:rsidR="004875CD" w:rsidRPr="004138C0" w:rsidRDefault="004875CD" w:rsidP="004875CD">
      <w:pPr>
        <w:pStyle w:val="FootnoteText"/>
        <w:ind w:left="0" w:firstLine="0"/>
      </w:pPr>
      <w:r>
        <w:rPr>
          <w:rStyle w:val="FootnoteReference"/>
        </w:rPr>
        <w:footnoteRef/>
      </w:r>
      <w:r>
        <w:tab/>
        <w:t>Sporočilo Komisije Evropskemu parlamentu, Svetu, Evropskemu ekonomsko-socialnemu odboru in Odboru regij (COM(2025) 47 final): Enostavnejša in hitrejša Evropa: Sporočilo o izvajanju in poenostavitvi.</w:t>
      </w:r>
    </w:p>
  </w:footnote>
  <w:footnote w:id="6">
    <w:p w14:paraId="70EE944E" w14:textId="7D932725" w:rsidR="00A53DB0" w:rsidRPr="00341E86" w:rsidRDefault="00A53DB0" w:rsidP="00A53DB0">
      <w:pPr>
        <w:pStyle w:val="FootnoteText"/>
        <w:ind w:left="0" w:firstLine="0"/>
      </w:pPr>
      <w:r>
        <w:rPr>
          <w:rStyle w:val="FootnoteReference"/>
        </w:rPr>
        <w:footnoteRef/>
      </w:r>
      <w:r>
        <w:tab/>
        <w:t>Direktiva (EU) 2022/2464 Evropskega parlamenta in Sveta z dne 14. decembra 2022 (direktiva o poročanju podjetij o trajnostnosti).</w:t>
      </w:r>
    </w:p>
  </w:footnote>
  <w:footnote w:id="7">
    <w:p w14:paraId="0BBC7B5C" w14:textId="043DC7B2" w:rsidR="00A53DB0" w:rsidRPr="00841383" w:rsidRDefault="00A53DB0" w:rsidP="00A53DB0">
      <w:pPr>
        <w:pStyle w:val="FootnoteText"/>
        <w:ind w:left="0" w:firstLine="0"/>
      </w:pPr>
      <w:r>
        <w:rPr>
          <w:rStyle w:val="FootnoteReference"/>
        </w:rPr>
        <w:footnoteRef/>
      </w:r>
      <w:r>
        <w:tab/>
        <w:t>Direktiva 2013/34/EU Evropskega parlamenta in Sveta z dne 26. junija 2013 (računovodska direktiva), Direktiva 2004/109/ES Evropskega parlamenta in Sveta z dne 15. decembra 2004 (direktiva o preglednosti), Direktiva 2006/43/ES Evropskega parlamenta in Sveta z dne 17. maja 2006 (direktiva o revizijah), Uredba (EU) št. 537/2014 Evropskega parlamenta in Sveta z dne 16. aprila 2014 (uredba o revizijah).</w:t>
      </w:r>
    </w:p>
  </w:footnote>
  <w:footnote w:id="8">
    <w:p w14:paraId="58D5382F" w14:textId="3A936FAC" w:rsidR="00A53DB0" w:rsidRPr="001C5090" w:rsidRDefault="00A53DB0" w:rsidP="00A53DB0">
      <w:pPr>
        <w:pStyle w:val="FootnoteText"/>
        <w:ind w:left="0" w:firstLine="0"/>
      </w:pPr>
      <w:r>
        <w:rPr>
          <w:rStyle w:val="FootnoteReference"/>
        </w:rPr>
        <w:footnoteRef/>
      </w:r>
      <w:r>
        <w:tab/>
        <w:t>Sporočilo Komisije Evropski zeleni dogovor (COM(2019) 640 final),  Sporočilo Komisije Akcijski načrt: financiranje trajnostne rasti (COM(2018) 97 final).</w:t>
      </w:r>
    </w:p>
  </w:footnote>
  <w:footnote w:id="9">
    <w:p w14:paraId="06D95305" w14:textId="5E850D6E" w:rsidR="00A53DB0" w:rsidRPr="006838CC" w:rsidRDefault="00A53DB0" w:rsidP="008A6B8D">
      <w:pPr>
        <w:pStyle w:val="FootnoteText"/>
        <w:ind w:left="0" w:firstLine="0"/>
      </w:pPr>
      <w:r>
        <w:rPr>
          <w:rStyle w:val="FootnoteReference"/>
        </w:rPr>
        <w:footnoteRef/>
      </w:r>
      <w:r>
        <w:tab/>
        <w:t>Prav tako subjekti javnega interesa, ki so obvladujoča podjetja velike skupine z več kot 500 zaposlenimi, za konsolidirano poročanje o trajnostnosti. „Subjekti javnega interesa“ so v členu 2, točka 1, računovodske direktive opredeljeni kot podjetja, in sicer: (a) za katera velja pravo države članice in katerih prenosljivi vrednostni papirji so sprejeti v trgovanje na reguliranem trgu EU; (b) kreditne institucije; (c) zavarovalnice ali (d) podjetja, ki jih države članice imenujejo za subjekte javnega interesa. „Velika podjetja“ so v členu 3(4) računovodske direktive opredeljena kot podjetja, ki na dan svoje bilance stanja presegajo vsaj dve od naslednjih treh meril: (a) bilančna vsota: 25 000 000 EUR; (b) čisti prihodek: 50 000 000 EUR; (c) povprečno število zaposlenih v poslovnem letu: 250.</w:t>
      </w:r>
    </w:p>
  </w:footnote>
  <w:footnote w:id="10">
    <w:p w14:paraId="5A52A887" w14:textId="527912BE" w:rsidR="0079497B" w:rsidRPr="0079497B" w:rsidRDefault="0079497B">
      <w:pPr>
        <w:pStyle w:val="FootnoteText"/>
      </w:pPr>
      <w:r>
        <w:rPr>
          <w:rStyle w:val="FootnoteReference"/>
        </w:rPr>
        <w:footnoteRef/>
      </w:r>
      <w:r>
        <w:tab/>
        <w:t>Prav tako druga obvladujoča podjetja velikih skupin za konsolidirano poročanje o trajnostnosti.</w:t>
      </w:r>
    </w:p>
  </w:footnote>
  <w:footnote w:id="11">
    <w:p w14:paraId="30182859" w14:textId="3092AF78" w:rsidR="00691CEA" w:rsidRPr="00691CEA" w:rsidRDefault="00691CEA" w:rsidP="00691CEA">
      <w:pPr>
        <w:pStyle w:val="FootnoteText"/>
        <w:ind w:left="0" w:firstLine="0"/>
      </w:pPr>
      <w:r>
        <w:rPr>
          <w:rStyle w:val="FootnoteReference"/>
        </w:rPr>
        <w:footnoteRef/>
      </w:r>
      <w:r>
        <w:tab/>
        <w:t>Del tretjega vala so tudi majhne in nekompleksne kreditne institucije ter lastne zavarovalnice in pozavarovalnice, čeprav lahko dodatno dvoletno izvzetje uporabijo le, če so MSP, ki kotirajo na borzi.</w:t>
      </w:r>
    </w:p>
  </w:footnote>
  <w:footnote w:id="12">
    <w:p w14:paraId="29D0A7FD" w14:textId="0880F9AC" w:rsidR="001E0B9F" w:rsidRPr="001E0B9F" w:rsidRDefault="001E0B9F" w:rsidP="001E0B9F">
      <w:pPr>
        <w:pStyle w:val="FootnoteText"/>
        <w:ind w:left="0" w:firstLine="0"/>
      </w:pPr>
      <w:r>
        <w:rPr>
          <w:rStyle w:val="FootnoteReference"/>
        </w:rPr>
        <w:footnoteRef/>
      </w:r>
      <w:r>
        <w:tab/>
        <w:t xml:space="preserve">V skladu s členom 40a računovodske direktive, kakor je bila spremenjena z direktivo o poročanju podjetij o trajnostnosti, mora podjetje, ki nima sedeža v EU, poročati informacije o trajnostnosti na ravni skupine, če (a) ustvari več kot 150 milijonov EUR v Uniji in (b) ima odvisno podjetje v EU, za katero veljajo zahteve glede poročanja o trajnostnosti, uvedene z direktivo o poročanju podjetij o trajnostnosti, ali podružnico v EU, ki ustvari več kot 40 milijonov EUR. V tem primeru pravna obveznost objave poročila velja za odvisno podjetje ali podružnico v EU.   </w:t>
      </w:r>
    </w:p>
  </w:footnote>
  <w:footnote w:id="13">
    <w:p w14:paraId="44C95D97" w14:textId="5A8AA16B" w:rsidR="00A53DB0" w:rsidRPr="005B5F6E" w:rsidRDefault="00A53DB0" w:rsidP="00A53DB0">
      <w:pPr>
        <w:pStyle w:val="FootnoteText"/>
        <w:ind w:left="0" w:firstLine="0"/>
      </w:pPr>
      <w:r>
        <w:rPr>
          <w:rStyle w:val="FootnoteReference"/>
        </w:rPr>
        <w:footnoteRef/>
      </w:r>
      <w:r>
        <w:tab/>
        <w:t>Delegirana uredba Komisije (EU) 2023/2772 z dne 31. julija 2023 o dopolnitvi Direktive 2013/34/EU Evropskega parlamenta in Sveta glede standardov poročanja o trajnostnosti.</w:t>
      </w:r>
    </w:p>
  </w:footnote>
  <w:footnote w:id="14">
    <w:p w14:paraId="7C184B09" w14:textId="4CCADC15" w:rsidR="00A53DB0" w:rsidRPr="00146875" w:rsidRDefault="00A53DB0" w:rsidP="00A53DB0">
      <w:pPr>
        <w:pStyle w:val="FootnoteText"/>
        <w:ind w:left="0" w:firstLine="0"/>
      </w:pPr>
      <w:r>
        <w:rPr>
          <w:rStyle w:val="FootnoteReference"/>
        </w:rPr>
        <w:footnoteRef/>
      </w:r>
      <w:r>
        <w:tab/>
        <w:t>EFRAG se je prej imenovala Evropska svetovalna skupina za računovodsko poročanje, vendar je zdaj njeno uradno ime le EFRAG. Je neodvisen zasebni organ z več deležniki, ki ga večinoma financira EU.</w:t>
      </w:r>
    </w:p>
  </w:footnote>
  <w:footnote w:id="15">
    <w:p w14:paraId="4B0388A9" w14:textId="03D72822" w:rsidR="00A53DB0" w:rsidRPr="008233EB" w:rsidRDefault="00A53DB0" w:rsidP="00DF33E8">
      <w:pPr>
        <w:pStyle w:val="FootnoteText"/>
        <w:ind w:left="0" w:firstLine="0"/>
      </w:pPr>
      <w:r>
        <w:rPr>
          <w:rStyle w:val="FootnoteReference"/>
        </w:rPr>
        <w:footnoteRef/>
      </w:r>
      <w:r>
        <w:tab/>
        <w:t>Obseg dela pri poslu dajanja omejenega zagotovila je bistveno manjši kot pri poslu dajanja sprejemljivega zagotovila. Sklepna ugotovitev posla dajanja omejenega zagotovila je običajno izražena v nikalni obliki z navedbo, da ponudnik dajanja zagotovil ni ugotovil ničesar, na podlagi česar bi lahko sklepal, da vsebina vsebuje bistvene napake. Sklepna ugotovitev posla dajanja sprejemljivega zagotovila je običajno izražena v trdilni obliki, njen rezultat pa je podaja mnenja o merjenju obravnavane vsebine glede na predhodno določena merila.</w:t>
      </w:r>
    </w:p>
  </w:footnote>
  <w:footnote w:id="16">
    <w:p w14:paraId="619EA6EA" w14:textId="00A5BF7B" w:rsidR="00C37F8F" w:rsidRPr="001E198A" w:rsidRDefault="00C37F8F" w:rsidP="00C37F8F">
      <w:pPr>
        <w:pStyle w:val="FootnoteText"/>
        <w:ind w:left="0" w:firstLine="0"/>
      </w:pPr>
      <w:r>
        <w:rPr>
          <w:rStyle w:val="FootnoteReference"/>
        </w:rPr>
        <w:footnoteRef/>
      </w:r>
      <w:r>
        <w:tab/>
        <w:t>Poleg tega in zaradi skladnosti bi se v členu 40a računovodske direktive prag čistega prihodka za podjetje, ki nima sedeža v EU in za katerega bi veljale zahteve glede poročanja na ravni skupine, zvišal s 150 milijonov EUR, ustvarjenih v Uniji, na 450 milijonov EUR. Prav tako se zaradi skladnosti prag za podružnico v EU iz člena 40a zviša s 40 milijonov EUR na 50 milijonov EUR, prag za odvisno podjetje v EU pa je omejen na velika podjetja, kot so opredeljena v računovodski direktivi. Ključna pragova direktive o skrbnem pregledu v podjetjih glede trajnostnosti sta 1 000 zaposlenih in 450 milijonov EUR prihodka.</w:t>
      </w:r>
    </w:p>
  </w:footnote>
  <w:footnote w:id="17">
    <w:p w14:paraId="1E7651F3" w14:textId="726C8BE8" w:rsidR="00A957BF" w:rsidRPr="00BB1ACA" w:rsidRDefault="00A957BF" w:rsidP="00DD2BEC">
      <w:pPr>
        <w:pStyle w:val="FootnoteText"/>
        <w:ind w:left="0" w:firstLine="0"/>
      </w:pPr>
      <w:r>
        <w:rPr>
          <w:rStyle w:val="FootnoteReference"/>
        </w:rPr>
        <w:footnoteRef/>
      </w:r>
      <w:r>
        <w:tab/>
        <w:t>Prav tako podjetja, ki niso subjekti javnega interesa in so obvladujoča podjetja velikih skupin z več kot 500 zaposlenimi, ter podjetja, ki so obvladujoča podjetja velikih skupin z manj kot 500 zaposlenimi.</w:t>
      </w:r>
    </w:p>
  </w:footnote>
  <w:footnote w:id="18">
    <w:p w14:paraId="3C32A32E" w14:textId="3E676074" w:rsidR="001275AC" w:rsidRPr="007927A9" w:rsidRDefault="001275AC" w:rsidP="00634F0B">
      <w:pPr>
        <w:pStyle w:val="FootnoteText"/>
        <w:ind w:left="0" w:firstLine="0"/>
      </w:pPr>
      <w:r>
        <w:rPr>
          <w:rStyle w:val="FootnoteReference"/>
        </w:rPr>
        <w:footnoteRef/>
      </w:r>
      <w:r>
        <w:tab/>
      </w:r>
      <w:r>
        <w:rPr>
          <w:rStyle w:val="normaltextrun"/>
          <w:color w:val="000000"/>
          <w:shd w:val="clear" w:color="auto" w:fill="FFFFFF"/>
        </w:rPr>
        <w:t>Komisija je od 17. oktobra do 1. decembra 2023 zbrala povratne informacije 193 deležnikov o možnih ukrepih za racionalizacijo zahtev glede poročanja. Največ prispevkov je prišlo od poslovnih združenj (84) in podjetij (35), sledili pa so jim javni organi (23) in nevladne organizacije (18). Kar zadeva geografsko pokritost, so bili deležniki večinoma iz Nemčije (53), Belgije (47), Francije (7), Litve (8), Nizozemske (6), Italije (5) in Avstrije (4). Povratne informacije so vključevale tudi poziv k uporabi digitalizacije in bolj nemotenemu pretoku podatkov, ponovni uporabi podatkov in standardov, razpoložljivosti jasnih in pravočasnih smernic ter odpravi prekrivanj in neskladnosti v zakonodaji. </w:t>
      </w:r>
      <w:r>
        <w:rPr>
          <w:rStyle w:val="normaltextrun"/>
          <w:rFonts w:ascii="Aptos" w:hAnsi="Aptos"/>
          <w:color w:val="000000"/>
          <w:shd w:val="clear" w:color="auto" w:fill="FFFFFF"/>
        </w:rPr>
        <w:t> </w:t>
      </w:r>
      <w:hyperlink r:id="rId1" w:tgtFrame="_blank" w:history="1">
        <w:r>
          <w:rPr>
            <w:rStyle w:val="normaltextrun"/>
            <w:color w:val="467886"/>
            <w:u w:val="single"/>
            <w:shd w:val="clear" w:color="auto" w:fill="FFFFFF"/>
          </w:rPr>
          <w:t>https://ec.europa.eu/info/law/better-regulation/have-your-say/initiatives/13990-Administrative-burden-rationalisation-of-reporting-requirements_sl</w:t>
        </w:r>
      </w:hyperlink>
      <w:r>
        <w:t>.</w:t>
      </w:r>
    </w:p>
  </w:footnote>
  <w:footnote w:id="19">
    <w:p w14:paraId="7DAAF59F" w14:textId="77777777" w:rsidR="006C7F87" w:rsidRPr="00FA2113" w:rsidRDefault="006C7F87" w:rsidP="0094068A">
      <w:pPr>
        <w:pStyle w:val="FootnoteText"/>
      </w:pPr>
      <w:r>
        <w:rPr>
          <w:rStyle w:val="FootnoteReference"/>
        </w:rPr>
        <w:footnoteRef/>
      </w:r>
      <w:r>
        <w:tab/>
        <w:t>UL C […], […], str. […].</w:t>
      </w:r>
    </w:p>
  </w:footnote>
  <w:footnote w:id="20">
    <w:p w14:paraId="229DD3C4" w14:textId="77777777" w:rsidR="00F06FCD" w:rsidRPr="00A128B6" w:rsidRDefault="00F06FCD">
      <w:pPr>
        <w:pStyle w:val="FootnoteText"/>
      </w:pPr>
      <w:r>
        <w:rPr>
          <w:rStyle w:val="FootnoteReference"/>
        </w:rPr>
        <w:footnoteRef/>
      </w:r>
      <w:r>
        <w:tab/>
        <w:t xml:space="preserve">Sporočilo Komisije Evropskemu parlamentu, Svetu, Evropskemu ekonomsko-socialnemu odboru in Odboru regij z dne 11. februarja 2025 </w:t>
      </w:r>
      <w:r>
        <w:rPr>
          <w:i/>
        </w:rPr>
        <w:t>Enostavnejša in hitrejša Evropa: Sporočilo o izvajanju in poenostavitvi</w:t>
      </w:r>
      <w:r>
        <w:t xml:space="preserve"> (COM(2025) 47 final).</w:t>
      </w:r>
    </w:p>
  </w:footnote>
  <w:footnote w:id="21">
    <w:p w14:paraId="1BD1DB8D" w14:textId="77777777" w:rsidR="0005409B" w:rsidRPr="0080569C" w:rsidRDefault="0005409B" w:rsidP="0080569C">
      <w:pPr>
        <w:pStyle w:val="FootnoteText"/>
      </w:pPr>
      <w:r>
        <w:rPr>
          <w:rStyle w:val="FootnoteReference"/>
        </w:rPr>
        <w:footnoteRef/>
      </w:r>
      <w:r>
        <w:tab/>
        <w:t>Direktiva (EU) 2022/2464 Evropskega parlamenta in Sveta z dne 14. decembra 2022 o spremembi Uredbe (EU) št. 537/2014, Direktive 2004/109/ES, Direktive 2006/43/ES in Direktive 2013/34/EU glede poročanja podjetij o trajnostnosti (UL L 322, 16.12.2022, str. 15, ELI: </w:t>
      </w:r>
      <w:hyperlink r:id="rId2" w:tooltip="Povezava ELI na ta dokument" w:history="1">
        <w:r>
          <w:rPr>
            <w:color w:val="0000FF"/>
            <w:u w:val="single"/>
          </w:rPr>
          <w:t>http://data.europa.eu/eli/dir/2022/2464/oj</w:t>
        </w:r>
      </w:hyperlink>
      <w:r>
        <w:t>).</w:t>
      </w:r>
    </w:p>
  </w:footnote>
  <w:footnote w:id="22">
    <w:p w14:paraId="5CE05F6D" w14:textId="77777777" w:rsidR="005C7196" w:rsidRPr="005C7196" w:rsidRDefault="005C7196" w:rsidP="005C7196">
      <w:pPr>
        <w:pStyle w:val="FootnoteText"/>
      </w:pPr>
      <w:r>
        <w:rPr>
          <w:rStyle w:val="FootnoteReference"/>
        </w:rPr>
        <w:footnoteRef/>
      </w:r>
      <w:r>
        <w:tab/>
        <w:t>Direktiva (EU) 2024/1760 Evropskega parlamenta in Sveta z dne 13. junija 2024 o skrbnem pregledu v podjetjih glede trajnostnosti in spremembi Direktive (EU) 2019/1937 in Uredbe (EU) 2023/2859 (UL L, 2024/1760, 5.7.2024, ELI: http://data.europa.eu/eli/dir/2024/1760/oj).</w:t>
      </w:r>
    </w:p>
  </w:footnote>
  <w:footnote w:id="23">
    <w:p w14:paraId="26B9C313" w14:textId="77777777" w:rsidR="00E6553B" w:rsidRPr="00E6553B" w:rsidRDefault="00E6553B" w:rsidP="00E6553B">
      <w:pPr>
        <w:pStyle w:val="FootnoteText"/>
      </w:pPr>
      <w:r>
        <w:rPr>
          <w:rStyle w:val="FootnoteReference"/>
        </w:rPr>
        <w:footnoteRef/>
      </w:r>
      <w:r>
        <w:tab/>
        <w:t xml:space="preserve">Sporočilo Komisije Evropskemu parlamentu, Evropskemu svetu, Svetu, Evropskemu ekonomsko-socialnemu odboru in Odboru regij z dne 11. decembra 2019 </w:t>
      </w:r>
      <w:r>
        <w:rPr>
          <w:i/>
        </w:rPr>
        <w:t>Evropski zeleni dogovor</w:t>
      </w:r>
      <w:r>
        <w:t xml:space="preserve"> (COM(2019) 640 final).</w:t>
      </w:r>
    </w:p>
  </w:footnote>
  <w:footnote w:id="24">
    <w:p w14:paraId="3F7D67A6" w14:textId="77777777" w:rsidR="005C7196" w:rsidRPr="00DE5445" w:rsidRDefault="005C7196" w:rsidP="00DE5445">
      <w:pPr>
        <w:pStyle w:val="FootnoteText"/>
      </w:pPr>
      <w:r>
        <w:rPr>
          <w:rStyle w:val="FootnoteReference"/>
        </w:rPr>
        <w:footnoteRef/>
      </w:r>
      <w:r>
        <w:tab/>
      </w:r>
      <w:r>
        <w:rPr>
          <w:sz w:val="18"/>
        </w:rPr>
        <w:t xml:space="preserve">Sporočilo Komisije Evropskemu parlamentu, Evropskemu svetu, Svetu, Evropski centralni banki, Evropskemu ekonomsko-socialnemu odboru in Odboru regij </w:t>
      </w:r>
      <w:r>
        <w:rPr>
          <w:i/>
          <w:sz w:val="18"/>
        </w:rPr>
        <w:t>Akcijski načrt: financiranje trajnostne rasti</w:t>
      </w:r>
      <w:r>
        <w:rPr>
          <w:sz w:val="18"/>
        </w:rPr>
        <w:t xml:space="preserve"> (COM(2018) 97 final).</w:t>
      </w:r>
    </w:p>
  </w:footnote>
  <w:footnote w:id="25">
    <w:p w14:paraId="48FE2A8A" w14:textId="77777777" w:rsidR="0015348C" w:rsidRPr="005F5F45" w:rsidRDefault="0015348C" w:rsidP="005F5F45">
      <w:pPr>
        <w:pStyle w:val="FootnoteText"/>
      </w:pPr>
      <w:r>
        <w:rPr>
          <w:rStyle w:val="FootnoteReference"/>
        </w:rPr>
        <w:footnoteRef/>
      </w:r>
      <w:r>
        <w:tab/>
        <w:t>Direktiva 2013/34/EU Evropskega parlamenta in Sveta z dne 26. junija 2013 o letnih računovodskih izkazih, konsolidiranih računovodskih izkazih in povezanih poročilih nekaterih vrst podjetij, spremembi Direktive 2006/43/ES Evropskega parlamenta in Sveta ter razveljavitvi direktiv Sveta 78/660/EGS in 83/349/EGS (UL L 182, 29.6.2013, str. 19, ELI: http://data.europa.eu/eli/dir/2013/34/oj).</w:t>
      </w:r>
    </w:p>
  </w:footnote>
  <w:footnote w:id="26">
    <w:p w14:paraId="59B2C4CD" w14:textId="77777777" w:rsidR="007B433C" w:rsidRPr="00A128B6" w:rsidRDefault="007B433C" w:rsidP="007B7660">
      <w:pPr>
        <w:pStyle w:val="FootnoteText"/>
      </w:pPr>
      <w:r>
        <w:rPr>
          <w:rStyle w:val="FootnoteReference"/>
        </w:rPr>
        <w:footnoteRef/>
      </w:r>
      <w:r>
        <w:tab/>
        <w:t xml:space="preserve">Direktiva 2004/109/ES Evropskega parlamenta in Sveta z dne 15. decembra 2004 o uskladitvi zahtev v zvezi s preglednostjo informacij o izdajateljih, katerih vrednostni papirji so sprejeti v trgovanje na reguliranem trgu, in o spremembah Direktive 2001/34/ES (UL L 390, 31.12.2004, str. 38, ELI: </w:t>
      </w:r>
      <w:hyperlink r:id="rId3" w:history="1">
        <w:r>
          <w:rPr>
            <w:rStyle w:val="Hyperlink"/>
          </w:rPr>
          <w:t>http://data.europa.eu/eli/dir/2004/109/oj</w:t>
        </w:r>
      </w:hyperlink>
      <w:r>
        <w:t xml:space="preserve">). </w:t>
      </w:r>
    </w:p>
  </w:footnote>
  <w:footnote w:id="27">
    <w:p w14:paraId="3A34D00E" w14:textId="77777777" w:rsidR="00CA2B31" w:rsidRDefault="00CA2B31" w:rsidP="00CA2B31">
      <w:pPr>
        <w:pStyle w:val="FootnoteText"/>
      </w:pPr>
      <w:r>
        <w:rPr>
          <w:rStyle w:val="FootnoteReference"/>
        </w:rPr>
        <w:footnoteRef/>
      </w:r>
      <w:r>
        <w:tab/>
        <w:t>Po členu 58(2), točka (a) oz. (b), finančne uredbe.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96F70" w14:textId="77777777" w:rsidR="0022615E" w:rsidRDefault="002261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CEE97" w14:textId="77777777" w:rsidR="0022615E" w:rsidRDefault="002261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1"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2"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7"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9" w15:restartNumberingAfterBreak="0">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1" w15:restartNumberingAfterBreak="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7"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8" w15:restartNumberingAfterBreak="0">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0" w15:restartNumberingAfterBreak="0">
    <w:nsid w:val="557C4C1E"/>
    <w:multiLevelType w:val="hybridMultilevel"/>
    <w:tmpl w:val="C8306D66"/>
    <w:lvl w:ilvl="0" w:tplc="00C61896">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22"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3"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2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8" w15:restartNumberingAfterBreak="0">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30" w15:restartNumberingAfterBreak="0">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3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0"/>
  </w:num>
  <w:num w:numId="2">
    <w:abstractNumId w:val="21"/>
  </w:num>
  <w:num w:numId="3">
    <w:abstractNumId w:val="8"/>
  </w:num>
  <w:num w:numId="4">
    <w:abstractNumId w:val="17"/>
  </w:num>
  <w:num w:numId="5">
    <w:abstractNumId w:val="16"/>
  </w:num>
  <w:num w:numId="6">
    <w:abstractNumId w:val="28"/>
  </w:num>
  <w:num w:numId="7">
    <w:abstractNumId w:val="25"/>
  </w:num>
  <w:num w:numId="8">
    <w:abstractNumId w:val="29"/>
  </w:num>
  <w:num w:numId="9">
    <w:abstractNumId w:val="30"/>
  </w:num>
  <w:num w:numId="10">
    <w:abstractNumId w:val="1"/>
  </w:num>
  <w:num w:numId="11">
    <w:abstractNumId w:val="10"/>
  </w:num>
  <w:num w:numId="12">
    <w:abstractNumId w:val="2"/>
  </w:num>
  <w:num w:numId="13">
    <w:abstractNumId w:val="11"/>
  </w:num>
  <w:num w:numId="14">
    <w:abstractNumId w:val="9"/>
  </w:num>
  <w:num w:numId="15">
    <w:abstractNumId w:val="18"/>
  </w:num>
  <w:num w:numId="16">
    <w:abstractNumId w:val="7"/>
  </w:num>
  <w:num w:numId="17">
    <w:abstractNumId w:val="20"/>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lvlOverride w:ilvl="0">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num>
  <w:num w:numId="22">
    <w:abstractNumId w:val="15"/>
    <w:lvlOverride w:ilvl="0">
      <w:startOverride w:val="1"/>
    </w:lvlOverride>
  </w:num>
  <w:num w:numId="23">
    <w:abstractNumId w:val="12"/>
    <w:lvlOverride w:ilvl="0">
      <w:startOverride w:val="1"/>
    </w:lvlOverride>
  </w:num>
  <w:num w:numId="24">
    <w:abstractNumId w:val="24"/>
  </w:num>
  <w:num w:numId="25">
    <w:abstractNumId w:val="12"/>
  </w:num>
  <w:num w:numId="26">
    <w:abstractNumId w:val="27"/>
  </w:num>
  <w:num w:numId="27">
    <w:abstractNumId w:val="6"/>
  </w:num>
  <w:num w:numId="28">
    <w:abstractNumId w:val="13"/>
  </w:num>
  <w:num w:numId="29">
    <w:abstractNumId w:val="14"/>
  </w:num>
  <w:num w:numId="30">
    <w:abstractNumId w:val="4"/>
  </w:num>
  <w:num w:numId="31">
    <w:abstractNumId w:val="26"/>
  </w:num>
  <w:num w:numId="32">
    <w:abstractNumId w:val="3"/>
  </w:num>
  <w:num w:numId="33">
    <w:abstractNumId w:val="15"/>
  </w:num>
  <w:num w:numId="34">
    <w:abstractNumId w:val="22"/>
  </w:num>
  <w:num w:numId="35">
    <w:abstractNumId w:val="23"/>
  </w:num>
  <w:num w:numId="36">
    <w:abstractNumId w:val="5"/>
  </w:num>
  <w:num w:numId="37">
    <w:abstractNumId w:val="19"/>
  </w:num>
  <w:num w:numId="38">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5-03-12 19:53:14"/>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8D27736A-5161-4DF3-B614-4822DD361A4E"/>
    <w:docVar w:name="LW_COVERPAGE_TYPE" w:val="1"/>
    <w:docVar w:name="LW_CreatedUtc" w:val="2025-02-06T08:46:16.1545004Z"/>
    <w:docVar w:name="LW_CROSSREFERENCE" w:val="{SWD(2025) 80 final}"/>
    <w:docVar w:name="LW_DocType" w:val="COM"/>
    <w:docVar w:name="LW_EMISSION" w:val="26.2.2025"/>
    <w:docVar w:name="LW_EMISSION_ISODATE" w:val="2025-02-26"/>
    <w:docVar w:name="LW_EMISSION_LOCATION" w:val="BRX"/>
    <w:docVar w:name="LW_EMISSION_PREFIX" w:val="Bruselj, "/>
    <w:docVar w:name="LW_EMISSION_SUFFIX" w:val=" "/>
    <w:docVar w:name="LW_ID_DOCMODEL" w:val="SJ-024"/>
    <w:docVar w:name="LW_ID_DOCSIGNATURE" w:val="SJ-024"/>
    <w:docVar w:name="LW_ID_DOCSTRUCTURE" w:val="COM/PL/ORG"/>
    <w:docVar w:name="LW_ID_DOCTYPE" w:val="SJ-024"/>
    <w:docVar w:name="LW_ID_STATUT" w:val="SJ-024"/>
    <w:docVar w:name="LW_INSERT_EXP.MOTIFS.NEW" w:val="1"/>
    <w:docVar w:name="LW_INTERETEEE.CP" w:val="(Besedilo velja za EGP)"/>
    <w:docVar w:name="LW_LANGUE" w:val="SL"/>
    <w:docVar w:name="LW_LEVEL_OF_SENSITIVITY" w:val="Standard treatment"/>
    <w:docVar w:name="LW_NOM.INST" w:val="EVROPSKA KOMISIJA"/>
    <w:docVar w:name="LW_NOM.INST_JOINTDOC" w:val="&lt;EMPTY&gt;"/>
    <w:docVar w:name="LW_PART_NBR" w:val="1"/>
    <w:docVar w:name="LW_PART_NBR_TOTAL" w:val="1"/>
    <w:docVar w:name="LW_REF.II.NEW.CP" w:val="COD"/>
    <w:docVar w:name="LW_REF.II.NEW.CP_NUMBER" w:val="0044"/>
    <w:docVar w:name="LW_REF.II.NEW.CP_YEAR" w:val="2025"/>
    <w:docVar w:name="LW_REF.INST.NEW" w:val="COM"/>
    <w:docVar w:name="LW_REF.INST.NEW_ADOPTED" w:val="final"/>
    <w:docVar w:name="LW_REF.INST.NEW_TEXT" w:val="(2025) 8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edlog"/>
    <w:docVar w:name="LW_SUPERTITRE" w:val="&lt;UNUSED&gt;"/>
    <w:docVar w:name="LW_TITRE.OBJ.CP" w:val="o spremembi direktiv (EU) 2022/2464 in (EU) 2024/1760 glede datumov, od katerih morajo dr\u382?ave \u269?lanice uporabljati nekatere zahteve glede poro\u269?anja podjetij o trajnostnosti in skrbnega pregleda v podjetjih glede trajnostnosti"/>
    <w:docVar w:name="LW_TYPE.DOC.CP" w:val="DIREKTIVA EVROPSKEGA PARLAMENTA IN SVETA"/>
    <w:docVar w:name="LwApiVersions" w:val="LW4CoDe 1.24.5.0; LW 9.0, Build 20240221"/>
  </w:docVars>
  <w:rsids>
    <w:rsidRoot w:val="006C7F87"/>
    <w:rsid w:val="00000A56"/>
    <w:rsid w:val="00001519"/>
    <w:rsid w:val="00001C94"/>
    <w:rsid w:val="00001F5D"/>
    <w:rsid w:val="00002430"/>
    <w:rsid w:val="0000448A"/>
    <w:rsid w:val="00004740"/>
    <w:rsid w:val="00004DCC"/>
    <w:rsid w:val="00005FB2"/>
    <w:rsid w:val="000064E3"/>
    <w:rsid w:val="00006BE4"/>
    <w:rsid w:val="00010BD3"/>
    <w:rsid w:val="000115DD"/>
    <w:rsid w:val="00014203"/>
    <w:rsid w:val="00014E80"/>
    <w:rsid w:val="00016972"/>
    <w:rsid w:val="00017932"/>
    <w:rsid w:val="00020A00"/>
    <w:rsid w:val="00021ED7"/>
    <w:rsid w:val="00022B87"/>
    <w:rsid w:val="00023740"/>
    <w:rsid w:val="000240CF"/>
    <w:rsid w:val="00024DBC"/>
    <w:rsid w:val="000333BE"/>
    <w:rsid w:val="00033B3F"/>
    <w:rsid w:val="0003473F"/>
    <w:rsid w:val="00035C0E"/>
    <w:rsid w:val="00037573"/>
    <w:rsid w:val="000414FE"/>
    <w:rsid w:val="00042905"/>
    <w:rsid w:val="00044603"/>
    <w:rsid w:val="00046A65"/>
    <w:rsid w:val="00046D7B"/>
    <w:rsid w:val="00047793"/>
    <w:rsid w:val="000506E3"/>
    <w:rsid w:val="00051236"/>
    <w:rsid w:val="000515FD"/>
    <w:rsid w:val="00051AFB"/>
    <w:rsid w:val="00053819"/>
    <w:rsid w:val="0005409B"/>
    <w:rsid w:val="00057751"/>
    <w:rsid w:val="0005779E"/>
    <w:rsid w:val="00057DC9"/>
    <w:rsid w:val="00061420"/>
    <w:rsid w:val="000658DE"/>
    <w:rsid w:val="00065E58"/>
    <w:rsid w:val="00070B34"/>
    <w:rsid w:val="00070DE2"/>
    <w:rsid w:val="000722D8"/>
    <w:rsid w:val="00073A17"/>
    <w:rsid w:val="00073C6C"/>
    <w:rsid w:val="00074A2F"/>
    <w:rsid w:val="00074B47"/>
    <w:rsid w:val="00074F9C"/>
    <w:rsid w:val="000751F3"/>
    <w:rsid w:val="000759AE"/>
    <w:rsid w:val="00075F17"/>
    <w:rsid w:val="00077C0D"/>
    <w:rsid w:val="00080A04"/>
    <w:rsid w:val="00081021"/>
    <w:rsid w:val="00083172"/>
    <w:rsid w:val="00083FC5"/>
    <w:rsid w:val="00084620"/>
    <w:rsid w:val="00084AAD"/>
    <w:rsid w:val="0008577A"/>
    <w:rsid w:val="000857AB"/>
    <w:rsid w:val="000869E9"/>
    <w:rsid w:val="0008797C"/>
    <w:rsid w:val="00092E59"/>
    <w:rsid w:val="00094284"/>
    <w:rsid w:val="000944BA"/>
    <w:rsid w:val="0009477C"/>
    <w:rsid w:val="000956A0"/>
    <w:rsid w:val="00096750"/>
    <w:rsid w:val="000A0C13"/>
    <w:rsid w:val="000A19BC"/>
    <w:rsid w:val="000A1BF2"/>
    <w:rsid w:val="000A30FC"/>
    <w:rsid w:val="000A3313"/>
    <w:rsid w:val="000A419A"/>
    <w:rsid w:val="000A561A"/>
    <w:rsid w:val="000A5941"/>
    <w:rsid w:val="000A63E4"/>
    <w:rsid w:val="000A68D5"/>
    <w:rsid w:val="000B0CA2"/>
    <w:rsid w:val="000B1895"/>
    <w:rsid w:val="000B1B58"/>
    <w:rsid w:val="000B1F10"/>
    <w:rsid w:val="000B1FD8"/>
    <w:rsid w:val="000B404F"/>
    <w:rsid w:val="000B47D3"/>
    <w:rsid w:val="000B51AB"/>
    <w:rsid w:val="000B5330"/>
    <w:rsid w:val="000B7904"/>
    <w:rsid w:val="000C02AD"/>
    <w:rsid w:val="000C13CE"/>
    <w:rsid w:val="000C1ADD"/>
    <w:rsid w:val="000C2145"/>
    <w:rsid w:val="000C21BD"/>
    <w:rsid w:val="000C4977"/>
    <w:rsid w:val="000C4B22"/>
    <w:rsid w:val="000C5C36"/>
    <w:rsid w:val="000C5D90"/>
    <w:rsid w:val="000C68DE"/>
    <w:rsid w:val="000D3A2F"/>
    <w:rsid w:val="000D5AA7"/>
    <w:rsid w:val="000D5FE5"/>
    <w:rsid w:val="000D6015"/>
    <w:rsid w:val="000D62EA"/>
    <w:rsid w:val="000D6621"/>
    <w:rsid w:val="000D6EEE"/>
    <w:rsid w:val="000E100A"/>
    <w:rsid w:val="000E39FC"/>
    <w:rsid w:val="000E3C43"/>
    <w:rsid w:val="000E44CD"/>
    <w:rsid w:val="000E764E"/>
    <w:rsid w:val="000E7BD7"/>
    <w:rsid w:val="000F1D21"/>
    <w:rsid w:val="000F2513"/>
    <w:rsid w:val="000F42C4"/>
    <w:rsid w:val="000F7EE5"/>
    <w:rsid w:val="001006D0"/>
    <w:rsid w:val="00100B9F"/>
    <w:rsid w:val="00100FF0"/>
    <w:rsid w:val="00103694"/>
    <w:rsid w:val="00103ABA"/>
    <w:rsid w:val="00105384"/>
    <w:rsid w:val="00105750"/>
    <w:rsid w:val="001065F5"/>
    <w:rsid w:val="00106C8D"/>
    <w:rsid w:val="00107329"/>
    <w:rsid w:val="00110596"/>
    <w:rsid w:val="00110866"/>
    <w:rsid w:val="00110AFB"/>
    <w:rsid w:val="00110D9F"/>
    <w:rsid w:val="001112CA"/>
    <w:rsid w:val="00113E98"/>
    <w:rsid w:val="00116A75"/>
    <w:rsid w:val="00116F1C"/>
    <w:rsid w:val="00120567"/>
    <w:rsid w:val="00121879"/>
    <w:rsid w:val="00122340"/>
    <w:rsid w:val="001230BB"/>
    <w:rsid w:val="001238EF"/>
    <w:rsid w:val="0012448C"/>
    <w:rsid w:val="00124F31"/>
    <w:rsid w:val="001254B6"/>
    <w:rsid w:val="00125F26"/>
    <w:rsid w:val="00126405"/>
    <w:rsid w:val="001269CB"/>
    <w:rsid w:val="00126DDC"/>
    <w:rsid w:val="001275AC"/>
    <w:rsid w:val="00127E30"/>
    <w:rsid w:val="00131346"/>
    <w:rsid w:val="00133251"/>
    <w:rsid w:val="001333BB"/>
    <w:rsid w:val="001365F6"/>
    <w:rsid w:val="0013685A"/>
    <w:rsid w:val="00137105"/>
    <w:rsid w:val="001423E7"/>
    <w:rsid w:val="001428A5"/>
    <w:rsid w:val="001453BD"/>
    <w:rsid w:val="001459D6"/>
    <w:rsid w:val="001466AD"/>
    <w:rsid w:val="001471FE"/>
    <w:rsid w:val="00147D4A"/>
    <w:rsid w:val="00150A06"/>
    <w:rsid w:val="00150A0C"/>
    <w:rsid w:val="00152FAA"/>
    <w:rsid w:val="0015348C"/>
    <w:rsid w:val="00153715"/>
    <w:rsid w:val="00153787"/>
    <w:rsid w:val="00154A58"/>
    <w:rsid w:val="00155218"/>
    <w:rsid w:val="0015570C"/>
    <w:rsid w:val="001559B2"/>
    <w:rsid w:val="00157C1D"/>
    <w:rsid w:val="001615C9"/>
    <w:rsid w:val="00161789"/>
    <w:rsid w:val="00162314"/>
    <w:rsid w:val="00162A4D"/>
    <w:rsid w:val="00163D9A"/>
    <w:rsid w:val="001649F9"/>
    <w:rsid w:val="00164D21"/>
    <w:rsid w:val="0016514D"/>
    <w:rsid w:val="0016688D"/>
    <w:rsid w:val="00167380"/>
    <w:rsid w:val="001704A7"/>
    <w:rsid w:val="001704D3"/>
    <w:rsid w:val="00170CC9"/>
    <w:rsid w:val="001719D9"/>
    <w:rsid w:val="00172033"/>
    <w:rsid w:val="00172EF5"/>
    <w:rsid w:val="00175112"/>
    <w:rsid w:val="001776F1"/>
    <w:rsid w:val="00180EC5"/>
    <w:rsid w:val="0018228A"/>
    <w:rsid w:val="00183166"/>
    <w:rsid w:val="00183581"/>
    <w:rsid w:val="001838E7"/>
    <w:rsid w:val="00185648"/>
    <w:rsid w:val="001858F5"/>
    <w:rsid w:val="00186052"/>
    <w:rsid w:val="00186A70"/>
    <w:rsid w:val="00187AAD"/>
    <w:rsid w:val="00187BE3"/>
    <w:rsid w:val="00187DFA"/>
    <w:rsid w:val="00190E89"/>
    <w:rsid w:val="00191424"/>
    <w:rsid w:val="00191A83"/>
    <w:rsid w:val="00192B77"/>
    <w:rsid w:val="00192E2C"/>
    <w:rsid w:val="0019356E"/>
    <w:rsid w:val="00194258"/>
    <w:rsid w:val="00194BFD"/>
    <w:rsid w:val="0019598C"/>
    <w:rsid w:val="00196323"/>
    <w:rsid w:val="00197613"/>
    <w:rsid w:val="001A1613"/>
    <w:rsid w:val="001A1951"/>
    <w:rsid w:val="001A21C8"/>
    <w:rsid w:val="001A3845"/>
    <w:rsid w:val="001A38CB"/>
    <w:rsid w:val="001A545C"/>
    <w:rsid w:val="001A6105"/>
    <w:rsid w:val="001A6AB3"/>
    <w:rsid w:val="001A7869"/>
    <w:rsid w:val="001A7DB8"/>
    <w:rsid w:val="001B136D"/>
    <w:rsid w:val="001B17B7"/>
    <w:rsid w:val="001B3E56"/>
    <w:rsid w:val="001B428D"/>
    <w:rsid w:val="001B4307"/>
    <w:rsid w:val="001B4861"/>
    <w:rsid w:val="001B5A37"/>
    <w:rsid w:val="001B5FA7"/>
    <w:rsid w:val="001B7A1B"/>
    <w:rsid w:val="001C2F9D"/>
    <w:rsid w:val="001C3537"/>
    <w:rsid w:val="001C3BFF"/>
    <w:rsid w:val="001C49AB"/>
    <w:rsid w:val="001C785F"/>
    <w:rsid w:val="001D0366"/>
    <w:rsid w:val="001D0B41"/>
    <w:rsid w:val="001D2668"/>
    <w:rsid w:val="001D31CC"/>
    <w:rsid w:val="001D3F76"/>
    <w:rsid w:val="001D5C73"/>
    <w:rsid w:val="001D6441"/>
    <w:rsid w:val="001D68ED"/>
    <w:rsid w:val="001E0B9F"/>
    <w:rsid w:val="001E2559"/>
    <w:rsid w:val="001E3C74"/>
    <w:rsid w:val="001E595B"/>
    <w:rsid w:val="001E7E44"/>
    <w:rsid w:val="001F00A4"/>
    <w:rsid w:val="001F11BB"/>
    <w:rsid w:val="001F18C1"/>
    <w:rsid w:val="001F1CFD"/>
    <w:rsid w:val="001F3ED5"/>
    <w:rsid w:val="001F458A"/>
    <w:rsid w:val="001F5202"/>
    <w:rsid w:val="001F5A76"/>
    <w:rsid w:val="001F6994"/>
    <w:rsid w:val="001F6F3A"/>
    <w:rsid w:val="002002BC"/>
    <w:rsid w:val="00200F16"/>
    <w:rsid w:val="00201884"/>
    <w:rsid w:val="00201F03"/>
    <w:rsid w:val="00202280"/>
    <w:rsid w:val="002029D4"/>
    <w:rsid w:val="00202AD3"/>
    <w:rsid w:val="0020431E"/>
    <w:rsid w:val="0020482E"/>
    <w:rsid w:val="00204D3B"/>
    <w:rsid w:val="0020507B"/>
    <w:rsid w:val="00206CDC"/>
    <w:rsid w:val="00210E32"/>
    <w:rsid w:val="00211700"/>
    <w:rsid w:val="00211BF5"/>
    <w:rsid w:val="00212922"/>
    <w:rsid w:val="00213D3F"/>
    <w:rsid w:val="00213E32"/>
    <w:rsid w:val="00216527"/>
    <w:rsid w:val="00216752"/>
    <w:rsid w:val="00217359"/>
    <w:rsid w:val="002173A5"/>
    <w:rsid w:val="00220DDA"/>
    <w:rsid w:val="00222CD5"/>
    <w:rsid w:val="002235EA"/>
    <w:rsid w:val="002241E2"/>
    <w:rsid w:val="002253AB"/>
    <w:rsid w:val="0022615E"/>
    <w:rsid w:val="00226EEE"/>
    <w:rsid w:val="00233980"/>
    <w:rsid w:val="00233DC7"/>
    <w:rsid w:val="00235DFF"/>
    <w:rsid w:val="002402F7"/>
    <w:rsid w:val="00240611"/>
    <w:rsid w:val="0024154A"/>
    <w:rsid w:val="002418E6"/>
    <w:rsid w:val="0024198F"/>
    <w:rsid w:val="0024323A"/>
    <w:rsid w:val="0024366B"/>
    <w:rsid w:val="00244488"/>
    <w:rsid w:val="00246B74"/>
    <w:rsid w:val="00247779"/>
    <w:rsid w:val="00250DBE"/>
    <w:rsid w:val="0025158A"/>
    <w:rsid w:val="00251A37"/>
    <w:rsid w:val="00252831"/>
    <w:rsid w:val="002537AF"/>
    <w:rsid w:val="00253805"/>
    <w:rsid w:val="0025383F"/>
    <w:rsid w:val="0025414A"/>
    <w:rsid w:val="00255F5F"/>
    <w:rsid w:val="00256B52"/>
    <w:rsid w:val="0025725C"/>
    <w:rsid w:val="002614A5"/>
    <w:rsid w:val="00261ED2"/>
    <w:rsid w:val="00262F94"/>
    <w:rsid w:val="002650E3"/>
    <w:rsid w:val="002654FB"/>
    <w:rsid w:val="00266484"/>
    <w:rsid w:val="002667E8"/>
    <w:rsid w:val="00271909"/>
    <w:rsid w:val="00271B0D"/>
    <w:rsid w:val="00274E63"/>
    <w:rsid w:val="00274FCF"/>
    <w:rsid w:val="002761CA"/>
    <w:rsid w:val="002775D8"/>
    <w:rsid w:val="00282A21"/>
    <w:rsid w:val="00285794"/>
    <w:rsid w:val="00285BEE"/>
    <w:rsid w:val="002868DC"/>
    <w:rsid w:val="00286FA2"/>
    <w:rsid w:val="0029280D"/>
    <w:rsid w:val="00293059"/>
    <w:rsid w:val="00293806"/>
    <w:rsid w:val="0029533F"/>
    <w:rsid w:val="002956CC"/>
    <w:rsid w:val="00297A5D"/>
    <w:rsid w:val="002A0B7B"/>
    <w:rsid w:val="002A2AF9"/>
    <w:rsid w:val="002A2E8F"/>
    <w:rsid w:val="002A3C91"/>
    <w:rsid w:val="002A3ECA"/>
    <w:rsid w:val="002A5850"/>
    <w:rsid w:val="002A75A8"/>
    <w:rsid w:val="002B0AE1"/>
    <w:rsid w:val="002B30AF"/>
    <w:rsid w:val="002B3437"/>
    <w:rsid w:val="002B4006"/>
    <w:rsid w:val="002B45CD"/>
    <w:rsid w:val="002B668A"/>
    <w:rsid w:val="002B6DCB"/>
    <w:rsid w:val="002B7057"/>
    <w:rsid w:val="002B7587"/>
    <w:rsid w:val="002C0002"/>
    <w:rsid w:val="002C3CF8"/>
    <w:rsid w:val="002C5F60"/>
    <w:rsid w:val="002C68B1"/>
    <w:rsid w:val="002C75E5"/>
    <w:rsid w:val="002D3140"/>
    <w:rsid w:val="002D3451"/>
    <w:rsid w:val="002D59B4"/>
    <w:rsid w:val="002D6A34"/>
    <w:rsid w:val="002D76A6"/>
    <w:rsid w:val="002E2D55"/>
    <w:rsid w:val="002E31AD"/>
    <w:rsid w:val="002E3635"/>
    <w:rsid w:val="002F0991"/>
    <w:rsid w:val="002F319C"/>
    <w:rsid w:val="002F4862"/>
    <w:rsid w:val="002F4A91"/>
    <w:rsid w:val="002F4E46"/>
    <w:rsid w:val="002F5243"/>
    <w:rsid w:val="002F773F"/>
    <w:rsid w:val="002F7CCE"/>
    <w:rsid w:val="003017E4"/>
    <w:rsid w:val="003024E2"/>
    <w:rsid w:val="00307D02"/>
    <w:rsid w:val="003102DB"/>
    <w:rsid w:val="00310A73"/>
    <w:rsid w:val="00310F6D"/>
    <w:rsid w:val="003117B2"/>
    <w:rsid w:val="00311F6F"/>
    <w:rsid w:val="003121A3"/>
    <w:rsid w:val="00312AA4"/>
    <w:rsid w:val="00312FF4"/>
    <w:rsid w:val="00313A24"/>
    <w:rsid w:val="00313D82"/>
    <w:rsid w:val="00314468"/>
    <w:rsid w:val="00314682"/>
    <w:rsid w:val="00315DE7"/>
    <w:rsid w:val="00315F26"/>
    <w:rsid w:val="00316438"/>
    <w:rsid w:val="00316451"/>
    <w:rsid w:val="00316EFF"/>
    <w:rsid w:val="003204F1"/>
    <w:rsid w:val="00320592"/>
    <w:rsid w:val="00320FD0"/>
    <w:rsid w:val="00321646"/>
    <w:rsid w:val="00321BE7"/>
    <w:rsid w:val="00321F4A"/>
    <w:rsid w:val="00322B69"/>
    <w:rsid w:val="00322EFF"/>
    <w:rsid w:val="00323EC5"/>
    <w:rsid w:val="003240E3"/>
    <w:rsid w:val="00324E2F"/>
    <w:rsid w:val="00325BD4"/>
    <w:rsid w:val="00326015"/>
    <w:rsid w:val="00327AFF"/>
    <w:rsid w:val="00331383"/>
    <w:rsid w:val="00332C20"/>
    <w:rsid w:val="0033344A"/>
    <w:rsid w:val="00334C5B"/>
    <w:rsid w:val="00334FCB"/>
    <w:rsid w:val="00336F25"/>
    <w:rsid w:val="003379BF"/>
    <w:rsid w:val="00337C2A"/>
    <w:rsid w:val="003409AE"/>
    <w:rsid w:val="00341328"/>
    <w:rsid w:val="00341681"/>
    <w:rsid w:val="00343AF5"/>
    <w:rsid w:val="003446B3"/>
    <w:rsid w:val="00344AD0"/>
    <w:rsid w:val="00344EAA"/>
    <w:rsid w:val="00347DBD"/>
    <w:rsid w:val="00350807"/>
    <w:rsid w:val="00351D9C"/>
    <w:rsid w:val="00352AA2"/>
    <w:rsid w:val="003537A2"/>
    <w:rsid w:val="00353FFD"/>
    <w:rsid w:val="003553F8"/>
    <w:rsid w:val="00355C83"/>
    <w:rsid w:val="00360F19"/>
    <w:rsid w:val="00361B10"/>
    <w:rsid w:val="00363183"/>
    <w:rsid w:val="0036350F"/>
    <w:rsid w:val="00364007"/>
    <w:rsid w:val="00364373"/>
    <w:rsid w:val="0036598A"/>
    <w:rsid w:val="00365B52"/>
    <w:rsid w:val="00370804"/>
    <w:rsid w:val="00371584"/>
    <w:rsid w:val="00373936"/>
    <w:rsid w:val="0037411A"/>
    <w:rsid w:val="00374542"/>
    <w:rsid w:val="00375803"/>
    <w:rsid w:val="00377741"/>
    <w:rsid w:val="00380041"/>
    <w:rsid w:val="0038052F"/>
    <w:rsid w:val="00380540"/>
    <w:rsid w:val="00381DB2"/>
    <w:rsid w:val="00381E10"/>
    <w:rsid w:val="003822E4"/>
    <w:rsid w:val="003825CA"/>
    <w:rsid w:val="0038523F"/>
    <w:rsid w:val="003869C9"/>
    <w:rsid w:val="00387B5E"/>
    <w:rsid w:val="00387B8C"/>
    <w:rsid w:val="00387C50"/>
    <w:rsid w:val="0039229E"/>
    <w:rsid w:val="003925DA"/>
    <w:rsid w:val="00395EEE"/>
    <w:rsid w:val="0039704F"/>
    <w:rsid w:val="00397E46"/>
    <w:rsid w:val="003A0FEF"/>
    <w:rsid w:val="003A4147"/>
    <w:rsid w:val="003A4F24"/>
    <w:rsid w:val="003A5802"/>
    <w:rsid w:val="003A64AB"/>
    <w:rsid w:val="003A735F"/>
    <w:rsid w:val="003B0695"/>
    <w:rsid w:val="003B3882"/>
    <w:rsid w:val="003B51EB"/>
    <w:rsid w:val="003C2759"/>
    <w:rsid w:val="003C6B22"/>
    <w:rsid w:val="003C7508"/>
    <w:rsid w:val="003D2299"/>
    <w:rsid w:val="003D234B"/>
    <w:rsid w:val="003D25D1"/>
    <w:rsid w:val="003D2B3B"/>
    <w:rsid w:val="003D56AB"/>
    <w:rsid w:val="003D601A"/>
    <w:rsid w:val="003D6D30"/>
    <w:rsid w:val="003D6EEE"/>
    <w:rsid w:val="003D7AF6"/>
    <w:rsid w:val="003D7C1D"/>
    <w:rsid w:val="003E04EB"/>
    <w:rsid w:val="003E1F15"/>
    <w:rsid w:val="003E2888"/>
    <w:rsid w:val="003E324A"/>
    <w:rsid w:val="003E41BD"/>
    <w:rsid w:val="003E424A"/>
    <w:rsid w:val="003E5C68"/>
    <w:rsid w:val="003E6A28"/>
    <w:rsid w:val="003E6CBE"/>
    <w:rsid w:val="003F15F9"/>
    <w:rsid w:val="003F2513"/>
    <w:rsid w:val="003F2BB2"/>
    <w:rsid w:val="003F368B"/>
    <w:rsid w:val="003F45C2"/>
    <w:rsid w:val="003F4AD4"/>
    <w:rsid w:val="003F5635"/>
    <w:rsid w:val="003F67DF"/>
    <w:rsid w:val="003F6B69"/>
    <w:rsid w:val="003F7F2C"/>
    <w:rsid w:val="00400B70"/>
    <w:rsid w:val="00401809"/>
    <w:rsid w:val="00402489"/>
    <w:rsid w:val="00402BCC"/>
    <w:rsid w:val="0040540B"/>
    <w:rsid w:val="00405725"/>
    <w:rsid w:val="0040618E"/>
    <w:rsid w:val="00406D00"/>
    <w:rsid w:val="00406D1A"/>
    <w:rsid w:val="00406FA6"/>
    <w:rsid w:val="00407B27"/>
    <w:rsid w:val="00407B6C"/>
    <w:rsid w:val="00410B63"/>
    <w:rsid w:val="00410E37"/>
    <w:rsid w:val="00412EEF"/>
    <w:rsid w:val="004135E9"/>
    <w:rsid w:val="00415FDE"/>
    <w:rsid w:val="00416EC6"/>
    <w:rsid w:val="00420292"/>
    <w:rsid w:val="0042085E"/>
    <w:rsid w:val="004214B1"/>
    <w:rsid w:val="00421A7A"/>
    <w:rsid w:val="00421AE4"/>
    <w:rsid w:val="004223DF"/>
    <w:rsid w:val="00422885"/>
    <w:rsid w:val="00423837"/>
    <w:rsid w:val="0042401C"/>
    <w:rsid w:val="004241F7"/>
    <w:rsid w:val="00425BAF"/>
    <w:rsid w:val="0042621B"/>
    <w:rsid w:val="0042624C"/>
    <w:rsid w:val="0042648E"/>
    <w:rsid w:val="00427C2F"/>
    <w:rsid w:val="00427CE8"/>
    <w:rsid w:val="004406DD"/>
    <w:rsid w:val="00440E5D"/>
    <w:rsid w:val="00445246"/>
    <w:rsid w:val="00446AE5"/>
    <w:rsid w:val="004508D2"/>
    <w:rsid w:val="004509EC"/>
    <w:rsid w:val="00450F48"/>
    <w:rsid w:val="004513C5"/>
    <w:rsid w:val="00451B5A"/>
    <w:rsid w:val="0045374D"/>
    <w:rsid w:val="004559C6"/>
    <w:rsid w:val="00455DB9"/>
    <w:rsid w:val="00456DE1"/>
    <w:rsid w:val="00457727"/>
    <w:rsid w:val="00461474"/>
    <w:rsid w:val="004625B6"/>
    <w:rsid w:val="00463146"/>
    <w:rsid w:val="00463F23"/>
    <w:rsid w:val="00465CAD"/>
    <w:rsid w:val="0046760B"/>
    <w:rsid w:val="0046D8D3"/>
    <w:rsid w:val="00472108"/>
    <w:rsid w:val="00474DBA"/>
    <w:rsid w:val="00474FD9"/>
    <w:rsid w:val="00475C7C"/>
    <w:rsid w:val="00480F54"/>
    <w:rsid w:val="00481BEB"/>
    <w:rsid w:val="00482FA2"/>
    <w:rsid w:val="00483098"/>
    <w:rsid w:val="004843D2"/>
    <w:rsid w:val="00484F89"/>
    <w:rsid w:val="00485FDD"/>
    <w:rsid w:val="004862E3"/>
    <w:rsid w:val="004875CD"/>
    <w:rsid w:val="004903FE"/>
    <w:rsid w:val="004904F6"/>
    <w:rsid w:val="00490B17"/>
    <w:rsid w:val="004936D2"/>
    <w:rsid w:val="00494487"/>
    <w:rsid w:val="0049770C"/>
    <w:rsid w:val="004A0984"/>
    <w:rsid w:val="004A2570"/>
    <w:rsid w:val="004A3B6F"/>
    <w:rsid w:val="004A3C49"/>
    <w:rsid w:val="004A431C"/>
    <w:rsid w:val="004A57B2"/>
    <w:rsid w:val="004A5E27"/>
    <w:rsid w:val="004A73DD"/>
    <w:rsid w:val="004B0309"/>
    <w:rsid w:val="004B154E"/>
    <w:rsid w:val="004B215F"/>
    <w:rsid w:val="004B2D2D"/>
    <w:rsid w:val="004B3F4F"/>
    <w:rsid w:val="004B4E96"/>
    <w:rsid w:val="004B5A53"/>
    <w:rsid w:val="004B6190"/>
    <w:rsid w:val="004B6520"/>
    <w:rsid w:val="004B71A0"/>
    <w:rsid w:val="004B7930"/>
    <w:rsid w:val="004B79C1"/>
    <w:rsid w:val="004C025F"/>
    <w:rsid w:val="004C04A1"/>
    <w:rsid w:val="004C1461"/>
    <w:rsid w:val="004C1832"/>
    <w:rsid w:val="004C589F"/>
    <w:rsid w:val="004C60B6"/>
    <w:rsid w:val="004C6B84"/>
    <w:rsid w:val="004C6CB1"/>
    <w:rsid w:val="004C6F03"/>
    <w:rsid w:val="004C6F31"/>
    <w:rsid w:val="004C79CC"/>
    <w:rsid w:val="004C7A2C"/>
    <w:rsid w:val="004D238D"/>
    <w:rsid w:val="004D2808"/>
    <w:rsid w:val="004D439F"/>
    <w:rsid w:val="004D4EC0"/>
    <w:rsid w:val="004D5429"/>
    <w:rsid w:val="004D5B57"/>
    <w:rsid w:val="004D7CE7"/>
    <w:rsid w:val="004E0836"/>
    <w:rsid w:val="004E1576"/>
    <w:rsid w:val="004E16E8"/>
    <w:rsid w:val="004E1E2E"/>
    <w:rsid w:val="004E3EB8"/>
    <w:rsid w:val="004E3F6C"/>
    <w:rsid w:val="004E518E"/>
    <w:rsid w:val="004E5D02"/>
    <w:rsid w:val="004E5F46"/>
    <w:rsid w:val="004E664D"/>
    <w:rsid w:val="004E719D"/>
    <w:rsid w:val="004F0204"/>
    <w:rsid w:val="004F0CF4"/>
    <w:rsid w:val="004F2909"/>
    <w:rsid w:val="004F554B"/>
    <w:rsid w:val="004F6090"/>
    <w:rsid w:val="004F619D"/>
    <w:rsid w:val="004F7D37"/>
    <w:rsid w:val="004F7ED9"/>
    <w:rsid w:val="0050020C"/>
    <w:rsid w:val="00500C88"/>
    <w:rsid w:val="00501E4B"/>
    <w:rsid w:val="00501EFE"/>
    <w:rsid w:val="005059C6"/>
    <w:rsid w:val="00505CF3"/>
    <w:rsid w:val="005064D3"/>
    <w:rsid w:val="00506697"/>
    <w:rsid w:val="00506B13"/>
    <w:rsid w:val="00506BC9"/>
    <w:rsid w:val="00511986"/>
    <w:rsid w:val="005134E1"/>
    <w:rsid w:val="00513C08"/>
    <w:rsid w:val="00515006"/>
    <w:rsid w:val="005167AD"/>
    <w:rsid w:val="005179ED"/>
    <w:rsid w:val="00517CE1"/>
    <w:rsid w:val="00520A0A"/>
    <w:rsid w:val="00522E80"/>
    <w:rsid w:val="005242A7"/>
    <w:rsid w:val="0052683F"/>
    <w:rsid w:val="00526A7F"/>
    <w:rsid w:val="0053244D"/>
    <w:rsid w:val="00533EEC"/>
    <w:rsid w:val="00536E73"/>
    <w:rsid w:val="005370CC"/>
    <w:rsid w:val="00540F3A"/>
    <w:rsid w:val="005412DF"/>
    <w:rsid w:val="005431DF"/>
    <w:rsid w:val="00543276"/>
    <w:rsid w:val="005433C5"/>
    <w:rsid w:val="005447C1"/>
    <w:rsid w:val="00544E78"/>
    <w:rsid w:val="00545F56"/>
    <w:rsid w:val="00547141"/>
    <w:rsid w:val="005500A0"/>
    <w:rsid w:val="00550E9A"/>
    <w:rsid w:val="00551364"/>
    <w:rsid w:val="00553220"/>
    <w:rsid w:val="0055345C"/>
    <w:rsid w:val="005549CD"/>
    <w:rsid w:val="00555B85"/>
    <w:rsid w:val="00557160"/>
    <w:rsid w:val="00557418"/>
    <w:rsid w:val="0055760D"/>
    <w:rsid w:val="00557723"/>
    <w:rsid w:val="0056362C"/>
    <w:rsid w:val="00563A8C"/>
    <w:rsid w:val="00563CBC"/>
    <w:rsid w:val="00570F5C"/>
    <w:rsid w:val="005713E3"/>
    <w:rsid w:val="00571840"/>
    <w:rsid w:val="00571B79"/>
    <w:rsid w:val="00571D4A"/>
    <w:rsid w:val="0057371C"/>
    <w:rsid w:val="0057398F"/>
    <w:rsid w:val="00573C2F"/>
    <w:rsid w:val="00574ACB"/>
    <w:rsid w:val="005756D4"/>
    <w:rsid w:val="00576780"/>
    <w:rsid w:val="00577F13"/>
    <w:rsid w:val="0058033F"/>
    <w:rsid w:val="00581CDC"/>
    <w:rsid w:val="00583284"/>
    <w:rsid w:val="00583B78"/>
    <w:rsid w:val="00585BD7"/>
    <w:rsid w:val="00585FEC"/>
    <w:rsid w:val="00587F26"/>
    <w:rsid w:val="0059025E"/>
    <w:rsid w:val="005910AA"/>
    <w:rsid w:val="005924B6"/>
    <w:rsid w:val="00592CFF"/>
    <w:rsid w:val="00597735"/>
    <w:rsid w:val="005A0351"/>
    <w:rsid w:val="005A0E1B"/>
    <w:rsid w:val="005A1930"/>
    <w:rsid w:val="005A2426"/>
    <w:rsid w:val="005A27DF"/>
    <w:rsid w:val="005A32FC"/>
    <w:rsid w:val="005A3B5B"/>
    <w:rsid w:val="005A4ACC"/>
    <w:rsid w:val="005A699D"/>
    <w:rsid w:val="005A6B99"/>
    <w:rsid w:val="005A7273"/>
    <w:rsid w:val="005A72C3"/>
    <w:rsid w:val="005A753D"/>
    <w:rsid w:val="005B02FD"/>
    <w:rsid w:val="005B1EB6"/>
    <w:rsid w:val="005B4404"/>
    <w:rsid w:val="005B616E"/>
    <w:rsid w:val="005B656B"/>
    <w:rsid w:val="005B71E9"/>
    <w:rsid w:val="005B76FA"/>
    <w:rsid w:val="005C24C4"/>
    <w:rsid w:val="005C3A30"/>
    <w:rsid w:val="005C5235"/>
    <w:rsid w:val="005C5F0D"/>
    <w:rsid w:val="005C7196"/>
    <w:rsid w:val="005D3A22"/>
    <w:rsid w:val="005D3A3C"/>
    <w:rsid w:val="005D5CE2"/>
    <w:rsid w:val="005D6B2F"/>
    <w:rsid w:val="005E20D6"/>
    <w:rsid w:val="005E40B2"/>
    <w:rsid w:val="005E4A88"/>
    <w:rsid w:val="005E5424"/>
    <w:rsid w:val="005F00F3"/>
    <w:rsid w:val="005F0509"/>
    <w:rsid w:val="005F17C7"/>
    <w:rsid w:val="005F1991"/>
    <w:rsid w:val="005F19E6"/>
    <w:rsid w:val="005F491C"/>
    <w:rsid w:val="005F5F45"/>
    <w:rsid w:val="005F6326"/>
    <w:rsid w:val="005F63F6"/>
    <w:rsid w:val="005F6786"/>
    <w:rsid w:val="005F74D0"/>
    <w:rsid w:val="00600684"/>
    <w:rsid w:val="00602E2B"/>
    <w:rsid w:val="00602E88"/>
    <w:rsid w:val="0060318F"/>
    <w:rsid w:val="00604BDB"/>
    <w:rsid w:val="00604E39"/>
    <w:rsid w:val="00605CAE"/>
    <w:rsid w:val="006066A9"/>
    <w:rsid w:val="00606C80"/>
    <w:rsid w:val="0060758F"/>
    <w:rsid w:val="00610C40"/>
    <w:rsid w:val="00611091"/>
    <w:rsid w:val="00611284"/>
    <w:rsid w:val="00612A24"/>
    <w:rsid w:val="00615DDD"/>
    <w:rsid w:val="00620144"/>
    <w:rsid w:val="006216C6"/>
    <w:rsid w:val="00623883"/>
    <w:rsid w:val="00623ABE"/>
    <w:rsid w:val="00623EE6"/>
    <w:rsid w:val="0062431C"/>
    <w:rsid w:val="006263D3"/>
    <w:rsid w:val="006308FF"/>
    <w:rsid w:val="0063181C"/>
    <w:rsid w:val="00631D04"/>
    <w:rsid w:val="0063382B"/>
    <w:rsid w:val="0063466C"/>
    <w:rsid w:val="00634F0B"/>
    <w:rsid w:val="006350ED"/>
    <w:rsid w:val="006359E4"/>
    <w:rsid w:val="00636208"/>
    <w:rsid w:val="0063726D"/>
    <w:rsid w:val="00640342"/>
    <w:rsid w:val="00640794"/>
    <w:rsid w:val="00642240"/>
    <w:rsid w:val="006423C3"/>
    <w:rsid w:val="00642992"/>
    <w:rsid w:val="00642A28"/>
    <w:rsid w:val="0064378F"/>
    <w:rsid w:val="0064429E"/>
    <w:rsid w:val="00644958"/>
    <w:rsid w:val="00645D12"/>
    <w:rsid w:val="0065287F"/>
    <w:rsid w:val="00652AA6"/>
    <w:rsid w:val="00657298"/>
    <w:rsid w:val="006613E8"/>
    <w:rsid w:val="00661D1F"/>
    <w:rsid w:val="00661FC9"/>
    <w:rsid w:val="006649CB"/>
    <w:rsid w:val="00667568"/>
    <w:rsid w:val="00670A63"/>
    <w:rsid w:val="00673EC8"/>
    <w:rsid w:val="0067494E"/>
    <w:rsid w:val="00675183"/>
    <w:rsid w:val="006756A6"/>
    <w:rsid w:val="00677357"/>
    <w:rsid w:val="006827D8"/>
    <w:rsid w:val="006835C5"/>
    <w:rsid w:val="006858EB"/>
    <w:rsid w:val="00686186"/>
    <w:rsid w:val="00687184"/>
    <w:rsid w:val="006872A2"/>
    <w:rsid w:val="00691CEA"/>
    <w:rsid w:val="006929A1"/>
    <w:rsid w:val="00692E7D"/>
    <w:rsid w:val="0069316C"/>
    <w:rsid w:val="00694CC6"/>
    <w:rsid w:val="00695433"/>
    <w:rsid w:val="00695444"/>
    <w:rsid w:val="006977B9"/>
    <w:rsid w:val="006A10E0"/>
    <w:rsid w:val="006A1E17"/>
    <w:rsid w:val="006A3976"/>
    <w:rsid w:val="006A55B1"/>
    <w:rsid w:val="006A5E0F"/>
    <w:rsid w:val="006A6BDD"/>
    <w:rsid w:val="006A7066"/>
    <w:rsid w:val="006A7757"/>
    <w:rsid w:val="006A7C59"/>
    <w:rsid w:val="006B20DD"/>
    <w:rsid w:val="006B2CC2"/>
    <w:rsid w:val="006B40D2"/>
    <w:rsid w:val="006B5199"/>
    <w:rsid w:val="006B6C76"/>
    <w:rsid w:val="006B6CCA"/>
    <w:rsid w:val="006C1F8C"/>
    <w:rsid w:val="006C2F48"/>
    <w:rsid w:val="006C5091"/>
    <w:rsid w:val="006C52DD"/>
    <w:rsid w:val="006C746E"/>
    <w:rsid w:val="006C7D47"/>
    <w:rsid w:val="006C7F87"/>
    <w:rsid w:val="006D059E"/>
    <w:rsid w:val="006D0D24"/>
    <w:rsid w:val="006D0F1F"/>
    <w:rsid w:val="006D1D06"/>
    <w:rsid w:val="006D2771"/>
    <w:rsid w:val="006D31C4"/>
    <w:rsid w:val="006D3803"/>
    <w:rsid w:val="006D47E9"/>
    <w:rsid w:val="006D4B52"/>
    <w:rsid w:val="006D6389"/>
    <w:rsid w:val="006E0540"/>
    <w:rsid w:val="006E0A81"/>
    <w:rsid w:val="006E10E5"/>
    <w:rsid w:val="006E177B"/>
    <w:rsid w:val="006E1CC6"/>
    <w:rsid w:val="006E2738"/>
    <w:rsid w:val="006E2D2F"/>
    <w:rsid w:val="006E39C2"/>
    <w:rsid w:val="006E4842"/>
    <w:rsid w:val="006E4E6E"/>
    <w:rsid w:val="006E5885"/>
    <w:rsid w:val="006E6CF7"/>
    <w:rsid w:val="006F19C2"/>
    <w:rsid w:val="006F20DF"/>
    <w:rsid w:val="006F3AED"/>
    <w:rsid w:val="006F3F32"/>
    <w:rsid w:val="006F40D6"/>
    <w:rsid w:val="006F4690"/>
    <w:rsid w:val="006F5A4D"/>
    <w:rsid w:val="006F5D20"/>
    <w:rsid w:val="00702E4E"/>
    <w:rsid w:val="00704237"/>
    <w:rsid w:val="00704639"/>
    <w:rsid w:val="00706ADF"/>
    <w:rsid w:val="0070730E"/>
    <w:rsid w:val="00707C13"/>
    <w:rsid w:val="007128E4"/>
    <w:rsid w:val="007133D1"/>
    <w:rsid w:val="00713553"/>
    <w:rsid w:val="00714F39"/>
    <w:rsid w:val="007152AD"/>
    <w:rsid w:val="00715B5B"/>
    <w:rsid w:val="00715FD6"/>
    <w:rsid w:val="00717155"/>
    <w:rsid w:val="00717453"/>
    <w:rsid w:val="007178A0"/>
    <w:rsid w:val="007215E6"/>
    <w:rsid w:val="00721CEF"/>
    <w:rsid w:val="00722EA4"/>
    <w:rsid w:val="00723AFD"/>
    <w:rsid w:val="00725A9E"/>
    <w:rsid w:val="007301A7"/>
    <w:rsid w:val="0073123B"/>
    <w:rsid w:val="00731A24"/>
    <w:rsid w:val="00733137"/>
    <w:rsid w:val="00733A6F"/>
    <w:rsid w:val="00734D09"/>
    <w:rsid w:val="00734EC9"/>
    <w:rsid w:val="00735298"/>
    <w:rsid w:val="00736859"/>
    <w:rsid w:val="00737066"/>
    <w:rsid w:val="007371A5"/>
    <w:rsid w:val="0074157D"/>
    <w:rsid w:val="00741A8F"/>
    <w:rsid w:val="0074227E"/>
    <w:rsid w:val="00743B63"/>
    <w:rsid w:val="00743F26"/>
    <w:rsid w:val="0074525A"/>
    <w:rsid w:val="00745CC1"/>
    <w:rsid w:val="00745FA1"/>
    <w:rsid w:val="007466FA"/>
    <w:rsid w:val="00746997"/>
    <w:rsid w:val="00746AED"/>
    <w:rsid w:val="0074784C"/>
    <w:rsid w:val="00747D71"/>
    <w:rsid w:val="0075130C"/>
    <w:rsid w:val="007516BD"/>
    <w:rsid w:val="00754460"/>
    <w:rsid w:val="00755D01"/>
    <w:rsid w:val="00756063"/>
    <w:rsid w:val="00756E35"/>
    <w:rsid w:val="007642B6"/>
    <w:rsid w:val="007656B0"/>
    <w:rsid w:val="00767255"/>
    <w:rsid w:val="00772084"/>
    <w:rsid w:val="007727AD"/>
    <w:rsid w:val="007730D3"/>
    <w:rsid w:val="0077312E"/>
    <w:rsid w:val="00773331"/>
    <w:rsid w:val="0078133F"/>
    <w:rsid w:val="007828C1"/>
    <w:rsid w:val="00784E20"/>
    <w:rsid w:val="007861B3"/>
    <w:rsid w:val="00786F01"/>
    <w:rsid w:val="00787171"/>
    <w:rsid w:val="00790FA2"/>
    <w:rsid w:val="007914E9"/>
    <w:rsid w:val="007932EF"/>
    <w:rsid w:val="00793C9C"/>
    <w:rsid w:val="00794613"/>
    <w:rsid w:val="0079494B"/>
    <w:rsid w:val="0079497B"/>
    <w:rsid w:val="0079675B"/>
    <w:rsid w:val="007A1120"/>
    <w:rsid w:val="007A136C"/>
    <w:rsid w:val="007A1F5D"/>
    <w:rsid w:val="007A3BC2"/>
    <w:rsid w:val="007A5FE1"/>
    <w:rsid w:val="007A6B52"/>
    <w:rsid w:val="007B020C"/>
    <w:rsid w:val="007B13B9"/>
    <w:rsid w:val="007B1436"/>
    <w:rsid w:val="007B2A53"/>
    <w:rsid w:val="007B30AD"/>
    <w:rsid w:val="007B3427"/>
    <w:rsid w:val="007B3434"/>
    <w:rsid w:val="007B433C"/>
    <w:rsid w:val="007B4D89"/>
    <w:rsid w:val="007B5C77"/>
    <w:rsid w:val="007B71BD"/>
    <w:rsid w:val="007B73FD"/>
    <w:rsid w:val="007B7660"/>
    <w:rsid w:val="007C1084"/>
    <w:rsid w:val="007C2EAE"/>
    <w:rsid w:val="007C456C"/>
    <w:rsid w:val="007C4B7B"/>
    <w:rsid w:val="007C593B"/>
    <w:rsid w:val="007C5FF4"/>
    <w:rsid w:val="007C61C2"/>
    <w:rsid w:val="007C6D5B"/>
    <w:rsid w:val="007C6E35"/>
    <w:rsid w:val="007C6E74"/>
    <w:rsid w:val="007C77BB"/>
    <w:rsid w:val="007C7969"/>
    <w:rsid w:val="007D1565"/>
    <w:rsid w:val="007D52C0"/>
    <w:rsid w:val="007D624F"/>
    <w:rsid w:val="007D6268"/>
    <w:rsid w:val="007D7094"/>
    <w:rsid w:val="007D77A3"/>
    <w:rsid w:val="007E05B0"/>
    <w:rsid w:val="007E098D"/>
    <w:rsid w:val="007E0C0B"/>
    <w:rsid w:val="007E1579"/>
    <w:rsid w:val="007E25C5"/>
    <w:rsid w:val="007E50C5"/>
    <w:rsid w:val="007E57E8"/>
    <w:rsid w:val="007E687F"/>
    <w:rsid w:val="007E6EAF"/>
    <w:rsid w:val="007F0364"/>
    <w:rsid w:val="007F1E72"/>
    <w:rsid w:val="007F28A6"/>
    <w:rsid w:val="007F2AB1"/>
    <w:rsid w:val="007F366D"/>
    <w:rsid w:val="007F44A2"/>
    <w:rsid w:val="007F70A8"/>
    <w:rsid w:val="008000A6"/>
    <w:rsid w:val="00802A33"/>
    <w:rsid w:val="00802A36"/>
    <w:rsid w:val="00802BA5"/>
    <w:rsid w:val="00802ED3"/>
    <w:rsid w:val="00804731"/>
    <w:rsid w:val="0080569C"/>
    <w:rsid w:val="00807DF1"/>
    <w:rsid w:val="00810FAE"/>
    <w:rsid w:val="00811345"/>
    <w:rsid w:val="00811651"/>
    <w:rsid w:val="00811698"/>
    <w:rsid w:val="00812778"/>
    <w:rsid w:val="00812C7A"/>
    <w:rsid w:val="00813F39"/>
    <w:rsid w:val="00814399"/>
    <w:rsid w:val="0081643A"/>
    <w:rsid w:val="00816A97"/>
    <w:rsid w:val="00817585"/>
    <w:rsid w:val="00820DCA"/>
    <w:rsid w:val="00822A4D"/>
    <w:rsid w:val="00823EA1"/>
    <w:rsid w:val="008241FF"/>
    <w:rsid w:val="0082482F"/>
    <w:rsid w:val="00825B25"/>
    <w:rsid w:val="00827933"/>
    <w:rsid w:val="00832765"/>
    <w:rsid w:val="0083506F"/>
    <w:rsid w:val="0083560A"/>
    <w:rsid w:val="008356E3"/>
    <w:rsid w:val="00835E98"/>
    <w:rsid w:val="00837013"/>
    <w:rsid w:val="00837BB1"/>
    <w:rsid w:val="00837F32"/>
    <w:rsid w:val="00843C73"/>
    <w:rsid w:val="008453C6"/>
    <w:rsid w:val="00845487"/>
    <w:rsid w:val="008455CB"/>
    <w:rsid w:val="00845B88"/>
    <w:rsid w:val="00845EC0"/>
    <w:rsid w:val="0084655F"/>
    <w:rsid w:val="008468FC"/>
    <w:rsid w:val="008524BF"/>
    <w:rsid w:val="00853D43"/>
    <w:rsid w:val="00854D24"/>
    <w:rsid w:val="00855B41"/>
    <w:rsid w:val="00855FB8"/>
    <w:rsid w:val="00860841"/>
    <w:rsid w:val="00861990"/>
    <w:rsid w:val="00861DCE"/>
    <w:rsid w:val="0086385F"/>
    <w:rsid w:val="00863F9C"/>
    <w:rsid w:val="00865139"/>
    <w:rsid w:val="00867560"/>
    <w:rsid w:val="008709B0"/>
    <w:rsid w:val="00871514"/>
    <w:rsid w:val="00873985"/>
    <w:rsid w:val="008740BD"/>
    <w:rsid w:val="00874CC4"/>
    <w:rsid w:val="00874D22"/>
    <w:rsid w:val="00875596"/>
    <w:rsid w:val="00880A20"/>
    <w:rsid w:val="00880DA5"/>
    <w:rsid w:val="008811B7"/>
    <w:rsid w:val="0088141B"/>
    <w:rsid w:val="008841FC"/>
    <w:rsid w:val="00884905"/>
    <w:rsid w:val="008850A8"/>
    <w:rsid w:val="00886024"/>
    <w:rsid w:val="00886DC7"/>
    <w:rsid w:val="008879D0"/>
    <w:rsid w:val="00893427"/>
    <w:rsid w:val="00894C82"/>
    <w:rsid w:val="00895319"/>
    <w:rsid w:val="00895E21"/>
    <w:rsid w:val="008A2914"/>
    <w:rsid w:val="008A34A6"/>
    <w:rsid w:val="008A3A27"/>
    <w:rsid w:val="008A4637"/>
    <w:rsid w:val="008A4B56"/>
    <w:rsid w:val="008A67AB"/>
    <w:rsid w:val="008A6B8D"/>
    <w:rsid w:val="008B02B1"/>
    <w:rsid w:val="008B296F"/>
    <w:rsid w:val="008B321E"/>
    <w:rsid w:val="008B4191"/>
    <w:rsid w:val="008B4C7F"/>
    <w:rsid w:val="008B63A4"/>
    <w:rsid w:val="008B777C"/>
    <w:rsid w:val="008B7D46"/>
    <w:rsid w:val="008C00A7"/>
    <w:rsid w:val="008C0327"/>
    <w:rsid w:val="008C08B4"/>
    <w:rsid w:val="008C209D"/>
    <w:rsid w:val="008C21A0"/>
    <w:rsid w:val="008C2600"/>
    <w:rsid w:val="008C2676"/>
    <w:rsid w:val="008C2EE2"/>
    <w:rsid w:val="008C4791"/>
    <w:rsid w:val="008C4FFE"/>
    <w:rsid w:val="008C7FAA"/>
    <w:rsid w:val="008D0917"/>
    <w:rsid w:val="008D1036"/>
    <w:rsid w:val="008D1188"/>
    <w:rsid w:val="008D18C3"/>
    <w:rsid w:val="008D2471"/>
    <w:rsid w:val="008D383B"/>
    <w:rsid w:val="008D3B36"/>
    <w:rsid w:val="008D3C68"/>
    <w:rsid w:val="008D53F3"/>
    <w:rsid w:val="008D56E2"/>
    <w:rsid w:val="008D64C7"/>
    <w:rsid w:val="008D6DED"/>
    <w:rsid w:val="008E13E1"/>
    <w:rsid w:val="008E1A6E"/>
    <w:rsid w:val="008E2DF3"/>
    <w:rsid w:val="008E3632"/>
    <w:rsid w:val="008E3A18"/>
    <w:rsid w:val="008E4D8E"/>
    <w:rsid w:val="008E52E8"/>
    <w:rsid w:val="008E536B"/>
    <w:rsid w:val="008E6059"/>
    <w:rsid w:val="008E7115"/>
    <w:rsid w:val="008E72B1"/>
    <w:rsid w:val="008E72E6"/>
    <w:rsid w:val="008E732B"/>
    <w:rsid w:val="008E7E13"/>
    <w:rsid w:val="008F0ABE"/>
    <w:rsid w:val="008F19D8"/>
    <w:rsid w:val="008F1FB2"/>
    <w:rsid w:val="008F20CC"/>
    <w:rsid w:val="008F3002"/>
    <w:rsid w:val="008F31E6"/>
    <w:rsid w:val="008F7130"/>
    <w:rsid w:val="008F781A"/>
    <w:rsid w:val="00900985"/>
    <w:rsid w:val="00900CAE"/>
    <w:rsid w:val="00901AC4"/>
    <w:rsid w:val="00903747"/>
    <w:rsid w:val="0090466A"/>
    <w:rsid w:val="00904981"/>
    <w:rsid w:val="00904C6C"/>
    <w:rsid w:val="00904CE4"/>
    <w:rsid w:val="00904F5F"/>
    <w:rsid w:val="00905B2B"/>
    <w:rsid w:val="00906611"/>
    <w:rsid w:val="00907C74"/>
    <w:rsid w:val="00910A31"/>
    <w:rsid w:val="00912B00"/>
    <w:rsid w:val="00913133"/>
    <w:rsid w:val="00913E7F"/>
    <w:rsid w:val="009144F0"/>
    <w:rsid w:val="00916769"/>
    <w:rsid w:val="009179AC"/>
    <w:rsid w:val="0092240E"/>
    <w:rsid w:val="009224F3"/>
    <w:rsid w:val="00922DE6"/>
    <w:rsid w:val="00922EBF"/>
    <w:rsid w:val="00924CC5"/>
    <w:rsid w:val="009253ED"/>
    <w:rsid w:val="00925BC2"/>
    <w:rsid w:val="00925C46"/>
    <w:rsid w:val="0092688C"/>
    <w:rsid w:val="00926D8A"/>
    <w:rsid w:val="00931BAE"/>
    <w:rsid w:val="00932B1E"/>
    <w:rsid w:val="009330B6"/>
    <w:rsid w:val="00934666"/>
    <w:rsid w:val="00934B68"/>
    <w:rsid w:val="0093581F"/>
    <w:rsid w:val="0093595F"/>
    <w:rsid w:val="00935ACD"/>
    <w:rsid w:val="00936754"/>
    <w:rsid w:val="0093675A"/>
    <w:rsid w:val="00936E9D"/>
    <w:rsid w:val="00940181"/>
    <w:rsid w:val="00940441"/>
    <w:rsid w:val="0094068A"/>
    <w:rsid w:val="00940ABA"/>
    <w:rsid w:val="009416AA"/>
    <w:rsid w:val="00942B4A"/>
    <w:rsid w:val="00942C3B"/>
    <w:rsid w:val="00942ED0"/>
    <w:rsid w:val="00943752"/>
    <w:rsid w:val="009449DE"/>
    <w:rsid w:val="00944CFD"/>
    <w:rsid w:val="00945022"/>
    <w:rsid w:val="00945E4E"/>
    <w:rsid w:val="009505A0"/>
    <w:rsid w:val="00952DE4"/>
    <w:rsid w:val="00962E25"/>
    <w:rsid w:val="00965588"/>
    <w:rsid w:val="00965AE3"/>
    <w:rsid w:val="009668AF"/>
    <w:rsid w:val="00966C9D"/>
    <w:rsid w:val="009715F9"/>
    <w:rsid w:val="0097330F"/>
    <w:rsid w:val="009735F1"/>
    <w:rsid w:val="0097493C"/>
    <w:rsid w:val="00976581"/>
    <w:rsid w:val="00977655"/>
    <w:rsid w:val="00977A98"/>
    <w:rsid w:val="00983693"/>
    <w:rsid w:val="00983ECD"/>
    <w:rsid w:val="00984670"/>
    <w:rsid w:val="009853E2"/>
    <w:rsid w:val="0098787A"/>
    <w:rsid w:val="00990AD3"/>
    <w:rsid w:val="00990BE3"/>
    <w:rsid w:val="00991458"/>
    <w:rsid w:val="00993968"/>
    <w:rsid w:val="0099452F"/>
    <w:rsid w:val="00994C31"/>
    <w:rsid w:val="00996F14"/>
    <w:rsid w:val="009A0CAD"/>
    <w:rsid w:val="009A2097"/>
    <w:rsid w:val="009A20AE"/>
    <w:rsid w:val="009A300B"/>
    <w:rsid w:val="009A555E"/>
    <w:rsid w:val="009A5D40"/>
    <w:rsid w:val="009A6081"/>
    <w:rsid w:val="009A680E"/>
    <w:rsid w:val="009B0967"/>
    <w:rsid w:val="009B1551"/>
    <w:rsid w:val="009B40B2"/>
    <w:rsid w:val="009B4712"/>
    <w:rsid w:val="009B5623"/>
    <w:rsid w:val="009B65B4"/>
    <w:rsid w:val="009B6C22"/>
    <w:rsid w:val="009B6FA2"/>
    <w:rsid w:val="009C0353"/>
    <w:rsid w:val="009C089C"/>
    <w:rsid w:val="009C10F6"/>
    <w:rsid w:val="009C1145"/>
    <w:rsid w:val="009C1A5A"/>
    <w:rsid w:val="009C2D67"/>
    <w:rsid w:val="009C4CDB"/>
    <w:rsid w:val="009C6AA8"/>
    <w:rsid w:val="009C7A79"/>
    <w:rsid w:val="009D250A"/>
    <w:rsid w:val="009D28B8"/>
    <w:rsid w:val="009D2997"/>
    <w:rsid w:val="009D2C64"/>
    <w:rsid w:val="009D46E9"/>
    <w:rsid w:val="009D52F8"/>
    <w:rsid w:val="009D54F2"/>
    <w:rsid w:val="009D5AEF"/>
    <w:rsid w:val="009E05C0"/>
    <w:rsid w:val="009E08C1"/>
    <w:rsid w:val="009E0B1F"/>
    <w:rsid w:val="009E0DD1"/>
    <w:rsid w:val="009E26EF"/>
    <w:rsid w:val="009E354A"/>
    <w:rsid w:val="009E4A12"/>
    <w:rsid w:val="009E4DA8"/>
    <w:rsid w:val="009E53C0"/>
    <w:rsid w:val="009E7CD6"/>
    <w:rsid w:val="009E7D4A"/>
    <w:rsid w:val="009F10DC"/>
    <w:rsid w:val="009F2907"/>
    <w:rsid w:val="009F433B"/>
    <w:rsid w:val="009F52F4"/>
    <w:rsid w:val="009F6089"/>
    <w:rsid w:val="009F6183"/>
    <w:rsid w:val="00A00974"/>
    <w:rsid w:val="00A012DB"/>
    <w:rsid w:val="00A02DDF"/>
    <w:rsid w:val="00A05708"/>
    <w:rsid w:val="00A060FE"/>
    <w:rsid w:val="00A06660"/>
    <w:rsid w:val="00A06AF3"/>
    <w:rsid w:val="00A079C5"/>
    <w:rsid w:val="00A07B18"/>
    <w:rsid w:val="00A10F69"/>
    <w:rsid w:val="00A114CA"/>
    <w:rsid w:val="00A11866"/>
    <w:rsid w:val="00A11962"/>
    <w:rsid w:val="00A11A24"/>
    <w:rsid w:val="00A128B6"/>
    <w:rsid w:val="00A147FF"/>
    <w:rsid w:val="00A15A0A"/>
    <w:rsid w:val="00A15B45"/>
    <w:rsid w:val="00A17DF3"/>
    <w:rsid w:val="00A248F9"/>
    <w:rsid w:val="00A25630"/>
    <w:rsid w:val="00A262DC"/>
    <w:rsid w:val="00A30178"/>
    <w:rsid w:val="00A30600"/>
    <w:rsid w:val="00A30C5A"/>
    <w:rsid w:val="00A31A60"/>
    <w:rsid w:val="00A31A9D"/>
    <w:rsid w:val="00A34B71"/>
    <w:rsid w:val="00A3550E"/>
    <w:rsid w:val="00A35711"/>
    <w:rsid w:val="00A36F5F"/>
    <w:rsid w:val="00A37905"/>
    <w:rsid w:val="00A3793C"/>
    <w:rsid w:val="00A40EC9"/>
    <w:rsid w:val="00A427AE"/>
    <w:rsid w:val="00A42B5F"/>
    <w:rsid w:val="00A44F76"/>
    <w:rsid w:val="00A45203"/>
    <w:rsid w:val="00A462AA"/>
    <w:rsid w:val="00A50270"/>
    <w:rsid w:val="00A51639"/>
    <w:rsid w:val="00A5183C"/>
    <w:rsid w:val="00A51CD1"/>
    <w:rsid w:val="00A53D73"/>
    <w:rsid w:val="00A53DB0"/>
    <w:rsid w:val="00A55447"/>
    <w:rsid w:val="00A56AE4"/>
    <w:rsid w:val="00A57C4F"/>
    <w:rsid w:val="00A61532"/>
    <w:rsid w:val="00A61AA3"/>
    <w:rsid w:val="00A620E6"/>
    <w:rsid w:val="00A62C05"/>
    <w:rsid w:val="00A639EC"/>
    <w:rsid w:val="00A658C9"/>
    <w:rsid w:val="00A65B7E"/>
    <w:rsid w:val="00A65D61"/>
    <w:rsid w:val="00A6607D"/>
    <w:rsid w:val="00A66193"/>
    <w:rsid w:val="00A67601"/>
    <w:rsid w:val="00A67FB0"/>
    <w:rsid w:val="00A7003E"/>
    <w:rsid w:val="00A70286"/>
    <w:rsid w:val="00A718DA"/>
    <w:rsid w:val="00A71B9A"/>
    <w:rsid w:val="00A722D5"/>
    <w:rsid w:val="00A7336F"/>
    <w:rsid w:val="00A737A6"/>
    <w:rsid w:val="00A74697"/>
    <w:rsid w:val="00A77983"/>
    <w:rsid w:val="00A829DC"/>
    <w:rsid w:val="00A82F83"/>
    <w:rsid w:val="00A82FCB"/>
    <w:rsid w:val="00A84534"/>
    <w:rsid w:val="00A85C5A"/>
    <w:rsid w:val="00A866B7"/>
    <w:rsid w:val="00A8731F"/>
    <w:rsid w:val="00A90166"/>
    <w:rsid w:val="00A90D3C"/>
    <w:rsid w:val="00A92320"/>
    <w:rsid w:val="00A9257D"/>
    <w:rsid w:val="00A92930"/>
    <w:rsid w:val="00A92FC4"/>
    <w:rsid w:val="00A933E6"/>
    <w:rsid w:val="00A94DB7"/>
    <w:rsid w:val="00A957BF"/>
    <w:rsid w:val="00A95895"/>
    <w:rsid w:val="00A95E9D"/>
    <w:rsid w:val="00A9680D"/>
    <w:rsid w:val="00A96E4B"/>
    <w:rsid w:val="00A9751B"/>
    <w:rsid w:val="00AA3588"/>
    <w:rsid w:val="00AA41A4"/>
    <w:rsid w:val="00AA4BEE"/>
    <w:rsid w:val="00AA5F76"/>
    <w:rsid w:val="00AA6233"/>
    <w:rsid w:val="00AA6E1D"/>
    <w:rsid w:val="00AB0F2C"/>
    <w:rsid w:val="00AB132F"/>
    <w:rsid w:val="00AB138D"/>
    <w:rsid w:val="00AB1B46"/>
    <w:rsid w:val="00AB1C5C"/>
    <w:rsid w:val="00AB1D4C"/>
    <w:rsid w:val="00AB4C85"/>
    <w:rsid w:val="00AC259E"/>
    <w:rsid w:val="00AC5AE5"/>
    <w:rsid w:val="00AC7182"/>
    <w:rsid w:val="00AC7306"/>
    <w:rsid w:val="00AD36C2"/>
    <w:rsid w:val="00AD5B97"/>
    <w:rsid w:val="00AD5E0F"/>
    <w:rsid w:val="00AD64AD"/>
    <w:rsid w:val="00AD76B3"/>
    <w:rsid w:val="00AD7CCF"/>
    <w:rsid w:val="00AE0A37"/>
    <w:rsid w:val="00AE0C15"/>
    <w:rsid w:val="00AE1132"/>
    <w:rsid w:val="00AE1834"/>
    <w:rsid w:val="00AE1A0D"/>
    <w:rsid w:val="00AE1A77"/>
    <w:rsid w:val="00AE2292"/>
    <w:rsid w:val="00AE23DB"/>
    <w:rsid w:val="00AE4033"/>
    <w:rsid w:val="00AE44DE"/>
    <w:rsid w:val="00AE50CB"/>
    <w:rsid w:val="00AE59CE"/>
    <w:rsid w:val="00AE5E8C"/>
    <w:rsid w:val="00AF019D"/>
    <w:rsid w:val="00AF01ED"/>
    <w:rsid w:val="00AF150D"/>
    <w:rsid w:val="00AF3DF5"/>
    <w:rsid w:val="00AF4474"/>
    <w:rsid w:val="00AF4EAD"/>
    <w:rsid w:val="00AF594C"/>
    <w:rsid w:val="00AF7735"/>
    <w:rsid w:val="00B03C8F"/>
    <w:rsid w:val="00B040B8"/>
    <w:rsid w:val="00B056A8"/>
    <w:rsid w:val="00B05D0C"/>
    <w:rsid w:val="00B07DBB"/>
    <w:rsid w:val="00B106D5"/>
    <w:rsid w:val="00B10B56"/>
    <w:rsid w:val="00B116D7"/>
    <w:rsid w:val="00B1232C"/>
    <w:rsid w:val="00B12ACA"/>
    <w:rsid w:val="00B13113"/>
    <w:rsid w:val="00B17BDC"/>
    <w:rsid w:val="00B20278"/>
    <w:rsid w:val="00B20A53"/>
    <w:rsid w:val="00B21110"/>
    <w:rsid w:val="00B222D4"/>
    <w:rsid w:val="00B23152"/>
    <w:rsid w:val="00B23FB7"/>
    <w:rsid w:val="00B24620"/>
    <w:rsid w:val="00B2532E"/>
    <w:rsid w:val="00B2561A"/>
    <w:rsid w:val="00B26ACA"/>
    <w:rsid w:val="00B27771"/>
    <w:rsid w:val="00B27BB2"/>
    <w:rsid w:val="00B30647"/>
    <w:rsid w:val="00B31215"/>
    <w:rsid w:val="00B319F8"/>
    <w:rsid w:val="00B32361"/>
    <w:rsid w:val="00B32998"/>
    <w:rsid w:val="00B342D1"/>
    <w:rsid w:val="00B3506B"/>
    <w:rsid w:val="00B3561A"/>
    <w:rsid w:val="00B36088"/>
    <w:rsid w:val="00B416CA"/>
    <w:rsid w:val="00B433D3"/>
    <w:rsid w:val="00B436CC"/>
    <w:rsid w:val="00B4581A"/>
    <w:rsid w:val="00B513C6"/>
    <w:rsid w:val="00B52CFF"/>
    <w:rsid w:val="00B53217"/>
    <w:rsid w:val="00B545FA"/>
    <w:rsid w:val="00B54773"/>
    <w:rsid w:val="00B570FB"/>
    <w:rsid w:val="00B60AB0"/>
    <w:rsid w:val="00B613BC"/>
    <w:rsid w:val="00B61F2B"/>
    <w:rsid w:val="00B62B52"/>
    <w:rsid w:val="00B63F3A"/>
    <w:rsid w:val="00B642C2"/>
    <w:rsid w:val="00B645C4"/>
    <w:rsid w:val="00B71A85"/>
    <w:rsid w:val="00B72063"/>
    <w:rsid w:val="00B72FBE"/>
    <w:rsid w:val="00B73EA3"/>
    <w:rsid w:val="00B74C91"/>
    <w:rsid w:val="00B74DE3"/>
    <w:rsid w:val="00B75FF1"/>
    <w:rsid w:val="00B7670F"/>
    <w:rsid w:val="00B81E75"/>
    <w:rsid w:val="00B84DDE"/>
    <w:rsid w:val="00B8576D"/>
    <w:rsid w:val="00B86042"/>
    <w:rsid w:val="00B901BC"/>
    <w:rsid w:val="00B90EDD"/>
    <w:rsid w:val="00B932D9"/>
    <w:rsid w:val="00B94DEC"/>
    <w:rsid w:val="00BA0A9C"/>
    <w:rsid w:val="00BA13F5"/>
    <w:rsid w:val="00BA1468"/>
    <w:rsid w:val="00BA20DE"/>
    <w:rsid w:val="00BA2DA1"/>
    <w:rsid w:val="00BA4AB2"/>
    <w:rsid w:val="00BA5DE4"/>
    <w:rsid w:val="00BA6036"/>
    <w:rsid w:val="00BA76ED"/>
    <w:rsid w:val="00BB1ACA"/>
    <w:rsid w:val="00BB1CDB"/>
    <w:rsid w:val="00BB2B5A"/>
    <w:rsid w:val="00BB3340"/>
    <w:rsid w:val="00BB4247"/>
    <w:rsid w:val="00BB5587"/>
    <w:rsid w:val="00BB67B0"/>
    <w:rsid w:val="00BB78C3"/>
    <w:rsid w:val="00BB79D3"/>
    <w:rsid w:val="00BC0D45"/>
    <w:rsid w:val="00BC2798"/>
    <w:rsid w:val="00BC2F6B"/>
    <w:rsid w:val="00BC32A2"/>
    <w:rsid w:val="00BC403E"/>
    <w:rsid w:val="00BD0E3E"/>
    <w:rsid w:val="00BD18D6"/>
    <w:rsid w:val="00BD1F70"/>
    <w:rsid w:val="00BD28D1"/>
    <w:rsid w:val="00BD2BBF"/>
    <w:rsid w:val="00BD45E0"/>
    <w:rsid w:val="00BD590B"/>
    <w:rsid w:val="00BD617C"/>
    <w:rsid w:val="00BD79B0"/>
    <w:rsid w:val="00BE09CF"/>
    <w:rsid w:val="00BE1F00"/>
    <w:rsid w:val="00BE25DF"/>
    <w:rsid w:val="00BE2F1D"/>
    <w:rsid w:val="00BE3D2A"/>
    <w:rsid w:val="00BE3EF5"/>
    <w:rsid w:val="00BE4BEA"/>
    <w:rsid w:val="00BE518B"/>
    <w:rsid w:val="00BE63E4"/>
    <w:rsid w:val="00BF07EC"/>
    <w:rsid w:val="00BF138D"/>
    <w:rsid w:val="00BF15B2"/>
    <w:rsid w:val="00BF2877"/>
    <w:rsid w:val="00BF28CA"/>
    <w:rsid w:val="00BF42A6"/>
    <w:rsid w:val="00BF6B04"/>
    <w:rsid w:val="00BF6D2C"/>
    <w:rsid w:val="00C009EA"/>
    <w:rsid w:val="00C02337"/>
    <w:rsid w:val="00C0343F"/>
    <w:rsid w:val="00C03561"/>
    <w:rsid w:val="00C04001"/>
    <w:rsid w:val="00C047AB"/>
    <w:rsid w:val="00C06B6F"/>
    <w:rsid w:val="00C06C1C"/>
    <w:rsid w:val="00C074B2"/>
    <w:rsid w:val="00C07F8C"/>
    <w:rsid w:val="00C1068E"/>
    <w:rsid w:val="00C10853"/>
    <w:rsid w:val="00C111D1"/>
    <w:rsid w:val="00C12301"/>
    <w:rsid w:val="00C15ADE"/>
    <w:rsid w:val="00C16364"/>
    <w:rsid w:val="00C17030"/>
    <w:rsid w:val="00C21DA0"/>
    <w:rsid w:val="00C22DFA"/>
    <w:rsid w:val="00C2488C"/>
    <w:rsid w:val="00C26CE7"/>
    <w:rsid w:val="00C279D1"/>
    <w:rsid w:val="00C310E3"/>
    <w:rsid w:val="00C311AA"/>
    <w:rsid w:val="00C32EA8"/>
    <w:rsid w:val="00C33710"/>
    <w:rsid w:val="00C354B8"/>
    <w:rsid w:val="00C3621A"/>
    <w:rsid w:val="00C36DB4"/>
    <w:rsid w:val="00C37F8F"/>
    <w:rsid w:val="00C4018D"/>
    <w:rsid w:val="00C45BF3"/>
    <w:rsid w:val="00C475D1"/>
    <w:rsid w:val="00C47AF8"/>
    <w:rsid w:val="00C47C4F"/>
    <w:rsid w:val="00C505B7"/>
    <w:rsid w:val="00C50AE5"/>
    <w:rsid w:val="00C50FC3"/>
    <w:rsid w:val="00C51BEA"/>
    <w:rsid w:val="00C520F8"/>
    <w:rsid w:val="00C52409"/>
    <w:rsid w:val="00C5316B"/>
    <w:rsid w:val="00C53C16"/>
    <w:rsid w:val="00C55580"/>
    <w:rsid w:val="00C56108"/>
    <w:rsid w:val="00C5647F"/>
    <w:rsid w:val="00C56E60"/>
    <w:rsid w:val="00C57DAC"/>
    <w:rsid w:val="00C62FF8"/>
    <w:rsid w:val="00C63091"/>
    <w:rsid w:val="00C641C6"/>
    <w:rsid w:val="00C641E9"/>
    <w:rsid w:val="00C64249"/>
    <w:rsid w:val="00C65308"/>
    <w:rsid w:val="00C65C94"/>
    <w:rsid w:val="00C66A97"/>
    <w:rsid w:val="00C66CF4"/>
    <w:rsid w:val="00C676DF"/>
    <w:rsid w:val="00C71604"/>
    <w:rsid w:val="00C716C9"/>
    <w:rsid w:val="00C737B0"/>
    <w:rsid w:val="00C7534A"/>
    <w:rsid w:val="00C75A83"/>
    <w:rsid w:val="00C75B38"/>
    <w:rsid w:val="00C75E3F"/>
    <w:rsid w:val="00C75EE5"/>
    <w:rsid w:val="00C765A3"/>
    <w:rsid w:val="00C768BF"/>
    <w:rsid w:val="00C84B47"/>
    <w:rsid w:val="00C85A21"/>
    <w:rsid w:val="00C861EE"/>
    <w:rsid w:val="00C8722E"/>
    <w:rsid w:val="00C8775A"/>
    <w:rsid w:val="00C87A3A"/>
    <w:rsid w:val="00C91BF4"/>
    <w:rsid w:val="00C91F63"/>
    <w:rsid w:val="00C930FA"/>
    <w:rsid w:val="00C93458"/>
    <w:rsid w:val="00C94341"/>
    <w:rsid w:val="00C94A7A"/>
    <w:rsid w:val="00C962CB"/>
    <w:rsid w:val="00CA13DA"/>
    <w:rsid w:val="00CA1E8C"/>
    <w:rsid w:val="00CA2B31"/>
    <w:rsid w:val="00CA3128"/>
    <w:rsid w:val="00CA46A1"/>
    <w:rsid w:val="00CA5699"/>
    <w:rsid w:val="00CA57B4"/>
    <w:rsid w:val="00CA65D4"/>
    <w:rsid w:val="00CB30AE"/>
    <w:rsid w:val="00CB3433"/>
    <w:rsid w:val="00CB37D6"/>
    <w:rsid w:val="00CB53F8"/>
    <w:rsid w:val="00CC02FB"/>
    <w:rsid w:val="00CC1051"/>
    <w:rsid w:val="00CC3228"/>
    <w:rsid w:val="00CC3300"/>
    <w:rsid w:val="00CC49E5"/>
    <w:rsid w:val="00CC49ED"/>
    <w:rsid w:val="00CC6E8C"/>
    <w:rsid w:val="00CC773D"/>
    <w:rsid w:val="00CD3C20"/>
    <w:rsid w:val="00CD53C4"/>
    <w:rsid w:val="00CD566B"/>
    <w:rsid w:val="00CD6920"/>
    <w:rsid w:val="00CD6E25"/>
    <w:rsid w:val="00CE3CE0"/>
    <w:rsid w:val="00CE3E4C"/>
    <w:rsid w:val="00CE3F79"/>
    <w:rsid w:val="00CE40BA"/>
    <w:rsid w:val="00CE5FA1"/>
    <w:rsid w:val="00CF692D"/>
    <w:rsid w:val="00D0003C"/>
    <w:rsid w:val="00D0062D"/>
    <w:rsid w:val="00D01587"/>
    <w:rsid w:val="00D026D0"/>
    <w:rsid w:val="00D03258"/>
    <w:rsid w:val="00D05085"/>
    <w:rsid w:val="00D051E3"/>
    <w:rsid w:val="00D078FE"/>
    <w:rsid w:val="00D07D77"/>
    <w:rsid w:val="00D1123F"/>
    <w:rsid w:val="00D13127"/>
    <w:rsid w:val="00D13E6D"/>
    <w:rsid w:val="00D13EF8"/>
    <w:rsid w:val="00D15334"/>
    <w:rsid w:val="00D16DA6"/>
    <w:rsid w:val="00D16E3A"/>
    <w:rsid w:val="00D178AE"/>
    <w:rsid w:val="00D1796E"/>
    <w:rsid w:val="00D20381"/>
    <w:rsid w:val="00D204AE"/>
    <w:rsid w:val="00D3050B"/>
    <w:rsid w:val="00D30545"/>
    <w:rsid w:val="00D35DA8"/>
    <w:rsid w:val="00D36B14"/>
    <w:rsid w:val="00D36DC2"/>
    <w:rsid w:val="00D3701C"/>
    <w:rsid w:val="00D41044"/>
    <w:rsid w:val="00D41057"/>
    <w:rsid w:val="00D4127B"/>
    <w:rsid w:val="00D418DC"/>
    <w:rsid w:val="00D42C0D"/>
    <w:rsid w:val="00D448D5"/>
    <w:rsid w:val="00D44A09"/>
    <w:rsid w:val="00D468CD"/>
    <w:rsid w:val="00D47062"/>
    <w:rsid w:val="00D53678"/>
    <w:rsid w:val="00D5406C"/>
    <w:rsid w:val="00D54588"/>
    <w:rsid w:val="00D5474D"/>
    <w:rsid w:val="00D569D5"/>
    <w:rsid w:val="00D57A50"/>
    <w:rsid w:val="00D604A4"/>
    <w:rsid w:val="00D60D98"/>
    <w:rsid w:val="00D62330"/>
    <w:rsid w:val="00D62A87"/>
    <w:rsid w:val="00D66065"/>
    <w:rsid w:val="00D66809"/>
    <w:rsid w:val="00D6753F"/>
    <w:rsid w:val="00D7261D"/>
    <w:rsid w:val="00D73A42"/>
    <w:rsid w:val="00D750FA"/>
    <w:rsid w:val="00D77FF1"/>
    <w:rsid w:val="00D808B8"/>
    <w:rsid w:val="00D8415A"/>
    <w:rsid w:val="00D84EAD"/>
    <w:rsid w:val="00D85226"/>
    <w:rsid w:val="00D85247"/>
    <w:rsid w:val="00D85DC7"/>
    <w:rsid w:val="00D863FA"/>
    <w:rsid w:val="00D87354"/>
    <w:rsid w:val="00D87CEA"/>
    <w:rsid w:val="00D93D4A"/>
    <w:rsid w:val="00D93EC5"/>
    <w:rsid w:val="00D95360"/>
    <w:rsid w:val="00D96E3B"/>
    <w:rsid w:val="00D97671"/>
    <w:rsid w:val="00DA2CA6"/>
    <w:rsid w:val="00DA3030"/>
    <w:rsid w:val="00DA3D3E"/>
    <w:rsid w:val="00DA57DC"/>
    <w:rsid w:val="00DA6B18"/>
    <w:rsid w:val="00DA78AF"/>
    <w:rsid w:val="00DB0618"/>
    <w:rsid w:val="00DB3245"/>
    <w:rsid w:val="00DB49B0"/>
    <w:rsid w:val="00DB5933"/>
    <w:rsid w:val="00DB69AC"/>
    <w:rsid w:val="00DC04EB"/>
    <w:rsid w:val="00DC1110"/>
    <w:rsid w:val="00DC167A"/>
    <w:rsid w:val="00DC1D2F"/>
    <w:rsid w:val="00DC4188"/>
    <w:rsid w:val="00DC4F6A"/>
    <w:rsid w:val="00DC6902"/>
    <w:rsid w:val="00DD086C"/>
    <w:rsid w:val="00DD2BEC"/>
    <w:rsid w:val="00DD3B67"/>
    <w:rsid w:val="00DD3EB8"/>
    <w:rsid w:val="00DD4334"/>
    <w:rsid w:val="00DD5ED3"/>
    <w:rsid w:val="00DD5FF6"/>
    <w:rsid w:val="00DD6F15"/>
    <w:rsid w:val="00DD7FD1"/>
    <w:rsid w:val="00DE0A63"/>
    <w:rsid w:val="00DE2908"/>
    <w:rsid w:val="00DE3A22"/>
    <w:rsid w:val="00DE4F37"/>
    <w:rsid w:val="00DE5445"/>
    <w:rsid w:val="00DE5EF1"/>
    <w:rsid w:val="00DE6EFB"/>
    <w:rsid w:val="00DF0386"/>
    <w:rsid w:val="00DF03C7"/>
    <w:rsid w:val="00DF095A"/>
    <w:rsid w:val="00DF0E95"/>
    <w:rsid w:val="00DF0F6D"/>
    <w:rsid w:val="00DF2208"/>
    <w:rsid w:val="00DF33E8"/>
    <w:rsid w:val="00DF4BA7"/>
    <w:rsid w:val="00DF5977"/>
    <w:rsid w:val="00DF6794"/>
    <w:rsid w:val="00DF6FDE"/>
    <w:rsid w:val="00E00560"/>
    <w:rsid w:val="00E00F51"/>
    <w:rsid w:val="00E014DB"/>
    <w:rsid w:val="00E01C5C"/>
    <w:rsid w:val="00E03488"/>
    <w:rsid w:val="00E03ACB"/>
    <w:rsid w:val="00E05E07"/>
    <w:rsid w:val="00E064C5"/>
    <w:rsid w:val="00E10F6F"/>
    <w:rsid w:val="00E11E6A"/>
    <w:rsid w:val="00E12051"/>
    <w:rsid w:val="00E12327"/>
    <w:rsid w:val="00E126D0"/>
    <w:rsid w:val="00E12FF3"/>
    <w:rsid w:val="00E1487A"/>
    <w:rsid w:val="00E14D04"/>
    <w:rsid w:val="00E1604E"/>
    <w:rsid w:val="00E16E4C"/>
    <w:rsid w:val="00E1787D"/>
    <w:rsid w:val="00E20353"/>
    <w:rsid w:val="00E20EAA"/>
    <w:rsid w:val="00E212EB"/>
    <w:rsid w:val="00E229C1"/>
    <w:rsid w:val="00E23863"/>
    <w:rsid w:val="00E23DE1"/>
    <w:rsid w:val="00E25942"/>
    <w:rsid w:val="00E25A70"/>
    <w:rsid w:val="00E25D32"/>
    <w:rsid w:val="00E26B98"/>
    <w:rsid w:val="00E275A7"/>
    <w:rsid w:val="00E2760E"/>
    <w:rsid w:val="00E30C6D"/>
    <w:rsid w:val="00E319CA"/>
    <w:rsid w:val="00E319D7"/>
    <w:rsid w:val="00E33BF4"/>
    <w:rsid w:val="00E3592B"/>
    <w:rsid w:val="00E37315"/>
    <w:rsid w:val="00E37C6F"/>
    <w:rsid w:val="00E412CB"/>
    <w:rsid w:val="00E433E0"/>
    <w:rsid w:val="00E440C8"/>
    <w:rsid w:val="00E44FE7"/>
    <w:rsid w:val="00E46397"/>
    <w:rsid w:val="00E46DB9"/>
    <w:rsid w:val="00E47164"/>
    <w:rsid w:val="00E47F36"/>
    <w:rsid w:val="00E520EA"/>
    <w:rsid w:val="00E537B8"/>
    <w:rsid w:val="00E53E04"/>
    <w:rsid w:val="00E56994"/>
    <w:rsid w:val="00E57200"/>
    <w:rsid w:val="00E5760E"/>
    <w:rsid w:val="00E57F91"/>
    <w:rsid w:val="00E60E41"/>
    <w:rsid w:val="00E61A8A"/>
    <w:rsid w:val="00E61DA8"/>
    <w:rsid w:val="00E62921"/>
    <w:rsid w:val="00E62BF1"/>
    <w:rsid w:val="00E631F3"/>
    <w:rsid w:val="00E64818"/>
    <w:rsid w:val="00E649C0"/>
    <w:rsid w:val="00E64C5F"/>
    <w:rsid w:val="00E6553B"/>
    <w:rsid w:val="00E675BC"/>
    <w:rsid w:val="00E67DF5"/>
    <w:rsid w:val="00E70E46"/>
    <w:rsid w:val="00E70E67"/>
    <w:rsid w:val="00E73542"/>
    <w:rsid w:val="00E73A55"/>
    <w:rsid w:val="00E74300"/>
    <w:rsid w:val="00E75180"/>
    <w:rsid w:val="00E8041A"/>
    <w:rsid w:val="00E81D1D"/>
    <w:rsid w:val="00E821F4"/>
    <w:rsid w:val="00E8237B"/>
    <w:rsid w:val="00E83AD4"/>
    <w:rsid w:val="00E848BE"/>
    <w:rsid w:val="00E85AED"/>
    <w:rsid w:val="00E87EB6"/>
    <w:rsid w:val="00E90FF1"/>
    <w:rsid w:val="00E93367"/>
    <w:rsid w:val="00E93BBB"/>
    <w:rsid w:val="00E95899"/>
    <w:rsid w:val="00E9638D"/>
    <w:rsid w:val="00E96A8D"/>
    <w:rsid w:val="00E97A75"/>
    <w:rsid w:val="00E97A7C"/>
    <w:rsid w:val="00E97BD7"/>
    <w:rsid w:val="00EA1D85"/>
    <w:rsid w:val="00EA24B5"/>
    <w:rsid w:val="00EA3B38"/>
    <w:rsid w:val="00EA4039"/>
    <w:rsid w:val="00EA518E"/>
    <w:rsid w:val="00EA7BB6"/>
    <w:rsid w:val="00EB0432"/>
    <w:rsid w:val="00EB167C"/>
    <w:rsid w:val="00EB2EFD"/>
    <w:rsid w:val="00EB4245"/>
    <w:rsid w:val="00EB549E"/>
    <w:rsid w:val="00EB62AB"/>
    <w:rsid w:val="00EB6F9B"/>
    <w:rsid w:val="00EB73DB"/>
    <w:rsid w:val="00EC1DFF"/>
    <w:rsid w:val="00EC23D8"/>
    <w:rsid w:val="00EC54DF"/>
    <w:rsid w:val="00EC55F4"/>
    <w:rsid w:val="00ED0BDB"/>
    <w:rsid w:val="00ED0ECA"/>
    <w:rsid w:val="00ED4E67"/>
    <w:rsid w:val="00ED5317"/>
    <w:rsid w:val="00ED557B"/>
    <w:rsid w:val="00ED6358"/>
    <w:rsid w:val="00ED6798"/>
    <w:rsid w:val="00EE0665"/>
    <w:rsid w:val="00EE15BE"/>
    <w:rsid w:val="00EE30D8"/>
    <w:rsid w:val="00EE3469"/>
    <w:rsid w:val="00EF1684"/>
    <w:rsid w:val="00EF1AA1"/>
    <w:rsid w:val="00EF3876"/>
    <w:rsid w:val="00EF5457"/>
    <w:rsid w:val="00EF5B1E"/>
    <w:rsid w:val="00EF7B25"/>
    <w:rsid w:val="00EF7C21"/>
    <w:rsid w:val="00F02795"/>
    <w:rsid w:val="00F05680"/>
    <w:rsid w:val="00F058B4"/>
    <w:rsid w:val="00F068B4"/>
    <w:rsid w:val="00F06FCD"/>
    <w:rsid w:val="00F07D29"/>
    <w:rsid w:val="00F107B6"/>
    <w:rsid w:val="00F123C2"/>
    <w:rsid w:val="00F12F45"/>
    <w:rsid w:val="00F1302F"/>
    <w:rsid w:val="00F1472D"/>
    <w:rsid w:val="00F152FD"/>
    <w:rsid w:val="00F1602B"/>
    <w:rsid w:val="00F17831"/>
    <w:rsid w:val="00F17BE9"/>
    <w:rsid w:val="00F21CE3"/>
    <w:rsid w:val="00F22FEC"/>
    <w:rsid w:val="00F23E5E"/>
    <w:rsid w:val="00F26D14"/>
    <w:rsid w:val="00F27B7A"/>
    <w:rsid w:val="00F27D6E"/>
    <w:rsid w:val="00F31A91"/>
    <w:rsid w:val="00F32954"/>
    <w:rsid w:val="00F353E4"/>
    <w:rsid w:val="00F3572C"/>
    <w:rsid w:val="00F3593F"/>
    <w:rsid w:val="00F3775B"/>
    <w:rsid w:val="00F408F5"/>
    <w:rsid w:val="00F419AE"/>
    <w:rsid w:val="00F42347"/>
    <w:rsid w:val="00F44266"/>
    <w:rsid w:val="00F44342"/>
    <w:rsid w:val="00F44F2F"/>
    <w:rsid w:val="00F4569C"/>
    <w:rsid w:val="00F476E3"/>
    <w:rsid w:val="00F477BE"/>
    <w:rsid w:val="00F50F60"/>
    <w:rsid w:val="00F51E91"/>
    <w:rsid w:val="00F52D33"/>
    <w:rsid w:val="00F54F93"/>
    <w:rsid w:val="00F56461"/>
    <w:rsid w:val="00F6009F"/>
    <w:rsid w:val="00F60209"/>
    <w:rsid w:val="00F608A8"/>
    <w:rsid w:val="00F61A20"/>
    <w:rsid w:val="00F61D4A"/>
    <w:rsid w:val="00F61E46"/>
    <w:rsid w:val="00F641AF"/>
    <w:rsid w:val="00F64477"/>
    <w:rsid w:val="00F65DCB"/>
    <w:rsid w:val="00F664B8"/>
    <w:rsid w:val="00F66788"/>
    <w:rsid w:val="00F74219"/>
    <w:rsid w:val="00F763CA"/>
    <w:rsid w:val="00F76D0E"/>
    <w:rsid w:val="00F81A3D"/>
    <w:rsid w:val="00F81D4C"/>
    <w:rsid w:val="00F82FA7"/>
    <w:rsid w:val="00F83E1C"/>
    <w:rsid w:val="00F84761"/>
    <w:rsid w:val="00F91127"/>
    <w:rsid w:val="00F93940"/>
    <w:rsid w:val="00F968AA"/>
    <w:rsid w:val="00FA0126"/>
    <w:rsid w:val="00FA1806"/>
    <w:rsid w:val="00FA2113"/>
    <w:rsid w:val="00FA36AA"/>
    <w:rsid w:val="00FA3BE3"/>
    <w:rsid w:val="00FA3F44"/>
    <w:rsid w:val="00FA60F3"/>
    <w:rsid w:val="00FA6D46"/>
    <w:rsid w:val="00FB006D"/>
    <w:rsid w:val="00FB1028"/>
    <w:rsid w:val="00FB2038"/>
    <w:rsid w:val="00FB251B"/>
    <w:rsid w:val="00FB284A"/>
    <w:rsid w:val="00FB2B1C"/>
    <w:rsid w:val="00FB3D4C"/>
    <w:rsid w:val="00FB4637"/>
    <w:rsid w:val="00FB4882"/>
    <w:rsid w:val="00FB514B"/>
    <w:rsid w:val="00FB67F6"/>
    <w:rsid w:val="00FC0B0A"/>
    <w:rsid w:val="00FC1E3A"/>
    <w:rsid w:val="00FC3168"/>
    <w:rsid w:val="00FC3227"/>
    <w:rsid w:val="00FC355A"/>
    <w:rsid w:val="00FC36E4"/>
    <w:rsid w:val="00FC38F8"/>
    <w:rsid w:val="00FC4020"/>
    <w:rsid w:val="00FC4548"/>
    <w:rsid w:val="00FC495B"/>
    <w:rsid w:val="00FC6F27"/>
    <w:rsid w:val="00FC75A8"/>
    <w:rsid w:val="00FD1896"/>
    <w:rsid w:val="00FD254B"/>
    <w:rsid w:val="00FD2952"/>
    <w:rsid w:val="00FD2EB8"/>
    <w:rsid w:val="00FD2FD7"/>
    <w:rsid w:val="00FD4872"/>
    <w:rsid w:val="00FD4DA7"/>
    <w:rsid w:val="00FD50D1"/>
    <w:rsid w:val="00FD5AFF"/>
    <w:rsid w:val="00FD636E"/>
    <w:rsid w:val="00FD732A"/>
    <w:rsid w:val="00FD7BD0"/>
    <w:rsid w:val="00FD7E4C"/>
    <w:rsid w:val="00FE09E6"/>
    <w:rsid w:val="00FE1115"/>
    <w:rsid w:val="00FE2E63"/>
    <w:rsid w:val="00FE3A84"/>
    <w:rsid w:val="00FE511C"/>
    <w:rsid w:val="00FE5C74"/>
    <w:rsid w:val="00FE6205"/>
    <w:rsid w:val="00FE750A"/>
    <w:rsid w:val="00FF3782"/>
    <w:rsid w:val="00FF3ECD"/>
    <w:rsid w:val="00FF4D1A"/>
    <w:rsid w:val="00FF4EC9"/>
    <w:rsid w:val="00FF59CA"/>
    <w:rsid w:val="00FF6321"/>
    <w:rsid w:val="00FF6B25"/>
    <w:rsid w:val="00FF6CC3"/>
    <w:rsid w:val="01CE5880"/>
    <w:rsid w:val="01D220DD"/>
    <w:rsid w:val="0280D8F3"/>
    <w:rsid w:val="03584EDD"/>
    <w:rsid w:val="0380DBEF"/>
    <w:rsid w:val="046E33F8"/>
    <w:rsid w:val="0529ECA8"/>
    <w:rsid w:val="05D58C75"/>
    <w:rsid w:val="08140B39"/>
    <w:rsid w:val="08784D1F"/>
    <w:rsid w:val="08A192D8"/>
    <w:rsid w:val="09091443"/>
    <w:rsid w:val="0AD49BB2"/>
    <w:rsid w:val="0B14B2A1"/>
    <w:rsid w:val="0C8433EE"/>
    <w:rsid w:val="0D5F0BFC"/>
    <w:rsid w:val="0D8FF3AF"/>
    <w:rsid w:val="0DF2718A"/>
    <w:rsid w:val="0F3D0722"/>
    <w:rsid w:val="0F4AF214"/>
    <w:rsid w:val="0F4E63EF"/>
    <w:rsid w:val="0F6755D1"/>
    <w:rsid w:val="0F6E23CD"/>
    <w:rsid w:val="10FC24F8"/>
    <w:rsid w:val="133455E4"/>
    <w:rsid w:val="134C93AF"/>
    <w:rsid w:val="136E9250"/>
    <w:rsid w:val="13D7214A"/>
    <w:rsid w:val="1435C8AB"/>
    <w:rsid w:val="14811BF8"/>
    <w:rsid w:val="14B4DADB"/>
    <w:rsid w:val="14E0B32F"/>
    <w:rsid w:val="15C1B679"/>
    <w:rsid w:val="15D5E5AC"/>
    <w:rsid w:val="161E0644"/>
    <w:rsid w:val="1658C4A7"/>
    <w:rsid w:val="1734341E"/>
    <w:rsid w:val="18625DE1"/>
    <w:rsid w:val="18CEE0D9"/>
    <w:rsid w:val="194B7FEB"/>
    <w:rsid w:val="1A29E9BF"/>
    <w:rsid w:val="1A82B046"/>
    <w:rsid w:val="1A8BF0C8"/>
    <w:rsid w:val="1C823FE1"/>
    <w:rsid w:val="1C864830"/>
    <w:rsid w:val="1D1851FC"/>
    <w:rsid w:val="1E319D97"/>
    <w:rsid w:val="1E77F9F9"/>
    <w:rsid w:val="1ECD303E"/>
    <w:rsid w:val="1EF40766"/>
    <w:rsid w:val="1FB7F96F"/>
    <w:rsid w:val="1FE3FEB8"/>
    <w:rsid w:val="1FE803A4"/>
    <w:rsid w:val="2060DE4E"/>
    <w:rsid w:val="207F6BC9"/>
    <w:rsid w:val="20E0E4B8"/>
    <w:rsid w:val="219BD86F"/>
    <w:rsid w:val="23641088"/>
    <w:rsid w:val="237D7217"/>
    <w:rsid w:val="244798A4"/>
    <w:rsid w:val="24942E9A"/>
    <w:rsid w:val="24A7647C"/>
    <w:rsid w:val="252A4FAE"/>
    <w:rsid w:val="25E8BF78"/>
    <w:rsid w:val="26948F04"/>
    <w:rsid w:val="269F9C71"/>
    <w:rsid w:val="280F9147"/>
    <w:rsid w:val="2854993B"/>
    <w:rsid w:val="28A2F2E7"/>
    <w:rsid w:val="28BDAD30"/>
    <w:rsid w:val="291C4C62"/>
    <w:rsid w:val="29FE2FD4"/>
    <w:rsid w:val="2B69F990"/>
    <w:rsid w:val="2B77CDD5"/>
    <w:rsid w:val="2BA28ACD"/>
    <w:rsid w:val="2E658E9D"/>
    <w:rsid w:val="2EBB6A3A"/>
    <w:rsid w:val="2F0B639D"/>
    <w:rsid w:val="2F78CDD6"/>
    <w:rsid w:val="303434C6"/>
    <w:rsid w:val="3163E463"/>
    <w:rsid w:val="31F4A417"/>
    <w:rsid w:val="32175E23"/>
    <w:rsid w:val="3230533A"/>
    <w:rsid w:val="33A0DBE8"/>
    <w:rsid w:val="33E0BFA1"/>
    <w:rsid w:val="34D42697"/>
    <w:rsid w:val="34E9597E"/>
    <w:rsid w:val="35033B19"/>
    <w:rsid w:val="352A2462"/>
    <w:rsid w:val="357F638D"/>
    <w:rsid w:val="37208BF2"/>
    <w:rsid w:val="3729BC78"/>
    <w:rsid w:val="379207A8"/>
    <w:rsid w:val="37EA693C"/>
    <w:rsid w:val="382CB7FF"/>
    <w:rsid w:val="384445BA"/>
    <w:rsid w:val="38CF52A7"/>
    <w:rsid w:val="38D4BF09"/>
    <w:rsid w:val="39EB5F4C"/>
    <w:rsid w:val="3A0EFE62"/>
    <w:rsid w:val="3A1B21BB"/>
    <w:rsid w:val="3B0C1D98"/>
    <w:rsid w:val="3B319DCD"/>
    <w:rsid w:val="3B70B2FE"/>
    <w:rsid w:val="3BAD99A5"/>
    <w:rsid w:val="3C5D91F5"/>
    <w:rsid w:val="3CE08189"/>
    <w:rsid w:val="3D17F9E4"/>
    <w:rsid w:val="3D8E3626"/>
    <w:rsid w:val="3DFCB355"/>
    <w:rsid w:val="3E169812"/>
    <w:rsid w:val="3EA25066"/>
    <w:rsid w:val="3FE8C27E"/>
    <w:rsid w:val="3FFBFAE7"/>
    <w:rsid w:val="40262CED"/>
    <w:rsid w:val="408892D4"/>
    <w:rsid w:val="40B9059C"/>
    <w:rsid w:val="40D4EE6A"/>
    <w:rsid w:val="41551946"/>
    <w:rsid w:val="41715590"/>
    <w:rsid w:val="4214DB92"/>
    <w:rsid w:val="42A06590"/>
    <w:rsid w:val="430ADAAD"/>
    <w:rsid w:val="4376A113"/>
    <w:rsid w:val="43770395"/>
    <w:rsid w:val="43947A56"/>
    <w:rsid w:val="43BAFCE7"/>
    <w:rsid w:val="4643CB97"/>
    <w:rsid w:val="46C8D978"/>
    <w:rsid w:val="482DAE6A"/>
    <w:rsid w:val="49E87828"/>
    <w:rsid w:val="49F3485A"/>
    <w:rsid w:val="49F72C89"/>
    <w:rsid w:val="4CDB4273"/>
    <w:rsid w:val="4D32E22E"/>
    <w:rsid w:val="4D47982D"/>
    <w:rsid w:val="4D4898BF"/>
    <w:rsid w:val="4D76FE0C"/>
    <w:rsid w:val="4FA063E6"/>
    <w:rsid w:val="504FCBC9"/>
    <w:rsid w:val="507A6891"/>
    <w:rsid w:val="50ADE294"/>
    <w:rsid w:val="51C624F6"/>
    <w:rsid w:val="51DD2647"/>
    <w:rsid w:val="520EE907"/>
    <w:rsid w:val="5260DB5D"/>
    <w:rsid w:val="52E744AF"/>
    <w:rsid w:val="5335F9A1"/>
    <w:rsid w:val="53A31A44"/>
    <w:rsid w:val="53DF32CB"/>
    <w:rsid w:val="53E17CBA"/>
    <w:rsid w:val="54578A1F"/>
    <w:rsid w:val="54615CD8"/>
    <w:rsid w:val="5513E39E"/>
    <w:rsid w:val="55665EDD"/>
    <w:rsid w:val="56265A41"/>
    <w:rsid w:val="584BD076"/>
    <w:rsid w:val="58D6BACA"/>
    <w:rsid w:val="5993AC09"/>
    <w:rsid w:val="5A4C81EE"/>
    <w:rsid w:val="5A84B917"/>
    <w:rsid w:val="5C1B0047"/>
    <w:rsid w:val="5CAE9DE1"/>
    <w:rsid w:val="5CEAF009"/>
    <w:rsid w:val="5D44A2C1"/>
    <w:rsid w:val="5DB5A9A9"/>
    <w:rsid w:val="5DF5E391"/>
    <w:rsid w:val="5E301D95"/>
    <w:rsid w:val="5E8C1C9B"/>
    <w:rsid w:val="5FB4E087"/>
    <w:rsid w:val="606952C5"/>
    <w:rsid w:val="60A29B03"/>
    <w:rsid w:val="60B629E4"/>
    <w:rsid w:val="624B1221"/>
    <w:rsid w:val="6268C6DA"/>
    <w:rsid w:val="633364C1"/>
    <w:rsid w:val="63E66247"/>
    <w:rsid w:val="64595103"/>
    <w:rsid w:val="64682947"/>
    <w:rsid w:val="64BE5097"/>
    <w:rsid w:val="64ECCACB"/>
    <w:rsid w:val="662E790A"/>
    <w:rsid w:val="66385E3C"/>
    <w:rsid w:val="669237FC"/>
    <w:rsid w:val="680E6DD8"/>
    <w:rsid w:val="682A9DDD"/>
    <w:rsid w:val="6957AEB6"/>
    <w:rsid w:val="69C5039F"/>
    <w:rsid w:val="6B14AB26"/>
    <w:rsid w:val="6B8B7BE4"/>
    <w:rsid w:val="6C848968"/>
    <w:rsid w:val="6D0F2672"/>
    <w:rsid w:val="6DD59ED9"/>
    <w:rsid w:val="6E30BCE0"/>
    <w:rsid w:val="6E7F21ED"/>
    <w:rsid w:val="6EC80427"/>
    <w:rsid w:val="6ED6493E"/>
    <w:rsid w:val="6F731A15"/>
    <w:rsid w:val="6F8E7D52"/>
    <w:rsid w:val="71458DC7"/>
    <w:rsid w:val="71D29472"/>
    <w:rsid w:val="7205CC6C"/>
    <w:rsid w:val="724669AA"/>
    <w:rsid w:val="73476A33"/>
    <w:rsid w:val="738293BA"/>
    <w:rsid w:val="73AD4D79"/>
    <w:rsid w:val="7482B2A1"/>
    <w:rsid w:val="749AAA66"/>
    <w:rsid w:val="74F27777"/>
    <w:rsid w:val="75A8F253"/>
    <w:rsid w:val="77FF13FF"/>
    <w:rsid w:val="7ABC37B8"/>
    <w:rsid w:val="7BF584FC"/>
    <w:rsid w:val="7C640A97"/>
    <w:rsid w:val="7C7D3F50"/>
    <w:rsid w:val="7CCE191C"/>
    <w:rsid w:val="7D975BD1"/>
    <w:rsid w:val="7E011EF3"/>
    <w:rsid w:val="7E54DDB0"/>
    <w:rsid w:val="7E7A667B"/>
    <w:rsid w:val="7E9979C0"/>
    <w:rsid w:val="7F64A0F4"/>
    <w:rsid w:val="7F66B376"/>
    <w:rsid w:val="7F9A921C"/>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0284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sl-SI"/>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1"/>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1"/>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1"/>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rsid w:val="006C7F87"/>
    <w:pPr>
      <w:numPr>
        <w:numId w:val="2"/>
      </w:numPr>
      <w:tabs>
        <w:tab w:val="num" w:pos="360"/>
      </w:tabs>
      <w:ind w:left="0" w:firstLine="0"/>
    </w:pPr>
    <w:rPr>
      <w:rFonts w:eastAsia="Times New Roman"/>
      <w:lang w:eastAsia="de-DE"/>
    </w:rPr>
  </w:style>
  <w:style w:type="paragraph" w:styleId="ListNumber">
    <w:name w:val="List Number"/>
    <w:basedOn w:val="Normal"/>
    <w:rsid w:val="006C7F87"/>
    <w:pPr>
      <w:numPr>
        <w:numId w:val="6"/>
      </w:numPr>
    </w:pPr>
    <w:rPr>
      <w:rFonts w:eastAsia="Times New Roman"/>
      <w:lang w:eastAsia="de-DE"/>
    </w:rPr>
  </w:style>
  <w:style w:type="paragraph" w:customStyle="1" w:styleId="ListBullet1">
    <w:name w:val="List Bullet 1"/>
    <w:basedOn w:val="Normal"/>
    <w:rsid w:val="006C7F87"/>
    <w:pPr>
      <w:numPr>
        <w:numId w:val="1"/>
      </w:numPr>
    </w:pPr>
    <w:rPr>
      <w:rFonts w:eastAsia="Times New Roman"/>
      <w:lang w:eastAsia="de-DE"/>
    </w:rPr>
  </w:style>
  <w:style w:type="paragraph" w:customStyle="1" w:styleId="ListDash">
    <w:name w:val="List Dash"/>
    <w:basedOn w:val="Normal"/>
    <w:rsid w:val="006C7F87"/>
    <w:pPr>
      <w:numPr>
        <w:numId w:val="3"/>
      </w:numPr>
    </w:pPr>
    <w:rPr>
      <w:rFonts w:eastAsia="Times New Roman"/>
      <w:lang w:eastAsia="de-DE"/>
    </w:rPr>
  </w:style>
  <w:style w:type="paragraph" w:customStyle="1" w:styleId="ListDash1">
    <w:name w:val="List Dash 1"/>
    <w:basedOn w:val="Normal"/>
    <w:rsid w:val="006C7F87"/>
    <w:pPr>
      <w:numPr>
        <w:numId w:val="4"/>
      </w:numPr>
    </w:pPr>
    <w:rPr>
      <w:rFonts w:eastAsia="Times New Roman"/>
      <w:lang w:eastAsia="de-DE"/>
    </w:rPr>
  </w:style>
  <w:style w:type="paragraph" w:customStyle="1" w:styleId="ListDash2">
    <w:name w:val="List Dash 2"/>
    <w:basedOn w:val="Normal"/>
    <w:rsid w:val="006C7F87"/>
    <w:pPr>
      <w:numPr>
        <w:numId w:val="5"/>
      </w:numPr>
    </w:pPr>
    <w:rPr>
      <w:rFonts w:eastAsia="Times New Roman"/>
      <w:lang w:eastAsia="de-DE"/>
    </w:rPr>
  </w:style>
  <w:style w:type="paragraph" w:customStyle="1" w:styleId="ListNumberLevel2">
    <w:name w:val="List Number (Level 2)"/>
    <w:basedOn w:val="Normal"/>
    <w:rsid w:val="006C7F87"/>
    <w:pPr>
      <w:numPr>
        <w:ilvl w:val="1"/>
        <w:numId w:val="6"/>
      </w:numPr>
    </w:pPr>
    <w:rPr>
      <w:rFonts w:eastAsia="Times New Roman"/>
      <w:lang w:eastAsia="de-DE"/>
    </w:rPr>
  </w:style>
  <w:style w:type="paragraph" w:customStyle="1" w:styleId="ListNumberLevel3">
    <w:name w:val="List Number (Level 3)"/>
    <w:basedOn w:val="Normal"/>
    <w:rsid w:val="006C7F87"/>
    <w:pPr>
      <w:numPr>
        <w:ilvl w:val="2"/>
        <w:numId w:val="6"/>
      </w:numPr>
    </w:pPr>
    <w:rPr>
      <w:rFonts w:eastAsia="Times New Roman"/>
      <w:lang w:eastAsia="de-DE"/>
    </w:rPr>
  </w:style>
  <w:style w:type="paragraph" w:customStyle="1" w:styleId="ListNumberLevel4">
    <w:name w:val="List Number (Level 4)"/>
    <w:basedOn w:val="Normal"/>
    <w:rsid w:val="006C7F87"/>
    <w:pPr>
      <w:numPr>
        <w:ilvl w:val="3"/>
        <w:numId w:val="6"/>
      </w:numPr>
    </w:pPr>
    <w:rPr>
      <w:rFonts w:eastAsia="Times New Roman"/>
      <w:lang w:eastAsia="de-DE"/>
    </w:rPr>
  </w:style>
  <w:style w:type="table" w:styleId="TableGrid">
    <w:name w:val="Table Grid"/>
    <w:basedOn w:val="TableNormal"/>
    <w:rsid w:val="006C7F87"/>
    <w:pPr>
      <w:spacing w:before="120" w:after="120" w:line="240" w:lineRule="auto"/>
      <w:jc w:val="both"/>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6C7F87"/>
    <w:rPr>
      <w:color w:val="0000FF"/>
      <w:u w:val="single"/>
    </w:rPr>
  </w:style>
  <w:style w:type="paragraph" w:styleId="ListBullet">
    <w:name w:val="List Bullet"/>
    <w:basedOn w:val="Normal"/>
    <w:rsid w:val="006C7F87"/>
    <w:pPr>
      <w:numPr>
        <w:numId w:val="7"/>
      </w:numPr>
    </w:pPr>
    <w:rPr>
      <w:rFonts w:eastAsia="Times New Roman"/>
      <w:lang w:eastAsia="en-GB"/>
    </w:rPr>
  </w:style>
  <w:style w:type="paragraph" w:styleId="ListBullet2">
    <w:name w:val="List Bullet 2"/>
    <w:basedOn w:val="Normal"/>
    <w:rsid w:val="006C7F87"/>
    <w:pPr>
      <w:numPr>
        <w:numId w:val="8"/>
      </w:numPr>
    </w:pPr>
    <w:rPr>
      <w:rFonts w:eastAsia="Times New Roman"/>
      <w:lang w:eastAsia="en-GB"/>
    </w:rPr>
  </w:style>
  <w:style w:type="paragraph" w:styleId="ListBullet3">
    <w:name w:val="List Bullet 3"/>
    <w:basedOn w:val="Normal"/>
    <w:rsid w:val="006C7F87"/>
    <w:pPr>
      <w:numPr>
        <w:numId w:val="9"/>
      </w:numPr>
    </w:pPr>
    <w:rPr>
      <w:rFonts w:eastAsia="Times New Roman"/>
      <w:lang w:eastAsia="en-GB"/>
    </w:rPr>
  </w:style>
  <w:style w:type="paragraph" w:styleId="ListNumber2">
    <w:name w:val="List Number 2"/>
    <w:basedOn w:val="Normal"/>
    <w:rsid w:val="006C7F87"/>
    <w:pPr>
      <w:numPr>
        <w:numId w:val="13"/>
      </w:numPr>
    </w:pPr>
    <w:rPr>
      <w:rFonts w:eastAsia="Times New Roman"/>
      <w:lang w:eastAsia="en-GB"/>
    </w:rPr>
  </w:style>
  <w:style w:type="paragraph" w:styleId="ListNumber3">
    <w:name w:val="List Number 3"/>
    <w:basedOn w:val="Normal"/>
    <w:rsid w:val="006C7F87"/>
    <w:pPr>
      <w:numPr>
        <w:numId w:val="14"/>
      </w:numPr>
    </w:pPr>
    <w:rPr>
      <w:rFonts w:eastAsia="Times New Roman"/>
      <w:lang w:eastAsia="en-GB"/>
    </w:rPr>
  </w:style>
  <w:style w:type="paragraph" w:styleId="ListNumber4">
    <w:name w:val="List Number 4"/>
    <w:basedOn w:val="Normal"/>
    <w:rsid w:val="006C7F87"/>
    <w:pPr>
      <w:numPr>
        <w:numId w:val="15"/>
      </w:numPr>
    </w:pPr>
    <w:rPr>
      <w:rFonts w:eastAsia="Times New Roman"/>
      <w:lang w:eastAsia="en-GB"/>
    </w:rPr>
  </w:style>
  <w:style w:type="paragraph" w:customStyle="1" w:styleId="ListDash3">
    <w:name w:val="List Dash 3"/>
    <w:basedOn w:val="Normal"/>
    <w:rsid w:val="006C7F87"/>
    <w:pPr>
      <w:numPr>
        <w:numId w:val="10"/>
      </w:numPr>
    </w:pPr>
    <w:rPr>
      <w:rFonts w:eastAsia="Times New Roman"/>
      <w:lang w:eastAsia="en-GB"/>
    </w:rPr>
  </w:style>
  <w:style w:type="paragraph" w:customStyle="1" w:styleId="ListDash4">
    <w:name w:val="List Dash 4"/>
    <w:basedOn w:val="Normal"/>
    <w:rsid w:val="006C7F87"/>
    <w:pPr>
      <w:numPr>
        <w:numId w:val="11"/>
      </w:numPr>
    </w:pPr>
    <w:rPr>
      <w:rFonts w:eastAsia="Times New Roman"/>
      <w:lang w:eastAsia="en-GB"/>
    </w:rPr>
  </w:style>
  <w:style w:type="paragraph" w:customStyle="1" w:styleId="ListNumber1">
    <w:name w:val="List Number 1"/>
    <w:basedOn w:val="Text1"/>
    <w:rsid w:val="006C7F87"/>
    <w:pPr>
      <w:numPr>
        <w:numId w:val="12"/>
      </w:numPr>
    </w:pPr>
    <w:rPr>
      <w:rFonts w:eastAsia="Times New Roman"/>
      <w:lang w:eastAsia="en-GB"/>
    </w:rPr>
  </w:style>
  <w:style w:type="paragraph" w:customStyle="1" w:styleId="ListNumber1Level2">
    <w:name w:val="List Number 1 (Level 2)"/>
    <w:basedOn w:val="Text1"/>
    <w:rsid w:val="006C7F87"/>
    <w:pPr>
      <w:numPr>
        <w:ilvl w:val="1"/>
        <w:numId w:val="12"/>
      </w:numPr>
    </w:pPr>
    <w:rPr>
      <w:rFonts w:eastAsia="Times New Roman"/>
      <w:lang w:eastAsia="en-GB"/>
    </w:rPr>
  </w:style>
  <w:style w:type="paragraph" w:customStyle="1" w:styleId="ListNumber2Level2">
    <w:name w:val="List Number 2 (Level 2)"/>
    <w:basedOn w:val="Text2"/>
    <w:rsid w:val="006C7F87"/>
    <w:pPr>
      <w:numPr>
        <w:ilvl w:val="1"/>
        <w:numId w:val="13"/>
      </w:numPr>
    </w:pPr>
    <w:rPr>
      <w:rFonts w:eastAsia="Times New Roman"/>
      <w:lang w:eastAsia="en-GB"/>
    </w:rPr>
  </w:style>
  <w:style w:type="paragraph" w:customStyle="1" w:styleId="ListNumber3Level2">
    <w:name w:val="List Number 3 (Level 2)"/>
    <w:basedOn w:val="Text3"/>
    <w:rsid w:val="006C7F87"/>
    <w:pPr>
      <w:numPr>
        <w:ilvl w:val="1"/>
        <w:numId w:val="14"/>
      </w:numPr>
    </w:pPr>
    <w:rPr>
      <w:rFonts w:eastAsia="Times New Roman"/>
      <w:lang w:eastAsia="en-GB"/>
    </w:rPr>
  </w:style>
  <w:style w:type="paragraph" w:customStyle="1" w:styleId="ListNumber4Level2">
    <w:name w:val="List Number 4 (Level 2)"/>
    <w:basedOn w:val="Text4"/>
    <w:rsid w:val="006C7F87"/>
    <w:pPr>
      <w:numPr>
        <w:ilvl w:val="1"/>
        <w:numId w:val="15"/>
      </w:numPr>
    </w:pPr>
    <w:rPr>
      <w:rFonts w:eastAsia="Times New Roman"/>
      <w:lang w:eastAsia="en-GB"/>
    </w:rPr>
  </w:style>
  <w:style w:type="paragraph" w:customStyle="1" w:styleId="ListNumber1Level3">
    <w:name w:val="List Number 1 (Level 3)"/>
    <w:basedOn w:val="Text1"/>
    <w:rsid w:val="006C7F87"/>
    <w:pPr>
      <w:numPr>
        <w:ilvl w:val="2"/>
        <w:numId w:val="12"/>
      </w:numPr>
    </w:pPr>
    <w:rPr>
      <w:rFonts w:eastAsia="Times New Roman"/>
      <w:lang w:eastAsia="en-GB"/>
    </w:rPr>
  </w:style>
  <w:style w:type="paragraph" w:customStyle="1" w:styleId="ListNumber2Level3">
    <w:name w:val="List Number 2 (Level 3)"/>
    <w:basedOn w:val="Text2"/>
    <w:rsid w:val="006C7F87"/>
    <w:pPr>
      <w:numPr>
        <w:ilvl w:val="2"/>
        <w:numId w:val="13"/>
      </w:numPr>
    </w:pPr>
    <w:rPr>
      <w:rFonts w:eastAsia="Times New Roman"/>
      <w:lang w:eastAsia="en-GB"/>
    </w:rPr>
  </w:style>
  <w:style w:type="paragraph" w:customStyle="1" w:styleId="ListNumber3Level3">
    <w:name w:val="List Number 3 (Level 3)"/>
    <w:basedOn w:val="Text3"/>
    <w:rsid w:val="006C7F87"/>
    <w:pPr>
      <w:numPr>
        <w:ilvl w:val="2"/>
        <w:numId w:val="14"/>
      </w:numPr>
    </w:pPr>
    <w:rPr>
      <w:rFonts w:eastAsia="Times New Roman"/>
      <w:lang w:eastAsia="en-GB"/>
    </w:rPr>
  </w:style>
  <w:style w:type="paragraph" w:customStyle="1" w:styleId="ListNumber4Level3">
    <w:name w:val="List Number 4 (Level 3)"/>
    <w:basedOn w:val="Text4"/>
    <w:rsid w:val="006C7F87"/>
    <w:pPr>
      <w:numPr>
        <w:ilvl w:val="2"/>
        <w:numId w:val="15"/>
      </w:numPr>
    </w:pPr>
    <w:rPr>
      <w:rFonts w:eastAsia="Times New Roman"/>
      <w:lang w:eastAsia="en-GB"/>
    </w:rPr>
  </w:style>
  <w:style w:type="paragraph" w:customStyle="1" w:styleId="ListNumber1Level4">
    <w:name w:val="List Number 1 (Level 4)"/>
    <w:basedOn w:val="Text1"/>
    <w:rsid w:val="006C7F87"/>
    <w:pPr>
      <w:numPr>
        <w:ilvl w:val="3"/>
        <w:numId w:val="12"/>
      </w:numPr>
    </w:pPr>
    <w:rPr>
      <w:rFonts w:eastAsia="Times New Roman"/>
      <w:lang w:eastAsia="en-GB"/>
    </w:rPr>
  </w:style>
  <w:style w:type="paragraph" w:customStyle="1" w:styleId="ListNumber2Level4">
    <w:name w:val="List Number 2 (Level 4)"/>
    <w:basedOn w:val="Text2"/>
    <w:rsid w:val="006C7F87"/>
    <w:pPr>
      <w:numPr>
        <w:ilvl w:val="3"/>
        <w:numId w:val="13"/>
      </w:numPr>
    </w:pPr>
    <w:rPr>
      <w:rFonts w:eastAsia="Times New Roman"/>
      <w:lang w:eastAsia="en-GB"/>
    </w:rPr>
  </w:style>
  <w:style w:type="paragraph" w:customStyle="1" w:styleId="ListNumber3Level4">
    <w:name w:val="List Number 3 (Level 4)"/>
    <w:basedOn w:val="Text3"/>
    <w:rsid w:val="006C7F87"/>
    <w:pPr>
      <w:numPr>
        <w:ilvl w:val="3"/>
        <w:numId w:val="14"/>
      </w:numPr>
    </w:pPr>
    <w:rPr>
      <w:rFonts w:eastAsia="Times New Roman"/>
      <w:lang w:eastAsia="en-GB"/>
    </w:rPr>
  </w:style>
  <w:style w:type="paragraph" w:customStyle="1" w:styleId="ListNumber4Level4">
    <w:name w:val="List Number 4 (Level 4)"/>
    <w:basedOn w:val="Text4"/>
    <w:rsid w:val="006C7F87"/>
    <w:pPr>
      <w:numPr>
        <w:ilvl w:val="3"/>
        <w:numId w:val="15"/>
      </w:numPr>
    </w:pPr>
    <w:rPr>
      <w:rFonts w:eastAsia="Times New Roman"/>
      <w:lang w:eastAsia="en-GB"/>
    </w:rPr>
  </w:style>
  <w:style w:type="paragraph" w:customStyle="1" w:styleId="Annexetitreacte">
    <w:name w:val="Annexe titre (acte)"/>
    <w:basedOn w:val="Normal"/>
    <w:next w:val="Normal"/>
    <w:rsid w:val="006C7F87"/>
    <w:pPr>
      <w:jc w:val="center"/>
    </w:pPr>
    <w:rPr>
      <w:rFonts w:eastAsia="Times New Roman"/>
      <w:b/>
      <w:u w:val="single"/>
      <w:lang w:eastAsia="en-GB"/>
    </w:rPr>
  </w:style>
  <w:style w:type="paragraph" w:customStyle="1" w:styleId="Annexetitreexposglobal">
    <w:name w:val="Annexe titre (exposé global)"/>
    <w:basedOn w:val="Normal"/>
    <w:next w:val="Normal"/>
    <w:rsid w:val="006C7F87"/>
    <w:pPr>
      <w:jc w:val="center"/>
    </w:pPr>
    <w:rPr>
      <w:rFonts w:eastAsia="Times New Roman"/>
      <w:b/>
      <w:u w:val="single"/>
      <w:lang w:eastAsia="en-GB"/>
    </w:rPr>
  </w:style>
  <w:style w:type="paragraph" w:customStyle="1" w:styleId="Annexetitrefichefinacte">
    <w:name w:val="Annexe titre (fiche fin. acte)"/>
    <w:basedOn w:val="Normal"/>
    <w:next w:val="Normal"/>
    <w:rsid w:val="006C7F87"/>
    <w:pPr>
      <w:jc w:val="center"/>
    </w:pPr>
    <w:rPr>
      <w:rFonts w:eastAsia="Times New Roman"/>
      <w:b/>
      <w:u w:val="single"/>
      <w:lang w:eastAsia="en-GB"/>
    </w:rPr>
  </w:style>
  <w:style w:type="paragraph" w:customStyle="1" w:styleId="Annexetitrefichefinglobale">
    <w:name w:val="Annexe titre (fiche fin. globale)"/>
    <w:basedOn w:val="Normal"/>
    <w:next w:val="Normal"/>
    <w:rsid w:val="006C7F87"/>
    <w:pPr>
      <w:jc w:val="center"/>
    </w:pPr>
    <w:rPr>
      <w:rFonts w:eastAsia="Times New Roman"/>
      <w:b/>
      <w:u w:val="single"/>
      <w:lang w:eastAsia="en-GB"/>
    </w:rPr>
  </w:style>
  <w:style w:type="paragraph" w:customStyle="1" w:styleId="Annexetitreglobale">
    <w:name w:val="Annexe titre (globale)"/>
    <w:basedOn w:val="Normal"/>
    <w:next w:val="Normal"/>
    <w:rsid w:val="006C7F87"/>
    <w:pPr>
      <w:jc w:val="center"/>
    </w:pPr>
    <w:rPr>
      <w:rFonts w:eastAsia="Times New Roman"/>
      <w:b/>
      <w:u w:val="single"/>
      <w:lang w:eastAsia="en-GB"/>
    </w:rPr>
  </w:style>
  <w:style w:type="paragraph" w:customStyle="1" w:styleId="Exposdesmotifstitreglobal">
    <w:name w:val="Exposé des motifs titre (global)"/>
    <w:basedOn w:val="Normal"/>
    <w:next w:val="Normal"/>
    <w:rsid w:val="006C7F87"/>
    <w:pPr>
      <w:jc w:val="center"/>
    </w:pPr>
    <w:rPr>
      <w:rFonts w:eastAsia="Times New Roman"/>
      <w:b/>
      <w:u w:val="single"/>
      <w:lang w:eastAsia="en-GB"/>
    </w:rPr>
  </w:style>
  <w:style w:type="paragraph" w:customStyle="1" w:styleId="Langueoriginale">
    <w:name w:val="Langue originale"/>
    <w:basedOn w:val="Normal"/>
    <w:rsid w:val="006C7F87"/>
    <w:pPr>
      <w:spacing w:before="360"/>
      <w:jc w:val="center"/>
    </w:pPr>
    <w:rPr>
      <w:rFonts w:eastAsia="Times New Roman"/>
      <w:caps/>
      <w:lang w:eastAsia="en-GB"/>
    </w:rPr>
  </w:style>
  <w:style w:type="paragraph" w:customStyle="1" w:styleId="Phrasefinale">
    <w:name w:val="Phrase finale"/>
    <w:basedOn w:val="Normal"/>
    <w:next w:val="Normal"/>
    <w:rsid w:val="006C7F87"/>
    <w:pPr>
      <w:spacing w:before="360" w:after="0"/>
      <w:jc w:val="center"/>
    </w:pPr>
    <w:rPr>
      <w:rFonts w:eastAsia="Times New Roman"/>
      <w:lang w:eastAsia="en-GB"/>
    </w:rPr>
  </w:style>
  <w:style w:type="paragraph" w:customStyle="1" w:styleId="Prliminairetitre">
    <w:name w:val="Préliminaire titre"/>
    <w:basedOn w:val="Normal"/>
    <w:next w:val="Normal"/>
    <w:rsid w:val="006C7F87"/>
    <w:pPr>
      <w:spacing w:before="360" w:after="360"/>
      <w:jc w:val="center"/>
    </w:pPr>
    <w:rPr>
      <w:rFonts w:eastAsia="Times New Roman"/>
      <w:b/>
      <w:lang w:eastAsia="en-GB"/>
    </w:rPr>
  </w:style>
  <w:style w:type="paragraph" w:customStyle="1" w:styleId="Prliminairetype">
    <w:name w:val="Préliminaire type"/>
    <w:basedOn w:val="Normal"/>
    <w:next w:val="Normal"/>
    <w:rsid w:val="006C7F87"/>
    <w:pPr>
      <w:spacing w:before="360" w:after="0"/>
      <w:jc w:val="center"/>
    </w:pPr>
    <w:rPr>
      <w:rFonts w:eastAsia="Times New Roman"/>
      <w:b/>
      <w:lang w:eastAsia="en-GB"/>
    </w:rPr>
  </w:style>
  <w:style w:type="paragraph" w:customStyle="1" w:styleId="Rfrenceinstitutionelle">
    <w:name w:val="Référence institutionelle"/>
    <w:basedOn w:val="Normal"/>
    <w:next w:val="Statut"/>
    <w:rsid w:val="006C7F87"/>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rsid w:val="006C7F87"/>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rsid w:val="006C7F87"/>
    <w:pPr>
      <w:spacing w:before="0" w:after="0"/>
      <w:ind w:left="5103"/>
      <w:jc w:val="left"/>
    </w:pPr>
    <w:rPr>
      <w:rFonts w:eastAsia="Times New Roman"/>
      <w:lang w:eastAsia="en-GB"/>
    </w:rPr>
  </w:style>
  <w:style w:type="paragraph" w:customStyle="1" w:styleId="Sous-titreobjetprliminaire">
    <w:name w:val="Sous-titre objet (préliminaire)"/>
    <w:basedOn w:val="Normal"/>
    <w:rsid w:val="006C7F87"/>
    <w:pPr>
      <w:spacing w:before="0" w:after="0"/>
      <w:jc w:val="center"/>
    </w:pPr>
    <w:rPr>
      <w:rFonts w:eastAsia="Times New Roman"/>
      <w:b/>
      <w:lang w:eastAsia="en-GB"/>
    </w:rPr>
  </w:style>
  <w:style w:type="paragraph" w:customStyle="1" w:styleId="Statutprliminaire">
    <w:name w:val="Statut (préliminaire)"/>
    <w:basedOn w:val="Normal"/>
    <w:next w:val="Normal"/>
    <w:rsid w:val="006C7F87"/>
    <w:pPr>
      <w:spacing w:before="360" w:after="0"/>
      <w:jc w:val="center"/>
    </w:pPr>
    <w:rPr>
      <w:rFonts w:eastAsia="Times New Roman"/>
      <w:lang w:eastAsia="en-GB"/>
    </w:rPr>
  </w:style>
  <w:style w:type="paragraph" w:customStyle="1" w:styleId="Titreobjetprliminaire">
    <w:name w:val="Titre objet (préliminaire)"/>
    <w:basedOn w:val="Normal"/>
    <w:next w:val="Normal"/>
    <w:rsid w:val="006C7F87"/>
    <w:pPr>
      <w:spacing w:before="360" w:after="360"/>
      <w:jc w:val="center"/>
    </w:pPr>
    <w:rPr>
      <w:rFonts w:eastAsia="Times New Roman"/>
      <w:b/>
      <w:lang w:eastAsia="en-GB"/>
    </w:rPr>
  </w:style>
  <w:style w:type="paragraph" w:customStyle="1" w:styleId="Typedudocumentprliminaire">
    <w:name w:val="Type du document (préliminaire)"/>
    <w:basedOn w:val="Normal"/>
    <w:next w:val="Normal"/>
    <w:rsid w:val="006C7F87"/>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rsid w:val="006C7F87"/>
    <w:pPr>
      <w:jc w:val="center"/>
    </w:pPr>
    <w:rPr>
      <w:rFonts w:eastAsia="Times New Roman"/>
      <w:b/>
      <w:u w:val="single"/>
      <w:lang w:eastAsia="en-GB"/>
    </w:rPr>
  </w:style>
  <w:style w:type="paragraph" w:customStyle="1" w:styleId="Fichefinancirestandardtitreacte">
    <w:name w:val="Fiche financière (standard) titre (acte)"/>
    <w:basedOn w:val="Normal"/>
    <w:next w:val="Normal"/>
    <w:rsid w:val="006C7F87"/>
    <w:pPr>
      <w:jc w:val="center"/>
    </w:pPr>
    <w:rPr>
      <w:rFonts w:eastAsia="Times New Roman"/>
      <w:b/>
      <w:u w:val="single"/>
      <w:lang w:eastAsia="en-GB"/>
    </w:rPr>
  </w:style>
  <w:style w:type="paragraph" w:customStyle="1" w:styleId="Fichefinanciretravailtitre">
    <w:name w:val="Fiche financière (travail) titre"/>
    <w:basedOn w:val="Normal"/>
    <w:next w:val="Normal"/>
    <w:rsid w:val="006C7F87"/>
    <w:pPr>
      <w:jc w:val="center"/>
    </w:pPr>
    <w:rPr>
      <w:rFonts w:eastAsia="Times New Roman"/>
      <w:b/>
      <w:u w:val="single"/>
      <w:lang w:eastAsia="en-GB"/>
    </w:rPr>
  </w:style>
  <w:style w:type="paragraph" w:customStyle="1" w:styleId="Fichefinanciretravailtitreacte">
    <w:name w:val="Fiche financière (travail) titre (acte)"/>
    <w:basedOn w:val="Normal"/>
    <w:next w:val="Normal"/>
    <w:rsid w:val="006C7F87"/>
    <w:pPr>
      <w:jc w:val="center"/>
    </w:pPr>
    <w:rPr>
      <w:rFonts w:eastAsia="Times New Roman"/>
      <w:b/>
      <w:u w:val="single"/>
      <w:lang w:eastAsia="en-GB"/>
    </w:rPr>
  </w:style>
  <w:style w:type="paragraph" w:customStyle="1" w:styleId="Fichefinancireattributiontitre">
    <w:name w:val="Fiche financière (attribution) titre"/>
    <w:basedOn w:val="Normal"/>
    <w:next w:val="Normal"/>
    <w:rsid w:val="006C7F87"/>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rsid w:val="006C7F87"/>
    <w:pPr>
      <w:jc w:val="center"/>
    </w:pPr>
    <w:rPr>
      <w:rFonts w:eastAsia="Times New Roman"/>
      <w:b/>
      <w:u w:val="single"/>
      <w:lang w:eastAsia="en-GB"/>
    </w:rPr>
  </w:style>
  <w:style w:type="character" w:styleId="CommentReference">
    <w:name w:val="annotation reference"/>
    <w:rsid w:val="006C7F87"/>
    <w:rPr>
      <w:rFonts w:cs="Times New Roman"/>
      <w:sz w:val="16"/>
      <w:szCs w:val="16"/>
    </w:rPr>
  </w:style>
  <w:style w:type="paragraph" w:styleId="CommentText">
    <w:name w:val="annotation text"/>
    <w:basedOn w:val="Normal"/>
    <w:link w:val="CommentTextChar"/>
    <w:rsid w:val="006C7F87"/>
    <w:rPr>
      <w:rFonts w:eastAsia="Times New Roman"/>
      <w:sz w:val="20"/>
      <w:szCs w:val="20"/>
      <w:lang w:eastAsia="en-GB"/>
    </w:rPr>
  </w:style>
  <w:style w:type="character" w:customStyle="1" w:styleId="CommentTextChar">
    <w:name w:val="Comment Text Char"/>
    <w:basedOn w:val="DefaultParagraphFont"/>
    <w:link w:val="CommentText"/>
    <w:rsid w:val="006C7F87"/>
    <w:rPr>
      <w:rFonts w:ascii="Times New Roman" w:eastAsia="Times New Roman" w:hAnsi="Times New Roman" w:cs="Times New Roman"/>
      <w:sz w:val="20"/>
      <w:szCs w:val="20"/>
      <w:lang w:val="sl-SI" w:eastAsia="en-GB"/>
    </w:rPr>
  </w:style>
  <w:style w:type="paragraph" w:styleId="CommentSubject">
    <w:name w:val="annotation subject"/>
    <w:basedOn w:val="CommentText"/>
    <w:next w:val="CommentText"/>
    <w:link w:val="CommentSubjectChar"/>
    <w:rsid w:val="006C7F87"/>
    <w:rPr>
      <w:b/>
      <w:bCs/>
    </w:rPr>
  </w:style>
  <w:style w:type="character" w:customStyle="1" w:styleId="CommentSubjectChar">
    <w:name w:val="Comment Subject Char"/>
    <w:basedOn w:val="CommentTextChar"/>
    <w:link w:val="CommentSubject"/>
    <w:rsid w:val="006C7F87"/>
    <w:rPr>
      <w:rFonts w:ascii="Times New Roman" w:eastAsia="Times New Roman" w:hAnsi="Times New Roman" w:cs="Times New Roman"/>
      <w:b/>
      <w:bCs/>
      <w:sz w:val="20"/>
      <w:szCs w:val="20"/>
      <w:lang w:val="sl-SI" w:eastAsia="en-GB"/>
    </w:rPr>
  </w:style>
  <w:style w:type="paragraph" w:styleId="BalloonText">
    <w:name w:val="Balloon Text"/>
    <w:basedOn w:val="Normal"/>
    <w:link w:val="BalloonTextChar"/>
    <w:rsid w:val="006C7F87"/>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6C7F87"/>
    <w:rPr>
      <w:rFonts w:ascii="Tahoma" w:eastAsia="Times New Roman" w:hAnsi="Tahoma" w:cs="Tahoma"/>
      <w:sz w:val="16"/>
      <w:szCs w:val="16"/>
      <w:lang w:val="sl-SI" w:eastAsia="en-GB"/>
    </w:rPr>
  </w:style>
  <w:style w:type="paragraph" w:styleId="Caption">
    <w:name w:val="caption"/>
    <w:basedOn w:val="Normal"/>
    <w:next w:val="Normal"/>
    <w:qFormat/>
    <w:rsid w:val="006C7F87"/>
    <w:rPr>
      <w:rFonts w:eastAsia="Times New Roman"/>
      <w:b/>
      <w:bCs/>
      <w:sz w:val="20"/>
      <w:szCs w:val="20"/>
      <w:lang w:eastAsia="en-GB"/>
    </w:rPr>
  </w:style>
  <w:style w:type="paragraph" w:styleId="TableofFigures">
    <w:name w:val="table of figures"/>
    <w:basedOn w:val="Normal"/>
    <w:next w:val="Normal"/>
    <w:rsid w:val="006C7F87"/>
    <w:rPr>
      <w:rFonts w:eastAsia="Times New Roman"/>
      <w:lang w:eastAsia="en-GB"/>
    </w:rPr>
  </w:style>
  <w:style w:type="character" w:styleId="PageNumber">
    <w:name w:val="page number"/>
    <w:rsid w:val="006C7F87"/>
  </w:style>
  <w:style w:type="character" w:customStyle="1" w:styleId="tw4winMark">
    <w:name w:val="tw4winMark"/>
    <w:rsid w:val="006C7F87"/>
    <w:rPr>
      <w:vanish/>
      <w:color w:val="800080"/>
      <w:vertAlign w:val="subscript"/>
    </w:rPr>
  </w:style>
  <w:style w:type="character" w:styleId="FollowedHyperlink">
    <w:name w:val="FollowedHyperlink"/>
    <w:rsid w:val="006C7F87"/>
    <w:rPr>
      <w:color w:val="800080"/>
      <w:u w:val="single"/>
    </w:rPr>
  </w:style>
  <w:style w:type="paragraph" w:customStyle="1" w:styleId="Sous-titreobjet">
    <w:name w:val="Sous-titre objet"/>
    <w:basedOn w:val="Normal"/>
    <w:rsid w:val="006C7F87"/>
    <w:pPr>
      <w:spacing w:before="0" w:after="0"/>
      <w:jc w:val="center"/>
    </w:pPr>
    <w:rPr>
      <w:rFonts w:eastAsia="Times New Roman"/>
      <w:b/>
      <w:lang w:eastAsia="en-GB"/>
    </w:rPr>
  </w:style>
  <w:style w:type="paragraph" w:customStyle="1" w:styleId="Sous-titreobjetPagedecouverture">
    <w:name w:val="Sous-titre objet (Page de couverture)"/>
    <w:basedOn w:val="Sous-titreobjet"/>
    <w:rsid w:val="006C7F87"/>
  </w:style>
  <w:style w:type="paragraph" w:styleId="Revision">
    <w:name w:val="Revision"/>
    <w:hidden/>
    <w:uiPriority w:val="99"/>
    <w:semiHidden/>
    <w:rsid w:val="006C7F87"/>
    <w:rPr>
      <w:rFonts w:ascii="Calibri" w:eastAsia="Calibri" w:hAnsi="Calibri" w:cs="Times New Roman"/>
      <w:sz w:val="24"/>
      <w:lang w:eastAsia="en-GB"/>
    </w:rPr>
  </w:style>
  <w:style w:type="paragraph" w:customStyle="1" w:styleId="FooterCoverPage">
    <w:name w:val="Footer Cover Page"/>
    <w:basedOn w:val="Normal"/>
    <w:link w:val="FooterCoverPageChar"/>
    <w:rsid w:val="006C7F87"/>
    <w:pPr>
      <w:tabs>
        <w:tab w:val="center" w:pos="4535"/>
        <w:tab w:val="right" w:pos="9071"/>
        <w:tab w:val="right" w:pos="9921"/>
      </w:tabs>
      <w:spacing w:before="360" w:after="0"/>
      <w:ind w:left="-850" w:right="-850"/>
      <w:jc w:val="left"/>
    </w:pPr>
    <w:rPr>
      <w:rFonts w:eastAsia="Calibri"/>
      <w:lang w:eastAsia="en-GB"/>
    </w:rPr>
  </w:style>
  <w:style w:type="character" w:customStyle="1" w:styleId="TOCHeadingChar">
    <w:name w:val="TOC Heading Char"/>
    <w:uiPriority w:val="39"/>
    <w:rsid w:val="006C7F87"/>
    <w:rPr>
      <w:rFonts w:ascii="Times New Roman" w:hAnsi="Times New Roman" w:cs="Times New Roman"/>
      <w:b/>
      <w:sz w:val="28"/>
      <w:lang w:val="sl-SI"/>
    </w:rPr>
  </w:style>
  <w:style w:type="character" w:customStyle="1" w:styleId="FooterCoverPageChar">
    <w:name w:val="Footer Cover Page Char"/>
    <w:link w:val="FooterCoverPage"/>
    <w:rsid w:val="006C7F87"/>
    <w:rPr>
      <w:rFonts w:ascii="Times New Roman" w:eastAsia="Calibri" w:hAnsi="Times New Roman" w:cs="Times New Roman"/>
      <w:sz w:val="24"/>
      <w:lang w:val="sl-SI" w:eastAsia="en-GB"/>
    </w:rPr>
  </w:style>
  <w:style w:type="paragraph" w:customStyle="1" w:styleId="HeaderCoverPage">
    <w:name w:val="Header Cover Page"/>
    <w:basedOn w:val="Normal"/>
    <w:link w:val="HeaderCoverPageChar"/>
    <w:rsid w:val="006C7F87"/>
    <w:pPr>
      <w:tabs>
        <w:tab w:val="center" w:pos="4535"/>
        <w:tab w:val="right" w:pos="9071"/>
      </w:tabs>
      <w:spacing w:before="0"/>
    </w:pPr>
    <w:rPr>
      <w:rFonts w:eastAsia="Calibri"/>
      <w:lang w:eastAsia="en-GB"/>
    </w:rPr>
  </w:style>
  <w:style w:type="character" w:customStyle="1" w:styleId="HeaderCoverPageChar">
    <w:name w:val="Header Cover Page Char"/>
    <w:link w:val="HeaderCoverPage"/>
    <w:rsid w:val="006C7F87"/>
    <w:rPr>
      <w:rFonts w:ascii="Times New Roman" w:eastAsia="Calibri" w:hAnsi="Times New Roman" w:cs="Times New Roman"/>
      <w:sz w:val="24"/>
      <w:lang w:val="sl-SI" w:eastAsia="en-GB"/>
    </w:rPr>
  </w:style>
  <w:style w:type="character" w:customStyle="1" w:styleId="FooterSensitivityChar">
    <w:name w:val="Footer Sensitivity Char"/>
    <w:rsid w:val="006C7F87"/>
    <w:rPr>
      <w:rFonts w:ascii="Times New Roman" w:hAnsi="Times New Roman" w:cs="Times New Roman"/>
      <w:b/>
      <w:sz w:val="32"/>
      <w:lang w:val="sl-SI"/>
    </w:rPr>
  </w:style>
  <w:style w:type="character" w:customStyle="1" w:styleId="HeaderSensitivityChar">
    <w:name w:val="Header Sensitivity Char"/>
    <w:rsid w:val="006C7F87"/>
    <w:rPr>
      <w:rFonts w:ascii="Times New Roman" w:hAnsi="Times New Roman" w:cs="Times New Roman"/>
      <w:b/>
      <w:sz w:val="32"/>
      <w:lang w:val="sl-SI"/>
    </w:rPr>
  </w:style>
  <w:style w:type="character" w:customStyle="1" w:styleId="HeaderSensitivityRightChar">
    <w:name w:val="Header Sensitivity Right Char"/>
    <w:rsid w:val="006C7F87"/>
    <w:rPr>
      <w:rFonts w:ascii="Times New Roman" w:hAnsi="Times New Roman" w:cs="Times New Roman"/>
      <w:sz w:val="28"/>
      <w:lang w:val="sl-SI"/>
    </w:rPr>
  </w:style>
  <w:style w:type="paragraph" w:customStyle="1" w:styleId="LegalNumPar">
    <w:name w:val="LegalNumPar"/>
    <w:basedOn w:val="Normal"/>
    <w:rsid w:val="006C7F87"/>
    <w:pPr>
      <w:numPr>
        <w:numId w:val="16"/>
      </w:numPr>
      <w:spacing w:line="360" w:lineRule="auto"/>
    </w:pPr>
    <w:rPr>
      <w:rFonts w:eastAsia="Times New Roman"/>
      <w:lang w:eastAsia="en-GB"/>
    </w:rPr>
  </w:style>
  <w:style w:type="paragraph" w:customStyle="1" w:styleId="LegalNumPar2">
    <w:name w:val="LegalNumPar2"/>
    <w:basedOn w:val="Normal"/>
    <w:rsid w:val="006C7F87"/>
    <w:pPr>
      <w:numPr>
        <w:ilvl w:val="1"/>
        <w:numId w:val="16"/>
      </w:numPr>
      <w:spacing w:line="360" w:lineRule="auto"/>
    </w:pPr>
    <w:rPr>
      <w:rFonts w:eastAsia="Times New Roman"/>
      <w:lang w:eastAsia="en-GB"/>
    </w:rPr>
  </w:style>
  <w:style w:type="paragraph" w:customStyle="1" w:styleId="LegalNumPar3">
    <w:name w:val="LegalNumPar3"/>
    <w:basedOn w:val="Normal"/>
    <w:rsid w:val="006C7F87"/>
    <w:pPr>
      <w:numPr>
        <w:ilvl w:val="2"/>
        <w:numId w:val="16"/>
      </w:numPr>
      <w:spacing w:line="360" w:lineRule="auto"/>
    </w:pPr>
    <w:rPr>
      <w:rFonts w:eastAsia="Times New Roman"/>
      <w:lang w:eastAsia="en-GB"/>
    </w:rPr>
  </w:style>
  <w:style w:type="paragraph" w:styleId="ListParagraph">
    <w:name w:val="List Paragraph"/>
    <w:basedOn w:val="Normal"/>
    <w:uiPriority w:val="34"/>
    <w:qFormat/>
    <w:rsid w:val="006C7F87"/>
    <w:pPr>
      <w:ind w:left="720"/>
      <w:contextualSpacing/>
    </w:pPr>
    <w:rPr>
      <w:rFonts w:eastAsia="Times New Roman"/>
      <w:lang w:eastAsia="en-GB"/>
    </w:rPr>
  </w:style>
  <w:style w:type="character" w:customStyle="1" w:styleId="UnresolvedMention">
    <w:name w:val="Unresolved Mention"/>
    <w:basedOn w:val="DefaultParagraphFont"/>
    <w:uiPriority w:val="99"/>
    <w:semiHidden/>
    <w:unhideWhenUsed/>
    <w:rsid w:val="006C7F87"/>
    <w:rPr>
      <w:color w:val="605E5C"/>
      <w:shd w:val="clear" w:color="auto" w:fill="E1DFDD"/>
    </w:rPr>
  </w:style>
  <w:style w:type="character" w:styleId="Strong">
    <w:name w:val="Strong"/>
    <w:basedOn w:val="DefaultParagraphFont"/>
    <w:qFormat/>
    <w:rsid w:val="006C7F87"/>
    <w:rPr>
      <w:b/>
      <w:bCs/>
    </w:rPr>
  </w:style>
  <w:style w:type="character" w:styleId="Emphasis">
    <w:name w:val="Emphasis"/>
    <w:basedOn w:val="DefaultParagraphFont"/>
    <w:qFormat/>
    <w:rsid w:val="006C7F87"/>
    <w:rPr>
      <w:i/>
      <w:iCs/>
    </w:rPr>
  </w:style>
  <w:style w:type="character" w:customStyle="1" w:styleId="Mention">
    <w:name w:val="Mention"/>
    <w:basedOn w:val="DefaultParagraphFont"/>
    <w:uiPriority w:val="99"/>
    <w:unhideWhenUsed/>
    <w:rsid w:val="006C7F87"/>
    <w:rPr>
      <w:color w:val="2B579A"/>
      <w:shd w:val="clear" w:color="auto" w:fill="E1DFDD"/>
    </w:rPr>
  </w:style>
  <w:style w:type="character" w:customStyle="1" w:styleId="normaltextrun">
    <w:name w:val="normaltextrun"/>
    <w:basedOn w:val="DefaultParagraphFont"/>
    <w:rsid w:val="006C7F87"/>
  </w:style>
  <w:style w:type="character" w:customStyle="1" w:styleId="eop">
    <w:name w:val="eop"/>
    <w:basedOn w:val="DefaultParagraphFont"/>
    <w:rsid w:val="006C7F87"/>
  </w:style>
  <w:style w:type="paragraph" w:customStyle="1" w:styleId="CharCharChar1">
    <w:name w:val="Char Char Char1"/>
    <w:basedOn w:val="Normal"/>
    <w:link w:val="FootnoteReference"/>
    <w:uiPriority w:val="99"/>
    <w:rsid w:val="00FE1115"/>
    <w:pPr>
      <w:spacing w:before="0" w:after="160" w:line="240" w:lineRule="exact"/>
    </w:pPr>
    <w:rPr>
      <w:rFonts w:asciiTheme="minorHAnsi" w:hAnsiTheme="minorHAnsi" w:cstheme="minorBidi"/>
      <w:sz w:val="22"/>
      <w:vertAlign w:val="superscript"/>
    </w:rPr>
  </w:style>
  <w:style w:type="character" w:customStyle="1" w:styleId="superscript">
    <w:name w:val="superscript"/>
    <w:basedOn w:val="DefaultParagraphFont"/>
    <w:rsid w:val="001275AC"/>
  </w:style>
  <w:style w:type="paragraph" w:customStyle="1" w:styleId="paragraph">
    <w:name w:val="paragraph"/>
    <w:basedOn w:val="Normal"/>
    <w:rsid w:val="001275AC"/>
    <w:pPr>
      <w:spacing w:before="100" w:beforeAutospacing="1" w:after="100" w:afterAutospacing="1"/>
      <w:jc w:val="left"/>
    </w:pPr>
    <w:rPr>
      <w:rFonts w:eastAsia="Times New Roman"/>
      <w:szCs w:val="24"/>
      <w:lang w:eastAsia="en-IE"/>
    </w:rPr>
  </w:style>
  <w:style w:type="character" w:customStyle="1" w:styleId="HeaderChar">
    <w:name w:val="Header Char"/>
    <w:basedOn w:val="DefaultParagraphFont"/>
    <w:link w:val="Header"/>
    <w:uiPriority w:val="99"/>
    <w:rsid w:val="0022615E"/>
    <w:rPr>
      <w:rFonts w:ascii="Times New Roman" w:hAnsi="Times New Roman" w:cs="Times New Roman"/>
      <w:sz w:val="24"/>
      <w:lang w:val="sl-SI"/>
    </w:rPr>
  </w:style>
  <w:style w:type="character" w:customStyle="1" w:styleId="FooterChar">
    <w:name w:val="Footer Char"/>
    <w:basedOn w:val="DefaultParagraphFont"/>
    <w:link w:val="Footer"/>
    <w:uiPriority w:val="99"/>
    <w:rsid w:val="0022615E"/>
    <w:rPr>
      <w:rFonts w:ascii="Times New Roman" w:hAnsi="Times New Roman" w:cs="Times New Roman"/>
      <w:sz w:val="24"/>
      <w:lang w:val="sl-SI"/>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sl-SI"/>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sl-SI"/>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sl-SI"/>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sl-SI"/>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sl-SI"/>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sl-SI"/>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sl-SI"/>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link w:val="CharCharChar1"/>
    <w:uiPriority w:val="99"/>
    <w:semiHidden/>
    <w:unhideWhenUsed/>
    <w:rPr>
      <w:shd w:val="clear" w:color="auto" w:fill="auto"/>
      <w:vertAlign w:val="superscript"/>
    </w:rPr>
  </w:style>
  <w:style w:type="paragraph" w:customStyle="1" w:styleId="HeaderSensitivity">
    <w:name w:val="Header Sensitivity"/>
    <w:basedOn w:val="Normal"/>
    <w:rsid w:val="0022615E"/>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22615E"/>
    <w:pPr>
      <w:spacing w:before="0"/>
      <w:jc w:val="right"/>
    </w:pPr>
    <w:rPr>
      <w:sz w:val="28"/>
    </w:rPr>
  </w:style>
  <w:style w:type="paragraph" w:customStyle="1" w:styleId="FooterSensitivity">
    <w:name w:val="Footer Sensitivity"/>
    <w:basedOn w:val="Normal"/>
    <w:rsid w:val="0022615E"/>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Tiret5">
    <w:name w:val="Tiret 5"/>
    <w:basedOn w:val="Point5"/>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NumPar5">
    <w:name w:val="NumPar 5"/>
    <w:basedOn w:val="Normal"/>
    <w:next w:val="Text2"/>
    <w:pPr>
      <w:numPr>
        <w:ilvl w:val="4"/>
        <w:numId w:val="30"/>
      </w:numPr>
    </w:pPr>
  </w:style>
  <w:style w:type="paragraph" w:customStyle="1" w:styleId="NumPar6">
    <w:name w:val="NumPar 6"/>
    <w:basedOn w:val="Normal"/>
    <w:next w:val="Text2"/>
    <w:pPr>
      <w:numPr>
        <w:ilvl w:val="5"/>
        <w:numId w:val="30"/>
      </w:numPr>
    </w:pPr>
  </w:style>
  <w:style w:type="paragraph" w:customStyle="1" w:styleId="NumPar7">
    <w:name w:val="NumPar 7"/>
    <w:basedOn w:val="Normal"/>
    <w:next w:val="Text2"/>
    <w:pPr>
      <w:numPr>
        <w:ilvl w:val="6"/>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22615E"/>
    <w:pPr>
      <w:tabs>
        <w:tab w:val="center" w:pos="4535"/>
        <w:tab w:val="right" w:pos="9071"/>
      </w:tabs>
      <w:spacing w:before="0"/>
    </w:pPr>
  </w:style>
  <w:style w:type="paragraph" w:customStyle="1" w:styleId="HeaderLandscape">
    <w:name w:val="HeaderLandscape"/>
    <w:basedOn w:val="Normal"/>
    <w:rsid w:val="0022615E"/>
    <w:pPr>
      <w:tabs>
        <w:tab w:val="center" w:pos="7285"/>
        <w:tab w:val="right" w:pos="14003"/>
      </w:tabs>
      <w:spacing w:before="0"/>
    </w:pPr>
  </w:style>
  <w:style w:type="paragraph" w:styleId="Footer">
    <w:name w:val="footer"/>
    <w:basedOn w:val="Normal"/>
    <w:link w:val="FooterChar"/>
    <w:uiPriority w:val="99"/>
    <w:unhideWhenUsed/>
    <w:rsid w:val="0022615E"/>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22615E"/>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894513">
      <w:bodyDiv w:val="1"/>
      <w:marLeft w:val="0"/>
      <w:marRight w:val="0"/>
      <w:marTop w:val="0"/>
      <w:marBottom w:val="0"/>
      <w:divBdr>
        <w:top w:val="none" w:sz="0" w:space="0" w:color="auto"/>
        <w:left w:val="none" w:sz="0" w:space="0" w:color="auto"/>
        <w:bottom w:val="none" w:sz="0" w:space="0" w:color="auto"/>
        <w:right w:val="none" w:sz="0" w:space="0" w:color="auto"/>
      </w:divBdr>
      <w:divsChild>
        <w:div w:id="47657470">
          <w:marLeft w:val="0"/>
          <w:marRight w:val="0"/>
          <w:marTop w:val="0"/>
          <w:marBottom w:val="0"/>
          <w:divBdr>
            <w:top w:val="none" w:sz="0" w:space="0" w:color="auto"/>
            <w:left w:val="none" w:sz="0" w:space="0" w:color="auto"/>
            <w:bottom w:val="none" w:sz="0" w:space="0" w:color="auto"/>
            <w:right w:val="none" w:sz="0" w:space="0" w:color="auto"/>
          </w:divBdr>
        </w:div>
      </w:divsChild>
    </w:div>
    <w:div w:id="324014887">
      <w:bodyDiv w:val="1"/>
      <w:marLeft w:val="0"/>
      <w:marRight w:val="0"/>
      <w:marTop w:val="0"/>
      <w:marBottom w:val="0"/>
      <w:divBdr>
        <w:top w:val="none" w:sz="0" w:space="0" w:color="auto"/>
        <w:left w:val="none" w:sz="0" w:space="0" w:color="auto"/>
        <w:bottom w:val="none" w:sz="0" w:space="0" w:color="auto"/>
        <w:right w:val="none" w:sz="0" w:space="0" w:color="auto"/>
      </w:divBdr>
    </w:div>
    <w:div w:id="521017053">
      <w:bodyDiv w:val="1"/>
      <w:marLeft w:val="0"/>
      <w:marRight w:val="0"/>
      <w:marTop w:val="0"/>
      <w:marBottom w:val="0"/>
      <w:divBdr>
        <w:top w:val="none" w:sz="0" w:space="0" w:color="auto"/>
        <w:left w:val="none" w:sz="0" w:space="0" w:color="auto"/>
        <w:bottom w:val="none" w:sz="0" w:space="0" w:color="auto"/>
        <w:right w:val="none" w:sz="0" w:space="0" w:color="auto"/>
      </w:divBdr>
    </w:div>
    <w:div w:id="946280079">
      <w:bodyDiv w:val="1"/>
      <w:marLeft w:val="0"/>
      <w:marRight w:val="0"/>
      <w:marTop w:val="0"/>
      <w:marBottom w:val="0"/>
      <w:divBdr>
        <w:top w:val="none" w:sz="0" w:space="0" w:color="auto"/>
        <w:left w:val="none" w:sz="0" w:space="0" w:color="auto"/>
        <w:bottom w:val="none" w:sz="0" w:space="0" w:color="auto"/>
        <w:right w:val="none" w:sz="0" w:space="0" w:color="auto"/>
      </w:divBdr>
    </w:div>
    <w:div w:id="1028676973">
      <w:bodyDiv w:val="1"/>
      <w:marLeft w:val="0"/>
      <w:marRight w:val="0"/>
      <w:marTop w:val="0"/>
      <w:marBottom w:val="0"/>
      <w:divBdr>
        <w:top w:val="none" w:sz="0" w:space="0" w:color="auto"/>
        <w:left w:val="none" w:sz="0" w:space="0" w:color="auto"/>
        <w:bottom w:val="none" w:sz="0" w:space="0" w:color="auto"/>
        <w:right w:val="none" w:sz="0" w:space="0" w:color="auto"/>
      </w:divBdr>
    </w:div>
    <w:div w:id="1255939007">
      <w:bodyDiv w:val="1"/>
      <w:marLeft w:val="0"/>
      <w:marRight w:val="0"/>
      <w:marTop w:val="0"/>
      <w:marBottom w:val="0"/>
      <w:divBdr>
        <w:top w:val="none" w:sz="0" w:space="0" w:color="auto"/>
        <w:left w:val="none" w:sz="0" w:space="0" w:color="auto"/>
        <w:bottom w:val="none" w:sz="0" w:space="0" w:color="auto"/>
        <w:right w:val="none" w:sz="0" w:space="0" w:color="auto"/>
      </w:divBdr>
    </w:div>
    <w:div w:id="1311061037">
      <w:bodyDiv w:val="1"/>
      <w:marLeft w:val="0"/>
      <w:marRight w:val="0"/>
      <w:marTop w:val="0"/>
      <w:marBottom w:val="0"/>
      <w:divBdr>
        <w:top w:val="none" w:sz="0" w:space="0" w:color="auto"/>
        <w:left w:val="none" w:sz="0" w:space="0" w:color="auto"/>
        <w:bottom w:val="none" w:sz="0" w:space="0" w:color="auto"/>
        <w:right w:val="none" w:sz="0" w:space="0" w:color="auto"/>
      </w:divBdr>
    </w:div>
    <w:div w:id="1350836857">
      <w:bodyDiv w:val="1"/>
      <w:marLeft w:val="0"/>
      <w:marRight w:val="0"/>
      <w:marTop w:val="0"/>
      <w:marBottom w:val="0"/>
      <w:divBdr>
        <w:top w:val="none" w:sz="0" w:space="0" w:color="auto"/>
        <w:left w:val="none" w:sz="0" w:space="0" w:color="auto"/>
        <w:bottom w:val="none" w:sz="0" w:space="0" w:color="auto"/>
        <w:right w:val="none" w:sz="0" w:space="0" w:color="auto"/>
      </w:divBdr>
      <w:divsChild>
        <w:div w:id="215434060">
          <w:marLeft w:val="0"/>
          <w:marRight w:val="0"/>
          <w:marTop w:val="0"/>
          <w:marBottom w:val="0"/>
          <w:divBdr>
            <w:top w:val="none" w:sz="0" w:space="0" w:color="auto"/>
            <w:left w:val="none" w:sz="0" w:space="0" w:color="auto"/>
            <w:bottom w:val="none" w:sz="0" w:space="0" w:color="auto"/>
            <w:right w:val="none" w:sz="0" w:space="0" w:color="auto"/>
          </w:divBdr>
        </w:div>
      </w:divsChild>
    </w:div>
    <w:div w:id="1514344084">
      <w:bodyDiv w:val="1"/>
      <w:marLeft w:val="0"/>
      <w:marRight w:val="0"/>
      <w:marTop w:val="0"/>
      <w:marBottom w:val="0"/>
      <w:divBdr>
        <w:top w:val="none" w:sz="0" w:space="0" w:color="auto"/>
        <w:left w:val="none" w:sz="0" w:space="0" w:color="auto"/>
        <w:bottom w:val="none" w:sz="0" w:space="0" w:color="auto"/>
        <w:right w:val="none" w:sz="0" w:space="0" w:color="auto"/>
      </w:divBdr>
    </w:div>
    <w:div w:id="1659266261">
      <w:bodyDiv w:val="1"/>
      <w:marLeft w:val="0"/>
      <w:marRight w:val="0"/>
      <w:marTop w:val="0"/>
      <w:marBottom w:val="0"/>
      <w:divBdr>
        <w:top w:val="none" w:sz="0" w:space="0" w:color="auto"/>
        <w:left w:val="none" w:sz="0" w:space="0" w:color="auto"/>
        <w:bottom w:val="none" w:sz="0" w:space="0" w:color="auto"/>
        <w:right w:val="none" w:sz="0" w:space="0" w:color="auto"/>
      </w:divBdr>
    </w:div>
    <w:div w:id="1965305258">
      <w:bodyDiv w:val="1"/>
      <w:marLeft w:val="0"/>
      <w:marRight w:val="0"/>
      <w:marTop w:val="0"/>
      <w:marBottom w:val="0"/>
      <w:divBdr>
        <w:top w:val="none" w:sz="0" w:space="0" w:color="auto"/>
        <w:left w:val="none" w:sz="0" w:space="0" w:color="auto"/>
        <w:bottom w:val="none" w:sz="0" w:space="0" w:color="auto"/>
        <w:right w:val="none" w:sz="0" w:space="0" w:color="auto"/>
      </w:divBdr>
    </w:div>
    <w:div w:id="2069112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data.europa.eu/eli/dir/2004/109/oj" TargetMode="External"/><Relationship Id="rId2" Type="http://schemas.openxmlformats.org/officeDocument/2006/relationships/hyperlink" Target="http://data.europa.eu/eli/dir/2022/2464/oj" TargetMode="External"/><Relationship Id="rId1" Type="http://schemas.openxmlformats.org/officeDocument/2006/relationships/hyperlink" Target="https://ec.europa.eu/info/law/better-regulation/have-your-say/initiatives/13990-Administrative-burden-rationalisation-of-reporting-requirements_s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697B7BFF882854783B2AFEB81A9CCE9" ma:contentTypeVersion="7" ma:contentTypeDescription="Create a new document." ma:contentTypeScope="" ma:versionID="f73c37285628b2366a89f641e7689f71">
  <xsd:schema xmlns:xsd="http://www.w3.org/2001/XMLSchema" xmlns:xs="http://www.w3.org/2001/XMLSchema" xmlns:p="http://schemas.microsoft.com/office/2006/metadata/properties" xmlns:ns2="9a9637e9-1c11-4ee9-91b8-f060e3608fb2" xmlns:ns3="4af8c89d-4332-4d32-84a3-abf4120a8008" targetNamespace="http://schemas.microsoft.com/office/2006/metadata/properties" ma:root="true" ma:fieldsID="d0c70d7dd3deae9a87ba71169aedc48e" ns2:_="" ns3:_="">
    <xsd:import namespace="9a9637e9-1c11-4ee9-91b8-f060e3608fb2"/>
    <xsd:import namespace="4af8c89d-4332-4d32-84a3-abf4120a800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9637e9-1c11-4ee9-91b8-f060e3608f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f8c89d-4332-4d32-84a3-abf4120a800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7A273-EA73-454C-9DAA-DC2DF2A57282}">
  <ds:schemaRefs>
    <ds:schemaRef ds:uri="http://schemas.microsoft.com/sharepoint/v3/contenttype/forms"/>
  </ds:schemaRefs>
</ds:datastoreItem>
</file>

<file path=customXml/itemProps2.xml><?xml version="1.0" encoding="utf-8"?>
<ds:datastoreItem xmlns:ds="http://schemas.openxmlformats.org/officeDocument/2006/customXml" ds:itemID="{44AF1348-560B-47F8-B8B1-BFEBDD1CC3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9637e9-1c11-4ee9-91b8-f060e3608fb2"/>
    <ds:schemaRef ds:uri="4af8c89d-4332-4d32-84a3-abf4120a8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17BDEE-200C-44B5-AFCE-EBB038138D0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DF78909-8334-44C4-B14D-FA3CA0461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0</TotalTime>
  <Pages>8</Pages>
  <Words>8160</Words>
  <Characters>46512</Characters>
  <Application>Microsoft Office Word</Application>
  <DocSecurity>0</DocSecurity>
  <Lines>387</Lines>
  <Paragraphs>109</Paragraphs>
  <ScaleCrop>false</ScaleCrop>
  <Manager/>
  <Company/>
  <LinksUpToDate>false</LinksUpToDate>
  <CharactersWithSpaces>54563</CharactersWithSpaces>
  <SharedDoc>false</SharedDoc>
  <HLinks>
    <vt:vector size="18" baseType="variant">
      <vt:variant>
        <vt:i4>4325405</vt:i4>
      </vt:variant>
      <vt:variant>
        <vt:i4>6</vt:i4>
      </vt:variant>
      <vt:variant>
        <vt:i4>0</vt:i4>
      </vt:variant>
      <vt:variant>
        <vt:i4>5</vt:i4>
      </vt:variant>
      <vt:variant>
        <vt:lpwstr>http://data.europa.eu/eli/dir/2004/109/oj</vt:lpwstr>
      </vt:variant>
      <vt:variant>
        <vt:lpwstr/>
      </vt:variant>
      <vt:variant>
        <vt:i4>6422639</vt:i4>
      </vt:variant>
      <vt:variant>
        <vt:i4>3</vt:i4>
      </vt:variant>
      <vt:variant>
        <vt:i4>0</vt:i4>
      </vt:variant>
      <vt:variant>
        <vt:i4>5</vt:i4>
      </vt:variant>
      <vt:variant>
        <vt:lpwstr>http://data.europa.eu/eli/dir/2022/2464/oj</vt:lpwstr>
      </vt:variant>
      <vt:variant>
        <vt:lpwstr/>
      </vt:variant>
      <vt:variant>
        <vt:i4>4653104</vt:i4>
      </vt:variant>
      <vt:variant>
        <vt:i4>0</vt:i4>
      </vt:variant>
      <vt:variant>
        <vt:i4>0</vt:i4>
      </vt:variant>
      <vt:variant>
        <vt:i4>5</vt:i4>
      </vt:variant>
      <vt:variant>
        <vt:lpwstr>https://ec.europa.eu/info/law/better-regulation/have-your-say/initiatives/13990-Administrative-burden-rationalisation-of-reporting-requirements_en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2025-02-26T11:39:00Z</dcterms:created>
  <dcterms:modified xsi:type="dcterms:W3CDTF">2025-03-12T18:53:00Z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 edited using">
    <vt:lpwstr>LW 9.1, Build 20240808</vt:lpwstr>
  </property>
  <property fmtid="{D5CDD505-2E9C-101B-9397-08002B2CF9AE}" pid="3" name="MSIP_Label_6bd9ddd1-4d20-43f6-abfa-fc3c07406f94_Enabled">
    <vt:lpwstr>true</vt:lpwstr>
  </property>
  <property fmtid="{D5CDD505-2E9C-101B-9397-08002B2CF9AE}" pid="4" name="MSIP_Label_6bd9ddd1-4d20-43f6-abfa-fc3c07406f94_SetDate">
    <vt:lpwstr>2025-02-21T15:51:21Z</vt:lpwstr>
  </property>
  <property fmtid="{D5CDD505-2E9C-101B-9397-08002B2CF9AE}" pid="5" name="MSIP_Label_6bd9ddd1-4d20-43f6-abfa-fc3c07406f94_Method">
    <vt:lpwstr>Standard</vt:lpwstr>
  </property>
  <property fmtid="{D5CDD505-2E9C-101B-9397-08002B2CF9AE}" pid="6" name="MSIP_Label_6bd9ddd1-4d20-43f6-abfa-fc3c07406f94_Name">
    <vt:lpwstr>Commission Use</vt:lpwstr>
  </property>
  <property fmtid="{D5CDD505-2E9C-101B-9397-08002B2CF9AE}" pid="7" name="MSIP_Label_6bd9ddd1-4d20-43f6-abfa-fc3c07406f94_SiteId">
    <vt:lpwstr>b24c8b06-522c-46fe-9080-70926f8dddb1</vt:lpwstr>
  </property>
  <property fmtid="{D5CDD505-2E9C-101B-9397-08002B2CF9AE}" pid="8" name="MSIP_Label_6bd9ddd1-4d20-43f6-abfa-fc3c07406f94_ActionId">
    <vt:lpwstr>03b77c0d-8107-46a8-bc38-8266399f79f7</vt:lpwstr>
  </property>
  <property fmtid="{D5CDD505-2E9C-101B-9397-08002B2CF9AE}" pid="9" name="MSIP_Label_6bd9ddd1-4d20-43f6-abfa-fc3c07406f94_ContentBits">
    <vt:lpwstr>0</vt:lpwstr>
  </property>
  <property fmtid="{D5CDD505-2E9C-101B-9397-08002B2CF9AE}" pid="10" name="ContentTypeId">
    <vt:lpwstr>0x0101007697B7BFF882854783B2AFEB81A9CCE9</vt:lpwstr>
  </property>
  <property fmtid="{D5CDD505-2E9C-101B-9397-08002B2CF9AE}" pid="11" name="Category">
    <vt:lpwstr>COM/PL/ORG</vt:lpwstr>
  </property>
  <property fmtid="{D5CDD505-2E9C-101B-9397-08002B2CF9AE}" pid="12" name="Level of sensitivity">
    <vt:lpwstr>Standard treatment</vt:lpwstr>
  </property>
  <property fmtid="{D5CDD505-2E9C-101B-9397-08002B2CF9AE}" pid="13" name="Part">
    <vt:lpwstr>1</vt:lpwstr>
  </property>
  <property fmtid="{D5CDD505-2E9C-101B-9397-08002B2CF9AE}" pid="14" name="Total parts">
    <vt:lpwstr>1</vt:lpwstr>
  </property>
  <property fmtid="{D5CDD505-2E9C-101B-9397-08002B2CF9AE}" pid="15" name="LWTemplateID">
    <vt:lpwstr>SJ-024</vt:lpwstr>
  </property>
  <property fmtid="{D5CDD505-2E9C-101B-9397-08002B2CF9AE}" pid="16" name="DQCStatus">
    <vt:lpwstr>Green (DQC version 03)</vt:lpwstr>
  </property>
</Properties>
</file>