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872AED" w14:textId="37676D57" w:rsidR="00475F70" w:rsidRPr="000066F3" w:rsidRDefault="00F61864" w:rsidP="00F61864">
      <w:pPr>
        <w:pStyle w:val="Pagedecouverture"/>
        <w:rPr>
          <w:noProof/>
        </w:rPr>
      </w:pPr>
      <w:bookmarkStart w:id="0" w:name="LW_BM_COVERPAGE"/>
      <w:r>
        <w:rPr>
          <w:noProof/>
        </w:rPr>
        <w:pict w14:anchorId="4E77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83402CC0-57FA-47B5-AD08-AEFA68C6E4F4" style="width:455.25pt;height:324pt">
            <v:imagedata r:id="rId7" o:title=""/>
          </v:shape>
        </w:pict>
      </w:r>
    </w:p>
    <w:bookmarkEnd w:id="0"/>
    <w:p w14:paraId="65B57D2D" w14:textId="77777777" w:rsidR="00AF4E0D" w:rsidRPr="000066F3" w:rsidRDefault="00AF4E0D" w:rsidP="00AF4E0D">
      <w:pPr>
        <w:rPr>
          <w:noProof/>
          <w:lang w:val="en-IE"/>
        </w:rPr>
        <w:sectPr w:rsidR="00AF4E0D" w:rsidRPr="000066F3" w:rsidSect="00F61864">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9" w:footer="709" w:gutter="0"/>
          <w:pgNumType w:start="0"/>
          <w:cols w:space="720"/>
          <w:docGrid w:linePitch="360"/>
        </w:sectPr>
      </w:pPr>
    </w:p>
    <w:p w14:paraId="1886B73E" w14:textId="77777777" w:rsidR="00475F70" w:rsidRPr="000066F3" w:rsidRDefault="00475F70" w:rsidP="00475F70">
      <w:pPr>
        <w:spacing w:after="240" w:line="240" w:lineRule="auto"/>
        <w:jc w:val="both"/>
        <w:rPr>
          <w:rFonts w:ascii="Times New Roman" w:eastAsia="Calibri" w:hAnsi="Times New Roman" w:cs="Times New Roman"/>
          <w:b/>
          <w:bCs/>
          <w:noProof/>
          <w:sz w:val="24"/>
          <w:szCs w:val="24"/>
        </w:rPr>
      </w:pPr>
      <w:bookmarkStart w:id="1" w:name="_GoBack"/>
      <w:bookmarkEnd w:id="1"/>
      <w:r>
        <w:rPr>
          <w:rFonts w:ascii="Times New Roman" w:hAnsi="Times New Roman"/>
          <w:b/>
          <w:noProof/>
          <w:sz w:val="24"/>
        </w:rPr>
        <w:lastRenderedPageBreak/>
        <w:t>1. UVOD</w:t>
      </w:r>
    </w:p>
    <w:p w14:paraId="323EB105" w14:textId="5DFB00C0" w:rsidR="00BA2AB5" w:rsidRPr="000066F3" w:rsidRDefault="00577C3C" w:rsidP="00BA2AB5">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Evropa se sooča z resno grožnjo, ki postaja vse večja. Mir lahko zagotovimo le tako, da se pripravimo na odvračanje tistih, ki nam želijo škodovati. Imamo trdne temelje na številnih področjih, kot so naš potencial za sprostitev ogromnih virov ter skrite tehnološke in industrijske moči. Po drugi strani pa imamo v tem trenutku zaradi desetletij nezadostnih naložb oslabljeno obrambno pripravljenost. </w:t>
      </w:r>
    </w:p>
    <w:p w14:paraId="2A19DE6A" w14:textId="7865899C" w:rsidR="00BA2AB5" w:rsidRPr="000066F3" w:rsidRDefault="00BA2AB5" w:rsidP="00BA2AB5">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Našo celino trenutno pestijo vojna, agresija in druga sovražna dejanja. Evropska unija ima ogromno bogastvo in proizvodno moč ter trdno verjame v pomen demokratičnih vrednot, ki so skupne vsem državam članicam, vendar je prisiljena ukrepati zaradi zunanjih akterjev, ki mobilizirajo svoje vire in učinkoviteje uporabljajo tehnologijo za doseganje svojih ciljev. Ti neposredno ogrožajo naš način življenja in možnost, da z demokratičnimi procesi odločamo o svoji prihodnosti. Prepričani so, da politično nismo sposobni pripraviti odločnega odgovora in trajne strategije.</w:t>
      </w:r>
    </w:p>
    <w:p w14:paraId="3D765AEE" w14:textId="5AB512C7" w:rsidR="00BA2AB5" w:rsidRPr="000066F3" w:rsidRDefault="00BA2AB5" w:rsidP="00BA2AB5">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Mednarodni red doživlja spremembe, kakršnih ni bilo že od leta 1945. Te spremembe so še zlasti korenite v Evropi zaradi njene osrednje vloge pri glavnih geopolitičnih izzivih prejšnjega stoletja. Politično ravnovesje, ki je nastalo po koncu druge svetovne vojne in nato po koncu hladne vojne, se je močno zamajalo. Toda ne glede na to, koliko se nam morda toži po teh starih časih, se moramo sprijazniti s tem, da se ne bodo vrnili. Ohranjanje mednarodnega reda, ki temelji na pravilih, bo še naprej izjemno pomembno, saj je to v našem interesu, hkrati pa tudi odraža naše vrednote. Toda v drugi polovici tega desetletja in pozneje se bo vzpostavil nov mednarodni red. Če tega reda ne bomo oblikovali, tako v naši regiji kot zunaj nje, bomo le pasivno sprejeli izid tega tekmovanja med državami z vsemi negativnimi posledicami, ki bi jih to lahko prineslo, vključno z realno možnostjo obsežne vojne. Zgodovina nam neukrepanja ne bo odpustila.</w:t>
      </w:r>
    </w:p>
    <w:p w14:paraId="008B2ED0" w14:textId="77777777" w:rsidR="00BA2AB5" w:rsidRPr="000066F3" w:rsidRDefault="00BA2AB5" w:rsidP="00BA2AB5">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V tem kontekstu je Evropa pred temeljno odločitvijo o svoji prihodnosti. Ali se želi le prebiti skozi prihodnja leta ter se pri tem postopoma in previdno poskušati prilagoditi novim izzivom? Ali pa želi odločati o svoji prihodnosti brez prisile in agresije ter s tem zagotoviti, da bo prebivalstvo Evrope živelo v varnosti, miru, demokraciji in blaginji? Če se bomo na ta trenutek odzvali odločno, s skupnimi ukrepi in jasno strategijo, bomo okrepili svoj položaj v svetu in obnovili naša mednarodna zavezništva na bolj trajnostni podlagi. Omogočili bomo prenovo evropskega projekta ter izboljšali varnost, blaginjo in dobrobit naših državljanov. Če pa nadaljujemo na enak način kot doslej, bomo na koncu oslabljeni, razdeljeni in ranljivi. </w:t>
      </w:r>
    </w:p>
    <w:p w14:paraId="768F8693" w14:textId="20B4AA19" w:rsidR="00BA2AB5" w:rsidRPr="000066F3" w:rsidRDefault="00BA2AB5" w:rsidP="00BA2AB5">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Nato in Evropska unija sta pomembno prispevala k naši varnosti. V zadnjih letih smo sodelovanje še okrepili, da bi se odzvali na grožnje, s katerimi se soočamo, toda v prihodnjih letih to ne bo dovolj. Evropa mora storiti veliko več, če želi ponovno vzpostaviti verodostojno odvračanje in zagotoviti varnost, od katere je odvisna naša blaginja. V ta namen morajo vse države članice delovati solidarno in vlagati v našo kolektivno obrambo.</w:t>
      </w:r>
    </w:p>
    <w:p w14:paraId="7B2AAB43" w14:textId="6C19F482" w:rsidR="00BA2AB5" w:rsidRPr="000066F3" w:rsidRDefault="00B5018B" w:rsidP="00BA2AB5">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Prihodnost Ukrajine je bistvena za prihodnost Evrope kot celote. Od leta 2022 smo priča vsesplošni vojni visoke intenzivnosti na mejah Evropske unije, ki je terjala že več sto tisoč žrtev ter povzročila množično razseljevanje prebivalstva, ogromne gospodarske stroške ter namerno uničevanje ključnih energetskih sistemov in kulturne dediščine. Izid te vojne bo odločilnega pomena za našo skupno prihodnost v naslednjih desetletjih. </w:t>
      </w:r>
    </w:p>
    <w:p w14:paraId="2EF92A71" w14:textId="77777777" w:rsidR="00BA2AB5" w:rsidRPr="000066F3" w:rsidRDefault="00BA2AB5" w:rsidP="00BA2AB5">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Evropa se sooča tudi z drugimi vse večjimi grožnjami in varnostnimi izzivi – tako v svoji regiji kot tudi zunaj nje. Strateško tekmovanje v našem širšem sosedstvu, od Arktike do Baltskega </w:t>
      </w:r>
      <w:r>
        <w:rPr>
          <w:rFonts w:ascii="Times New Roman" w:hAnsi="Times New Roman"/>
          <w:noProof/>
          <w:sz w:val="24"/>
        </w:rPr>
        <w:lastRenderedPageBreak/>
        <w:t>morja, Bližnjega vzhoda in severne Afrike, se zaostruje. Nadnacionalni izzivi, kot so hitre tehnološke spremembe, migracije in podnebne spremembe, bi lahko močno obremenili naš politični in gospodarski sistem. Avtoritarne države, kot je Kitajska, si vse bolj prizadevajo, da bi uveljavile svoj vpliv in nadzor v našem gospodarstvu in družbi. Tudi tradicionalni zavezniki in partnerji, kot so Združene države Amerike, preusmerjajo svojo osredotočenost iz Evrope v druge regije sveta. Ta proces, na katerega smo bili že večkrat opozorjeni, se zdaj odvija hitreje, kot so mnogi pričakovali.</w:t>
      </w:r>
    </w:p>
    <w:p w14:paraId="27DE09B1" w14:textId="77777777" w:rsidR="00BA2AB5" w:rsidRPr="000066F3" w:rsidRDefault="00BA2AB5" w:rsidP="00BA2AB5">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Čas je, da se Evropa ponovno oboroži. Da bi razvili potrebne zmogljivosti in vojaško pripravljenost za verodostojno odvračanje oborožene agresije in varno prihodnost, je treba močno povečati evropske obrambne izdatke. Potrebno je učinkovitejše usklajevanje in usmerjanje med državami članicami kot kadar koli prej, pri čemer je treba upoštevati naše skupne prednosti in odpraviti pomanjkljivosti, ki izhajajo iz neusklajenih ukrepov.</w:t>
      </w:r>
    </w:p>
    <w:p w14:paraId="0C26A093" w14:textId="4236BB46" w:rsidR="00BA2AB5" w:rsidRPr="000066F3" w:rsidRDefault="00BA2AB5" w:rsidP="00BA2AB5">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Potrebujemo močnejšo in odpornejšo obrambno industrijsko bazo. Potrebujemo ekosistem tehnoloških inovacij, da bo lahko naša obrambna industrija dohajala spremembe na področju vojskovanja. Iz tega se moramo nekaj naučiti in ta spoznanja ekstrapolirati na morebiten večji konflikt v bližnji prihodnosti. Potrebujemo hitrejše in učinkovitejše javno naročanje. Najti moramo nove načine sodelovanja z zavezniki in partnerji, ki imajo enake cilje.</w:t>
      </w:r>
    </w:p>
    <w:p w14:paraId="40EACFA4" w14:textId="77777777" w:rsidR="00BA2AB5" w:rsidRPr="000066F3" w:rsidRDefault="00BA2AB5" w:rsidP="00BA2AB5">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Za obnovo evropske obrambe so najprej potrebne obsežne naložbe v daljšem časovnem obdobju. Skupaj moramo pospešiti delo na vseh področjih, da bi čim prej okrepili evropsko obrambno pripravljenost in zagotovili, da bo imela Evropa najpozneje do leta 2030 močno in zadostno obrambno držo, s čimer bomo tudi povečali svoj doprinos k čezatlantski varnosti. </w:t>
      </w:r>
    </w:p>
    <w:p w14:paraId="0B2C8ED0" w14:textId="20A97CD8" w:rsidR="00BA2AB5" w:rsidRPr="000066F3" w:rsidRDefault="00BA2AB5" w:rsidP="00BA2AB5">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Ta bela knjiga zagotavlja okvir za načrt za ponovno oborožitev Evrope ReArm Europe, ki utemeljuje potrebo po enkratnem povečanju evropskih naložb v obrambo. V njej so določeni potrebni ukrepi za obnovo evropske obrambe, podporo Ukrajini, odpravo pomanjkljivosti v kritičnih zmogljivostih ter vzpostavitev močne in konkurenčne obrambne industrijske baze. </w:t>
      </w:r>
    </w:p>
    <w:p w14:paraId="476F78EF" w14:textId="77777777" w:rsidR="00BA2AB5" w:rsidRPr="000066F3" w:rsidRDefault="00BA2AB5" w:rsidP="00BA2AB5">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Kratkoročno so v tej beli knjigi določene konkretne možnosti za sodelovanje med državami članicami, da bi čim prej obnovile zaloge streliva, orožja in vojaške opreme. To je bistvenega pomena tudi za ohranitev in okrepitev vojaške podpore Ukrajini. Bela knjiga navaja, da je podpora Ukrajini prva in najnujnejša naloga evropske obrambe. Ukrajina je trenutno na čelu evropske obrambe in se upira vojni agresiji, za katero stoji največja grožnja naši skupni varnosti. </w:t>
      </w:r>
    </w:p>
    <w:p w14:paraId="1A7F4B95" w14:textId="77777777" w:rsidR="00BA2AB5" w:rsidRPr="000066F3" w:rsidRDefault="00BA2AB5" w:rsidP="00BA2AB5">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Knjiga srednje- in dolgoročno opozarja na več področij kritičnih zmogljivosti, na katerih so države članice že ugotovile vrzeli v okviru pobud glede prednostnih nalog EU in Nata na področju zmogljivosti. Predlaga, naj države članice čim prej združijo moči za odpravo teh vrzeli, tudi s sklopom obrambnih projektov skupnega evropskega interesa, ki bi jih opredelile države članice in ki bi bili upravičeni do spodbud EU. Tako bo podpora EU za skupni razvoj zmogljivosti državam članicam EU v Natu omogočila hitrejše in bolj gospodarno doseganje ciljev zmogljivosti ter večjo interoperabilnost že od samega začetka. V beli knjigi so predlagane tudi smernice za okrepitev evropske obrambne tehnološko-industrijske baze, spodbujanje raziskav in vzpostavitev trga EU za obrambno opremo. </w:t>
      </w:r>
    </w:p>
    <w:p w14:paraId="4237B5C5" w14:textId="50F4E060" w:rsidR="00665FDB" w:rsidRPr="00C147CB" w:rsidRDefault="00665FDB" w:rsidP="00475F70">
      <w:pPr>
        <w:spacing w:after="240" w:line="240" w:lineRule="auto"/>
        <w:jc w:val="both"/>
        <w:rPr>
          <w:rFonts w:ascii="Times New Roman" w:eastAsia="Calibri" w:hAnsi="Times New Roman" w:cs="Times New Roman"/>
          <w:noProof/>
          <w:sz w:val="24"/>
          <w:szCs w:val="24"/>
        </w:rPr>
      </w:pPr>
    </w:p>
    <w:p w14:paraId="14F60DE2" w14:textId="77777777" w:rsidR="00475F70" w:rsidRPr="000066F3" w:rsidRDefault="00475F70" w:rsidP="00475F70">
      <w:pPr>
        <w:rPr>
          <w:rFonts w:ascii="Times New Roman" w:eastAsia="Times New Roman" w:hAnsi="Times New Roman" w:cs="Times New Roman"/>
          <w:noProof/>
          <w:sz w:val="24"/>
          <w:szCs w:val="24"/>
        </w:rPr>
      </w:pPr>
      <w:r>
        <w:rPr>
          <w:rFonts w:ascii="Times New Roman" w:hAnsi="Times New Roman"/>
          <w:b/>
          <w:noProof/>
          <w:sz w:val="24"/>
        </w:rPr>
        <w:t>2. HITRO SLABŠANJE STRATEŠKIH RAZMER</w:t>
      </w:r>
    </w:p>
    <w:p w14:paraId="3E7F64F4" w14:textId="5E2D54F4" w:rsidR="00475F70" w:rsidRPr="000066F3" w:rsidRDefault="00475F70" w:rsidP="00475F70">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Grožnje evropski varnosti se množijo in resno ogrožajo naš način življenja. Kako nevarno je varnostno okolje, v katerem delujemo, smo se vse bolj zavedali, še preden je Rusija leta 2022 napadla Ukrajino. To je vplivalo na naš politični sistem, hkrati pa je imelo negativen učinek tudi na gospodarsko rast, saj se ljudje bojijo posledic razpada mednarodnega reda zaradi ravnanja sovražnih akterjev.</w:t>
      </w:r>
    </w:p>
    <w:p w14:paraId="3850B3EA" w14:textId="7FC3DA1F" w:rsidR="00475F70" w:rsidRPr="000066F3" w:rsidRDefault="00475F70" w:rsidP="00475F70">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Prvič, Evropska unija je zaradi geografske lege in zgodovine ranljiva za nekatere vrste izzivov v širšem evropskem sosedstvu. Zaradi bližine Severne Afrike in Bližnjega vzhoda segajo v Evropo posledice vojn, migracij in podnebnih sprememb, ki so prizadele te regije. Na severu postaja Arktika novo prizorišče geopolitične tekme. Na drugi strani Atlantika so Združene države Amerike, ki so bile tradicionalno naše močne zaveznice, jasno izrazile svoje prepričanje, da so preveč vpletene v Evropo in da morajo za ponovno uravnoteženje zmanjšati svojo zgodovinsko vlogo glavnega poroka varnosti. </w:t>
      </w:r>
    </w:p>
    <w:p w14:paraId="0B12F898" w14:textId="1793E195" w:rsidR="00475F70" w:rsidRPr="000066F3" w:rsidRDefault="00475F70" w:rsidP="00475F70">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Drugič, obstaja širok nabor različnih vrst varnostnih groženj, ki so vse bolj povezane med seboj in razširjene. Te vključujejo primere terorizma in nasilnega ekstremizma, hibridne napade, dejanja mednarodnih organiziranih kriminalnih združb in mreže kibernetskih kriminalcev. Dokazov o povezavah med temi skupinami in sovražnimi državnimi akterji je vse več, kar omogočajo nove tehnologije, ki zlahka presegajo meje. </w:t>
      </w:r>
    </w:p>
    <w:p w14:paraId="71D797DD" w14:textId="11458815" w:rsidR="00475F70" w:rsidRPr="000066F3" w:rsidRDefault="00475F70" w:rsidP="00475F70">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Tretjič, eden od razlikovalnih dejavnikov tega novega obdobja je, v kolikšni meri so ti varnostni izzivi strateške narave, zaradi česar zahtevajo strateški odziv. Rusija na primer predstavlja veliko strateško grožnjo na bojišču. Evropo in naše partnerje je prisilila, da se soočimo z realnostjo velike mehanizirane vojne visoke intenzivnosti na evropski celini, in to v obsegu, kakršnega ni bilo že od leta 1945. Rusija – ki je že tako ali tako daleč najbolj oborožena evropska država – zdaj vodi vojno gospodarstvo, osredotočeno predvsem na uresničevanje njenih vojnih ciljev, ki temelji na industrijski mobilizaciji in tehnoloških inovacijah. </w:t>
      </w:r>
    </w:p>
    <w:p w14:paraId="76E9DF69" w14:textId="27811D7C" w:rsidR="00475F70" w:rsidRPr="000066F3" w:rsidRDefault="00475F70" w:rsidP="00475F70">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Podobne strateške narave so tudi varnostne posledice vzpona Kitajske. Izziv, ki ga predstavlja Kitajska, je sistematičen, saj temelji na povsem drugačnem – avtoritarnem in nedemokratičnem – vladnem sistemu kot EU. Je pa tudi sistemski, saj je povezan s pristopom Kitajske k trgovini, naložbam in tehnologiji, s čimer poskuša doseči prednost, v nekaterih primerih pa tudi prevlado. </w:t>
      </w:r>
    </w:p>
    <w:p w14:paraId="052CAF2B" w14:textId="7CCD0318" w:rsidR="00475F70" w:rsidRPr="000066F3" w:rsidRDefault="00475F70" w:rsidP="00475F70">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V času, ko je groženj vse več, sistemska konkurenca pa narašča, se mora Evropa odzvati strateško. Pri tem moramo izkoristiti prednosti Evropske unije, hkrati pa tudi obravnavati področja konkurenčnih slabosti, kot je naša sposobnost, da določimo jasno pot naprej. V nasprotnem primeru bo Evropa manj zmožna odločati o svoji prihodnosti ter bo pod vse večjim vplivom velikih gospodarskih, tehnoloških in vojaških blokov, ki si prizadevajo pridobiti prednost pred nami.</w:t>
      </w:r>
    </w:p>
    <w:p w14:paraId="1E48A704" w14:textId="48BB4D3D" w:rsidR="00475F70" w:rsidRPr="000066F3" w:rsidRDefault="00475F70" w:rsidP="00475F70">
      <w:pPr>
        <w:spacing w:after="240" w:line="240" w:lineRule="auto"/>
        <w:jc w:val="both"/>
        <w:rPr>
          <w:rFonts w:ascii="Times New Roman" w:eastAsia="Times New Roman" w:hAnsi="Times New Roman" w:cs="Times New Roman"/>
          <w:bCs/>
          <w:noProof/>
          <w:sz w:val="24"/>
          <w:szCs w:val="24"/>
        </w:rPr>
      </w:pPr>
      <w:r>
        <w:rPr>
          <w:rFonts w:ascii="Times New Roman" w:hAnsi="Times New Roman"/>
          <w:noProof/>
          <w:sz w:val="24"/>
        </w:rPr>
        <w:t>Kratkoročno se o prihodnosti Evrope odloča na bojiščih v Ukrajini. Glede na trenutni potek dogodkov se bodo izzivi, s katerimi se soočamo, srednje- in dolgoročno samo še zaostrovali. Preostali del sveta tekmuje v vojaški modernizaciji ter si prizadeva za tehnološko in gospodarsko prednost. Tekma se stopnjuje, Evropa pa še ni pripravila popolnoma usklajenega odziva, ki bi odražal resnost situacije.</w:t>
      </w:r>
    </w:p>
    <w:p w14:paraId="643C063D" w14:textId="0B86EE19" w:rsidR="00475F70" w:rsidRPr="000066F3" w:rsidRDefault="00475F70" w:rsidP="00475F70">
      <w:pPr>
        <w:spacing w:line="240" w:lineRule="auto"/>
        <w:jc w:val="both"/>
        <w:rPr>
          <w:rFonts w:ascii="Times New Roman" w:eastAsia="Calibri" w:hAnsi="Times New Roman" w:cs="Times New Roman"/>
          <w:noProof/>
          <w:sz w:val="24"/>
          <w:szCs w:val="24"/>
        </w:rPr>
      </w:pPr>
      <w:r>
        <w:rPr>
          <w:rFonts w:ascii="Times New Roman" w:hAnsi="Times New Roman"/>
          <w:b/>
          <w:bCs/>
          <w:noProof/>
          <w:sz w:val="24"/>
        </w:rPr>
        <w:t>Rusija</w:t>
      </w:r>
      <w:r>
        <w:rPr>
          <w:rFonts w:ascii="Times New Roman" w:hAnsi="Times New Roman"/>
          <w:noProof/>
          <w:sz w:val="24"/>
        </w:rPr>
        <w:t xml:space="preserve"> bo ob podpori Belorusije, Demokratične ljudske republike Koreje in Irana še naprej krepila svoje vojno gospodarstvo. Poleg tega je znatno povečala svojo vojaško-industrijsko proizvodno zmogljivost, saj naj bi njeni obrambni izdatki v letu 2024 po ocenah znašali 40 % ruskega zveznega proračuna in do 9 % njenega BDP (v primerjavi s 6 % iz leta 2023). Pričakuje se, da bo Rusija do leta 2025 presegla obrambne izdatke držav članic v smislu paritete kupne moči. Poleg tega je Rusija jasno dala vedeti, da je po njenem razumevanju še vedno v vojni z Zahodom. Če bomo Rusiji dovolili, da doseže svoje cilje v Ukrajini, bodo njene ambicije po ozemlju še narasle. Rusija bo tudi v prihodnje predstavljala temeljno grožnjo evropski varnosti, tudi zaradi svoje agresivnejše drže glede jedrske oborožitve in nameščanja jedrskega orožja v Belorusiji. Rusija izkorišča mrežo sistemske nestabilnosti, zlasti s tesnim sodelovanjem z drugimi avtoritarnimi silami. Neprestano podpihuje napetosti in nestabilnost v evropskem sosedstvu, bodisi na Zahodnem Balkanu, v Gruziji, Moldaviji ali Armeniji, ter ima vse večji destabilizacijski vpliv v Afriki.</w:t>
      </w:r>
    </w:p>
    <w:p w14:paraId="6DC83E6E" w14:textId="5FFCBD1B" w:rsidR="00475F70" w:rsidRPr="000066F3" w:rsidRDefault="00475F70" w:rsidP="00475F70">
      <w:pPr>
        <w:spacing w:after="240" w:line="240" w:lineRule="auto"/>
        <w:jc w:val="both"/>
        <w:rPr>
          <w:rFonts w:ascii="Times New Roman" w:eastAsia="Times New Roman" w:hAnsi="Times New Roman" w:cs="Times New Roman"/>
          <w:noProof/>
          <w:sz w:val="24"/>
          <w:szCs w:val="24"/>
        </w:rPr>
      </w:pPr>
      <w:r>
        <w:rPr>
          <w:rFonts w:ascii="Times New Roman" w:hAnsi="Times New Roman"/>
          <w:b/>
          <w:bCs/>
          <w:noProof/>
          <w:sz w:val="24"/>
        </w:rPr>
        <w:t>Kitajska</w:t>
      </w:r>
      <w:r>
        <w:rPr>
          <w:rFonts w:ascii="Times New Roman" w:hAnsi="Times New Roman"/>
          <w:noProof/>
          <w:sz w:val="24"/>
        </w:rPr>
        <w:t xml:space="preserve"> je sicer ključna trgovinska partnerica EU, vendar povečuje obrambne izdatke, pri čemer je njena krepitev vojaških zmogljivosti premalo pregledna. Trenutno ima druge najvišje vojaške izdatke na svetu in presega vse druge vzhodnoazijske države skupaj. Hitro širi svoje vojaške zmogljivosti, vključno z jedrskimi, vesoljskimi in kibernetskimi zmogljivostmi. Ta premik bistveno spreminja strateško ravnovesje v indijsko-pacifiški regiji. Modernizacija kitajske vojaške in obrambne industrije je tako kvantitativna kot tudi kvalitativna. Kitajska krepi svoje politične, gospodarske, vojaške, kibernetske in kognitivne prisilne ukrepe proti Tajvanu, pri čemer se izogiba neposrednemu spopadu. Zaradi spreminjajočega se trenutnega stanja Tajvana se povečuje tveganje za večje motnje, ki bi imele hude gospodarske in strateške posledice za Evropo. Poleg tega dejanja Kitajske v Vzhodnokitajskem in Južnokitajskem morju destabilizirajo regijo, medtem ko njeno vse večje vojaško posredovanje v južnem Tihem in Indijskem oceanu vzbuja zaskrbljenost med evropskimi partnerji. </w:t>
      </w:r>
    </w:p>
    <w:p w14:paraId="360FEDDC" w14:textId="6D01218D" w:rsidR="00475F70" w:rsidRPr="000066F3" w:rsidRDefault="00475F70" w:rsidP="00475F70">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Geopolitična rivalstva podžigajo še večjo nestabilnost v več delih sveta, kar ne vpliva le na evropsko varnost, temveč ogroža tudi naše gospodarstvo. Na </w:t>
      </w:r>
      <w:r>
        <w:rPr>
          <w:rFonts w:ascii="Times New Roman" w:hAnsi="Times New Roman"/>
          <w:b/>
          <w:bCs/>
          <w:noProof/>
          <w:sz w:val="24"/>
        </w:rPr>
        <w:t>Bližnjem vzhodu</w:t>
      </w:r>
      <w:r>
        <w:rPr>
          <w:rFonts w:ascii="Times New Roman" w:hAnsi="Times New Roman"/>
          <w:noProof/>
          <w:sz w:val="24"/>
        </w:rPr>
        <w:t xml:space="preserve"> prekinitev ognja v Gazi in padec Asadovega režima v Siriji ponujata priložnosti za zmanjšanje regionalnih napetosti in končanje človeškega trpljenja. S tem bi lahko zmanjšali tudi gospodarsko negotovost in preprečili učinke prelivanja, tudi ob Rdečem morju. Neposredna povezava Irana z Rusijo, njegove vojaške ambicije, podpora pridruženim enotam in njegova vloga pri destabilizaciji regije še naprej resno ogrožajo evropsko varnost. Da bi se izognili ponovnim napetostim, bo treba pozorno spremljati nestabilne razmere v Izraelu/Palestini, Siriji in Libanonu. </w:t>
      </w:r>
    </w:p>
    <w:p w14:paraId="1C24D9FB" w14:textId="77777777" w:rsidR="00475F70" w:rsidRPr="000066F3" w:rsidRDefault="00475F70" w:rsidP="00475F70">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Konflikti, nestabilnost in vse večji nasilni ekstremizem v </w:t>
      </w:r>
      <w:r>
        <w:rPr>
          <w:rFonts w:ascii="Times New Roman" w:hAnsi="Times New Roman"/>
          <w:b/>
          <w:bCs/>
          <w:noProof/>
          <w:sz w:val="24"/>
        </w:rPr>
        <w:t>Afriki</w:t>
      </w:r>
      <w:r>
        <w:rPr>
          <w:rFonts w:ascii="Times New Roman" w:hAnsi="Times New Roman"/>
          <w:noProof/>
          <w:sz w:val="24"/>
        </w:rPr>
        <w:t xml:space="preserve">, tudi v Sahelu, Libiji in Sudanu, imajo neposredne posledice za evropsko varnost in gospodarstvo ter bodo še naprej povzročali nestabilnost. </w:t>
      </w:r>
    </w:p>
    <w:p w14:paraId="4CCB297B" w14:textId="55E49D88" w:rsidR="00475F70" w:rsidRPr="000066F3" w:rsidRDefault="00475F70" w:rsidP="00475F70">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Vse </w:t>
      </w:r>
      <w:r>
        <w:rPr>
          <w:rFonts w:ascii="Times New Roman" w:hAnsi="Times New Roman"/>
          <w:b/>
          <w:bCs/>
          <w:noProof/>
          <w:sz w:val="24"/>
        </w:rPr>
        <w:t>večje hibridne grožnje</w:t>
      </w:r>
      <w:r>
        <w:rPr>
          <w:rFonts w:ascii="Times New Roman" w:hAnsi="Times New Roman"/>
          <w:noProof/>
          <w:sz w:val="24"/>
        </w:rPr>
        <w:t xml:space="preserve"> vključujejo kibernetske napade, sabotažo, elektronsko motenje v globalnih navigacijskih in satelitskih sistemih, dezinformacijske kampanje ter politično in industrijsko vohunjenje, pa tudi uporabo migracij kot orožja. Sabotažne dejavnosti v Baltskem in Črnem morju so v porastu. Ogrožene so morske in pomorske dejavnosti ter z njim povezana promet in kritična podvodna infrastruktura. Vse bolj je ogrožena tudi svoboda delovanja Evrope v zraku in vesolju.</w:t>
      </w:r>
    </w:p>
    <w:p w14:paraId="29032F79" w14:textId="6D3CD18E" w:rsidR="00475F70" w:rsidRPr="000066F3" w:rsidRDefault="00475F70" w:rsidP="00475F70">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Geopolitična rivalstva niso povzročila le nove oboroževalne tekme, temveč tudi </w:t>
      </w:r>
      <w:r>
        <w:rPr>
          <w:rFonts w:ascii="Times New Roman" w:hAnsi="Times New Roman"/>
          <w:b/>
          <w:bCs/>
          <w:noProof/>
          <w:sz w:val="24"/>
        </w:rPr>
        <w:t>svetovno tehnološko tekmo</w:t>
      </w:r>
      <w:r>
        <w:rPr>
          <w:rFonts w:ascii="Times New Roman" w:hAnsi="Times New Roman"/>
          <w:noProof/>
          <w:sz w:val="24"/>
        </w:rPr>
        <w:t>. Tehnologija bo glavna značilnost tekmovanja v novem geopolitičnem okolju. Maloštevilne kritične in temeljne tehnologije, kot so umetna inteligenca, kvantna tehnologija, biotehnologija, robotika in hiperzvočna tehnologija, so ključni dejavniki za dolgoročno gospodarsko rast in vojaško prevlado. Spodbujanje inovacij na tem področju je ključnega pomena, zato je treba širjenje tehnologije v komercialne namene uskladiti z bolj togimi tehnološkimi ekosistemi, da bi uresničevali cilje nacionalne varnosti. Strateški konkurenti EU veliko vlagajo v to področje.</w:t>
      </w:r>
    </w:p>
    <w:p w14:paraId="7A40FBFC" w14:textId="77777777" w:rsidR="00475F70" w:rsidRPr="000066F3" w:rsidRDefault="00475F70" w:rsidP="00475F70">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Enako velja za zanesljivost oskrbe s </w:t>
      </w:r>
      <w:r>
        <w:rPr>
          <w:rFonts w:ascii="Times New Roman" w:hAnsi="Times New Roman"/>
          <w:b/>
          <w:bCs/>
          <w:noProof/>
          <w:sz w:val="24"/>
        </w:rPr>
        <w:t>kritičnimi surovinami</w:t>
      </w:r>
      <w:r>
        <w:rPr>
          <w:rFonts w:ascii="Times New Roman" w:hAnsi="Times New Roman"/>
          <w:noProof/>
          <w:sz w:val="24"/>
        </w:rPr>
        <w:t>, ki so bistvene za našo gospodarsko in industrijsko proizvodnjo, obrambne zmogljivosti in konkurenčnost. Te kritične surovine postajajo vse večji vzrok za konkurenco in konflikte ter so del politike moči, saj je pretirane odvisnosti mogoče izkoristiti. Če bi se na primer napetosti v Tajvanski ožini zaostrile, bi lahko EU ostala brez dostopa do ključnih materialov, kritičnih tehnologij in sestavnih delov.</w:t>
      </w:r>
    </w:p>
    <w:p w14:paraId="2A0FFA3E" w14:textId="77777777" w:rsidR="00475F70" w:rsidRDefault="00475F70" w:rsidP="00475F70">
      <w:pPr>
        <w:spacing w:after="360" w:line="240" w:lineRule="auto"/>
        <w:jc w:val="both"/>
        <w:rPr>
          <w:rFonts w:ascii="Times New Roman" w:eastAsia="Calibri" w:hAnsi="Times New Roman" w:cs="Times New Roman"/>
          <w:noProof/>
          <w:color w:val="000000" w:themeColor="text1"/>
          <w:sz w:val="24"/>
          <w:szCs w:val="24"/>
        </w:rPr>
      </w:pPr>
      <w:r>
        <w:rPr>
          <w:rFonts w:ascii="Times New Roman" w:hAnsi="Times New Roman"/>
          <w:noProof/>
          <w:sz w:val="24"/>
        </w:rPr>
        <w:t>V neusmiljenem svetu hiperkonkurenčne in transakcijske geopolitike, ki zajema različna območja, se mora biti EU sposobna učinkovito zoperstaviti vsem izzivom in biti pripravljena, tudi na najskrajnejše nepredvidene vojaške dogodke, kot je oborožena agresija.</w:t>
      </w:r>
      <w:r>
        <w:rPr>
          <w:rFonts w:ascii="Times New Roman" w:hAnsi="Times New Roman"/>
          <w:noProof/>
          <w:color w:val="000000" w:themeColor="text1"/>
          <w:sz w:val="24"/>
        </w:rPr>
        <w:t xml:space="preserve"> </w:t>
      </w:r>
    </w:p>
    <w:p w14:paraId="3AECF1E8" w14:textId="77777777" w:rsidR="00242F7F" w:rsidRPr="00C147CB" w:rsidRDefault="00242F7F" w:rsidP="00471147">
      <w:pPr>
        <w:spacing w:after="240" w:line="240" w:lineRule="auto"/>
        <w:jc w:val="both"/>
        <w:rPr>
          <w:rFonts w:ascii="Times New Roman" w:eastAsia="Times New Roman" w:hAnsi="Times New Roman" w:cs="Times New Roman"/>
          <w:noProof/>
          <w:color w:val="000000" w:themeColor="text1"/>
          <w:sz w:val="24"/>
          <w:szCs w:val="24"/>
        </w:rPr>
      </w:pPr>
    </w:p>
    <w:p w14:paraId="41FFF490" w14:textId="77777777" w:rsidR="00475F70" w:rsidRPr="000066F3" w:rsidRDefault="00475F70" w:rsidP="00471147">
      <w:pPr>
        <w:keepNext/>
        <w:spacing w:line="240" w:lineRule="auto"/>
        <w:rPr>
          <w:rFonts w:ascii="Times New Roman" w:eastAsia="Calibri" w:hAnsi="Times New Roman" w:cs="Times New Roman"/>
          <w:b/>
          <w:bCs/>
          <w:noProof/>
          <w:sz w:val="24"/>
          <w:szCs w:val="24"/>
        </w:rPr>
      </w:pPr>
      <w:r>
        <w:rPr>
          <w:rFonts w:ascii="Times New Roman" w:hAnsi="Times New Roman"/>
          <w:b/>
          <w:noProof/>
          <w:sz w:val="24"/>
        </w:rPr>
        <w:t xml:space="preserve">3. EVROPSKA PRIPRAVLJENOST 2030 </w:t>
      </w:r>
    </w:p>
    <w:p w14:paraId="6A78B784" w14:textId="255BB08C" w:rsidR="00475F70" w:rsidRPr="000066F3" w:rsidRDefault="00475F70" w:rsidP="00475F70">
      <w:pPr>
        <w:spacing w:line="240" w:lineRule="auto"/>
        <w:jc w:val="both"/>
        <w:rPr>
          <w:rFonts w:ascii="Times New Roman" w:eastAsia="Calibri" w:hAnsi="Times New Roman" w:cs="Times New Roman"/>
          <w:noProof/>
          <w:sz w:val="24"/>
          <w:szCs w:val="24"/>
        </w:rPr>
      </w:pPr>
      <w:r>
        <w:rPr>
          <w:rFonts w:ascii="Times New Roman" w:hAnsi="Times New Roman"/>
          <w:noProof/>
          <w:sz w:val="24"/>
        </w:rPr>
        <w:t xml:space="preserve">Glede na spremembe strateškega okolja je pomembno, da Evropa vzpostavi zadostno odvračilno zmogljivost, da bi preprečila morebitno vojno agresijo. </w:t>
      </w:r>
    </w:p>
    <w:p w14:paraId="1177AAC5" w14:textId="67595CAA" w:rsidR="00475F70" w:rsidRPr="000066F3" w:rsidRDefault="00475F70" w:rsidP="00475F70">
      <w:pPr>
        <w:spacing w:line="240" w:lineRule="auto"/>
        <w:jc w:val="both"/>
        <w:rPr>
          <w:rFonts w:ascii="Times New Roman" w:eastAsia="Calibri" w:hAnsi="Times New Roman" w:cs="Times New Roman"/>
          <w:noProof/>
          <w:sz w:val="24"/>
          <w:szCs w:val="24"/>
        </w:rPr>
      </w:pPr>
      <w:r>
        <w:rPr>
          <w:rFonts w:ascii="Times New Roman" w:hAnsi="Times New Roman"/>
          <w:noProof/>
          <w:sz w:val="24"/>
        </w:rPr>
        <w:t xml:space="preserve">Države članice bodo vedno ostale odgovorne za svoje vojaške enote – od doktrine do napotitve – in za opredeljevanje potreb svojih oboroženih sil. Poleg tega bo EU vedno delovala tako, da ne bo posegala v posebnosti varnostne in obrambne politike posameznih držav članic ter bo upoštevala varnostne in obrambne interese vseh držav članic. </w:t>
      </w:r>
    </w:p>
    <w:p w14:paraId="72F312D3" w14:textId="5268EF13" w:rsidR="003C5CCA" w:rsidRPr="000066F3" w:rsidRDefault="003C5CCA" w:rsidP="003C5CCA">
      <w:pPr>
        <w:spacing w:line="240" w:lineRule="auto"/>
        <w:jc w:val="both"/>
        <w:rPr>
          <w:rFonts w:ascii="Times New Roman" w:eastAsia="Calibri" w:hAnsi="Times New Roman" w:cs="Times New Roman"/>
          <w:noProof/>
          <w:sz w:val="24"/>
          <w:szCs w:val="24"/>
        </w:rPr>
      </w:pPr>
      <w:r>
        <w:rPr>
          <w:rFonts w:ascii="Times New Roman" w:hAnsi="Times New Roman"/>
          <w:noProof/>
          <w:sz w:val="24"/>
        </w:rPr>
        <w:t xml:space="preserve">Toda EU lahko stori veliko, da bi podprla in uskladila prizadevanja držav članic za okrepitev obrambne industrijske baze in splošne obrambne pripravljenosti EU, vključno z evropskimi prispevki k odvračanju in kolektivni obrambi v okviru Nata. EU bo z ustvarjanjem potrebnih pogojev za močno okrepitev naložb v obrambni sektor, zagotavljanjem potrebne predvidljivosti za industrijo in zmanjšanjem birokracije pomagala državam članicam, da bodo do leta 2030 v celoti pripravljene. </w:t>
      </w:r>
    </w:p>
    <w:p w14:paraId="36DF0F59" w14:textId="77777777" w:rsidR="00475F70" w:rsidRPr="00D11735" w:rsidRDefault="00475F70" w:rsidP="00D11735">
      <w:pPr>
        <w:spacing w:line="240" w:lineRule="auto"/>
        <w:jc w:val="both"/>
        <w:rPr>
          <w:rFonts w:ascii="Times New Roman" w:hAnsi="Times New Roman"/>
          <w:noProof/>
          <w:u w:color="000000"/>
        </w:rPr>
      </w:pPr>
      <w:r>
        <w:rPr>
          <w:rFonts w:ascii="Times New Roman" w:hAnsi="Times New Roman"/>
          <w:noProof/>
          <w:sz w:val="24"/>
          <w:u w:color="000000"/>
        </w:rPr>
        <w:t>EU dopolnjuje in povečuje prizadevanja posameznih držav članic. Ne glede na obliko, ki jo izberejo države članice, bo izvajanje skupnih projektov okrepilo usklajevanje, kar bo ustvarilo ekonomijo obsega in skrajšalo čas izvajanja. S tem se bo povečala proizvodna zmogljivost evropske obrambne industrije.</w:t>
      </w:r>
    </w:p>
    <w:p w14:paraId="265CA39F" w14:textId="77777777" w:rsidR="00475F70" w:rsidRPr="000066F3" w:rsidRDefault="00475F70" w:rsidP="00471147">
      <w:pPr>
        <w:keepNext/>
        <w:spacing w:line="240" w:lineRule="auto"/>
        <w:jc w:val="both"/>
        <w:rPr>
          <w:rFonts w:ascii="Times New Roman" w:eastAsia="Calibri" w:hAnsi="Times New Roman" w:cs="Times New Roman"/>
          <w:noProof/>
          <w:sz w:val="24"/>
          <w:szCs w:val="24"/>
        </w:rPr>
      </w:pPr>
      <w:r>
        <w:rPr>
          <w:rFonts w:ascii="Times New Roman" w:hAnsi="Times New Roman"/>
          <w:noProof/>
          <w:sz w:val="24"/>
        </w:rPr>
        <w:t xml:space="preserve">EU prinaša dodano vrednost s: </w:t>
      </w:r>
    </w:p>
    <w:p w14:paraId="4AFDDFE1" w14:textId="77777777" w:rsidR="00475F70" w:rsidRPr="000066F3" w:rsidRDefault="00475F70" w:rsidP="00475F70">
      <w:pPr>
        <w:pStyle w:val="ListParagraph"/>
        <w:numPr>
          <w:ilvl w:val="0"/>
          <w:numId w:val="5"/>
        </w:numPr>
        <w:spacing w:after="0"/>
        <w:jc w:val="both"/>
        <w:rPr>
          <w:rFonts w:ascii="Times New Roman" w:hAnsi="Times New Roman" w:cs="Times New Roman"/>
          <w:noProof/>
          <w:sz w:val="24"/>
          <w:szCs w:val="24"/>
        </w:rPr>
      </w:pPr>
      <w:r>
        <w:rPr>
          <w:rFonts w:ascii="Times New Roman" w:hAnsi="Times New Roman"/>
          <w:noProof/>
          <w:sz w:val="24"/>
        </w:rPr>
        <w:t xml:space="preserve">spodbujanjem tesnejšega sodelovanja in učinkovitega obsega evropske obrambne industrije pri razvoju, proizvodnji in trženju oborožitvenih sistemov, </w:t>
      </w:r>
    </w:p>
    <w:p w14:paraId="0882A1C5" w14:textId="1EA89C5F" w:rsidR="00475F70" w:rsidRPr="0090794D" w:rsidRDefault="00475F70" w:rsidP="00475F70">
      <w:pPr>
        <w:pStyle w:val="ListParagraph"/>
        <w:numPr>
          <w:ilvl w:val="0"/>
          <w:numId w:val="5"/>
        </w:numPr>
        <w:spacing w:after="0"/>
        <w:jc w:val="both"/>
        <w:rPr>
          <w:rFonts w:ascii="Times New Roman" w:hAnsi="Times New Roman" w:cs="Times New Roman"/>
          <w:noProof/>
          <w:sz w:val="24"/>
          <w:szCs w:val="24"/>
        </w:rPr>
      </w:pPr>
      <w:r>
        <w:rPr>
          <w:rFonts w:ascii="Times New Roman" w:hAnsi="Times New Roman"/>
          <w:noProof/>
          <w:sz w:val="24"/>
        </w:rPr>
        <w:t>spodbujanjem učinkovitosti, zamenljivosti in interoperabilnosti, znižanjem stroškov s preprečevanjem konkurenčne nabave in izboljšanjem kupne moči držav članic, ob hkratnem prispevanju k ustvarjanju stabilnosti in predvidljivosti z večletnim industrijskim povpraševanjem,</w:t>
      </w:r>
    </w:p>
    <w:p w14:paraId="1684ACAE" w14:textId="4583B4A4" w:rsidR="00475F70" w:rsidRPr="0090794D" w:rsidRDefault="00475F70" w:rsidP="00475F70">
      <w:pPr>
        <w:pStyle w:val="ListParagraph"/>
        <w:numPr>
          <w:ilvl w:val="0"/>
          <w:numId w:val="5"/>
        </w:numPr>
        <w:spacing w:after="0"/>
        <w:jc w:val="both"/>
        <w:rPr>
          <w:rFonts w:ascii="Times New Roman" w:hAnsi="Times New Roman" w:cs="Times New Roman"/>
          <w:noProof/>
          <w:sz w:val="24"/>
          <w:szCs w:val="24"/>
        </w:rPr>
      </w:pPr>
      <w:r>
        <w:rPr>
          <w:rFonts w:ascii="Times New Roman" w:hAnsi="Times New Roman"/>
          <w:noProof/>
          <w:sz w:val="24"/>
        </w:rPr>
        <w:t xml:space="preserve">podpiranjem infrastrukture za dvojno rabo za mobilnost ter vesoljske komunikacije in navigacijo ter opazovanje iz vesolja, </w:t>
      </w:r>
    </w:p>
    <w:p w14:paraId="7AE145D5" w14:textId="77777777" w:rsidR="00475F70" w:rsidRPr="000066F3" w:rsidRDefault="00475F70" w:rsidP="00475F70">
      <w:pPr>
        <w:pStyle w:val="ListParagraph"/>
        <w:numPr>
          <w:ilvl w:val="0"/>
          <w:numId w:val="5"/>
        </w:numPr>
        <w:spacing w:after="0"/>
        <w:jc w:val="both"/>
        <w:rPr>
          <w:rFonts w:ascii="Times New Roman" w:hAnsi="Times New Roman" w:cs="Times New Roman"/>
          <w:noProof/>
          <w:sz w:val="24"/>
          <w:szCs w:val="24"/>
        </w:rPr>
      </w:pPr>
      <w:r>
        <w:rPr>
          <w:rFonts w:ascii="Times New Roman" w:hAnsi="Times New Roman"/>
          <w:noProof/>
          <w:sz w:val="24"/>
        </w:rPr>
        <w:t>omogočanjem partnerstev.</w:t>
      </w:r>
    </w:p>
    <w:p w14:paraId="2F40E62E" w14:textId="77777777" w:rsidR="00475F70" w:rsidRPr="000066F3" w:rsidRDefault="00475F70" w:rsidP="00475F70">
      <w:pPr>
        <w:spacing w:line="240" w:lineRule="auto"/>
        <w:jc w:val="both"/>
        <w:rPr>
          <w:rFonts w:ascii="Times New Roman" w:eastAsia="Calibri" w:hAnsi="Times New Roman" w:cs="Times New Roman"/>
          <w:noProof/>
          <w:sz w:val="24"/>
          <w:szCs w:val="24"/>
          <w:lang w:val="en-IE"/>
        </w:rPr>
      </w:pPr>
    </w:p>
    <w:p w14:paraId="74BD6C76" w14:textId="1417333E" w:rsidR="008A118B" w:rsidRDefault="008A118B" w:rsidP="00475F70">
      <w:pPr>
        <w:spacing w:line="240" w:lineRule="auto"/>
        <w:jc w:val="both"/>
        <w:rPr>
          <w:rFonts w:ascii="Times New Roman" w:eastAsia="Calibri" w:hAnsi="Times New Roman" w:cs="Times New Roman"/>
          <w:noProof/>
          <w:sz w:val="24"/>
          <w:szCs w:val="24"/>
        </w:rPr>
      </w:pPr>
      <w:r>
        <w:rPr>
          <w:rFonts w:ascii="Times New Roman" w:hAnsi="Times New Roman"/>
          <w:noProof/>
          <w:sz w:val="24"/>
        </w:rPr>
        <w:t xml:space="preserve">Tej beli knjigi bosta sledili strategija za Unijo pripravljenosti, ki bo določila celovit pristop k pripravljenosti na konflikte in krize, ki upošteva vse nevarnosti, in strategija notranje varnosti EU, ki bo zagotovila celovit in enoten okvir za preprečevanje in odkrivanje varnostnih groženj ter učinkovito odzivanje nanje. </w:t>
      </w:r>
    </w:p>
    <w:p w14:paraId="6FA65B76" w14:textId="77777777" w:rsidR="00242F7F" w:rsidRPr="000066F3" w:rsidRDefault="00242F7F" w:rsidP="00475F70">
      <w:pPr>
        <w:spacing w:line="240" w:lineRule="auto"/>
        <w:jc w:val="both"/>
        <w:rPr>
          <w:rFonts w:ascii="Times New Roman" w:eastAsia="Calibri" w:hAnsi="Times New Roman" w:cs="Times New Roman"/>
          <w:noProof/>
          <w:sz w:val="24"/>
          <w:szCs w:val="24"/>
          <w:lang w:val="en-GB"/>
        </w:rPr>
      </w:pPr>
    </w:p>
    <w:p w14:paraId="67CB3878" w14:textId="77777777" w:rsidR="00475F70" w:rsidRPr="000066F3" w:rsidRDefault="00475F70" w:rsidP="00475F70">
      <w:pPr>
        <w:spacing w:after="240" w:line="240" w:lineRule="auto"/>
        <w:jc w:val="both"/>
        <w:rPr>
          <w:rFonts w:ascii="Times New Roman" w:eastAsia="Calibri" w:hAnsi="Times New Roman" w:cs="Times New Roman"/>
          <w:noProof/>
          <w:sz w:val="24"/>
          <w:szCs w:val="24"/>
        </w:rPr>
      </w:pPr>
      <w:bookmarkStart w:id="2" w:name="_Hlk193043568"/>
      <w:r>
        <w:rPr>
          <w:rFonts w:ascii="Times New Roman" w:hAnsi="Times New Roman"/>
          <w:b/>
          <w:noProof/>
          <w:sz w:val="24"/>
        </w:rPr>
        <w:t xml:space="preserve">4. </w:t>
      </w:r>
      <w:r>
        <w:rPr>
          <w:rFonts w:ascii="Times New Roman" w:hAnsi="Times New Roman"/>
          <w:b/>
          <w:caps/>
          <w:noProof/>
          <w:sz w:val="24"/>
        </w:rPr>
        <w:t>Odpravljanje VRZELI</w:t>
      </w:r>
      <w:r>
        <w:rPr>
          <w:rFonts w:ascii="Times New Roman" w:hAnsi="Times New Roman"/>
          <w:b/>
          <w:noProof/>
          <w:sz w:val="24"/>
        </w:rPr>
        <w:t xml:space="preserve"> </w:t>
      </w:r>
    </w:p>
    <w:p w14:paraId="7A42318D" w14:textId="4E5212AD" w:rsidR="00475F70" w:rsidRPr="000066F3" w:rsidRDefault="00475F70" w:rsidP="00475F70">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Da bi lahko verodostojno odvračale tujo oboroženo agresijo ter se spopadale s posledicami nestabilnosti in konfliktov, morajo imeti države članice EU potrebne zmogljivosti za opravljanje celotnega spektra vojaških nalog. Danes se države članice soočajo z vrzelmi v kritičnih zmogljivostih, ki vplivajo na izvajanje kompleksnih vojaških operacij v daljšem časovnem obdobju. Glede na hitro slabšanje geopolitičnih razmer in naraščajoče napetosti mora Evropa pridobiti potrebna sredstva v razumno kratkem roku. </w:t>
      </w:r>
    </w:p>
    <w:p w14:paraId="7146EC16" w14:textId="7DEFABB7" w:rsidR="00475F70" w:rsidRPr="000066F3" w:rsidRDefault="00475F70" w:rsidP="00475F70">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Za obnovo evropske obrambe so potrebni ukrepi na več področjih, ki morajo biti tesno usklajeni z Natom. Potrebni so nujni ukrepi in naložbe za obnovo izčrpanih zalog vojaške opreme držav članic. Strateško nujno je, da v prihodnosti razvijemo obsežno vseevropsko sodelovanje za odpravo vrzeli v kritičnih zmogljivostih na prednostnih področjih, kar bo trajalo več let, zato je še toliko bolj nujno, da ta prizadevanja okrepimo že zdaj. </w:t>
      </w:r>
    </w:p>
    <w:p w14:paraId="48DBF1CA" w14:textId="77777777" w:rsidR="00475F70" w:rsidRPr="000066F3" w:rsidRDefault="00475F70" w:rsidP="00475F70">
      <w:pPr>
        <w:spacing w:after="240" w:line="240" w:lineRule="auto"/>
        <w:jc w:val="both"/>
        <w:rPr>
          <w:rFonts w:ascii="Times New Roman" w:eastAsia="Calibri" w:hAnsi="Times New Roman" w:cs="Times New Roman"/>
          <w:b/>
          <w:bCs/>
          <w:noProof/>
          <w:sz w:val="24"/>
          <w:szCs w:val="24"/>
        </w:rPr>
      </w:pPr>
      <w:r>
        <w:rPr>
          <w:rFonts w:ascii="Times New Roman" w:hAnsi="Times New Roman"/>
          <w:b/>
          <w:noProof/>
          <w:sz w:val="24"/>
        </w:rPr>
        <w:t>Vrzeli v kritičnih zmogljivostih</w:t>
      </w:r>
    </w:p>
    <w:p w14:paraId="38D7BE81" w14:textId="77777777" w:rsidR="00475F70" w:rsidRPr="000066F3" w:rsidRDefault="00475F70" w:rsidP="00475F70">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Za odpravo vrzeli v kritičnih zmogljivostih potrebujemo: 1) skupno razumevanje med državami članicami glede najnujnejših prednostnih nalog za naložbe v zmogljivosti ob upoštevanju nedavnih smernic Evropskega sveta; 2) stabilno in dolgoročno zavezo, da jih bomo opravili; (3) jasen dogovor med državami članicami o okviru upravljanja za vsako vrsto zmogljivosti, ki se lahko med državami članicami razlikuje; ter 4) financiranje in spodbude EU, ki bodo državam članicam pomagale pri mobilizaciji potrebnih proračunskih sredstev ter njihovi porabi na najbolj učinkovit in ciljno usmerjen način.</w:t>
      </w:r>
    </w:p>
    <w:p w14:paraId="47B438D3" w14:textId="77777777" w:rsidR="00475F70" w:rsidRPr="000066F3" w:rsidRDefault="00475F70" w:rsidP="00471147">
      <w:pPr>
        <w:keepNext/>
        <w:spacing w:after="120" w:line="240" w:lineRule="auto"/>
        <w:jc w:val="both"/>
        <w:rPr>
          <w:rFonts w:ascii="Times New Roman" w:eastAsia="Aptos" w:hAnsi="Times New Roman" w:cs="Times New Roman"/>
          <w:noProof/>
          <w:sz w:val="24"/>
          <w:szCs w:val="24"/>
        </w:rPr>
      </w:pPr>
      <w:r>
        <w:rPr>
          <w:rFonts w:ascii="Times New Roman" w:hAnsi="Times New Roman"/>
          <w:noProof/>
          <w:sz w:val="24"/>
        </w:rPr>
        <w:t>EU že zdaj:</w:t>
      </w:r>
    </w:p>
    <w:p w14:paraId="67F4C7F3" w14:textId="77777777" w:rsidR="00475F70" w:rsidRPr="000066F3" w:rsidRDefault="00475F70" w:rsidP="00475F70">
      <w:pPr>
        <w:numPr>
          <w:ilvl w:val="0"/>
          <w:numId w:val="1"/>
        </w:numPr>
        <w:spacing w:after="120" w:line="240" w:lineRule="auto"/>
        <w:ind w:left="284" w:hanging="284"/>
        <w:jc w:val="both"/>
        <w:rPr>
          <w:rFonts w:ascii="Times New Roman" w:eastAsia="Aptos" w:hAnsi="Times New Roman" w:cs="Times New Roman"/>
          <w:noProof/>
          <w:sz w:val="24"/>
          <w:szCs w:val="24"/>
        </w:rPr>
      </w:pPr>
      <w:r>
        <w:rPr>
          <w:rFonts w:ascii="Times New Roman" w:hAnsi="Times New Roman"/>
          <w:noProof/>
          <w:sz w:val="24"/>
        </w:rPr>
        <w:t>pomaga državam članicam opredeliti pomanjkljivosti v zmogljivostih in prednostne naloge na ravni EU,</w:t>
      </w:r>
    </w:p>
    <w:p w14:paraId="34A79230" w14:textId="77777777" w:rsidR="00475F70" w:rsidRPr="000066F3" w:rsidRDefault="00475F70" w:rsidP="00475F70">
      <w:pPr>
        <w:numPr>
          <w:ilvl w:val="0"/>
          <w:numId w:val="1"/>
        </w:numPr>
        <w:spacing w:after="120" w:line="240" w:lineRule="auto"/>
        <w:ind w:left="284" w:hanging="284"/>
        <w:jc w:val="both"/>
        <w:rPr>
          <w:rFonts w:ascii="Times New Roman" w:eastAsia="Aptos" w:hAnsi="Times New Roman" w:cs="Times New Roman"/>
          <w:noProof/>
          <w:sz w:val="24"/>
          <w:szCs w:val="24"/>
        </w:rPr>
      </w:pPr>
      <w:r>
        <w:rPr>
          <w:rFonts w:ascii="Times New Roman" w:hAnsi="Times New Roman"/>
          <w:noProof/>
          <w:sz w:val="24"/>
        </w:rPr>
        <w:t>podpira države članice pri uvajanju novih projektov na področju zmogljivosti, začenši z usklajevanjem zahtev. Uspešen primer tega je flota večnamenskih tankersko-transportnih letal,</w:t>
      </w:r>
    </w:p>
    <w:p w14:paraId="1BA01E45" w14:textId="77777777" w:rsidR="00475F70" w:rsidRPr="000066F3" w:rsidRDefault="00475F70" w:rsidP="00475F70">
      <w:pPr>
        <w:numPr>
          <w:ilvl w:val="0"/>
          <w:numId w:val="1"/>
        </w:numPr>
        <w:spacing w:after="120" w:line="240" w:lineRule="auto"/>
        <w:ind w:left="284" w:hanging="284"/>
        <w:jc w:val="both"/>
        <w:rPr>
          <w:rFonts w:ascii="Times New Roman" w:eastAsia="Aptos" w:hAnsi="Times New Roman" w:cs="Times New Roman"/>
          <w:noProof/>
          <w:sz w:val="24"/>
          <w:szCs w:val="24"/>
        </w:rPr>
      </w:pPr>
      <w:r>
        <w:rPr>
          <w:rFonts w:ascii="Times New Roman" w:hAnsi="Times New Roman"/>
          <w:noProof/>
          <w:sz w:val="24"/>
        </w:rPr>
        <w:t>podpira združevanje povpraševanja s skupnimi javnimi naročili, ki utirajo pot industrijski fazi, in pripravlja skupna javna naročila v imenu in na zahtevo držav članic (npr. 155-mm strelivo za Ukrajino),</w:t>
      </w:r>
    </w:p>
    <w:p w14:paraId="68B606F2" w14:textId="77777777" w:rsidR="00475F70" w:rsidRPr="000066F3" w:rsidRDefault="00475F70" w:rsidP="00475F70">
      <w:pPr>
        <w:numPr>
          <w:ilvl w:val="0"/>
          <w:numId w:val="1"/>
        </w:numPr>
        <w:spacing w:after="240" w:line="240" w:lineRule="auto"/>
        <w:ind w:left="284" w:hanging="284"/>
        <w:jc w:val="both"/>
        <w:rPr>
          <w:rFonts w:ascii="Times New Roman" w:eastAsia="Aptos" w:hAnsi="Times New Roman" w:cs="Times New Roman"/>
          <w:noProof/>
          <w:sz w:val="24"/>
          <w:szCs w:val="24"/>
        </w:rPr>
      </w:pPr>
      <w:r>
        <w:rPr>
          <w:rFonts w:ascii="Times New Roman" w:hAnsi="Times New Roman"/>
          <w:noProof/>
          <w:sz w:val="24"/>
        </w:rPr>
        <w:t>krepi sodelovanje v okviru stalnega strukturnega sodelovanja (PESCO) za izvajanje zmogljivostnih in operativnih projektov na področju obrambe.</w:t>
      </w:r>
    </w:p>
    <w:p w14:paraId="2A354F80" w14:textId="77777777" w:rsidR="00475F70" w:rsidRPr="000066F3" w:rsidRDefault="00475F70" w:rsidP="00471147">
      <w:pPr>
        <w:keepNext/>
        <w:spacing w:after="240" w:line="240" w:lineRule="auto"/>
        <w:jc w:val="both"/>
        <w:rPr>
          <w:rFonts w:ascii="Times New Roman" w:eastAsia="Calibri" w:hAnsi="Times New Roman" w:cs="Times New Roman"/>
          <w:i/>
          <w:iCs/>
          <w:noProof/>
          <w:sz w:val="24"/>
          <w:szCs w:val="24"/>
        </w:rPr>
      </w:pPr>
      <w:r>
        <w:rPr>
          <w:rFonts w:ascii="Times New Roman" w:hAnsi="Times New Roman"/>
          <w:i/>
          <w:noProof/>
          <w:sz w:val="24"/>
        </w:rPr>
        <w:t>Področja obrambnih zmogljivosti</w:t>
      </w:r>
    </w:p>
    <w:p w14:paraId="5A37B651" w14:textId="77777777" w:rsidR="00475F70" w:rsidRPr="000066F3" w:rsidRDefault="00475F70" w:rsidP="00475F70">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Na podlagi vrzeli v obrambnih zmogljivostih, ki so jih države članice že ugotovile, je v tej beli knjigi določenih sedem prednostnih področij, ki so ključna za vzpostavitev močne evropske obrambe. Prednostna področja zmogljivosti so naslednja:</w:t>
      </w:r>
    </w:p>
    <w:p w14:paraId="265A32F2" w14:textId="77777777" w:rsidR="00475F70" w:rsidRPr="000066F3" w:rsidRDefault="00475F70" w:rsidP="00475F70">
      <w:pPr>
        <w:spacing w:after="240" w:line="240" w:lineRule="auto"/>
        <w:jc w:val="both"/>
        <w:rPr>
          <w:rFonts w:ascii="Times New Roman" w:eastAsia="Calibri" w:hAnsi="Times New Roman" w:cs="Times New Roman"/>
          <w:noProof/>
          <w:sz w:val="24"/>
          <w:szCs w:val="24"/>
        </w:rPr>
      </w:pPr>
      <w:r>
        <w:rPr>
          <w:rFonts w:ascii="Times New Roman" w:hAnsi="Times New Roman"/>
          <w:noProof/>
          <w:sz w:val="24"/>
          <w:u w:val="single"/>
        </w:rPr>
        <w:t>Zračna in raketna obramba:</w:t>
      </w:r>
      <w:r>
        <w:rPr>
          <w:rFonts w:ascii="Times New Roman" w:hAnsi="Times New Roman"/>
          <w:noProof/>
          <w:sz w:val="24"/>
        </w:rPr>
        <w:t xml:space="preserve"> integrirana večplastna zračna in raketna obramba, ki ščiti pred celo vrsto groženj iz zraka (manevrirni izstrelki, balistični in hipersonični izstrelki, zrakoplovi in sistemi brezpilotnih zrakoplovov).</w:t>
      </w:r>
    </w:p>
    <w:p w14:paraId="6D612881" w14:textId="77777777" w:rsidR="00475F70" w:rsidRPr="000066F3" w:rsidRDefault="00475F70" w:rsidP="00475F70">
      <w:pPr>
        <w:spacing w:after="240" w:line="240" w:lineRule="auto"/>
        <w:jc w:val="both"/>
        <w:rPr>
          <w:rFonts w:ascii="Times New Roman" w:eastAsia="Calibri" w:hAnsi="Times New Roman" w:cs="Times New Roman"/>
          <w:noProof/>
          <w:sz w:val="24"/>
          <w:szCs w:val="24"/>
        </w:rPr>
      </w:pPr>
      <w:r>
        <w:rPr>
          <w:rFonts w:ascii="Times New Roman" w:hAnsi="Times New Roman"/>
          <w:noProof/>
          <w:sz w:val="24"/>
          <w:u w:val="single"/>
        </w:rPr>
        <w:t>Artilerijski sistemi:</w:t>
      </w:r>
      <w:r>
        <w:rPr>
          <w:rFonts w:ascii="Times New Roman" w:hAnsi="Times New Roman"/>
          <w:noProof/>
          <w:sz w:val="24"/>
        </w:rPr>
        <w:t xml:space="preserve"> napredni ognjeni sistemi, vključno s sodobnimi artilerijskimi sistemi in raketnimi sistemi dolgega dosega, ki so namenjeni izvajanju natančnih napadov dolgega dosega na kopenske tarče (natančni globoki napadi). </w:t>
      </w:r>
    </w:p>
    <w:p w14:paraId="435BDEB7" w14:textId="77777777" w:rsidR="00475F70" w:rsidRPr="000066F3" w:rsidRDefault="00475F70" w:rsidP="00475F70">
      <w:pPr>
        <w:spacing w:after="240" w:line="240" w:lineRule="auto"/>
        <w:jc w:val="both"/>
        <w:rPr>
          <w:rFonts w:ascii="Times New Roman" w:eastAsia="Calibri" w:hAnsi="Times New Roman" w:cs="Times New Roman"/>
          <w:noProof/>
          <w:sz w:val="24"/>
          <w:szCs w:val="24"/>
        </w:rPr>
      </w:pPr>
      <w:r>
        <w:rPr>
          <w:rFonts w:ascii="Times New Roman" w:hAnsi="Times New Roman"/>
          <w:noProof/>
          <w:sz w:val="24"/>
          <w:u w:val="single"/>
        </w:rPr>
        <w:t>Strelivo in rakete</w:t>
      </w:r>
      <w:r>
        <w:rPr>
          <w:rFonts w:ascii="Times New Roman" w:hAnsi="Times New Roman"/>
          <w:noProof/>
          <w:sz w:val="24"/>
        </w:rPr>
        <w:t xml:space="preserve">: strateška zaloga streliva, raket in sestavnih delov ter zadostna proizvodna zmogljivost obrambne industrije za zagotovitev pravočasnega dopolnjevanja na podlagi pobude Evropske službe za zunanje delovanje „Načrt za strelivo 2.0“. </w:t>
      </w:r>
    </w:p>
    <w:p w14:paraId="367BE414" w14:textId="77777777" w:rsidR="00475F70" w:rsidRPr="000066F3" w:rsidRDefault="00475F70" w:rsidP="00475F70">
      <w:pPr>
        <w:spacing w:after="240" w:line="240" w:lineRule="auto"/>
        <w:jc w:val="both"/>
        <w:rPr>
          <w:rFonts w:ascii="Times New Roman" w:eastAsia="Calibri" w:hAnsi="Times New Roman" w:cs="Times New Roman"/>
          <w:noProof/>
          <w:sz w:val="24"/>
          <w:szCs w:val="24"/>
        </w:rPr>
      </w:pPr>
      <w:r>
        <w:rPr>
          <w:rFonts w:ascii="Times New Roman" w:hAnsi="Times New Roman"/>
          <w:noProof/>
          <w:sz w:val="24"/>
          <w:u w:val="single"/>
        </w:rPr>
        <w:t>Droni in protidronski sistemi:</w:t>
      </w:r>
      <w:r>
        <w:rPr>
          <w:rFonts w:ascii="Times New Roman" w:hAnsi="Times New Roman"/>
          <w:noProof/>
          <w:sz w:val="24"/>
        </w:rPr>
        <w:t xml:space="preserve"> brezpilotni sistemi, vključno z zračnimi, kopenskimi, površinskimi in podvodnimi vozili, ki jih je mogoče upravljati na daljavo ali pa delujejo samostojno z uporabo napredne programske opreme in senzorjev ter krepijo zmogljivosti, ki jih omogočajo te tehnologije (npr. situacijsko zavedanje, nadzor itd.).</w:t>
      </w:r>
    </w:p>
    <w:p w14:paraId="49E9A5B0" w14:textId="77777777" w:rsidR="00475F70" w:rsidRPr="000066F3" w:rsidRDefault="00475F70" w:rsidP="00475F70">
      <w:pPr>
        <w:spacing w:after="240" w:line="240" w:lineRule="auto"/>
        <w:jc w:val="both"/>
        <w:rPr>
          <w:rFonts w:ascii="Times New Roman" w:eastAsia="Calibri" w:hAnsi="Times New Roman" w:cs="Times New Roman"/>
          <w:noProof/>
          <w:sz w:val="24"/>
          <w:szCs w:val="24"/>
        </w:rPr>
      </w:pPr>
      <w:r>
        <w:rPr>
          <w:rFonts w:ascii="Times New Roman" w:hAnsi="Times New Roman"/>
          <w:noProof/>
          <w:sz w:val="24"/>
          <w:u w:val="single"/>
        </w:rPr>
        <w:t>Vojaška mobilnost:</w:t>
      </w:r>
      <w:r>
        <w:rPr>
          <w:rFonts w:ascii="Times New Roman" w:hAnsi="Times New Roman"/>
          <w:noProof/>
          <w:sz w:val="24"/>
        </w:rPr>
        <w:t xml:space="preserve"> vseevropska mreža kopenskih koridorjev, letališč, morskih pristanišč ter podpornih elementov in storitev, ki omogoča nemoten in hiter prevoz vojakov in vojaške opreme po vsej EU in partnerskih državah. </w:t>
      </w:r>
    </w:p>
    <w:p w14:paraId="23862349" w14:textId="27413A1F" w:rsidR="00475F70" w:rsidRPr="000066F3" w:rsidRDefault="00475F70" w:rsidP="00475F70">
      <w:pPr>
        <w:spacing w:after="240" w:line="240" w:lineRule="auto"/>
        <w:jc w:val="both"/>
        <w:rPr>
          <w:rFonts w:ascii="Times New Roman" w:eastAsia="Calibri" w:hAnsi="Times New Roman" w:cs="Times New Roman"/>
          <w:noProof/>
          <w:sz w:val="24"/>
          <w:szCs w:val="24"/>
        </w:rPr>
      </w:pPr>
      <w:r>
        <w:rPr>
          <w:rFonts w:ascii="Times New Roman" w:hAnsi="Times New Roman"/>
          <w:noProof/>
          <w:sz w:val="24"/>
          <w:u w:val="single"/>
        </w:rPr>
        <w:t>Umetna inteligenca, kvantna tehnologija ter kibernetsko in elektronsko bojevanje:</w:t>
      </w:r>
      <w:r>
        <w:rPr>
          <w:rFonts w:ascii="Times New Roman" w:hAnsi="Times New Roman"/>
          <w:noProof/>
          <w:sz w:val="24"/>
        </w:rPr>
        <w:t xml:space="preserve"> obrambne aplikacije z uporabo vojaške umetne inteligence in kvantnega računalništva; napredni elektronski sistemi EU, namenjeni (a) zaščiti in zagotavljanju neovirane uporabe elektromagnetnega spektra za kopenske, zračne, vesoljske in pomorske sile in operacije; (b) zatiranju, motenju in preprečevanju uporabe elektromagnetnega spektra s strani nasprotnika; ter (c) zaščiti svobode delovanja v kibernetskem prostoru in zagotavljanju neoviranega dostopa do kibernetskih zmogljivosti. Za zagotavljanje zaščite in manevrskega prostora v kibernetskem prostoru so potrebne obrambne in napadalne kibernetske zmogljivosti. Skupaj z državami članicami je treba razviti shemo prostovoljne pomoči za napadalne kibernetske zmogljivosti kot verodostojno sredstvo za odvračanje. </w:t>
      </w:r>
    </w:p>
    <w:p w14:paraId="6C0472E5" w14:textId="0316602E" w:rsidR="00475F70" w:rsidRPr="000066F3" w:rsidRDefault="00475F70" w:rsidP="00475F70">
      <w:pPr>
        <w:spacing w:after="240" w:line="240" w:lineRule="auto"/>
        <w:jc w:val="both"/>
        <w:rPr>
          <w:rFonts w:ascii="Times New Roman" w:eastAsia="Calibri" w:hAnsi="Times New Roman" w:cs="Times New Roman"/>
          <w:noProof/>
          <w:sz w:val="24"/>
          <w:szCs w:val="24"/>
        </w:rPr>
      </w:pPr>
      <w:r>
        <w:rPr>
          <w:rFonts w:ascii="Times New Roman" w:hAnsi="Times New Roman"/>
          <w:noProof/>
          <w:sz w:val="24"/>
          <w:u w:val="single"/>
        </w:rPr>
        <w:t>Strateški spodbujevalci in zaščita kritične infrastrukture:</w:t>
      </w:r>
      <w:r>
        <w:rPr>
          <w:rFonts w:ascii="Times New Roman" w:hAnsi="Times New Roman"/>
          <w:noProof/>
          <w:sz w:val="24"/>
        </w:rPr>
        <w:t xml:space="preserve"> sem spadajo med drugim strateški zračni transport in zrakoplov za oskrbo z gorivom v zraku, obveščevalna dejavnost in nadzor, pomorsko situacijsko zavedanje, uporaba in zaščita vesoljskih in drugih sredstev za varno komunikacijo ter vojaška infrastruktura za gorivo.</w:t>
      </w:r>
    </w:p>
    <w:p w14:paraId="01B8B10F" w14:textId="77777777" w:rsidR="00475F70" w:rsidRPr="000066F3" w:rsidRDefault="00475F70" w:rsidP="00471147">
      <w:pPr>
        <w:keepNext/>
        <w:spacing w:after="240" w:line="240" w:lineRule="auto"/>
        <w:jc w:val="both"/>
        <w:rPr>
          <w:rFonts w:ascii="Times New Roman" w:eastAsia="Calibri" w:hAnsi="Times New Roman" w:cs="Times New Roman"/>
          <w:i/>
          <w:iCs/>
          <w:noProof/>
          <w:sz w:val="24"/>
          <w:szCs w:val="24"/>
        </w:rPr>
      </w:pPr>
      <w:r>
        <w:rPr>
          <w:rFonts w:ascii="Times New Roman" w:hAnsi="Times New Roman"/>
          <w:i/>
          <w:noProof/>
          <w:sz w:val="24"/>
        </w:rPr>
        <w:t>Izkoriščanje „dividende sodelovanja“</w:t>
      </w:r>
    </w:p>
    <w:p w14:paraId="256D3549" w14:textId="77777777" w:rsidR="00475F70" w:rsidRPr="000066F3" w:rsidRDefault="00475F70" w:rsidP="00475F70">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Obstajajo močni argumenti, da bi bilo treba te vrzeli v zmogljivostih odpraviti s sodelovanjem. </w:t>
      </w:r>
    </w:p>
    <w:p w14:paraId="69A20B22" w14:textId="0F0921AD" w:rsidR="00475F70" w:rsidRPr="000066F3" w:rsidRDefault="00475F70" w:rsidP="00475F70">
      <w:pPr>
        <w:spacing w:after="240" w:line="240" w:lineRule="auto"/>
        <w:jc w:val="both"/>
        <w:rPr>
          <w:rFonts w:ascii="Times New Roman" w:eastAsia="Aptos" w:hAnsi="Times New Roman" w:cs="Times New Roman"/>
          <w:noProof/>
          <w:sz w:val="24"/>
          <w:szCs w:val="24"/>
        </w:rPr>
      </w:pPr>
      <w:r>
        <w:rPr>
          <w:rFonts w:ascii="Times New Roman" w:hAnsi="Times New Roman"/>
          <w:noProof/>
          <w:sz w:val="24"/>
        </w:rPr>
        <w:t xml:space="preserve">Tako Niinistöjevo kot Draghijevo poročilo poudarjata, da je pomanjkanje sodelovanja povzročilo neučinkovitosti pri razvoju obrambnih zmogljivosti ter dodatne stroške vsem državam članicam. Posledično prihaja do zamujenih </w:t>
      </w:r>
      <w:r>
        <w:rPr>
          <w:rStyle w:val="cf01"/>
          <w:rFonts w:ascii="Times New Roman" w:hAnsi="Times New Roman"/>
          <w:noProof/>
          <w:sz w:val="24"/>
        </w:rPr>
        <w:t xml:space="preserve">priložnosti za izkoriščanje evropskih ekonomij obsega za znižanje stroškov na enoto. </w:t>
      </w:r>
      <w:r>
        <w:rPr>
          <w:rFonts w:ascii="Times New Roman" w:hAnsi="Times New Roman"/>
          <w:noProof/>
          <w:sz w:val="24"/>
        </w:rPr>
        <w:t>Nizki in razdrobljeni obrambni izdatki držav članic za inovacije negativno vplivajo na nastajajoče prelomne tehnologije, ki so bistvene za prihodnje obrambne zmogljivosti.</w:t>
      </w:r>
    </w:p>
    <w:p w14:paraId="0892117D" w14:textId="6C5D9262" w:rsidR="00475F70" w:rsidRPr="000066F3" w:rsidRDefault="00475F70" w:rsidP="00475F70">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Vrzeli v zmogljivostih je mogoče odpraviti s pridobivanjem zmogljivosti za zelo intenzivno vojskovanje v skladu s procesi zmogljivosti EU in Nata. Obseg, stroški in kompleksnost večine projektov na teh področjih presegajo zmogljivosti posameznih držav članic. Zato bi usklajeno ukrepanje ob podpori celotnega nabora orodij EU olajšalo stroškovno učinkovito javno naročanje in pospešilo povečanje zmogljivosti evropske obrambne industrije, s čimer bi se okrepila naša tehnološka baza, vključno z inovacijami na področju obrambne tehnologije.</w:t>
      </w:r>
    </w:p>
    <w:p w14:paraId="66B59EBB" w14:textId="40372D81" w:rsidR="00475F70" w:rsidRPr="000066F3" w:rsidRDefault="00475F70" w:rsidP="00475F70">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Skupno javno naročanje je najučinkovitejši način za nabavo velike količine „potrošnega materiala“, kot so strelivo, rakete in droni, hkrati pa je tudi ključnega pomena za izvedbo kompleksnejših projektov, saj združevanje povpraševanja omejuje stroške, udeležencem na trgu pošilja jasnejše signale glede povpraševanja, skrajšuje roke dobave ter zagotavlja interoperabilnost in zamenljivost. Od leta 2007 so se države članice v okviru Evropske obrambne agencije (EDA) dogovorile o skupnem cilju, da bodo 35 % vseh javnih naročil za obrambno opremo opravile skupaj. Ta cilj se odraža v zavezah iz okvira PESCO, ki se je začel izvajati leta 2017.</w:t>
      </w:r>
    </w:p>
    <w:p w14:paraId="2A5340F3" w14:textId="3F1CD9DF" w:rsidR="00475F70" w:rsidRPr="000066F3" w:rsidRDefault="00475F70" w:rsidP="00F953EE">
      <w:pPr>
        <w:pStyle w:val="Default"/>
        <w:suppressAutoHyphens/>
        <w:spacing w:before="0" w:after="240" w:line="240" w:lineRule="auto"/>
        <w:jc w:val="both"/>
        <w:rPr>
          <w:noProof/>
        </w:rPr>
      </w:pPr>
      <w:r>
        <w:rPr>
          <w:rFonts w:ascii="Times New Roman" w:hAnsi="Times New Roman"/>
          <w:noProof/>
        </w:rPr>
        <w:t xml:space="preserve">Državam članicam so na voljo različne oblike in okviri sodelovanja. Ti med drugim vključujejo </w:t>
      </w:r>
      <w:r>
        <w:rPr>
          <w:rFonts w:ascii="Times New Roman" w:hAnsi="Times New Roman"/>
          <w:i/>
          <w:iCs/>
          <w:noProof/>
        </w:rPr>
        <w:t>ad hoc</w:t>
      </w:r>
      <w:r>
        <w:rPr>
          <w:rFonts w:ascii="Times New Roman" w:hAnsi="Times New Roman"/>
          <w:noProof/>
        </w:rPr>
        <w:t xml:space="preserve"> večnacionalno sodelovanje, kot je okvir „vodilne države“, Evropsko obrambno agencijo, Natovo agencijo za podporo in nabavo ter Organizacijo za oborožitveno sodelovanje (OCCAR). Komisija bi lahko na zahtevo držav članic delovala tudi kot osrednji nabavni organ v njihovem imenu.</w:t>
      </w:r>
      <w:bookmarkEnd w:id="2"/>
    </w:p>
    <w:p w14:paraId="56EF86BD" w14:textId="77777777" w:rsidR="00475F70" w:rsidRPr="000066F3" w:rsidRDefault="00475F70" w:rsidP="00475F70">
      <w:pPr>
        <w:spacing w:after="240" w:line="240" w:lineRule="auto"/>
        <w:jc w:val="both"/>
        <w:rPr>
          <w:rFonts w:ascii="Times New Roman" w:eastAsia="Calibri" w:hAnsi="Times New Roman" w:cs="Times New Roman"/>
          <w:b/>
          <w:bCs/>
          <w:noProof/>
          <w:sz w:val="24"/>
          <w:szCs w:val="24"/>
        </w:rPr>
      </w:pPr>
      <w:r>
        <w:rPr>
          <w:rFonts w:ascii="Times New Roman" w:hAnsi="Times New Roman"/>
          <w:b/>
          <w:noProof/>
          <w:sz w:val="24"/>
        </w:rPr>
        <w:t xml:space="preserve">Vojaška mobilnost in infrastruktura </w:t>
      </w:r>
    </w:p>
    <w:p w14:paraId="3E10E00B" w14:textId="4B41A31A" w:rsidR="00475F70" w:rsidRPr="000066F3" w:rsidRDefault="00475F70" w:rsidP="00475F70">
      <w:pPr>
        <w:spacing w:after="360" w:line="240" w:lineRule="auto"/>
        <w:jc w:val="both"/>
        <w:rPr>
          <w:rFonts w:ascii="Times New Roman" w:eastAsia="Calibri" w:hAnsi="Times New Roman" w:cs="Times New Roman"/>
          <w:noProof/>
          <w:sz w:val="24"/>
          <w:szCs w:val="24"/>
        </w:rPr>
      </w:pPr>
      <w:r>
        <w:rPr>
          <w:rFonts w:ascii="Times New Roman" w:hAnsi="Times New Roman"/>
          <w:noProof/>
          <w:sz w:val="24"/>
        </w:rPr>
        <w:t xml:space="preserve">Vojaška mobilnost je bistven element evropske varnosti in obrambe ter naše podpore Ukrajini. Krepi zmožnost oboroženih sil držav članic in zaveznic, da v primeru konflikta ali okrepljenega hibridnega vojskovanja hitro premikajo vojake in opremo po vsej EU. S tem se bosta pokazali naša pripravljenost in sposobnost odvračanja. Krepitev logistike oboroženih sil je tudi odgovor na potrebo po večji povezanosti in konkurenčnosti našega gospodarstva, kar se popolnoma ujema s konceptom dvojne rabe. Čeprav smo v zadnjih letih dosegli velik napredek, še vedno obstajajo znatne ovire za neovirano premikanje vojakov in opreme po vsej EU. </w:t>
      </w:r>
    </w:p>
    <w:p w14:paraId="286FE89A" w14:textId="77777777" w:rsidR="00475F70" w:rsidRPr="000066F3" w:rsidRDefault="00475F70" w:rsidP="00475F70">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Vojaško mobilnost ovira birokracija, saj je pogosto potrebno tako posebno diplomatsko dovoljenje za vojaške prevoze kot tudi upoštevanje običajnih upravnih pravil in postopkov. Trenutni neusklajeni postopki, zlasti carinski, pogosto povzročajo velike zamude pri izdaji čezmejnih dovoljenj. Da bi pospešili neodvisno odvračanje Evrope in našo podporo Ukrajini, morajo EU in države članice nemudoma poenostaviti in racionalizirati predpise in postopke ter oboroženim silam zagotoviti prednostni dostop do prometne infrastrukture, omrežij in sredstev, tudi v okviru pomorske varnosti.</w:t>
      </w:r>
    </w:p>
    <w:p w14:paraId="683B3748" w14:textId="6E9B95CC" w:rsidR="00475F70" w:rsidRPr="000066F3" w:rsidRDefault="00475F70" w:rsidP="00475F70">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Oborožene sile za svoje premike potrebujejo dostop do kritične prometne infrastrukture, ki je primerna za dvojno rabo. Potrebujejo tako razpoložljivost vseh vrst prevoza kot tudi več poti po vsej Evropski uniji in povezave s partnerskimi državami. Zato je EU opredelila štiri prednostne multimodalne koridorje (železniški, cestni, pomorski in zračni) za vojaško mobilnost za obsežne in v zadnjem trenutku napovedane premike vojakov in opreme. Za te koridorje so potrebne znatne nujne naložbe, da bi olajšali premike vojakov in vojaške opreme. V zvezi s temi štirimi prednostnimi koridorji je že predvidenih 500 projektov za žariščne točke, ki jih je nujno treba posodobiti (kot so širitev železniških predorov, okrepitev cestnih in železniških mostov, širitev pristaniških in letaliških terminalov). Zagotoviti je treba tudi njihovo varnost, vzdrževanje in popravila. EU in države članice morajo skupaj z ustreznimi partnerji, zlasti Natom, opredeliti morebitna takojšnja in prihodnja ozka grla pri oskrbi z energijo.</w:t>
      </w:r>
    </w:p>
    <w:p w14:paraId="42C4AF1B" w14:textId="154208D4" w:rsidR="00475F70" w:rsidRPr="000066F3" w:rsidRDefault="00475F70" w:rsidP="00475F70">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Vojaško mobilnost je mogoče dodatno okrepiti tudi z večjo razpoložljivostjo specializiranih prevoznih sredstev in sredstev za dvojno rabo za vse vrste prevoza. EU lahko doda vrednost z olajšanjem skupnega naročanja, prednaročanja sredstev in uporabe enotnih standardov oblikovanja za zmogljivosti z dvojno rabo ter obrambne in varnostne zmogljivosti. Okrepljeno sodelovanje z industrijo EU bi omogočilo, da se poveča dobava takih kritičnih sredstev in da evropska podjetja, ki ponujajo tehnologije za dvojno rabo, ohranijo vodilni položaj na trgu. </w:t>
      </w:r>
    </w:p>
    <w:p w14:paraId="20AFE028" w14:textId="68B5C008" w:rsidR="008A118B" w:rsidRPr="000066F3" w:rsidRDefault="00475F70" w:rsidP="008A118B">
      <w:pPr>
        <w:spacing w:after="360" w:line="240" w:lineRule="auto"/>
        <w:jc w:val="both"/>
        <w:rPr>
          <w:rFonts w:ascii="Times New Roman" w:eastAsia="Calibri" w:hAnsi="Times New Roman" w:cs="Times New Roman"/>
          <w:noProof/>
          <w:sz w:val="24"/>
          <w:szCs w:val="24"/>
        </w:rPr>
      </w:pPr>
      <w:r>
        <w:rPr>
          <w:rFonts w:ascii="Times New Roman" w:hAnsi="Times New Roman"/>
          <w:noProof/>
          <w:sz w:val="24"/>
        </w:rPr>
        <w:t xml:space="preserve">Komisija bo v posvetovanju z visoko predstavnico pregledala vso obstoječo zakonodajo EU, ki vpliva na vojaško mobilnost, vključno s strožjimi pravili o lastništvu in nadzoru take kritične prometne infrastrukture, načrtovala in nadgradila potrebno prometno infrastrukturo za dvojno rabo in kritično prometno infrastrukturo ter preučila ustrezne ukrepe za odpravo stalnih ovir in zagotovitev dostopa vojske do specializiranih prevoznih sredstev. Večja finančna predvidljivost bi koristila tudi dolgoročnim infrastrukturnim projektom za dvojno rabo. </w:t>
      </w:r>
    </w:p>
    <w:p w14:paraId="0E7E7282" w14:textId="16372531" w:rsidR="00475F70" w:rsidRPr="000066F3" w:rsidRDefault="003E4E17" w:rsidP="00475F70">
      <w:pPr>
        <w:spacing w:after="360" w:line="240" w:lineRule="auto"/>
        <w:jc w:val="both"/>
        <w:rPr>
          <w:rFonts w:ascii="Times New Roman" w:eastAsia="Calibri" w:hAnsi="Times New Roman" w:cs="Times New Roman"/>
          <w:noProof/>
          <w:sz w:val="24"/>
          <w:szCs w:val="24"/>
        </w:rPr>
      </w:pPr>
      <w:r>
        <w:rPr>
          <w:rFonts w:ascii="Times New Roman" w:hAnsi="Times New Roman"/>
          <w:noProof/>
          <w:sz w:val="24"/>
        </w:rPr>
        <w:t xml:space="preserve">EU bo letos sprejela skupno sporočilo o vojaški mobilnosti, vključno s potrebnimi zakonodajnimi predlogi. </w:t>
      </w:r>
    </w:p>
    <w:p w14:paraId="1D09267F" w14:textId="77777777" w:rsidR="00AA0413" w:rsidRPr="00D11735" w:rsidRDefault="00AA0413" w:rsidP="00475F70">
      <w:pPr>
        <w:spacing w:after="360" w:line="240" w:lineRule="auto"/>
        <w:jc w:val="both"/>
        <w:rPr>
          <w:rFonts w:ascii="Times New Roman" w:eastAsia="Calibri" w:hAnsi="Times New Roman" w:cs="Times New Roman"/>
          <w:b/>
          <w:bCs/>
          <w:noProof/>
          <w:sz w:val="24"/>
          <w:szCs w:val="24"/>
        </w:rPr>
      </w:pPr>
      <w:r>
        <w:rPr>
          <w:rFonts w:ascii="Times New Roman" w:hAnsi="Times New Roman"/>
          <w:b/>
          <w:noProof/>
          <w:sz w:val="24"/>
        </w:rPr>
        <w:t>Varovanje meja</w:t>
      </w:r>
    </w:p>
    <w:p w14:paraId="0A780D8F" w14:textId="2D9FE86D" w:rsidR="00AA0413" w:rsidRPr="000066F3" w:rsidRDefault="00AA0413" w:rsidP="00475F70">
      <w:pPr>
        <w:spacing w:after="360" w:line="240" w:lineRule="auto"/>
        <w:jc w:val="both"/>
        <w:rPr>
          <w:rFonts w:ascii="Times New Roman" w:eastAsia="Calibri" w:hAnsi="Times New Roman" w:cs="Times New Roman"/>
          <w:noProof/>
          <w:sz w:val="24"/>
          <w:szCs w:val="24"/>
        </w:rPr>
      </w:pPr>
      <w:r>
        <w:rPr>
          <w:rFonts w:ascii="Times New Roman" w:hAnsi="Times New Roman"/>
          <w:noProof/>
          <w:color w:val="000000"/>
          <w:sz w:val="24"/>
        </w:rPr>
        <w:t xml:space="preserve">Pomembna je obramba vseh kopenskih, zračnih in morskih meja EU, še zlasti pa vzhodne meje EU. </w:t>
      </w:r>
      <w:r>
        <w:rPr>
          <w:rFonts w:ascii="Times New Roman" w:hAnsi="Times New Roman"/>
          <w:noProof/>
          <w:sz w:val="24"/>
        </w:rPr>
        <w:t>Projekt za ščit na vzhodni meji je pomemben ukrep, s katerim se številne države članice spopadajo z vse večjimi izzivi v regiji. Z njim bi vzpostavili integriran sistem upravljanja kopenskih meja, namenjen okrepitvi zunanje kopenske meje EU z Rusijo in Belorusijo pred vojaškimi in hibridnimi grožnjami. Vključeval bi celovit niz fizičnih ovir, razvoj infrastrukture in sodobne nadzorne sisteme.</w:t>
      </w:r>
    </w:p>
    <w:p w14:paraId="23FB9495" w14:textId="77777777" w:rsidR="00475F70" w:rsidRPr="000066F3" w:rsidRDefault="00475F70" w:rsidP="00475F70">
      <w:pPr>
        <w:spacing w:after="360" w:line="240" w:lineRule="auto"/>
        <w:jc w:val="both"/>
        <w:rPr>
          <w:rFonts w:ascii="Times New Roman" w:eastAsia="Calibri" w:hAnsi="Times New Roman" w:cs="Times New Roman"/>
          <w:b/>
          <w:bCs/>
          <w:noProof/>
          <w:sz w:val="24"/>
          <w:szCs w:val="24"/>
        </w:rPr>
      </w:pPr>
      <w:bookmarkStart w:id="3" w:name="_Hlk193048468"/>
      <w:r>
        <w:rPr>
          <w:rFonts w:ascii="Times New Roman" w:hAnsi="Times New Roman"/>
          <w:b/>
          <w:noProof/>
          <w:sz w:val="24"/>
        </w:rPr>
        <w:t xml:space="preserve">Zbirni sveženj za obrambo </w:t>
      </w:r>
    </w:p>
    <w:bookmarkEnd w:id="3"/>
    <w:p w14:paraId="7E39E505" w14:textId="1F94E58D" w:rsidR="00475F70" w:rsidRPr="000066F3" w:rsidRDefault="00475F70" w:rsidP="00475F70">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Poenostavitev in uskladitev predpisov se morata osredotočiti tako na pravila in postopke, ki so specifični za obrambni sektor, kot tudi na vpliv na obrambno industrijo, ki ga imajo politike in predpisi EU, ki niso specifični za obrambo, vendar evropski obrambni tehnološko-industrijski bazi (EDTIB) preprečujejo, da bi se na sedanje povečane potrebe odzvala čim bolj prožno.</w:t>
      </w:r>
    </w:p>
    <w:p w14:paraId="0E13E63B" w14:textId="0F5E3BA7" w:rsidR="00475F70" w:rsidRPr="0090794D" w:rsidRDefault="004822CA" w:rsidP="00475F70">
      <w:pPr>
        <w:spacing w:after="120" w:line="240" w:lineRule="auto"/>
        <w:jc w:val="both"/>
        <w:rPr>
          <w:rFonts w:ascii="Times New Roman" w:eastAsia="Calibri" w:hAnsi="Times New Roman" w:cs="Times New Roman"/>
          <w:noProof/>
          <w:sz w:val="24"/>
          <w:szCs w:val="24"/>
        </w:rPr>
      </w:pPr>
      <w:r>
        <w:rPr>
          <w:rFonts w:ascii="Times New Roman" w:hAnsi="Times New Roman"/>
          <w:noProof/>
          <w:sz w:val="24"/>
        </w:rPr>
        <w:t>Komisija bo nemudoma začela</w:t>
      </w:r>
      <w:r>
        <w:rPr>
          <w:rFonts w:ascii="Times New Roman" w:hAnsi="Times New Roman"/>
          <w:b/>
          <w:bCs/>
          <w:noProof/>
          <w:sz w:val="24"/>
        </w:rPr>
        <w:t xml:space="preserve"> strateški dialog z obrambno industrijo, </w:t>
      </w:r>
      <w:r>
        <w:rPr>
          <w:rFonts w:ascii="Times New Roman" w:hAnsi="Times New Roman"/>
          <w:noProof/>
          <w:sz w:val="24"/>
        </w:rPr>
        <w:t>da bi razpravljala</w:t>
      </w:r>
      <w:r>
        <w:rPr>
          <w:rFonts w:ascii="Times New Roman" w:hAnsi="Times New Roman"/>
          <w:b/>
          <w:bCs/>
          <w:noProof/>
          <w:sz w:val="24"/>
        </w:rPr>
        <w:t xml:space="preserve"> </w:t>
      </w:r>
      <w:r>
        <w:rPr>
          <w:rFonts w:ascii="Times New Roman" w:hAnsi="Times New Roman"/>
          <w:noProof/>
          <w:sz w:val="24"/>
        </w:rPr>
        <w:t>o možnih ukrepih na teh področjih, opredelila regulativne ovire in obravnavala izzive obrambne industrije. V zvezi s tem bo pozvala agencijo EDA in Vojaški štab Evropske unije, da po potrebi delita svoje strokovno znanje. Na podlagi rezultatov tega dialoga bo Komisija do junija 2025 predstavila poseben predlog za poenostavitev zbirnega svežnja za obrambo. Cilj tega bo zlasti:</w:t>
      </w:r>
    </w:p>
    <w:p w14:paraId="2C743130" w14:textId="536B56F9" w:rsidR="00475F70" w:rsidRPr="006443EA" w:rsidRDefault="00475F70" w:rsidP="00FA6F38">
      <w:pPr>
        <w:pStyle w:val="ListParagraph"/>
        <w:numPr>
          <w:ilvl w:val="0"/>
          <w:numId w:val="7"/>
        </w:numPr>
        <w:spacing w:after="120" w:line="240" w:lineRule="auto"/>
        <w:ind w:left="714" w:hanging="357"/>
        <w:contextualSpacing w:val="0"/>
        <w:jc w:val="both"/>
        <w:rPr>
          <w:rFonts w:ascii="Times New Roman" w:eastAsia="Calibri" w:hAnsi="Times New Roman" w:cs="Times New Roman"/>
          <w:noProof/>
          <w:sz w:val="24"/>
          <w:szCs w:val="24"/>
        </w:rPr>
      </w:pPr>
      <w:r w:rsidRPr="006443EA">
        <w:rPr>
          <w:rFonts w:ascii="Times New Roman" w:hAnsi="Times New Roman"/>
          <w:noProof/>
          <w:sz w:val="24"/>
        </w:rPr>
        <w:t>povečati navzkrižno certificiranje obrambnih proizvodov in po potrebi olajšati vzajemno priznavanje certificiranja,</w:t>
      </w:r>
    </w:p>
    <w:p w14:paraId="008FCA6B" w14:textId="77777777" w:rsidR="00475F70" w:rsidRPr="0090794D" w:rsidRDefault="00475F70" w:rsidP="00FA6F38">
      <w:pPr>
        <w:numPr>
          <w:ilvl w:val="0"/>
          <w:numId w:val="7"/>
        </w:numPr>
        <w:spacing w:after="120" w:line="240" w:lineRule="auto"/>
        <w:ind w:left="714" w:hanging="357"/>
        <w:jc w:val="both"/>
        <w:rPr>
          <w:rFonts w:ascii="Times New Roman" w:eastAsia="Calibri" w:hAnsi="Times New Roman" w:cs="Times New Roman"/>
          <w:noProof/>
          <w:sz w:val="24"/>
          <w:szCs w:val="24"/>
        </w:rPr>
      </w:pPr>
      <w:r>
        <w:rPr>
          <w:rFonts w:ascii="Times New Roman" w:hAnsi="Times New Roman"/>
          <w:noProof/>
          <w:sz w:val="24"/>
        </w:rPr>
        <w:t>omogočiti hitro in prednostno izdajo gradbenih in okoljskih dovoljenj za projekte obrambne industrije zaradi javnega interesa,</w:t>
      </w:r>
    </w:p>
    <w:p w14:paraId="27552564" w14:textId="77777777" w:rsidR="00475F70" w:rsidRPr="0090794D" w:rsidRDefault="00475F70" w:rsidP="00FA6F38">
      <w:pPr>
        <w:numPr>
          <w:ilvl w:val="0"/>
          <w:numId w:val="7"/>
        </w:numPr>
        <w:spacing w:after="120" w:line="240" w:lineRule="auto"/>
        <w:ind w:left="714" w:hanging="357"/>
        <w:jc w:val="both"/>
        <w:rPr>
          <w:rFonts w:ascii="Times New Roman" w:eastAsia="Calibri" w:hAnsi="Times New Roman" w:cs="Times New Roman"/>
          <w:noProof/>
          <w:sz w:val="24"/>
          <w:szCs w:val="24"/>
        </w:rPr>
      </w:pPr>
      <w:r>
        <w:rPr>
          <w:rFonts w:ascii="Times New Roman" w:hAnsi="Times New Roman"/>
          <w:noProof/>
          <w:sz w:val="24"/>
        </w:rPr>
        <w:t>zagotoviti pravočasno in zakonito razpoložljivost in uporabnost vseh potrebnih materialov in drugih vložkov v dobavni verigi EDTIB, zlasti za bistveno uporabo, za katero ni ustreznih nadomestkov,</w:t>
      </w:r>
    </w:p>
    <w:p w14:paraId="088841DA" w14:textId="77777777" w:rsidR="00475F70" w:rsidRPr="0090794D" w:rsidRDefault="00475F70" w:rsidP="00FA6F38">
      <w:pPr>
        <w:numPr>
          <w:ilvl w:val="0"/>
          <w:numId w:val="7"/>
        </w:numPr>
        <w:spacing w:after="120" w:line="240" w:lineRule="auto"/>
        <w:ind w:left="714" w:hanging="357"/>
        <w:jc w:val="both"/>
        <w:rPr>
          <w:rFonts w:ascii="Times New Roman" w:eastAsia="Calibri" w:hAnsi="Times New Roman" w:cs="Times New Roman"/>
          <w:noProof/>
          <w:sz w:val="24"/>
          <w:szCs w:val="24"/>
        </w:rPr>
      </w:pPr>
      <w:r>
        <w:rPr>
          <w:rFonts w:ascii="Times New Roman" w:hAnsi="Times New Roman"/>
          <w:noProof/>
          <w:sz w:val="24"/>
        </w:rPr>
        <w:t xml:space="preserve">odpraviti ovire za razpoložljivost vojaškega osebja ob ustreznem času in na ustreznem kraju, </w:t>
      </w:r>
    </w:p>
    <w:p w14:paraId="6E5302F9" w14:textId="40819C12" w:rsidR="00475F70" w:rsidRPr="006443EA" w:rsidRDefault="00B6214B" w:rsidP="00FA6F38">
      <w:pPr>
        <w:pStyle w:val="ListParagraph"/>
        <w:numPr>
          <w:ilvl w:val="0"/>
          <w:numId w:val="8"/>
        </w:numPr>
        <w:spacing w:after="120" w:line="240" w:lineRule="auto"/>
        <w:ind w:left="714" w:hanging="357"/>
        <w:contextualSpacing w:val="0"/>
        <w:jc w:val="both"/>
        <w:rPr>
          <w:rFonts w:ascii="Times New Roman" w:eastAsia="Calibri" w:hAnsi="Times New Roman" w:cs="Times New Roman"/>
          <w:noProof/>
          <w:sz w:val="24"/>
          <w:szCs w:val="24"/>
        </w:rPr>
      </w:pPr>
      <w:r w:rsidRPr="006443EA">
        <w:rPr>
          <w:rFonts w:ascii="Times New Roman" w:hAnsi="Times New Roman"/>
          <w:noProof/>
          <w:sz w:val="24"/>
        </w:rPr>
        <w:t>odpraviti ovire pri dostopu do financiranja, vključno z naložbami ESG,</w:t>
      </w:r>
    </w:p>
    <w:p w14:paraId="01A60A8D" w14:textId="2D232673" w:rsidR="00475F70" w:rsidRPr="006443EA" w:rsidRDefault="00475F70" w:rsidP="00FA6F38">
      <w:pPr>
        <w:pStyle w:val="ListParagraph"/>
        <w:numPr>
          <w:ilvl w:val="0"/>
          <w:numId w:val="8"/>
        </w:numPr>
        <w:spacing w:after="120" w:line="240" w:lineRule="auto"/>
        <w:ind w:left="714" w:hanging="357"/>
        <w:contextualSpacing w:val="0"/>
        <w:jc w:val="both"/>
        <w:rPr>
          <w:rFonts w:ascii="Times New Roman" w:eastAsia="Calibri" w:hAnsi="Times New Roman" w:cs="Times New Roman"/>
          <w:noProof/>
          <w:sz w:val="24"/>
          <w:szCs w:val="24"/>
        </w:rPr>
      </w:pPr>
      <w:r w:rsidRPr="006443EA">
        <w:rPr>
          <w:rFonts w:ascii="Times New Roman" w:hAnsi="Times New Roman"/>
          <w:noProof/>
          <w:sz w:val="24"/>
        </w:rPr>
        <w:t>olajšati izmenjavo zaupnih in občutljivih informacij pod pogoji, ki zagotavljajo enostavnost in varnost obdelave,</w:t>
      </w:r>
    </w:p>
    <w:p w14:paraId="0F47CAB7" w14:textId="1C5E1167" w:rsidR="001F3530" w:rsidRPr="006443EA" w:rsidRDefault="00475F70" w:rsidP="00FA6F38">
      <w:pPr>
        <w:pStyle w:val="ListParagraph"/>
        <w:numPr>
          <w:ilvl w:val="0"/>
          <w:numId w:val="8"/>
        </w:numPr>
        <w:spacing w:after="120" w:line="240" w:lineRule="auto"/>
        <w:ind w:left="714" w:hanging="357"/>
        <w:contextualSpacing w:val="0"/>
        <w:jc w:val="both"/>
        <w:rPr>
          <w:rFonts w:ascii="Times New Roman" w:eastAsia="Calibri" w:hAnsi="Times New Roman" w:cs="Times New Roman"/>
          <w:noProof/>
          <w:sz w:val="24"/>
          <w:szCs w:val="24"/>
        </w:rPr>
      </w:pPr>
      <w:r w:rsidRPr="006443EA">
        <w:rPr>
          <w:rFonts w:ascii="Times New Roman" w:hAnsi="Times New Roman"/>
          <w:noProof/>
          <w:sz w:val="24"/>
        </w:rPr>
        <w:t>racionalizirati programe za obrambno industrijo EU za skrajšanje rokov za dobavo, poenostaviti upravljanje projektov, ki jih financira EU, in poenostaviti obravnavo sofinanciranja držav članic.</w:t>
      </w:r>
    </w:p>
    <w:p w14:paraId="097137EE" w14:textId="77777777" w:rsidR="001F3530" w:rsidRPr="00C147CB" w:rsidRDefault="001F3530" w:rsidP="00F953EE">
      <w:pPr>
        <w:spacing w:after="120" w:line="240" w:lineRule="auto"/>
        <w:jc w:val="both"/>
        <w:rPr>
          <w:rFonts w:ascii="Times New Roman" w:eastAsia="Calibri" w:hAnsi="Times New Roman" w:cs="Times New Roman"/>
          <w:noProof/>
          <w:sz w:val="24"/>
          <w:szCs w:val="24"/>
        </w:rPr>
      </w:pPr>
    </w:p>
    <w:p w14:paraId="7E26679D" w14:textId="3D7D6419" w:rsidR="001F3530" w:rsidRPr="000066F3" w:rsidRDefault="001F3530" w:rsidP="00F953EE">
      <w:pPr>
        <w:spacing w:after="0" w:line="240" w:lineRule="auto"/>
        <w:jc w:val="both"/>
        <w:rPr>
          <w:rFonts w:ascii="Times New Roman" w:eastAsia="Calibri" w:hAnsi="Times New Roman" w:cs="Times New Roman"/>
          <w:noProof/>
          <w:sz w:val="24"/>
          <w:szCs w:val="24"/>
        </w:rPr>
      </w:pPr>
      <w:r>
        <w:rPr>
          <w:rFonts w:ascii="Times New Roman" w:hAnsi="Times New Roman"/>
          <w:noProof/>
          <w:sz w:val="24"/>
        </w:rPr>
        <w:t xml:space="preserve">V tem kontekstu se bosta poenostavili in uskladili tudi direktivi EU o javnih naročilih za obrambo in občutljivo varnostno opremo ter o prenosih obrambnih proizvodov znotraj EU. Na podlagi vmesnega pregleda bi moral biti cilj tudi, da se poenostavijo in pospešijo pravila in postopki Evropskega obrambnega sklada. </w:t>
      </w:r>
    </w:p>
    <w:p w14:paraId="17479638" w14:textId="77777777" w:rsidR="00475F70" w:rsidRPr="00C147CB" w:rsidRDefault="00475F70" w:rsidP="00F953EE">
      <w:pPr>
        <w:rPr>
          <w:noProof/>
        </w:rPr>
      </w:pPr>
    </w:p>
    <w:p w14:paraId="305A9BF7" w14:textId="292713EF" w:rsidR="00475F70" w:rsidRPr="000066F3" w:rsidRDefault="00475F70" w:rsidP="00475F70">
      <w:pPr>
        <w:spacing w:after="360" w:line="240" w:lineRule="auto"/>
        <w:jc w:val="both"/>
        <w:rPr>
          <w:rFonts w:ascii="Times New Roman" w:eastAsia="Calibri" w:hAnsi="Times New Roman" w:cs="Times New Roman"/>
          <w:b/>
          <w:bCs/>
          <w:noProof/>
          <w:sz w:val="24"/>
          <w:szCs w:val="24"/>
        </w:rPr>
      </w:pPr>
      <w:r>
        <w:rPr>
          <w:rFonts w:ascii="Times New Roman" w:hAnsi="Times New Roman"/>
          <w:b/>
          <w:noProof/>
          <w:sz w:val="24"/>
        </w:rPr>
        <w:t xml:space="preserve">Strateške zaloge in združena sredstva za pripravljenost </w:t>
      </w:r>
    </w:p>
    <w:p w14:paraId="61CC23CA" w14:textId="692C52C6" w:rsidR="00475F70" w:rsidRDefault="00475F70" w:rsidP="00475F70">
      <w:pPr>
        <w:spacing w:after="360" w:line="240" w:lineRule="auto"/>
        <w:jc w:val="both"/>
        <w:rPr>
          <w:rFonts w:ascii="Times New Roman" w:eastAsia="Calibri" w:hAnsi="Times New Roman" w:cs="Times New Roman"/>
          <w:noProof/>
          <w:sz w:val="24"/>
          <w:szCs w:val="24"/>
        </w:rPr>
      </w:pPr>
      <w:r>
        <w:rPr>
          <w:rFonts w:ascii="Times New Roman" w:hAnsi="Times New Roman"/>
          <w:noProof/>
          <w:sz w:val="24"/>
        </w:rPr>
        <w:t xml:space="preserve">EU lahko skupaj z državami članicami podpre oblikovanje strateških zalog in združenih sredstev za pripravljenost obrambne industrije. Program za evropsko obrambno industrijo (EDIP) bo podpiral ta prizadevanja v skladu s tremi področji ukrepanja. Prvič, s podpiranjem industrijskih ukrepov za razvoj čezmejnih industrijskih partnerstev za usklajevanje zalog obrambnih proizvodov, sestavnih delov in povezanih surovin. Drugič, s podpiranjem ukrepov javnega naročanja za oblikovanje strateških zalog ustreznih sestavnih delov in surovin. Tretjič, s podpiranjem oblikovanja optimalno lociranih strateških zalog (ali združenih sredstev za pripravljenost obrambne industrije) obrambnih proizvodov, proizvedenih v EU. </w:t>
      </w:r>
    </w:p>
    <w:p w14:paraId="02AC1755" w14:textId="77777777" w:rsidR="00242F7F" w:rsidRPr="00C147CB" w:rsidRDefault="00242F7F" w:rsidP="00475F70">
      <w:pPr>
        <w:spacing w:after="360" w:line="240" w:lineRule="auto"/>
        <w:jc w:val="both"/>
        <w:rPr>
          <w:rFonts w:ascii="Times New Roman" w:eastAsia="Calibri" w:hAnsi="Times New Roman" w:cs="Times New Roman"/>
          <w:noProof/>
          <w:sz w:val="24"/>
          <w:szCs w:val="24"/>
        </w:rPr>
      </w:pPr>
    </w:p>
    <w:p w14:paraId="6F85E953" w14:textId="77777777" w:rsidR="00475F70" w:rsidRPr="000066F3" w:rsidRDefault="00475F70" w:rsidP="00471147">
      <w:pPr>
        <w:keepNext/>
        <w:spacing w:after="240" w:line="240" w:lineRule="auto"/>
        <w:jc w:val="both"/>
        <w:rPr>
          <w:rFonts w:ascii="Times New Roman" w:eastAsia="Times New Roman" w:hAnsi="Times New Roman" w:cs="Times New Roman"/>
          <w:b/>
          <w:bCs/>
          <w:noProof/>
          <w:sz w:val="24"/>
          <w:szCs w:val="24"/>
        </w:rPr>
      </w:pPr>
      <w:r>
        <w:rPr>
          <w:rFonts w:ascii="Times New Roman" w:hAnsi="Times New Roman"/>
          <w:b/>
          <w:caps/>
          <w:noProof/>
          <w:sz w:val="24"/>
        </w:rPr>
        <w:t xml:space="preserve">5. </w:t>
      </w:r>
      <w:r>
        <w:rPr>
          <w:rFonts w:ascii="Times New Roman" w:hAnsi="Times New Roman"/>
          <w:b/>
          <w:noProof/>
          <w:sz w:val="24"/>
        </w:rPr>
        <w:t>POVEČANA VOJAŠKA PODPORA ZA UKRAJINO („strategija ježevca“)</w:t>
      </w:r>
    </w:p>
    <w:p w14:paraId="7F551966" w14:textId="3886C6C5" w:rsidR="00475F70" w:rsidRPr="000066F3" w:rsidRDefault="00475F70" w:rsidP="00475F70">
      <w:pPr>
        <w:shd w:val="clear" w:color="auto" w:fill="FFFFFF"/>
        <w:spacing w:before="240" w:after="240" w:line="240" w:lineRule="auto"/>
        <w:jc w:val="both"/>
        <w:rPr>
          <w:rFonts w:ascii="Times New Roman" w:eastAsia="Calibri" w:hAnsi="Times New Roman" w:cs="Times New Roman"/>
          <w:bCs/>
          <w:noProof/>
          <w:sz w:val="24"/>
          <w:szCs w:val="24"/>
        </w:rPr>
      </w:pPr>
      <w:r>
        <w:rPr>
          <w:rFonts w:ascii="Times New Roman" w:hAnsi="Times New Roman"/>
          <w:noProof/>
          <w:sz w:val="24"/>
        </w:rPr>
        <w:t xml:space="preserve">Od februarja 2022 so EU in države članice Ukrajini zagotovile približno 50 milijard EUR vojaške podpore, tudi v okviru evropskega mirovnega instrumenta. Ta podpora je bila ključnega pomena za ohranitev vojnih prizadevanj Ukrajine. Ukrajinski odpor proti vojni agresiji Rusije je bil izjemen. Obrambne potrebe Ukrajine bodo še naprej velike, tudi po morebitni kratkoročni prekinitvi ognja ali mirovnem sporazumu. Ukrajina bo ostala na čelu evropske obrambe in varnosti, hkrati pa je tudi ključno prizorišče za opredelitev novega mednarodnega reda, v katerem bo njena varnost povezana z varnostjo Evropske unije. EU in njene države članice bodo morale okrepiti obrambne in varnostne zmogljivosti Ukrajine na podlagi „strategije ježevca“, da bo lahko odvračala morebitne nadaljnje napade in zagotovila trajen mir. Zato morajo EU in njene države članice nujno povečati vojaško pomoč Ukrajini. </w:t>
      </w:r>
    </w:p>
    <w:p w14:paraId="7EBC4ED1" w14:textId="77777777" w:rsidR="00475F70" w:rsidRPr="000066F3" w:rsidRDefault="00475F70" w:rsidP="00475F70">
      <w:pPr>
        <w:spacing w:after="240" w:line="240" w:lineRule="auto"/>
        <w:jc w:val="both"/>
        <w:rPr>
          <w:rFonts w:ascii="Times New Roman" w:eastAsia="Calibri" w:hAnsi="Times New Roman" w:cs="Times New Roman"/>
          <w:bCs/>
          <w:noProof/>
          <w:sz w:val="24"/>
          <w:szCs w:val="24"/>
        </w:rPr>
      </w:pPr>
      <w:r>
        <w:rPr>
          <w:rFonts w:ascii="Times New Roman" w:hAnsi="Times New Roman"/>
          <w:noProof/>
          <w:sz w:val="24"/>
        </w:rPr>
        <w:t>Vojna agresija je prav tako izpostavila zelo inovativno in uspešno ukrajinsko obrambno industrijo, ki ima veliko strokovnega znanja v sektorjih, kot so umetna inteligenca in droni, pa tudi proste zmogljivosti na ključnih področjih. Pozitiven odnos do dela in podjetniški duh mladih in dinamičnih ukrajinskih podjetij lahko pomembno spodbudita konkurenčnost Evrope in razvoj okrepljenih evropskih obrambnih zmogljivosti.</w:t>
      </w:r>
    </w:p>
    <w:p w14:paraId="1928B65E" w14:textId="77777777" w:rsidR="00475F70" w:rsidRPr="000066F3" w:rsidRDefault="00475F70" w:rsidP="00475F70">
      <w:pPr>
        <w:shd w:val="clear" w:color="auto" w:fill="FFFFFF"/>
        <w:spacing w:after="240" w:line="240" w:lineRule="auto"/>
        <w:jc w:val="both"/>
        <w:rPr>
          <w:rFonts w:ascii="Times New Roman" w:eastAsia="Calibri" w:hAnsi="Times New Roman" w:cs="Times New Roman"/>
          <w:noProof/>
          <w:sz w:val="24"/>
          <w:szCs w:val="24"/>
        </w:rPr>
      </w:pPr>
      <w:r>
        <w:rPr>
          <w:rFonts w:ascii="Times New Roman" w:hAnsi="Times New Roman"/>
          <w:noProof/>
          <w:sz w:val="24"/>
        </w:rPr>
        <w:t>Vojaška podpora EU Ukrajini bi se morala osredotočiti na dve prednostni nalogi, ki se medsebojno dopolnjujeta:</w:t>
      </w:r>
    </w:p>
    <w:p w14:paraId="49E8F32A" w14:textId="77777777" w:rsidR="00475F70" w:rsidRPr="000066F3" w:rsidRDefault="00475F70" w:rsidP="00475F70">
      <w:pPr>
        <w:shd w:val="clear" w:color="auto" w:fill="FFFFFF"/>
        <w:spacing w:after="240" w:line="240" w:lineRule="auto"/>
        <w:jc w:val="both"/>
        <w:rPr>
          <w:rFonts w:ascii="Times New Roman" w:eastAsia="Calibri" w:hAnsi="Times New Roman" w:cs="Times New Roman"/>
          <w:i/>
          <w:iCs/>
          <w:noProof/>
          <w:sz w:val="24"/>
          <w:szCs w:val="24"/>
        </w:rPr>
      </w:pPr>
      <w:r>
        <w:rPr>
          <w:rFonts w:ascii="Times New Roman" w:hAnsi="Times New Roman"/>
          <w:i/>
          <w:noProof/>
          <w:sz w:val="24"/>
        </w:rPr>
        <w:t>a. Okrepitev vojaške in druge pomoči EU Ukrajini</w:t>
      </w:r>
    </w:p>
    <w:p w14:paraId="08C562E2" w14:textId="258447DD" w:rsidR="00475F70" w:rsidRPr="000066F3" w:rsidRDefault="00475F70" w:rsidP="00475F70">
      <w:pPr>
        <w:shd w:val="clear" w:color="auto" w:fill="FFFFFF"/>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V okviru dolgoročnih varnostnih jamstev in v skladu s pobudo visoke predstavnice za okrepljeno vojaško podporo Ukrajini bi morale EU in njene države članice zagotoviti naslednje: </w:t>
      </w:r>
    </w:p>
    <w:p w14:paraId="176F3CAA" w14:textId="0E75F11F" w:rsidR="00475F70" w:rsidRPr="000066F3" w:rsidRDefault="00475F70" w:rsidP="006443EA">
      <w:pPr>
        <w:numPr>
          <w:ilvl w:val="0"/>
          <w:numId w:val="9"/>
        </w:numPr>
        <w:shd w:val="clear" w:color="auto" w:fill="FFFFFF"/>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dobavo </w:t>
      </w:r>
      <w:r>
        <w:rPr>
          <w:rFonts w:ascii="Times New Roman" w:hAnsi="Times New Roman"/>
          <w:noProof/>
          <w:sz w:val="24"/>
          <w:u w:val="single"/>
        </w:rPr>
        <w:t>artilerijskega streliva</w:t>
      </w:r>
      <w:r>
        <w:rPr>
          <w:rFonts w:ascii="Times New Roman" w:hAnsi="Times New Roman"/>
          <w:noProof/>
          <w:sz w:val="24"/>
        </w:rPr>
        <w:t xml:space="preserve"> velikega kalibra z minimalnim ciljem 2 milijona kosov na leto. Obstaja nujna kratkoročna potreba po popolnem financiranju dobav streliva Ukrajini v letu 2025, tudi s spodbudami za donacije iz zalog in javnih naročil. Da bi zagotovili stabilne dobave, je treba finančne zaveze sprejeti zdaj,</w:t>
      </w:r>
    </w:p>
    <w:p w14:paraId="217700F4" w14:textId="2B543551" w:rsidR="00475F70" w:rsidRPr="000066F3" w:rsidRDefault="00475F70" w:rsidP="006443EA">
      <w:pPr>
        <w:numPr>
          <w:ilvl w:val="0"/>
          <w:numId w:val="9"/>
        </w:numPr>
        <w:shd w:val="clear" w:color="auto" w:fill="FFFFFF"/>
        <w:spacing w:after="120" w:line="240" w:lineRule="auto"/>
        <w:jc w:val="both"/>
        <w:rPr>
          <w:rFonts w:ascii="Times New Roman" w:eastAsia="Calibri" w:hAnsi="Times New Roman" w:cs="Times New Roman"/>
          <w:bCs/>
          <w:noProof/>
          <w:sz w:val="24"/>
          <w:szCs w:val="24"/>
        </w:rPr>
      </w:pPr>
      <w:r>
        <w:rPr>
          <w:rFonts w:ascii="Times New Roman" w:hAnsi="Times New Roman"/>
          <w:noProof/>
          <w:sz w:val="24"/>
        </w:rPr>
        <w:t xml:space="preserve">zagotavljanje sistemov </w:t>
      </w:r>
      <w:r>
        <w:rPr>
          <w:rFonts w:ascii="Times New Roman" w:hAnsi="Times New Roman"/>
          <w:noProof/>
          <w:sz w:val="24"/>
          <w:u w:val="single"/>
        </w:rPr>
        <w:t>zračne obrambe</w:t>
      </w:r>
      <w:r>
        <w:rPr>
          <w:rFonts w:ascii="Times New Roman" w:hAnsi="Times New Roman"/>
          <w:noProof/>
          <w:sz w:val="24"/>
        </w:rPr>
        <w:t xml:space="preserve">, raket (vključno s tistimi za natančne globoke napade) in dronov je prednostna naloga Ukrajine in držav članic. Na podlagi pisma o nameri iz novembra 2024, v katerem je 18 držav članic potrdilo svojo pripravljenost, da kratkoročno skupaj zapolnijo nujne vrzeli v zmogljivostih z javnim naročanjem kopenskih sistemov zračne obrambe in sistemov za obrambo pred brezpilotnimi zrakoplovi, bi bilo treba z Ukrajino začeti izvajati dvotirno pobudo za zračno obrambo, ki bi zajemala skupna javna naročila in finančno podporo Ukrajini za pospešitev proizvodnje prestreznikov za sisteme zračne obrambe kratkega in srednjega dosega, </w:t>
      </w:r>
    </w:p>
    <w:p w14:paraId="6D6C5725" w14:textId="5EC5AA06" w:rsidR="00475F70" w:rsidRPr="000066F3" w:rsidRDefault="00475F70" w:rsidP="006443EA">
      <w:pPr>
        <w:numPr>
          <w:ilvl w:val="0"/>
          <w:numId w:val="9"/>
        </w:numPr>
        <w:shd w:val="clear" w:color="auto" w:fill="FFFFFF"/>
        <w:spacing w:after="120" w:line="240" w:lineRule="auto"/>
        <w:jc w:val="both"/>
        <w:rPr>
          <w:rFonts w:ascii="Times New Roman" w:eastAsia="Calibri" w:hAnsi="Times New Roman" w:cs="Times New Roman"/>
          <w:noProof/>
          <w:sz w:val="24"/>
          <w:szCs w:val="24"/>
        </w:rPr>
      </w:pPr>
      <w:r>
        <w:rPr>
          <w:rFonts w:ascii="Times New Roman" w:hAnsi="Times New Roman"/>
          <w:noProof/>
          <w:sz w:val="24"/>
          <w:u w:val="single"/>
        </w:rPr>
        <w:t>droni</w:t>
      </w:r>
      <w:r>
        <w:rPr>
          <w:rFonts w:ascii="Times New Roman" w:hAnsi="Times New Roman"/>
          <w:noProof/>
          <w:sz w:val="24"/>
        </w:rPr>
        <w:t xml:space="preserve"> predstavljajo nepogrešljivo zmogljivost za odpravo asimetrije vojaških virov na terenu. EU in njene države članice bi morale Ukrajini še naprej pomagati pri javnem naročanju dronov in še dodatno podpirati razvoj njenih proizvodnih zmogljivosti, tudi s skupnimi podjetji med evropsko in ukrajinsko industrijo,</w:t>
      </w:r>
    </w:p>
    <w:p w14:paraId="705823B8" w14:textId="60187F9F" w:rsidR="00475F70" w:rsidRPr="000066F3" w:rsidRDefault="00475F70" w:rsidP="006443EA">
      <w:pPr>
        <w:numPr>
          <w:ilvl w:val="0"/>
          <w:numId w:val="9"/>
        </w:numPr>
        <w:shd w:val="clear" w:color="auto" w:fill="FFFFFF"/>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prizadevanja EU in držav članic za </w:t>
      </w:r>
      <w:r>
        <w:rPr>
          <w:rFonts w:ascii="Times New Roman" w:hAnsi="Times New Roman"/>
          <w:noProof/>
          <w:sz w:val="24"/>
          <w:u w:val="single"/>
        </w:rPr>
        <w:t>usposabljanje in opremljanje</w:t>
      </w:r>
      <w:r>
        <w:rPr>
          <w:rFonts w:ascii="Times New Roman" w:hAnsi="Times New Roman"/>
          <w:noProof/>
          <w:sz w:val="24"/>
        </w:rPr>
        <w:t xml:space="preserve"> ukrajinskih brigad ter dejavno podporo obnovi bataljonov je treba okrepiti in jih razvijati še naprej, da bodo postala bistven element prihodnjega razvoja vojaških zmogljivosti Ukrajine po morebitni prekinitvi ognja. Misija Evropske unije za vojaško pomoč v podporo Ukrajini bo še naprej zagotavljala usposabljanje, ki se ga je do zdaj udeležilo že več kot 75 000 upravičencev. Posebno podporo in nadomestne dele za vzdrževanje, popravilo in obnovo opreme, ki je bila poškodovana v boju, bi bilo treba zagotoviti čim bližje operacijam, vojaško opremo, ki se pošilja Ukrajini, pa bi bilo treba bolje prilagoditi dejanskim razmeram na terenu. Poleg tega bo tudi za evropske enote zelo koristno, če se bodo učile iz izkušenj, ki so jih na frontni črti pridobile ukrajinske sile, </w:t>
      </w:r>
    </w:p>
    <w:p w14:paraId="005F3EA9" w14:textId="26E4CFA1" w:rsidR="00475F70" w:rsidRPr="000066F3" w:rsidRDefault="00475F70" w:rsidP="006443EA">
      <w:pPr>
        <w:numPr>
          <w:ilvl w:val="0"/>
          <w:numId w:val="9"/>
        </w:numPr>
        <w:shd w:val="clear" w:color="auto" w:fill="FFFFFF"/>
        <w:spacing w:after="120" w:line="240" w:lineRule="auto"/>
        <w:jc w:val="both"/>
        <w:rPr>
          <w:rFonts w:ascii="Times New Roman" w:eastAsia="Calibri" w:hAnsi="Times New Roman" w:cs="Times New Roman"/>
          <w:noProof/>
          <w:sz w:val="24"/>
          <w:szCs w:val="24"/>
        </w:rPr>
      </w:pPr>
      <w:r>
        <w:rPr>
          <w:rFonts w:ascii="Times New Roman" w:hAnsi="Times New Roman"/>
          <w:noProof/>
          <w:sz w:val="24"/>
          <w:u w:val="single"/>
        </w:rPr>
        <w:t>neposredna podpora ukrajinski obrambni industriji</w:t>
      </w:r>
      <w:r>
        <w:rPr>
          <w:rFonts w:ascii="Times New Roman" w:hAnsi="Times New Roman"/>
          <w:noProof/>
          <w:sz w:val="24"/>
        </w:rPr>
        <w:t xml:space="preserve"> je najuspešnejši in stroškovno najučinkovitejši način, da podpremo vojaška prizadevanja Ukrajine, zlasti z neposrednimi javnimi naročili držav članic pri njeni obrambni industriji za donacije Ukrajini. Ocenjena proizvodna zmogljivost ukrajinske obrambne industrije bo leta 2025 dosegla približno 35 milijard EUR. V ta namen bi lahko Ukrajina uporabila posojilo EU v okviru pobude za posojila za pospešitev uporabe izrednih prihodkov pod vodstvom skupine G7. Komisija bo sprejela vse potrebne ukrepe za financiranje v začetni fazi v okviru tega instrumenta in instrumenta za Ukrajino, da bi čim bolj povečala makroekonomski manevrski prostor Ukrajine.</w:t>
      </w:r>
      <w:r>
        <w:rPr>
          <w:rFonts w:ascii="Times New Roman" w:hAnsi="Times New Roman"/>
          <w:i/>
          <w:noProof/>
          <w:sz w:val="24"/>
        </w:rPr>
        <w:t xml:space="preserve"> </w:t>
      </w:r>
      <w:r>
        <w:rPr>
          <w:rFonts w:ascii="Times New Roman" w:hAnsi="Times New Roman"/>
          <w:noProof/>
          <w:sz w:val="24"/>
        </w:rPr>
        <w:t>Financiranje v začetni fazi v okviru posojil za pospešitev uporabe izrednih prihodkov bo Ukrajini omogočilo, da poveča izdatke za vojaške potrebe in da prednost javnemu naročanju v ukrajinski in evropski obrambni industriji. Poleg tega bi novi instrument za varnostne ukrepe za Evropo (SAFE) ukrajinski obrambni industriji omogočil, da sodeluje pri skupnih javnih naročilih pod enakimi pogoji kot industrija EU,</w:t>
      </w:r>
    </w:p>
    <w:p w14:paraId="60F393C3" w14:textId="77777777" w:rsidR="00475F70" w:rsidRPr="000066F3" w:rsidRDefault="00475F70" w:rsidP="006443EA">
      <w:pPr>
        <w:numPr>
          <w:ilvl w:val="0"/>
          <w:numId w:val="9"/>
        </w:numPr>
        <w:shd w:val="clear" w:color="auto" w:fill="FFFFFF"/>
        <w:spacing w:after="120" w:line="240" w:lineRule="auto"/>
        <w:jc w:val="both"/>
        <w:rPr>
          <w:rFonts w:ascii="Times New Roman" w:eastAsia="Calibri" w:hAnsi="Times New Roman" w:cs="Times New Roman"/>
          <w:noProof/>
          <w:sz w:val="24"/>
          <w:szCs w:val="24"/>
        </w:rPr>
      </w:pPr>
      <w:r>
        <w:rPr>
          <w:rFonts w:ascii="Times New Roman" w:hAnsi="Times New Roman"/>
          <w:noProof/>
          <w:sz w:val="24"/>
        </w:rPr>
        <w:t xml:space="preserve">za nemoteno zagotavljanje vojaške pomoči je potrebna </w:t>
      </w:r>
      <w:r>
        <w:rPr>
          <w:rFonts w:ascii="Times New Roman" w:hAnsi="Times New Roman"/>
          <w:noProof/>
          <w:sz w:val="24"/>
          <w:u w:val="single"/>
        </w:rPr>
        <w:t>okrepljena vojaška mobilnost</w:t>
      </w:r>
      <w:r>
        <w:rPr>
          <w:rFonts w:ascii="Times New Roman" w:hAnsi="Times New Roman"/>
          <w:noProof/>
          <w:sz w:val="24"/>
        </w:rPr>
        <w:t>. Koridorje vojaške mobilnosti EU bi bilo treba razširiti v Ukrajino, kar bi okrepilo interoperabilnost in služilo kot dodatno varnostno jamstvo za odvračanje prihodnje agresije,</w:t>
      </w:r>
    </w:p>
    <w:p w14:paraId="7B788CC9" w14:textId="0597DE89" w:rsidR="00475F70" w:rsidRPr="000066F3" w:rsidRDefault="00475F70" w:rsidP="006443EA">
      <w:pPr>
        <w:numPr>
          <w:ilvl w:val="0"/>
          <w:numId w:val="9"/>
        </w:numPr>
        <w:shd w:val="clear" w:color="auto" w:fill="FFFFFF"/>
        <w:spacing w:after="0" w:line="240" w:lineRule="auto"/>
        <w:contextualSpacing/>
        <w:jc w:val="both"/>
        <w:rPr>
          <w:rFonts w:ascii="Times New Roman" w:eastAsia="Calibri" w:hAnsi="Times New Roman" w:cs="Times New Roman"/>
          <w:noProof/>
          <w:sz w:val="24"/>
          <w:szCs w:val="24"/>
        </w:rPr>
      </w:pPr>
      <w:r>
        <w:rPr>
          <w:rFonts w:ascii="Times New Roman" w:hAnsi="Times New Roman"/>
          <w:noProof/>
          <w:sz w:val="24"/>
        </w:rPr>
        <w:t xml:space="preserve">boljši dostop do </w:t>
      </w:r>
      <w:r>
        <w:rPr>
          <w:rFonts w:ascii="Times New Roman" w:hAnsi="Times New Roman"/>
          <w:noProof/>
          <w:sz w:val="24"/>
          <w:u w:val="single"/>
        </w:rPr>
        <w:t>vesoljskih sredstev in storitev</w:t>
      </w:r>
      <w:r>
        <w:rPr>
          <w:rFonts w:ascii="Times New Roman" w:hAnsi="Times New Roman"/>
          <w:noProof/>
          <w:sz w:val="24"/>
        </w:rPr>
        <w:t xml:space="preserve"> EU bi lahko bil ključni dejavnik za krepitev obrambnih zmogljivosti Ukrajine. EU bi morala ugoditi prošnji Ukrajine za sodelovanje v vesoljskem programu EU, vključno z dostopom do vladnih vesoljskih storitev na področju določanja položaja, navigacije in časa ter komunikacij in opazovanja Zemlje. EU bi morala financirati tudi dostop Ukrajine do storitev, ki jih lahko zagotavljajo komercialni ponudniki s sedežem v EU, vključno z zagonskimi podjetji in podjetji v razširitveni fazi, v podporo ukrajinskim oboroženim silam in na njihovo zahtevo. To bo Ukrajini pomagalo okrepiti odpornost z diverzifikacijo virov vesoljskih storitev. Poleg tega bi morale EU in njene države članice tesno sodelovati z Ukrajino pri zaščiti strateških sredstev (npr. v primeru kibernetskih groženj, usmerjenih proti vesoljskim sredstvom) in Ukrajino povabiti k sodelovanju v centru EU za izmenjavo in analizo vesoljskih informacij. </w:t>
      </w:r>
    </w:p>
    <w:p w14:paraId="5ABDE74A" w14:textId="77777777" w:rsidR="00475F70" w:rsidRPr="00C147CB" w:rsidRDefault="00475F70" w:rsidP="00475F70">
      <w:pPr>
        <w:shd w:val="clear" w:color="auto" w:fill="FFFFFF"/>
        <w:spacing w:after="240" w:line="240" w:lineRule="auto"/>
        <w:ind w:left="284"/>
        <w:contextualSpacing/>
        <w:jc w:val="both"/>
        <w:rPr>
          <w:rFonts w:ascii="Times New Roman" w:eastAsia="Calibri" w:hAnsi="Times New Roman" w:cs="Times New Roman"/>
          <w:noProof/>
          <w:sz w:val="24"/>
          <w:szCs w:val="24"/>
        </w:rPr>
      </w:pPr>
    </w:p>
    <w:p w14:paraId="30FB581A" w14:textId="7D84FE80" w:rsidR="00A21038" w:rsidRPr="00552BA2" w:rsidRDefault="00A21038" w:rsidP="00A21038">
      <w:pPr>
        <w:shd w:val="clear" w:color="auto" w:fill="FFFFFF"/>
        <w:spacing w:after="0" w:line="240" w:lineRule="auto"/>
        <w:jc w:val="both"/>
        <w:rPr>
          <w:rFonts w:ascii="Times New Roman" w:hAnsi="Times New Roman"/>
          <w:noProof/>
          <w:sz w:val="24"/>
        </w:rPr>
      </w:pPr>
      <w:r>
        <w:rPr>
          <w:rFonts w:ascii="Times New Roman" w:hAnsi="Times New Roman"/>
          <w:noProof/>
          <w:sz w:val="24"/>
        </w:rPr>
        <w:t>Celica za usklajevanje v okviru vojaškega štaba EU že prispeva k usklajevanju vojaške podpore držav članic Ukrajini, in sicer v povezavi s Kontaktno skupino za obrambo Ukrajine ter mehanizmom Nata za varnostno pomoč in usposabljanje za Ukrajino. Da bi okrepili to delo in ga nadgradili z večjim industrijskim sodelovanjem med EDTIB in ukrajinsko obrambno industrijo, bo EU Ukrajini predlagala ustanovitev medsektorske projektne skupine.</w:t>
      </w:r>
    </w:p>
    <w:p w14:paraId="4ED7BA95" w14:textId="77777777" w:rsidR="00475F70" w:rsidRPr="00C147CB" w:rsidRDefault="00475F70" w:rsidP="00475F70">
      <w:pPr>
        <w:shd w:val="clear" w:color="auto" w:fill="FFFFFF"/>
        <w:spacing w:after="0" w:line="240" w:lineRule="auto"/>
        <w:jc w:val="both"/>
        <w:rPr>
          <w:rFonts w:ascii="Times New Roman" w:hAnsi="Times New Roman"/>
          <w:noProof/>
          <w:sz w:val="24"/>
        </w:rPr>
      </w:pPr>
    </w:p>
    <w:p w14:paraId="451DBFAB" w14:textId="77777777" w:rsidR="00475F70" w:rsidRPr="000066F3" w:rsidRDefault="00475F70" w:rsidP="00475F70">
      <w:pPr>
        <w:shd w:val="clear" w:color="auto" w:fill="FFFFFF"/>
        <w:spacing w:after="240" w:line="240" w:lineRule="auto"/>
        <w:jc w:val="both"/>
        <w:rPr>
          <w:rFonts w:ascii="Times New Roman" w:eastAsia="Calibri" w:hAnsi="Times New Roman" w:cs="Times New Roman"/>
          <w:i/>
          <w:iCs/>
          <w:noProof/>
          <w:sz w:val="24"/>
          <w:szCs w:val="24"/>
        </w:rPr>
      </w:pPr>
      <w:r>
        <w:rPr>
          <w:rFonts w:ascii="Times New Roman" w:hAnsi="Times New Roman"/>
          <w:i/>
          <w:noProof/>
          <w:sz w:val="24"/>
        </w:rPr>
        <w:t xml:space="preserve">b. Vključitev Ukrajine v pobude EU za razvoj obrambnih zmogljivosti in integracijo zadevne obrambne industrije </w:t>
      </w:r>
    </w:p>
    <w:p w14:paraId="214EDF49" w14:textId="59718030" w:rsidR="00475F70" w:rsidRPr="000066F3" w:rsidRDefault="00475F70" w:rsidP="00475F70">
      <w:pPr>
        <w:spacing w:after="240" w:line="240" w:lineRule="auto"/>
        <w:jc w:val="both"/>
        <w:rPr>
          <w:rFonts w:ascii="Times New Roman" w:eastAsia="Calibri" w:hAnsi="Times New Roman" w:cs="Times New Roman"/>
          <w:bCs/>
          <w:noProof/>
          <w:sz w:val="24"/>
          <w:szCs w:val="24"/>
        </w:rPr>
      </w:pPr>
      <w:r>
        <w:rPr>
          <w:rFonts w:ascii="Times New Roman" w:hAnsi="Times New Roman"/>
          <w:noProof/>
          <w:sz w:val="24"/>
        </w:rPr>
        <w:t xml:space="preserve">Zadnja tri leta so Ukrajino spodbudila k hitremu razvoju vojaških zmogljivosti. Danes Ukrajina izkušnje, ki jih je pridobila na frontni črti, uporablja za nenehno prilagajanje in posodabljanje opreme do te mere, da je postala vodilni svetovni laboratorij za inovacije na področju obrambe in tehnologije. Tesnejše sodelovanje med ukrajinsko in evropsko obrambno industrijo bo omogočilo neposreden prenos znanja o najboljši uporabi inovacij za doseganje vojaške nadvlade na bojišču, vključno s hitrim povečanjem proizvodnje in posodobitvijo obstoječih zmogljivosti. </w:t>
      </w:r>
    </w:p>
    <w:p w14:paraId="69D8B707" w14:textId="32FE174D" w:rsidR="00475F70" w:rsidRPr="000066F3" w:rsidRDefault="00475F70" w:rsidP="00475F70">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Vendar pa EDTIB ostaja v ospredju razvoja naprednejših obsežnih obrambnih sistemov in tehnologij. Vključitev ukrajinske obrambne industrije v EDTIB ji bo pomagala pri povečanju obsega, posodobitvi, konsolidaciji in zagotavljanju stroškovno učinkovitih obrambnih proizvodov na svetovnem trgu. </w:t>
      </w:r>
    </w:p>
    <w:p w14:paraId="39F27AA2" w14:textId="77777777" w:rsidR="00475F70" w:rsidRPr="000066F3" w:rsidRDefault="00475F70" w:rsidP="00475F70">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Hitro sprejetje osnutka uredbe o EDIP je zato glavna prednostna naloga. Ko bo sprejeta, bo utrla pot za vključitev Ukrajine na evropski trg za obrambno opremo z namenskim instrumentom za podporo Ukrajini in možnostjo sodelovanja Ukrajine v dejavnostih programa v skladu s sedanjim predlogom za instrument SAFE v okviru različnih modalitet instrumenta. V tem kontekstu bi lahko povečali urad EU za inovacije na področju obrambe v Kijevu, da bi razširili sodelovanje na področju obrambne industrije, kar bi EU omogočilo, da podpre Ukrajino, izkoristi njene vojne izkušnje ter dodatno spodbuja neposredne naložbe podjetij EU v ukrajinski trg obrambne industrije. Poleg tega Komisija in visoka predstavnica priporočata državam članicam, naj pooblastijo agencijo EDA za razširitev sodelovanja Ukrajine v njenih dejavnostih, vključno z vozliščem EU za inovacije na področju obrambe. Spodbujati bi bilo treba tudi sodelovanje Ukrajine pri projektih v okviru PESCO in priložnostih za sodelovanje, ki izhajajo iz usklajenega letnega pregleda na področju obrambe. </w:t>
      </w:r>
    </w:p>
    <w:p w14:paraId="265772B1" w14:textId="77777777" w:rsidR="00475F70" w:rsidRDefault="00475F70" w:rsidP="00475F70">
      <w:pPr>
        <w:shd w:val="clear" w:color="auto" w:fill="FFFFFF"/>
        <w:spacing w:after="240" w:line="240" w:lineRule="auto"/>
        <w:jc w:val="both"/>
        <w:rPr>
          <w:rFonts w:ascii="Times New Roman" w:eastAsia="Calibri" w:hAnsi="Times New Roman" w:cs="Times New Roman"/>
          <w:bCs/>
          <w:noProof/>
          <w:sz w:val="24"/>
          <w:szCs w:val="24"/>
        </w:rPr>
      </w:pPr>
      <w:r>
        <w:rPr>
          <w:rFonts w:ascii="Times New Roman" w:hAnsi="Times New Roman"/>
          <w:noProof/>
          <w:sz w:val="24"/>
        </w:rPr>
        <w:t>Posledični stiki med osebjem ter sodelovanje med EU, državami članicami in Ukrajino bi omogočili, da Ukrajina nekaj svojih izkušenj z zelo intenzivnim vojskovanjem prenese na EU. Pridobljene izkušnje bi državam članicam pomagale pri opredelitvi prihodnjih obrambnih potreb.</w:t>
      </w:r>
    </w:p>
    <w:p w14:paraId="21409C1F" w14:textId="77777777" w:rsidR="00242F7F" w:rsidRPr="00C147CB" w:rsidRDefault="00242F7F" w:rsidP="00475F70">
      <w:pPr>
        <w:shd w:val="clear" w:color="auto" w:fill="FFFFFF"/>
        <w:spacing w:after="240" w:line="240" w:lineRule="auto"/>
        <w:jc w:val="both"/>
        <w:rPr>
          <w:rFonts w:ascii="Times New Roman" w:eastAsia="Calibri" w:hAnsi="Times New Roman" w:cs="Times New Roman"/>
          <w:bCs/>
          <w:noProof/>
          <w:sz w:val="24"/>
          <w:szCs w:val="24"/>
        </w:rPr>
      </w:pPr>
    </w:p>
    <w:p w14:paraId="073946DA" w14:textId="58D0A735" w:rsidR="00475F70" w:rsidRPr="000066F3" w:rsidRDefault="005A0CCE" w:rsidP="00471147">
      <w:pPr>
        <w:keepNext/>
        <w:spacing w:after="240" w:line="240" w:lineRule="auto"/>
        <w:jc w:val="both"/>
        <w:rPr>
          <w:rFonts w:ascii="Times New Roman" w:eastAsia="Calibri" w:hAnsi="Times New Roman" w:cs="Times New Roman"/>
          <w:b/>
          <w:bCs/>
          <w:noProof/>
          <w:sz w:val="24"/>
          <w:szCs w:val="24"/>
        </w:rPr>
      </w:pPr>
      <w:bookmarkStart w:id="4" w:name="_Hlk193045407"/>
      <w:r>
        <w:rPr>
          <w:rFonts w:ascii="Times New Roman" w:hAnsi="Times New Roman"/>
          <w:b/>
          <w:noProof/>
          <w:sz w:val="24"/>
        </w:rPr>
        <w:t xml:space="preserve">6. MOČNA IN INOVATIVNA OBRAMBNA INDUSTRIJA V EVROPI </w:t>
      </w:r>
    </w:p>
    <w:p w14:paraId="028DA263" w14:textId="77777777" w:rsidR="002C3010" w:rsidRDefault="00475F70" w:rsidP="00134CA5">
      <w:pPr>
        <w:spacing w:line="240" w:lineRule="auto"/>
        <w:jc w:val="both"/>
        <w:rPr>
          <w:rFonts w:ascii="Times New Roman" w:eastAsia="Calibri" w:hAnsi="Times New Roman" w:cs="Times New Roman"/>
          <w:noProof/>
          <w:sz w:val="24"/>
          <w:szCs w:val="24"/>
        </w:rPr>
      </w:pPr>
      <w:r>
        <w:rPr>
          <w:rFonts w:ascii="Times New Roman" w:hAnsi="Times New Roman"/>
          <w:noProof/>
          <w:sz w:val="24"/>
        </w:rPr>
        <w:t xml:space="preserve">Sektor evropske obrambne industrije je nujen predpogoj za obrambno pripravljenost in verodostojno odvračanje. Čeprav je več obrambnih podjetij EU konkurenčnih na svetovni ravni, ima obrambna industrijska baza EU še vedno strukturne pomanjkljivosti. Evropska obrambna industrija trenutno ne more proizvajati obrambnih sistemov in opreme v količinah in s hitrostjo, ki jih potrebujejo države članice. Še vedno je preveč razdrobljena, saj prevladujoči nacionalni akterji oskrbujejo predvsem domače trge. Poleg tega je bila deležna nezadostnih naložb, zato je treba povečati naše naložbe v industrijski sektor EU in nabavo iz njega. Da bi obrambni industriji pomagali premagati te pomanjkljivosti, bo v postopku revizije direktive EU o javnih naročilih za obrambo in občutljivo varnostno opremo, predvidenem za leto 2026, upoštevano priporočilo kompasa za konkurenčnost, da bi začeli dajati prednost evropskim proizvodom. </w:t>
      </w:r>
    </w:p>
    <w:p w14:paraId="7A939295" w14:textId="6B25A2A0" w:rsidR="00134CA5" w:rsidRPr="000066F3" w:rsidRDefault="00134CA5" w:rsidP="002C3010">
      <w:pPr>
        <w:spacing w:line="240" w:lineRule="auto"/>
        <w:jc w:val="both"/>
        <w:rPr>
          <w:rFonts w:ascii="Times New Roman" w:eastAsia="Calibri" w:hAnsi="Times New Roman" w:cs="Times New Roman"/>
          <w:noProof/>
          <w:sz w:val="24"/>
          <w:szCs w:val="24"/>
        </w:rPr>
      </w:pPr>
      <w:r>
        <w:rPr>
          <w:rFonts w:ascii="Times New Roman" w:hAnsi="Times New Roman"/>
          <w:noProof/>
          <w:sz w:val="24"/>
        </w:rPr>
        <w:t xml:space="preserve">Vlaganje v evropsko obrambno pripravljenost nam ne zagotavlja le miru v prihodnosti, temveč je tudi gonilo za uresničevanje naših prizadevanj za konkurenčnost evropske proizvodnje. Obstoječe vrednostne verige ali proizvodne zmogljivosti v naših tradicionalnih industrijah – avtomobilski, jeklarski, aluminijski ali kemični – lahko najdejo nove priložnosti, tako da se preusmerijo in podpirajo vse večji odtis obrambne industrijske baze, medtem ko se lahko novi ekosistemi in vrednostne verige za najsodobnejše tehnologije, kot sta umetna inteligenca ali napredna elektronika, uporabijo v civilne in vojaške namene. </w:t>
      </w:r>
    </w:p>
    <w:p w14:paraId="5D6375D4" w14:textId="6CF48DE4" w:rsidR="00242F7F" w:rsidRDefault="00475F70" w:rsidP="00475F70">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EU bi morala s ciljno usmerjenimi politikami podpirati evropsko obrambno industrijo v okviru šestih strateških usmeritev: (a) podpiranje, krepitev in spodbujanje industrijskih zmogljivosti po vsej EU; (b) zagotavljanje oskrbe s kritičnimi industrijskimi vložki in zmanjšanje odvisnosti; (c) vzpostavitev resničnega trga EU za obrambno opremo; (d) poenostavitev obstoječih pravil in zmanjšanje birokracije; (e) spodbujanje raziskav in razvoja za pospeševanje inovacij ter (f) ohranjanje, privabljanje in razvijanje talentov, krepitev spretnosti in strokovnega znanja v obrambnem sektorju.</w:t>
      </w:r>
    </w:p>
    <w:p w14:paraId="2D013500" w14:textId="0D4CFBC5" w:rsidR="00475F70" w:rsidRPr="000066F3" w:rsidRDefault="00475F70" w:rsidP="00475F70">
      <w:pPr>
        <w:spacing w:after="240" w:line="240" w:lineRule="auto"/>
        <w:jc w:val="both"/>
        <w:rPr>
          <w:rFonts w:ascii="Times New Roman" w:eastAsia="Calibri" w:hAnsi="Times New Roman" w:cs="Times New Roman"/>
          <w:i/>
          <w:iCs/>
          <w:noProof/>
          <w:sz w:val="24"/>
          <w:szCs w:val="24"/>
        </w:rPr>
      </w:pPr>
      <w:r>
        <w:rPr>
          <w:rFonts w:ascii="Times New Roman" w:hAnsi="Times New Roman"/>
          <w:i/>
          <w:noProof/>
          <w:sz w:val="24"/>
        </w:rPr>
        <w:t>Združeno povpraševanje za povečanje proizvodnih zmogljivosti obrambne industrije</w:t>
      </w:r>
    </w:p>
    <w:p w14:paraId="225B1D9D" w14:textId="1E5547EE" w:rsidR="00475F70" w:rsidRPr="000066F3" w:rsidRDefault="00475F70" w:rsidP="00475F70">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Če želijo države članice pridobiti kritične zmogljivosti, ki jim trenutno manjkajo, je treba močno povečati proizvodne zmogljivosti evropske obrambne industrije. Povečanje proizvodnih zmogljivosti, ki bi rešilo težave v dobavni verigi in logistična ozka grla, je mogoče le, če imajo podjetja več let stalen dotok zanesljivih naročil, kar omogoča usmerjanje naložb v dodatne proizvodne linije. </w:t>
      </w:r>
    </w:p>
    <w:p w14:paraId="1C8BD6FF" w14:textId="7CF45A49" w:rsidR="00475F70" w:rsidRPr="000066F3" w:rsidRDefault="00475F70" w:rsidP="00475F70">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Dolgoročna naročila so najboljši način, da povečamo predvidljivost za evropsko obrambno industrijo in zagotovimo potrebne dolgoročne naložbene signale, kot je pokazal program za instrument za okrepitev evropske obrambne industrije s skupnimi javnimi naročili (EDIRPA). Da bi odgovorila na to potrebo, lahko EU po eni strani spodbuja bolj sistematično združevanje povpraševanja držav članic v okviru EDA za pripravo in strukturiranje skupnih javnih naročil v velikem obsegu in na podlagi večletnih pogodb, ki jih podpirajo instrumenti EU. Po drugi strani pa lahko Komisija in agencija EDA v sodelovanju z državami članicami okrepita dialog z industrijo, da bi zagotovili predvidljivost in bolje predvideli njihove združene potrebe, kar bi vsakemu industrijskemu akterju omogočilo, da sodeluje pri načrtovanju proizvodnje, ki bi prispevalo k izpolnjevanju teh skupnih potreb. Ta dinamična izmenjava informacij o predvidenem povečanju povpraševanja in proizvodnje bi EU omogočila tudi boljše prilagajanje podpornih ukrepov, da bi spodbudila skupno javno naročanje in povečanje industrije. </w:t>
      </w:r>
    </w:p>
    <w:p w14:paraId="5C29514D" w14:textId="1E6010B7" w:rsidR="00475F70" w:rsidRPr="000066F3" w:rsidRDefault="00475F70" w:rsidP="00475F70">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Poleg tega je razpoložljivost evropske obrambne opreme v zahtevanih količinah in času predpogoj za okrepljeno varnost, zmanjšanje odvisnosti in večjo konkurenčnost evropske obrambne industrijske baze. EU namerava v skladu s predlogom EDIP začeti pilotni projekt za postopno vzpostavitev evropskega mehanizma za prodajo vojaške opreme, s čimer želi izboljšati razpoložljivost in rok dobave obrambnih proizvodov iz Evrope. </w:t>
      </w:r>
    </w:p>
    <w:p w14:paraId="3820D9E1" w14:textId="77777777" w:rsidR="00475F70" w:rsidRPr="000066F3" w:rsidRDefault="00475F70" w:rsidP="00475F70">
      <w:pPr>
        <w:spacing w:after="240" w:line="240" w:lineRule="auto"/>
        <w:jc w:val="both"/>
        <w:rPr>
          <w:rFonts w:ascii="Times New Roman" w:eastAsia="Calibri" w:hAnsi="Times New Roman" w:cs="Times New Roman"/>
          <w:i/>
          <w:iCs/>
          <w:noProof/>
          <w:sz w:val="24"/>
          <w:szCs w:val="24"/>
        </w:rPr>
      </w:pPr>
      <w:r>
        <w:rPr>
          <w:rFonts w:ascii="Times New Roman" w:hAnsi="Times New Roman"/>
          <w:i/>
          <w:noProof/>
          <w:sz w:val="24"/>
        </w:rPr>
        <w:t>Zmanjšanje odvisnosti in zagotavljanje zanesljivosti oskrbe</w:t>
      </w:r>
    </w:p>
    <w:p w14:paraId="5F535D96" w14:textId="77777777" w:rsidR="00475F70" w:rsidRPr="000066F3" w:rsidRDefault="00475F70" w:rsidP="00475F70">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Za obrambno pripravljenost je ključnega pomena tudi, da se okrepi odpornost obrambnih vrednostih verig EU. Komisija je ustanovila opazovalnico za kritične tehnologije za vesoljske in obrambne vrednostne verige, da bi pridobila znanje o zadevnih kritičnih točkah in jih sistematično spremljala ter razvila ustrezne tehnološke načrte.</w:t>
      </w:r>
    </w:p>
    <w:p w14:paraId="1C3A1CF6" w14:textId="7F50F6E3" w:rsidR="00475F70" w:rsidRPr="000066F3" w:rsidRDefault="00475F70" w:rsidP="00475F70">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Na področju obrambe je za industrijo bistvenega pomena, da ima dostop do kritičnih virov. Kadar se evropski trg zanaša le na enega ali peščico dobaviteljev ključnega blaga, storitev ali drugih vložkov, bi morale politike in naložbe EU okrepiti evropsko gospodarsko varnost z zmanjšanjem potenciala za izkoriščanje odvisnosti kot orožja ali gospodarsko prisilo. Zato si bo Komisija ob podpori agencije EDA prizadevala s strateškim dialogom z evropsko obrambno industrijo jasno opredeliti kritične surovine in ključne sestavne dele (npr. čipe), ki so najbolj pomembni, ter možne ukrepe za zagotovitev diverzifikacije virov oskrbe s podporo EU. </w:t>
      </w:r>
    </w:p>
    <w:p w14:paraId="7C75B832" w14:textId="6B549550" w:rsidR="00475F70" w:rsidRPr="000066F3" w:rsidRDefault="00475F70" w:rsidP="00475F70">
      <w:pPr>
        <w:spacing w:after="240" w:line="240" w:lineRule="auto"/>
        <w:jc w:val="both"/>
        <w:rPr>
          <w:rFonts w:ascii="Arial" w:eastAsia="Calibri" w:hAnsi="Arial" w:cs="Arial"/>
          <w:noProof/>
        </w:rPr>
      </w:pPr>
      <w:r>
        <w:rPr>
          <w:rFonts w:ascii="Times New Roman" w:hAnsi="Times New Roman"/>
          <w:noProof/>
          <w:sz w:val="24"/>
        </w:rPr>
        <w:t xml:space="preserve">Hkrati bo načrtovana vzpostavitev platforme za skupno nabavo kritičnih surovin prispevala k stroškovno učinkoviti in zanesljivi oskrbi. EU bo prav tako podpirala razvoj domačih alternativ za tehnologije, sestavne dele in procese, ki jih mora nadzorovati (npr. s projekti Evropskega obrambnega sklada ali okviri za dvojno rabo). Po potrebi bi si lahko prizadevala za prenos tehnologije in ga spodbujala, da bi izkoristila najnovejše tehnologije in najsodobnejše raziskave, ter sprožila dolgoročna prizadevanja za obravnavo vprašanja omejitev, ki veljajo za tehnologije tretjih držav. </w:t>
      </w:r>
    </w:p>
    <w:p w14:paraId="4B284429" w14:textId="26F0FC06" w:rsidR="00475F70" w:rsidRPr="000066F3" w:rsidRDefault="00475F70" w:rsidP="00471147">
      <w:pPr>
        <w:keepNext/>
        <w:spacing w:after="240" w:line="240" w:lineRule="auto"/>
        <w:jc w:val="both"/>
        <w:rPr>
          <w:rFonts w:ascii="Times New Roman" w:eastAsia="Calibri" w:hAnsi="Times New Roman" w:cs="Times New Roman"/>
          <w:i/>
          <w:iCs/>
          <w:noProof/>
          <w:sz w:val="24"/>
          <w:szCs w:val="24"/>
        </w:rPr>
      </w:pPr>
      <w:r>
        <w:rPr>
          <w:rFonts w:ascii="Times New Roman" w:hAnsi="Times New Roman"/>
          <w:i/>
          <w:noProof/>
          <w:sz w:val="24"/>
        </w:rPr>
        <w:t>Vzpostavitev resničnega trga EU za obrambno opremo ter poenostavitev in uskladitev pravil</w:t>
      </w:r>
    </w:p>
    <w:p w14:paraId="62CBA53F" w14:textId="77777777" w:rsidR="00475F70" w:rsidRPr="000066F3" w:rsidRDefault="00475F70" w:rsidP="00475F70">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Kot je razvidno iz Lettovega poročila, so razlogi za vzpostavitev trga EU za obrambno opremo postali veliko močnejši in še toliko bolj nujni. Države članice kupujejo do štirikrat več opreme kot pred desetimi leti, pogosto od dobaviteljev, ki niso iz EU. Vendar pa noben evropski nacionalni obrambni trg ni dovolj velik, da bi lahko zadostno okrepil evropsko obrambno industrijo. </w:t>
      </w:r>
    </w:p>
    <w:p w14:paraId="398F3F40" w14:textId="798C3BF8" w:rsidR="00475F70" w:rsidRPr="000066F3" w:rsidRDefault="00475F70" w:rsidP="00475F70">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Države članice morajo imeti možnost, da se v celoti zanesejo na EDTIB in evropske obrambne dobavne verige, zlasti v času krize in spopadov. To pomeni, da imajo zagotovljen dostop do obrambnih proizvodov ter sestavnih in nadomestnih delov s celovitim režimom zanesljivosti oskrbe. </w:t>
      </w:r>
    </w:p>
    <w:p w14:paraId="477A3A2A" w14:textId="77777777" w:rsidR="00475F70" w:rsidRPr="000066F3" w:rsidRDefault="00475F70" w:rsidP="00475F70">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Resnično delujoč trg EU za obrambno opremo bi bil eden največjih domačih obrambnih trgov na svetu. Takšen trg bi nam pomagal doseči ključne cilje, kot so svetovna konkurenčnost, pripravljenost in večji industrijski obseg. Podjetja EDTIB bi lahko imela večji odtis obrambne industrije po vsej EU, tudi v tistih državah članicah, ki so blizu najbolj pereči varnostni grožnji. Poleg tega bi se s čezmejnim industrijskim sodelovanjem, združitvami in prevzemi ali zagonskimi podjetji povečale tržne priložnosti v državah članicah, kar bi spodbudilo več obrambnih proizvodov, izdelanih v EU.</w:t>
      </w:r>
    </w:p>
    <w:p w14:paraId="1CD61244" w14:textId="77777777" w:rsidR="00242F7F" w:rsidRDefault="00475F70" w:rsidP="00471147">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Poenostavitev in uskladitev predpisov se morata osredotočiti na pravila in postopke za javna naročila za obrambo, prenose obrambnih proizvodov znotraj EU, vzajemno priznavanje nacionalnih dovoljenj za certificiranje in izdajo dovoljenj. Poleg tega je treba preučiti, kako na obrambno industrijo vplivajo politike in predpisi EU, ki niso specifični za obrambo.</w:t>
      </w:r>
    </w:p>
    <w:p w14:paraId="305D78D7" w14:textId="3FC8FE71" w:rsidR="00475F70" w:rsidRPr="000066F3" w:rsidRDefault="00475F70" w:rsidP="00471147">
      <w:pPr>
        <w:keepNext/>
        <w:spacing w:after="240" w:line="240" w:lineRule="auto"/>
        <w:jc w:val="both"/>
        <w:rPr>
          <w:rFonts w:ascii="Times New Roman" w:eastAsia="Calibri" w:hAnsi="Times New Roman" w:cs="Times New Roman"/>
          <w:i/>
          <w:iCs/>
          <w:noProof/>
          <w:sz w:val="24"/>
          <w:szCs w:val="24"/>
        </w:rPr>
      </w:pPr>
      <w:r>
        <w:rPr>
          <w:rFonts w:ascii="Times New Roman" w:hAnsi="Times New Roman"/>
          <w:i/>
          <w:noProof/>
          <w:sz w:val="24"/>
        </w:rPr>
        <w:t>Preoblikovanje obrambe s prelomnimi inovacijami</w:t>
      </w:r>
    </w:p>
    <w:p w14:paraId="0CF1AF6B" w14:textId="0A38297B" w:rsidR="00475F70" w:rsidRPr="000066F3" w:rsidRDefault="00475F70" w:rsidP="00475F70">
      <w:pPr>
        <w:pStyle w:val="Body"/>
        <w:spacing w:after="240" w:line="240" w:lineRule="auto"/>
        <w:jc w:val="both"/>
        <w:rPr>
          <w:rFonts w:ascii="Times New Roman" w:eastAsia="Times New Roman" w:hAnsi="Times New Roman" w:cs="Times New Roman"/>
          <w:noProof/>
          <w:sz w:val="24"/>
          <w:szCs w:val="24"/>
        </w:rPr>
      </w:pPr>
      <w:bookmarkStart w:id="5" w:name="_Hlk193054479"/>
      <w:bookmarkStart w:id="6" w:name="_Hlk193054455"/>
      <w:r>
        <w:rPr>
          <w:rFonts w:ascii="Times New Roman" w:hAnsi="Times New Roman"/>
          <w:noProof/>
          <w:sz w:val="24"/>
        </w:rPr>
        <w:t xml:space="preserve">Potencial nekaterih tehnologij za prevlado na področju obrambe je pomembna prednost, ki jo je nujno treba okrepiti na evropski ravni. </w:t>
      </w:r>
      <w:bookmarkEnd w:id="5"/>
      <w:r>
        <w:rPr>
          <w:rFonts w:ascii="Times New Roman" w:hAnsi="Times New Roman"/>
          <w:noProof/>
          <w:sz w:val="24"/>
        </w:rPr>
        <w:t xml:space="preserve">Nove tehnologije temeljito spreminjajo naravo vojskovanja na več področjih. </w:t>
      </w:r>
      <w:bookmarkEnd w:id="6"/>
      <w:r>
        <w:rPr>
          <w:rFonts w:ascii="Times New Roman" w:hAnsi="Times New Roman"/>
          <w:noProof/>
          <w:sz w:val="24"/>
        </w:rPr>
        <w:t xml:space="preserve">Umetna inteligenca, računalništvo v oblaku in kvantno računalništvo, napredna in varna povezljivost, avtonomni sistemi in alternativni viri energije </w:t>
      </w:r>
      <w:bookmarkStart w:id="7" w:name="_Hlk193054510"/>
      <w:r>
        <w:rPr>
          <w:rFonts w:ascii="Times New Roman" w:hAnsi="Times New Roman"/>
          <w:noProof/>
          <w:sz w:val="24"/>
        </w:rPr>
        <w:t>resnično lahko</w:t>
      </w:r>
      <w:bookmarkEnd w:id="7"/>
      <w:r>
        <w:rPr>
          <w:rFonts w:ascii="Times New Roman" w:hAnsi="Times New Roman"/>
          <w:noProof/>
          <w:sz w:val="24"/>
        </w:rPr>
        <w:t xml:space="preserve"> zmotijo in spremenijo tradicionalne pristope k vojskovanju. Inovacije na področju tehnologije v zvezi z droni že narekujejo način bojevanja, vloga robotike pa se bo le še povečala, saj bodo avtonomna kopenska vozila prevzela vodilno vlogo v zgodnjih bojnih operacijah. Ti stroji, ki omogočajo izvidovanje, neposredne napade in logistično podporo, že vplivajo na bojišča. Vojaški roboti, ki temeljijo na umetni inteligenci, so še vedno v zgodnjih fazah razvoja, zato ima Evropa veliko priložnosti, da se izpopolni na področju robotskega orožja in programske opreme, ki je potrebna za njegovo delovanje. Toda časa za ukrepanje je zelo malo, saj strateški tekmeci in rivali veliko vlagajo v ta področja, pa tudi v nove tehnološko zapletene segmente, kot so hipersonični izstrelki, orožje z usmerjeno energijo ter vojskovanje na morskem dnu in v vesolju. </w:t>
      </w:r>
    </w:p>
    <w:p w14:paraId="2EE35125" w14:textId="4538A977" w:rsidR="00475F70" w:rsidRPr="000066F3" w:rsidRDefault="00475F70" w:rsidP="00475F70">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Države članice potrebujejo evropsko obrambno industrijo, ki bo sposobna hitreje in v večjem obsegu načrtovati, razvijati, proizvajati in dobavljati te proizvode in tehnologije. Zaradi znatnega povečanja obrambnih izdatkov je treba več vlagati v raziskave, razvoj in tehnologijo na področju obrambe, pri čemer je treba prizadevanja in vire usmeriti v skupne evropske projekte. EU bi morala podpirati razvoj novih in inovativnih industrijskih postopkov, kot so porazdeljeno načrtovanje in proizvodnja, aditivna proizvodnja in uporaba umetne inteligence. V ta namen bi lahko uporabili obrambnoinovacijsko shemo EU (EUDIS) in evropsko vozlišče za inovacije na področju obrambe (HEDI). Na primer, shema EUDIS, razvita v okviru Evropskega obrambnega sklada s proračunom v višini 2 milijard EUR, predlaga podporne storitve za inovacije za posamezne subjekte, vključno s povezovanjem z vlagatelji, partnerji in končnimi uporabniki, ter podpira preizkušanje in potrjevanje inovativnih proizvodov in tehnologij. Z večjim financiranjem bi agencija EDA lahko uporabila HEDI za izvajanje hkratnih eksperimentalnih kampanj, da bi hitro spodbudila najbolj inovativne rešitve in jih vključila v obstoječe ali nove zmogljivosti s pospešenimi razvojnimi zankami. Hkrati Komisija financira kapitalski instrument za obrambo Evropskega investicijskega sklada, ki podpira sklade tveganega in zasebnega kapitala, ki vlagajo v evropska podjetja, ki razvijajo inovativne obrambne tehnologije z možnostjo dvojne rabe.</w:t>
      </w:r>
    </w:p>
    <w:p w14:paraId="61ACD7E6" w14:textId="01F06CEB" w:rsidR="00475F70" w:rsidRPr="000066F3" w:rsidRDefault="00475F70" w:rsidP="00475F70">
      <w:pPr>
        <w:pStyle w:val="Body"/>
        <w:spacing w:after="240" w:line="240" w:lineRule="auto"/>
        <w:jc w:val="both"/>
        <w:rPr>
          <w:rFonts w:ascii="Times New Roman" w:hAnsi="Times New Roman"/>
          <w:noProof/>
          <w:sz w:val="24"/>
          <w:szCs w:val="24"/>
        </w:rPr>
      </w:pPr>
      <w:r>
        <w:rPr>
          <w:rFonts w:ascii="Times New Roman" w:hAnsi="Times New Roman"/>
          <w:noProof/>
          <w:sz w:val="24"/>
        </w:rPr>
        <w:t xml:space="preserve">Na področju globokih tehnologij je razlika med civilnim in obrambnim sektorjem zabrisana. Zato imajo lahko inovativna civilna zagonska podjetja ter ustrezni rezultati raziskav in inovacij ključno vlogo pri razvoju najsodobnejših rešitev, ki lahko bistveno okrepijo vojaške zmogljivosti in izboljšajo operativno pripravljenost. Čeprav je Evropa tehnološka velesila, še ni zmožna v celoti izkoristi potenciala tehnologije za doseganje vojaške premoči. Zato mora EU čim prej mobilizirati vse svoje inovacijske zmogljivosti in usmeriti znatne naložbe v ponovno pridobivanje prednosti in preprečevanje tehnološke odvisnosti. </w:t>
      </w:r>
    </w:p>
    <w:p w14:paraId="3EE37C21" w14:textId="278205BB" w:rsidR="00475F70" w:rsidRPr="000066F3" w:rsidRDefault="00475F70" w:rsidP="00475F70">
      <w:pPr>
        <w:pStyle w:val="Body"/>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EU bo predstavila evropski tehnološki načrt za oborožitev, ki bo spodbujal naložbe v napredne tehnološke zmogljivosti za dvojno rabo na ravni EU ter na nacionalni in zasebni ravni. EU se bo najprej osredotočila na umetno inteligenco in kvantno tehnologijo. Komisija bo zagotovila tudi, da bosta Evropski svet za inovacije in načrtovani razširitveni sklad TechEU vlagala v tehnologije za dvojno rabo.</w:t>
      </w:r>
    </w:p>
    <w:p w14:paraId="381DD535" w14:textId="2B6D3E49" w:rsidR="00475F70" w:rsidRPr="000066F3" w:rsidRDefault="00475F70" w:rsidP="00475F70">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MSP imajo vse pomembnejšo vlogo kot prožni ponudniki prelomnih tehnologij in inovacij v obrambni skupnosti. Komisija je zato sprejela ukrepe za podporo dejavnejšemu prispevanju MSP k raziskavam in inovacijam na področju obrambe EU, zlasti z zagotavljanjem namenskih razpisov Evropskega obrambnega sklada, namenjenih MSP, pri čemer hkrati spodbuja njihovo sodelovanje v vseh drugih projektih. Čezmejno sodelovanje, ki vključuje MSP, je eno od meril za oddajo v okviru programa Evropskega obrambnega sklada, pri razvojnih ukrepih pa se uporabljajo finančni bonusi na podlagi stopnje sodelovanja MSP. Med vsemi subjekti, ki so se udeležili razpisov Evropskega obrambnega sklada za leto 2023, je bilo približno 50 % MSP, ki so zaprosila za 30 % skupnega zaprošenega zneska nepovratnih sredstev. Ocenjuje se, da bo v obdobju 2023–2027 malim in srednjim podjetjem iz Evropskega obrambnega sklada zagotovljenih do 840 milijonov EUR. Program EDIP predvideva tudi ustanovitev sklada za pospešitev preoblikovanja obrambnih dobavnih verig (FAST). Ta novi finančni instrument bi lahko pomnožil proračunska sredstva, ki so bila dodeljena pobudi s programom EDIP v obliki posojil ali kapitalskih naložb.</w:t>
      </w:r>
    </w:p>
    <w:p w14:paraId="6B891636" w14:textId="7F8F286B" w:rsidR="00475F70" w:rsidRPr="000066F3" w:rsidRDefault="00475F70" w:rsidP="00475F70">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EU mora mobilizirati vse svoje inovacijske zmogljivosti in usmeriti znatne naložbe, da bi ponovno pridobila prednost, se izognila večji tehnološki odvisnosti in izkoristila prednosti, ki jih prenašajo učinki prelivanja v drugih gospodarskih sektorjih. V Evropi že deluje nekaj novih inovativnih tehnoloških akterjev na področju obrambe. Da bi pospešili razvoj evropskih akterjev na področju obrambne tehnologije, mora biti regulativno okolje bolj naklonjeno prevzemanju tveganja. Komisija bo okrepila dialog z novimi obrambnimi akterji in zasebnimi vlagatelji, da bi predlagala ukrepe za poenostavitev predpisov ter večjo razpoložljivost tveganega kapitala in poslovnih priložnosti.</w:t>
      </w:r>
      <w:bookmarkStart w:id="8" w:name="_Hlk192349675"/>
    </w:p>
    <w:bookmarkEnd w:id="8"/>
    <w:p w14:paraId="05260C28" w14:textId="77777777" w:rsidR="00475F70" w:rsidRPr="000066F3" w:rsidRDefault="00475F70" w:rsidP="00471147">
      <w:pPr>
        <w:keepNext/>
        <w:spacing w:after="240" w:line="240" w:lineRule="auto"/>
        <w:jc w:val="both"/>
        <w:rPr>
          <w:rFonts w:ascii="Times New Roman" w:eastAsia="Calibri" w:hAnsi="Times New Roman" w:cs="Times New Roman"/>
          <w:i/>
          <w:iCs/>
          <w:noProof/>
          <w:sz w:val="24"/>
          <w:szCs w:val="24"/>
        </w:rPr>
      </w:pPr>
      <w:r>
        <w:rPr>
          <w:rFonts w:ascii="Times New Roman" w:hAnsi="Times New Roman"/>
          <w:i/>
          <w:noProof/>
          <w:sz w:val="24"/>
        </w:rPr>
        <w:t>Spretnosti in talenti za inovacije</w:t>
      </w:r>
    </w:p>
    <w:p w14:paraId="22606818" w14:textId="273A217D" w:rsidR="00053079" w:rsidRPr="000066F3" w:rsidRDefault="00053079" w:rsidP="00053079">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Odpravljanje vrzeli v zmogljivostih zajema celoten cikel razvoja zmogljivosti v obrambnem sektorju – od raziskav do nabave, delovanja in vzdrževanja. Uspeh tega pristopa je odvisen od razpoložljivosti tehnoloških spretnosti in inovativnih talentov v obrambni industriji, vključno z akterji v dobavni verigi, od MSP do glavnih izvajalcev. Čeprav ima evropski obrambni sektor usposobljeno in specializirano osebje, bo morala industrija za obsežno povečanje obrambne industrije privabiti, usposobiti, zaposliti, izpopolniti in preusposobiti veliko več talentov – od tehnikov do inženirjev in specializiranih strokovnjakov. Unija spretnosti predvideva jamstvo za znanja in spretnosti, ki delavcem v sektorjih, ki so v postopku prestrukturiranja, ali delavcem, ki jim grozi brezposelnosti, ponuja priložnost za razvoj poklicne poti v drugih sektorjih, vključno z obrambnim. Napredna znanja in spretnosti na področju naravoslovja, tehnologije, inženirstva in matematike so bistvenega pomena za razvoj zmogljivosti naslednje generacije, kot poudarja tudi Uniji spretnosti, zlasti na področju varnosti in obrambe. </w:t>
      </w:r>
    </w:p>
    <w:p w14:paraId="38262254" w14:textId="18FB2E58" w:rsidR="00475F70" w:rsidRDefault="00475F70" w:rsidP="00D11735">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Hiter in zapleten razvoj tehnologij ustvarja priložnosti za nove vrste delovnih mest in zahteva prenovo nabora spretnosti. Zaposleni v obrambni industriji bodo morali učinkovito obdelovati, izkoriščati in razširjati podatke ter uporabljati nove tehnologije na novih področjih zmogljivosti, kot so avtonomni sistemi, sistemi kibernetske varnosti, inteligentni informacijski sistemi ali visoko zmogljivi računalniški sistemi. Evropska obrambna industrija bo morala pri pridobivanju podobnih spretnosti tekmovati z drugimi sektorji, hkrati pa bo njena širitev ustvarila priložnosti za preusposabljanje ali izpopolnjevanje presežnih delavcev iz drugih industrijskih sektorjev.</w:t>
      </w:r>
      <w:bookmarkEnd w:id="4"/>
    </w:p>
    <w:p w14:paraId="5F1DDDF6" w14:textId="77777777" w:rsidR="00552BA2" w:rsidRPr="00C147CB" w:rsidRDefault="00552BA2" w:rsidP="00D11735">
      <w:pPr>
        <w:spacing w:after="240" w:line="240" w:lineRule="auto"/>
        <w:jc w:val="both"/>
        <w:rPr>
          <w:noProof/>
          <w:u w:color="000000"/>
        </w:rPr>
      </w:pPr>
    </w:p>
    <w:p w14:paraId="29FFB6F3" w14:textId="43D4216A" w:rsidR="00475F70" w:rsidRPr="000066F3" w:rsidRDefault="005A0CCE" w:rsidP="00471147">
      <w:pPr>
        <w:pStyle w:val="Default"/>
        <w:keepNext/>
        <w:suppressAutoHyphens/>
        <w:spacing w:before="0" w:after="240" w:line="240" w:lineRule="auto"/>
        <w:jc w:val="both"/>
        <w:rPr>
          <w:rFonts w:ascii="Times New Roman" w:eastAsia="Helvetica" w:hAnsi="Times New Roman" w:cs="Times New Roman"/>
          <w:b/>
          <w:bCs/>
          <w:noProof/>
          <w:u w:color="000000"/>
        </w:rPr>
      </w:pPr>
      <w:r>
        <w:rPr>
          <w:rFonts w:ascii="Times New Roman" w:hAnsi="Times New Roman"/>
          <w:b/>
          <w:noProof/>
          <w:u w:color="000000"/>
        </w:rPr>
        <w:t>7. POVEČANJE OBRAMBNIH IZDATKOV</w:t>
      </w:r>
    </w:p>
    <w:p w14:paraId="521A583A" w14:textId="77777777" w:rsidR="00475F70" w:rsidRPr="000066F3"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Obrambni izdatki držav članic so se od leta 2021 povečali za več kot 31 % in leta 2024 dosegli 1,9 % skupnega BDP EU oziroma 326 milijard EUR. Natančneje, naložbe v obrambo so leta 2024 dosegle 102 milijardi EUR, kar je največ do zdaj in skoraj dvakrat toliko, kot smo porabili leta 2021. Kljub temu so evropski obrambni izdatki na skupni ravni še vedno precej nižji od izdatkov ZDA in, kar je še bolj zaskrbljujoče, tudi od izdatkov Rusije ali Kitajske. Za obnovo evropske obrambe bodo potrebne obsežne javne in zasebne naložbe v daljšem časovnem obdobju. </w:t>
      </w:r>
    </w:p>
    <w:p w14:paraId="57B77BA4" w14:textId="7C2379BF" w:rsidR="00475F70" w:rsidRPr="000066F3"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Komisija je v načrtu za ponovno oborožitev Evrope ReArm Europe opredelila pet stebrov za nujno znatno povečanje evropskih obrambnih izdatkov.</w:t>
      </w:r>
    </w:p>
    <w:p w14:paraId="350F22DD" w14:textId="77777777" w:rsidR="00475F70" w:rsidRPr="000066F3"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Teh pet stebrov bo pomagalo obravnavati najnujnejše potrebe in ublažiti posledice preteklih nezadostnih naložb. </w:t>
      </w:r>
    </w:p>
    <w:p w14:paraId="20B93B6C" w14:textId="77777777" w:rsidR="00475F70" w:rsidRPr="000066F3" w:rsidRDefault="00475F70" w:rsidP="00475F70">
      <w:pPr>
        <w:spacing w:after="240" w:line="240" w:lineRule="auto"/>
        <w:jc w:val="both"/>
        <w:rPr>
          <w:rFonts w:ascii="Times New Roman" w:eastAsia="Times New Roman" w:hAnsi="Times New Roman" w:cs="Times New Roman"/>
          <w:i/>
          <w:iCs/>
          <w:noProof/>
          <w:kern w:val="0"/>
          <w:sz w:val="24"/>
          <w:szCs w:val="24"/>
          <w14:ligatures w14:val="none"/>
        </w:rPr>
      </w:pPr>
      <w:r>
        <w:rPr>
          <w:rFonts w:ascii="Times New Roman" w:hAnsi="Times New Roman"/>
          <w:i/>
          <w:noProof/>
          <w:sz w:val="24"/>
        </w:rPr>
        <w:t>(1) Nov poseben finančni instrument za podporo naložbam držav članic v obrambo</w:t>
      </w:r>
    </w:p>
    <w:p w14:paraId="7D296E7B" w14:textId="77777777" w:rsidR="00475F70" w:rsidRPr="000066F3"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Zaradi nujnosti Komisija predlaga novo uredbo EU v skladu s členom 122 Pogodbe o delovanju Evropske unije, da bi državam članicam zagotovila posojila, podprta s proračunom EU. Instrument za varnostne ukrepe za Evropo (SAFE) bo z največ 150 milijardami EUR močno podprl države članice, da zdaj in v naslednjem desetletju znatno povečajo svoje naložbe v evropske obrambne zmogljivosti. </w:t>
      </w:r>
    </w:p>
    <w:p w14:paraId="39805321" w14:textId="472E553C" w:rsidR="00475F70" w:rsidRPr="000066F3"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Instrument SAFE bo podpiral evropsko obrambno industrijo s skupnimi javnimi naročili, ki bodo vključevala vsaj dve državi, od katerih bo ena država članica, ki prejema finančno pomoč v okviru instrumenta SAFE, druga pa je lahko druga država članica, država Efte, država EGP ali Ukrajina. Ta skupna javna naročila bi zajemala prednostne zmogljivosti in spodbujevalce, opredeljene na izrednem zasedanju Evropskega sveta 6. marca 2025. Za preprostejše in najnujnejše od teh zmogljivosti, kot sta strelivo ali vojaška mobilnost, bi veljali podobni pogoji za upravičenost kot za program EDIRPA. Za kompleksnejše in visokotehnološke sisteme, kot sta umetna inteligenca ali zračna obramba, bi zaradi višjih zahtev za strateško avtonomijo veljali strožji pogoji, ki izhajajo iz zakonodajnih razprav o programu EDIP. </w:t>
      </w:r>
    </w:p>
    <w:p w14:paraId="0B01E8F1" w14:textId="22F48277" w:rsidR="00475F70" w:rsidRPr="000066F3"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Dodelitve so na voljo vsem državam članicam. Temeljile bodo na povpraševanju in nacionalnih načrtih za obrambno industrijo. Predhodno financiranje bo na voljo po odobritvi ustreznih načrtov in podpisu sporazuma o posojilih. </w:t>
      </w:r>
    </w:p>
    <w:p w14:paraId="635211C2" w14:textId="77777777" w:rsidR="00475F70" w:rsidRPr="000066F3"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Instrument vključuje določbe za nadaljnje spodbujanje in olajševanje skupnih javnih naročil, kot sta možnost odprtja obstoječih okvirnih sporazumov in pogodb za nove partnerje ter oprostitev plačila DDV za nakupe, ki se financirajo z instrumentom SAFE. Spodbuja tudi uporabo skupnih standardov. </w:t>
      </w:r>
    </w:p>
    <w:p w14:paraId="5E801FC2" w14:textId="29CA1951" w:rsidR="00475F70" w:rsidRPr="000066F3" w:rsidRDefault="00147EBF" w:rsidP="00475F70">
      <w:pPr>
        <w:spacing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Subjekti in proizvodi drugih partnerskih držav so lahko predmet skupnih javnih naročil, če je z Unijo sklenjen sporazum o finančnih pogojih in zanesljivosti oskrbe.</w:t>
      </w:r>
    </w:p>
    <w:p w14:paraId="744F3EF9" w14:textId="77777777" w:rsidR="00475F70" w:rsidRPr="000066F3" w:rsidRDefault="00475F70" w:rsidP="00475F70">
      <w:pPr>
        <w:spacing w:after="240" w:line="240" w:lineRule="auto"/>
        <w:jc w:val="both"/>
        <w:rPr>
          <w:rFonts w:ascii="Times New Roman" w:eastAsia="Times New Roman" w:hAnsi="Times New Roman" w:cs="Times New Roman"/>
          <w:i/>
          <w:iCs/>
          <w:noProof/>
          <w:kern w:val="0"/>
          <w:sz w:val="24"/>
          <w:szCs w:val="24"/>
          <w14:ligatures w14:val="none"/>
        </w:rPr>
      </w:pPr>
      <w:r>
        <w:rPr>
          <w:rFonts w:ascii="Times New Roman" w:hAnsi="Times New Roman"/>
          <w:i/>
          <w:noProof/>
          <w:sz w:val="24"/>
        </w:rPr>
        <w:t>(2) Usklajena aktivacija nacionalne odstopne klavzule iz Pakta za stabilnost in rast</w:t>
      </w:r>
    </w:p>
    <w:p w14:paraId="1F2FCD12" w14:textId="77777777" w:rsidR="00475F70" w:rsidRPr="000066F3"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V sporočilu Komisije o zagotovitvi večjih obrambnih izdatkov v okviru Pakta za stabilnost in rast je predlagano, da vse države članice usklajeno aktivirajo nacionalno odstopno klavzulo, kar bi omogočilo dodatno prožnost za večje obrambne izdatke. </w:t>
      </w:r>
    </w:p>
    <w:p w14:paraId="07DAF3B3" w14:textId="22F55FA0" w:rsidR="00475F70" w:rsidRPr="000066F3"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Ta prožnost bo omogočila odklon od dogovorjene poti odhodkov, ki je enaka povečanju obrambnih izdatkov (vključno z naložbami in tekočimi izdatki), od leta 2021. Predvideno je obdobje štirih let (z možnostjo podaljšanja). Zaradi te prožnosti bi države članice lahko mobilizirale dodatne obrambne izdatke v višini do 1,5 % BDP. Glede na napovedi o postopnem uvajanju bi lahko naložbe v obrambo v naslednjih štirih letih dosegle vsaj 800 milijard EUR, vključno z izdatki, financiranimi s 150 milijardami EUR iz instrumenta SAFE, ki bodo samodejno upravičeni v okviru nacionalnih odstopnih klavzul.</w:t>
      </w:r>
      <w:r>
        <w:rPr>
          <w:rFonts w:ascii="Segoe UI" w:hAnsi="Segoe UI"/>
          <w:noProof/>
          <w:sz w:val="18"/>
        </w:rPr>
        <w:t xml:space="preserve"> </w:t>
      </w:r>
    </w:p>
    <w:p w14:paraId="75C3CA6E" w14:textId="31FC661B" w:rsidR="00475F70" w:rsidRPr="000066F3" w:rsidRDefault="00475F70" w:rsidP="00475F70">
      <w:pPr>
        <w:spacing w:after="240" w:line="240" w:lineRule="auto"/>
        <w:jc w:val="both"/>
        <w:rPr>
          <w:rFonts w:ascii="Times New Roman" w:eastAsia="Times New Roman" w:hAnsi="Times New Roman" w:cs="Times New Roman"/>
          <w:i/>
          <w:iCs/>
          <w:noProof/>
          <w:kern w:val="0"/>
          <w:sz w:val="24"/>
          <w:szCs w:val="24"/>
          <w14:ligatures w14:val="none"/>
        </w:rPr>
      </w:pPr>
      <w:r>
        <w:rPr>
          <w:rFonts w:ascii="Times New Roman" w:hAnsi="Times New Roman"/>
          <w:i/>
          <w:noProof/>
          <w:sz w:val="24"/>
        </w:rPr>
        <w:t>(3) Povečanje prožnosti obstoječih instrumentov EU, da bi omogočili večje naložbe v obrambo</w:t>
      </w:r>
    </w:p>
    <w:p w14:paraId="7339C4D6" w14:textId="77777777" w:rsidR="00475F70" w:rsidRPr="000066F3"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Kratkoročno lahko EU stori več, da bi s proračunom EU odgovorila na nujno potrebo po povečanju evropskih naložb v obrambo. </w:t>
      </w:r>
    </w:p>
    <w:p w14:paraId="0A412EB8" w14:textId="22EEF6E9" w:rsidR="00475F70" w:rsidRPr="000066F3"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Kohezijska politika že prispeva k obrambnim in varnostnim zmogljivostim. Financira namreč naložbe, povezane z varnostjo in obrambo, ki prispevajo k regionalnemu razvoju, saj obrambna industrija pogosto ustvarja raziskovalne in razvojne ter industrijske ekosisteme, ki koristijo evropskim regijam in skupnostim. </w:t>
      </w:r>
    </w:p>
    <w:p w14:paraId="01AA0EC2" w14:textId="44830676" w:rsidR="00475F70" w:rsidRPr="000066F3"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Nacionalni, regionalni in lokalni organi lahko vmesni pregled kohezijskih politik prostovoljno uporabijo za dodelitev sredstev v okviru svojih sedanjih programov za nove prednostne naloge, vključno s krepitvijo obrambnih in varnostnih zmogljivosti. </w:t>
      </w:r>
    </w:p>
    <w:p w14:paraId="7404C7A5" w14:textId="719BB115" w:rsidR="00475F70" w:rsidRPr="000066F3"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Komisija bo naslednji teden v okviru vmesnega pregleda programov za obdobje 2021–2027 predlagala sveženj ukrepov za zagotavljanje prožnosti in spodbud v ta namen.</w:t>
      </w:r>
    </w:p>
    <w:p w14:paraId="766BF45C" w14:textId="77777777" w:rsidR="00475F70" w:rsidRPr="000066F3" w:rsidRDefault="00475F70" w:rsidP="00475F70">
      <w:pPr>
        <w:spacing w:after="240" w:line="240" w:lineRule="auto"/>
        <w:jc w:val="both"/>
        <w:rPr>
          <w:rFonts w:ascii="Times New Roman" w:eastAsia="Times New Roman" w:hAnsi="Times New Roman" w:cs="Times New Roman"/>
          <w:noProof/>
          <w:color w:val="FF0000"/>
          <w:kern w:val="0"/>
          <w:sz w:val="24"/>
          <w:szCs w:val="24"/>
          <w14:ligatures w14:val="none"/>
        </w:rPr>
      </w:pPr>
      <w:r>
        <w:rPr>
          <w:rFonts w:ascii="Times New Roman" w:hAnsi="Times New Roman"/>
          <w:noProof/>
          <w:sz w:val="24"/>
        </w:rPr>
        <w:t>Razvoj močne in odporne evropske obrambne industrije bo podprl evropsko konkurenčnost ter spodbudil regionalni razvoj in gospodarsko rast.</w:t>
      </w:r>
    </w:p>
    <w:p w14:paraId="242CCC73" w14:textId="77777777" w:rsidR="00475F70" w:rsidRPr="000066F3" w:rsidRDefault="00475F70" w:rsidP="00471147">
      <w:pPr>
        <w:keepNext/>
        <w:spacing w:after="240" w:line="240" w:lineRule="auto"/>
        <w:jc w:val="both"/>
        <w:rPr>
          <w:rFonts w:ascii="Times New Roman" w:eastAsia="Times New Roman" w:hAnsi="Times New Roman" w:cs="Times New Roman"/>
          <w:i/>
          <w:iCs/>
          <w:noProof/>
          <w:kern w:val="0"/>
          <w:sz w:val="24"/>
          <w:szCs w:val="24"/>
          <w14:ligatures w14:val="none"/>
        </w:rPr>
      </w:pPr>
      <w:r>
        <w:rPr>
          <w:rFonts w:ascii="Times New Roman" w:hAnsi="Times New Roman"/>
          <w:i/>
          <w:noProof/>
          <w:sz w:val="24"/>
        </w:rPr>
        <w:t>(4) Prispevki Evropske investicijske banke</w:t>
      </w:r>
    </w:p>
    <w:p w14:paraId="65AC0CD3" w14:textId="45F736D2" w:rsidR="00475F70" w:rsidRPr="000066F3"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Evropska investicijska banka (EIB) ima jasno in odločilno vlogo pri financiranju evropske obrambe. Pomemben prvi korak je bil akcijski načrt skupine EIB za varnost in obrambo, katerega izvajanje bi bilo treba pospešiti.</w:t>
      </w:r>
    </w:p>
    <w:p w14:paraId="1474EB92" w14:textId="6DA45994" w:rsidR="00475F70" w:rsidRPr="000066F3"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Poleg tega namerava EIB uvesti spremembe, s katerimi bi dodatno razširila obseg svojega financiranja, povezanega z obrambo. Svoje letne naložbe bo podvojila na 2 milijardi EUR, da bi financirala projekte, kot so droni, vesolje, kibernetska varnost, kvantne tehnologije, vojaški objekti in civilna zaščita. EIB predlaga nadaljnjo prilagoditev meril za upravičenost skupine, da se zagotovi natančnejša opredelitev izključenih dejavnosti in da se čim bolj omeji njihov obseg, da bi jih uskladili z novimi prednostnimi nalogami politike EU. Nazadnje bo predlagala pregled svojega operativnega okvira, </w:t>
      </w:r>
      <w:r>
        <w:rPr>
          <w:rFonts w:ascii="Times New Roman" w:hAnsi="Times New Roman"/>
          <w:i/>
          <w:iCs/>
          <w:noProof/>
          <w:sz w:val="24"/>
        </w:rPr>
        <w:t>ad hoc</w:t>
      </w:r>
      <w:r>
        <w:rPr>
          <w:rFonts w:ascii="Times New Roman" w:hAnsi="Times New Roman"/>
          <w:noProof/>
          <w:sz w:val="24"/>
        </w:rPr>
        <w:t xml:space="preserve"> strateško pobudo za evropsko varnost pa bo nadomestila s posebnim prečnim ciljem javne politike, da bi prispevala k miru in varnosti v Evropi z ambicioznim dodeljevanjem finančnih sredstev in kapitala. To so nadaljnji koraki v pravo smer. </w:t>
      </w:r>
    </w:p>
    <w:p w14:paraId="647E0F9C" w14:textId="77777777" w:rsidR="00475F70" w:rsidRPr="000066F3" w:rsidRDefault="00475F70" w:rsidP="00475F70">
      <w:pPr>
        <w:spacing w:after="240" w:line="240" w:lineRule="auto"/>
        <w:jc w:val="both"/>
        <w:rPr>
          <w:rFonts w:ascii="Times New Roman" w:eastAsia="Times New Roman" w:hAnsi="Times New Roman" w:cs="Times New Roman"/>
          <w:i/>
          <w:iCs/>
          <w:noProof/>
          <w:kern w:val="0"/>
          <w:sz w:val="24"/>
          <w:szCs w:val="24"/>
          <w14:ligatures w14:val="none"/>
        </w:rPr>
      </w:pPr>
      <w:r>
        <w:rPr>
          <w:rFonts w:ascii="Times New Roman" w:hAnsi="Times New Roman"/>
          <w:i/>
          <w:noProof/>
          <w:sz w:val="24"/>
        </w:rPr>
        <w:t xml:space="preserve">(5) Mobilizacija zasebnega kapitala </w:t>
      </w:r>
    </w:p>
    <w:p w14:paraId="5329D020" w14:textId="77777777" w:rsidR="00475F70" w:rsidRPr="000066F3"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Povečanje javnih naložb v obrambo je nujno, vendar to ne bo dovolj. Evropska podjetja, tudi mala in srednja podjetja ter podjetja s srednje veliko tržno kapitalizacijo, morajo imeti boljši dostop do kapitala, vključno z jamstvenimi instrumenti za zmanjšanje tveganja naložb, da bi lahko svoje rešitve prenesla v industrijski obseg in pospešila krepitev industrije, ki jo Evropa potrebuje. </w:t>
      </w:r>
    </w:p>
    <w:p w14:paraId="06225084" w14:textId="3A6246A1" w:rsidR="00475F70" w:rsidRPr="000066F3"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 xml:space="preserve">Finančni sektor kaže vse večje zanimanje za obrambo. Toda obrambni sektor je še vedno zapostavljen trg zaradi omejitev v naložbenih politikah javnih in zasebnih finančnih institucij. Dostop do financiranja ostaja velika težava za 44 % MSP v obrambnem sektorju, kar je veliko več kot za MSP v civilnem sektorju. Poleg tega imajo manj priložnosti kot v ZDA ali Združenem kraljestvu, pri čemer ameriški vlagatelji predstavljajo 60 % vseh vlagateljev. </w:t>
      </w:r>
    </w:p>
    <w:p w14:paraId="6D779937" w14:textId="128A5EF4" w:rsidR="00475F70" w:rsidRPr="000066F3"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Unija prihrankov in naložb bi morala prispevati k usmerjanju dodatnih zasebnih naložb v prednostne naloge EU, vključno z obrambnim sektorjem. Že samo s tem bi lahko vsako leto privabila več sto milijard dodatnih naložb v evropsko gospodarstvo, kar bi povečalo njegovo konkurenčnost. V ta namen Komisija predstavlja sporočilo o uniji prihrankov in naložb.</w:t>
      </w:r>
    </w:p>
    <w:p w14:paraId="203DB4D7" w14:textId="4939FF28" w:rsidR="00475F70" w:rsidRPr="000066F3"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Uredba EU o razkritjih v zvezi s trajnostnostjo ne preprečuje financiranja obrambnega sektorja. Vendar pa bi nadaljnja pojasnitev njene uporabe lahko koristila tako finančnemu kot tudi obrambnemu sektorju. Komisija bo v okviru pregleda uredbe o razkritjih v zvezi s trajnostnostjo zagotovila potrebna pojasnila o povezavah med obrambo in naložbenimi cilji iz okvira za trajnostnost.</w:t>
      </w:r>
    </w:p>
    <w:p w14:paraId="7A4F5845" w14:textId="6F8FBFF4" w:rsidR="00475F70" w:rsidRPr="000066F3" w:rsidRDefault="00475F70" w:rsidP="00471147">
      <w:pPr>
        <w:keepNext/>
        <w:spacing w:after="240" w:line="240" w:lineRule="auto"/>
        <w:jc w:val="both"/>
        <w:rPr>
          <w:rFonts w:ascii="Times New Roman" w:eastAsia="Times New Roman" w:hAnsi="Times New Roman" w:cs="Times New Roman"/>
          <w:i/>
          <w:iCs/>
          <w:noProof/>
          <w:kern w:val="0"/>
          <w:sz w:val="24"/>
          <w:szCs w:val="24"/>
          <w14:ligatures w14:val="none"/>
        </w:rPr>
      </w:pPr>
      <w:r>
        <w:rPr>
          <w:rFonts w:ascii="Times New Roman" w:hAnsi="Times New Roman"/>
          <w:i/>
          <w:noProof/>
          <w:sz w:val="24"/>
        </w:rPr>
        <w:t>(6) Finančna predvidljivost</w:t>
      </w:r>
    </w:p>
    <w:p w14:paraId="50FA49CC" w14:textId="50FE8D5A" w:rsidR="00475F70" w:rsidRPr="000066F3"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Komisija bo še naprej preučevala dodatne vire financiranja za obrambo na ravni EU ter dodatne elemente in možnosti za znatno povečanje financiranja evropske obrambe in okrepitev EDTIB.</w:t>
      </w:r>
    </w:p>
    <w:p w14:paraId="2CEE0555" w14:textId="78BD94B1" w:rsidR="00475F70" w:rsidRPr="000066F3" w:rsidRDefault="00475F70" w:rsidP="00475F70">
      <w:pPr>
        <w:spacing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Če bo povpraševanje držav članic po financiranju s posojili, ki ga podpira proračun EU v okviru instrumenta SAFE, presegalo ponudbo, bo Komisija še naprej preučevala inovativne instrumente, na primer v zvezi z evropskim mehanizmom za stabilnost (EMS).</w:t>
      </w:r>
    </w:p>
    <w:p w14:paraId="76A7A4ED" w14:textId="77777777" w:rsidR="00475F70" w:rsidRPr="000066F3" w:rsidRDefault="00475F70" w:rsidP="00475F70">
      <w:pPr>
        <w:spacing w:after="240"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Glede na to, da mora Evropa nujno in prednostno obnoviti svojo obrambo na podlagi konkurenčne obrambne industrijske baze, bi moral naslednji večletni finančni okvir zagotoviti celovit in trden okvir za podporo obrambi EU.</w:t>
      </w:r>
    </w:p>
    <w:p w14:paraId="186EFF80" w14:textId="445426AE" w:rsidR="00475F70" w:rsidRPr="000066F3" w:rsidRDefault="00957753" w:rsidP="00475F70">
      <w:pPr>
        <w:spacing w:line="240" w:lineRule="auto"/>
        <w:jc w:val="both"/>
        <w:rPr>
          <w:rFonts w:ascii="Times New Roman" w:eastAsia="Times New Roman" w:hAnsi="Times New Roman" w:cs="Times New Roman"/>
          <w:noProof/>
          <w:kern w:val="0"/>
          <w:sz w:val="24"/>
          <w:szCs w:val="24"/>
          <w14:ligatures w14:val="none"/>
        </w:rPr>
      </w:pPr>
      <w:r>
        <w:rPr>
          <w:rFonts w:ascii="Times New Roman" w:hAnsi="Times New Roman"/>
          <w:noProof/>
          <w:sz w:val="24"/>
        </w:rPr>
        <w:t>Podpirati bi moral večje in boljše sodelovalne naložbe, od raziskav do razvoja kompleksnih sistemov in od komercializacije do javnih naročil, da bi povečali tehnološko suverenost Evrope.</w:t>
      </w:r>
    </w:p>
    <w:p w14:paraId="754C9E73" w14:textId="77777777" w:rsidR="00475F70" w:rsidRPr="00C147CB" w:rsidRDefault="00475F70" w:rsidP="00475F70">
      <w:pPr>
        <w:spacing w:line="240" w:lineRule="auto"/>
        <w:jc w:val="both"/>
        <w:rPr>
          <w:rFonts w:ascii="Times New Roman" w:eastAsia="Calibri" w:hAnsi="Times New Roman" w:cs="Times New Roman"/>
          <w:noProof/>
          <w:sz w:val="24"/>
          <w:szCs w:val="24"/>
        </w:rPr>
      </w:pPr>
    </w:p>
    <w:p w14:paraId="17679086" w14:textId="374BC6C3" w:rsidR="00475F70" w:rsidRPr="000066F3" w:rsidRDefault="005A0CCE" w:rsidP="00475F70">
      <w:pPr>
        <w:spacing w:before="360" w:after="240" w:line="240" w:lineRule="auto"/>
        <w:rPr>
          <w:rFonts w:ascii="Times New Roman" w:eastAsia="Calibri" w:hAnsi="Times New Roman" w:cs="Times New Roman"/>
          <w:b/>
          <w:noProof/>
          <w:color w:val="000000"/>
          <w:sz w:val="24"/>
          <w:szCs w:val="24"/>
        </w:rPr>
      </w:pPr>
      <w:r>
        <w:rPr>
          <w:rFonts w:ascii="Times New Roman" w:hAnsi="Times New Roman"/>
          <w:b/>
          <w:noProof/>
          <w:sz w:val="24"/>
        </w:rPr>
        <w:t>8.</w:t>
      </w:r>
      <w:r>
        <w:rPr>
          <w:rFonts w:ascii="Times New Roman" w:hAnsi="Times New Roman"/>
          <w:b/>
          <w:noProof/>
          <w:color w:val="000000"/>
          <w:sz w:val="24"/>
        </w:rPr>
        <w:t xml:space="preserve"> PARTNERSTVA ZA VEČJO VARNOST</w:t>
      </w:r>
    </w:p>
    <w:p w14:paraId="7B202A23" w14:textId="602952B0" w:rsidR="00475F70" w:rsidRPr="000066F3" w:rsidRDefault="00475F70" w:rsidP="00475F70">
      <w:pPr>
        <w:spacing w:after="240" w:line="240" w:lineRule="auto"/>
        <w:jc w:val="both"/>
        <w:rPr>
          <w:rFonts w:ascii="Times New Roman" w:eastAsia="Calibri" w:hAnsi="Times New Roman" w:cs="Times New Roman"/>
          <w:bCs/>
          <w:noProof/>
          <w:color w:val="000000"/>
          <w:sz w:val="24"/>
          <w:szCs w:val="24"/>
        </w:rPr>
      </w:pPr>
      <w:r>
        <w:rPr>
          <w:rFonts w:ascii="Times New Roman" w:hAnsi="Times New Roman"/>
          <w:noProof/>
          <w:color w:val="000000"/>
          <w:sz w:val="24"/>
        </w:rPr>
        <w:t>Varnostni izzivi imajo pogosto globalne posledice, zato je potrebno mednarodno sodelovanje. Obsežna vojna Rusije proti Ukrajini ima daljnosežne posledice, ki jih ne občuti le Evropa. Hibridne grožnje in kibernetski napadi ne poznajo meja. Enako velja za varnost v vesolju in na morju. EU mora zato tesno sodelovati z mednarodnimi organizacijami in partnerskimi državami, da bi se učinkovito zoperstavila tem grožnjam.</w:t>
      </w:r>
    </w:p>
    <w:p w14:paraId="1BFD692B" w14:textId="05072DFE" w:rsidR="00475F70" w:rsidRPr="000066F3" w:rsidRDefault="00475F70" w:rsidP="00475F70">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Sodelovanje s partnerji je ključno tudi za reševanje izzivov evropske obrambe in evropske obrambne industrije, vključno z diverzifikacijo dobaviteljev in zmanjšanjem odvisnosti.</w:t>
      </w:r>
      <w:r>
        <w:rPr>
          <w:rFonts w:ascii="Times New Roman" w:hAnsi="Times New Roman"/>
          <w:noProof/>
          <w:color w:val="000000"/>
          <w:sz w:val="24"/>
        </w:rPr>
        <w:t xml:space="preserve"> Široka partnerstva EU na področju miru, varnosti in obrambe so ključni vir moči in odpornosti. EU ostaja v celoti zavezana spodbujanju mednarodnega sodelovanja in krepitvi učinkovitega multilateralizma na vseh ravneh. </w:t>
      </w:r>
      <w:r>
        <w:rPr>
          <w:rFonts w:ascii="Times New Roman" w:hAnsi="Times New Roman"/>
          <w:noProof/>
          <w:sz w:val="24"/>
        </w:rPr>
        <w:t xml:space="preserve">Še naprej bomo širili in izpopolnjevali naša prilagojena partnerstva z dvostranskimi, regionalnimi in večstranskimi partnerji po vsem svetu na vzajemno koristen način, da bi se spoprijeli z najrazličnejšimi varnostnimi izzivi, tudi na področju razvoja zmogljivosti in inovacij. </w:t>
      </w:r>
    </w:p>
    <w:p w14:paraId="63B85230" w14:textId="77777777" w:rsidR="00475F70" w:rsidRPr="000066F3" w:rsidRDefault="00475F70" w:rsidP="00475F70">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EU bo spodbujala odprto arhitekturo v kombinaciji s spremenljivo geometrijo, ki bo omogočala sodelovanje med podobno mislečimi partnerji v skupnih obrambnih projektih in pobudah, kot so projekti PESCO, ki se bodo spodbujali za vsak primer posebej. To bo prispevalo k zmanjšanju pretirane odvisnosti zaradi zanašanja le na enega ali peščico dobaviteljev ključnega blaga, storitev ali drugih vložkov, okrepilo evropsko gospodarsko varnost ter razvijalo in spodbujalo evropske obrambne zmogljivosti in konkurenčnost trga za obrambno opremo EU.</w:t>
      </w:r>
    </w:p>
    <w:p w14:paraId="3135E4CA" w14:textId="5352148E" w:rsidR="00475F70" w:rsidRPr="000066F3" w:rsidRDefault="00475F70" w:rsidP="00475F70">
      <w:pPr>
        <w:spacing w:after="240" w:line="240" w:lineRule="auto"/>
        <w:jc w:val="both"/>
        <w:rPr>
          <w:rFonts w:ascii="Times New Roman" w:eastAsia="Calibri" w:hAnsi="Times New Roman" w:cs="Times New Roman"/>
          <w:bCs/>
          <w:noProof/>
          <w:color w:val="000000"/>
          <w:sz w:val="24"/>
          <w:szCs w:val="24"/>
        </w:rPr>
      </w:pPr>
      <w:r>
        <w:rPr>
          <w:rFonts w:ascii="Times New Roman" w:hAnsi="Times New Roman"/>
          <w:b/>
          <w:bCs/>
          <w:noProof/>
          <w:color w:val="000000"/>
          <w:sz w:val="24"/>
        </w:rPr>
        <w:t>Nato</w:t>
      </w:r>
      <w:r>
        <w:rPr>
          <w:rFonts w:ascii="Times New Roman" w:hAnsi="Times New Roman"/>
          <w:noProof/>
          <w:color w:val="000000"/>
          <w:sz w:val="24"/>
        </w:rPr>
        <w:t xml:space="preserve"> ostaja temelj kolektivne obrambe svojih članic v Evropi. Sodelovanje med EU in Natom je bistveno za razvoj varnostne in obrambne razsežnosti EU. Edinstvena orodja regulativne moči in finančni instrumenti EU pomagajo 23 državam članicam EU v Natu pri doseganju njihovih ciljev glede zmogljivosti. </w:t>
      </w:r>
    </w:p>
    <w:p w14:paraId="7B96DBB1" w14:textId="1ED29F4D" w:rsidR="00475F70" w:rsidRPr="000066F3" w:rsidRDefault="00475F70" w:rsidP="00475F70">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Močna čezatlantska vez ostaja ključnega pomena za obrambo Evrope. </w:t>
      </w:r>
      <w:r>
        <w:rPr>
          <w:rFonts w:ascii="Times New Roman" w:hAnsi="Times New Roman"/>
          <w:b/>
          <w:bCs/>
          <w:noProof/>
          <w:sz w:val="24"/>
        </w:rPr>
        <w:t>Združene države</w:t>
      </w:r>
      <w:r>
        <w:rPr>
          <w:rFonts w:ascii="Times New Roman" w:hAnsi="Times New Roman"/>
          <w:noProof/>
          <w:sz w:val="24"/>
        </w:rPr>
        <w:t xml:space="preserve"> zahtevajo, da Evropa prevzame večjo odgovornost za lastno obrambo. Ta prizadevanja bodo še naprej temeljila na močni in obsežni čezatlantski dobavni verigi, ki bi morala biti obojestransko koristna. Dvostranski dialog o varnosti in obrambi je mogoče okrepiti, da bi še poglobili sodelovanje na področjih, kot so kibernetska varnost, pomorska varnost in vesolje, preučevali vprašanja javnega naročanja in obravnavali vse druge zadeve, ki so v skupnem interesu.</w:t>
      </w:r>
    </w:p>
    <w:p w14:paraId="65770BFC" w14:textId="77777777" w:rsidR="00475F70" w:rsidRPr="00552BA2" w:rsidRDefault="00475F70" w:rsidP="00475F70">
      <w:pPr>
        <w:spacing w:after="240" w:line="240" w:lineRule="auto"/>
        <w:jc w:val="both"/>
        <w:rPr>
          <w:rFonts w:ascii="Times New Roman" w:hAnsi="Times New Roman"/>
          <w:noProof/>
          <w:sz w:val="24"/>
        </w:rPr>
      </w:pPr>
      <w:r>
        <w:rPr>
          <w:rFonts w:ascii="Times New Roman" w:hAnsi="Times New Roman"/>
          <w:b/>
          <w:bCs/>
          <w:noProof/>
          <w:sz w:val="24"/>
        </w:rPr>
        <w:t>Združeno kraljestvo</w:t>
      </w:r>
      <w:r>
        <w:rPr>
          <w:rFonts w:ascii="Times New Roman" w:hAnsi="Times New Roman"/>
          <w:noProof/>
          <w:sz w:val="24"/>
        </w:rPr>
        <w:t xml:space="preserve"> je ključni evropski zaveznik, s katerim bi bilo treba okrepiti sodelovanje na področju varnosti in obrambe v obojestransko korist, začenši s potencialnim partnerstvom na področju varnosti in obrambe. Z vrsto trdnih sporazumov bi lahko razširili dvostransko sodelovanje na področju varnosti in obrambe, da bi vključevalo vse od zunanjega kriznega upravljanja do obrambne industrijske politike. </w:t>
      </w:r>
    </w:p>
    <w:p w14:paraId="2313B7F6" w14:textId="50819E25" w:rsidR="00475F70" w:rsidRPr="0090794D" w:rsidRDefault="00475F70" w:rsidP="00475F70">
      <w:pPr>
        <w:spacing w:after="240" w:line="240" w:lineRule="auto"/>
        <w:jc w:val="both"/>
        <w:rPr>
          <w:rFonts w:ascii="Times New Roman" w:hAnsi="Times New Roman"/>
          <w:noProof/>
          <w:sz w:val="24"/>
        </w:rPr>
      </w:pPr>
      <w:r>
        <w:rPr>
          <w:rFonts w:ascii="Times New Roman" w:hAnsi="Times New Roman"/>
          <w:b/>
          <w:bCs/>
          <w:noProof/>
          <w:sz w:val="24"/>
        </w:rPr>
        <w:t>Norveška</w:t>
      </w:r>
      <w:r>
        <w:rPr>
          <w:rFonts w:ascii="Times New Roman" w:hAnsi="Times New Roman"/>
          <w:noProof/>
          <w:sz w:val="24"/>
        </w:rPr>
        <w:t xml:space="preserve"> je polnopravna partnerica v obrambnih programih EU, saj prispeva v proračun EU. Nedavno vzpostavljeno partnerstvo na področju varnosti in obrambe zagotavlja celovit in strukturiran politični okvir za krepitev nadaljnjega dialoga in sodelovanja.</w:t>
      </w:r>
    </w:p>
    <w:p w14:paraId="4685240B" w14:textId="77777777" w:rsidR="00475F70" w:rsidRPr="000066F3" w:rsidRDefault="00475F70" w:rsidP="00475F70">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Naše sodelovanje s </w:t>
      </w:r>
      <w:r>
        <w:rPr>
          <w:rFonts w:ascii="Times New Roman" w:hAnsi="Times New Roman"/>
          <w:b/>
          <w:bCs/>
          <w:noProof/>
          <w:sz w:val="24"/>
        </w:rPr>
        <w:t>Kanado</w:t>
      </w:r>
      <w:r>
        <w:rPr>
          <w:rFonts w:ascii="Times New Roman" w:hAnsi="Times New Roman"/>
          <w:noProof/>
          <w:sz w:val="24"/>
        </w:rPr>
        <w:t xml:space="preserve"> se je okrepilo in bi ga bilo treba še poglobiti, tudi zato, da se okrepi čezatlantska varnost. Dvostranski dialog o varnosti in obrambi ter prihodnje partnerstvo na tem področju sta podlaga za okrepljeno sodelovanje na področju varnosti in obrambe, vključno z ustreznimi pobudami za povečanje proizvodnje obrambne industrije.</w:t>
      </w:r>
    </w:p>
    <w:p w14:paraId="517E36B1" w14:textId="2562E764" w:rsidR="0048583A" w:rsidRPr="000066F3" w:rsidRDefault="0048583A" w:rsidP="00475F70">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EU bi morala nadaljevati vzajemno koristno vključevanje in sodelovanje na področju varnosti in obrambe z vsemi podobno mislečimi</w:t>
      </w:r>
      <w:r>
        <w:rPr>
          <w:rFonts w:ascii="Times New Roman" w:hAnsi="Times New Roman"/>
          <w:b/>
          <w:bCs/>
          <w:noProof/>
          <w:sz w:val="24"/>
        </w:rPr>
        <w:t xml:space="preserve"> evropskimi državami, državami širitve in sosednjimi državami</w:t>
      </w:r>
      <w:r>
        <w:rPr>
          <w:rFonts w:ascii="Times New Roman" w:hAnsi="Times New Roman"/>
          <w:noProof/>
          <w:sz w:val="24"/>
        </w:rPr>
        <w:t xml:space="preserve"> (vključno z Albanijo, Islandijo, Črno goro, Republiko Moldavijo, Severno Makedonijo in Švico) ter tako spodbujati mir, varnost in stabilnost na naši celini in drugod.</w:t>
      </w:r>
    </w:p>
    <w:p w14:paraId="7CC4A55D" w14:textId="333B1F46" w:rsidR="00475F70" w:rsidRPr="000066F3" w:rsidRDefault="00475F70" w:rsidP="00475F70">
      <w:pPr>
        <w:spacing w:after="360" w:line="240" w:lineRule="auto"/>
        <w:jc w:val="both"/>
        <w:rPr>
          <w:rFonts w:ascii="Times New Roman" w:eastAsia="Calibri" w:hAnsi="Times New Roman" w:cs="Times New Roman"/>
          <w:noProof/>
          <w:sz w:val="24"/>
          <w:szCs w:val="24"/>
        </w:rPr>
      </w:pPr>
      <w:r>
        <w:rPr>
          <w:rFonts w:ascii="Times New Roman" w:hAnsi="Times New Roman"/>
          <w:b/>
          <w:bCs/>
          <w:noProof/>
          <w:sz w:val="24"/>
        </w:rPr>
        <w:t>Turčija</w:t>
      </w:r>
      <w:r>
        <w:rPr>
          <w:rFonts w:ascii="Times New Roman" w:hAnsi="Times New Roman"/>
          <w:noProof/>
          <w:sz w:val="24"/>
        </w:rPr>
        <w:t xml:space="preserve"> je država kandidatka za pristop k EU in dolgoletna partnerica na področju skupne varnostne in obrambne politike. EU si bo v skladu s sklepi Evropskega sveta iz aprila 2024 še naprej konstruktivno prizadevala za vzajemno koristno partnerstvo na vseh področjih skupnega interesa na podlagi enake zavezanosti Turčije, da bo še naprej sodelovala pri vseh vprašanjih, ki so pomembna za EU.</w:t>
      </w:r>
    </w:p>
    <w:p w14:paraId="1F08EC27" w14:textId="76600D1E" w:rsidR="00475F70" w:rsidRPr="00471147" w:rsidRDefault="00475F70" w:rsidP="00475F70">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EU bi morala preučiti tudi priložnosti za sodelovanje na področju obrambne industrije z </w:t>
      </w:r>
      <w:r>
        <w:rPr>
          <w:rFonts w:ascii="Times New Roman" w:hAnsi="Times New Roman"/>
          <w:b/>
          <w:bCs/>
          <w:noProof/>
          <w:sz w:val="24"/>
        </w:rPr>
        <w:t>indijsko-pacifiškimi partnericami</w:t>
      </w:r>
      <w:r>
        <w:rPr>
          <w:rFonts w:ascii="Times New Roman" w:hAnsi="Times New Roman"/>
          <w:noProof/>
          <w:sz w:val="24"/>
        </w:rPr>
        <w:t xml:space="preserve">, zlasti z Japonsko in Republiko Korejo, s katerima so bila novembra lani sklenjena partnerstva na področju varnosti in obrambe, pa tudi z Avstralijo in Novo Zelandijo. </w:t>
      </w:r>
    </w:p>
    <w:p w14:paraId="0F66031E" w14:textId="3940DACD" w:rsidR="005A0CCE" w:rsidRDefault="00475F70" w:rsidP="00475F70">
      <w:pPr>
        <w:spacing w:after="240" w:line="240" w:lineRule="auto"/>
        <w:jc w:val="both"/>
        <w:rPr>
          <w:rFonts w:ascii="Times New Roman" w:eastAsia="Calibri" w:hAnsi="Times New Roman" w:cs="Times New Roman"/>
          <w:noProof/>
          <w:sz w:val="24"/>
          <w:szCs w:val="24"/>
        </w:rPr>
      </w:pPr>
      <w:r>
        <w:rPr>
          <w:rFonts w:ascii="Times New Roman" w:hAnsi="Times New Roman"/>
          <w:noProof/>
          <w:sz w:val="24"/>
        </w:rPr>
        <w:t xml:space="preserve">V zadnjih letih se je razvilo varnostno in obrambno sodelovanje z </w:t>
      </w:r>
      <w:r>
        <w:rPr>
          <w:rFonts w:ascii="Times New Roman" w:hAnsi="Times New Roman"/>
          <w:b/>
          <w:bCs/>
          <w:noProof/>
          <w:sz w:val="24"/>
        </w:rPr>
        <w:t>Indijo</w:t>
      </w:r>
      <w:r>
        <w:rPr>
          <w:rFonts w:ascii="Times New Roman" w:hAnsi="Times New Roman"/>
          <w:noProof/>
          <w:sz w:val="24"/>
        </w:rPr>
        <w:t>, tudi z rednimi posvetovanji o varnosti in obrambi. EU in Indija bosta nadalje preučevali možnost za partnerstvo na področju varnosti in obrambe. EU ostaja zavezana ohranjanju miru in varnosti v indijsko-pacifiški regiji, vključno s pomorsko varnostjo, odpravljanjem tradicionalnih in netradicionalnih varnostnih groženj ter zaščito pomorskih plovnih poti in ohranjanjem svobode plovbe.</w:t>
      </w:r>
    </w:p>
    <w:p w14:paraId="762612BD" w14:textId="77777777" w:rsidR="002C3010" w:rsidRPr="00C147CB" w:rsidRDefault="002C3010" w:rsidP="00475F70">
      <w:pPr>
        <w:spacing w:after="240" w:line="240" w:lineRule="auto"/>
        <w:jc w:val="both"/>
        <w:rPr>
          <w:rFonts w:ascii="Times New Roman" w:eastAsia="Calibri" w:hAnsi="Times New Roman" w:cs="Times New Roman"/>
          <w:noProof/>
          <w:sz w:val="24"/>
          <w:szCs w:val="24"/>
        </w:rPr>
      </w:pPr>
    </w:p>
    <w:p w14:paraId="3AD7223B" w14:textId="5DE428D0" w:rsidR="00475F70" w:rsidRPr="0090794D" w:rsidRDefault="005A0CCE" w:rsidP="00471147">
      <w:pPr>
        <w:keepNext/>
        <w:spacing w:after="240" w:line="240" w:lineRule="auto"/>
        <w:rPr>
          <w:rFonts w:ascii="Times New Roman" w:eastAsia="Times New Roman" w:hAnsi="Times New Roman" w:cs="Times New Roman"/>
          <w:noProof/>
          <w:sz w:val="24"/>
          <w:szCs w:val="24"/>
        </w:rPr>
      </w:pPr>
      <w:r>
        <w:rPr>
          <w:rFonts w:ascii="Times New Roman" w:hAnsi="Times New Roman"/>
          <w:b/>
          <w:noProof/>
          <w:sz w:val="24"/>
        </w:rPr>
        <w:t>9. NADALJNJI KORAKI ZA EVROPSKO OBRAMBO</w:t>
      </w:r>
    </w:p>
    <w:p w14:paraId="7301DC4E" w14:textId="77777777" w:rsidR="005A0CCE" w:rsidRPr="000066F3" w:rsidRDefault="00475F70" w:rsidP="00475F70">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Geopolitične razmere in krajina groženj v Evropi doživljajo drastične in izredno hitre spremembe. Od vrha v Versaillesu marca 2022 so se države članice strinjale, da morajo prevzeti večjo odgovornost za obrambo. Sprejetih je bilo že več ukrepov za intenzivnejše sodelovanje na tem področju. Kljub temu mora EU zaradi vse večjih groženj, ki pretijo Evropi, ostati trdna in enotna ter ukrepati odločno, ambiciozno in hitro. </w:t>
      </w:r>
    </w:p>
    <w:p w14:paraId="6A48FC49" w14:textId="538CDB0E" w:rsidR="00475F70" w:rsidRPr="000066F3" w:rsidRDefault="00475F70" w:rsidP="00475F70">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Ta bela knjiga določa celovit načrt za ponovno oborožitev Evrope in okrepitev njene obrambe za spoprijemanje s temi grožnjami, vključno z naslednjimi takojšnjimi ukrepi: </w:t>
      </w:r>
    </w:p>
    <w:p w14:paraId="56B85AB3" w14:textId="5DBC9CBF" w:rsidR="00475F70" w:rsidRPr="000066F3" w:rsidRDefault="00475F70" w:rsidP="00475F70">
      <w:pPr>
        <w:numPr>
          <w:ilvl w:val="0"/>
          <w:numId w:val="4"/>
        </w:numPr>
        <w:spacing w:after="120" w:line="240" w:lineRule="auto"/>
        <w:ind w:left="284" w:hanging="284"/>
        <w:jc w:val="both"/>
        <w:rPr>
          <w:rFonts w:ascii="Times New Roman" w:eastAsia="Times New Roman" w:hAnsi="Times New Roman" w:cs="Times New Roman"/>
          <w:noProof/>
          <w:sz w:val="24"/>
          <w:szCs w:val="24"/>
        </w:rPr>
      </w:pPr>
      <w:r>
        <w:rPr>
          <w:rFonts w:ascii="Times New Roman" w:hAnsi="Times New Roman"/>
          <w:noProof/>
          <w:sz w:val="24"/>
        </w:rPr>
        <w:t>države članice so pozvane, naj do konca aprila zaprosijo za aktivacijo nacionalne odstopne klavzule,</w:t>
      </w:r>
    </w:p>
    <w:p w14:paraId="797C7B69" w14:textId="1F492FCF" w:rsidR="00475F70" w:rsidRPr="0090794D" w:rsidRDefault="00475F70" w:rsidP="00475F70">
      <w:pPr>
        <w:numPr>
          <w:ilvl w:val="0"/>
          <w:numId w:val="4"/>
        </w:numPr>
        <w:spacing w:after="120" w:line="240" w:lineRule="auto"/>
        <w:ind w:left="284" w:hanging="284"/>
        <w:jc w:val="both"/>
        <w:rPr>
          <w:rFonts w:ascii="Times New Roman" w:eastAsia="Times New Roman" w:hAnsi="Times New Roman" w:cs="Times New Roman"/>
          <w:noProof/>
          <w:sz w:val="24"/>
          <w:szCs w:val="24"/>
        </w:rPr>
      </w:pPr>
      <w:r>
        <w:rPr>
          <w:rFonts w:ascii="Times New Roman" w:hAnsi="Times New Roman"/>
          <w:noProof/>
          <w:sz w:val="24"/>
        </w:rPr>
        <w:t xml:space="preserve">Svet naj nemudoma sprejme predlagani osnutek uredbe o varnostnih ukrepih za Evropo (SAFE), </w:t>
      </w:r>
    </w:p>
    <w:p w14:paraId="116ADB35" w14:textId="14FEA994" w:rsidR="00BF3B4F" w:rsidRPr="0090794D" w:rsidRDefault="00475F70" w:rsidP="00475F70">
      <w:pPr>
        <w:numPr>
          <w:ilvl w:val="0"/>
          <w:numId w:val="4"/>
        </w:numPr>
        <w:spacing w:after="120" w:line="240" w:lineRule="auto"/>
        <w:ind w:left="284" w:hanging="284"/>
        <w:jc w:val="both"/>
        <w:rPr>
          <w:rFonts w:ascii="Times New Roman" w:eastAsia="Times New Roman" w:hAnsi="Times New Roman" w:cs="Times New Roman"/>
          <w:noProof/>
          <w:sz w:val="24"/>
          <w:szCs w:val="24"/>
        </w:rPr>
      </w:pPr>
      <w:r>
        <w:rPr>
          <w:rFonts w:ascii="Times New Roman" w:hAnsi="Times New Roman"/>
          <w:noProof/>
          <w:sz w:val="24"/>
        </w:rPr>
        <w:t>sozakonodajalca naj pred poletjem sprejmeta program za evropsko obrambno industrijo (EDIP), vključno z instrumentom za podporo Ukrajini,</w:t>
      </w:r>
    </w:p>
    <w:p w14:paraId="37976B0C" w14:textId="27D64479" w:rsidR="00475F70" w:rsidRPr="000066F3" w:rsidRDefault="00BF3B4F" w:rsidP="00475F70">
      <w:pPr>
        <w:numPr>
          <w:ilvl w:val="0"/>
          <w:numId w:val="4"/>
        </w:numPr>
        <w:spacing w:after="120" w:line="240" w:lineRule="auto"/>
        <w:ind w:left="284" w:hanging="284"/>
        <w:jc w:val="both"/>
        <w:rPr>
          <w:rFonts w:ascii="Times New Roman" w:eastAsia="Times New Roman" w:hAnsi="Times New Roman" w:cs="Times New Roman"/>
          <w:noProof/>
          <w:sz w:val="24"/>
          <w:szCs w:val="24"/>
        </w:rPr>
      </w:pPr>
      <w:r>
        <w:rPr>
          <w:rFonts w:ascii="Times New Roman" w:hAnsi="Times New Roman"/>
          <w:noProof/>
          <w:sz w:val="24"/>
        </w:rPr>
        <w:t>sozakonodajalca naj prednostno preučita spremembe Evropskega sklada za regionalni razvoj, ki bodo predlagane do konca marca 2025. Po vmesnem pregledu kohezijskih politik se lahko nacionalni, regionalni in lokalni organi odločijo, da bodo v okviru svojih sedanjih programov dodelili sredstva za nove prednostne naloge, vključno s krepitvijo obrambnih in varnostnih zmogljivosti,</w:t>
      </w:r>
    </w:p>
    <w:p w14:paraId="46F28799" w14:textId="55BBCA8D" w:rsidR="00475F70" w:rsidRPr="000066F3" w:rsidRDefault="00475F70" w:rsidP="00475F70">
      <w:pPr>
        <w:pStyle w:val="ListParagraph"/>
        <w:numPr>
          <w:ilvl w:val="0"/>
          <w:numId w:val="4"/>
        </w:numPr>
        <w:spacing w:after="120" w:line="240" w:lineRule="auto"/>
        <w:ind w:left="284" w:hanging="284"/>
        <w:contextualSpacing w:val="0"/>
        <w:jc w:val="both"/>
        <w:rPr>
          <w:rFonts w:ascii="Times New Roman" w:eastAsia="Times New Roman" w:hAnsi="Times New Roman" w:cs="Times New Roman"/>
          <w:noProof/>
          <w:sz w:val="24"/>
          <w:szCs w:val="24"/>
        </w:rPr>
      </w:pPr>
      <w:r>
        <w:rPr>
          <w:rFonts w:ascii="Times New Roman" w:hAnsi="Times New Roman"/>
          <w:noProof/>
          <w:sz w:val="24"/>
        </w:rPr>
        <w:t>države članice so pozvane, naj hitro okrepijo skupno javno naročanje za obrambo v skladu s ciljem vsaj 40 %, ki ga predlaga strategija za evropsko obrambno industrijo (EDIS), tudi v okviru instrumenta SAFE,</w:t>
      </w:r>
    </w:p>
    <w:p w14:paraId="30AAFCBC" w14:textId="6933602A" w:rsidR="00CD0D9A" w:rsidRPr="00C147CB" w:rsidRDefault="00CD0D9A" w:rsidP="00CD0D9A">
      <w:pPr>
        <w:pStyle w:val="ListParagraph"/>
        <w:numPr>
          <w:ilvl w:val="0"/>
          <w:numId w:val="4"/>
        </w:numPr>
        <w:spacing w:after="120" w:line="240" w:lineRule="auto"/>
        <w:ind w:left="284" w:hanging="284"/>
        <w:contextualSpacing w:val="0"/>
        <w:jc w:val="both"/>
        <w:rPr>
          <w:rFonts w:ascii="Times New Roman" w:eastAsia="Times New Roman" w:hAnsi="Times New Roman" w:cs="Times New Roman"/>
          <w:noProof/>
          <w:sz w:val="24"/>
          <w:szCs w:val="24"/>
        </w:rPr>
      </w:pPr>
      <w:r w:rsidRPr="00C147CB">
        <w:rPr>
          <w:rFonts w:ascii="Times New Roman" w:hAnsi="Times New Roman" w:cs="Times New Roman"/>
          <w:noProof/>
          <w:sz w:val="24"/>
          <w:szCs w:val="24"/>
        </w:rPr>
        <w:t>države članice so pozvane, naj se hitro dogovorijo o novi ambiciozni pobudi za vojaško podporo Ukrajini, vključno z artilerijskim strelivom, zračno obrambo ter „usposabljanjem in opremljanjem“,</w:t>
      </w:r>
    </w:p>
    <w:p w14:paraId="5695DAA4" w14:textId="2BC20A88" w:rsidR="00CD0D9A" w:rsidRPr="00C147CB" w:rsidRDefault="002577A3" w:rsidP="00CD0D9A">
      <w:pPr>
        <w:pStyle w:val="ListParagraph"/>
        <w:numPr>
          <w:ilvl w:val="0"/>
          <w:numId w:val="4"/>
        </w:numPr>
        <w:spacing w:after="120" w:line="240" w:lineRule="auto"/>
        <w:ind w:left="284" w:hanging="284"/>
        <w:contextualSpacing w:val="0"/>
        <w:jc w:val="both"/>
        <w:rPr>
          <w:rFonts w:ascii="Times New Roman" w:eastAsia="Times New Roman" w:hAnsi="Times New Roman" w:cs="Times New Roman"/>
          <w:noProof/>
          <w:sz w:val="24"/>
          <w:szCs w:val="24"/>
        </w:rPr>
      </w:pPr>
      <w:r w:rsidRPr="00C147CB">
        <w:rPr>
          <w:rFonts w:ascii="Times New Roman" w:hAnsi="Times New Roman" w:cs="Times New Roman"/>
          <w:noProof/>
          <w:sz w:val="24"/>
          <w:szCs w:val="24"/>
        </w:rPr>
        <w:t xml:space="preserve">Komisija bo spodbujala vključevanje ukrajinske obrambne industrije v enotni trg, podpirala širitev koridorjev vojaške mobilnosti v Ukrajino in preučila dostop Ukrajine do vladnih vesoljskih storitev EU, </w:t>
      </w:r>
    </w:p>
    <w:p w14:paraId="3411EE74" w14:textId="77777777" w:rsidR="002C3010" w:rsidRDefault="00475F70" w:rsidP="002C3010">
      <w:pPr>
        <w:numPr>
          <w:ilvl w:val="0"/>
          <w:numId w:val="4"/>
        </w:numPr>
        <w:spacing w:after="120" w:line="240" w:lineRule="auto"/>
        <w:ind w:left="284" w:hanging="284"/>
        <w:jc w:val="both"/>
        <w:rPr>
          <w:rFonts w:ascii="Times New Roman" w:eastAsia="Times New Roman" w:hAnsi="Times New Roman" w:cs="Times New Roman"/>
          <w:noProof/>
          <w:sz w:val="24"/>
          <w:szCs w:val="24"/>
        </w:rPr>
      </w:pPr>
      <w:r>
        <w:rPr>
          <w:rFonts w:ascii="Times New Roman" w:hAnsi="Times New Roman"/>
          <w:noProof/>
          <w:sz w:val="24"/>
        </w:rPr>
        <w:t xml:space="preserve">Komisija poziva svet guvernerjev Evropske investicijske banke, naj čim prej okrepi podporo evropski obrambni industriji, zlasti z nadaljnjim krajšanjem seznama izključenih dejavnosti in povečanjem obsega razpoložljivih sredstev, </w:t>
      </w:r>
    </w:p>
    <w:p w14:paraId="3F70056B" w14:textId="036AF037" w:rsidR="00475F70" w:rsidRPr="002C3010" w:rsidRDefault="00475F70" w:rsidP="002C3010">
      <w:pPr>
        <w:numPr>
          <w:ilvl w:val="0"/>
          <w:numId w:val="4"/>
        </w:numPr>
        <w:spacing w:after="120" w:line="240" w:lineRule="auto"/>
        <w:ind w:left="284" w:hanging="284"/>
        <w:jc w:val="both"/>
        <w:rPr>
          <w:rFonts w:ascii="Times New Roman" w:eastAsia="Times New Roman" w:hAnsi="Times New Roman" w:cs="Times New Roman"/>
          <w:noProof/>
          <w:sz w:val="24"/>
          <w:szCs w:val="24"/>
        </w:rPr>
      </w:pPr>
      <w:r>
        <w:rPr>
          <w:rFonts w:ascii="Times New Roman" w:hAnsi="Times New Roman"/>
          <w:noProof/>
          <w:sz w:val="24"/>
        </w:rPr>
        <w:t xml:space="preserve">Komisija bo nemudoma začela strateški dialog z obrambno industrijo, pri čemer se bo po potrebi oprla tudi na strokovno znanje agencije EDA ali Vojaškega štaba Evropske unije, </w:t>
      </w:r>
    </w:p>
    <w:p w14:paraId="478CB416" w14:textId="77777777" w:rsidR="00475F70" w:rsidRPr="00D11735" w:rsidRDefault="00475F70" w:rsidP="00475F70">
      <w:pPr>
        <w:numPr>
          <w:ilvl w:val="0"/>
          <w:numId w:val="4"/>
        </w:numPr>
        <w:spacing w:after="120" w:line="240" w:lineRule="auto"/>
        <w:ind w:left="284" w:hanging="284"/>
        <w:jc w:val="both"/>
        <w:rPr>
          <w:rFonts w:ascii="Times New Roman" w:eastAsia="Times New Roman" w:hAnsi="Times New Roman" w:cs="Times New Roman"/>
          <w:noProof/>
          <w:sz w:val="24"/>
          <w:szCs w:val="24"/>
        </w:rPr>
      </w:pPr>
      <w:r>
        <w:rPr>
          <w:rFonts w:ascii="Times New Roman" w:hAnsi="Times New Roman"/>
          <w:noProof/>
          <w:sz w:val="24"/>
        </w:rPr>
        <w:t>Komisija bo do junija 2025 predstavila predlog za poenostavitev zbirnega svežnja za obrambo,</w:t>
      </w:r>
    </w:p>
    <w:p w14:paraId="1E216730" w14:textId="2324EDCF" w:rsidR="006639C3" w:rsidRPr="000066F3" w:rsidRDefault="006639C3" w:rsidP="00475F70">
      <w:pPr>
        <w:numPr>
          <w:ilvl w:val="0"/>
          <w:numId w:val="4"/>
        </w:numPr>
        <w:spacing w:after="120" w:line="240" w:lineRule="auto"/>
        <w:ind w:left="284" w:hanging="284"/>
        <w:jc w:val="both"/>
        <w:rPr>
          <w:rFonts w:ascii="Times New Roman" w:eastAsia="Times New Roman" w:hAnsi="Times New Roman" w:cs="Times New Roman"/>
          <w:noProof/>
          <w:sz w:val="24"/>
          <w:szCs w:val="24"/>
        </w:rPr>
      </w:pPr>
      <w:r>
        <w:rPr>
          <w:rFonts w:ascii="Times New Roman" w:hAnsi="Times New Roman"/>
          <w:noProof/>
          <w:sz w:val="24"/>
        </w:rPr>
        <w:t>EU bo leta 2025 predstavila evropski tehnološki načrt za oborožitev o naložbah v tehnološke zmogljivosti za dvojno rabo,</w:t>
      </w:r>
    </w:p>
    <w:p w14:paraId="2D0A69DD" w14:textId="19835753" w:rsidR="00504BC3" w:rsidRPr="000066F3" w:rsidRDefault="00504BC3" w:rsidP="00475F70">
      <w:pPr>
        <w:numPr>
          <w:ilvl w:val="0"/>
          <w:numId w:val="4"/>
        </w:numPr>
        <w:spacing w:after="120" w:line="240" w:lineRule="auto"/>
        <w:ind w:left="284" w:hanging="284"/>
        <w:jc w:val="both"/>
        <w:rPr>
          <w:rFonts w:ascii="Times New Roman" w:eastAsia="Times New Roman" w:hAnsi="Times New Roman" w:cs="Times New Roman"/>
          <w:noProof/>
          <w:sz w:val="24"/>
          <w:szCs w:val="24"/>
        </w:rPr>
      </w:pPr>
      <w:r>
        <w:rPr>
          <w:rFonts w:ascii="Times New Roman" w:hAnsi="Times New Roman"/>
          <w:noProof/>
          <w:sz w:val="24"/>
        </w:rPr>
        <w:t>Komisija in visoka predstavnica bosta do konca leta 2025 sprejeli skupno sporočilo o vojaški mobilnosti, ki mu bodo priloženi potrebni zakonodajni predlogi.</w:t>
      </w:r>
    </w:p>
    <w:p w14:paraId="7BE57E24" w14:textId="77777777" w:rsidR="00475F70" w:rsidRPr="00C147CB" w:rsidRDefault="00475F70" w:rsidP="00475F70">
      <w:pPr>
        <w:spacing w:after="0" w:line="240" w:lineRule="auto"/>
        <w:jc w:val="both"/>
        <w:rPr>
          <w:rFonts w:ascii="Times New Roman" w:eastAsia="Times New Roman" w:hAnsi="Times New Roman" w:cs="Times New Roman"/>
          <w:noProof/>
          <w:sz w:val="24"/>
          <w:szCs w:val="24"/>
        </w:rPr>
      </w:pPr>
    </w:p>
    <w:p w14:paraId="2E25163A" w14:textId="5CFFA7B0" w:rsidR="00475F70" w:rsidRPr="000066F3" w:rsidRDefault="00475F70" w:rsidP="00475F70">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EU je in ostaja mirovni projekt. Kot taka mora biti sposobna zaščititi svoje državljane ter braniti svoje interese in vrednote, za katere se zavzema. Ukrajina si zasluži stalno vojaško podporo, da bi se lahko branila pred še vedno trajajočo vojaško agresijo in zagotovila svojo obrambno sposobnost tudi v prihodnosti. Povečanje naložb v obrambo bi imelo pozitivne učinke prelivanja v celotnem gospodarstvu, saj bi prispevalo h konkurenčnosti, ustvarjanju delovnih mest in inovacijam v številnih sektorjih, od aeronavtike do ladjedelništva, od jeklarstva do vesolja in od prometa do umetne inteligence. Če bi te učinke pravilno izkoriščali, bi lahko bistveno izboljšali odpornost Evrope v svetu, kjer je groženj vse več.</w:t>
      </w:r>
    </w:p>
    <w:p w14:paraId="5FD27F51" w14:textId="790D8504" w:rsidR="00475F70" w:rsidRPr="000066F3" w:rsidRDefault="00475F70" w:rsidP="00475F70">
      <w:pPr>
        <w:spacing w:after="240" w:line="240" w:lineRule="auto"/>
        <w:jc w:val="both"/>
        <w:rPr>
          <w:rFonts w:ascii="Times New Roman" w:eastAsia="Times New Roman" w:hAnsi="Times New Roman" w:cs="Times New Roman"/>
          <w:noProof/>
          <w:sz w:val="24"/>
          <w:szCs w:val="24"/>
        </w:rPr>
      </w:pPr>
      <w:r>
        <w:rPr>
          <w:rFonts w:ascii="Times New Roman" w:hAnsi="Times New Roman"/>
          <w:noProof/>
          <w:sz w:val="24"/>
        </w:rPr>
        <w:t>Evropa mora sprejeti drzne odločitve in zgraditi obrambno unijo, ki bo z enotnostjo in močjo zagotavljala mir na naši celini. To dolguje svojim zaveznikom v Natu, Ukrajini ter predvsem sebi, evropskim državljanom in državljankam ter vrednotam, ki jih zagovarja. EU in njene države članice morajo biti kos temu zgodovinskemu izzivu.</w:t>
      </w:r>
    </w:p>
    <w:p w14:paraId="296B34DF" w14:textId="77777777" w:rsidR="00475F70" w:rsidRDefault="00475F70" w:rsidP="00475F70">
      <w:pPr>
        <w:jc w:val="center"/>
        <w:rPr>
          <w:noProof/>
        </w:rPr>
      </w:pPr>
      <w:r>
        <w:rPr>
          <w:noProof/>
        </w:rPr>
        <w:t>***</w:t>
      </w:r>
    </w:p>
    <w:p w14:paraId="10D81ED0" w14:textId="77777777" w:rsidR="00475F70" w:rsidRDefault="00475F70" w:rsidP="00475F70">
      <w:pPr>
        <w:rPr>
          <w:noProof/>
        </w:rPr>
      </w:pPr>
    </w:p>
    <w:p w14:paraId="7E7A7226" w14:textId="77777777" w:rsidR="007E1217" w:rsidRDefault="007E1217">
      <w:pPr>
        <w:rPr>
          <w:noProof/>
        </w:rPr>
      </w:pPr>
    </w:p>
    <w:sectPr w:rsidR="007E1217" w:rsidSect="00471147">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BECDD" w14:textId="77777777" w:rsidR="000E1DE6" w:rsidRDefault="000E1DE6">
      <w:pPr>
        <w:spacing w:after="0" w:line="240" w:lineRule="auto"/>
      </w:pPr>
      <w:r>
        <w:separator/>
      </w:r>
    </w:p>
  </w:endnote>
  <w:endnote w:type="continuationSeparator" w:id="0">
    <w:p w14:paraId="26887661" w14:textId="77777777" w:rsidR="000E1DE6" w:rsidRDefault="000E1DE6">
      <w:pPr>
        <w:spacing w:after="0" w:line="240" w:lineRule="auto"/>
      </w:pPr>
      <w:r>
        <w:continuationSeparator/>
      </w:r>
    </w:p>
  </w:endnote>
  <w:endnote w:type="continuationNotice" w:id="1">
    <w:p w14:paraId="0C14AF2D" w14:textId="77777777" w:rsidR="000E1DE6" w:rsidRDefault="000E1D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sans-serif">
    <w:altName w:val="Cambria"/>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Arial"/>
    <w:panose1 w:val="00000000000000000000"/>
    <w:charset w:val="00"/>
    <w:family w:val="auto"/>
    <w:notTrueType/>
    <w:pitch w:val="variable"/>
    <w:sig w:usb0="E50002FF" w:usb1="500079DB" w:usb2="00000010" w:usb3="00000000" w:csb0="00000001"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502A32" w14:textId="543E81DF" w:rsidR="00F61864" w:rsidRPr="00F61864" w:rsidRDefault="00F61864" w:rsidP="00F61864">
    <w:pPr>
      <w:pStyle w:val="FooterCoverPage"/>
      <w:rPr>
        <w:rFonts w:ascii="Arial" w:hAnsi="Arial" w:cs="Arial"/>
        <w:b/>
        <w:sz w:val="48"/>
      </w:rPr>
    </w:pPr>
    <w:r w:rsidRPr="00F61864">
      <w:rPr>
        <w:rFonts w:ascii="Arial" w:hAnsi="Arial" w:cs="Arial"/>
        <w:b/>
        <w:sz w:val="48"/>
      </w:rPr>
      <w:t>SL</w:t>
    </w:r>
    <w:r w:rsidRPr="00F61864">
      <w:rPr>
        <w:rFonts w:ascii="Arial" w:hAnsi="Arial" w:cs="Arial"/>
        <w:b/>
        <w:sz w:val="48"/>
      </w:rPr>
      <w:tab/>
    </w:r>
    <w:r w:rsidRPr="00F61864">
      <w:rPr>
        <w:rFonts w:ascii="Arial" w:hAnsi="Arial" w:cs="Arial"/>
        <w:b/>
        <w:sz w:val="48"/>
      </w:rPr>
      <w:tab/>
    </w:r>
    <w:r w:rsidRPr="00F61864">
      <w:tab/>
    </w:r>
    <w:r w:rsidRPr="00F61864">
      <w:rPr>
        <w:rFonts w:ascii="Arial" w:hAnsi="Arial" w:cs="Arial"/>
        <w:b/>
        <w:sz w:val="48"/>
      </w:rPr>
      <w:t>SL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F5C6C0" w14:textId="0F820E76" w:rsidR="00F61864" w:rsidRPr="00F61864" w:rsidRDefault="00F61864" w:rsidP="00F61864">
    <w:pPr>
      <w:pStyle w:val="FooterCoverPage"/>
      <w:rPr>
        <w:rFonts w:ascii="Arial" w:hAnsi="Arial" w:cs="Arial"/>
        <w:b/>
        <w:sz w:val="48"/>
      </w:rPr>
    </w:pPr>
    <w:r w:rsidRPr="00F61864">
      <w:rPr>
        <w:rFonts w:ascii="Arial" w:hAnsi="Arial" w:cs="Arial"/>
        <w:b/>
        <w:sz w:val="48"/>
      </w:rPr>
      <w:t>SL</w:t>
    </w:r>
    <w:r w:rsidRPr="00F61864">
      <w:rPr>
        <w:rFonts w:ascii="Arial" w:hAnsi="Arial" w:cs="Arial"/>
        <w:b/>
        <w:sz w:val="48"/>
      </w:rPr>
      <w:tab/>
    </w:r>
    <w:r w:rsidRPr="00F61864">
      <w:rPr>
        <w:rFonts w:ascii="Arial" w:hAnsi="Arial" w:cs="Arial"/>
        <w:b/>
        <w:sz w:val="48"/>
      </w:rPr>
      <w:tab/>
    </w:r>
    <w:r w:rsidRPr="00F61864">
      <w:tab/>
    </w:r>
    <w:r w:rsidRPr="00F61864">
      <w:rPr>
        <w:rFonts w:ascii="Arial" w:hAnsi="Arial" w:cs="Arial"/>
        <w:b/>
        <w:sz w:val="48"/>
      </w:rPr>
      <w:t>SL</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C63EB3" w14:textId="77777777" w:rsidR="00F61864" w:rsidRPr="00F61864" w:rsidRDefault="00F61864" w:rsidP="00F61864">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E9870" w14:textId="77777777" w:rsidR="00AF4E0D" w:rsidRDefault="00AF4E0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62529078"/>
      <w:docPartObj>
        <w:docPartGallery w:val="Page Numbers (Bottom of Page)"/>
        <w:docPartUnique/>
      </w:docPartObj>
    </w:sdtPr>
    <w:sdtEndPr>
      <w:rPr>
        <w:rFonts w:ascii="Times New Roman" w:hAnsi="Times New Roman" w:cs="Times New Roman"/>
        <w:noProof/>
      </w:rPr>
    </w:sdtEndPr>
    <w:sdtContent>
      <w:p w14:paraId="32A74B05" w14:textId="063CCDA0" w:rsidR="00AF4E0D" w:rsidRPr="008247E2" w:rsidRDefault="00AF4E0D">
        <w:pPr>
          <w:pStyle w:val="Footer"/>
          <w:jc w:val="center"/>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sidR="00F61864">
          <w:rPr>
            <w:rFonts w:ascii="Times New Roman" w:hAnsi="Times New Roman" w:cs="Times New Roman"/>
            <w:noProof/>
          </w:rPr>
          <w:t>2</w:t>
        </w:r>
        <w:r>
          <w:rPr>
            <w:rFonts w:ascii="Times New Roman" w:hAnsi="Times New Roman" w:cs="Times New Roman"/>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91CE0" w14:textId="77777777" w:rsidR="00AF4E0D" w:rsidRDefault="00AF4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6F41F" w14:textId="77777777" w:rsidR="000E1DE6" w:rsidRDefault="000E1DE6">
      <w:pPr>
        <w:spacing w:after="0" w:line="240" w:lineRule="auto"/>
      </w:pPr>
      <w:r>
        <w:separator/>
      </w:r>
    </w:p>
  </w:footnote>
  <w:footnote w:type="continuationSeparator" w:id="0">
    <w:p w14:paraId="7A69B486" w14:textId="77777777" w:rsidR="000E1DE6" w:rsidRDefault="000E1DE6">
      <w:pPr>
        <w:spacing w:after="0" w:line="240" w:lineRule="auto"/>
      </w:pPr>
      <w:r>
        <w:continuationSeparator/>
      </w:r>
    </w:p>
  </w:footnote>
  <w:footnote w:type="continuationNotice" w:id="1">
    <w:p w14:paraId="516F2EE3" w14:textId="77777777" w:rsidR="000E1DE6" w:rsidRDefault="000E1D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4F68B" w14:textId="77777777" w:rsidR="00F61864" w:rsidRPr="00F61864" w:rsidRDefault="00F61864" w:rsidP="00F61864">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AEDCF" w14:textId="77777777" w:rsidR="00F61864" w:rsidRPr="00F61864" w:rsidRDefault="00F61864" w:rsidP="00F61864">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1789C" w14:textId="77777777" w:rsidR="00F61864" w:rsidRPr="00F61864" w:rsidRDefault="00F61864" w:rsidP="00F61864">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81004" w14:textId="77777777" w:rsidR="00AF4E0D" w:rsidRDefault="00AF4E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E99D2" w14:textId="77777777" w:rsidR="00AF4E0D" w:rsidRDefault="00AF4E0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EE13E" w14:textId="77777777" w:rsidR="00AF4E0D" w:rsidRDefault="00AF4E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3E6BB9"/>
    <w:multiLevelType w:val="hybridMultilevel"/>
    <w:tmpl w:val="C922A5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1DB3FFB"/>
    <w:multiLevelType w:val="hybridMultilevel"/>
    <w:tmpl w:val="35FECE78"/>
    <w:lvl w:ilvl="0" w:tplc="C1FA3336">
      <w:numFmt w:val="bullet"/>
      <w:lvlText w:val="–"/>
      <w:lvlJc w:val="left"/>
      <w:pPr>
        <w:ind w:left="720" w:hanging="360"/>
      </w:pPr>
      <w:rPr>
        <w:rFonts w:ascii="&quot;Arial&quot;,sans-serif" w:eastAsia="Calibri" w:hAnsi="&quot;Arial&quot;,sans-serif"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42B275E6"/>
    <w:multiLevelType w:val="hybridMultilevel"/>
    <w:tmpl w:val="AD7AD2A0"/>
    <w:lvl w:ilvl="0" w:tplc="04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4EF562D8"/>
    <w:multiLevelType w:val="hybridMultilevel"/>
    <w:tmpl w:val="A882F0A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9DD0A1F"/>
    <w:multiLevelType w:val="hybridMultilevel"/>
    <w:tmpl w:val="EEEEC53A"/>
    <w:lvl w:ilvl="0" w:tplc="FD6A8DA2">
      <w:start w:val="1"/>
      <w:numFmt w:val="bullet"/>
      <w:lvlText w:val="-"/>
      <w:lvlJc w:val="left"/>
      <w:pPr>
        <w:ind w:left="720" w:hanging="360"/>
      </w:pPr>
      <w:rPr>
        <w:rFonts w:ascii="Arial" w:eastAsiaTheme="minorHAnsi"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70A6688E"/>
    <w:multiLevelType w:val="hybridMultilevel"/>
    <w:tmpl w:val="2E06E4B0"/>
    <w:lvl w:ilvl="0" w:tplc="C1FA3336">
      <w:numFmt w:val="bullet"/>
      <w:lvlText w:val="–"/>
      <w:lvlJc w:val="left"/>
      <w:pPr>
        <w:ind w:left="720" w:hanging="360"/>
      </w:pPr>
      <w:rPr>
        <w:rFonts w:ascii="&quot;Arial&quot;,sans-serif" w:eastAsia="Calibri" w:hAnsi="&quot;Arial&quot;,sans-serif"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5614B59"/>
    <w:multiLevelType w:val="hybridMultilevel"/>
    <w:tmpl w:val="A65201C2"/>
    <w:lvl w:ilvl="0" w:tplc="C1FA3336">
      <w:numFmt w:val="bullet"/>
      <w:lvlText w:val="–"/>
      <w:lvlJc w:val="left"/>
      <w:pPr>
        <w:ind w:left="720" w:hanging="360"/>
      </w:pPr>
      <w:rPr>
        <w:rFonts w:ascii="&quot;Arial&quot;,sans-serif" w:eastAsia="Calibri" w:hAnsi="&quot;Arial&quot;,sans-serif"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8911C1D"/>
    <w:multiLevelType w:val="hybridMultilevel"/>
    <w:tmpl w:val="58C26E14"/>
    <w:lvl w:ilvl="0" w:tplc="C1FA3336">
      <w:numFmt w:val="bullet"/>
      <w:lvlText w:val="–"/>
      <w:lvlJc w:val="left"/>
      <w:pPr>
        <w:ind w:left="720" w:hanging="360"/>
      </w:pPr>
      <w:rPr>
        <w:rFonts w:ascii="&quot;Arial&quot;,sans-serif" w:eastAsia="Calibri" w:hAnsi="&quot;Arial&quot;,sans-serif"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7B775211"/>
    <w:multiLevelType w:val="hybridMultilevel"/>
    <w:tmpl w:val="3376AF24"/>
    <w:lvl w:ilvl="0" w:tplc="609245C0">
      <w:start w:val="1"/>
      <w:numFmt w:val="bullet"/>
      <w:lvlText w:val="-"/>
      <w:lvlJc w:val="left"/>
      <w:pPr>
        <w:ind w:left="720" w:hanging="360"/>
      </w:pPr>
      <w:rPr>
        <w:rFonts w:ascii="&quot;Arial&quot;,sans-serif" w:hAnsi="&quot;Arial&quot;,sans-serif"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0"/>
  </w:num>
  <w:num w:numId="5">
    <w:abstractNumId w:val="2"/>
  </w:num>
  <w:num w:numId="6">
    <w:abstractNumId w:val="5"/>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revisionView w:markup="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83402CC0-57FA-47B5-AD08-AEFA68C6E4F4"/>
    <w:docVar w:name="LW_COVERPAGE_TYPE" w:val="1"/>
    <w:docVar w:name="LW_CROSSREFERENCE" w:val="&lt;UNUSED&gt;"/>
    <w:docVar w:name="LW_DocType" w:val="NORMAL"/>
    <w:docVar w:name="LW_EMISSION" w:val="19.3.2025"/>
    <w:docVar w:name="LW_EMISSION_ISODATE" w:val="2025-03-19"/>
    <w:docVar w:name="LW_EMISSION_LOCATION" w:val="BRX"/>
    <w:docVar w:name="LW_EMISSION_PREFIX" w:val="Bruselj, "/>
    <w:docVar w:name="LW_EMISSION_SUFFIX" w:val=" "/>
    <w:docVar w:name="LW_ID_DOCTYPE_NONLW" w:val="CP-042"/>
    <w:docVar w:name="LW_LANGUE" w:val="SL"/>
    <w:docVar w:name="LW_LEVEL_OF_SENSITIVITY" w:val="Standard treatment"/>
    <w:docVar w:name="LW_NOM.INST" w:val="EVROPSKA KOMISIJA"/>
    <w:docVar w:name="LW_NOM.INST_JOINTDOC" w:val="VISOKI PREDSTAVNIK_x000b_UNIJE ZA ZUNANJE _x000b_ZADEVE IN_x000b_ VARNOSTNO POLITIKO"/>
    <w:docVar w:name="LW_PART_NBR" w:val="1"/>
    <w:docVar w:name="LW_PART_NBR_TOTAL" w:val="1"/>
    <w:docVar w:name="LW_REF.II.NEW.CP" w:val="&lt;UNUSED&gt;"/>
    <w:docVar w:name="LW_REF.II.NEW.CP_NUMBER" w:val="&lt;UNUSED&gt;"/>
    <w:docVar w:name="LW_REF.II.NEW.CP_YEAR" w:val="2025"/>
    <w:docVar w:name="LW_REF.INST.NEW" w:val="JOIN"/>
    <w:docVar w:name="LW_REF.INST.NEW_ADOPTED" w:val="final"/>
    <w:docVar w:name="LW_REF.INST.NEW_TEXT" w:val="(2025) 120"/>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 prihodnosti evropske obrambe Pripravljenost 2023_x000d__x000d__x000d__x000d__x000d__x000d__x000d__x000d__x000b_"/>
    <w:docVar w:name="LW_TYPE.DOC.CP" w:val="_x000b_SKUPNA BELA KNJIGA"/>
    <w:docVar w:name="LwApiVersions" w:val="LW4CoDe 1.24.5.0; LW 9.0, Build 20240221"/>
  </w:docVars>
  <w:rsids>
    <w:rsidRoot w:val="00475F70"/>
    <w:rsid w:val="00004FE3"/>
    <w:rsid w:val="000066F3"/>
    <w:rsid w:val="00011342"/>
    <w:rsid w:val="00053079"/>
    <w:rsid w:val="00070229"/>
    <w:rsid w:val="0007280E"/>
    <w:rsid w:val="00091A76"/>
    <w:rsid w:val="00095AFF"/>
    <w:rsid w:val="000A3E04"/>
    <w:rsid w:val="000B66DD"/>
    <w:rsid w:val="000D01D2"/>
    <w:rsid w:val="000E1DE6"/>
    <w:rsid w:val="000E1EA7"/>
    <w:rsid w:val="000F702E"/>
    <w:rsid w:val="001044FF"/>
    <w:rsid w:val="00117C90"/>
    <w:rsid w:val="00134CA5"/>
    <w:rsid w:val="00147EBF"/>
    <w:rsid w:val="00174F6E"/>
    <w:rsid w:val="001C33D1"/>
    <w:rsid w:val="001C7F54"/>
    <w:rsid w:val="001E471C"/>
    <w:rsid w:val="001F0D37"/>
    <w:rsid w:val="001F3530"/>
    <w:rsid w:val="00235F2D"/>
    <w:rsid w:val="00242F7F"/>
    <w:rsid w:val="002577A3"/>
    <w:rsid w:val="002639C2"/>
    <w:rsid w:val="00281C12"/>
    <w:rsid w:val="002860D6"/>
    <w:rsid w:val="002B469E"/>
    <w:rsid w:val="002B60D1"/>
    <w:rsid w:val="002C3010"/>
    <w:rsid w:val="00330372"/>
    <w:rsid w:val="00357C24"/>
    <w:rsid w:val="0036426D"/>
    <w:rsid w:val="00392E8C"/>
    <w:rsid w:val="003C5CCA"/>
    <w:rsid w:val="003D5170"/>
    <w:rsid w:val="003E4E17"/>
    <w:rsid w:val="003F2DEA"/>
    <w:rsid w:val="004100B4"/>
    <w:rsid w:val="00434F20"/>
    <w:rsid w:val="0045208F"/>
    <w:rsid w:val="00471147"/>
    <w:rsid w:val="00475F70"/>
    <w:rsid w:val="004822CA"/>
    <w:rsid w:val="0048583A"/>
    <w:rsid w:val="004C5AF1"/>
    <w:rsid w:val="004D650A"/>
    <w:rsid w:val="004E3258"/>
    <w:rsid w:val="004F5060"/>
    <w:rsid w:val="00504BC3"/>
    <w:rsid w:val="00516B39"/>
    <w:rsid w:val="0053414B"/>
    <w:rsid w:val="00552BA2"/>
    <w:rsid w:val="005712DE"/>
    <w:rsid w:val="0057201C"/>
    <w:rsid w:val="00577C3C"/>
    <w:rsid w:val="005A0CCE"/>
    <w:rsid w:val="005B399D"/>
    <w:rsid w:val="005C6353"/>
    <w:rsid w:val="00602B5A"/>
    <w:rsid w:val="0060691E"/>
    <w:rsid w:val="00643A5D"/>
    <w:rsid w:val="006443EA"/>
    <w:rsid w:val="00646817"/>
    <w:rsid w:val="00657F9F"/>
    <w:rsid w:val="006639C3"/>
    <w:rsid w:val="00665FDB"/>
    <w:rsid w:val="00683C60"/>
    <w:rsid w:val="006B6F03"/>
    <w:rsid w:val="006D4591"/>
    <w:rsid w:val="006D4B8A"/>
    <w:rsid w:val="006D7F75"/>
    <w:rsid w:val="006E4C00"/>
    <w:rsid w:val="0075012F"/>
    <w:rsid w:val="0075061E"/>
    <w:rsid w:val="00752470"/>
    <w:rsid w:val="007546A9"/>
    <w:rsid w:val="00760253"/>
    <w:rsid w:val="00761DEE"/>
    <w:rsid w:val="00763539"/>
    <w:rsid w:val="007654F5"/>
    <w:rsid w:val="007834CD"/>
    <w:rsid w:val="00783E92"/>
    <w:rsid w:val="007B0FBF"/>
    <w:rsid w:val="007B18F6"/>
    <w:rsid w:val="007B207F"/>
    <w:rsid w:val="007B45D4"/>
    <w:rsid w:val="007D72E5"/>
    <w:rsid w:val="007E1217"/>
    <w:rsid w:val="00823AD9"/>
    <w:rsid w:val="00840B83"/>
    <w:rsid w:val="00841F43"/>
    <w:rsid w:val="00851478"/>
    <w:rsid w:val="0088622B"/>
    <w:rsid w:val="008A118B"/>
    <w:rsid w:val="008A1B79"/>
    <w:rsid w:val="008B340D"/>
    <w:rsid w:val="008D6AA5"/>
    <w:rsid w:val="008D7EE3"/>
    <w:rsid w:val="0090794D"/>
    <w:rsid w:val="00921BB1"/>
    <w:rsid w:val="00957753"/>
    <w:rsid w:val="009A02C7"/>
    <w:rsid w:val="009A0682"/>
    <w:rsid w:val="009A078F"/>
    <w:rsid w:val="009C0539"/>
    <w:rsid w:val="009C3325"/>
    <w:rsid w:val="009C34CA"/>
    <w:rsid w:val="009E5A2C"/>
    <w:rsid w:val="009E7460"/>
    <w:rsid w:val="00A21038"/>
    <w:rsid w:val="00A415B7"/>
    <w:rsid w:val="00A43057"/>
    <w:rsid w:val="00A6511B"/>
    <w:rsid w:val="00A675AF"/>
    <w:rsid w:val="00AA0413"/>
    <w:rsid w:val="00AA5198"/>
    <w:rsid w:val="00AA5EB2"/>
    <w:rsid w:val="00AA6919"/>
    <w:rsid w:val="00AB6B4E"/>
    <w:rsid w:val="00AE71BC"/>
    <w:rsid w:val="00AF4E0D"/>
    <w:rsid w:val="00B064A2"/>
    <w:rsid w:val="00B5018B"/>
    <w:rsid w:val="00B54732"/>
    <w:rsid w:val="00B572B2"/>
    <w:rsid w:val="00B6214B"/>
    <w:rsid w:val="00B76250"/>
    <w:rsid w:val="00B80A25"/>
    <w:rsid w:val="00BA2AB5"/>
    <w:rsid w:val="00BA69FD"/>
    <w:rsid w:val="00BF3B4F"/>
    <w:rsid w:val="00BF529A"/>
    <w:rsid w:val="00C00A95"/>
    <w:rsid w:val="00C147CB"/>
    <w:rsid w:val="00C2227B"/>
    <w:rsid w:val="00C22D81"/>
    <w:rsid w:val="00C24F85"/>
    <w:rsid w:val="00C31E47"/>
    <w:rsid w:val="00C668C7"/>
    <w:rsid w:val="00CB1A92"/>
    <w:rsid w:val="00CB67DA"/>
    <w:rsid w:val="00CB6C9E"/>
    <w:rsid w:val="00CD0D9A"/>
    <w:rsid w:val="00CE3E4B"/>
    <w:rsid w:val="00D03C09"/>
    <w:rsid w:val="00D11735"/>
    <w:rsid w:val="00D1772A"/>
    <w:rsid w:val="00D31F5D"/>
    <w:rsid w:val="00D55A3E"/>
    <w:rsid w:val="00D8513E"/>
    <w:rsid w:val="00DB7962"/>
    <w:rsid w:val="00DE125D"/>
    <w:rsid w:val="00DF474A"/>
    <w:rsid w:val="00DF5793"/>
    <w:rsid w:val="00E14CB5"/>
    <w:rsid w:val="00E35F66"/>
    <w:rsid w:val="00E4379A"/>
    <w:rsid w:val="00E75C7F"/>
    <w:rsid w:val="00E9194E"/>
    <w:rsid w:val="00EE127E"/>
    <w:rsid w:val="00F501F3"/>
    <w:rsid w:val="00F61864"/>
    <w:rsid w:val="00F8035D"/>
    <w:rsid w:val="00F953EE"/>
    <w:rsid w:val="00F97C1C"/>
    <w:rsid w:val="00FA33D7"/>
    <w:rsid w:val="00FA6F38"/>
    <w:rsid w:val="00FB07E1"/>
    <w:rsid w:val="00FC17AA"/>
    <w:rsid w:val="00FC258D"/>
    <w:rsid w:val="00FC6773"/>
    <w:rsid w:val="00FD1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7D4AC4"/>
  <w15:chartTrackingRefBased/>
  <w15:docId w15:val="{993439E0-2A09-4AEB-BDAE-8F8051226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F70"/>
  </w:style>
  <w:style w:type="paragraph" w:styleId="Heading1">
    <w:name w:val="heading 1"/>
    <w:basedOn w:val="Normal"/>
    <w:next w:val="Normal"/>
    <w:link w:val="Heading1Char"/>
    <w:uiPriority w:val="9"/>
    <w:qFormat/>
    <w:rsid w:val="00475F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5F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5F7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5F7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5F7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5F7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5F7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5F7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5F7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5F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5F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5F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5F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5F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5F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5F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5F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5F70"/>
    <w:rPr>
      <w:rFonts w:eastAsiaTheme="majorEastAsia" w:cstheme="majorBidi"/>
      <w:color w:val="272727" w:themeColor="text1" w:themeTint="D8"/>
    </w:rPr>
  </w:style>
  <w:style w:type="paragraph" w:styleId="Title">
    <w:name w:val="Title"/>
    <w:basedOn w:val="Normal"/>
    <w:next w:val="Normal"/>
    <w:link w:val="TitleChar"/>
    <w:uiPriority w:val="10"/>
    <w:qFormat/>
    <w:rsid w:val="00475F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5F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5F7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5F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5F70"/>
    <w:pPr>
      <w:spacing w:before="160"/>
      <w:jc w:val="center"/>
    </w:pPr>
    <w:rPr>
      <w:i/>
      <w:iCs/>
      <w:color w:val="404040" w:themeColor="text1" w:themeTint="BF"/>
    </w:rPr>
  </w:style>
  <w:style w:type="character" w:customStyle="1" w:styleId="QuoteChar">
    <w:name w:val="Quote Char"/>
    <w:basedOn w:val="DefaultParagraphFont"/>
    <w:link w:val="Quote"/>
    <w:uiPriority w:val="29"/>
    <w:rsid w:val="00475F70"/>
    <w:rPr>
      <w:i/>
      <w:iCs/>
      <w:color w:val="404040" w:themeColor="text1" w:themeTint="BF"/>
    </w:rPr>
  </w:style>
  <w:style w:type="paragraph" w:styleId="ListParagraph">
    <w:name w:val="List Paragraph"/>
    <w:aliases w:val="Nad,Odstavec_muj,Table/Figure Heading,Colorful List - Accent 11,Dot pt,F5 List Paragraph,List Paragraph1,No Spacing1,List Paragraph Char Char Char,Indicator Text,Numbered Para 1,Bullet 1,Bullet Points,MAIN CONTENT,List Paragraph11,L,Ha,3"/>
    <w:basedOn w:val="Normal"/>
    <w:link w:val="ListParagraphChar"/>
    <w:uiPriority w:val="34"/>
    <w:qFormat/>
    <w:rsid w:val="00475F70"/>
    <w:pPr>
      <w:ind w:left="720"/>
      <w:contextualSpacing/>
    </w:pPr>
  </w:style>
  <w:style w:type="character" w:styleId="IntenseEmphasis">
    <w:name w:val="Intense Emphasis"/>
    <w:basedOn w:val="DefaultParagraphFont"/>
    <w:uiPriority w:val="21"/>
    <w:qFormat/>
    <w:rsid w:val="00475F70"/>
    <w:rPr>
      <w:i/>
      <w:iCs/>
      <w:color w:val="0F4761" w:themeColor="accent1" w:themeShade="BF"/>
    </w:rPr>
  </w:style>
  <w:style w:type="paragraph" w:styleId="IntenseQuote">
    <w:name w:val="Intense Quote"/>
    <w:basedOn w:val="Normal"/>
    <w:next w:val="Normal"/>
    <w:link w:val="IntenseQuoteChar"/>
    <w:uiPriority w:val="30"/>
    <w:qFormat/>
    <w:rsid w:val="00475F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5F70"/>
    <w:rPr>
      <w:i/>
      <w:iCs/>
      <w:color w:val="0F4761" w:themeColor="accent1" w:themeShade="BF"/>
    </w:rPr>
  </w:style>
  <w:style w:type="character" w:styleId="IntenseReference">
    <w:name w:val="Intense Reference"/>
    <w:basedOn w:val="DefaultParagraphFont"/>
    <w:uiPriority w:val="32"/>
    <w:qFormat/>
    <w:rsid w:val="00475F70"/>
    <w:rPr>
      <w:b/>
      <w:bCs/>
      <w:smallCaps/>
      <w:color w:val="0F4761" w:themeColor="accent1" w:themeShade="BF"/>
      <w:spacing w:val="5"/>
    </w:rPr>
  </w:style>
  <w:style w:type="character" w:customStyle="1" w:styleId="ListParagraphChar">
    <w:name w:val="List Paragraph Char"/>
    <w:aliases w:val="Nad Char,Odstavec_muj Char,Table/Figure Heading Char,Colorful List - Accent 11 Char,Dot pt Char,F5 List Paragraph Char,List Paragraph1 Char,No Spacing1 Char,List Paragraph Char Char Char Char,Indicator Text Char,Numbered Para 1 Char"/>
    <w:link w:val="ListParagraph"/>
    <w:uiPriority w:val="34"/>
    <w:qFormat/>
    <w:locked/>
    <w:rsid w:val="00475F70"/>
  </w:style>
  <w:style w:type="character" w:customStyle="1" w:styleId="cf01">
    <w:name w:val="cf01"/>
    <w:basedOn w:val="DefaultParagraphFont"/>
    <w:rsid w:val="00475F70"/>
    <w:rPr>
      <w:rFonts w:ascii="Segoe UI" w:hAnsi="Segoe UI" w:cs="Segoe UI" w:hint="default"/>
      <w:sz w:val="18"/>
      <w:szCs w:val="18"/>
    </w:rPr>
  </w:style>
  <w:style w:type="paragraph" w:customStyle="1" w:styleId="Default">
    <w:name w:val="Default"/>
    <w:rsid w:val="00475F70"/>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lang w:eastAsia="en-IE"/>
      <w14:textOutline w14:w="0" w14:cap="flat" w14:cmpd="sng" w14:algn="ctr">
        <w14:noFill/>
        <w14:prstDash w14:val="solid"/>
        <w14:bevel/>
      </w14:textOutline>
      <w14:ligatures w14:val="none"/>
    </w:rPr>
  </w:style>
  <w:style w:type="paragraph" w:styleId="Header">
    <w:name w:val="header"/>
    <w:basedOn w:val="Normal"/>
    <w:link w:val="HeaderChar1"/>
    <w:uiPriority w:val="99"/>
    <w:unhideWhenUsed/>
    <w:rsid w:val="00475F70"/>
    <w:pPr>
      <w:tabs>
        <w:tab w:val="center" w:pos="4513"/>
        <w:tab w:val="right" w:pos="9026"/>
      </w:tabs>
      <w:spacing w:after="0" w:line="240" w:lineRule="auto"/>
    </w:pPr>
  </w:style>
  <w:style w:type="character" w:customStyle="1" w:styleId="HeaderChar">
    <w:name w:val="Header Char"/>
    <w:basedOn w:val="DefaultParagraphFont"/>
    <w:uiPriority w:val="99"/>
    <w:semiHidden/>
    <w:rsid w:val="00475F70"/>
  </w:style>
  <w:style w:type="character" w:customStyle="1" w:styleId="HeaderChar1">
    <w:name w:val="Header Char1"/>
    <w:basedOn w:val="DefaultParagraphFont"/>
    <w:link w:val="Header"/>
    <w:uiPriority w:val="99"/>
    <w:rsid w:val="00475F70"/>
  </w:style>
  <w:style w:type="paragraph" w:styleId="Footer">
    <w:name w:val="footer"/>
    <w:basedOn w:val="Normal"/>
    <w:link w:val="FooterChar1"/>
    <w:uiPriority w:val="99"/>
    <w:unhideWhenUsed/>
    <w:rsid w:val="00475F70"/>
    <w:pPr>
      <w:tabs>
        <w:tab w:val="center" w:pos="4513"/>
        <w:tab w:val="right" w:pos="9026"/>
      </w:tabs>
      <w:spacing w:after="0" w:line="240" w:lineRule="auto"/>
    </w:pPr>
  </w:style>
  <w:style w:type="character" w:customStyle="1" w:styleId="FooterChar">
    <w:name w:val="Footer Char"/>
    <w:basedOn w:val="DefaultParagraphFont"/>
    <w:uiPriority w:val="99"/>
    <w:semiHidden/>
    <w:rsid w:val="00475F70"/>
  </w:style>
  <w:style w:type="character" w:customStyle="1" w:styleId="FooterChar1">
    <w:name w:val="Footer Char1"/>
    <w:basedOn w:val="DefaultParagraphFont"/>
    <w:link w:val="Footer"/>
    <w:uiPriority w:val="99"/>
    <w:rsid w:val="00475F70"/>
  </w:style>
  <w:style w:type="paragraph" w:customStyle="1" w:styleId="Typedudocument">
    <w:name w:val="Type du document"/>
    <w:basedOn w:val="Normal"/>
    <w:next w:val="Normal"/>
    <w:rsid w:val="00475F70"/>
    <w:pPr>
      <w:spacing w:before="360" w:after="0" w:line="240" w:lineRule="auto"/>
      <w:jc w:val="center"/>
    </w:pPr>
    <w:rPr>
      <w:rFonts w:ascii="Times New Roman" w:hAnsi="Times New Roman" w:cs="Times New Roman"/>
      <w:b/>
      <w:kern w:val="0"/>
      <w:sz w:val="24"/>
      <w14:ligatures w14:val="none"/>
    </w:rPr>
  </w:style>
  <w:style w:type="paragraph" w:customStyle="1" w:styleId="Body">
    <w:name w:val="Body"/>
    <w:rsid w:val="00475F70"/>
    <w:pPr>
      <w:pBdr>
        <w:top w:val="nil"/>
        <w:left w:val="nil"/>
        <w:bottom w:val="nil"/>
        <w:right w:val="nil"/>
        <w:between w:val="nil"/>
        <w:bar w:val="nil"/>
      </w:pBdr>
    </w:pPr>
    <w:rPr>
      <w:rFonts w:ascii="Aptos" w:eastAsia="Aptos" w:hAnsi="Aptos" w:cs="Aptos"/>
      <w:color w:val="000000"/>
      <w:u w:color="000000"/>
      <w:bdr w:val="nil"/>
      <w:lang w:eastAsia="en-IE"/>
      <w14:textOutline w14:w="0" w14:cap="flat" w14:cmpd="sng" w14:algn="ctr">
        <w14:noFill/>
        <w14:prstDash w14:val="solid"/>
        <w14:bevel/>
      </w14:textOutline>
      <w14:ligatures w14:val="none"/>
    </w:rPr>
  </w:style>
  <w:style w:type="character" w:styleId="CommentReference">
    <w:name w:val="annotation reference"/>
    <w:basedOn w:val="DefaultParagraphFont"/>
    <w:uiPriority w:val="99"/>
    <w:semiHidden/>
    <w:unhideWhenUsed/>
    <w:rsid w:val="00475F70"/>
    <w:rPr>
      <w:sz w:val="16"/>
      <w:szCs w:val="16"/>
    </w:rPr>
  </w:style>
  <w:style w:type="paragraph" w:styleId="Revision">
    <w:name w:val="Revision"/>
    <w:hidden/>
    <w:uiPriority w:val="99"/>
    <w:semiHidden/>
    <w:rsid w:val="001C7F54"/>
    <w:pPr>
      <w:spacing w:after="0" w:line="240" w:lineRule="auto"/>
    </w:pPr>
  </w:style>
  <w:style w:type="character" w:customStyle="1" w:styleId="Marker">
    <w:name w:val="Marker"/>
    <w:basedOn w:val="DefaultParagraphFont"/>
    <w:rsid w:val="00AF4E0D"/>
    <w:rPr>
      <w:color w:val="0000FF"/>
      <w:shd w:val="clear" w:color="auto" w:fill="auto"/>
    </w:rPr>
  </w:style>
  <w:style w:type="paragraph" w:customStyle="1" w:styleId="Pagedecouverture">
    <w:name w:val="Page de couverture"/>
    <w:basedOn w:val="Normal"/>
    <w:next w:val="Normal"/>
    <w:rsid w:val="00AF4E0D"/>
    <w:pPr>
      <w:spacing w:after="0" w:line="240" w:lineRule="auto"/>
      <w:jc w:val="both"/>
    </w:pPr>
    <w:rPr>
      <w:rFonts w:ascii="Times New Roman" w:hAnsi="Times New Roman" w:cs="Times New Roman"/>
      <w:kern w:val="0"/>
      <w:sz w:val="24"/>
      <w14:ligatures w14:val="none"/>
    </w:rPr>
  </w:style>
  <w:style w:type="paragraph" w:customStyle="1" w:styleId="FooterCoverPage">
    <w:name w:val="Footer Cover Page"/>
    <w:basedOn w:val="Normal"/>
    <w:link w:val="FooterCoverPageChar"/>
    <w:rsid w:val="00AF4E0D"/>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AF4E0D"/>
    <w:rPr>
      <w:rFonts w:ascii="Times New Roman" w:hAnsi="Times New Roman" w:cs="Times New Roman"/>
      <w:sz w:val="24"/>
    </w:rPr>
  </w:style>
  <w:style w:type="paragraph" w:customStyle="1" w:styleId="FooterSensitivity">
    <w:name w:val="Footer Sensitivity"/>
    <w:basedOn w:val="Normal"/>
    <w:link w:val="FooterSensitivityChar"/>
    <w:rsid w:val="00AF4E0D"/>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AF4E0D"/>
    <w:rPr>
      <w:rFonts w:ascii="Times New Roman" w:hAnsi="Times New Roman" w:cs="Times New Roman"/>
      <w:b/>
      <w:sz w:val="32"/>
    </w:rPr>
  </w:style>
  <w:style w:type="paragraph" w:customStyle="1" w:styleId="HeaderCoverPage">
    <w:name w:val="Header Cover Page"/>
    <w:basedOn w:val="Normal"/>
    <w:link w:val="HeaderCoverPageChar"/>
    <w:rsid w:val="00AF4E0D"/>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AF4E0D"/>
    <w:rPr>
      <w:rFonts w:ascii="Times New Roman" w:hAnsi="Times New Roman" w:cs="Times New Roman"/>
      <w:sz w:val="24"/>
    </w:rPr>
  </w:style>
  <w:style w:type="paragraph" w:customStyle="1" w:styleId="HeaderSensitivity">
    <w:name w:val="Header Sensitivity"/>
    <w:basedOn w:val="Normal"/>
    <w:link w:val="HeaderSensitivityChar"/>
    <w:rsid w:val="00AF4E0D"/>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AF4E0D"/>
    <w:rPr>
      <w:rFonts w:ascii="Times New Roman" w:hAnsi="Times New Roman" w:cs="Times New Roman"/>
      <w:b/>
      <w:sz w:val="32"/>
    </w:rPr>
  </w:style>
  <w:style w:type="paragraph" w:customStyle="1" w:styleId="HeaderSensitivityRight">
    <w:name w:val="Header Sensitivity Right"/>
    <w:basedOn w:val="Normal"/>
    <w:link w:val="HeaderSensitivityRightChar"/>
    <w:rsid w:val="00AF4E0D"/>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AF4E0D"/>
    <w:rPr>
      <w:rFonts w:ascii="Times New Roman" w:hAnsi="Times New Roman" w:cs="Times New Roman"/>
      <w:sz w:val="28"/>
    </w:rPr>
  </w:style>
  <w:style w:type="paragraph" w:styleId="CommentText">
    <w:name w:val="annotation text"/>
    <w:basedOn w:val="Normal"/>
    <w:link w:val="CommentTextChar"/>
    <w:uiPriority w:val="99"/>
    <w:unhideWhenUsed/>
    <w:rsid w:val="001044FF"/>
    <w:pPr>
      <w:spacing w:line="240" w:lineRule="auto"/>
    </w:pPr>
    <w:rPr>
      <w:sz w:val="20"/>
      <w:szCs w:val="20"/>
    </w:rPr>
  </w:style>
  <w:style w:type="character" w:customStyle="1" w:styleId="CommentTextChar">
    <w:name w:val="Comment Text Char"/>
    <w:basedOn w:val="DefaultParagraphFont"/>
    <w:link w:val="CommentText"/>
    <w:uiPriority w:val="99"/>
    <w:rsid w:val="001044FF"/>
    <w:rPr>
      <w:sz w:val="20"/>
      <w:szCs w:val="20"/>
    </w:rPr>
  </w:style>
  <w:style w:type="paragraph" w:styleId="CommentSubject">
    <w:name w:val="annotation subject"/>
    <w:basedOn w:val="CommentText"/>
    <w:next w:val="CommentText"/>
    <w:link w:val="CommentSubjectChar"/>
    <w:uiPriority w:val="99"/>
    <w:semiHidden/>
    <w:unhideWhenUsed/>
    <w:rsid w:val="001044FF"/>
    <w:rPr>
      <w:b/>
      <w:bCs/>
    </w:rPr>
  </w:style>
  <w:style w:type="character" w:customStyle="1" w:styleId="CommentSubjectChar">
    <w:name w:val="Comment Subject Char"/>
    <w:basedOn w:val="CommentTextChar"/>
    <w:link w:val="CommentSubject"/>
    <w:uiPriority w:val="99"/>
    <w:semiHidden/>
    <w:rsid w:val="001044F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4334387">
      <w:bodyDiv w:val="1"/>
      <w:marLeft w:val="0"/>
      <w:marRight w:val="0"/>
      <w:marTop w:val="0"/>
      <w:marBottom w:val="0"/>
      <w:divBdr>
        <w:top w:val="none" w:sz="0" w:space="0" w:color="auto"/>
        <w:left w:val="none" w:sz="0" w:space="0" w:color="auto"/>
        <w:bottom w:val="none" w:sz="0" w:space="0" w:color="auto"/>
        <w:right w:val="none" w:sz="0" w:space="0" w:color="auto"/>
      </w:divBdr>
    </w:div>
    <w:div w:id="359747756">
      <w:bodyDiv w:val="1"/>
      <w:marLeft w:val="0"/>
      <w:marRight w:val="0"/>
      <w:marTop w:val="0"/>
      <w:marBottom w:val="0"/>
      <w:divBdr>
        <w:top w:val="none" w:sz="0" w:space="0" w:color="auto"/>
        <w:left w:val="none" w:sz="0" w:space="0" w:color="auto"/>
        <w:bottom w:val="none" w:sz="0" w:space="0" w:color="auto"/>
        <w:right w:val="none" w:sz="0" w:space="0" w:color="auto"/>
      </w:divBdr>
    </w:div>
    <w:div w:id="510141521">
      <w:bodyDiv w:val="1"/>
      <w:marLeft w:val="0"/>
      <w:marRight w:val="0"/>
      <w:marTop w:val="0"/>
      <w:marBottom w:val="0"/>
      <w:divBdr>
        <w:top w:val="none" w:sz="0" w:space="0" w:color="auto"/>
        <w:left w:val="none" w:sz="0" w:space="0" w:color="auto"/>
        <w:bottom w:val="none" w:sz="0" w:space="0" w:color="auto"/>
        <w:right w:val="none" w:sz="0" w:space="0" w:color="auto"/>
      </w:divBdr>
    </w:div>
    <w:div w:id="525099474">
      <w:bodyDiv w:val="1"/>
      <w:marLeft w:val="0"/>
      <w:marRight w:val="0"/>
      <w:marTop w:val="0"/>
      <w:marBottom w:val="0"/>
      <w:divBdr>
        <w:top w:val="none" w:sz="0" w:space="0" w:color="auto"/>
        <w:left w:val="none" w:sz="0" w:space="0" w:color="auto"/>
        <w:bottom w:val="none" w:sz="0" w:space="0" w:color="auto"/>
        <w:right w:val="none" w:sz="0" w:space="0" w:color="auto"/>
      </w:divBdr>
    </w:div>
    <w:div w:id="659768800">
      <w:bodyDiv w:val="1"/>
      <w:marLeft w:val="0"/>
      <w:marRight w:val="0"/>
      <w:marTop w:val="0"/>
      <w:marBottom w:val="0"/>
      <w:divBdr>
        <w:top w:val="none" w:sz="0" w:space="0" w:color="auto"/>
        <w:left w:val="none" w:sz="0" w:space="0" w:color="auto"/>
        <w:bottom w:val="none" w:sz="0" w:space="0" w:color="auto"/>
        <w:right w:val="none" w:sz="0" w:space="0" w:color="auto"/>
      </w:divBdr>
    </w:div>
    <w:div w:id="754057506">
      <w:bodyDiv w:val="1"/>
      <w:marLeft w:val="0"/>
      <w:marRight w:val="0"/>
      <w:marTop w:val="0"/>
      <w:marBottom w:val="0"/>
      <w:divBdr>
        <w:top w:val="none" w:sz="0" w:space="0" w:color="auto"/>
        <w:left w:val="none" w:sz="0" w:space="0" w:color="auto"/>
        <w:bottom w:val="none" w:sz="0" w:space="0" w:color="auto"/>
        <w:right w:val="none" w:sz="0" w:space="0" w:color="auto"/>
      </w:divBdr>
    </w:div>
    <w:div w:id="917373314">
      <w:bodyDiv w:val="1"/>
      <w:marLeft w:val="0"/>
      <w:marRight w:val="0"/>
      <w:marTop w:val="0"/>
      <w:marBottom w:val="0"/>
      <w:divBdr>
        <w:top w:val="none" w:sz="0" w:space="0" w:color="auto"/>
        <w:left w:val="none" w:sz="0" w:space="0" w:color="auto"/>
        <w:bottom w:val="none" w:sz="0" w:space="0" w:color="auto"/>
        <w:right w:val="none" w:sz="0" w:space="0" w:color="auto"/>
      </w:divBdr>
    </w:div>
    <w:div w:id="1002512261">
      <w:bodyDiv w:val="1"/>
      <w:marLeft w:val="0"/>
      <w:marRight w:val="0"/>
      <w:marTop w:val="0"/>
      <w:marBottom w:val="0"/>
      <w:divBdr>
        <w:top w:val="none" w:sz="0" w:space="0" w:color="auto"/>
        <w:left w:val="none" w:sz="0" w:space="0" w:color="auto"/>
        <w:bottom w:val="none" w:sz="0" w:space="0" w:color="auto"/>
        <w:right w:val="none" w:sz="0" w:space="0" w:color="auto"/>
      </w:divBdr>
    </w:div>
    <w:div w:id="1216431355">
      <w:bodyDiv w:val="1"/>
      <w:marLeft w:val="0"/>
      <w:marRight w:val="0"/>
      <w:marTop w:val="0"/>
      <w:marBottom w:val="0"/>
      <w:divBdr>
        <w:top w:val="none" w:sz="0" w:space="0" w:color="auto"/>
        <w:left w:val="none" w:sz="0" w:space="0" w:color="auto"/>
        <w:bottom w:val="none" w:sz="0" w:space="0" w:color="auto"/>
        <w:right w:val="none" w:sz="0" w:space="0" w:color="auto"/>
      </w:divBdr>
    </w:div>
    <w:div w:id="1467426979">
      <w:bodyDiv w:val="1"/>
      <w:marLeft w:val="0"/>
      <w:marRight w:val="0"/>
      <w:marTop w:val="0"/>
      <w:marBottom w:val="0"/>
      <w:divBdr>
        <w:top w:val="none" w:sz="0" w:space="0" w:color="auto"/>
        <w:left w:val="none" w:sz="0" w:space="0" w:color="auto"/>
        <w:bottom w:val="none" w:sz="0" w:space="0" w:color="auto"/>
        <w:right w:val="none" w:sz="0" w:space="0" w:color="auto"/>
      </w:divBdr>
    </w:div>
    <w:div w:id="1542522022">
      <w:bodyDiv w:val="1"/>
      <w:marLeft w:val="0"/>
      <w:marRight w:val="0"/>
      <w:marTop w:val="0"/>
      <w:marBottom w:val="0"/>
      <w:divBdr>
        <w:top w:val="none" w:sz="0" w:space="0" w:color="auto"/>
        <w:left w:val="none" w:sz="0" w:space="0" w:color="auto"/>
        <w:bottom w:val="none" w:sz="0" w:space="0" w:color="auto"/>
        <w:right w:val="none" w:sz="0" w:space="0" w:color="auto"/>
      </w:divBdr>
    </w:div>
    <w:div w:id="1573201474">
      <w:bodyDiv w:val="1"/>
      <w:marLeft w:val="0"/>
      <w:marRight w:val="0"/>
      <w:marTop w:val="0"/>
      <w:marBottom w:val="0"/>
      <w:divBdr>
        <w:top w:val="none" w:sz="0" w:space="0" w:color="auto"/>
        <w:left w:val="none" w:sz="0" w:space="0" w:color="auto"/>
        <w:bottom w:val="none" w:sz="0" w:space="0" w:color="auto"/>
        <w:right w:val="none" w:sz="0" w:space="0" w:color="auto"/>
      </w:divBdr>
    </w:div>
    <w:div w:id="1941644372">
      <w:bodyDiv w:val="1"/>
      <w:marLeft w:val="0"/>
      <w:marRight w:val="0"/>
      <w:marTop w:val="0"/>
      <w:marBottom w:val="0"/>
      <w:divBdr>
        <w:top w:val="none" w:sz="0" w:space="0" w:color="auto"/>
        <w:left w:val="none" w:sz="0" w:space="0" w:color="auto"/>
        <w:bottom w:val="none" w:sz="0" w:space="0" w:color="auto"/>
        <w:right w:val="none" w:sz="0" w:space="0" w:color="auto"/>
      </w:divBdr>
    </w:div>
    <w:div w:id="1956132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19</Pages>
  <Words>10872</Words>
  <Characters>61977</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12</cp:revision>
  <cp:lastPrinted>2025-03-18T21:04:00Z</cp:lastPrinted>
  <dcterms:created xsi:type="dcterms:W3CDTF">2025-03-19T10:48:00Z</dcterms:created>
  <dcterms:modified xsi:type="dcterms:W3CDTF">2025-04-03T16:01:00Z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2025-03-17T15:45:54Z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3eba1a90-0142-4259-9e27-9a4503ee2670</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CP-042</vt:lpwstr>
  </property>
  <property fmtid="{D5CDD505-2E9C-101B-9397-08002B2CF9AE}" pid="14" name="Last edited using">
    <vt:lpwstr>LW 9.1, Build 20240808</vt:lpwstr>
  </property>
  <property fmtid="{D5CDD505-2E9C-101B-9397-08002B2CF9AE}" pid="15" name="Created using">
    <vt:lpwstr>LW 9.1, Build 20240808</vt:lpwstr>
  </property>
  <property name="OP_sanitized" fmtid="{D5CDD505-2E9C-101B-9397-08002B2CF9AE}" pid="16">
    <vt:lpwstr>True</vt:lpwstr>
  </property>
</Properties>
</file>