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AB8C8" w14:textId="0E5990FA" w:rsidR="001D582E" w:rsidRPr="00315A37" w:rsidRDefault="00047F17" w:rsidP="00047F17">
      <w:pPr>
        <w:pStyle w:val="Pagedecouverture"/>
        <w:rPr>
          <w:noProof/>
        </w:rPr>
      </w:pPr>
      <w:r>
        <w:rPr>
          <w:noProof/>
        </w:rPr>
        <w:pict w14:anchorId="0840A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D2CBE01-16B5-47FB-A1EA-7519B5C537EC" style="width:455.25pt;height:355.5pt">
            <v:imagedata r:id="rId7" o:title=""/>
          </v:shape>
        </w:pict>
      </w:r>
    </w:p>
    <w:p w14:paraId="62CF9464" w14:textId="77777777" w:rsidR="001D582E" w:rsidRPr="00315A37" w:rsidRDefault="001D582E" w:rsidP="001D582E">
      <w:pPr>
        <w:rPr>
          <w:noProof/>
        </w:rPr>
        <w:sectPr w:rsidR="001D582E" w:rsidRPr="00315A37" w:rsidSect="00047F17">
          <w:footerReference w:type="even" r:id="rId8"/>
          <w:footerReference w:type="default" r:id="rId9"/>
          <w:pgSz w:w="11907" w:h="16839"/>
          <w:pgMar w:top="1134" w:right="1417" w:bottom="1134" w:left="1417" w:header="709" w:footer="709" w:gutter="0"/>
          <w:pgNumType w:start="0"/>
          <w:cols w:space="720"/>
          <w:docGrid w:linePitch="360"/>
        </w:sectPr>
      </w:pPr>
    </w:p>
    <w:p w14:paraId="7CE678FF" w14:textId="77777777" w:rsidR="000A1D6C" w:rsidRPr="00315A37" w:rsidRDefault="000A1D6C" w:rsidP="000A1D6C">
      <w:pPr>
        <w:pStyle w:val="Exposdesmotifstitre"/>
        <w:rPr>
          <w:noProof/>
        </w:rPr>
      </w:pPr>
      <w:bookmarkStart w:id="0" w:name="_GoBack"/>
      <w:bookmarkEnd w:id="0"/>
    </w:p>
    <w:p w14:paraId="30BCD788" w14:textId="77777777" w:rsidR="000A1D6C" w:rsidRPr="00315A37" w:rsidRDefault="000A1D6C" w:rsidP="000A1D6C">
      <w:pPr>
        <w:rPr>
          <w:noProof/>
        </w:rPr>
      </w:pPr>
    </w:p>
    <w:p w14:paraId="27661A10" w14:textId="0824757F" w:rsidR="007E509C" w:rsidRPr="00315A37" w:rsidRDefault="00315A37" w:rsidP="00315A37">
      <w:pPr>
        <w:pStyle w:val="Rfrenceinterinstitutionnelle"/>
        <w:rPr>
          <w:noProof/>
        </w:rPr>
      </w:pPr>
      <w:r>
        <w:rPr>
          <w:noProof/>
        </w:rPr>
        <w:t>2024/0172 (NLE)</w:t>
      </w:r>
    </w:p>
    <w:p w14:paraId="0B8B30E4" w14:textId="47BB6A32" w:rsidR="001D582E" w:rsidRPr="00315A37" w:rsidRDefault="00315A37" w:rsidP="00315A37">
      <w:pPr>
        <w:pStyle w:val="Statut"/>
        <w:rPr>
          <w:noProof/>
        </w:rPr>
      </w:pPr>
      <w:r w:rsidRPr="00315A37">
        <w:rPr>
          <w:noProof/>
        </w:rPr>
        <w:t>Predlog</w:t>
      </w:r>
    </w:p>
    <w:p w14:paraId="75DF51D3" w14:textId="3BBB2C1B" w:rsidR="001D582E" w:rsidRPr="00315A37" w:rsidRDefault="00315A37" w:rsidP="00315A37">
      <w:pPr>
        <w:pStyle w:val="Typedudocument"/>
        <w:rPr>
          <w:noProof/>
        </w:rPr>
      </w:pPr>
      <w:r w:rsidRPr="00315A37">
        <w:rPr>
          <w:noProof/>
        </w:rPr>
        <w:t>SKLEP SVETA</w:t>
      </w:r>
    </w:p>
    <w:p w14:paraId="1352F1EF" w14:textId="0CD10E65" w:rsidR="001D582E" w:rsidRPr="00315A37" w:rsidRDefault="00315A37" w:rsidP="00315A37">
      <w:pPr>
        <w:pStyle w:val="Titreobjet"/>
        <w:rPr>
          <w:noProof/>
        </w:rPr>
      </w:pPr>
      <w:r w:rsidRPr="00315A37">
        <w:rPr>
          <w:noProof/>
        </w:rPr>
        <w:t>o obstoju čezmernega primanjkljaja v Italiji</w:t>
      </w:r>
      <w:r w:rsidRPr="00315A37">
        <w:rPr>
          <w:noProof/>
        </w:rPr>
        <w:br/>
      </w:r>
    </w:p>
    <w:p w14:paraId="70180F0D" w14:textId="77777777" w:rsidR="001D582E" w:rsidRPr="00315A37" w:rsidRDefault="001D582E" w:rsidP="00197315">
      <w:pPr>
        <w:pStyle w:val="Institutionquiagit"/>
        <w:rPr>
          <w:noProof/>
        </w:rPr>
      </w:pPr>
      <w:r w:rsidRPr="00315A37">
        <w:rPr>
          <w:noProof/>
        </w:rPr>
        <w:t>SVET EVROPSKE UNIJE JE –</w:t>
      </w:r>
    </w:p>
    <w:p w14:paraId="66064C86" w14:textId="4EC49462" w:rsidR="001D582E" w:rsidRPr="00315A37" w:rsidRDefault="001D582E" w:rsidP="00197315">
      <w:pPr>
        <w:rPr>
          <w:noProof/>
        </w:rPr>
      </w:pPr>
      <w:r w:rsidRPr="00315A37">
        <w:rPr>
          <w:noProof/>
        </w:rPr>
        <w:t>ob upoštevanju Pogodbe o delovanju Evropske unije in zlasti člena 126(6) Pogodbe,</w:t>
      </w:r>
    </w:p>
    <w:p w14:paraId="1AB2929D" w14:textId="77777777" w:rsidR="001D582E" w:rsidRPr="00315A37" w:rsidRDefault="001D582E" w:rsidP="00197315">
      <w:pPr>
        <w:rPr>
          <w:noProof/>
        </w:rPr>
      </w:pPr>
      <w:r w:rsidRPr="00315A37">
        <w:rPr>
          <w:noProof/>
        </w:rPr>
        <w:t>ob upoštevanju predloga Evropske komisije,</w:t>
      </w:r>
    </w:p>
    <w:p w14:paraId="18CDC422" w14:textId="133C23FA" w:rsidR="001D582E" w:rsidRPr="00315A37" w:rsidRDefault="001D582E" w:rsidP="00197315">
      <w:pPr>
        <w:rPr>
          <w:noProof/>
        </w:rPr>
      </w:pPr>
      <w:r w:rsidRPr="00315A37">
        <w:rPr>
          <w:noProof/>
        </w:rPr>
        <w:t>ob upoštevanju pripomb, ki jih je predložila Italija,</w:t>
      </w:r>
    </w:p>
    <w:p w14:paraId="37A8AFEB" w14:textId="77777777" w:rsidR="001D582E" w:rsidRPr="00315A37" w:rsidRDefault="001D582E" w:rsidP="00197315">
      <w:pPr>
        <w:rPr>
          <w:noProof/>
        </w:rPr>
      </w:pPr>
      <w:r w:rsidRPr="00315A37">
        <w:rPr>
          <w:noProof/>
        </w:rPr>
        <w:t>ob upoštevanju naslednjega:</w:t>
      </w:r>
    </w:p>
    <w:p w14:paraId="0FBAACA4" w14:textId="2A901411" w:rsidR="004568F9" w:rsidRPr="00315A37" w:rsidRDefault="004568F9" w:rsidP="004568F9">
      <w:pPr>
        <w:pStyle w:val="Recital"/>
        <w:rPr>
          <w:noProof/>
        </w:rPr>
      </w:pPr>
      <w:r w:rsidRPr="00315A37">
        <w:rPr>
          <w:noProof/>
        </w:rPr>
        <w:t>V skladu s členom 126 PDEU se države članice izogibajo čezmernemu javnofinančnemu primanjkljaju.</w:t>
      </w:r>
    </w:p>
    <w:p w14:paraId="077DB681" w14:textId="77777777" w:rsidR="004568F9" w:rsidRPr="00315A37" w:rsidRDefault="004568F9" w:rsidP="004568F9">
      <w:pPr>
        <w:pStyle w:val="Recital"/>
        <w:rPr>
          <w:noProof/>
        </w:rPr>
      </w:pPr>
      <w:r w:rsidRPr="00315A37">
        <w:rPr>
          <w:noProof/>
        </w:rPr>
        <w:t>Pakt za stabilnost in rast temelji na cilju zdravih javnih financ kot sredstvu za izboljšanje pogojev za stabilnost cen in za močno, trajnostno in vključujočo rast, podprto s finančno stabilnostjo, s čimer podpira uresničevanje ciljev Unije za trajnostno rast in delovna mesta.</w:t>
      </w:r>
    </w:p>
    <w:p w14:paraId="7CCF196E" w14:textId="6995D42F" w:rsidR="004568F9" w:rsidRPr="00315A37" w:rsidRDefault="004568F9" w:rsidP="004568F9">
      <w:pPr>
        <w:pStyle w:val="Recital"/>
        <w:rPr>
          <w:noProof/>
        </w:rPr>
      </w:pPr>
      <w:r w:rsidRPr="00315A37">
        <w:rPr>
          <w:noProof/>
        </w:rPr>
        <w:t>Postopek v zvezi s čezmernim primanjkljajem iz člena 126 PDEU, kot je pojasnjen v Uredbi Sveta (ES) št. 1467/97 o pospešitvi in razjasnitvi izvajanja postopka v zvezi s čezmernim primanjkljajem</w:t>
      </w:r>
      <w:r w:rsidRPr="00315A37">
        <w:rPr>
          <w:rStyle w:val="FootnoteReference"/>
          <w:noProof/>
        </w:rPr>
        <w:footnoteReference w:id="1"/>
      </w:r>
      <w:r w:rsidRPr="00315A37">
        <w:rPr>
          <w:noProof/>
        </w:rPr>
        <w:t xml:space="preserve"> (ki je del Pakta za stabilnost in rast), predvideva sprejetje sklepa o obstoju čezmernega primanjkljaja. V Protokolu št. 12 o postopku v zvezi s čezmernim primanjkljajem, ki je priložen Pogodbi o Evropski uniji in PDEU, so navedene nadaljnje določbe v zvezi z izvajanjem postopka v zvezi s čezmernim primanjkljajem. Uredba Sveta (ES) št. 479/2009</w:t>
      </w:r>
      <w:r w:rsidRPr="00315A37">
        <w:rPr>
          <w:rStyle w:val="FootnoteReference"/>
          <w:noProof/>
        </w:rPr>
        <w:footnoteReference w:id="2"/>
      </w:r>
      <w:r w:rsidRPr="00315A37">
        <w:rPr>
          <w:noProof/>
        </w:rPr>
        <w:t xml:space="preserve"> določa podrobna pravila in opredelitve za uporabo navedenih </w:t>
      </w:r>
      <w:r w:rsidRPr="00315A37">
        <w:rPr>
          <w:noProof/>
          <w:color w:val="000000"/>
        </w:rPr>
        <w:t>določb</w:t>
      </w:r>
      <w:r w:rsidRPr="00315A37">
        <w:rPr>
          <w:noProof/>
        </w:rPr>
        <w:t>. Reformirani okvir ekonomskega upravljanja EU, ki je začel veljati 30. aprila 2024, vključuje Uredbo Sveta (EU) 2024/1264 o spremembi Uredbe Sveta (ES) št. 1467/97. Z reformo so pravila glede postopka v zvezi s čezmernim primanjkljajem zaradi neizpolnjevanja merila glede primanjkljaja ostala na splošno nespremenjena, medtem ko se bo</w:t>
      </w:r>
      <w:r w:rsidRPr="00315A37">
        <w:rPr>
          <w:rStyle w:val="normaltextrun"/>
          <w:noProof/>
        </w:rPr>
        <w:t xml:space="preserve"> za države članice z deležem javnega dolga nad 60 % BDP</w:t>
      </w:r>
      <w:r w:rsidRPr="00315A37">
        <w:rPr>
          <w:noProof/>
        </w:rPr>
        <w:t xml:space="preserve"> postopek v zvezi s čezmernim primanjkljajem zaradi neizpolnjevanja merila glede dolga osredotočal na odstopanja od poti gibanja očiščenih odhodkov, ki jo bo Svet določil v skladu z Uredbo (EU) 2024/1263 na podlagi srednjeročnih fiskalnih strukturnih načrtov, ki jih predložijo države članice. Ker Svet še ni določil poti gibanja očiščenih odhodkov za Italijo, Komisija ne more oceniti izpolnjevanja merila glede dolga v skladu z novimi pravili. Zato se ta sklep Sveta nanaša le na preseganje referenčne vrednosti 3 % BDP pri razmerju med javnofinančnim primanjkljajem in BDP.  </w:t>
      </w:r>
    </w:p>
    <w:p w14:paraId="300F878E" w14:textId="33003133" w:rsidR="004568F9" w:rsidRPr="00315A37" w:rsidRDefault="004568F9" w:rsidP="004568F9">
      <w:pPr>
        <w:pStyle w:val="Recital"/>
        <w:rPr>
          <w:noProof/>
        </w:rPr>
      </w:pPr>
      <w:r w:rsidRPr="00315A37">
        <w:rPr>
          <w:noProof/>
        </w:rPr>
        <w:t>V skladu s členom 126(5) PDEU mora Komisija, če meni, da v neki državi članici obstaja čezmerni primanjkljaj ali da bi do njega lahko prišlo, na zadevno državo članico nasloviti svoje mnenje in o tem obvestiti Svet. Komisija je ob upoštevanju svojega poročila, sprejetega v skladu s členom 126(3) PDEU, in mnenja Ekonomsko-finančnega odbora, sprejetega v skladu s členom 126(4) PDEU, ugotovila, da v Italiji obstaja čezmerni primanjkljaj. Zato je na Italijo 8. julija 2024 naslovila zadevno mnenje in o tem obvestila Svet</w:t>
      </w:r>
      <w:r w:rsidRPr="00315A37">
        <w:rPr>
          <w:rStyle w:val="FootnoteReference"/>
          <w:noProof/>
          <w:lang w:eastAsia="de-DE"/>
        </w:rPr>
        <w:footnoteReference w:id="3"/>
      </w:r>
      <w:r w:rsidRPr="00315A37">
        <w:rPr>
          <w:noProof/>
        </w:rPr>
        <w:t>.</w:t>
      </w:r>
    </w:p>
    <w:p w14:paraId="5ED02288" w14:textId="77777777" w:rsidR="004568F9" w:rsidRPr="00315A37" w:rsidRDefault="004568F9" w:rsidP="004568F9">
      <w:pPr>
        <w:pStyle w:val="Recital"/>
        <w:rPr>
          <w:noProof/>
        </w:rPr>
      </w:pPr>
      <w:r w:rsidRPr="00315A37">
        <w:rPr>
          <w:noProof/>
        </w:rPr>
        <w:t>V skladu s členom 126(6) PDEU mora Svet upoštevati morebitne pripombe zadevne države članice ter po opravljeni celoviti oceni odločiti, ali čezmerni primanjkljaj obstaja. V primeru Italije je bilo na podlagi celovite ocene ugotovljeno naslednje.</w:t>
      </w:r>
    </w:p>
    <w:p w14:paraId="420E4F74" w14:textId="77777777" w:rsidR="004568F9" w:rsidRPr="00315A37" w:rsidRDefault="004568F9" w:rsidP="004568F9">
      <w:pPr>
        <w:pStyle w:val="Recital"/>
        <w:rPr>
          <w:noProof/>
        </w:rPr>
      </w:pPr>
      <w:r w:rsidRPr="00315A37">
        <w:rPr>
          <w:noProof/>
        </w:rPr>
        <w:t>Glede na podatke, ki jih je 22. aprila 2024 potrdil Eurostat</w:t>
      </w:r>
      <w:r w:rsidRPr="00315A37">
        <w:rPr>
          <w:rStyle w:val="FootnoteReference"/>
          <w:noProof/>
        </w:rPr>
        <w:footnoteReference w:id="4"/>
      </w:r>
      <w:r w:rsidRPr="00315A37">
        <w:rPr>
          <w:noProof/>
        </w:rPr>
        <w:t>, je primanjkljaj sektorja država v Italiji leta 2023 dosegel 7,4 % BDP, dolg sektorja država pa je znašal 137,3 % BDP. V poročilu Komisije na podlagi člena 126(3) PDEU je bilo ugotovljeno, da preseganje referenčne vrednosti 3 % BDP iz Pogodbe pri primanjkljaju v letu 2023 ni izjemno, saj ni posledica izrednega dogodka ali resnega upada gospodarske aktivnosti v smislu Pakta za stabilnost in rast. Rast BDP Italije je v letu 2022 znašala 4,0 %, temu pa je v letu 2023 sledilo povečanje realnega BDP za 0,9 % BDP. Preseganje referenčne vrednosti iz Pogodbe glede na pomladansko napoved Komisije 2024 prav tako ni začasno, saj naj bi primanjkljaj sektorja država v letih 2024 in 2025 ostal nad 3 % BDP. Primanjkljaj v letu 2023 je torej presegel referenčno vrednost 3 % BDP iz Pogodbe in ni bil blizu nje. Preseganje se ne šteje za izjemno, kot je opredeljeno v Pogodbi ter Paktu za stabilnost in rast, in ni začasno. Zato merilo glede primanjkljaja, kot je opredeljeno v Pogodbi in Uredbi (ES) št. 1467/97, na prvi pogled ni izpolnjeno.</w:t>
      </w:r>
    </w:p>
    <w:p w14:paraId="3A0ADDF9" w14:textId="77777777" w:rsidR="004568F9" w:rsidRPr="00315A37" w:rsidRDefault="004568F9" w:rsidP="004568F9">
      <w:pPr>
        <w:pStyle w:val="Recital"/>
        <w:rPr>
          <w:noProof/>
        </w:rPr>
      </w:pPr>
      <w:r w:rsidRPr="00315A37">
        <w:rPr>
          <w:noProof/>
        </w:rPr>
        <w:t>Glede na program stabilnosti za leto 2024 naj bi primanjkljaj sektorja država Italije v letu 2024 dosegel 4,3 % BDP. Glede na pomladansko napoved Komisije 2024</w:t>
      </w:r>
      <w:r w:rsidRPr="00315A37">
        <w:rPr>
          <w:rStyle w:val="FootnoteReference"/>
          <w:noProof/>
        </w:rPr>
        <w:footnoteReference w:id="5"/>
      </w:r>
      <w:r w:rsidRPr="00315A37">
        <w:rPr>
          <w:noProof/>
        </w:rPr>
        <w:t xml:space="preserve"> naj bi primanjkljaj znašal 4,4 % BDP, kar je nad referenčno vrednostjo 3 % BDP iz Pogodbe in ni blizu nje.</w:t>
      </w:r>
    </w:p>
    <w:p w14:paraId="5970E70A" w14:textId="77F00BE5" w:rsidR="004568F9" w:rsidRPr="00315A37" w:rsidRDefault="004568F9" w:rsidP="004568F9">
      <w:pPr>
        <w:pStyle w:val="Recital"/>
        <w:rPr>
          <w:noProof/>
        </w:rPr>
      </w:pPr>
      <w:r w:rsidRPr="00315A37">
        <w:rPr>
          <w:noProof/>
        </w:rPr>
        <w:t>Komisija je v skladu z zahtevami člena 126(3) PDEU v svojem poročilu na podlagi člena 126(3) PDEU analizirala tudi vse pomembne dejavnike. Če v skladu s členom 2(4) Uredbe (ES) št. 1467/97 delež javnega dolga v BDP presega referenčno vrednost, se pri ocenjevanju izpolnjevanja merila glede primanjkljaja, v korakih, ki sledijo poročilu na podlagi člena 126(3) PDEU in vodijo do sprejetja sklepa o obstoju čezmernega primanjkljaja, upoštevajo pomembni dejavniki samo, če javnofinančni primanjkljaj pred upoštevanjem teh pomembnih dejavnikov ostaja blizu referenčne vrednosti, hkrati pa je preseganje referenčne vrednosti začasno. V primeru Italije dvojni pogoj ni izpolnjen. Zato v korakih, ki vodijo do sprejetja tega sklepa, pomembni dejavniki niso upoštevani.</w:t>
      </w:r>
    </w:p>
    <w:p w14:paraId="5B5C41D9" w14:textId="154AF8C2" w:rsidR="004568F9" w:rsidRPr="00315A37" w:rsidRDefault="004568F9" w:rsidP="004568F9">
      <w:pPr>
        <w:pStyle w:val="Recital"/>
        <w:rPr>
          <w:noProof/>
        </w:rPr>
      </w:pPr>
      <w:r w:rsidRPr="00315A37">
        <w:rPr>
          <w:noProof/>
        </w:rPr>
        <w:t>Glede na rok za predložitev nacionalnega srednjeročnega fiskalno-strukturnega načrta v skladu s členom 36 Uredbe (EU) 2024/1263, ki je 20. septembra 2024, je Svet seznanjen s tem, da bo naslednji korak v postopku, in sicer priporočilo Komisije za priporočilo Sveta na podlagi člena 126(7) PDEU o odpravi čezmernega primanjkljaja, potekal skupaj z mnenji Komisije o osnutkih proračunskih načrtov držav članic euroobmočja v skladu s členom 7 Uredbe (EU) št. 473/2013. Ta pristop omogoča, da se zagotovi skladnost med proračunskimi zahtevami v okviru postopka v zvezi s čezmernim primanjkljajem in prilagoditveno potjo, določeno v srednjeročnih fiskalno-strukturnih načrtih. Da bi se omogočila taka skladnost, hkrati pa preprečile vrzeli pri nadzoru v okviru postopka v zvezi s čezmernim primanjkljajem, morajo države članice pravočasno predložiti srednjeročne fiskalno-strukturne načrte. Ta časovni okvir je izreden in povezan s prehodom na novi okvir, zato ne pomeni precedensa. Svet je seznanjen tudi s tem, da bo v primeru, da srednjeročni načrt ne bo pravočasno predložen, v priporočilu Komisije za priporočilo Sveta v skladu s členom 126(7) upoštevana referenčna smer, ki jo je Komisija posredovala državi članici in je določena v skladu z Uredbo (EU) 2024/1263 –</w:t>
      </w:r>
    </w:p>
    <w:p w14:paraId="4EBC32F6" w14:textId="77777777" w:rsidR="001D582E" w:rsidRPr="00315A37" w:rsidRDefault="001D582E" w:rsidP="00197315">
      <w:pPr>
        <w:pStyle w:val="Formuledadoption"/>
        <w:rPr>
          <w:noProof/>
        </w:rPr>
      </w:pPr>
      <w:r w:rsidRPr="00315A37">
        <w:rPr>
          <w:noProof/>
        </w:rPr>
        <w:t xml:space="preserve">SPREJEL NASLEDNJI SKLEP: </w:t>
      </w:r>
    </w:p>
    <w:p w14:paraId="24FBE70D" w14:textId="77777777" w:rsidR="001D582E" w:rsidRPr="00315A37" w:rsidRDefault="001D582E" w:rsidP="00197315">
      <w:pPr>
        <w:pStyle w:val="Titrearticle"/>
        <w:rPr>
          <w:noProof/>
        </w:rPr>
      </w:pPr>
      <w:r w:rsidRPr="00315A37">
        <w:rPr>
          <w:noProof/>
        </w:rPr>
        <w:t>Člen 1</w:t>
      </w:r>
    </w:p>
    <w:p w14:paraId="6EDBB5D6" w14:textId="52600679" w:rsidR="001D582E" w:rsidRPr="00315A37" w:rsidRDefault="00173628" w:rsidP="00197315">
      <w:pPr>
        <w:rPr>
          <w:noProof/>
        </w:rPr>
      </w:pPr>
      <w:r w:rsidRPr="00315A37">
        <w:rPr>
          <w:noProof/>
        </w:rPr>
        <w:t>Iz celovite ocene je razvidno, da v Italiji obstaja čezmerni primanjkljaj zaradi neizpolnjevanja merila glede primanjkljaja.</w:t>
      </w:r>
    </w:p>
    <w:p w14:paraId="67B7FCB1" w14:textId="560E03B6" w:rsidR="001D582E" w:rsidRPr="00315A37" w:rsidRDefault="001D582E" w:rsidP="00A02DC1">
      <w:pPr>
        <w:pStyle w:val="Titrearticle"/>
        <w:rPr>
          <w:noProof/>
        </w:rPr>
      </w:pPr>
      <w:r w:rsidRPr="00315A37">
        <w:rPr>
          <w:noProof/>
        </w:rPr>
        <w:t>Člen 2</w:t>
      </w:r>
      <w:r w:rsidRPr="00315A37">
        <w:rPr>
          <w:i w:val="0"/>
          <w:noProof/>
        </w:rPr>
        <w:br/>
      </w:r>
    </w:p>
    <w:p w14:paraId="59B815B1" w14:textId="48E524C7" w:rsidR="00173628" w:rsidRPr="00315A37" w:rsidRDefault="00173628" w:rsidP="00197315">
      <w:pPr>
        <w:keepNext/>
        <w:keepLines/>
        <w:rPr>
          <w:noProof/>
        </w:rPr>
      </w:pPr>
      <w:r w:rsidRPr="00315A37">
        <w:rPr>
          <w:noProof/>
        </w:rPr>
        <w:t xml:space="preserve">Ta sklep je naslovljen na </w:t>
      </w:r>
      <w:r w:rsidRPr="00315A37">
        <w:rPr>
          <w:noProof/>
          <w:color w:val="000000"/>
        </w:rPr>
        <w:t>Italijansko republiko</w:t>
      </w:r>
      <w:r w:rsidRPr="00315A37">
        <w:rPr>
          <w:noProof/>
        </w:rPr>
        <w:t xml:space="preserve">. </w:t>
      </w:r>
    </w:p>
    <w:p w14:paraId="63EDEB11" w14:textId="71C79244" w:rsidR="001D582E" w:rsidRPr="00315A37" w:rsidRDefault="00315A37" w:rsidP="00A02DC1">
      <w:pPr>
        <w:pStyle w:val="Fait"/>
        <w:rPr>
          <w:noProof/>
        </w:rPr>
      </w:pPr>
      <w:r>
        <w:rPr>
          <w:noProof/>
        </w:rPr>
        <w:t>V Bruslju,</w:t>
      </w:r>
    </w:p>
    <w:p w14:paraId="395FC70A" w14:textId="77777777" w:rsidR="001D582E" w:rsidRPr="00315A37" w:rsidRDefault="001D582E" w:rsidP="00A02DC1">
      <w:pPr>
        <w:pStyle w:val="Institutionquisigne"/>
        <w:rPr>
          <w:noProof/>
        </w:rPr>
      </w:pPr>
      <w:r w:rsidRPr="00315A37">
        <w:rPr>
          <w:noProof/>
        </w:rPr>
        <w:tab/>
        <w:t>Za Svet</w:t>
      </w:r>
    </w:p>
    <w:p w14:paraId="2A6398A3" w14:textId="77777777" w:rsidR="001D582E" w:rsidRPr="00315A37" w:rsidRDefault="001D582E" w:rsidP="001D582E">
      <w:pPr>
        <w:pStyle w:val="Personnequisigne"/>
        <w:rPr>
          <w:noProof/>
        </w:rPr>
      </w:pPr>
      <w:r w:rsidRPr="00315A37">
        <w:rPr>
          <w:noProof/>
        </w:rPr>
        <w:tab/>
        <w:t>predsednik</w:t>
      </w:r>
    </w:p>
    <w:sectPr w:rsidR="001D582E" w:rsidRPr="00315A37" w:rsidSect="00047F17">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38355" w14:textId="77777777" w:rsidR="001D582E" w:rsidRDefault="001D582E" w:rsidP="001D582E">
      <w:pPr>
        <w:spacing w:before="0" w:after="0"/>
      </w:pPr>
      <w:r>
        <w:separator/>
      </w:r>
    </w:p>
  </w:endnote>
  <w:endnote w:type="continuationSeparator" w:id="0">
    <w:p w14:paraId="1E756365" w14:textId="77777777" w:rsidR="001D582E" w:rsidRDefault="001D582E" w:rsidP="001D58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D7A5" w14:textId="2120B406" w:rsidR="00047F17" w:rsidRPr="00047F17" w:rsidRDefault="00047F17" w:rsidP="00047F17">
    <w:pPr>
      <w:pStyle w:val="Footer"/>
      <w:rPr>
        <w:rFonts w:ascii="Arial" w:hAnsi="Arial" w:cs="Arial"/>
        <w:b/>
        <w:sz w:val="48"/>
      </w:rPr>
    </w:pPr>
    <w:r w:rsidRPr="00047F17">
      <w:rPr>
        <w:rFonts w:ascii="Arial" w:hAnsi="Arial" w:cs="Arial"/>
        <w:b/>
        <w:sz w:val="48"/>
      </w:rPr>
      <w:t>SL</w:t>
    </w:r>
    <w:r w:rsidRPr="00047F17">
      <w:rPr>
        <w:rFonts w:ascii="Arial" w:hAnsi="Arial" w:cs="Arial"/>
        <w:b/>
        <w:sz w:val="48"/>
      </w:rPr>
      <w:tab/>
    </w:r>
    <w:r w:rsidRPr="00047F17">
      <w:rPr>
        <w:rFonts w:ascii="Arial" w:hAnsi="Arial" w:cs="Arial"/>
        <w:b/>
        <w:sz w:val="48"/>
      </w:rPr>
      <w:tab/>
    </w:r>
    <w:r w:rsidRPr="00047F17">
      <w:tab/>
    </w:r>
    <w:r w:rsidRPr="00047F17">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A0555" w14:textId="50E2926E" w:rsidR="00047F17" w:rsidRPr="00047F17" w:rsidRDefault="00047F17" w:rsidP="00047F17">
    <w:pPr>
      <w:pStyle w:val="Footer"/>
      <w:rPr>
        <w:rFonts w:ascii="Arial" w:hAnsi="Arial" w:cs="Arial"/>
        <w:b/>
        <w:sz w:val="48"/>
      </w:rPr>
    </w:pPr>
    <w:r w:rsidRPr="00047F17">
      <w:rPr>
        <w:rFonts w:ascii="Arial" w:hAnsi="Arial" w:cs="Arial"/>
        <w:b/>
        <w:sz w:val="48"/>
      </w:rPr>
      <w:t>SL</w:t>
    </w:r>
    <w:r w:rsidRPr="00047F17">
      <w:rPr>
        <w:rFonts w:ascii="Arial" w:hAnsi="Arial" w:cs="Arial"/>
        <w:b/>
        <w:sz w:val="48"/>
      </w:rPr>
      <w:tab/>
    </w:r>
    <w:r w:rsidRPr="00047F17">
      <w:rPr>
        <w:rFonts w:ascii="Arial" w:hAnsi="Arial" w:cs="Arial"/>
        <w:b/>
        <w:sz w:val="48"/>
      </w:rPr>
      <w:tab/>
    </w:r>
    <w:r w:rsidRPr="00047F17">
      <w:tab/>
    </w:r>
    <w:r w:rsidRPr="00047F17">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8161" w14:textId="77777777" w:rsidR="00047F17" w:rsidRDefault="00047F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9763" w14:textId="6C3EA80F" w:rsidR="00047F17" w:rsidRPr="00047F17" w:rsidRDefault="00047F17" w:rsidP="00047F17">
    <w:pPr>
      <w:pStyle w:val="Footer"/>
      <w:rPr>
        <w:rFonts w:ascii="Arial" w:hAnsi="Arial" w:cs="Arial"/>
        <w:b/>
        <w:sz w:val="48"/>
      </w:rPr>
    </w:pPr>
    <w:r w:rsidRPr="00047F17">
      <w:rPr>
        <w:rFonts w:ascii="Arial" w:hAnsi="Arial" w:cs="Arial"/>
        <w:b/>
        <w:sz w:val="48"/>
      </w:rPr>
      <w:t>SL</w:t>
    </w:r>
    <w:r w:rsidRPr="00047F17">
      <w:rPr>
        <w:rFonts w:ascii="Arial" w:hAnsi="Arial" w:cs="Arial"/>
        <w:b/>
        <w:sz w:val="48"/>
      </w:rPr>
      <w:tab/>
    </w:r>
    <w:r>
      <w:fldChar w:fldCharType="begin"/>
    </w:r>
    <w:r>
      <w:instrText xml:space="preserve"> PAGE  \* MERGEFORMAT </w:instrText>
    </w:r>
    <w:r>
      <w:fldChar w:fldCharType="separate"/>
    </w:r>
    <w:r w:rsidR="00A02DC1">
      <w:rPr>
        <w:noProof/>
      </w:rPr>
      <w:t>3</w:t>
    </w:r>
    <w:r>
      <w:fldChar w:fldCharType="end"/>
    </w:r>
    <w:r>
      <w:tab/>
    </w:r>
    <w:r w:rsidRPr="00047F17">
      <w:tab/>
    </w:r>
    <w:r w:rsidRPr="00047F17">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5B0DC" w14:textId="77777777" w:rsidR="00047F17" w:rsidRDefault="00047F17" w:rsidP="00047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A56E0" w14:textId="77777777" w:rsidR="001D582E" w:rsidRDefault="001D582E" w:rsidP="001D582E">
      <w:pPr>
        <w:spacing w:before="0" w:after="0"/>
      </w:pPr>
      <w:r>
        <w:separator/>
      </w:r>
    </w:p>
  </w:footnote>
  <w:footnote w:type="continuationSeparator" w:id="0">
    <w:p w14:paraId="2E1C9F30" w14:textId="77777777" w:rsidR="001D582E" w:rsidRDefault="001D582E" w:rsidP="001D582E">
      <w:pPr>
        <w:spacing w:before="0" w:after="0"/>
      </w:pPr>
      <w:r>
        <w:continuationSeparator/>
      </w:r>
    </w:p>
  </w:footnote>
  <w:footnote w:id="1">
    <w:p w14:paraId="7D570C27" w14:textId="61498C7C" w:rsidR="004568F9" w:rsidRPr="008431A6" w:rsidRDefault="004568F9" w:rsidP="004568F9">
      <w:pPr>
        <w:pStyle w:val="FootnoteText"/>
      </w:pPr>
      <w:r w:rsidRPr="00B17D62">
        <w:rPr>
          <w:rStyle w:val="FootnoteReference"/>
        </w:rPr>
        <w:footnoteRef/>
      </w:r>
      <w:r>
        <w:tab/>
        <w:t xml:space="preserve">UL L 209, 2.8.1997, ELI: </w:t>
      </w:r>
      <w:hyperlink r:id="rId1" w:tooltip="Dostop do tega dokumenta prek spletnega identifikatorja ELI URI." w:history="1">
        <w:r>
          <w:rPr>
            <w:rStyle w:val="Hyperlink"/>
            <w:color w:val="337AB7"/>
            <w:shd w:val="clear" w:color="auto" w:fill="FFFFFF"/>
          </w:rPr>
          <w:t>http://data.europa.eu/eli/reg/1997/1467/2024-04-30</w:t>
        </w:r>
      </w:hyperlink>
      <w:r>
        <w:t>.</w:t>
      </w:r>
    </w:p>
  </w:footnote>
  <w:footnote w:id="2">
    <w:p w14:paraId="0F7A2AB5" w14:textId="5BB8E25F" w:rsidR="004568F9" w:rsidRPr="005969E0" w:rsidRDefault="004568F9" w:rsidP="004568F9">
      <w:pPr>
        <w:pStyle w:val="FootnoteText"/>
      </w:pPr>
      <w:r w:rsidRPr="00B17D62">
        <w:rPr>
          <w:rStyle w:val="FootnoteReference"/>
        </w:rPr>
        <w:footnoteRef/>
      </w:r>
      <w:r>
        <w:tab/>
        <w:t>UL L 145, 10.6.2009, str. 1.</w:t>
      </w:r>
    </w:p>
  </w:footnote>
  <w:footnote w:id="3">
    <w:p w14:paraId="5CC52304" w14:textId="1A7B00A8" w:rsidR="004568F9" w:rsidRPr="005969E0" w:rsidRDefault="004568F9" w:rsidP="004568F9">
      <w:pPr>
        <w:pStyle w:val="FootnoteText"/>
      </w:pPr>
      <w:r w:rsidRPr="00B17D62">
        <w:rPr>
          <w:rStyle w:val="FootnoteReference"/>
        </w:rPr>
        <w:footnoteRef/>
      </w:r>
      <w:r>
        <w:tab/>
        <w:t xml:space="preserve">Vsi dokumenti glede postopka v zvezi s čezmernim primanjkljajem za Italijo so na voljo na spletni strani: </w:t>
      </w:r>
      <w:hyperlink r:id="rId2" w:history="1">
        <w:r>
          <w:rPr>
            <w:rStyle w:val="Hyperlink"/>
          </w:rPr>
          <w:t>https://economy-finance.ec.europa.eu/economic-and-fiscal-governance/stability-and-growth-pact/corrective-arm-excessive-deficit-procedure/closed-excessive-deficit-procedures/italy_en</w:t>
        </w:r>
      </w:hyperlink>
      <w:r>
        <w:t>.</w:t>
      </w:r>
    </w:p>
  </w:footnote>
  <w:footnote w:id="4">
    <w:p w14:paraId="4DF26236" w14:textId="77777777" w:rsidR="004568F9" w:rsidRPr="005969E0" w:rsidRDefault="004568F9" w:rsidP="004568F9">
      <w:pPr>
        <w:pStyle w:val="FootnoteText"/>
      </w:pPr>
      <w:r>
        <w:rPr>
          <w:rStyle w:val="FootnoteReference"/>
        </w:rPr>
        <w:footnoteRef/>
      </w:r>
      <w:r>
        <w:tab/>
        <w:t xml:space="preserve">Eurostat, Kazalniki eura, objavljeno 22. aprila 2024. Glej: </w:t>
      </w:r>
      <w:hyperlink r:id="rId3" w:history="1">
        <w:r>
          <w:rPr>
            <w:rStyle w:val="Hyperlink"/>
          </w:rPr>
          <w:t>https://ec.europa.eu/eurostat/en/web/products-euro-indicators/w/2-22042024-AP</w:t>
        </w:r>
      </w:hyperlink>
      <w:r>
        <w:t>.</w:t>
      </w:r>
    </w:p>
  </w:footnote>
  <w:footnote w:id="5">
    <w:p w14:paraId="66AE99C4" w14:textId="77777777" w:rsidR="004568F9" w:rsidRPr="005969E0" w:rsidRDefault="004568F9" w:rsidP="004568F9">
      <w:pPr>
        <w:pStyle w:val="FootnoteText"/>
      </w:pPr>
      <w:r>
        <w:rPr>
          <w:rStyle w:val="FootnoteReference"/>
        </w:rPr>
        <w:footnoteRef/>
      </w:r>
      <w:r>
        <w:tab/>
        <w:t xml:space="preserve">Evropska gospodarska napoved – pomlad 2024, </w:t>
      </w:r>
      <w:r>
        <w:rPr>
          <w:i/>
        </w:rPr>
        <w:t>European Economy-Institutional Paper</w:t>
      </w:r>
      <w:r>
        <w:t>, št. 286, 15. maj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BFA1" w14:textId="77777777" w:rsidR="00047F17" w:rsidRDefault="00047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09B87" w14:textId="77777777" w:rsidR="00047F17" w:rsidRDefault="00047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752CD5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4967BF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B92A7D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2F033A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916F4E"/>
    <w:multiLevelType w:val="hybridMultilevel"/>
    <w:tmpl w:val="84263E04"/>
    <w:lvl w:ilvl="0" w:tplc="80560102">
      <w:start w:val="1"/>
      <w:numFmt w:val="decimal"/>
      <w:pStyle w:val="Recit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6"/>
  </w:num>
  <w:num w:numId="6">
    <w:abstractNumId w:val="16"/>
  </w:num>
  <w:num w:numId="7">
    <w:abstractNumId w:val="9"/>
  </w:num>
  <w:num w:numId="8">
    <w:abstractNumId w:val="18"/>
  </w:num>
  <w:num w:numId="9">
    <w:abstractNumId w:val="8"/>
  </w:num>
  <w:num w:numId="10">
    <w:abstractNumId w:val="10"/>
  </w:num>
  <w:num w:numId="11">
    <w:abstractNumId w:val="11"/>
  </w:num>
  <w:num w:numId="12">
    <w:abstractNumId w:val="5"/>
  </w:num>
  <w:num w:numId="13">
    <w:abstractNumId w:val="17"/>
  </w:num>
  <w:num w:numId="14">
    <w:abstractNumId w:val="4"/>
  </w:num>
  <w:num w:numId="15">
    <w:abstractNumId w:val="12"/>
  </w:num>
  <w:num w:numId="16">
    <w:abstractNumId w:val="14"/>
  </w:num>
  <w:num w:numId="17">
    <w:abstractNumId w:val="15"/>
  </w:num>
  <w:num w:numId="18">
    <w:abstractNumId w:val="7"/>
  </w:num>
  <w:num w:numId="19">
    <w:abstractNumId w:val="13"/>
  </w:num>
  <w:num w:numId="20">
    <w:abstractNumId w:val="19"/>
  </w:num>
  <w:num w:numId="21">
    <w:abstractNumId w:val="16"/>
  </w:num>
  <w:num w:numId="22">
    <w:abstractNumId w:val="9"/>
  </w:num>
  <w:num w:numId="23">
    <w:abstractNumId w:val="18"/>
  </w:num>
  <w:num w:numId="24">
    <w:abstractNumId w:val="8"/>
  </w:num>
  <w:num w:numId="25">
    <w:abstractNumId w:val="10"/>
  </w:num>
  <w:num w:numId="26">
    <w:abstractNumId w:val="11"/>
  </w:num>
  <w:num w:numId="27">
    <w:abstractNumId w:val="5"/>
  </w:num>
  <w:num w:numId="28">
    <w:abstractNumId w:val="17"/>
  </w:num>
  <w:num w:numId="29">
    <w:abstractNumId w:val="4"/>
  </w:num>
  <w:num w:numId="30">
    <w:abstractNumId w:val="12"/>
  </w:num>
  <w:num w:numId="31">
    <w:abstractNumId w:val="14"/>
  </w:num>
  <w:num w:numId="32">
    <w:abstractNumId w:val="15"/>
  </w:num>
  <w:num w:numId="33">
    <w:abstractNumId w:val="7"/>
  </w:num>
  <w:num w:numId="34">
    <w:abstractNumId w:val="13"/>
  </w:num>
  <w:num w:numId="3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7-08 14:16: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D2CBE01-16B5-47FB-A1EA-7519B5C537EC"/>
    <w:docVar w:name="LW_COVERPAGE_TYPE" w:val="1"/>
    <w:docVar w:name="LW_CROSSREFERENCE" w:val="&lt;UNUSED&gt;"/>
    <w:docVar w:name="LW_DocType" w:val="COM"/>
    <w:docVar w:name="LW_EMISSION" w:val="8.7.2024"/>
    <w:docVar w:name="LW_EMISSION_ISODATE" w:val="2024-07-08"/>
    <w:docVar w:name="LW_EMISSION_LOCATION" w:val="BRX"/>
    <w:docVar w:name="LW_EMISSION_PREFIX" w:val="Bruselj,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172"/>
    <w:docVar w:name="LW_REF.II.NEW.CP_YEAR" w:val="2024"/>
    <w:docVar w:name="LW_REF.INST.NEW" w:val="COM"/>
    <w:docVar w:name="LW_REF.INST.NEW_ADOPTED" w:val="final"/>
    <w:docVar w:name="LW_REF.INST.NEW_TEXT" w:val="(2024) 5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obstoju \u269?ezmernega primanjkljaja v Italiji_x000b_"/>
    <w:docVar w:name="LW_TYPE.DOC.CP" w:val="SKLEP SVETA"/>
    <w:docVar w:name="LwApiVersions" w:val="LW4CoDe 1.24.5.0; LW 9.0, Build 20240221"/>
  </w:docVars>
  <w:rsids>
    <w:rsidRoot w:val="001D582E"/>
    <w:rsid w:val="00047F17"/>
    <w:rsid w:val="00056DF7"/>
    <w:rsid w:val="000A1D6C"/>
    <w:rsid w:val="001065F5"/>
    <w:rsid w:val="001238EF"/>
    <w:rsid w:val="00173628"/>
    <w:rsid w:val="00192FED"/>
    <w:rsid w:val="00197613"/>
    <w:rsid w:val="001B61DF"/>
    <w:rsid w:val="001D3DDE"/>
    <w:rsid w:val="001D582E"/>
    <w:rsid w:val="001F7079"/>
    <w:rsid w:val="00233DC7"/>
    <w:rsid w:val="00247779"/>
    <w:rsid w:val="002670B8"/>
    <w:rsid w:val="00270121"/>
    <w:rsid w:val="0027250A"/>
    <w:rsid w:val="00285BEE"/>
    <w:rsid w:val="0029533F"/>
    <w:rsid w:val="0029750D"/>
    <w:rsid w:val="002B30AF"/>
    <w:rsid w:val="002D5EEB"/>
    <w:rsid w:val="00315A37"/>
    <w:rsid w:val="003301EE"/>
    <w:rsid w:val="0033344A"/>
    <w:rsid w:val="00395F07"/>
    <w:rsid w:val="003977C3"/>
    <w:rsid w:val="0042648E"/>
    <w:rsid w:val="004568F9"/>
    <w:rsid w:val="004936D2"/>
    <w:rsid w:val="004B77D4"/>
    <w:rsid w:val="004E6E60"/>
    <w:rsid w:val="004F442D"/>
    <w:rsid w:val="00533AFA"/>
    <w:rsid w:val="005B1EB6"/>
    <w:rsid w:val="005F7A59"/>
    <w:rsid w:val="00613F20"/>
    <w:rsid w:val="00673674"/>
    <w:rsid w:val="006A17B8"/>
    <w:rsid w:val="006F35C6"/>
    <w:rsid w:val="00711CA5"/>
    <w:rsid w:val="007359CA"/>
    <w:rsid w:val="00754ECF"/>
    <w:rsid w:val="00773331"/>
    <w:rsid w:val="00784D5C"/>
    <w:rsid w:val="007932EF"/>
    <w:rsid w:val="007E05B0"/>
    <w:rsid w:val="007E509C"/>
    <w:rsid w:val="00844EB3"/>
    <w:rsid w:val="00874D22"/>
    <w:rsid w:val="0089031A"/>
    <w:rsid w:val="008A2914"/>
    <w:rsid w:val="008B3852"/>
    <w:rsid w:val="008C7941"/>
    <w:rsid w:val="008D2304"/>
    <w:rsid w:val="008E4D8E"/>
    <w:rsid w:val="009844D4"/>
    <w:rsid w:val="00A02DC1"/>
    <w:rsid w:val="00A740C8"/>
    <w:rsid w:val="00B17D62"/>
    <w:rsid w:val="00B60399"/>
    <w:rsid w:val="00BA3ECB"/>
    <w:rsid w:val="00C06690"/>
    <w:rsid w:val="00C12301"/>
    <w:rsid w:val="00CD08F0"/>
    <w:rsid w:val="00CE3B85"/>
    <w:rsid w:val="00D20381"/>
    <w:rsid w:val="00D5495F"/>
    <w:rsid w:val="00DF0F36"/>
    <w:rsid w:val="00DF5EFB"/>
    <w:rsid w:val="00E147CD"/>
    <w:rsid w:val="00E17804"/>
    <w:rsid w:val="00E810CB"/>
    <w:rsid w:val="00F54397"/>
    <w:rsid w:val="00FB2737"/>
    <w:rsid w:val="00FC38F8"/>
    <w:rsid w:val="00FC7A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E0429F1"/>
  <w15:docId w15:val="{58A95BC8-475F-4596-A42D-58DE64C3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73628"/>
  </w:style>
  <w:style w:type="character" w:customStyle="1" w:styleId="eop">
    <w:name w:val="eop"/>
    <w:basedOn w:val="DefaultParagraphFont"/>
    <w:rsid w:val="00173628"/>
  </w:style>
  <w:style w:type="character" w:styleId="CommentReference">
    <w:name w:val="annotation reference"/>
    <w:basedOn w:val="DefaultParagraphFont"/>
    <w:uiPriority w:val="99"/>
    <w:semiHidden/>
    <w:unhideWhenUsed/>
    <w:rsid w:val="008B3852"/>
    <w:rPr>
      <w:sz w:val="16"/>
      <w:szCs w:val="16"/>
    </w:rPr>
  </w:style>
  <w:style w:type="paragraph" w:styleId="CommentText">
    <w:name w:val="annotation text"/>
    <w:basedOn w:val="Normal"/>
    <w:link w:val="CommentTextChar"/>
    <w:uiPriority w:val="99"/>
    <w:semiHidden/>
    <w:unhideWhenUsed/>
    <w:rsid w:val="008B3852"/>
    <w:rPr>
      <w:sz w:val="20"/>
      <w:szCs w:val="20"/>
    </w:rPr>
  </w:style>
  <w:style w:type="character" w:customStyle="1" w:styleId="CommentTextChar">
    <w:name w:val="Comment Text Char"/>
    <w:basedOn w:val="DefaultParagraphFont"/>
    <w:link w:val="CommentText"/>
    <w:uiPriority w:val="99"/>
    <w:semiHidden/>
    <w:rsid w:val="008B3852"/>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8B3852"/>
    <w:rPr>
      <w:b/>
      <w:bCs/>
    </w:rPr>
  </w:style>
  <w:style w:type="character" w:customStyle="1" w:styleId="CommentSubjectChar">
    <w:name w:val="Comment Subject Char"/>
    <w:basedOn w:val="CommentTextChar"/>
    <w:link w:val="CommentSubject"/>
    <w:uiPriority w:val="99"/>
    <w:semiHidden/>
    <w:rsid w:val="008B3852"/>
    <w:rPr>
      <w:rFonts w:ascii="Times New Roman" w:hAnsi="Times New Roman" w:cs="Times New Roman"/>
      <w:b/>
      <w:bCs/>
      <w:sz w:val="20"/>
      <w:szCs w:val="20"/>
      <w:lang w:val="sl-SI"/>
    </w:rPr>
  </w:style>
  <w:style w:type="character" w:styleId="Hyperlink">
    <w:name w:val="Hyperlink"/>
    <w:basedOn w:val="DefaultParagraphFont"/>
    <w:uiPriority w:val="99"/>
    <w:unhideWhenUsed/>
    <w:rsid w:val="008B3852"/>
    <w:rPr>
      <w:color w:val="0000FF" w:themeColor="hyperlink"/>
      <w:u w:val="single"/>
    </w:rPr>
  </w:style>
  <w:style w:type="character" w:customStyle="1" w:styleId="UnresolvedMention">
    <w:name w:val="Unresolved Mention"/>
    <w:basedOn w:val="DefaultParagraphFont"/>
    <w:uiPriority w:val="99"/>
    <w:semiHidden/>
    <w:unhideWhenUsed/>
    <w:rsid w:val="008B3852"/>
    <w:rPr>
      <w:color w:val="605E5C"/>
      <w:shd w:val="clear" w:color="auto" w:fill="E1DFDD"/>
    </w:rPr>
  </w:style>
  <w:style w:type="paragraph" w:styleId="ListBullet">
    <w:name w:val="List Bullet"/>
    <w:basedOn w:val="Normal"/>
    <w:uiPriority w:val="99"/>
    <w:semiHidden/>
    <w:unhideWhenUsed/>
    <w:rsid w:val="000A1D6C"/>
    <w:pPr>
      <w:numPr>
        <w:numId w:val="1"/>
      </w:numPr>
      <w:contextualSpacing/>
    </w:pPr>
  </w:style>
  <w:style w:type="paragraph" w:styleId="ListBullet2">
    <w:name w:val="List Bullet 2"/>
    <w:basedOn w:val="Normal"/>
    <w:uiPriority w:val="99"/>
    <w:semiHidden/>
    <w:unhideWhenUsed/>
    <w:rsid w:val="000A1D6C"/>
    <w:pPr>
      <w:numPr>
        <w:numId w:val="2"/>
      </w:numPr>
      <w:contextualSpacing/>
    </w:pPr>
  </w:style>
  <w:style w:type="paragraph" w:styleId="ListBullet3">
    <w:name w:val="List Bullet 3"/>
    <w:basedOn w:val="Normal"/>
    <w:uiPriority w:val="99"/>
    <w:semiHidden/>
    <w:unhideWhenUsed/>
    <w:rsid w:val="000A1D6C"/>
    <w:pPr>
      <w:numPr>
        <w:numId w:val="3"/>
      </w:numPr>
      <w:contextualSpacing/>
    </w:pPr>
  </w:style>
  <w:style w:type="paragraph" w:styleId="ListBullet4">
    <w:name w:val="List Bullet 4"/>
    <w:basedOn w:val="Normal"/>
    <w:uiPriority w:val="99"/>
    <w:semiHidden/>
    <w:unhideWhenUsed/>
    <w:rsid w:val="000A1D6C"/>
    <w:pPr>
      <w:numPr>
        <w:numId w:val="4"/>
      </w:numPr>
      <w:contextualSpacing/>
    </w:pPr>
  </w:style>
  <w:style w:type="paragraph" w:styleId="Revision">
    <w:name w:val="Revision"/>
    <w:hidden/>
    <w:uiPriority w:val="99"/>
    <w:semiHidden/>
    <w:rsid w:val="004568F9"/>
    <w:pPr>
      <w:spacing w:after="0" w:line="240" w:lineRule="auto"/>
    </w:pPr>
    <w:rPr>
      <w:rFonts w:ascii="Times New Roman" w:hAnsi="Times New Roman" w:cs="Times New Roman"/>
      <w:sz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4568F9"/>
    <w:pPr>
      <w:spacing w:before="0" w:after="160" w:line="240" w:lineRule="exact"/>
    </w:pPr>
    <w:rPr>
      <w:rFonts w:asciiTheme="minorHAnsi" w:hAnsiTheme="minorHAnsi" w:cstheme="minorBidi"/>
      <w:sz w:val="22"/>
      <w:vertAlign w:val="superscript"/>
    </w:rPr>
  </w:style>
  <w:style w:type="character" w:customStyle="1" w:styleId="FootnoteTextChar1">
    <w:name w:val="Footnote Text Char1"/>
    <w:basedOn w:val="DefaultParagraphFont"/>
    <w:uiPriority w:val="99"/>
    <w:rsid w:val="004568F9"/>
    <w:rPr>
      <w:kern w:val="0"/>
      <w:sz w:val="20"/>
      <w:szCs w:val="20"/>
      <w14:ligatures w14:val="none"/>
    </w:rPr>
  </w:style>
  <w:style w:type="paragraph" w:customStyle="1" w:styleId="Recital">
    <w:name w:val="Recital"/>
    <w:basedOn w:val="Considrant"/>
    <w:link w:val="RecitalChar"/>
    <w:qFormat/>
    <w:rsid w:val="004568F9"/>
    <w:pPr>
      <w:numPr>
        <w:numId w:val="5"/>
      </w:numPr>
      <w:ind w:left="851" w:hanging="851"/>
    </w:pPr>
    <w:rPr>
      <w:lang w:eastAsia="ja-JP"/>
    </w:rPr>
  </w:style>
  <w:style w:type="character" w:customStyle="1" w:styleId="ConsidrantChar">
    <w:name w:val="Considérant Char"/>
    <w:basedOn w:val="DefaultParagraphFont"/>
    <w:rsid w:val="004568F9"/>
    <w:rPr>
      <w:rFonts w:ascii="Times New Roman" w:hAnsi="Times New Roman" w:cs="Times New Roman"/>
      <w:sz w:val="24"/>
      <w:lang w:val="sl-SI"/>
    </w:rPr>
  </w:style>
  <w:style w:type="character" w:customStyle="1" w:styleId="RecitalChar">
    <w:name w:val="Recital Char"/>
    <w:basedOn w:val="ConsidrantChar"/>
    <w:link w:val="Recital"/>
    <w:rsid w:val="004568F9"/>
    <w:rPr>
      <w:rFonts w:ascii="Times New Roman" w:hAnsi="Times New Roman" w:cs="Times New Roman"/>
      <w:sz w:val="24"/>
      <w:lang w:val="sl-SI" w:eastAsia="ja-JP"/>
    </w:rPr>
  </w:style>
  <w:style w:type="character" w:customStyle="1" w:styleId="HeaderChar">
    <w:name w:val="Header Char"/>
    <w:basedOn w:val="DefaultParagraphFont"/>
    <w:link w:val="Header"/>
    <w:uiPriority w:val="99"/>
    <w:rsid w:val="00047F17"/>
    <w:rPr>
      <w:rFonts w:ascii="Times New Roman" w:hAnsi="Times New Roman" w:cs="Times New Roman"/>
      <w:sz w:val="24"/>
      <w:lang w:val="sl-SI"/>
    </w:rPr>
  </w:style>
  <w:style w:type="character" w:customStyle="1" w:styleId="FooterChar">
    <w:name w:val="Footer Char"/>
    <w:basedOn w:val="DefaultParagraphFont"/>
    <w:link w:val="Footer"/>
    <w:uiPriority w:val="99"/>
    <w:rsid w:val="00047F17"/>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047F1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47F17"/>
    <w:pPr>
      <w:spacing w:before="0"/>
      <w:jc w:val="right"/>
    </w:pPr>
    <w:rPr>
      <w:sz w:val="28"/>
    </w:rPr>
  </w:style>
  <w:style w:type="paragraph" w:customStyle="1" w:styleId="FooterSensitivity">
    <w:name w:val="Footer Sensitivity"/>
    <w:basedOn w:val="Normal"/>
    <w:rsid w:val="00047F1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47F17"/>
    <w:pPr>
      <w:tabs>
        <w:tab w:val="center" w:pos="4535"/>
        <w:tab w:val="right" w:pos="9071"/>
      </w:tabs>
      <w:spacing w:before="0"/>
    </w:pPr>
  </w:style>
  <w:style w:type="paragraph" w:customStyle="1" w:styleId="HeaderLandscape">
    <w:name w:val="HeaderLandscape"/>
    <w:basedOn w:val="Normal"/>
    <w:rsid w:val="00047F17"/>
    <w:pPr>
      <w:tabs>
        <w:tab w:val="center" w:pos="7285"/>
        <w:tab w:val="right" w:pos="14003"/>
      </w:tabs>
      <w:spacing w:before="0"/>
    </w:pPr>
  </w:style>
  <w:style w:type="paragraph" w:styleId="Footer">
    <w:name w:val="footer"/>
    <w:basedOn w:val="Normal"/>
    <w:link w:val="FooterChar"/>
    <w:uiPriority w:val="99"/>
    <w:unhideWhenUsed/>
    <w:rsid w:val="00047F1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47F1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en/web/products-euro-indicators/w/2-22042024-AP" TargetMode="External"/><Relationship Id="rId2" Type="http://schemas.openxmlformats.org/officeDocument/2006/relationships/hyperlink" Target="https://economy-finance.ec.europa.eu/economic-and-fiscal-governance/stability-and-growth-pact/corrective-arm-excessive-deficit-procedure/closed-excessive-deficit-procedures/italy_en" TargetMode="External"/><Relationship Id="rId1" Type="http://schemas.openxmlformats.org/officeDocument/2006/relationships/hyperlink" Target="http://data.europa.eu/eli/reg/1997/1467/2024-04-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15</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45</cp:revision>
  <dcterms:created xsi:type="dcterms:W3CDTF">2024-06-15T12:15:00Z</dcterms:created>
  <dcterms:modified xsi:type="dcterms:W3CDTF">2024-07-08T12:16:00Z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MSIP_Label_6bd9ddd1-4d20-43f6-abfa-fc3c07406f94_Enabled">
    <vt:lpwstr>true</vt:lpwstr>
  </property>
  <property fmtid="{D5CDD505-2E9C-101B-9397-08002B2CF9AE}" pid="11" name="MSIP_Label_6bd9ddd1-4d20-43f6-abfa-fc3c07406f94_SetDate">
    <vt:lpwstr>2024-06-13T10:17:56Z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6e3e9964-6ecb-4b28-b09b-8d709cda6cad</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