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B95" w:rsidRPr="00B36380" w:rsidRDefault="00152D3D" w:rsidP="00152D3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5DA93BC-7BA3-44AB-8193-1A74796943CD" style="width:455.25pt;height:369.75pt">
            <v:imagedata r:id="rId8" o:title=""/>
          </v:shape>
        </w:pict>
      </w:r>
    </w:p>
    <w:p w:rsidR="00D11B95" w:rsidRPr="00B36380" w:rsidRDefault="00D11B95" w:rsidP="00D11B95">
      <w:pPr>
        <w:rPr>
          <w:noProof/>
        </w:rPr>
        <w:sectPr w:rsidR="00D11B95" w:rsidRPr="00B36380" w:rsidSect="00152D3D">
          <w:footerReference w:type="even" r:id="rId9"/>
          <w:footerReference w:type="default" r:id="rId10"/>
          <w:pgSz w:w="11907" w:h="16839"/>
          <w:pgMar w:top="1134" w:right="1417" w:bottom="1134" w:left="1417" w:header="709" w:footer="709" w:gutter="0"/>
          <w:pgNumType w:start="0"/>
          <w:cols w:space="720"/>
          <w:docGrid w:linePitch="360"/>
        </w:sectPr>
      </w:pPr>
    </w:p>
    <w:p w:rsidR="00D11B95" w:rsidRPr="00B36380" w:rsidRDefault="00D11B95" w:rsidP="00BB6B30">
      <w:pPr>
        <w:pStyle w:val="Exposdesmotifstitre"/>
        <w:rPr>
          <w:noProof/>
        </w:rPr>
      </w:pPr>
      <w:bookmarkStart w:id="0" w:name="_GoBack"/>
      <w:bookmarkEnd w:id="0"/>
      <w:r w:rsidRPr="00B36380">
        <w:rPr>
          <w:noProof/>
        </w:rPr>
        <w:lastRenderedPageBreak/>
        <w:t>OBRAZLOŽITVENI MEMORANDUM</w:t>
      </w:r>
    </w:p>
    <w:p w:rsidR="00D11B95" w:rsidRPr="00B36380" w:rsidRDefault="00D11B95" w:rsidP="00BB6B30">
      <w:pPr>
        <w:pStyle w:val="ManualHeading1"/>
        <w:rPr>
          <w:noProof/>
        </w:rPr>
      </w:pPr>
      <w:r w:rsidRPr="00B36380">
        <w:rPr>
          <w:noProof/>
        </w:rPr>
        <w:t>1.</w:t>
      </w:r>
      <w:r w:rsidRPr="00B36380">
        <w:rPr>
          <w:noProof/>
        </w:rPr>
        <w:tab/>
        <w:t>OZADJE PREDLOGA</w:t>
      </w:r>
    </w:p>
    <w:p w:rsidR="00D11B95" w:rsidRPr="00B36380" w:rsidRDefault="00D11B95" w:rsidP="00044058">
      <w:pPr>
        <w:pStyle w:val="ManualHeading2"/>
        <w:rPr>
          <w:rFonts w:eastAsia="Arial Unicode MS"/>
          <w:noProof/>
        </w:rPr>
      </w:pPr>
      <w:r w:rsidRPr="00B36380">
        <w:rPr>
          <w:noProof/>
          <w:color w:val="000000"/>
          <w:u w:color="000000"/>
          <w:bdr w:val="nil"/>
        </w:rPr>
        <w:t>•</w:t>
      </w:r>
      <w:r w:rsidRPr="00B36380">
        <w:rPr>
          <w:noProof/>
          <w:color w:val="000000"/>
          <w:u w:color="000000"/>
          <w:bdr w:val="nil"/>
        </w:rPr>
        <w:tab/>
        <w:t>Razlogi za predlog in njegovi cilji</w:t>
      </w:r>
    </w:p>
    <w:p w:rsidR="001B589B" w:rsidRPr="00B36380" w:rsidRDefault="001B589B" w:rsidP="001B589B">
      <w:pPr>
        <w:pBdr>
          <w:top w:val="nil"/>
          <w:left w:val="nil"/>
          <w:bottom w:val="nil"/>
          <w:right w:val="nil"/>
          <w:between w:val="nil"/>
          <w:bar w:val="nil"/>
        </w:pBdr>
        <w:spacing w:before="0" w:after="240"/>
        <w:rPr>
          <w:rFonts w:eastAsia="Arial Unicode MS"/>
          <w:noProof/>
        </w:rPr>
      </w:pPr>
      <w:r w:rsidRPr="00B36380">
        <w:rPr>
          <w:noProof/>
        </w:rPr>
        <w:t>Obdavčitev energentov in električne energije v Evropski uniji ureja Direktiva Sveta 2003/96/ES z dne 27. oktobra 2003 o prestrukturiranju okvira Skupnosti za obdavčitev energentov in električne energije</w:t>
      </w:r>
      <w:r w:rsidRPr="00B36380">
        <w:rPr>
          <w:rStyle w:val="FootnoteReference"/>
          <w:rFonts w:eastAsia="Arial Unicode MS"/>
          <w:noProof/>
        </w:rPr>
        <w:footnoteReference w:id="1"/>
      </w:r>
      <w:r w:rsidRPr="00B36380">
        <w:rPr>
          <w:noProof/>
        </w:rPr>
        <w:t xml:space="preserve"> (v nadaljnjem besedilu: direktiva o obdavčitvi energije ali Direktiva).</w:t>
      </w:r>
    </w:p>
    <w:p w:rsidR="001B589B" w:rsidRPr="00B36380" w:rsidRDefault="001B589B" w:rsidP="001B589B">
      <w:pPr>
        <w:pBdr>
          <w:top w:val="nil"/>
          <w:left w:val="nil"/>
          <w:bottom w:val="nil"/>
          <w:right w:val="nil"/>
          <w:between w:val="nil"/>
          <w:bar w:val="nil"/>
        </w:pBdr>
        <w:spacing w:before="0" w:after="240"/>
        <w:rPr>
          <w:rFonts w:eastAsia="Arial Unicode MS"/>
          <w:noProof/>
        </w:rPr>
      </w:pPr>
      <w:r w:rsidRPr="00B36380">
        <w:rPr>
          <w:noProof/>
        </w:rPr>
        <w:t>V skladu s členom 19(1) Direktive, poleg določb zlasti iz členov 5, 15 in 17, lahko Svet na predlog Komisije kateri koli državi članici soglasno dovoli uvedbo nadaljnjih izjem ali znižanj ravni obdavčitve zaradi upoštevanja posebnih politik.</w:t>
      </w:r>
    </w:p>
    <w:p w:rsidR="001B589B" w:rsidRPr="00B36380" w:rsidRDefault="00685040" w:rsidP="001B589B">
      <w:pPr>
        <w:pBdr>
          <w:top w:val="nil"/>
          <w:left w:val="nil"/>
          <w:bottom w:val="nil"/>
          <w:right w:val="nil"/>
          <w:between w:val="nil"/>
          <w:bar w:val="nil"/>
        </w:pBdr>
        <w:spacing w:before="0" w:after="240"/>
        <w:rPr>
          <w:noProof/>
        </w:rPr>
      </w:pPr>
      <w:r w:rsidRPr="00B36380">
        <w:rPr>
          <w:noProof/>
        </w:rPr>
        <w:t xml:space="preserve">V obravnavani zadevi je Francija zaprosila za dovoljenje za uporabo znižanih stopenj obdavčitve končne porabe električne energije v primeru električne energije, s katero se neposredno oskrbijo mirujoči zrakoplovi na letališčih, odprtih za javni zračni promet, vključno z zasebnim rekreacijskim letalstvom. Cilj tega predloga je odobriti navedeno dovoljenje z odstopanjem, veljavnim za omejeno obdobje, kot je bilo zaprošeno. </w:t>
      </w:r>
    </w:p>
    <w:p w:rsidR="001226FD" w:rsidRPr="00B36380" w:rsidRDefault="001226FD" w:rsidP="001226FD">
      <w:pPr>
        <w:rPr>
          <w:noProof/>
        </w:rPr>
      </w:pPr>
      <w:r w:rsidRPr="00B36380">
        <w:rPr>
          <w:noProof/>
        </w:rPr>
        <w:t xml:space="preserve">Francoski organi so z dopisom z dne 11. aprila 2022 Komisijo obvestili, da nameravajo izvesti ukrep, ki je predmet tega zahtevka za odstopanje, v skladu s členom 19 Direktive 2003/96/ES. 25. oktobra 2022 in 7. avgusta 2023 so predložili dodatne informacije. Nadaljnje informacije so poslali 30. oktobra 2023, 7. novembra 2023, 27. decembra 2023 in 18. aprila 2024. </w:t>
      </w:r>
    </w:p>
    <w:p w:rsidR="00EF36D3" w:rsidRPr="00B36380" w:rsidRDefault="00EF36D3" w:rsidP="009710E7">
      <w:pPr>
        <w:pBdr>
          <w:top w:val="nil"/>
          <w:left w:val="nil"/>
          <w:bottom w:val="nil"/>
          <w:right w:val="nil"/>
          <w:between w:val="nil"/>
          <w:bar w:val="nil"/>
        </w:pBdr>
        <w:spacing w:before="0" w:after="240"/>
        <w:rPr>
          <w:rFonts w:eastAsia="Arial Unicode MS"/>
          <w:noProof/>
        </w:rPr>
      </w:pPr>
      <w:r w:rsidRPr="00B36380">
        <w:rPr>
          <w:noProof/>
        </w:rPr>
        <w:t xml:space="preserve">Francija je zaprosila za dovoljenje za uporabo najnižjih ravni obdavčitve iz Direktive (člen 10(1)) za električno energijo, ki se zrakoplovom, na katere se nanaša prošnja, dobavlja po zemeljskem električnem omrežju. Francija je poudarila, da se za električno energijo, ki se uporablja za napajanje mirujočih zrakoplovov na letališčih, odprtih za javni zračni promet, ki jih upravljajo podjetja v okviru svoje gospodarske dejavnosti, lahko uporablja minimalna tarifa za poslovne namene (0,5 EUR/MWh). Vendar so francoski organi pojasnili, da se za električno energijo, ki se uporablja za napajanje mirujočih zrakoplovov na letališčih, odprtih za javni zračni promet, ki jih upravljajo fizične osebe za zasebne rekreativne namene (ki jih organi štejejo za negospodarsko dejavnost), uporablja evropska minimalna tarifa za neposlovne odjemalce (1 EUR/MWh). </w:t>
      </w:r>
    </w:p>
    <w:p w:rsidR="00EF36D3" w:rsidRPr="00B36380" w:rsidRDefault="00EF36D3" w:rsidP="0075352F">
      <w:pPr>
        <w:pBdr>
          <w:top w:val="nil"/>
          <w:left w:val="nil"/>
          <w:bottom w:val="nil"/>
          <w:right w:val="nil"/>
          <w:between w:val="nil"/>
          <w:bar w:val="nil"/>
        </w:pBdr>
        <w:spacing w:before="0" w:after="240"/>
        <w:rPr>
          <w:rFonts w:eastAsia="Arial Unicode MS"/>
          <w:noProof/>
        </w:rPr>
      </w:pPr>
      <w:r w:rsidRPr="00B36380">
        <w:rPr>
          <w:noProof/>
        </w:rPr>
        <w:t xml:space="preserve">Prvotno so francoski organi zaprosili za obdobje veljavnosti od 1. januarja 2024 do 31. decembra 2029, kar je v okviru najdaljšega dopustnega obdobja v skladu s členom 19 direktive o obdavčitvi energije. </w:t>
      </w:r>
      <w:bookmarkStart w:id="1" w:name="_Hlk164868676"/>
      <w:r w:rsidRPr="00B36380">
        <w:rPr>
          <w:noProof/>
        </w:rPr>
        <w:t>Po razpravah med francoskimi organi in Komisijo, zlasti glede na predlog revizije Direktive 2003/96/ES</w:t>
      </w:r>
      <w:r w:rsidR="00126F39" w:rsidRPr="00B36380">
        <w:rPr>
          <w:rStyle w:val="FootnoteReference"/>
          <w:noProof/>
        </w:rPr>
        <w:footnoteReference w:id="2"/>
      </w:r>
      <w:r w:rsidRPr="00B36380">
        <w:rPr>
          <w:noProof/>
        </w:rPr>
        <w:t>, je bil sprejet dogovor o zgodnejšem datumu zaključka tega obdobja, tj. 31. december 2027</w:t>
      </w:r>
      <w:bookmarkEnd w:id="1"/>
      <w:r w:rsidRPr="00B36380">
        <w:rPr>
          <w:noProof/>
        </w:rPr>
        <w:t xml:space="preserve">. </w:t>
      </w:r>
    </w:p>
    <w:p w:rsidR="00EF36D3" w:rsidRPr="00B36380" w:rsidRDefault="00EF36D3" w:rsidP="0075352F">
      <w:pPr>
        <w:pBdr>
          <w:top w:val="nil"/>
          <w:left w:val="nil"/>
          <w:bottom w:val="nil"/>
          <w:right w:val="nil"/>
          <w:between w:val="nil"/>
          <w:bar w:val="nil"/>
        </w:pBdr>
        <w:spacing w:before="0" w:after="240"/>
        <w:rPr>
          <w:rFonts w:eastAsia="Arial Unicode MS"/>
          <w:noProof/>
        </w:rPr>
      </w:pPr>
      <w:r w:rsidRPr="00B36380">
        <w:rPr>
          <w:noProof/>
        </w:rPr>
        <w:t>Namen tega znižanja davka je spodbuditi uvedbo in uporabo zemeljskega električnega omrežja, da se zmanjša onesnaževanje zraka v letaliških mestih, izboljša kakovost zraka v lokalnem okolju in zmanjša obremenitev s hrupom, s tem pa izboljša zdravje prebivalcev. Cilj ukrepa je uporaba znižanih stopenj na porabljeno MWh za dobavo električne energije prek terminalov vsem mirujočim zrakoplovom na letališčih, odprtih za javni zračni promet.</w:t>
      </w:r>
    </w:p>
    <w:p w:rsidR="002F7622" w:rsidRPr="00B36380" w:rsidRDefault="00162576" w:rsidP="0075352F">
      <w:pPr>
        <w:pBdr>
          <w:top w:val="nil"/>
          <w:left w:val="nil"/>
          <w:bottom w:val="nil"/>
          <w:right w:val="nil"/>
          <w:between w:val="nil"/>
          <w:bar w:val="nil"/>
        </w:pBdr>
        <w:spacing w:before="0" w:after="240"/>
        <w:rPr>
          <w:noProof/>
        </w:rPr>
      </w:pPr>
      <w:r w:rsidRPr="00B36380">
        <w:rPr>
          <w:noProof/>
        </w:rPr>
        <w:lastRenderedPageBreak/>
        <w:t xml:space="preserve">Francija namerava z ukrepom, za katerega je zaprosila, spodbuditi uporabo zemeljskega električnega omrežja, ki pomeni manjše onesnaževanje v primerjavi s proizvodnjo električne energije na zgoraj omenjenih zrakoplovih. </w:t>
      </w:r>
    </w:p>
    <w:p w:rsidR="0075352F" w:rsidRPr="00B36380" w:rsidRDefault="0075352F" w:rsidP="0075352F">
      <w:pPr>
        <w:pBdr>
          <w:top w:val="nil"/>
          <w:left w:val="nil"/>
          <w:bottom w:val="nil"/>
          <w:right w:val="nil"/>
          <w:between w:val="nil"/>
          <w:bar w:val="nil"/>
        </w:pBdr>
        <w:spacing w:before="0" w:after="240"/>
        <w:rPr>
          <w:noProof/>
        </w:rPr>
      </w:pPr>
      <w:bookmarkStart w:id="2" w:name="_Hlk143180727"/>
      <w:r w:rsidRPr="00B36380">
        <w:rPr>
          <w:noProof/>
        </w:rPr>
        <w:t>Francoski organi so navedli, da bo to splošni ukrep in da se bo znižanje davka uporabljalo za vse zrakoplove, ki uporabljajo zemeljsko električno omrežje med mirovanjem na letališču, odprtem za javni zračni promet, ne glede na status leta.</w:t>
      </w:r>
    </w:p>
    <w:bookmarkEnd w:id="2"/>
    <w:p w:rsidR="001B556E" w:rsidRPr="00B36380" w:rsidRDefault="00EA17F2" w:rsidP="001B556E">
      <w:pPr>
        <w:pBdr>
          <w:top w:val="nil"/>
          <w:left w:val="nil"/>
          <w:bottom w:val="nil"/>
          <w:right w:val="nil"/>
          <w:between w:val="nil"/>
          <w:bar w:val="nil"/>
        </w:pBdr>
        <w:spacing w:before="0" w:after="240"/>
        <w:rPr>
          <w:noProof/>
        </w:rPr>
      </w:pPr>
      <w:r w:rsidRPr="00B36380">
        <w:rPr>
          <w:noProof/>
        </w:rPr>
        <w:t xml:space="preserve">V zvezi s tem so francoski organi navedli, da bo ukrep v pravnem smislu zajemal vsa francoska letališča, odprta za javni zračni promet, tj. približno 450 letališč. Vendar bi se to dejansko nanašalo predvsem na 120 komercialnih letališč, zlasti tistih, ki so del vseevropskega prometnega omrežja (TEN-T) in so predvideni upravičenci tega ukrepa. Tem letališčem bi se olajšalo kratkoročno in srednjeročno vlaganje v alternativne načine oskrbe z električno energijo (enote za oskrbo s klimatiziranim zrakom, vtičnica s frekvenco 400 Hz in mobilna napajalna enota) za zrakoplove, ki jih uporabljajo. Število upravičencev je zato za leto 2019, ki je zadnje reprezentativno leto običajnega zračnega prometa (če izvzamemo pandemijo COVID-19), ocenjeno na približno 980 000. Leta 2020 je bilo 441 000 upravičencev, leta 2021 pa 553 000. </w:t>
      </w:r>
    </w:p>
    <w:p w:rsidR="007D0E7F" w:rsidRPr="00B36380" w:rsidRDefault="008B3B2C" w:rsidP="00EF088B">
      <w:pPr>
        <w:pBdr>
          <w:top w:val="nil"/>
          <w:left w:val="nil"/>
          <w:bottom w:val="nil"/>
          <w:right w:val="nil"/>
          <w:between w:val="nil"/>
          <w:bar w:val="nil"/>
        </w:pBdr>
        <w:spacing w:before="0" w:after="240"/>
        <w:rPr>
          <w:rStyle w:val="Bodytext2"/>
          <w:noProof/>
        </w:rPr>
      </w:pPr>
      <w:r w:rsidRPr="00B36380">
        <w:rPr>
          <w:rStyle w:val="Bodytext2"/>
          <w:noProof/>
        </w:rPr>
        <w:t xml:space="preserve">Po ocenah francoskih organov bi se z oskrbo z električno energijo emisije </w:t>
      </w:r>
      <w:r w:rsidRPr="00B36380">
        <w:rPr>
          <w:noProof/>
        </w:rPr>
        <w:t>CO</w:t>
      </w:r>
      <w:r w:rsidRPr="00B36380">
        <w:rPr>
          <w:noProof/>
          <w:vertAlign w:val="subscript"/>
        </w:rPr>
        <w:t>2</w:t>
      </w:r>
      <w:r w:rsidRPr="00B36380">
        <w:rPr>
          <w:rStyle w:val="Bodytext2"/>
          <w:noProof/>
        </w:rPr>
        <w:t xml:space="preserve"> iz mirujočih zrakoplovov zmanjšale za desetkrat. Glede na podatke iz letne ocene plinastih emisij, povezanih z zračnim prometom v Franciji, ki jo je izvedel Generalni direktorat za civilno letalstvo (DGAC) s svojim kalkulatorjem „TARMAAC“, je bilo s 13 največjih letaliških vozlišč v letu 2019 izpuščenih več kot 230 000 ton CO</w:t>
      </w:r>
      <w:r w:rsidRPr="00B36380">
        <w:rPr>
          <w:rStyle w:val="Bodytext2"/>
          <w:noProof/>
          <w:vertAlign w:val="subscript"/>
        </w:rPr>
        <w:t>2</w:t>
      </w:r>
      <w:r w:rsidRPr="00B36380">
        <w:rPr>
          <w:rStyle w:val="Bodytext2"/>
          <w:noProof/>
        </w:rPr>
        <w:t xml:space="preserve"> izključno z uporabo pomožnih pogonskih enot za komercialni promet. Ker je uporaba pomožnih pogonskih enot nujna vsaj v času, potrebnem za priklop in odklop od električnega napajanja (30 % časa), se lahko zmanjšanje oceni na 145 ton CO</w:t>
      </w:r>
      <w:r w:rsidRPr="00B36380">
        <w:rPr>
          <w:rStyle w:val="Bodytext2"/>
          <w:noProof/>
          <w:vertAlign w:val="subscript"/>
        </w:rPr>
        <w:t>2</w:t>
      </w:r>
      <w:r w:rsidRPr="00B36380">
        <w:rPr>
          <w:rStyle w:val="Bodytext2"/>
          <w:noProof/>
        </w:rPr>
        <w:t xml:space="preserve">. </w:t>
      </w:r>
    </w:p>
    <w:p w:rsidR="00740845" w:rsidRPr="00B36380" w:rsidRDefault="00B1108C" w:rsidP="00740845">
      <w:pPr>
        <w:pBdr>
          <w:top w:val="nil"/>
          <w:left w:val="nil"/>
          <w:bottom w:val="nil"/>
          <w:right w:val="nil"/>
          <w:between w:val="nil"/>
          <w:bar w:val="nil"/>
        </w:pBdr>
        <w:spacing w:before="0" w:after="240"/>
        <w:rPr>
          <w:rStyle w:val="Bodytext2"/>
          <w:noProof/>
        </w:rPr>
      </w:pPr>
      <w:r w:rsidRPr="00B36380">
        <w:rPr>
          <w:rStyle w:val="Bodytext2"/>
          <w:noProof/>
        </w:rPr>
        <w:t>Francoski organi so v zvezi s tem navedli, da je v letu 2022 1 kWh pri oskrbi iz električnega omrežja (400 Hz) v povprečju stala 0,276 EUR/kWh</w:t>
      </w:r>
      <w:r w:rsidR="006751B4" w:rsidRPr="00B36380">
        <w:rPr>
          <w:rStyle w:val="FootnoteReference"/>
          <w:noProof/>
        </w:rPr>
        <w:footnoteReference w:id="3"/>
      </w:r>
      <w:r w:rsidRPr="00B36380">
        <w:rPr>
          <w:rStyle w:val="Bodytext2"/>
          <w:noProof/>
        </w:rPr>
        <w:t>. Decembra 2023 je 1 kWh, dobavljena prek pomožnih pogonskih enot, stala 0,18 EUR</w:t>
      </w:r>
      <w:r w:rsidR="00740845" w:rsidRPr="00B36380">
        <w:rPr>
          <w:rStyle w:val="FootnoteReference"/>
          <w:noProof/>
        </w:rPr>
        <w:footnoteReference w:id="4"/>
      </w:r>
      <w:r w:rsidRPr="00B36380">
        <w:rPr>
          <w:rStyle w:val="Bodytext2"/>
          <w:noProof/>
        </w:rPr>
        <w:t xml:space="preserve">. </w:t>
      </w:r>
      <w:r w:rsidRPr="00B36380">
        <w:rPr>
          <w:noProof/>
        </w:rPr>
        <w:t>Stroški električne energije iz omrežja so torej višji od stroškov uporabe pomožnih pogonskih enot.</w:t>
      </w:r>
    </w:p>
    <w:p w:rsidR="007822B9" w:rsidRPr="00B36380" w:rsidRDefault="007822B9" w:rsidP="0075352F">
      <w:pPr>
        <w:pBdr>
          <w:top w:val="nil"/>
          <w:left w:val="nil"/>
          <w:bottom w:val="nil"/>
          <w:right w:val="nil"/>
          <w:between w:val="nil"/>
          <w:bar w:val="nil"/>
        </w:pBdr>
        <w:spacing w:before="0" w:after="240"/>
        <w:rPr>
          <w:noProof/>
        </w:rPr>
      </w:pPr>
      <w:r w:rsidRPr="00B36380">
        <w:rPr>
          <w:noProof/>
        </w:rPr>
        <w:t>Francija namerava z znižanjem davka zadevne upravljavce spodbuditi k razvoju in uporabi zemeljskega električnega omrežja, da bi se zmanjšale emisije v zrak in obremenitev s hrupom, ki izhajajo iz izgorevanja goriva na mirujočih zrakoplovih, s tem pa bi se zmanjšale emisije CO</w:t>
      </w:r>
      <w:r w:rsidRPr="00B36380">
        <w:rPr>
          <w:noProof/>
          <w:vertAlign w:val="subscript"/>
        </w:rPr>
        <w:t>2</w:t>
      </w:r>
      <w:r w:rsidRPr="00B36380">
        <w:rPr>
          <w:noProof/>
        </w:rPr>
        <w:t xml:space="preserve">. Uporaba znižane stopnje obdavčitve bi povečala konkurenčnost oskrbe iz zemeljskega električnega omrežja v primerjavi z električno energijo, proizvedeno na zadevnih zrakoplovih s sredstvi in proizvodi, ki izpuščajo visoke ravni toplogrednih plinov. </w:t>
      </w:r>
    </w:p>
    <w:p w:rsidR="00E82C60" w:rsidRPr="00B36380" w:rsidRDefault="00E82C60" w:rsidP="0075352F">
      <w:pPr>
        <w:pBdr>
          <w:top w:val="nil"/>
          <w:left w:val="nil"/>
          <w:bottom w:val="nil"/>
          <w:right w:val="nil"/>
          <w:between w:val="nil"/>
          <w:bar w:val="nil"/>
        </w:pBdr>
        <w:spacing w:before="0" w:after="240"/>
        <w:rPr>
          <w:rFonts w:eastAsia="Arial Unicode MS"/>
          <w:noProof/>
        </w:rPr>
      </w:pPr>
      <w:r w:rsidRPr="00B36380">
        <w:rPr>
          <w:noProof/>
        </w:rPr>
        <w:t>Odhodki, povezani s tem ukrepom, bi znašali 12 milijonov EUR za leto 2024 in 16,3 milijona EUR na leto med letoma 2025 in 2029. Skupni proračunski odhodki za ta ukrep za prvotno zaprošeno obdobje (2024–2029) so bili ocenjeni na 93,5 milijona EUR.</w:t>
      </w:r>
    </w:p>
    <w:p w:rsidR="00D11B95" w:rsidRPr="00B36380" w:rsidRDefault="00D11B95" w:rsidP="00044058">
      <w:pPr>
        <w:pStyle w:val="ManualHeading2"/>
        <w:rPr>
          <w:rFonts w:eastAsia="Arial Unicode MS"/>
          <w:noProof/>
          <w:color w:val="000000"/>
          <w:u w:color="000000"/>
          <w:bdr w:val="nil"/>
        </w:rPr>
      </w:pPr>
      <w:r w:rsidRPr="00B36380">
        <w:rPr>
          <w:noProof/>
          <w:color w:val="000000"/>
          <w:u w:color="000000"/>
          <w:bdr w:val="nil"/>
        </w:rPr>
        <w:lastRenderedPageBreak/>
        <w:t>•</w:t>
      </w:r>
      <w:r w:rsidRPr="00B36380">
        <w:rPr>
          <w:noProof/>
          <w:color w:val="000000"/>
          <w:u w:color="000000"/>
          <w:bdr w:val="nil"/>
        </w:rPr>
        <w:tab/>
        <w:t>Skladnost z veljavnimi predpisi s področja zadevne politike</w:t>
      </w:r>
    </w:p>
    <w:p w:rsidR="00487005" w:rsidRPr="00B36380" w:rsidRDefault="00487005" w:rsidP="00487005">
      <w:pPr>
        <w:pBdr>
          <w:top w:val="nil"/>
          <w:left w:val="nil"/>
          <w:bottom w:val="nil"/>
          <w:right w:val="nil"/>
          <w:between w:val="nil"/>
          <w:bar w:val="nil"/>
        </w:pBdr>
        <w:spacing w:before="0" w:after="240"/>
        <w:rPr>
          <w:rFonts w:eastAsia="Arial Unicode MS"/>
          <w:noProof/>
        </w:rPr>
      </w:pPr>
      <w:r w:rsidRPr="00B36380">
        <w:rPr>
          <w:noProof/>
        </w:rPr>
        <w:t>Obdavčitev električne energije ureja direktiva o obdavčitvi energije 2003/96/ES, zlasti člen 10 Direktive. Direktiva določa najnižje ravni obdavčitve, ki se uporabljajo za električno energijo in so določene v Prilogi I (Preglednica C). Členi 5, 15 in 17 določajo možnost, da države članice za nekatere uporabe električne energije uporabijo diferencirane davčne stopnje, vključno z izjemami in znižanji. Vendar te določbe same po sebi ne določajo znižane obdavčitve električne energije iz zemeljskega električnega omrežja za zrakoplove.</w:t>
      </w:r>
    </w:p>
    <w:p w:rsidR="00487005" w:rsidRPr="00B36380" w:rsidRDefault="00487005" w:rsidP="00487005">
      <w:pPr>
        <w:pBdr>
          <w:top w:val="nil"/>
          <w:left w:val="nil"/>
          <w:bottom w:val="nil"/>
          <w:right w:val="nil"/>
          <w:between w:val="nil"/>
          <w:bar w:val="nil"/>
        </w:pBdr>
        <w:spacing w:before="0" w:after="240"/>
        <w:rPr>
          <w:rFonts w:eastAsia="Arial Unicode MS"/>
          <w:noProof/>
        </w:rPr>
      </w:pPr>
      <w:r w:rsidRPr="00B36380">
        <w:rPr>
          <w:noProof/>
        </w:rPr>
        <w:t>Zaprošeni ukrep pomeni državno pomoč in spada na področje zakonodaje EU na tem področju, zlasti Uredbe Komisije (EU) št. 651/2014</w:t>
      </w:r>
      <w:r w:rsidRPr="00B36380">
        <w:rPr>
          <w:rStyle w:val="FootnoteReference"/>
          <w:rFonts w:eastAsia="Arial Unicode MS"/>
          <w:noProof/>
        </w:rPr>
        <w:footnoteReference w:id="5"/>
      </w:r>
      <w:r w:rsidRPr="00B36380">
        <w:rPr>
          <w:noProof/>
        </w:rPr>
        <w:t>.</w:t>
      </w:r>
    </w:p>
    <w:p w:rsidR="00487005" w:rsidRPr="00B36380" w:rsidRDefault="00487005" w:rsidP="00487005">
      <w:pPr>
        <w:spacing w:before="0" w:after="240"/>
        <w:rPr>
          <w:rFonts w:eastAsia="Arial Unicode MS"/>
          <w:i/>
          <w:noProof/>
        </w:rPr>
      </w:pPr>
      <w:r w:rsidRPr="00B36380">
        <w:rPr>
          <w:i/>
          <w:noProof/>
        </w:rPr>
        <w:t>Določbe iz direktive o obdavčitvi energije</w:t>
      </w:r>
    </w:p>
    <w:p w:rsidR="00487005" w:rsidRPr="00B36380" w:rsidRDefault="00487005" w:rsidP="00487005">
      <w:pPr>
        <w:pBdr>
          <w:top w:val="nil"/>
          <w:left w:val="nil"/>
          <w:bottom w:val="nil"/>
          <w:right w:val="nil"/>
          <w:between w:val="nil"/>
          <w:bar w:val="nil"/>
        </w:pBdr>
        <w:spacing w:before="0" w:after="240"/>
        <w:rPr>
          <w:rFonts w:eastAsia="Arial Unicode MS"/>
          <w:noProof/>
        </w:rPr>
      </w:pPr>
      <w:r w:rsidRPr="00B36380">
        <w:rPr>
          <w:noProof/>
        </w:rPr>
        <w:t xml:space="preserve">Člen 19(1), prvi pododstavek, Direktive se glasi: </w:t>
      </w:r>
    </w:p>
    <w:p w:rsidR="00487005" w:rsidRPr="009A400A" w:rsidRDefault="00487005" w:rsidP="00487005">
      <w:pPr>
        <w:pBdr>
          <w:top w:val="nil"/>
          <w:left w:val="nil"/>
          <w:bottom w:val="nil"/>
          <w:right w:val="nil"/>
          <w:between w:val="nil"/>
          <w:bar w:val="nil"/>
        </w:pBdr>
        <w:spacing w:before="0" w:after="240"/>
        <w:rPr>
          <w:rFonts w:eastAsia="Arial Unicode MS"/>
          <w:iCs/>
          <w:noProof/>
        </w:rPr>
      </w:pPr>
      <w:r w:rsidRPr="009A400A">
        <w:rPr>
          <w:iCs/>
          <w:noProof/>
        </w:rPr>
        <w:t>„Razen določb prejšnjih členov, zlasti členov 5, 15 in 17, lahko Svet, na predlog Komisije, državi članici soglasno dovoli uvedbo nadaljnjih izjem ali znižanj zaradi upoštevanja posebnih politik.“</w:t>
      </w:r>
    </w:p>
    <w:p w:rsidR="00506A1B" w:rsidRPr="00B36380" w:rsidRDefault="00487005" w:rsidP="00487005">
      <w:pPr>
        <w:pBdr>
          <w:top w:val="nil"/>
          <w:left w:val="nil"/>
          <w:bottom w:val="nil"/>
          <w:right w:val="nil"/>
          <w:between w:val="nil"/>
          <w:bar w:val="nil"/>
        </w:pBdr>
        <w:spacing w:before="0" w:after="240"/>
        <w:rPr>
          <w:noProof/>
        </w:rPr>
      </w:pPr>
      <w:r w:rsidRPr="00B36380">
        <w:rPr>
          <w:noProof/>
        </w:rPr>
        <w:t xml:space="preserve">Francoski organi nameravajo z obravnavanim znižanjem davka spodbuditi oskrbo mirujočih zrakoplovov na letališčih, odprtih za javni zračni promet, z električno energijo na način, ki je manj škodljiv za okolje, ter tako izboljšati kakovost zraka v lokalnem okolju in zmanjšati obremenitev s hrupom. </w:t>
      </w:r>
    </w:p>
    <w:p w:rsidR="002A5CBB" w:rsidRPr="00B36380" w:rsidRDefault="00487005" w:rsidP="00487005">
      <w:pPr>
        <w:pBdr>
          <w:top w:val="nil"/>
          <w:left w:val="nil"/>
          <w:bottom w:val="nil"/>
          <w:right w:val="nil"/>
          <w:between w:val="nil"/>
          <w:bar w:val="nil"/>
        </w:pBdr>
        <w:spacing w:before="0" w:after="240"/>
        <w:rPr>
          <w:rStyle w:val="Bodytext2"/>
          <w:noProof/>
        </w:rPr>
      </w:pPr>
      <w:r w:rsidRPr="00B36380">
        <w:rPr>
          <w:noProof/>
        </w:rPr>
        <w:t>Komisija je že priporočila uporabo električne energije z obale kot alternativo proizvodnji električne energije na krovu plovil med privezom in tako priznala okoljske prednosti te možnosti</w:t>
      </w:r>
      <w:r w:rsidRPr="00B36380">
        <w:rPr>
          <w:rStyle w:val="FootnoteReference"/>
          <w:rFonts w:eastAsia="Arial Unicode MS"/>
          <w:noProof/>
        </w:rPr>
        <w:footnoteReference w:id="6"/>
      </w:r>
      <w:r w:rsidRPr="00B36380">
        <w:rPr>
          <w:noProof/>
        </w:rPr>
        <w:t xml:space="preserve">. </w:t>
      </w:r>
    </w:p>
    <w:p w:rsidR="002A5CBB" w:rsidRPr="00B36380" w:rsidRDefault="00ED77F3" w:rsidP="00487005">
      <w:pPr>
        <w:pBdr>
          <w:top w:val="nil"/>
          <w:left w:val="nil"/>
          <w:bottom w:val="nil"/>
          <w:right w:val="nil"/>
          <w:between w:val="nil"/>
          <w:bar w:val="nil"/>
        </w:pBdr>
        <w:spacing w:before="0" w:after="240"/>
        <w:rPr>
          <w:rStyle w:val="Bodytext2"/>
          <w:noProof/>
        </w:rPr>
      </w:pPr>
      <w:r w:rsidRPr="00B36380">
        <w:rPr>
          <w:rStyle w:val="Bodytext2"/>
          <w:noProof/>
        </w:rPr>
        <w:t>Podobno je Komisija v okviru predlagane revizije direktive o obdavčitvi energentov in električne energije, v kateri je med drugim predlagana obdavčitev goriv, dobavljenih za zračni promet, predvidela možnost, da države članice uporabijo popolne ali delne oprostitve za električno energijo</w:t>
      </w:r>
      <w:r w:rsidRPr="00B36380">
        <w:rPr>
          <w:noProof/>
          <w:color w:val="000000"/>
          <w:shd w:val="clear" w:color="auto" w:fill="FFFFFF"/>
        </w:rPr>
        <w:t>, ki se dobavlja mirujočim zrakoplovom in ladjam med privezom v pristaniščih,</w:t>
      </w:r>
      <w:r w:rsidRPr="00B36380">
        <w:rPr>
          <w:rStyle w:val="Bodytext2"/>
          <w:noProof/>
        </w:rPr>
        <w:t xml:space="preserve"> da bi spodbudila razvoj in sprejetje rešitev, ki so čistejše od proizvodnje električne energije na krovu plovil</w:t>
      </w:r>
      <w:r w:rsidRPr="00B36380">
        <w:rPr>
          <w:noProof/>
          <w:color w:val="000000"/>
          <w:shd w:val="clear" w:color="auto" w:fill="FFFFFF"/>
        </w:rPr>
        <w:t xml:space="preserve"> ali zrakoplovov</w:t>
      </w:r>
      <w:r w:rsidRPr="00B36380">
        <w:rPr>
          <w:rStyle w:val="Bodytext2"/>
          <w:noProof/>
        </w:rPr>
        <w:t>.</w:t>
      </w:r>
    </w:p>
    <w:p w:rsidR="00487005" w:rsidRPr="00B36380" w:rsidRDefault="00E47DD7" w:rsidP="00487005">
      <w:pPr>
        <w:pBdr>
          <w:top w:val="nil"/>
          <w:left w:val="nil"/>
          <w:bottom w:val="nil"/>
          <w:right w:val="nil"/>
          <w:between w:val="nil"/>
          <w:bar w:val="nil"/>
        </w:pBdr>
        <w:spacing w:before="0" w:after="240"/>
        <w:rPr>
          <w:rFonts w:eastAsia="Arial Unicode MS"/>
          <w:noProof/>
        </w:rPr>
      </w:pPr>
      <w:r w:rsidRPr="00B36380">
        <w:rPr>
          <w:rStyle w:val="Bodytext2"/>
          <w:noProof/>
        </w:rPr>
        <w:t>V obravnavanem primeru</w:t>
      </w:r>
      <w:r w:rsidRPr="00B36380">
        <w:rPr>
          <w:noProof/>
        </w:rPr>
        <w:t xml:space="preserve"> bi za upravičence veljala znižana raven obdavčitve, ki ustreza najnižjim ravnem obdavčitve električne energije v Evropski uniji, kot je določeno v direktivi o obdavčitvi energije (tj. 0,5 EUR/MWh ali 1 EUR/MWh, odvisno od vrste porabe), kar bi prispevalo k doseganju zgoraj navedenih ciljev.</w:t>
      </w:r>
    </w:p>
    <w:p w:rsidR="00487005" w:rsidRPr="00B36380" w:rsidRDefault="00487005" w:rsidP="00487005">
      <w:pPr>
        <w:pBdr>
          <w:top w:val="nil"/>
          <w:left w:val="nil"/>
          <w:bottom w:val="nil"/>
          <w:right w:val="nil"/>
          <w:between w:val="nil"/>
          <w:bar w:val="nil"/>
        </w:pBdr>
        <w:spacing w:before="0" w:after="240"/>
        <w:rPr>
          <w:rFonts w:eastAsia="Arial Unicode MS"/>
          <w:noProof/>
        </w:rPr>
      </w:pPr>
      <w:r w:rsidRPr="00B36380">
        <w:rPr>
          <w:noProof/>
        </w:rPr>
        <w:t xml:space="preserve">Možnost uvedbe ugodne davčne obravnave za električno energijo iz zemeljskega električnega omrežja se lahko predvidi v skladu s členom 19 Direktive, saj je njen namen državam članicam omogočiti, da uvedejo nadaljnje izjeme ali znižanja zaradi upoštevanja posebnih politik, v tem primeru okoljskih. </w:t>
      </w:r>
    </w:p>
    <w:p w:rsidR="00487005" w:rsidRPr="00B36380" w:rsidRDefault="00487005" w:rsidP="00487005">
      <w:pPr>
        <w:pBdr>
          <w:top w:val="nil"/>
          <w:left w:val="nil"/>
          <w:bottom w:val="nil"/>
          <w:right w:val="nil"/>
          <w:between w:val="nil"/>
          <w:bar w:val="nil"/>
        </w:pBdr>
        <w:spacing w:before="0" w:after="240"/>
        <w:rPr>
          <w:rFonts w:eastAsia="Arial Unicode MS"/>
          <w:noProof/>
        </w:rPr>
      </w:pPr>
      <w:r w:rsidRPr="00B36380">
        <w:rPr>
          <w:noProof/>
        </w:rPr>
        <w:t xml:space="preserve">Francija je zaprosila za uporabo ukrepa za najdaljše obdobje, ki ga dovoljuje člen 19(2) Direktive, tj. 6 let (od januarja 2024 do decembra 2029). Načeloma bi moralo biti po </w:t>
      </w:r>
      <w:r w:rsidRPr="00B36380">
        <w:rPr>
          <w:noProof/>
        </w:rPr>
        <w:lastRenderedPageBreak/>
        <w:t xml:space="preserve">navedbah francoskih organov obdobje uporabe odstopanja dovolj dolgo, da ne bi odvrnilo upravljavcev letališč in dobaviteljev električne energije od tega, da začnejo ali nadaljujejo potrebne naložbe v naprave za oskrbo z električno energijo iz zemeljskega električnega omrežja. Francoski organi so dodali, da bo to obdobje zagotovilo tudi največjo možno pravno varnost za letalske operaterje, ki morajo načrtovati svoje naložbe v opremo na krovu. Po razpravah med francoskimi organi in Komisijo, zlasti glede na predlog revizije Direktive 2003/96/ES, je bil sprejet dogovor o zgodnejšem datumu zaključka tega obdobja, tj. 31. december 2027. </w:t>
      </w:r>
    </w:p>
    <w:p w:rsidR="000E6332" w:rsidRPr="00B36380" w:rsidRDefault="00625BF5" w:rsidP="00507945">
      <w:pPr>
        <w:pBdr>
          <w:top w:val="nil"/>
          <w:left w:val="nil"/>
          <w:bottom w:val="nil"/>
          <w:right w:val="nil"/>
          <w:between w:val="nil"/>
          <w:bar w:val="nil"/>
        </w:pBdr>
        <w:spacing w:before="0" w:after="240"/>
        <w:rPr>
          <w:noProof/>
        </w:rPr>
      </w:pPr>
      <w:r w:rsidRPr="00B36380">
        <w:rPr>
          <w:noProof/>
        </w:rPr>
        <w:t>Francoski organi so v podporo svoji prošnji izpostavili tudi, da je bilo nedavno, julija 2023</w:t>
      </w:r>
      <w:r w:rsidR="000E6332" w:rsidRPr="00B36380">
        <w:rPr>
          <w:rStyle w:val="FootnoteReference"/>
          <w:noProof/>
        </w:rPr>
        <w:footnoteReference w:id="7"/>
      </w:r>
      <w:r w:rsidRPr="00B36380">
        <w:rPr>
          <w:noProof/>
        </w:rPr>
        <w:t>, objavljenih 12 odlokov, ki omejujejo uporabo pomožnih pogonskih enot</w:t>
      </w:r>
      <w:r w:rsidR="003B1A93" w:rsidRPr="00B36380">
        <w:rPr>
          <w:rStyle w:val="FootnoteReference"/>
          <w:noProof/>
        </w:rPr>
        <w:footnoteReference w:id="8"/>
      </w:r>
      <w:r w:rsidRPr="00B36380">
        <w:rPr>
          <w:noProof/>
        </w:rPr>
        <w:t>. Ti odloki se nanašajo na 12 francoskih letališč pod nadzorom organa za nadzor nad obremenitvijo s hrupom (ACNUSA)</w:t>
      </w:r>
      <w:r w:rsidR="003A2E69" w:rsidRPr="00B36380">
        <w:rPr>
          <w:rStyle w:val="FootnoteReference"/>
          <w:noProof/>
        </w:rPr>
        <w:footnoteReference w:id="9"/>
      </w:r>
      <w:r w:rsidRPr="00B36380">
        <w:rPr>
          <w:noProof/>
        </w:rPr>
        <w:t>. Njihov namen je regulacija delovanja pomožnih pogonskih enot, ki izpuščajo CO</w:t>
      </w:r>
      <w:r w:rsidRPr="00B36380">
        <w:rPr>
          <w:noProof/>
          <w:vertAlign w:val="subscript"/>
        </w:rPr>
        <w:t>2</w:t>
      </w:r>
      <w:r w:rsidRPr="00B36380">
        <w:rPr>
          <w:noProof/>
        </w:rPr>
        <w:t>, ki lahko pomenijo 6 % emisij CO</w:t>
      </w:r>
      <w:r w:rsidRPr="00B36380">
        <w:rPr>
          <w:noProof/>
          <w:vertAlign w:val="subscript"/>
        </w:rPr>
        <w:t>2</w:t>
      </w:r>
      <w:r w:rsidRPr="00B36380">
        <w:rPr>
          <w:noProof/>
        </w:rPr>
        <w:t> na letaliških vozliščih</w:t>
      </w:r>
      <w:r w:rsidR="003A2E69" w:rsidRPr="00B36380">
        <w:rPr>
          <w:rStyle w:val="FootnoteReference"/>
          <w:noProof/>
        </w:rPr>
        <w:footnoteReference w:id="10"/>
      </w:r>
      <w:r w:rsidRPr="00B36380">
        <w:rPr>
          <w:noProof/>
        </w:rPr>
        <w:t>. Francoski organi so pojasnili, da obstajajo alternative za pomožne pogonske enote (toplotne in električne), ki omogočajo znatno zmanjšanje ogljičnega odtisa</w:t>
      </w:r>
      <w:r w:rsidR="0053113B" w:rsidRPr="00B36380">
        <w:rPr>
          <w:rStyle w:val="FootnoteReference"/>
          <w:noProof/>
        </w:rPr>
        <w:footnoteReference w:id="11"/>
      </w:r>
      <w:r w:rsidRPr="00B36380">
        <w:rPr>
          <w:noProof/>
        </w:rPr>
        <w:t xml:space="preserve"> in ravni hrupa</w:t>
      </w:r>
      <w:r w:rsidR="0053113B" w:rsidRPr="00B36380">
        <w:rPr>
          <w:rStyle w:val="FootnoteReference"/>
          <w:noProof/>
        </w:rPr>
        <w:footnoteReference w:id="12"/>
      </w:r>
      <w:r w:rsidRPr="00B36380">
        <w:rPr>
          <w:noProof/>
        </w:rPr>
        <w:t xml:space="preserve">, hkrati pa izboljšujejo kakovost zraka. Vendar zaradi pomanjkanja opreme, ki bi nadomestila pomožne pogonske enote, ti regulativni ukrepi po mnenju francoskih organov ne zadostujejo za spodbujanje zadevnih letališč, da se opremijo z alternativnimi sredstvi. Poleg tega zgoraj navedeni odloki o omejitvi zajemajo le 12 letališč. Francoski organi zato menijo, da bi bila znižana trošarinska stopnja, ki bi se uporabljala za oskrbo mirujočih zrakoplovov z električno energijo in zajemala vsa francoska letališča, velika spodbuda za letališki ekosistem. </w:t>
      </w:r>
    </w:p>
    <w:p w:rsidR="00507945" w:rsidRPr="00B36380" w:rsidRDefault="00507945" w:rsidP="00B51BE5">
      <w:pPr>
        <w:pBdr>
          <w:top w:val="nil"/>
          <w:left w:val="nil"/>
          <w:bottom w:val="nil"/>
          <w:right w:val="nil"/>
          <w:between w:val="nil"/>
          <w:bar w:val="nil"/>
        </w:pBdr>
        <w:spacing w:before="0" w:after="240"/>
        <w:rPr>
          <w:noProof/>
        </w:rPr>
      </w:pPr>
      <w:r w:rsidRPr="00B36380">
        <w:rPr>
          <w:noProof/>
        </w:rPr>
        <w:t>Poleg tega je bil po navedbah francoskih organov uveden tudi sistem izrednega davčnega odbitka (t. i. dodatna amortizacija)</w:t>
      </w:r>
      <w:r w:rsidR="00B51BE5" w:rsidRPr="00B36380">
        <w:rPr>
          <w:rStyle w:val="FootnoteReference"/>
          <w:noProof/>
        </w:rPr>
        <w:footnoteReference w:id="13"/>
      </w:r>
      <w:r w:rsidRPr="00B36380">
        <w:rPr>
          <w:noProof/>
        </w:rPr>
        <w:t xml:space="preserve"> v podporo letališčem in službam za zemeljsko oskrbo, ki vlagajo v opremo, ki uporablja okolju prijaznejša goriva (zemeljski plin, električna energija, vodik, superetanol E85, necestna mehanizacija s kombinacijo električne energije in bencinskih motorjev ter necestna mehanizacija s kombinacijo bencina in zemeljskega plina ali utekočinjenega naftnega plina). Ta ukrep omogoča, da se od rezultata, ki je predmet dohodnine ali davka od dohodkov pravnih oseb, odbije znesek v višini 40 % prvotne vrednosti, brez stroškov financiranja, necestne mehanizacije, vnesene kot osnovna sredstva. Za mala in srednja podjetja se ta odbitek poveča na 60 % vrednosti pridobljenega sredstva. Izredni odbitek mora biti skladen z Uredbo Komisije (EU) št. 1407/2013 z dne 18. decembra 2013 o uporabi členov 107 in 108 Pogodbe o delovanju Evropske unije pri pomoči </w:t>
      </w:r>
      <w:r w:rsidRPr="00B36380">
        <w:rPr>
          <w:i/>
          <w:noProof/>
        </w:rPr>
        <w:t>de minimis</w:t>
      </w:r>
      <w:r w:rsidRPr="00B36380">
        <w:rPr>
          <w:noProof/>
        </w:rPr>
        <w:t xml:space="preserve">. Ta sistem se uporablja za nove naložbe, pridobljene, zakupljene ali zakupljene z možnostjo nakupa od 1. januarja 2020 do 31. decembra 2022. Zaradi krize zaradi COVID-19, </w:t>
      </w:r>
      <w:r w:rsidRPr="00B36380">
        <w:rPr>
          <w:noProof/>
        </w:rPr>
        <w:lastRenderedPageBreak/>
        <w:t>nedavne uporabe tega odbitka ter nezadostne likvidnosti letališč in služb za zemeljsko oskrbo so se naložbe v opremo, ki oddaja manj emisij, od začetka veljavnosti tega ukrepa zmanjšale.</w:t>
      </w:r>
    </w:p>
    <w:p w:rsidR="00022917" w:rsidRPr="00B36380" w:rsidRDefault="00022917" w:rsidP="00022917">
      <w:pPr>
        <w:pBdr>
          <w:top w:val="nil"/>
          <w:left w:val="nil"/>
          <w:bottom w:val="nil"/>
          <w:right w:val="nil"/>
          <w:between w:val="nil"/>
          <w:bar w:val="nil"/>
        </w:pBdr>
        <w:spacing w:before="0" w:after="240"/>
        <w:rPr>
          <w:noProof/>
        </w:rPr>
      </w:pPr>
      <w:r w:rsidRPr="00B36380">
        <w:rPr>
          <w:noProof/>
        </w:rPr>
        <w:t>Francoski organi so nazadnje poudarili, da je francoska vlada nedavno sprejela zakon za pospešitev energetskega prehoda, ki bo olajšal namestitev fotovoltaičnih panelov na letališčih, zlasti na letaliških stavbah in zelenih površinah</w:t>
      </w:r>
      <w:r w:rsidR="002236B9" w:rsidRPr="00B36380">
        <w:rPr>
          <w:rStyle w:val="FootnoteReference"/>
          <w:noProof/>
        </w:rPr>
        <w:footnoteReference w:id="14"/>
      </w:r>
      <w:r w:rsidRPr="00B36380">
        <w:rPr>
          <w:noProof/>
        </w:rPr>
        <w:t xml:space="preserve">. Cilj tega zakona (ki ga bosta dopolnila še dva druga zakona o kopenski vetrni energiji in jedrski energiji) je povečati delež energije iz obnovljivih virov v Franciji na 33 % do leta 2030. Letališča nameravajo v prihodnjih letih razviti polja fotovoltaičnih panelov na svojih nepremičninah. Njihov cilj je, da so najprej samooskrbna z električno energijo, nato pa še povečati njeno proizvodnjo. </w:t>
      </w:r>
    </w:p>
    <w:p w:rsidR="00833E7E" w:rsidRPr="00B36380" w:rsidRDefault="00507945" w:rsidP="00022917">
      <w:pPr>
        <w:pBdr>
          <w:top w:val="nil"/>
          <w:left w:val="nil"/>
          <w:bottom w:val="nil"/>
          <w:right w:val="nil"/>
          <w:between w:val="nil"/>
          <w:bar w:val="nil"/>
        </w:pBdr>
        <w:spacing w:before="0" w:after="240"/>
        <w:rPr>
          <w:noProof/>
        </w:rPr>
      </w:pPr>
      <w:r w:rsidRPr="00B36380">
        <w:rPr>
          <w:noProof/>
        </w:rPr>
        <w:t xml:space="preserve">Cilj teh ukrepov je med drugim izboljšati okvirne pogoje, ki urejajo uporabo električne energije iz zemeljskega električnega omrežja na letališčih za zadevne zrakoplove. </w:t>
      </w:r>
    </w:p>
    <w:p w:rsidR="00487005" w:rsidRPr="00B36380" w:rsidRDefault="00487005" w:rsidP="00022917">
      <w:pPr>
        <w:pBdr>
          <w:top w:val="nil"/>
          <w:left w:val="nil"/>
          <w:bottom w:val="nil"/>
          <w:right w:val="nil"/>
          <w:between w:val="nil"/>
          <w:bar w:val="nil"/>
        </w:pBdr>
        <w:spacing w:before="0" w:after="240"/>
        <w:rPr>
          <w:rFonts w:eastAsia="Arial Unicode MS"/>
          <w:noProof/>
          <w:highlight w:val="yellow"/>
        </w:rPr>
      </w:pPr>
      <w:r w:rsidRPr="00B36380">
        <w:rPr>
          <w:noProof/>
        </w:rPr>
        <w:t>V teh okoliščinah je zato primerno, da se dovoljenje izda za zadevno obdobje.</w:t>
      </w:r>
      <w:r w:rsidRPr="00B36380">
        <w:rPr>
          <w:noProof/>
          <w:highlight w:val="yellow"/>
        </w:rPr>
        <w:t xml:space="preserve"> </w:t>
      </w:r>
    </w:p>
    <w:p w:rsidR="00487005" w:rsidRPr="00B36380" w:rsidRDefault="00487005" w:rsidP="00487005">
      <w:pPr>
        <w:pBdr>
          <w:top w:val="nil"/>
          <w:left w:val="nil"/>
          <w:bottom w:val="nil"/>
          <w:right w:val="nil"/>
          <w:between w:val="nil"/>
          <w:bar w:val="nil"/>
        </w:pBdr>
        <w:spacing w:before="0" w:after="240"/>
        <w:rPr>
          <w:rFonts w:eastAsia="Arial Unicode MS"/>
          <w:i/>
          <w:noProof/>
        </w:rPr>
      </w:pPr>
      <w:r w:rsidRPr="00B36380">
        <w:rPr>
          <w:i/>
          <w:noProof/>
        </w:rPr>
        <w:t>Pravila o državni pomoči</w:t>
      </w:r>
    </w:p>
    <w:p w:rsidR="003327F4" w:rsidRPr="00B36380" w:rsidRDefault="00487005" w:rsidP="00487005">
      <w:pPr>
        <w:pBdr>
          <w:top w:val="nil"/>
          <w:left w:val="nil"/>
          <w:bottom w:val="nil"/>
          <w:right w:val="nil"/>
          <w:between w:val="nil"/>
          <w:bar w:val="nil"/>
        </w:pBdr>
        <w:spacing w:before="0" w:after="240"/>
        <w:rPr>
          <w:noProof/>
        </w:rPr>
      </w:pPr>
      <w:r w:rsidRPr="00B36380">
        <w:rPr>
          <w:noProof/>
        </w:rPr>
        <w:t xml:space="preserve">Znižane davčne stopnje, ki jih nameravajo uvesti francoski organi, so enake najnižjim ravnem obdavčitve EU za električno energijo v skladu s členom 10 Direktive 2003/96/ES. </w:t>
      </w:r>
    </w:p>
    <w:p w:rsidR="006F1493" w:rsidRPr="00B36380" w:rsidRDefault="006F1493" w:rsidP="00487005">
      <w:pPr>
        <w:pBdr>
          <w:top w:val="nil"/>
          <w:left w:val="nil"/>
          <w:bottom w:val="nil"/>
          <w:right w:val="nil"/>
          <w:between w:val="nil"/>
          <w:bar w:val="nil"/>
        </w:pBdr>
        <w:spacing w:before="0" w:after="240"/>
        <w:rPr>
          <w:rFonts w:eastAsia="Arial Unicode MS"/>
          <w:noProof/>
        </w:rPr>
      </w:pPr>
      <w:r w:rsidRPr="00B36380">
        <w:rPr>
          <w:noProof/>
        </w:rPr>
        <w:t>Ta predlog ne posega v nobeno oceno francoskega ukrepa na podlagi pravil o državni pomoči. Poleg tega predlog izvedbenega sklepa Sveta ne vpliva na obveznost države članice, da zagotovi skladnost s pravili o državni pomoči.</w:t>
      </w:r>
    </w:p>
    <w:p w:rsidR="00D11B95" w:rsidRPr="00B36380" w:rsidRDefault="00D11B95" w:rsidP="00A4693B">
      <w:pPr>
        <w:pStyle w:val="ManualHeading2"/>
        <w:rPr>
          <w:rFonts w:eastAsia="Arial Unicode MS"/>
          <w:noProof/>
        </w:rPr>
      </w:pPr>
      <w:r w:rsidRPr="00B36380">
        <w:rPr>
          <w:noProof/>
          <w:color w:val="000000"/>
          <w:u w:color="000000"/>
          <w:bdr w:val="nil"/>
        </w:rPr>
        <w:t>•</w:t>
      </w:r>
      <w:r w:rsidRPr="00B36380">
        <w:rPr>
          <w:noProof/>
          <w:color w:val="000000"/>
          <w:u w:color="000000"/>
          <w:bdr w:val="nil"/>
        </w:rPr>
        <w:tab/>
        <w:t>Skladnost z drugimi politikami Unije</w:t>
      </w:r>
    </w:p>
    <w:p w:rsidR="009712E6" w:rsidRPr="00B36380" w:rsidRDefault="009712E6" w:rsidP="009712E6">
      <w:pPr>
        <w:pBdr>
          <w:top w:val="nil"/>
          <w:left w:val="nil"/>
          <w:bottom w:val="nil"/>
          <w:right w:val="nil"/>
          <w:between w:val="nil"/>
          <w:bar w:val="nil"/>
        </w:pBdr>
        <w:spacing w:before="0" w:after="240"/>
        <w:rPr>
          <w:i/>
          <w:noProof/>
        </w:rPr>
      </w:pPr>
      <w:r w:rsidRPr="00B36380">
        <w:rPr>
          <w:i/>
          <w:noProof/>
        </w:rPr>
        <w:t>Okoljska politika in politika podnebnih sprememb</w:t>
      </w:r>
    </w:p>
    <w:p w:rsidR="004E647B" w:rsidRPr="00B36380" w:rsidRDefault="004E647B" w:rsidP="009712E6">
      <w:pPr>
        <w:pBdr>
          <w:top w:val="nil"/>
          <w:left w:val="nil"/>
          <w:bottom w:val="nil"/>
          <w:right w:val="nil"/>
          <w:between w:val="nil"/>
          <w:bar w:val="nil"/>
        </w:pBdr>
        <w:spacing w:before="0" w:after="240"/>
        <w:rPr>
          <w:rFonts w:eastAsia="Arial Unicode MS"/>
          <w:iCs/>
          <w:noProof/>
        </w:rPr>
      </w:pPr>
      <w:r w:rsidRPr="00B36380">
        <w:rPr>
          <w:noProof/>
        </w:rPr>
        <w:t xml:space="preserve">Zaprošeni ukrep se nanaša predvsem na okoljsko politiko in politiko podnebnih sprememb EU. </w:t>
      </w:r>
    </w:p>
    <w:p w:rsidR="00766995" w:rsidRPr="00B36380" w:rsidRDefault="004E647B" w:rsidP="009712E6">
      <w:pPr>
        <w:pBdr>
          <w:top w:val="nil"/>
          <w:left w:val="nil"/>
          <w:bottom w:val="nil"/>
          <w:right w:val="nil"/>
          <w:between w:val="nil"/>
          <w:bar w:val="nil"/>
        </w:pBdr>
        <w:spacing w:before="0" w:after="240"/>
        <w:rPr>
          <w:rFonts w:eastAsia="Arial Unicode MS"/>
          <w:iCs/>
          <w:noProof/>
        </w:rPr>
      </w:pPr>
      <w:r w:rsidRPr="00B36380">
        <w:rPr>
          <w:noProof/>
        </w:rPr>
        <w:t xml:space="preserve">Ker bo ukrep prispeval k zmanjšanju uporabe fosilnih goriv na mirujočih zrakoplovih, bo prispeval k ciljema izboljšanja kakovosti zraka v lokalnem okolju in zmanjšanja obremenitve s hrupom. </w:t>
      </w:r>
    </w:p>
    <w:p w:rsidR="004E647B" w:rsidRPr="00B36380" w:rsidRDefault="00766995" w:rsidP="009712E6">
      <w:pPr>
        <w:pBdr>
          <w:top w:val="nil"/>
          <w:left w:val="nil"/>
          <w:bottom w:val="nil"/>
          <w:right w:val="nil"/>
          <w:between w:val="nil"/>
          <w:bar w:val="nil"/>
        </w:pBdr>
        <w:spacing w:before="0" w:after="240"/>
        <w:rPr>
          <w:rFonts w:eastAsia="Arial Unicode MS"/>
          <w:iCs/>
          <w:noProof/>
        </w:rPr>
      </w:pPr>
      <w:r w:rsidRPr="00B36380">
        <w:rPr>
          <w:noProof/>
        </w:rPr>
        <w:t xml:space="preserve">Direktiva 2008/50/ES o kakovosti zunanjega zraka državam članicam trenutno nalaga, da zagotovijo, da vrednosti nekaterih onesnaževal zraka ostanejo pod mejnimi vrednostmi, ciljnimi vrednostmi in drugimi standardi kakovosti zraka, določenimi v Direktivi. Zaradi te obveznosti morajo po potrebi poiskati rešitve za težave, kot so emisije iz mirujočih zrakoplovov na letališčih, odprtih za javni zračni promet. </w:t>
      </w:r>
    </w:p>
    <w:p w:rsidR="00766995" w:rsidRPr="00B36380" w:rsidRDefault="00766995" w:rsidP="00766995">
      <w:pPr>
        <w:pBdr>
          <w:top w:val="nil"/>
          <w:left w:val="nil"/>
          <w:bottom w:val="nil"/>
          <w:right w:val="nil"/>
          <w:between w:val="nil"/>
          <w:bar w:val="nil"/>
        </w:pBdr>
        <w:spacing w:before="0" w:after="240"/>
        <w:rPr>
          <w:rStyle w:val="Bodytext2"/>
          <w:noProof/>
        </w:rPr>
      </w:pPr>
      <w:r w:rsidRPr="00B36380">
        <w:rPr>
          <w:rStyle w:val="Bodytext2"/>
          <w:noProof/>
        </w:rPr>
        <w:t xml:space="preserve">Po ocenah francoskih organov bi se z oskrbo z električno energijo emisije </w:t>
      </w:r>
      <w:r w:rsidRPr="00B36380">
        <w:rPr>
          <w:noProof/>
        </w:rPr>
        <w:t>CO</w:t>
      </w:r>
      <w:r w:rsidRPr="00B36380">
        <w:rPr>
          <w:noProof/>
          <w:vertAlign w:val="subscript"/>
        </w:rPr>
        <w:t>2</w:t>
      </w:r>
      <w:r w:rsidRPr="00B36380">
        <w:rPr>
          <w:rStyle w:val="Bodytext2"/>
          <w:noProof/>
        </w:rPr>
        <w:t xml:space="preserve"> iz mirujočih zrakoplovov zmanjšale za desetkrat. Glede na podatke iz letne ocene plinastih emisij, povezanih z zračnim prometom v Franciji, ki jo je izvedel Generalni direktorat za civilno letalstvo (DGAC) s svojim kalkulatorjem „TARMAAC“, je bilo s 13 največjih letaliških vozlišč v letu 2019 izpuščenih več kot 230 000 ton CO</w:t>
      </w:r>
      <w:r w:rsidRPr="00B36380">
        <w:rPr>
          <w:rStyle w:val="Bodytext2"/>
          <w:noProof/>
          <w:vertAlign w:val="subscript"/>
        </w:rPr>
        <w:t>2</w:t>
      </w:r>
      <w:r w:rsidRPr="00B36380">
        <w:rPr>
          <w:rStyle w:val="Bodytext2"/>
          <w:noProof/>
        </w:rPr>
        <w:t xml:space="preserve"> izključno z uporabo pomožnih pogonskih enot za komercialni promet. Ker je uporaba pomožnih pogonskih enot nujna vsaj v </w:t>
      </w:r>
      <w:r w:rsidRPr="00B36380">
        <w:rPr>
          <w:rStyle w:val="Bodytext2"/>
          <w:noProof/>
        </w:rPr>
        <w:lastRenderedPageBreak/>
        <w:t>času, potrebnem za priklop in odklop od električnega napajanja (30 % časa), se lahko zmanjšanje oceni na 145 ton CO</w:t>
      </w:r>
      <w:r w:rsidRPr="00B36380">
        <w:rPr>
          <w:rStyle w:val="Bodytext2"/>
          <w:noProof/>
          <w:vertAlign w:val="subscript"/>
        </w:rPr>
        <w:t>2</w:t>
      </w:r>
      <w:r w:rsidRPr="00B36380">
        <w:rPr>
          <w:rStyle w:val="Bodytext2"/>
          <w:noProof/>
        </w:rPr>
        <w:t>.</w:t>
      </w:r>
    </w:p>
    <w:p w:rsidR="009712E6" w:rsidRPr="00B36380" w:rsidRDefault="009712E6" w:rsidP="009712E6">
      <w:pPr>
        <w:pBdr>
          <w:top w:val="nil"/>
          <w:left w:val="nil"/>
          <w:bottom w:val="nil"/>
          <w:right w:val="nil"/>
          <w:between w:val="nil"/>
          <w:bar w:val="nil"/>
        </w:pBdr>
        <w:spacing w:before="0" w:after="240"/>
        <w:rPr>
          <w:i/>
          <w:noProof/>
        </w:rPr>
      </w:pPr>
      <w:r w:rsidRPr="00B36380">
        <w:rPr>
          <w:i/>
          <w:noProof/>
        </w:rPr>
        <w:t>Energetska politika</w:t>
      </w:r>
    </w:p>
    <w:p w:rsidR="00763AEA" w:rsidRPr="00B36380" w:rsidRDefault="00763AEA" w:rsidP="009712E6">
      <w:pPr>
        <w:pBdr>
          <w:top w:val="nil"/>
          <w:left w:val="nil"/>
          <w:bottom w:val="nil"/>
          <w:right w:val="nil"/>
          <w:between w:val="nil"/>
          <w:bar w:val="nil"/>
        </w:pBdr>
        <w:spacing w:before="0" w:after="240"/>
        <w:rPr>
          <w:noProof/>
        </w:rPr>
      </w:pPr>
      <w:r w:rsidRPr="00B36380">
        <w:rPr>
          <w:noProof/>
        </w:rPr>
        <w:t>Zaprošeni ukrep naj bi spremljal energetski prehod v letalstvu, določen v evropskem zelenem dogovoru in zlasti v besedilih svežnja „Pripravljeni na 55“ (glej revizijo uredbe o vseevropskem omrežju (TEN-E)</w:t>
      </w:r>
      <w:r w:rsidRPr="00B36380">
        <w:rPr>
          <w:rStyle w:val="FootnoteReference"/>
          <w:noProof/>
        </w:rPr>
        <w:footnoteReference w:id="15"/>
      </w:r>
      <w:r w:rsidRPr="00B36380">
        <w:rPr>
          <w:noProof/>
        </w:rPr>
        <w:t>).</w:t>
      </w:r>
    </w:p>
    <w:p w:rsidR="00B61D7F" w:rsidRPr="00B36380" w:rsidRDefault="00B61D7F" w:rsidP="009712E6">
      <w:pPr>
        <w:pBdr>
          <w:top w:val="nil"/>
          <w:left w:val="nil"/>
          <w:bottom w:val="nil"/>
          <w:right w:val="nil"/>
          <w:between w:val="nil"/>
          <w:bar w:val="nil"/>
        </w:pBdr>
        <w:spacing w:before="0" w:after="240"/>
        <w:rPr>
          <w:noProof/>
        </w:rPr>
      </w:pPr>
      <w:r w:rsidRPr="00B36380">
        <w:rPr>
          <w:noProof/>
        </w:rPr>
        <w:t>Ukrep je v skladu z Uredbo (EU) 2023/1804 z dne 13. septembra 2023 o vzpostavitvi infrastrukture za alternativna goriva ter razveljavitvi Direktive 2014/94/EU</w:t>
      </w:r>
      <w:r w:rsidR="00763AEA" w:rsidRPr="00B36380">
        <w:rPr>
          <w:rStyle w:val="FootnoteReference"/>
          <w:noProof/>
        </w:rPr>
        <w:footnoteReference w:id="16"/>
      </w:r>
      <w:r w:rsidRPr="00B36380">
        <w:rPr>
          <w:noProof/>
        </w:rPr>
        <w:t>, s posebnim poudarkom na vzpostavitvi infrastrukture za oskrbo z električno energijo na letališčih</w:t>
      </w:r>
      <w:r w:rsidR="00E546D2" w:rsidRPr="00B36380">
        <w:rPr>
          <w:rStyle w:val="FootnoteReference"/>
          <w:noProof/>
        </w:rPr>
        <w:footnoteReference w:id="17"/>
      </w:r>
      <w:r w:rsidRPr="00B36380">
        <w:rPr>
          <w:noProof/>
        </w:rPr>
        <w:t xml:space="preserve">. </w:t>
      </w:r>
    </w:p>
    <w:p w:rsidR="00FC35F3" w:rsidRPr="00B36380" w:rsidRDefault="00FC35F3" w:rsidP="009712E6">
      <w:pPr>
        <w:pBdr>
          <w:top w:val="nil"/>
          <w:left w:val="nil"/>
          <w:bottom w:val="nil"/>
          <w:right w:val="nil"/>
          <w:between w:val="nil"/>
          <w:bar w:val="nil"/>
        </w:pBdr>
        <w:spacing w:before="0" w:after="240"/>
        <w:rPr>
          <w:rFonts w:eastAsia="Arial Unicode MS"/>
          <w:iCs/>
          <w:noProof/>
        </w:rPr>
      </w:pPr>
      <w:r w:rsidRPr="00B36380">
        <w:rPr>
          <w:noProof/>
        </w:rPr>
        <w:t>V teh razmerah je lahko upravičeno, da se ne kaznuje uporabe električne energije iz zemeljskega električnega omrežja kot alternativne rešitve, ki manj onesnažuje, in da se Franciji dovoli uporaba zaprošenih znižanih stopenj obdavčitve.</w:t>
      </w:r>
    </w:p>
    <w:p w:rsidR="009712E6" w:rsidRPr="00B36380" w:rsidRDefault="009712E6" w:rsidP="009712E6">
      <w:pPr>
        <w:pBdr>
          <w:top w:val="nil"/>
          <w:left w:val="nil"/>
          <w:bottom w:val="nil"/>
          <w:right w:val="nil"/>
          <w:between w:val="nil"/>
          <w:bar w:val="nil"/>
        </w:pBdr>
        <w:spacing w:before="0" w:after="240"/>
        <w:rPr>
          <w:i/>
          <w:noProof/>
        </w:rPr>
      </w:pPr>
      <w:r w:rsidRPr="00B36380">
        <w:rPr>
          <w:i/>
          <w:noProof/>
        </w:rPr>
        <w:t>Prometna politika</w:t>
      </w:r>
    </w:p>
    <w:p w:rsidR="00B77934" w:rsidRPr="00B36380" w:rsidRDefault="00EA0667" w:rsidP="009712E6">
      <w:pPr>
        <w:pBdr>
          <w:top w:val="nil"/>
          <w:left w:val="nil"/>
          <w:bottom w:val="nil"/>
          <w:right w:val="nil"/>
          <w:between w:val="nil"/>
          <w:bar w:val="nil"/>
        </w:pBdr>
        <w:spacing w:before="0" w:after="240"/>
        <w:rPr>
          <w:rFonts w:eastAsia="Arial Unicode MS"/>
          <w:iCs/>
          <w:noProof/>
        </w:rPr>
      </w:pPr>
      <w:r w:rsidRPr="00B36380">
        <w:rPr>
          <w:noProof/>
        </w:rPr>
        <w:t xml:space="preserve">Poleg tega, da se v smernicah za vseevropsko prometno omrežje zahteva, da morajo biti v pristaniščih na celinskih vodah, morskih pristaniščih in letališčih na voljo alternativna goriva, je ukrep, za katerega je zaprosila Francija, del procesa dopolnjevanja z obstoječim okvirom iz Priporočila Komisije 2006/339/ES o spodbujanju uporabe električne energije z obrežja pri ladjah med privezom v pristaniščih Skupnosti in Sporočila Komisije o strateških ciljih in priporočilih za pomorsko prometno politiko Unije. </w:t>
      </w:r>
    </w:p>
    <w:p w:rsidR="009712E6" w:rsidRPr="00B36380" w:rsidRDefault="009712E6" w:rsidP="009712E6">
      <w:pPr>
        <w:pBdr>
          <w:top w:val="nil"/>
          <w:left w:val="nil"/>
          <w:bottom w:val="nil"/>
          <w:right w:val="nil"/>
          <w:between w:val="nil"/>
          <w:bar w:val="nil"/>
        </w:pBdr>
        <w:spacing w:before="0" w:after="240"/>
        <w:rPr>
          <w:rFonts w:eastAsia="Arial Unicode MS"/>
          <w:i/>
          <w:noProof/>
        </w:rPr>
      </w:pPr>
      <w:bookmarkStart w:id="3" w:name="_Hlk143186238"/>
      <w:r w:rsidRPr="00B36380">
        <w:rPr>
          <w:i/>
          <w:noProof/>
        </w:rPr>
        <w:t>Notranji trg in poštena konkurenca</w:t>
      </w:r>
    </w:p>
    <w:bookmarkEnd w:id="3"/>
    <w:p w:rsidR="00672EA0" w:rsidRPr="00B36380" w:rsidRDefault="00B65513" w:rsidP="009B32D5">
      <w:pPr>
        <w:rPr>
          <w:noProof/>
        </w:rPr>
      </w:pPr>
      <w:r w:rsidRPr="00B36380">
        <w:rPr>
          <w:noProof/>
        </w:rPr>
        <w:t>Z vidika notranjega trga in poštene konkurence ukrep po mnenju francoskih organov zgolj zmanjšuje davčno izkrivljanje med dvema konkurenčnima viroma električne energije za mirujoče zrakoplove.</w:t>
      </w:r>
    </w:p>
    <w:p w:rsidR="006C1EED" w:rsidRPr="00B36380" w:rsidRDefault="009B32D5" w:rsidP="009B32D5">
      <w:pPr>
        <w:rPr>
          <w:rFonts w:ascii="Marianne" w:hAnsi="Marianne"/>
          <w:noProof/>
          <w:szCs w:val="24"/>
        </w:rPr>
      </w:pPr>
      <w:bookmarkStart w:id="4" w:name="_Hlk143185994"/>
      <w:r w:rsidRPr="00B36380">
        <w:rPr>
          <w:noProof/>
        </w:rPr>
        <w:t>Električna energija, ki se dobavlja tem zrakoplovom, se na splošno proizvaja s sredstvi in proizvodi, ki izpuščajo veliko emisij toplogrednih plinov in so poleg tega običajno oproščeni vseh davkov, zlasti trošarine na podlagi člena 14 Direktive</w:t>
      </w:r>
      <w:r w:rsidR="00F14F5F" w:rsidRPr="00B36380">
        <w:rPr>
          <w:rStyle w:val="FootnoteReference"/>
          <w:noProof/>
          <w:szCs w:val="24"/>
        </w:rPr>
        <w:footnoteReference w:id="18"/>
      </w:r>
      <w:r w:rsidRPr="00B36380">
        <w:rPr>
          <w:noProof/>
        </w:rPr>
        <w:t>.</w:t>
      </w:r>
      <w:bookmarkEnd w:id="4"/>
    </w:p>
    <w:p w:rsidR="009B32D5" w:rsidRPr="00B36380" w:rsidRDefault="009B32D5" w:rsidP="009B32D5">
      <w:pPr>
        <w:rPr>
          <w:rFonts w:ascii="Marianne" w:hAnsi="Marianne"/>
          <w:noProof/>
          <w:szCs w:val="24"/>
        </w:rPr>
      </w:pPr>
      <w:r w:rsidRPr="00B36380">
        <w:rPr>
          <w:rFonts w:ascii="Marianne" w:hAnsi="Marianne"/>
          <w:noProof/>
        </w:rPr>
        <w:t xml:space="preserve">Uporaba znižane ravni obdavčitve za električno energijo, ki se dobavlja zrakoplovom z električnih polnilnic na letališču, bi torej zmanjšala uporabo notranjih sredstev za proizvodnjo električne energije na letalih, ki so viri onesnaževanja, in zagotovila pošteno konkurenco med podjetji za zračni prevoz, ki proizvajajo električno energijo na letalu, in tistimi, ki uporabljajo </w:t>
      </w:r>
      <w:r w:rsidRPr="00B36380">
        <w:rPr>
          <w:rFonts w:ascii="Marianne" w:hAnsi="Marianne"/>
          <w:noProof/>
        </w:rPr>
        <w:lastRenderedPageBreak/>
        <w:t>električno energijo iz naprav, ki jih zagotavljajo letališča in so priključene na za to predvidene električne polnilnice.</w:t>
      </w:r>
    </w:p>
    <w:p w:rsidR="00F7256D" w:rsidRPr="00B36380" w:rsidRDefault="00F7256D" w:rsidP="00F7256D">
      <w:pPr>
        <w:pBdr>
          <w:top w:val="nil"/>
          <w:left w:val="nil"/>
          <w:bottom w:val="nil"/>
          <w:right w:val="nil"/>
          <w:between w:val="nil"/>
          <w:bar w:val="nil"/>
        </w:pBdr>
        <w:spacing w:before="0" w:after="240"/>
        <w:rPr>
          <w:rFonts w:eastAsia="Arial Unicode MS"/>
          <w:noProof/>
        </w:rPr>
      </w:pPr>
      <w:r w:rsidRPr="00B36380">
        <w:rPr>
          <w:noProof/>
        </w:rPr>
        <w:t>Razen če se sedanji okvir in razmere bistveno spremenijo, je zaradi časovnega okvira, za katerega se predlaga dovoljenje za uporabo znižanih davčnih stopenj, malo verjetno, da se bo analiza iz prejšnjih odstavkov spremenila pred datumom izteka zaprošenega ukrepa.</w:t>
      </w:r>
    </w:p>
    <w:p w:rsidR="00D11B95" w:rsidRPr="00B36380" w:rsidRDefault="00D11B95" w:rsidP="00550536">
      <w:pPr>
        <w:pStyle w:val="ManualHeading1"/>
        <w:rPr>
          <w:noProof/>
        </w:rPr>
      </w:pPr>
      <w:r w:rsidRPr="00B36380">
        <w:rPr>
          <w:noProof/>
        </w:rPr>
        <w:t>2.</w:t>
      </w:r>
      <w:r w:rsidRPr="00B36380">
        <w:rPr>
          <w:noProof/>
        </w:rPr>
        <w:tab/>
        <w:t>PRAVNA PODLAGA, SUBSIDIARNOST IN SORAZMERNOST</w:t>
      </w:r>
    </w:p>
    <w:p w:rsidR="00D11B95" w:rsidRPr="00B36380" w:rsidRDefault="00D11B95" w:rsidP="00A4693B">
      <w:pPr>
        <w:pStyle w:val="ManualHeading2"/>
        <w:rPr>
          <w:rFonts w:eastAsia="Arial Unicode MS"/>
          <w:noProof/>
          <w:u w:color="000000"/>
          <w:bdr w:val="nil"/>
        </w:rPr>
      </w:pPr>
      <w:r w:rsidRPr="00B36380">
        <w:rPr>
          <w:noProof/>
          <w:u w:color="000000"/>
          <w:bdr w:val="nil"/>
        </w:rPr>
        <w:t>•</w:t>
      </w:r>
      <w:r w:rsidRPr="00B36380">
        <w:rPr>
          <w:noProof/>
          <w:u w:color="000000"/>
          <w:bdr w:val="nil"/>
        </w:rPr>
        <w:tab/>
        <w:t>Pravna podlaga</w:t>
      </w:r>
    </w:p>
    <w:p w:rsidR="001B589B" w:rsidRPr="00B36380" w:rsidRDefault="001B589B" w:rsidP="001B589B">
      <w:pPr>
        <w:pBdr>
          <w:top w:val="nil"/>
          <w:left w:val="nil"/>
          <w:bottom w:val="nil"/>
          <w:right w:val="nil"/>
          <w:between w:val="nil"/>
          <w:bar w:val="nil"/>
        </w:pBdr>
        <w:spacing w:before="0" w:after="240"/>
        <w:rPr>
          <w:rFonts w:eastAsia="Arial Unicode MS"/>
          <w:noProof/>
        </w:rPr>
      </w:pPr>
      <w:r w:rsidRPr="00B36380">
        <w:rPr>
          <w:noProof/>
        </w:rPr>
        <w:t>Člen 19 Direktive Sveta 2003/96/ES.</w:t>
      </w:r>
    </w:p>
    <w:p w:rsidR="00D11B95" w:rsidRPr="00B36380" w:rsidRDefault="00D11B95" w:rsidP="00A4693B">
      <w:pPr>
        <w:pStyle w:val="ManualHeading2"/>
        <w:rPr>
          <w:rFonts w:eastAsia="Arial Unicode MS"/>
          <w:noProof/>
          <w:u w:color="000000"/>
          <w:bdr w:val="nil"/>
        </w:rPr>
      </w:pPr>
      <w:r w:rsidRPr="00B36380">
        <w:rPr>
          <w:noProof/>
          <w:u w:color="000000"/>
          <w:bdr w:val="nil"/>
        </w:rPr>
        <w:t>•</w:t>
      </w:r>
      <w:r w:rsidRPr="00B36380">
        <w:rPr>
          <w:noProof/>
          <w:u w:color="000000"/>
          <w:bdr w:val="nil"/>
        </w:rPr>
        <w:tab/>
        <w:t>Subsidiarnost (za neizključno pristojnost)</w:t>
      </w:r>
    </w:p>
    <w:p w:rsidR="001B589B" w:rsidRPr="00B36380" w:rsidRDefault="001B589B" w:rsidP="001B589B">
      <w:pPr>
        <w:pBdr>
          <w:top w:val="nil"/>
          <w:left w:val="nil"/>
          <w:bottom w:val="nil"/>
          <w:right w:val="nil"/>
          <w:between w:val="nil"/>
          <w:bar w:val="nil"/>
        </w:pBdr>
        <w:spacing w:before="0" w:after="240"/>
        <w:rPr>
          <w:rFonts w:eastAsia="Arial Unicode MS"/>
          <w:noProof/>
        </w:rPr>
      </w:pPr>
      <w:r w:rsidRPr="00B36380">
        <w:rPr>
          <w:noProof/>
        </w:rPr>
        <w:t>Področje posredne obdavčitve, ki ga obravnava člen 113 PDEU, samo po sebi ne spada v izključno pristojnost Evropske unije v smislu člena 3 PDEU.</w:t>
      </w:r>
    </w:p>
    <w:p w:rsidR="001B589B" w:rsidRPr="00B36380" w:rsidRDefault="001B589B" w:rsidP="001B589B">
      <w:pPr>
        <w:pBdr>
          <w:top w:val="nil"/>
          <w:left w:val="nil"/>
          <w:bottom w:val="nil"/>
          <w:right w:val="nil"/>
          <w:between w:val="nil"/>
          <w:bar w:val="nil"/>
        </w:pBdr>
        <w:spacing w:before="0" w:after="240"/>
        <w:rPr>
          <w:rFonts w:eastAsia="Arial Unicode MS"/>
          <w:noProof/>
        </w:rPr>
      </w:pPr>
      <w:r w:rsidRPr="00B36380">
        <w:rPr>
          <w:noProof/>
        </w:rPr>
        <w:t>Vendar ima Svet v skladu s členom 19 Direktive 2003/96/ES v okviru sekundarne zakonodaje izključno pristojnost, da državam članicam dovoli uporabo nadaljnjih izjem ali znižanj v smislu navedene določbe. Zato države članice ne morejo prevzeti te naloge Sveta. Posledično se načelo subsidiarnosti za ta izvedbeni sklep ne uporablja. Vsekakor pa tega dokumenta v skladu s Protokolom št. 2 k Pogodbama ni treba posredovati nacionalnim parlamentom za preverjanje skladnosti z načelom subsidiarnosti, saj ne gre za osnutek zakonodajnega akta.</w:t>
      </w:r>
    </w:p>
    <w:p w:rsidR="00D11B95" w:rsidRPr="00B36380" w:rsidRDefault="00D11B95" w:rsidP="00A4693B">
      <w:pPr>
        <w:pStyle w:val="ManualHeading2"/>
        <w:rPr>
          <w:rFonts w:eastAsia="Arial Unicode MS"/>
          <w:noProof/>
          <w:u w:color="000000"/>
          <w:bdr w:val="nil"/>
        </w:rPr>
      </w:pPr>
      <w:r w:rsidRPr="00B36380">
        <w:rPr>
          <w:noProof/>
          <w:u w:color="000000"/>
          <w:bdr w:val="nil"/>
        </w:rPr>
        <w:t>•</w:t>
      </w:r>
      <w:r w:rsidRPr="00B36380">
        <w:rPr>
          <w:noProof/>
          <w:u w:color="000000"/>
          <w:bdr w:val="nil"/>
        </w:rPr>
        <w:tab/>
        <w:t>Sorazmernost</w:t>
      </w:r>
    </w:p>
    <w:p w:rsidR="001B589B" w:rsidRPr="00B36380" w:rsidRDefault="001B589B" w:rsidP="001B589B">
      <w:pPr>
        <w:pBdr>
          <w:top w:val="nil"/>
          <w:left w:val="nil"/>
          <w:bottom w:val="nil"/>
          <w:right w:val="nil"/>
          <w:between w:val="nil"/>
          <w:bar w:val="nil"/>
        </w:pBdr>
        <w:spacing w:before="0" w:after="240"/>
        <w:rPr>
          <w:rFonts w:eastAsia="Arial Unicode MS"/>
          <w:noProof/>
        </w:rPr>
      </w:pPr>
      <w:r w:rsidRPr="00B36380">
        <w:rPr>
          <w:noProof/>
        </w:rPr>
        <w:t>Predlog je v skladu z načelom sorazmernosti. Znižanje davkov ne presega tega, kar je potrebno za doseganje zadevnega cilja.</w:t>
      </w:r>
    </w:p>
    <w:p w:rsidR="00D11B95" w:rsidRPr="00B36380" w:rsidRDefault="00D11B95" w:rsidP="00A4693B">
      <w:pPr>
        <w:pStyle w:val="ManualHeading2"/>
        <w:rPr>
          <w:rFonts w:eastAsia="Arial Unicode MS"/>
          <w:noProof/>
          <w:u w:color="000000"/>
          <w:bdr w:val="nil"/>
        </w:rPr>
      </w:pPr>
      <w:r w:rsidRPr="00B36380">
        <w:rPr>
          <w:noProof/>
          <w:u w:color="000000"/>
          <w:bdr w:val="nil"/>
        </w:rPr>
        <w:t>•</w:t>
      </w:r>
      <w:r w:rsidRPr="00B36380">
        <w:rPr>
          <w:noProof/>
          <w:u w:color="000000"/>
          <w:bdr w:val="nil"/>
        </w:rPr>
        <w:tab/>
        <w:t>Izbira instrumenta</w:t>
      </w:r>
    </w:p>
    <w:p w:rsidR="001B589B" w:rsidRPr="00B36380" w:rsidRDefault="001B589B" w:rsidP="001B589B">
      <w:pPr>
        <w:pBdr>
          <w:top w:val="nil"/>
          <w:left w:val="nil"/>
          <w:bottom w:val="nil"/>
          <w:right w:val="nil"/>
          <w:between w:val="nil"/>
          <w:bar w:val="nil"/>
        </w:pBdr>
        <w:spacing w:before="0" w:after="240"/>
        <w:rPr>
          <w:rFonts w:eastAsia="Arial Unicode MS"/>
          <w:noProof/>
        </w:rPr>
      </w:pPr>
      <w:r w:rsidRPr="00B36380">
        <w:rPr>
          <w:noProof/>
        </w:rPr>
        <w:t>Predlagani instrument je izvedbeni sklep Sveta. Člen 19 Direktive 2003/96/ES določa le to vrsto ukrepa.</w:t>
      </w:r>
    </w:p>
    <w:p w:rsidR="00D11B95" w:rsidRPr="00B36380" w:rsidRDefault="00D11B95" w:rsidP="00550536">
      <w:pPr>
        <w:pStyle w:val="ManualHeading1"/>
        <w:rPr>
          <w:noProof/>
        </w:rPr>
      </w:pPr>
      <w:r w:rsidRPr="00B36380">
        <w:rPr>
          <w:noProof/>
        </w:rPr>
        <w:t>3.</w:t>
      </w:r>
      <w:r w:rsidRPr="00B36380">
        <w:rPr>
          <w:noProof/>
        </w:rPr>
        <w:tab/>
        <w:t>REZULTATI NAKNADNIH OCEN, POSVETOVANJ Z DELEŽNIKI IN OCEN UČINKA</w:t>
      </w:r>
    </w:p>
    <w:p w:rsidR="00D11B95" w:rsidRPr="00B36380" w:rsidRDefault="00D11B95" w:rsidP="00A4693B">
      <w:pPr>
        <w:pStyle w:val="ManualHeading2"/>
        <w:rPr>
          <w:rFonts w:eastAsia="Arial Unicode MS"/>
          <w:noProof/>
          <w:u w:color="000000"/>
          <w:bdr w:val="nil"/>
        </w:rPr>
      </w:pPr>
      <w:r w:rsidRPr="00B36380">
        <w:rPr>
          <w:noProof/>
          <w:u w:color="000000"/>
          <w:bdr w:val="nil"/>
        </w:rPr>
        <w:t>•</w:t>
      </w:r>
      <w:r w:rsidRPr="00B36380">
        <w:rPr>
          <w:noProof/>
          <w:u w:color="000000"/>
          <w:bdr w:val="nil"/>
        </w:rPr>
        <w:tab/>
        <w:t>Naknadne ocene/preverjanja primernosti obstoječe zakonodaje</w:t>
      </w:r>
    </w:p>
    <w:p w:rsidR="00AE6BA3" w:rsidRPr="00B36380" w:rsidRDefault="00AE6BA3" w:rsidP="00AE6BA3">
      <w:pPr>
        <w:pBdr>
          <w:top w:val="nil"/>
          <w:left w:val="nil"/>
          <w:bottom w:val="nil"/>
          <w:right w:val="nil"/>
          <w:between w:val="nil"/>
          <w:bar w:val="nil"/>
        </w:pBdr>
        <w:spacing w:before="0" w:after="240"/>
        <w:rPr>
          <w:rFonts w:eastAsia="Arial Unicode MS"/>
          <w:noProof/>
        </w:rPr>
      </w:pPr>
      <w:r w:rsidRPr="00B36380">
        <w:rPr>
          <w:noProof/>
        </w:rPr>
        <w:t>Za ta ukrep ni potrebna ocena obstoječe zakonodaje.</w:t>
      </w:r>
    </w:p>
    <w:p w:rsidR="00D11B95" w:rsidRPr="00B36380" w:rsidRDefault="00D11B95" w:rsidP="00A4693B">
      <w:pPr>
        <w:pStyle w:val="ManualHeading2"/>
        <w:rPr>
          <w:rFonts w:eastAsia="Arial Unicode MS"/>
          <w:noProof/>
          <w:u w:color="000000"/>
          <w:bdr w:val="nil"/>
        </w:rPr>
      </w:pPr>
      <w:r w:rsidRPr="00B36380">
        <w:rPr>
          <w:noProof/>
          <w:u w:color="000000"/>
          <w:bdr w:val="nil"/>
        </w:rPr>
        <w:t>•</w:t>
      </w:r>
      <w:r w:rsidRPr="00B36380">
        <w:rPr>
          <w:noProof/>
          <w:u w:color="000000"/>
          <w:bdr w:val="nil"/>
        </w:rPr>
        <w:tab/>
        <w:t>Posvetovanja z deležniki</w:t>
      </w:r>
    </w:p>
    <w:p w:rsidR="00AE6BA3" w:rsidRPr="00B36380" w:rsidRDefault="00AE6BA3" w:rsidP="00AE6BA3">
      <w:pPr>
        <w:pBdr>
          <w:top w:val="nil"/>
          <w:left w:val="nil"/>
          <w:bottom w:val="nil"/>
          <w:right w:val="nil"/>
          <w:between w:val="nil"/>
          <w:bar w:val="nil"/>
        </w:pBdr>
        <w:spacing w:before="0" w:after="240"/>
        <w:rPr>
          <w:rFonts w:eastAsia="Arial Unicode MS"/>
          <w:noProof/>
        </w:rPr>
      </w:pPr>
      <w:r w:rsidRPr="00B36380">
        <w:rPr>
          <w:noProof/>
        </w:rPr>
        <w:t>Ta predlog temelji na zahtevku Francije in zadeva le to državo članico.</w:t>
      </w:r>
    </w:p>
    <w:p w:rsidR="00D11B95" w:rsidRPr="00B36380" w:rsidRDefault="00D11B95" w:rsidP="00A4693B">
      <w:pPr>
        <w:pStyle w:val="ManualHeading2"/>
        <w:rPr>
          <w:rFonts w:eastAsia="Arial Unicode MS"/>
          <w:noProof/>
          <w:u w:color="000000"/>
          <w:bdr w:val="nil"/>
        </w:rPr>
      </w:pPr>
      <w:r w:rsidRPr="00B36380">
        <w:rPr>
          <w:noProof/>
          <w:u w:color="000000"/>
          <w:bdr w:val="nil"/>
        </w:rPr>
        <w:t>•</w:t>
      </w:r>
      <w:r w:rsidRPr="00B36380">
        <w:rPr>
          <w:noProof/>
          <w:u w:color="000000"/>
          <w:bdr w:val="nil"/>
        </w:rPr>
        <w:tab/>
        <w:t>Zbiranje in uporaba strokovnih mnenj</w:t>
      </w:r>
    </w:p>
    <w:p w:rsidR="00AE6BA3" w:rsidRPr="00B36380" w:rsidRDefault="00AE6BA3" w:rsidP="00AE6BA3">
      <w:pPr>
        <w:pBdr>
          <w:top w:val="nil"/>
          <w:left w:val="nil"/>
          <w:bottom w:val="nil"/>
          <w:right w:val="nil"/>
          <w:between w:val="nil"/>
          <w:bar w:val="nil"/>
        </w:pBdr>
        <w:spacing w:before="0" w:after="240"/>
        <w:rPr>
          <w:rFonts w:eastAsia="Arial Unicode MS"/>
          <w:noProof/>
        </w:rPr>
      </w:pPr>
      <w:r w:rsidRPr="00B36380">
        <w:rPr>
          <w:noProof/>
        </w:rPr>
        <w:t>Strokovno mnenje ni bilo potrebno.</w:t>
      </w:r>
    </w:p>
    <w:p w:rsidR="00D11B95" w:rsidRPr="00B36380" w:rsidRDefault="00D11B95" w:rsidP="00A4693B">
      <w:pPr>
        <w:pStyle w:val="ManualHeading2"/>
        <w:rPr>
          <w:rFonts w:eastAsia="Arial Unicode MS"/>
          <w:noProof/>
          <w:u w:color="000000"/>
          <w:bdr w:val="nil"/>
        </w:rPr>
      </w:pPr>
      <w:r w:rsidRPr="00B36380">
        <w:rPr>
          <w:noProof/>
          <w:u w:color="000000"/>
          <w:bdr w:val="nil"/>
        </w:rPr>
        <w:t>•</w:t>
      </w:r>
      <w:r w:rsidRPr="00B36380">
        <w:rPr>
          <w:noProof/>
          <w:u w:color="000000"/>
          <w:bdr w:val="nil"/>
        </w:rPr>
        <w:tab/>
        <w:t>Ocena učinka</w:t>
      </w:r>
    </w:p>
    <w:p w:rsidR="00AE6BA3" w:rsidRPr="00B36380" w:rsidRDefault="00AE6BA3" w:rsidP="00AE6BA3">
      <w:pPr>
        <w:pBdr>
          <w:top w:val="nil"/>
          <w:left w:val="nil"/>
          <w:bottom w:val="nil"/>
          <w:right w:val="nil"/>
          <w:between w:val="nil"/>
          <w:bar w:val="nil"/>
        </w:pBdr>
        <w:spacing w:before="0" w:after="240"/>
        <w:rPr>
          <w:rFonts w:eastAsia="Arial Unicode MS"/>
          <w:noProof/>
        </w:rPr>
      </w:pPr>
      <w:r w:rsidRPr="00B36380">
        <w:rPr>
          <w:noProof/>
        </w:rPr>
        <w:t>Ta predlog se nanaša na dovoljenje posamezni državi članici na njeno zahtevo in ne zahteva ocene učinka.</w:t>
      </w:r>
    </w:p>
    <w:p w:rsidR="00D11B95" w:rsidRPr="00B36380" w:rsidRDefault="00D11B95" w:rsidP="00A4693B">
      <w:pPr>
        <w:pStyle w:val="ManualHeading2"/>
        <w:rPr>
          <w:rFonts w:eastAsia="Arial Unicode MS"/>
          <w:noProof/>
          <w:u w:color="000000"/>
          <w:bdr w:val="nil"/>
        </w:rPr>
      </w:pPr>
      <w:r w:rsidRPr="00B36380">
        <w:rPr>
          <w:noProof/>
          <w:u w:color="000000"/>
          <w:bdr w:val="nil"/>
        </w:rPr>
        <w:lastRenderedPageBreak/>
        <w:t>•</w:t>
      </w:r>
      <w:r w:rsidRPr="00B36380">
        <w:rPr>
          <w:noProof/>
          <w:u w:color="000000"/>
          <w:bdr w:val="nil"/>
        </w:rPr>
        <w:tab/>
        <w:t>Primernost in poenostavitev ureditve</w:t>
      </w:r>
    </w:p>
    <w:p w:rsidR="00AE6BA3" w:rsidRPr="00B36380" w:rsidRDefault="00AE6BA3" w:rsidP="00AE6BA3">
      <w:pPr>
        <w:pBdr>
          <w:top w:val="nil"/>
          <w:left w:val="nil"/>
          <w:bottom w:val="nil"/>
          <w:right w:val="nil"/>
          <w:between w:val="nil"/>
          <w:bar w:val="nil"/>
        </w:pBdr>
        <w:spacing w:before="0" w:after="240"/>
        <w:rPr>
          <w:rFonts w:eastAsia="Arial Unicode MS"/>
          <w:noProof/>
        </w:rPr>
      </w:pPr>
      <w:r w:rsidRPr="00B36380">
        <w:rPr>
          <w:noProof/>
        </w:rPr>
        <w:t>Ukrep ne predvideva nobene poenostavitve. Je rezultat zahtevka Francije in zadeva le to državo članico.</w:t>
      </w:r>
    </w:p>
    <w:p w:rsidR="00D11B95" w:rsidRPr="00B36380" w:rsidRDefault="00D11B95" w:rsidP="00A4693B">
      <w:pPr>
        <w:pStyle w:val="ManualHeading2"/>
        <w:rPr>
          <w:rFonts w:eastAsia="Arial Unicode MS"/>
          <w:noProof/>
          <w:u w:color="000000"/>
          <w:bdr w:val="nil"/>
        </w:rPr>
      </w:pPr>
      <w:r w:rsidRPr="00B36380">
        <w:rPr>
          <w:noProof/>
          <w:u w:color="000000"/>
          <w:bdr w:val="nil"/>
        </w:rPr>
        <w:t>•</w:t>
      </w:r>
      <w:r w:rsidRPr="00B36380">
        <w:rPr>
          <w:noProof/>
          <w:u w:color="000000"/>
          <w:bdr w:val="nil"/>
        </w:rPr>
        <w:tab/>
        <w:t>Temeljne pravice</w:t>
      </w:r>
    </w:p>
    <w:p w:rsidR="00AE6BA3" w:rsidRPr="00B36380" w:rsidRDefault="00AE6BA3" w:rsidP="00AE6BA3">
      <w:pPr>
        <w:pBdr>
          <w:top w:val="nil"/>
          <w:left w:val="nil"/>
          <w:bottom w:val="nil"/>
          <w:right w:val="nil"/>
          <w:between w:val="nil"/>
          <w:bar w:val="nil"/>
        </w:pBdr>
        <w:spacing w:before="0" w:after="240"/>
        <w:rPr>
          <w:rFonts w:eastAsia="Arial Unicode MS"/>
          <w:noProof/>
        </w:rPr>
      </w:pPr>
      <w:r w:rsidRPr="00B36380">
        <w:rPr>
          <w:noProof/>
        </w:rPr>
        <w:t>Ukrep ne vpliva na temeljne pravice.</w:t>
      </w:r>
    </w:p>
    <w:p w:rsidR="00D11B95" w:rsidRPr="00B36380" w:rsidRDefault="00D11B95" w:rsidP="00550536">
      <w:pPr>
        <w:pStyle w:val="ManualHeading1"/>
        <w:rPr>
          <w:noProof/>
        </w:rPr>
      </w:pPr>
      <w:r w:rsidRPr="00B36380">
        <w:rPr>
          <w:noProof/>
        </w:rPr>
        <w:t>4.</w:t>
      </w:r>
      <w:r w:rsidRPr="00B36380">
        <w:rPr>
          <w:noProof/>
        </w:rPr>
        <w:tab/>
        <w:t>PRORAČUNSKE POSLEDICE</w:t>
      </w:r>
    </w:p>
    <w:p w:rsidR="00AE6BA3" w:rsidRPr="00B36380" w:rsidRDefault="00AE6BA3" w:rsidP="00AE6BA3">
      <w:pPr>
        <w:pBdr>
          <w:top w:val="nil"/>
          <w:left w:val="nil"/>
          <w:bottom w:val="nil"/>
          <w:right w:val="nil"/>
          <w:between w:val="nil"/>
          <w:bar w:val="nil"/>
        </w:pBdr>
        <w:spacing w:before="0" w:after="240"/>
        <w:rPr>
          <w:rFonts w:eastAsia="Arial Unicode MS"/>
          <w:noProof/>
        </w:rPr>
      </w:pPr>
      <w:r w:rsidRPr="00B36380">
        <w:rPr>
          <w:noProof/>
        </w:rPr>
        <w:t>Ta ukrep ne povzroča finančne in administrativne obremenitve za Unijo. Zato predlog ne vpliva na proračun Unije.</w:t>
      </w:r>
    </w:p>
    <w:p w:rsidR="00D11B95" w:rsidRPr="00B36380" w:rsidRDefault="00D11B95" w:rsidP="00550536">
      <w:pPr>
        <w:pStyle w:val="ManualHeading1"/>
        <w:rPr>
          <w:noProof/>
        </w:rPr>
      </w:pPr>
      <w:r w:rsidRPr="00B36380">
        <w:rPr>
          <w:noProof/>
        </w:rPr>
        <w:t>5.</w:t>
      </w:r>
      <w:r w:rsidRPr="00B36380">
        <w:rPr>
          <w:noProof/>
        </w:rPr>
        <w:tab/>
        <w:t>DRUGI ELEMENTI</w:t>
      </w:r>
    </w:p>
    <w:p w:rsidR="00D11B95" w:rsidRPr="00B36380" w:rsidRDefault="00D11B95" w:rsidP="00A4693B">
      <w:pPr>
        <w:pStyle w:val="ManualHeading2"/>
        <w:rPr>
          <w:rFonts w:eastAsia="Arial Unicode MS"/>
          <w:noProof/>
          <w:u w:color="000000"/>
          <w:bdr w:val="nil"/>
        </w:rPr>
      </w:pPr>
      <w:r w:rsidRPr="00B36380">
        <w:rPr>
          <w:noProof/>
          <w:u w:color="000000"/>
          <w:bdr w:val="nil"/>
        </w:rPr>
        <w:t>•</w:t>
      </w:r>
      <w:r w:rsidRPr="00B36380">
        <w:rPr>
          <w:noProof/>
          <w:u w:color="000000"/>
          <w:bdr w:val="nil"/>
        </w:rPr>
        <w:tab/>
        <w:t>Načrti za izvedbo ter ureditev spremljanja, ocenjevanja in poročanja</w:t>
      </w:r>
    </w:p>
    <w:p w:rsidR="00AE6BA3" w:rsidRPr="00B36380" w:rsidRDefault="00AE6BA3" w:rsidP="00AE6BA3">
      <w:pPr>
        <w:pBdr>
          <w:top w:val="nil"/>
          <w:left w:val="nil"/>
          <w:bottom w:val="nil"/>
          <w:right w:val="nil"/>
          <w:between w:val="nil"/>
          <w:bar w:val="nil"/>
        </w:pBdr>
        <w:spacing w:before="0" w:after="240"/>
        <w:rPr>
          <w:rFonts w:eastAsia="Arial Unicode MS"/>
          <w:noProof/>
        </w:rPr>
      </w:pPr>
      <w:r w:rsidRPr="00B36380">
        <w:rPr>
          <w:noProof/>
        </w:rPr>
        <w:t>Načrt za izvedbo ni potreben. Ta predlog se nanaša na dovoljenje za znižanje davka za eno samo državo članico na njeno lastno zahtevo. Predvideno je za omejeno obdobje do 31. decembra 2027. Uporabljene stopnje so enake najnižjim ravnem obdavčitve, določenim v direktivi o obdavčitvi energije. Ukrep se lahko oceni v primeru zahtevka za podaljšanje po izteku obdobja veljavnosti.</w:t>
      </w:r>
    </w:p>
    <w:p w:rsidR="00D11B95" w:rsidRPr="00B36380" w:rsidRDefault="00D11B95" w:rsidP="00A4693B">
      <w:pPr>
        <w:pStyle w:val="ManualHeading2"/>
        <w:rPr>
          <w:rFonts w:eastAsia="Arial Unicode MS"/>
          <w:noProof/>
          <w:u w:color="000000"/>
          <w:bdr w:val="nil"/>
        </w:rPr>
      </w:pPr>
      <w:r w:rsidRPr="00B36380">
        <w:rPr>
          <w:noProof/>
          <w:u w:color="000000"/>
          <w:bdr w:val="nil"/>
        </w:rPr>
        <w:t>•</w:t>
      </w:r>
      <w:r w:rsidRPr="00B36380">
        <w:rPr>
          <w:noProof/>
          <w:u w:color="000000"/>
          <w:bdr w:val="nil"/>
        </w:rPr>
        <w:tab/>
        <w:t>Obrazložitveni dokumenti (za direktive)</w:t>
      </w:r>
    </w:p>
    <w:p w:rsidR="00AE6BA3" w:rsidRPr="00B36380" w:rsidRDefault="00AE6BA3" w:rsidP="00AE6BA3">
      <w:pPr>
        <w:pBdr>
          <w:top w:val="nil"/>
          <w:left w:val="nil"/>
          <w:bottom w:val="nil"/>
          <w:right w:val="nil"/>
          <w:between w:val="nil"/>
          <w:bar w:val="nil"/>
        </w:pBdr>
        <w:spacing w:before="0" w:after="240"/>
        <w:rPr>
          <w:rFonts w:eastAsia="Arial Unicode MS"/>
          <w:noProof/>
        </w:rPr>
      </w:pPr>
      <w:r w:rsidRPr="00B36380">
        <w:rPr>
          <w:noProof/>
        </w:rPr>
        <w:t xml:space="preserve">Za predlog niso potrebni obrazložitveni dokumenti o prenosu. </w:t>
      </w:r>
    </w:p>
    <w:p w:rsidR="00D11B95" w:rsidRPr="00B36380" w:rsidRDefault="00D11B95" w:rsidP="00A4693B">
      <w:pPr>
        <w:pStyle w:val="ManualHeading2"/>
        <w:rPr>
          <w:rFonts w:eastAsia="Arial Unicode MS"/>
          <w:noProof/>
          <w:u w:color="000000"/>
          <w:bdr w:val="nil"/>
        </w:rPr>
      </w:pPr>
      <w:r w:rsidRPr="00B36380">
        <w:rPr>
          <w:noProof/>
          <w:u w:color="000000"/>
          <w:bdr w:val="nil"/>
        </w:rPr>
        <w:t>•</w:t>
      </w:r>
      <w:r w:rsidRPr="00B36380">
        <w:rPr>
          <w:noProof/>
          <w:u w:color="000000"/>
          <w:bdr w:val="nil"/>
        </w:rPr>
        <w:tab/>
        <w:t>Natančnejša pojasnitev posameznih določb predloga</w:t>
      </w:r>
    </w:p>
    <w:p w:rsidR="00AE6BA3" w:rsidRPr="00B36380" w:rsidRDefault="00AE6BA3" w:rsidP="00AE6BA3">
      <w:pPr>
        <w:pBdr>
          <w:top w:val="nil"/>
          <w:left w:val="nil"/>
          <w:bottom w:val="nil"/>
          <w:right w:val="nil"/>
          <w:between w:val="nil"/>
          <w:bar w:val="nil"/>
        </w:pBdr>
        <w:spacing w:before="0" w:after="240"/>
        <w:rPr>
          <w:rFonts w:eastAsia="Arial Unicode MS"/>
          <w:noProof/>
        </w:rPr>
      </w:pPr>
      <w:r w:rsidRPr="00B36380">
        <w:rPr>
          <w:noProof/>
        </w:rPr>
        <w:t xml:space="preserve">Člen 1 določa, da se Franciji dovoli uporaba znižane stopnje obdavčitve za električno energijo, s katero se neposredno oskrbijo mirujoči zrakoplovi na letališčih, odprtih za javni zračni promet (t. i. električno energijo iz zemeljskega električnega omrežja). Stopnje obdavčitve ne smejo biti nižje od najnižjih ravni obdavčitve za električno energijo iz člena 10 Direktive 2003/96/ES, določenih v skladu s Preglednico C Priloge I k navedeni direktivi. </w:t>
      </w:r>
    </w:p>
    <w:p w:rsidR="00AE6BA3" w:rsidRPr="00B36380" w:rsidRDefault="00AE6BA3" w:rsidP="00AE6BA3">
      <w:pPr>
        <w:pBdr>
          <w:top w:val="nil"/>
          <w:left w:val="nil"/>
          <w:bottom w:val="nil"/>
          <w:right w:val="nil"/>
          <w:between w:val="nil"/>
          <w:bar w:val="nil"/>
        </w:pBdr>
        <w:spacing w:before="0" w:after="240"/>
        <w:rPr>
          <w:rFonts w:eastAsia="Arial Unicode MS"/>
          <w:noProof/>
        </w:rPr>
      </w:pPr>
      <w:r w:rsidRPr="00B36380">
        <w:rPr>
          <w:noProof/>
        </w:rPr>
        <w:t>Člen 2 določa, da se zahtevano dovoljenje odobri z učinkom od 1. januarja 2024 do 31. decembra 2027, kar je znotraj najdaljšega obdobja 6 let, ki ga dovoljuje Direktiva.</w:t>
      </w:r>
    </w:p>
    <w:p w:rsidR="00D11B95" w:rsidRPr="00B36380" w:rsidRDefault="00D11B95" w:rsidP="00AE6BA3">
      <w:pPr>
        <w:pBdr>
          <w:top w:val="nil"/>
          <w:left w:val="nil"/>
          <w:bottom w:val="nil"/>
          <w:right w:val="nil"/>
          <w:between w:val="nil"/>
          <w:bar w:val="nil"/>
        </w:pBdr>
        <w:spacing w:before="0" w:after="240"/>
        <w:rPr>
          <w:rFonts w:eastAsia="Arial Unicode MS"/>
          <w:noProof/>
        </w:rPr>
        <w:sectPr w:rsidR="00D11B95" w:rsidRPr="00B36380" w:rsidSect="00152D3D">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273FE6" w:rsidRDefault="00BF4B92">
      <w:pPr>
        <w:pStyle w:val="Rfrenceinterinstitutionnelle"/>
        <w:rPr>
          <w:noProof/>
        </w:rPr>
      </w:pPr>
      <w:r>
        <w:rPr>
          <w:noProof/>
        </w:rPr>
        <w:lastRenderedPageBreak/>
        <w:t>2024/0121 (NLE)</w:t>
      </w:r>
    </w:p>
    <w:p w:rsidR="00D11B95" w:rsidRPr="00B36380" w:rsidRDefault="00B36380" w:rsidP="00B36380">
      <w:pPr>
        <w:pStyle w:val="Statut"/>
        <w:rPr>
          <w:noProof/>
        </w:rPr>
      </w:pPr>
      <w:r w:rsidRPr="00B36380">
        <w:rPr>
          <w:noProof/>
        </w:rPr>
        <w:t>Predlog</w:t>
      </w:r>
    </w:p>
    <w:p w:rsidR="00D11B95" w:rsidRPr="00B36380" w:rsidRDefault="00B36380" w:rsidP="00B36380">
      <w:pPr>
        <w:pStyle w:val="Typedudocument"/>
        <w:rPr>
          <w:noProof/>
        </w:rPr>
      </w:pPr>
      <w:r w:rsidRPr="00B36380">
        <w:rPr>
          <w:noProof/>
        </w:rPr>
        <w:t>IZVEDBENI SKLEP SVETA</w:t>
      </w:r>
    </w:p>
    <w:p w:rsidR="00D11B95" w:rsidRPr="00B36380" w:rsidRDefault="00B36380" w:rsidP="00B36380">
      <w:pPr>
        <w:pStyle w:val="Titreobjet"/>
        <w:rPr>
          <w:noProof/>
        </w:rPr>
      </w:pPr>
      <w:r w:rsidRPr="00B36380">
        <w:rPr>
          <w:noProof/>
        </w:rPr>
        <w:t>o dovoljenju Franciji, da uporabi znižane stopnje obdavčitve za električno energijo, s katero se neposredno oskrbijo mirujoči zrakoplovi na letališčih, odprtih za javni zračni promet</w:t>
      </w:r>
    </w:p>
    <w:p w:rsidR="00D11B95" w:rsidRPr="00B36380" w:rsidRDefault="00D11B95" w:rsidP="00916445">
      <w:pPr>
        <w:pStyle w:val="Institutionquiagit"/>
        <w:rPr>
          <w:noProof/>
        </w:rPr>
      </w:pPr>
      <w:r w:rsidRPr="00B36380">
        <w:rPr>
          <w:noProof/>
        </w:rPr>
        <w:t>SVET EVROPSKE UNIJE JE –</w:t>
      </w:r>
    </w:p>
    <w:p w:rsidR="00D11B95" w:rsidRPr="00B36380" w:rsidRDefault="00D11B95" w:rsidP="00916445">
      <w:pPr>
        <w:rPr>
          <w:noProof/>
        </w:rPr>
      </w:pPr>
      <w:r w:rsidRPr="00B36380">
        <w:rPr>
          <w:noProof/>
        </w:rPr>
        <w:t>ob upoštevanju Pogodbe o delovanju Evropske unije,</w:t>
      </w:r>
    </w:p>
    <w:p w:rsidR="009B2B2D" w:rsidRPr="00B36380" w:rsidRDefault="009B2B2D" w:rsidP="009B2B2D">
      <w:pPr>
        <w:rPr>
          <w:noProof/>
        </w:rPr>
      </w:pPr>
      <w:r w:rsidRPr="00B36380">
        <w:rPr>
          <w:noProof/>
        </w:rPr>
        <w:t>ob upoštevanju Direktive Sveta 2003/96/ES z dne 27. oktobra 2003 o prestrukturiranju okvira Skupnosti za obdavčitev energentov in električne energije</w:t>
      </w:r>
      <w:r w:rsidRPr="00B36380">
        <w:rPr>
          <w:rStyle w:val="FootnoteReference"/>
          <w:noProof/>
        </w:rPr>
        <w:footnoteReference w:id="19"/>
      </w:r>
      <w:r w:rsidRPr="00B36380">
        <w:rPr>
          <w:noProof/>
        </w:rPr>
        <w:t xml:space="preserve"> in zlasti člena 19 Direktive,</w:t>
      </w:r>
    </w:p>
    <w:p w:rsidR="00D11B95" w:rsidRPr="00B36380" w:rsidRDefault="00D11B95" w:rsidP="00916445">
      <w:pPr>
        <w:rPr>
          <w:noProof/>
        </w:rPr>
      </w:pPr>
      <w:r w:rsidRPr="00B36380">
        <w:rPr>
          <w:noProof/>
        </w:rPr>
        <w:t>ob upoštevanju predloga Evropske komisije,</w:t>
      </w:r>
    </w:p>
    <w:p w:rsidR="00D11B95" w:rsidRPr="00B36380" w:rsidRDefault="00D11B95" w:rsidP="00916445">
      <w:pPr>
        <w:rPr>
          <w:noProof/>
        </w:rPr>
      </w:pPr>
      <w:r w:rsidRPr="00B36380">
        <w:rPr>
          <w:noProof/>
        </w:rPr>
        <w:t>ob upoštevanju naslednjega:</w:t>
      </w:r>
    </w:p>
    <w:p w:rsidR="00D11B95" w:rsidRPr="00B36380" w:rsidRDefault="001F189D" w:rsidP="00681C85">
      <w:pPr>
        <w:pStyle w:val="ManualConsidrant"/>
        <w:rPr>
          <w:noProof/>
        </w:rPr>
      </w:pPr>
      <w:r>
        <w:rPr>
          <w:noProof/>
        </w:rPr>
        <w:t>(1)</w:t>
      </w:r>
      <w:r>
        <w:rPr>
          <w:noProof/>
        </w:rPr>
        <w:tab/>
      </w:r>
      <w:r w:rsidRPr="00B36380">
        <w:rPr>
          <w:noProof/>
        </w:rPr>
        <w:t>Francija je z dopisom z dne 11. aprila 2022 zaprosila za dovoljenje za uporabo znižane stopnje obdavčitve za električno energijo, s katero se neposredno oskrbijo mirujoči zrakoplovi na letališčih, odprtih za javni zračni promet, v skladu s členom 19 Direktive 2003/96/ES. Francoski organi so 25. oktobra 2022 in 7. avgusta 2023 predložili dodatne informacije. Nadaljnje informacije so poslali 30. oktobra 2023, 7. novembra 2023, 27. decembra 2023 in 18. aprila 2024. Dovoljenje bi se moralo uporabljati do 31. decembra 2027.</w:t>
      </w:r>
    </w:p>
    <w:p w:rsidR="001F189D" w:rsidRPr="00B36380" w:rsidRDefault="001F189D" w:rsidP="00D11B95">
      <w:pPr>
        <w:pStyle w:val="ManualConsidrant"/>
        <w:rPr>
          <w:noProof/>
        </w:rPr>
      </w:pPr>
      <w:r>
        <w:rPr>
          <w:noProof/>
        </w:rPr>
        <w:t>(2)</w:t>
      </w:r>
      <w:r>
        <w:rPr>
          <w:noProof/>
        </w:rPr>
        <w:tab/>
      </w:r>
      <w:r w:rsidRPr="00B36380">
        <w:rPr>
          <w:noProof/>
        </w:rPr>
        <w:t>Cilj Francije je nadalje spodbujati uvajanje in uporabo električne energije iz zemeljskega električnega omrežja z znižanimi stopnjami obdavčitve, ki jih namerava uporabiti. Uporaba te električne energije velja v primerjavi z uporabo fosilnih goriv za okoljsko manj škodljiv način zagotavljanja potrebne električne energije mirujočim zrakoplovom na letališčih, odprtih za javni zračni promet.</w:t>
      </w:r>
    </w:p>
    <w:p w:rsidR="001F189D" w:rsidRPr="00B36380" w:rsidRDefault="00D85C43" w:rsidP="001F189D">
      <w:pPr>
        <w:pStyle w:val="ManualConsidrant"/>
        <w:rPr>
          <w:noProof/>
        </w:rPr>
      </w:pPr>
      <w:r>
        <w:rPr>
          <w:noProof/>
        </w:rPr>
        <w:t>(3)</w:t>
      </w:r>
      <w:r>
        <w:rPr>
          <w:noProof/>
        </w:rPr>
        <w:tab/>
      </w:r>
      <w:r w:rsidRPr="00B36380">
        <w:rPr>
          <w:noProof/>
        </w:rPr>
        <w:t>Kolikor uporaba električne energije iz zemeljskega električnega omrežja zmanjšuje emisije toplogrednih plinov in drugo onesnaževanje zraka, ki ga povzroča notranja proizvodnja električne energije na zrakoplovih, toliko tudi prispeva k izboljšanju kakovosti zraka in zmanjšanju obremenitve s hrupom. Zato se predvideva, da bo ukrep prispeval k doseganju ciljev politike Evropske unije na področju okolja, zdravja in podnebja.</w:t>
      </w:r>
    </w:p>
    <w:p w:rsidR="001E7C29" w:rsidRPr="00B36380" w:rsidRDefault="001F189D" w:rsidP="00D11B95">
      <w:pPr>
        <w:pStyle w:val="ManualConsidrant"/>
        <w:rPr>
          <w:noProof/>
        </w:rPr>
      </w:pPr>
      <w:r>
        <w:rPr>
          <w:noProof/>
        </w:rPr>
        <w:t>(4)</w:t>
      </w:r>
      <w:r>
        <w:rPr>
          <w:noProof/>
        </w:rPr>
        <w:tab/>
      </w:r>
      <w:r w:rsidRPr="00B36380">
        <w:rPr>
          <w:noProof/>
        </w:rPr>
        <w:t>Dovoljenje Franciji za uporabo znižanih stopenj obdavčitve električne energije iz zemeljskega električnega omrežja ne presega tistega, kar je potrebno, saj bo v večini primerov proizvodnja električne energije na letalih ostala konkurenčnejša možnost.</w:t>
      </w:r>
      <w:bookmarkStart w:id="5" w:name="_Hlk155708720"/>
      <w:bookmarkEnd w:id="5"/>
      <w:r w:rsidRPr="00B36380">
        <w:rPr>
          <w:noProof/>
        </w:rPr>
        <w:t xml:space="preserve"> Iz istega razloga in ker je sedanja stopnja uveljavljanja te tehnologije na trgu razmeroma nizka, je malo verjetno, da bi ukrep v času veljavnosti povzročil znatna izkrivljanja konkurence, zato ne bo negativno vplival na pravilno delovanje notranjega trga.</w:t>
      </w:r>
    </w:p>
    <w:p w:rsidR="001E7C29" w:rsidRPr="00B36380" w:rsidRDefault="001F189D" w:rsidP="00D11B95">
      <w:pPr>
        <w:pStyle w:val="ManualConsidrant"/>
        <w:rPr>
          <w:noProof/>
        </w:rPr>
      </w:pPr>
      <w:r>
        <w:rPr>
          <w:noProof/>
        </w:rPr>
        <w:t>(5)</w:t>
      </w:r>
      <w:r>
        <w:rPr>
          <w:noProof/>
        </w:rPr>
        <w:tab/>
      </w:r>
      <w:r w:rsidRPr="00B36380">
        <w:rPr>
          <w:noProof/>
        </w:rPr>
        <w:t>Franciji bi bilo zato treba dovoliti, da z učinkom od 1. januarja 2024 uporablja znižane stopnje obdavčitve, kot je bilo zaprošeno.</w:t>
      </w:r>
    </w:p>
    <w:p w:rsidR="001E7C29" w:rsidRPr="00B36380" w:rsidRDefault="001E7C29" w:rsidP="00D11B95">
      <w:pPr>
        <w:pStyle w:val="ManualConsidrant"/>
        <w:rPr>
          <w:noProof/>
        </w:rPr>
      </w:pPr>
      <w:r>
        <w:rPr>
          <w:noProof/>
        </w:rPr>
        <w:lastRenderedPageBreak/>
        <w:t>(6)</w:t>
      </w:r>
      <w:r>
        <w:rPr>
          <w:noProof/>
        </w:rPr>
        <w:tab/>
      </w:r>
      <w:r w:rsidRPr="00B36380">
        <w:rPr>
          <w:noProof/>
        </w:rPr>
        <w:t xml:space="preserve">Na podlagi člena 19(2) Direktive 2003/96/ES je vsako dovoljenje, odobreno na podlagi navedene določbe, strogo časovno omejeno. Vendar če Svet na podlagi člena 113 ali katere koli druge ustrezne določbe Pogodbe o delovanju Evropske unije uvede spremenjeni splošni sistem za obdavčitev energentov in električne energije ter to dovoljenje glede na te spremembe ne bi bilo več ustrezno, je treba za ohranitev nadaljnjega splošnega razvoja obstoječega pravnega okvira predvideti možnost, da to dovoljenje preneha veljati. </w:t>
      </w:r>
    </w:p>
    <w:p w:rsidR="001E7C29" w:rsidRPr="00B36380" w:rsidRDefault="001E7C29" w:rsidP="00D11B95">
      <w:pPr>
        <w:pStyle w:val="ManualConsidrant"/>
        <w:rPr>
          <w:noProof/>
        </w:rPr>
      </w:pPr>
      <w:r>
        <w:rPr>
          <w:noProof/>
        </w:rPr>
        <w:t>(7)</w:t>
      </w:r>
      <w:r>
        <w:rPr>
          <w:noProof/>
        </w:rPr>
        <w:tab/>
      </w:r>
      <w:r w:rsidRPr="00B36380">
        <w:rPr>
          <w:noProof/>
        </w:rPr>
        <w:t>Ta sklep ne posega v uporabo pravil Unije o državni pomoči –</w:t>
      </w:r>
    </w:p>
    <w:p w:rsidR="00D11B95" w:rsidRPr="00B36380" w:rsidRDefault="00D11B95" w:rsidP="00916445">
      <w:pPr>
        <w:pStyle w:val="Formuledadoption"/>
        <w:rPr>
          <w:noProof/>
        </w:rPr>
      </w:pPr>
      <w:r w:rsidRPr="00B36380">
        <w:rPr>
          <w:noProof/>
        </w:rPr>
        <w:t>SPREJEL NASLEDNJI SKLEP:</w:t>
      </w:r>
    </w:p>
    <w:p w:rsidR="00D11B95" w:rsidRPr="00B36380" w:rsidRDefault="00D11B95" w:rsidP="00916445">
      <w:pPr>
        <w:pStyle w:val="Titrearticle"/>
        <w:rPr>
          <w:noProof/>
        </w:rPr>
      </w:pPr>
      <w:r w:rsidRPr="00B36380">
        <w:rPr>
          <w:noProof/>
        </w:rPr>
        <w:t>Člen 1</w:t>
      </w:r>
    </w:p>
    <w:p w:rsidR="00D11B95" w:rsidRPr="00B36380" w:rsidRDefault="009B2B2D" w:rsidP="00916445">
      <w:pPr>
        <w:rPr>
          <w:noProof/>
        </w:rPr>
      </w:pPr>
      <w:r w:rsidRPr="00B36380">
        <w:rPr>
          <w:noProof/>
        </w:rPr>
        <w:t>Franciji se dovoli uporaba znižanih stopenj obdavčitve električne energije, s katero se prek električne energije iz zemeljskega električnega omrežja neposredno oskrbijo mirujoči zrakoplovi na letališčih, odprtih za javni zračni promet, pod pogojem, da se upoštevajo najnižje ravni obdavčitve iz člena 10</w:t>
      </w:r>
      <w:r w:rsidRPr="00B36380">
        <w:rPr>
          <w:noProof/>
          <w:color w:val="000000"/>
          <w:shd w:val="clear" w:color="auto" w:fill="FFFFFF"/>
        </w:rPr>
        <w:t>(1)</w:t>
      </w:r>
      <w:r w:rsidRPr="00B36380">
        <w:rPr>
          <w:noProof/>
        </w:rPr>
        <w:t xml:space="preserve"> Direktive 2003/96/ES.</w:t>
      </w:r>
    </w:p>
    <w:p w:rsidR="00D11B95" w:rsidRPr="00B36380" w:rsidRDefault="00D11B95" w:rsidP="00916445">
      <w:pPr>
        <w:pStyle w:val="Titrearticle"/>
        <w:rPr>
          <w:noProof/>
        </w:rPr>
      </w:pPr>
      <w:r w:rsidRPr="00B36380">
        <w:rPr>
          <w:noProof/>
        </w:rPr>
        <w:t>Člen 2</w:t>
      </w:r>
    </w:p>
    <w:p w:rsidR="009B2B2D" w:rsidRPr="00B36380" w:rsidRDefault="009B2B2D" w:rsidP="009B2B2D">
      <w:pPr>
        <w:keepNext/>
        <w:keepLines/>
        <w:rPr>
          <w:noProof/>
        </w:rPr>
      </w:pPr>
      <w:r w:rsidRPr="00B36380">
        <w:rPr>
          <w:noProof/>
        </w:rPr>
        <w:t>Ta sklep se uporablja od 1. januarja 2024 do 31. decembra 2027.</w:t>
      </w:r>
    </w:p>
    <w:p w:rsidR="009B2B2D" w:rsidRPr="00B36380" w:rsidRDefault="009B2B2D" w:rsidP="009B2B2D">
      <w:pPr>
        <w:keepNext/>
        <w:keepLines/>
        <w:rPr>
          <w:noProof/>
        </w:rPr>
      </w:pPr>
      <w:r w:rsidRPr="00B36380">
        <w:rPr>
          <w:noProof/>
        </w:rPr>
        <w:t xml:space="preserve">Če Svet na podlagi člena 113 ali katere koli druge ustrezne določbe Pogodbe o delovanju Evropske unije </w:t>
      </w:r>
      <w:r w:rsidRPr="00B36380">
        <w:rPr>
          <w:noProof/>
          <w:color w:val="000000"/>
          <w:shd w:val="clear" w:color="auto" w:fill="FFFFFF"/>
        </w:rPr>
        <w:t>zagotovi</w:t>
      </w:r>
      <w:r w:rsidRPr="00B36380">
        <w:rPr>
          <w:noProof/>
        </w:rPr>
        <w:t xml:space="preserve"> splošne predpise o davčnih ugodnostih za električno energijo iz zemeljskega električnega omrežja, se ta sklep preneha uporabljati na dan začetka uporabe navedenih splošnih predpisov.</w:t>
      </w:r>
    </w:p>
    <w:p w:rsidR="003441A6" w:rsidRPr="00B36380" w:rsidRDefault="003441A6" w:rsidP="009B2B2D">
      <w:pPr>
        <w:keepNext/>
        <w:keepLines/>
        <w:rPr>
          <w:noProof/>
        </w:rPr>
      </w:pPr>
    </w:p>
    <w:p w:rsidR="009B2B2D" w:rsidRPr="00B36380" w:rsidRDefault="001E7C29" w:rsidP="001E7C29">
      <w:pPr>
        <w:jc w:val="center"/>
        <w:rPr>
          <w:noProof/>
        </w:rPr>
      </w:pPr>
      <w:r w:rsidRPr="00B36380">
        <w:rPr>
          <w:noProof/>
        </w:rPr>
        <w:t>Člen 3</w:t>
      </w:r>
    </w:p>
    <w:p w:rsidR="00D11B95" w:rsidRPr="00B36380" w:rsidRDefault="009B2B2D" w:rsidP="00916445">
      <w:pPr>
        <w:rPr>
          <w:noProof/>
        </w:rPr>
      </w:pPr>
      <w:r w:rsidRPr="00B36380">
        <w:rPr>
          <w:noProof/>
        </w:rPr>
        <w:t>Ta sklep je naslovljen na Francosko republiko.</w:t>
      </w:r>
    </w:p>
    <w:p w:rsidR="00D11B95" w:rsidRPr="00B36380" w:rsidRDefault="00B36380" w:rsidP="007E4F07">
      <w:pPr>
        <w:pStyle w:val="Fait"/>
        <w:rPr>
          <w:noProof/>
        </w:rPr>
      </w:pPr>
      <w:r>
        <w:rPr>
          <w:noProof/>
        </w:rPr>
        <w:t>V Bruslju,</w:t>
      </w:r>
    </w:p>
    <w:p w:rsidR="00D11B95" w:rsidRPr="00B36380" w:rsidRDefault="00D11B95" w:rsidP="007E4F07">
      <w:pPr>
        <w:pStyle w:val="Institutionquisigne"/>
        <w:rPr>
          <w:noProof/>
        </w:rPr>
      </w:pPr>
      <w:r w:rsidRPr="00B36380">
        <w:rPr>
          <w:noProof/>
        </w:rPr>
        <w:tab/>
        <w:t>Za Svet</w:t>
      </w:r>
    </w:p>
    <w:p w:rsidR="00D11B95" w:rsidRPr="00B36380" w:rsidRDefault="00D11B95" w:rsidP="00D11B95">
      <w:pPr>
        <w:pStyle w:val="Personnequisigne"/>
        <w:rPr>
          <w:noProof/>
        </w:rPr>
      </w:pPr>
      <w:r w:rsidRPr="00B36380">
        <w:rPr>
          <w:noProof/>
        </w:rPr>
        <w:tab/>
        <w:t>predsednik</w:t>
      </w:r>
    </w:p>
    <w:sectPr w:rsidR="00D11B95" w:rsidRPr="00B36380" w:rsidSect="00152D3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95" w:rsidRDefault="00D11B95" w:rsidP="00D11B95">
      <w:pPr>
        <w:spacing w:before="0" w:after="0"/>
      </w:pPr>
      <w:r>
        <w:separator/>
      </w:r>
    </w:p>
  </w:endnote>
  <w:endnote w:type="continuationSeparator" w:id="0">
    <w:p w:rsidR="00D11B95" w:rsidRDefault="00D11B95" w:rsidP="00D11B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rianne">
    <w:altName w:val="Times New Roman"/>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3D" w:rsidRPr="00152D3D" w:rsidRDefault="00152D3D" w:rsidP="00152D3D">
    <w:pPr>
      <w:pStyle w:val="Footer"/>
      <w:rPr>
        <w:rFonts w:ascii="Arial" w:hAnsi="Arial" w:cs="Arial"/>
        <w:b/>
        <w:sz w:val="48"/>
      </w:rPr>
    </w:pPr>
    <w:r w:rsidRPr="00152D3D">
      <w:rPr>
        <w:rFonts w:ascii="Arial" w:hAnsi="Arial" w:cs="Arial"/>
        <w:b/>
        <w:sz w:val="48"/>
      </w:rPr>
      <w:t>SL</w:t>
    </w:r>
    <w:r w:rsidRPr="00152D3D">
      <w:rPr>
        <w:rFonts w:ascii="Arial" w:hAnsi="Arial" w:cs="Arial"/>
        <w:b/>
        <w:sz w:val="48"/>
      </w:rPr>
      <w:tab/>
    </w:r>
    <w:r w:rsidRPr="00152D3D">
      <w:rPr>
        <w:rFonts w:ascii="Arial" w:hAnsi="Arial" w:cs="Arial"/>
        <w:b/>
        <w:sz w:val="48"/>
      </w:rPr>
      <w:tab/>
    </w:r>
    <w:r w:rsidRPr="00152D3D">
      <w:tab/>
    </w:r>
    <w:r w:rsidRPr="00152D3D">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3D" w:rsidRPr="00152D3D" w:rsidRDefault="00152D3D" w:rsidP="00152D3D">
    <w:pPr>
      <w:pStyle w:val="Footer"/>
      <w:rPr>
        <w:rFonts w:ascii="Arial" w:hAnsi="Arial" w:cs="Arial"/>
        <w:b/>
        <w:sz w:val="48"/>
      </w:rPr>
    </w:pPr>
    <w:r w:rsidRPr="00152D3D">
      <w:rPr>
        <w:rFonts w:ascii="Arial" w:hAnsi="Arial" w:cs="Arial"/>
        <w:b/>
        <w:sz w:val="48"/>
      </w:rPr>
      <w:t>SL</w:t>
    </w:r>
    <w:r w:rsidRPr="00152D3D">
      <w:rPr>
        <w:rFonts w:ascii="Arial" w:hAnsi="Arial" w:cs="Arial"/>
        <w:b/>
        <w:sz w:val="48"/>
      </w:rPr>
      <w:tab/>
    </w:r>
    <w:r w:rsidRPr="00152D3D">
      <w:rPr>
        <w:rFonts w:ascii="Arial" w:hAnsi="Arial" w:cs="Arial"/>
        <w:b/>
        <w:sz w:val="48"/>
      </w:rPr>
      <w:tab/>
    </w:r>
    <w:r w:rsidRPr="00152D3D">
      <w:tab/>
    </w:r>
    <w:r w:rsidRPr="00152D3D">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3D" w:rsidRDefault="00152D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3D" w:rsidRPr="00152D3D" w:rsidRDefault="00152D3D" w:rsidP="00152D3D">
    <w:pPr>
      <w:pStyle w:val="Footer"/>
      <w:rPr>
        <w:rFonts w:ascii="Arial" w:hAnsi="Arial" w:cs="Arial"/>
        <w:b/>
        <w:sz w:val="48"/>
      </w:rPr>
    </w:pPr>
    <w:r w:rsidRPr="00152D3D">
      <w:rPr>
        <w:rFonts w:ascii="Arial" w:hAnsi="Arial" w:cs="Arial"/>
        <w:b/>
        <w:sz w:val="48"/>
      </w:rPr>
      <w:t>SL</w:t>
    </w:r>
    <w:r w:rsidRPr="00152D3D">
      <w:rPr>
        <w:rFonts w:ascii="Arial" w:hAnsi="Arial" w:cs="Arial"/>
        <w:b/>
        <w:sz w:val="48"/>
      </w:rPr>
      <w:tab/>
    </w:r>
    <w:r>
      <w:fldChar w:fldCharType="begin"/>
    </w:r>
    <w:r>
      <w:instrText xml:space="preserve"> PAGE  \* MERGEFORMAT </w:instrText>
    </w:r>
    <w:r>
      <w:fldChar w:fldCharType="separate"/>
    </w:r>
    <w:r w:rsidR="007E4F07">
      <w:rPr>
        <w:noProof/>
      </w:rPr>
      <w:t>10</w:t>
    </w:r>
    <w:r>
      <w:fldChar w:fldCharType="end"/>
    </w:r>
    <w:r>
      <w:tab/>
    </w:r>
    <w:r w:rsidRPr="00152D3D">
      <w:tab/>
    </w:r>
    <w:r w:rsidRPr="00152D3D">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3D" w:rsidRDefault="00152D3D" w:rsidP="0015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95" w:rsidRDefault="00D11B95" w:rsidP="00D11B95">
      <w:pPr>
        <w:spacing w:before="0" w:after="0"/>
      </w:pPr>
      <w:r>
        <w:separator/>
      </w:r>
    </w:p>
  </w:footnote>
  <w:footnote w:type="continuationSeparator" w:id="0">
    <w:p w:rsidR="00D11B95" w:rsidRDefault="00D11B95" w:rsidP="00D11B95">
      <w:pPr>
        <w:spacing w:before="0" w:after="0"/>
      </w:pPr>
      <w:r>
        <w:continuationSeparator/>
      </w:r>
    </w:p>
  </w:footnote>
  <w:footnote w:id="1">
    <w:p w:rsidR="001B589B" w:rsidRPr="004B1D91" w:rsidRDefault="001B589B" w:rsidP="001B589B">
      <w:pPr>
        <w:pStyle w:val="FootnoteText"/>
      </w:pPr>
      <w:r>
        <w:rPr>
          <w:rStyle w:val="FootnoteReference"/>
        </w:rPr>
        <w:footnoteRef/>
      </w:r>
      <w:r>
        <w:tab/>
        <w:t>UL L 283, 31.10.2003, str. 51.</w:t>
      </w:r>
    </w:p>
  </w:footnote>
  <w:footnote w:id="2">
    <w:p w:rsidR="00126F39" w:rsidRPr="004B1D91" w:rsidRDefault="00126F39">
      <w:pPr>
        <w:pStyle w:val="FootnoteText"/>
      </w:pPr>
      <w:r>
        <w:rPr>
          <w:rStyle w:val="FootnoteReference"/>
        </w:rPr>
        <w:footnoteRef/>
      </w:r>
      <w:r>
        <w:tab/>
        <w:t>Predlog direktive Sveta o prestrukturiranju okvira Unije za obdavčitev energentov in električne energije (prenovitev) (COM(2021) 563 final z dne 14. julija 2021).</w:t>
      </w:r>
    </w:p>
  </w:footnote>
  <w:footnote w:id="3">
    <w:p w:rsidR="006751B4" w:rsidRPr="004B1D91" w:rsidRDefault="006751B4">
      <w:pPr>
        <w:pStyle w:val="FootnoteText"/>
      </w:pPr>
      <w:r>
        <w:rPr>
          <w:rStyle w:val="FootnoteReference"/>
        </w:rPr>
        <w:footnoteRef/>
      </w:r>
      <w:r>
        <w:tab/>
      </w:r>
      <w:hyperlink w:anchor="Vuedensemble" w:history="1">
        <w:r>
          <w:rPr>
            <w:rStyle w:val="Hyperlink"/>
          </w:rPr>
          <w:t>https://analysesetdonnees.rte-france.com/bilan-electrique-prix#Vuedensemble</w:t>
        </w:r>
      </w:hyperlink>
      <w:r>
        <w:t xml:space="preserve"> </w:t>
      </w:r>
    </w:p>
  </w:footnote>
  <w:footnote w:id="4">
    <w:p w:rsidR="00740845" w:rsidRPr="004B1D91" w:rsidRDefault="00740845" w:rsidP="00740845">
      <w:pPr>
        <w:pStyle w:val="FootnoteText"/>
      </w:pPr>
      <w:r>
        <w:rPr>
          <w:rStyle w:val="FootnoteReference"/>
        </w:rPr>
        <w:footnoteRef/>
      </w:r>
      <w:r>
        <w:tab/>
        <w:t xml:space="preserve">Podrobnosti izračuna, ki so jih predložili francoski organi, so naslednje: pri 35-odstotnem izkoristku električne energije iz pomožnih pogonskih enot je 1 kWh izhodne energije enakovredna približno 1/0,35 = 2,86 kWh vhodne energije. Ob upoštevanju spodnje kurilne vrednosti kerozina (43 MJ/kg), tj. 11,95 kWh/kg (ker je 1 Joule = 2,778 × 10-7 kilovatur), je razvidno, da je za 1 kWh, dobavljeno s pomožno pogonsko enoto, potrebno približno 0,239 kg kerozina. Ker je decembra 2023 povprečna cena kerozina na evropskem trgu znašala 769 EUR/tono (glej </w:t>
      </w:r>
      <w:hyperlink r:id="rId1" w:history="1">
        <w:r>
          <w:rPr>
            <w:rStyle w:val="Hyperlink"/>
          </w:rPr>
          <w:t>https://www.iata.org/en/publications/economics/fuel-monitor</w:t>
        </w:r>
      </w:hyperlink>
      <w:r>
        <w:t xml:space="preserve">), je cena uporabe pomožne pogonske enote 0,18 EUR/kWh. </w:t>
      </w:r>
    </w:p>
  </w:footnote>
  <w:footnote w:id="5">
    <w:p w:rsidR="00487005" w:rsidRPr="004B1D91" w:rsidRDefault="00487005" w:rsidP="00487005">
      <w:pPr>
        <w:pStyle w:val="FootnoteText"/>
      </w:pPr>
      <w:r>
        <w:rPr>
          <w:rStyle w:val="FootnoteReference"/>
        </w:rPr>
        <w:footnoteRef/>
      </w:r>
      <w:r>
        <w:tab/>
        <w:t>Uredba Komisije (EU) št. 651/2014 z dne 17. junija 2014 o razglasitvi nekaterih vrst pomoči za združljive z notranjim trgom pri uporabi členov 107 in 108 Pogodbe (UL L 187, 26.6.2014, str. 1).</w:t>
      </w:r>
    </w:p>
  </w:footnote>
  <w:footnote w:id="6">
    <w:p w:rsidR="00487005" w:rsidRPr="004B1D91" w:rsidRDefault="00487005" w:rsidP="00487005">
      <w:pPr>
        <w:pStyle w:val="FootnoteText"/>
      </w:pPr>
      <w:r>
        <w:rPr>
          <w:rStyle w:val="FootnoteReference"/>
        </w:rPr>
        <w:footnoteRef/>
      </w:r>
      <w:r>
        <w:tab/>
        <w:t>Priporočilo Komisije 2006/339/ES z dne 8. maja 2006 o spodbujanju uporabe električne energije z obrežja pri ladjah med privezom v pristaniščih Skupnosti (UL L 125, 12.5.2006).</w:t>
      </w:r>
    </w:p>
  </w:footnote>
  <w:footnote w:id="7">
    <w:p w:rsidR="000E6332" w:rsidRPr="004B1D91" w:rsidRDefault="000E6332">
      <w:pPr>
        <w:pStyle w:val="FootnoteText"/>
      </w:pPr>
      <w:r>
        <w:rPr>
          <w:rStyle w:val="FootnoteReference"/>
        </w:rPr>
        <w:footnoteRef/>
      </w:r>
      <w:r>
        <w:tab/>
        <w:t>En odlok za vsako vozlišče, pri čemer so vsi začeli veljati 1. decembra 2023. Pet letališč je že imelo odloke o omejitvi, ki so bili razveljavljeni in nadomeščeni s tistimi, objavljenimi julija 2023.</w:t>
      </w:r>
    </w:p>
  </w:footnote>
  <w:footnote w:id="8">
    <w:p w:rsidR="003B1A93" w:rsidRPr="004B1D91" w:rsidRDefault="003B1A93">
      <w:pPr>
        <w:pStyle w:val="FootnoteText"/>
      </w:pPr>
      <w:r>
        <w:rPr>
          <w:rStyle w:val="FootnoteReference"/>
        </w:rPr>
        <w:footnoteRef/>
      </w:r>
      <w:r>
        <w:tab/>
        <w:t xml:space="preserve">Pomožna pogonska enota je majhen turboreaktivni motor na zadnjem delu trupa letala, ki zagotavlja električno energijo in klimatizacijo, ko je zrakoplov na tleh. Omogoča tudi zagon glavnih reaktivnih motorjev. </w:t>
      </w:r>
    </w:p>
  </w:footnote>
  <w:footnote w:id="9">
    <w:p w:rsidR="003A2E69" w:rsidRPr="00DB74C5" w:rsidRDefault="003A2E69">
      <w:pPr>
        <w:pStyle w:val="FootnoteText"/>
      </w:pPr>
      <w:r>
        <w:rPr>
          <w:rStyle w:val="FootnoteReference"/>
        </w:rPr>
        <w:footnoteRef/>
      </w:r>
      <w:r>
        <w:tab/>
        <w:t>Teh 12 letališč predstavlja 85 % komercialnih letov v Franciji (Paris-Charles de Gaulle, Paris-Orly, Paris-Le Bourget, Nice-Côte d’Azur, Nantes-Atlantique, Lyon-Saint Exupéry, Marseille-Provence, Bordeaux-Mérignac, Toulouse-Blagnac, Beauvais-Tillé, Lille-Lesquin in Bâle-Mulhouse).</w:t>
      </w:r>
    </w:p>
  </w:footnote>
  <w:footnote w:id="10">
    <w:p w:rsidR="003A2E69" w:rsidRPr="004B1D91" w:rsidRDefault="003A2E69" w:rsidP="003A2E69">
      <w:pPr>
        <w:pStyle w:val="FootnoteText"/>
      </w:pPr>
      <w:r>
        <w:rPr>
          <w:rStyle w:val="FootnoteReference"/>
        </w:rPr>
        <w:footnoteRef/>
      </w:r>
      <w:r>
        <w:tab/>
        <w:t>Podatke je predložila skupina Aéroports de Paris (ADP) v okviru programa „Holistic Green Airport“ (OLGA), ki se financira iz programa Obzorje 2020.</w:t>
      </w:r>
    </w:p>
  </w:footnote>
  <w:footnote w:id="11">
    <w:p w:rsidR="0053113B" w:rsidRPr="004B1D91" w:rsidRDefault="0053113B" w:rsidP="0053113B">
      <w:pPr>
        <w:pStyle w:val="FootnoteText"/>
      </w:pPr>
      <w:r>
        <w:rPr>
          <w:rStyle w:val="FootnoteReference"/>
        </w:rPr>
        <w:footnoteRef/>
      </w:r>
      <w:r>
        <w:tab/>
        <w:t>Med 6 in 10 tonami emisij na leto v primerjavi s 408 do 1 166 tonami s pomožnimi pogonskimi enotami, pri napravah znamke Guinault (</w:t>
      </w:r>
      <w:hyperlink r:id="rId2" w:history="1">
        <w:r>
          <w:rPr>
            <w:rStyle w:val="Hyperlink"/>
          </w:rPr>
          <w:t>APU OFF – Guinault</w:t>
        </w:r>
      </w:hyperlink>
      <w:r>
        <w:t>).</w:t>
      </w:r>
    </w:p>
  </w:footnote>
  <w:footnote w:id="12">
    <w:p w:rsidR="0053113B" w:rsidRPr="004B1D91" w:rsidRDefault="0053113B" w:rsidP="0053113B">
      <w:pPr>
        <w:pStyle w:val="FootnoteText"/>
      </w:pPr>
      <w:r>
        <w:rPr>
          <w:rStyle w:val="FootnoteReference"/>
        </w:rPr>
        <w:footnoteRef/>
      </w:r>
      <w:r>
        <w:tab/>
        <w:t>75 dB namesto 120 dB s pomožnimi pogonskimi enotami, pri napravah znamke Guinault, na primer.</w:t>
      </w:r>
    </w:p>
  </w:footnote>
  <w:footnote w:id="13">
    <w:p w:rsidR="00B51BE5" w:rsidRPr="004B1D91" w:rsidRDefault="00B51BE5" w:rsidP="00B51BE5">
      <w:pPr>
        <w:pStyle w:val="FootnoteText"/>
      </w:pPr>
      <w:r>
        <w:rPr>
          <w:rStyle w:val="FootnoteReference"/>
        </w:rPr>
        <w:footnoteRef/>
      </w:r>
      <w:r>
        <w:tab/>
        <w:t>Člen 39i(f) splošnega davčnega zakonika („Code général des impôts“), ki izhaja iz določb člena 60 zakona št. 2019-1479 z dne 29. decembra 2019 o financah za leto 2020.</w:t>
      </w:r>
    </w:p>
  </w:footnote>
  <w:footnote w:id="14">
    <w:p w:rsidR="002236B9" w:rsidRPr="004B1D91" w:rsidRDefault="002236B9">
      <w:pPr>
        <w:pStyle w:val="FootnoteText"/>
      </w:pPr>
      <w:r>
        <w:rPr>
          <w:rStyle w:val="FootnoteReference"/>
        </w:rPr>
        <w:footnoteRef/>
      </w:r>
      <w:r>
        <w:tab/>
        <w:t xml:space="preserve">Zakon št. 2023-175 z dne 10. marca 2023 o pospešitvi proizvodnje energije iz obnovljivih virov. Določbe o spodbujanju in poenostavitvi namestitve fotovoltaičnih panelov so določene v naslovu III tega zakona. </w:t>
      </w:r>
    </w:p>
  </w:footnote>
  <w:footnote w:id="15">
    <w:p w:rsidR="00763AEA" w:rsidRPr="004B1D91" w:rsidRDefault="00763AEA" w:rsidP="00763AEA">
      <w:pPr>
        <w:pStyle w:val="FootnoteText"/>
      </w:pPr>
      <w:r>
        <w:rPr>
          <w:rStyle w:val="FootnoteReference"/>
        </w:rPr>
        <w:footnoteRef/>
      </w:r>
      <w:r>
        <w:tab/>
        <w:t>Predlog uredbe Evropskega parlamenta in Sveta o smernicah za vseevropsko energetsko infrastrukturo in razveljavitvi Uredbe (EU) št. 347/2013 (COM(2020) 824 final).</w:t>
      </w:r>
    </w:p>
  </w:footnote>
  <w:footnote w:id="16">
    <w:p w:rsidR="00763AEA" w:rsidRPr="004B1D91" w:rsidRDefault="00763AEA">
      <w:pPr>
        <w:pStyle w:val="FootnoteText"/>
      </w:pPr>
      <w:r>
        <w:rPr>
          <w:rStyle w:val="FootnoteReference"/>
        </w:rPr>
        <w:footnoteRef/>
      </w:r>
      <w:r>
        <w:tab/>
        <w:t>UL L 234, 22.9.2023, str. 1.</w:t>
      </w:r>
    </w:p>
  </w:footnote>
  <w:footnote w:id="17">
    <w:p w:rsidR="00E546D2" w:rsidRPr="004B1D91" w:rsidRDefault="00E546D2">
      <w:pPr>
        <w:pStyle w:val="FootnoteText"/>
      </w:pPr>
      <w:r>
        <w:rPr>
          <w:rStyle w:val="FootnoteReference"/>
        </w:rPr>
        <w:footnoteRef/>
      </w:r>
      <w:r>
        <w:tab/>
        <w:t>UL L 307, 28.10.2014, str. 1.</w:t>
      </w:r>
    </w:p>
  </w:footnote>
  <w:footnote w:id="18">
    <w:p w:rsidR="00F14F5F" w:rsidRPr="004B1D91" w:rsidRDefault="00F14F5F">
      <w:pPr>
        <w:pStyle w:val="FootnoteText"/>
      </w:pPr>
      <w:r>
        <w:rPr>
          <w:rStyle w:val="FootnoteReference"/>
        </w:rPr>
        <w:footnoteRef/>
      </w:r>
      <w:r>
        <w:tab/>
        <w:t>Poleg tega v skladu s členom L.312-17 zakonika o obdavčitvi blaga in storitev („Code des impositions des biens et des services“ (CIBS)) poraba električne energije s strani osebe, ki jo je proizvedla, ne pomeni obdavčljivega dogodka za trošarino, če ta oseba porabi vso električno energijo, proizvedeno za lastne potrebe, količine, ki so ali bi lahko bile proizvedene, ocenjene na proizvodni obrat in v skladu s proizvodno metodo, pa ne presegajo 240 milijonov kWh na proizvodni obrat ali deleža električne energije, ki se porabi na mestu samem in ga proizvedejo proizvajalci električne energije, pri katerih je proizvodna zmogljivost, nameščena na lokaciji, manjša kot 1 000 kW. V obravnavanem primeru je treba zrakoplov šteti za proizvodni obrat, zato se davek ne uporablja za količine, ki jih proizvede in porabi znotraj določenih pragov.</w:t>
      </w:r>
    </w:p>
  </w:footnote>
  <w:footnote w:id="19">
    <w:p w:rsidR="009B2B2D" w:rsidRDefault="009B2B2D" w:rsidP="009B2B2D">
      <w:pPr>
        <w:pStyle w:val="FootnoteText"/>
      </w:pPr>
      <w:r>
        <w:rPr>
          <w:rStyle w:val="FootnoteReference"/>
        </w:rPr>
        <w:footnoteRef/>
      </w:r>
      <w:r>
        <w:tab/>
        <w:t>UL L 283, 31.10.2003, str. 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3D" w:rsidRDefault="0015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3D" w:rsidRDefault="0015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D2AA6A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CE36D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3C8FCD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7F85C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5-22 09:40: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5DA93BC-7BA3-44AB-8193-1A74796943CD"/>
    <w:docVar w:name="LW_COVERPAGE_TYPE" w:val="1"/>
    <w:docVar w:name="LW_CROSSREFERENCE" w:val="&lt;UNUSED&gt;"/>
    <w:docVar w:name="LW_DocType" w:val="COM"/>
    <w:docVar w:name="LW_EMISSION" w:val="29.5.2024"/>
    <w:docVar w:name="LW_EMISSION_ISODATE" w:val="2024-05-29"/>
    <w:docVar w:name="LW_EMISSION_LOCATION" w:val="BRX"/>
    <w:docVar w:name="LW_EMISSION_PREFIX" w:val="Bruselj, "/>
    <w:docVar w:name="LW_EMISSION_SUFFIX" w:val=" "/>
    <w:docVar w:name="LW_ID_DOCMODEL" w:val="SJ-020"/>
    <w:docVar w:name="LW_ID_DOCSIGNATURE" w:val="SJ-020"/>
    <w:docVar w:name="LW_ID_DOCSTRUCTURE" w:val="COM/PL/ORG"/>
    <w:docVar w:name="LW_ID_DOCTYPE" w:val="SJ-020"/>
    <w:docVar w:name="LW_ID_STATUT" w:val="SJ-020"/>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NLE"/>
    <w:docVar w:name="LW_REF.II.NEW.CP_NUMBER" w:val="0121"/>
    <w:docVar w:name="LW_REF.II.NEW.CP_YEAR" w:val="2024"/>
    <w:docVar w:name="LW_REF.INST.NEW" w:val="COM"/>
    <w:docVar w:name="LW_REF.INST.NEW_ADOPTED" w:val="final"/>
    <w:docVar w:name="LW_REF.INST.NEW_TEXT" w:val="(2024) 21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dovoljenju Franciji, da uporabi zni\u382?ane stopnje obdav\u269?itve za elektri\u269?no energijo, s katero se neposredno oskrbijo mirujo\u269?i zrakoplovi na letali\u353?\u269?ih, odprtih za javni zra\u269?ni promet"/>
    <w:docVar w:name="LW_TYPE.DOC.CP" w:val="IZVEDBENI SKLEP SVETA"/>
    <w:docVar w:name="LwApiVersions" w:val="LW4CoDe 1.24.5.0; LW 9.0, Build 20240221"/>
  </w:docVars>
  <w:rsids>
    <w:rsidRoot w:val="00D11B95"/>
    <w:rsid w:val="0000192E"/>
    <w:rsid w:val="00002E75"/>
    <w:rsid w:val="00006F7F"/>
    <w:rsid w:val="0001185B"/>
    <w:rsid w:val="00012308"/>
    <w:rsid w:val="000176F1"/>
    <w:rsid w:val="00017E2A"/>
    <w:rsid w:val="00022917"/>
    <w:rsid w:val="00024E32"/>
    <w:rsid w:val="00027579"/>
    <w:rsid w:val="0004045A"/>
    <w:rsid w:val="00040C9E"/>
    <w:rsid w:val="00041A2E"/>
    <w:rsid w:val="0005090F"/>
    <w:rsid w:val="00050AF7"/>
    <w:rsid w:val="000521BE"/>
    <w:rsid w:val="00053453"/>
    <w:rsid w:val="00056428"/>
    <w:rsid w:val="00076684"/>
    <w:rsid w:val="00084899"/>
    <w:rsid w:val="00087987"/>
    <w:rsid w:val="00087E91"/>
    <w:rsid w:val="0009290D"/>
    <w:rsid w:val="0009433D"/>
    <w:rsid w:val="00094713"/>
    <w:rsid w:val="000A7793"/>
    <w:rsid w:val="000B63D2"/>
    <w:rsid w:val="000C54B0"/>
    <w:rsid w:val="000C7844"/>
    <w:rsid w:val="000E4C10"/>
    <w:rsid w:val="000E6332"/>
    <w:rsid w:val="000E743D"/>
    <w:rsid w:val="000F4BD7"/>
    <w:rsid w:val="00100041"/>
    <w:rsid w:val="001065F5"/>
    <w:rsid w:val="001105A7"/>
    <w:rsid w:val="001129AC"/>
    <w:rsid w:val="001226FD"/>
    <w:rsid w:val="001238EF"/>
    <w:rsid w:val="00126F39"/>
    <w:rsid w:val="001301EF"/>
    <w:rsid w:val="001302FC"/>
    <w:rsid w:val="00131982"/>
    <w:rsid w:val="00142D66"/>
    <w:rsid w:val="0014403F"/>
    <w:rsid w:val="001452D9"/>
    <w:rsid w:val="00146B65"/>
    <w:rsid w:val="00152D3D"/>
    <w:rsid w:val="0015596A"/>
    <w:rsid w:val="00162576"/>
    <w:rsid w:val="0016600B"/>
    <w:rsid w:val="00170CA4"/>
    <w:rsid w:val="00176F0C"/>
    <w:rsid w:val="00192939"/>
    <w:rsid w:val="00197613"/>
    <w:rsid w:val="001A4765"/>
    <w:rsid w:val="001B2573"/>
    <w:rsid w:val="001B556E"/>
    <w:rsid w:val="001B589B"/>
    <w:rsid w:val="001C3FBA"/>
    <w:rsid w:val="001D68BB"/>
    <w:rsid w:val="001E7C29"/>
    <w:rsid w:val="001F06F0"/>
    <w:rsid w:val="001F0AA3"/>
    <w:rsid w:val="001F189D"/>
    <w:rsid w:val="001F3BDB"/>
    <w:rsid w:val="001F7AEC"/>
    <w:rsid w:val="00207E9D"/>
    <w:rsid w:val="00213E4B"/>
    <w:rsid w:val="00216907"/>
    <w:rsid w:val="002236B9"/>
    <w:rsid w:val="00233DC7"/>
    <w:rsid w:val="00235E2A"/>
    <w:rsid w:val="00243064"/>
    <w:rsid w:val="00247779"/>
    <w:rsid w:val="00257772"/>
    <w:rsid w:val="002610D6"/>
    <w:rsid w:val="00271E18"/>
    <w:rsid w:val="00273FE6"/>
    <w:rsid w:val="00274EED"/>
    <w:rsid w:val="00285BEE"/>
    <w:rsid w:val="002875D8"/>
    <w:rsid w:val="002902BA"/>
    <w:rsid w:val="00290DB5"/>
    <w:rsid w:val="002942BF"/>
    <w:rsid w:val="0029533F"/>
    <w:rsid w:val="002A53CC"/>
    <w:rsid w:val="002A5CBB"/>
    <w:rsid w:val="002B2B1D"/>
    <w:rsid w:val="002B30AF"/>
    <w:rsid w:val="002B4333"/>
    <w:rsid w:val="002D2FC4"/>
    <w:rsid w:val="002F65CE"/>
    <w:rsid w:val="002F743F"/>
    <w:rsid w:val="002F7622"/>
    <w:rsid w:val="00307597"/>
    <w:rsid w:val="00311168"/>
    <w:rsid w:val="00326ECA"/>
    <w:rsid w:val="003327F4"/>
    <w:rsid w:val="0033344A"/>
    <w:rsid w:val="00337217"/>
    <w:rsid w:val="003441A6"/>
    <w:rsid w:val="003461F2"/>
    <w:rsid w:val="00357615"/>
    <w:rsid w:val="00371ACB"/>
    <w:rsid w:val="00372C43"/>
    <w:rsid w:val="00384592"/>
    <w:rsid w:val="00385AB5"/>
    <w:rsid w:val="00392B80"/>
    <w:rsid w:val="003940A4"/>
    <w:rsid w:val="003A2DEE"/>
    <w:rsid w:val="003A2E69"/>
    <w:rsid w:val="003B1A93"/>
    <w:rsid w:val="003B2701"/>
    <w:rsid w:val="003C0E33"/>
    <w:rsid w:val="003C3E32"/>
    <w:rsid w:val="003C7A83"/>
    <w:rsid w:val="003D1F8D"/>
    <w:rsid w:val="003D6A14"/>
    <w:rsid w:val="003F0D4B"/>
    <w:rsid w:val="003F347F"/>
    <w:rsid w:val="00401332"/>
    <w:rsid w:val="00402CE2"/>
    <w:rsid w:val="00403462"/>
    <w:rsid w:val="0042043E"/>
    <w:rsid w:val="004243F8"/>
    <w:rsid w:val="0042648E"/>
    <w:rsid w:val="004273AC"/>
    <w:rsid w:val="00430065"/>
    <w:rsid w:val="00455812"/>
    <w:rsid w:val="00455952"/>
    <w:rsid w:val="00460C97"/>
    <w:rsid w:val="00462B08"/>
    <w:rsid w:val="00464C2D"/>
    <w:rsid w:val="00467C12"/>
    <w:rsid w:val="00471B1E"/>
    <w:rsid w:val="00487005"/>
    <w:rsid w:val="004873C1"/>
    <w:rsid w:val="00492FC8"/>
    <w:rsid w:val="004936D2"/>
    <w:rsid w:val="004A552A"/>
    <w:rsid w:val="004B1D91"/>
    <w:rsid w:val="004B4BA5"/>
    <w:rsid w:val="004C7BA0"/>
    <w:rsid w:val="004D20C1"/>
    <w:rsid w:val="004D594F"/>
    <w:rsid w:val="004E647B"/>
    <w:rsid w:val="004F4AE7"/>
    <w:rsid w:val="004F6CA5"/>
    <w:rsid w:val="004F7146"/>
    <w:rsid w:val="00506A1B"/>
    <w:rsid w:val="00507945"/>
    <w:rsid w:val="0051271F"/>
    <w:rsid w:val="005128EC"/>
    <w:rsid w:val="0051659C"/>
    <w:rsid w:val="00521D21"/>
    <w:rsid w:val="00523ED4"/>
    <w:rsid w:val="00530B58"/>
    <w:rsid w:val="0053113B"/>
    <w:rsid w:val="00545BD2"/>
    <w:rsid w:val="00552C25"/>
    <w:rsid w:val="005542B5"/>
    <w:rsid w:val="005670E8"/>
    <w:rsid w:val="00572AD0"/>
    <w:rsid w:val="005807BE"/>
    <w:rsid w:val="0059046A"/>
    <w:rsid w:val="0059431C"/>
    <w:rsid w:val="00596E4C"/>
    <w:rsid w:val="005A335C"/>
    <w:rsid w:val="005A587B"/>
    <w:rsid w:val="005B15BB"/>
    <w:rsid w:val="005B1EB6"/>
    <w:rsid w:val="005B2428"/>
    <w:rsid w:val="005C3E53"/>
    <w:rsid w:val="005D240A"/>
    <w:rsid w:val="005D3DAB"/>
    <w:rsid w:val="005D7B58"/>
    <w:rsid w:val="005E3737"/>
    <w:rsid w:val="0060052B"/>
    <w:rsid w:val="00617938"/>
    <w:rsid w:val="00623338"/>
    <w:rsid w:val="00624999"/>
    <w:rsid w:val="00625BF5"/>
    <w:rsid w:val="0064180E"/>
    <w:rsid w:val="00650528"/>
    <w:rsid w:val="006716C1"/>
    <w:rsid w:val="00672EA0"/>
    <w:rsid w:val="006751B4"/>
    <w:rsid w:val="0067709F"/>
    <w:rsid w:val="00681C85"/>
    <w:rsid w:val="00685040"/>
    <w:rsid w:val="006850AF"/>
    <w:rsid w:val="006955E0"/>
    <w:rsid w:val="006966FB"/>
    <w:rsid w:val="006A0E04"/>
    <w:rsid w:val="006A7F08"/>
    <w:rsid w:val="006C1EED"/>
    <w:rsid w:val="006E157C"/>
    <w:rsid w:val="006E3742"/>
    <w:rsid w:val="006F1493"/>
    <w:rsid w:val="006F4409"/>
    <w:rsid w:val="00703525"/>
    <w:rsid w:val="00704078"/>
    <w:rsid w:val="00713689"/>
    <w:rsid w:val="00713773"/>
    <w:rsid w:val="007222B6"/>
    <w:rsid w:val="00723FF4"/>
    <w:rsid w:val="00724649"/>
    <w:rsid w:val="00730652"/>
    <w:rsid w:val="007407F0"/>
    <w:rsid w:val="00740845"/>
    <w:rsid w:val="0074531D"/>
    <w:rsid w:val="007509C1"/>
    <w:rsid w:val="0075352F"/>
    <w:rsid w:val="00753AD3"/>
    <w:rsid w:val="00763AEA"/>
    <w:rsid w:val="00766995"/>
    <w:rsid w:val="00767770"/>
    <w:rsid w:val="00771B09"/>
    <w:rsid w:val="00773331"/>
    <w:rsid w:val="007822B9"/>
    <w:rsid w:val="00787D2D"/>
    <w:rsid w:val="00790FB8"/>
    <w:rsid w:val="007932EF"/>
    <w:rsid w:val="00795903"/>
    <w:rsid w:val="007A4FD8"/>
    <w:rsid w:val="007B33ED"/>
    <w:rsid w:val="007B7F1B"/>
    <w:rsid w:val="007C7071"/>
    <w:rsid w:val="007D0E7F"/>
    <w:rsid w:val="007D742C"/>
    <w:rsid w:val="007D760D"/>
    <w:rsid w:val="007E05B0"/>
    <w:rsid w:val="007E4C01"/>
    <w:rsid w:val="007E4F07"/>
    <w:rsid w:val="007E7AB0"/>
    <w:rsid w:val="007F47E8"/>
    <w:rsid w:val="007F53A7"/>
    <w:rsid w:val="007F6EA8"/>
    <w:rsid w:val="008002E3"/>
    <w:rsid w:val="008054FA"/>
    <w:rsid w:val="00823851"/>
    <w:rsid w:val="00823E77"/>
    <w:rsid w:val="00833E7E"/>
    <w:rsid w:val="00837DE0"/>
    <w:rsid w:val="00865820"/>
    <w:rsid w:val="00866889"/>
    <w:rsid w:val="00874D22"/>
    <w:rsid w:val="00874EA5"/>
    <w:rsid w:val="0087624F"/>
    <w:rsid w:val="0088422B"/>
    <w:rsid w:val="008842DE"/>
    <w:rsid w:val="00885D9D"/>
    <w:rsid w:val="008A0020"/>
    <w:rsid w:val="008A2914"/>
    <w:rsid w:val="008A55CE"/>
    <w:rsid w:val="008A6861"/>
    <w:rsid w:val="008B0734"/>
    <w:rsid w:val="008B3B2C"/>
    <w:rsid w:val="008C42CB"/>
    <w:rsid w:val="008C4919"/>
    <w:rsid w:val="008D4183"/>
    <w:rsid w:val="008E1D80"/>
    <w:rsid w:val="008E4BC1"/>
    <w:rsid w:val="008E4D8E"/>
    <w:rsid w:val="009028D0"/>
    <w:rsid w:val="00906E1D"/>
    <w:rsid w:val="0091558B"/>
    <w:rsid w:val="00917735"/>
    <w:rsid w:val="00934F7F"/>
    <w:rsid w:val="00940507"/>
    <w:rsid w:val="0095272F"/>
    <w:rsid w:val="009548CA"/>
    <w:rsid w:val="009552AB"/>
    <w:rsid w:val="00955F9A"/>
    <w:rsid w:val="009576F8"/>
    <w:rsid w:val="009631A0"/>
    <w:rsid w:val="009710E7"/>
    <w:rsid w:val="009712E6"/>
    <w:rsid w:val="00981C1B"/>
    <w:rsid w:val="00982EA9"/>
    <w:rsid w:val="00992215"/>
    <w:rsid w:val="0099659B"/>
    <w:rsid w:val="009A3632"/>
    <w:rsid w:val="009A3AE7"/>
    <w:rsid w:val="009A400A"/>
    <w:rsid w:val="009B1401"/>
    <w:rsid w:val="009B2B2D"/>
    <w:rsid w:val="009B32D5"/>
    <w:rsid w:val="009C24CE"/>
    <w:rsid w:val="009C27BD"/>
    <w:rsid w:val="009C2C16"/>
    <w:rsid w:val="009C35C7"/>
    <w:rsid w:val="009C6059"/>
    <w:rsid w:val="009F4B62"/>
    <w:rsid w:val="00A14FC9"/>
    <w:rsid w:val="00A24271"/>
    <w:rsid w:val="00A300D2"/>
    <w:rsid w:val="00A370AF"/>
    <w:rsid w:val="00A378A4"/>
    <w:rsid w:val="00A43639"/>
    <w:rsid w:val="00A444CE"/>
    <w:rsid w:val="00A44EB1"/>
    <w:rsid w:val="00A5258A"/>
    <w:rsid w:val="00A605FF"/>
    <w:rsid w:val="00A64DA0"/>
    <w:rsid w:val="00A819A3"/>
    <w:rsid w:val="00A85D79"/>
    <w:rsid w:val="00A951B4"/>
    <w:rsid w:val="00AB1022"/>
    <w:rsid w:val="00AB63AD"/>
    <w:rsid w:val="00AC51E4"/>
    <w:rsid w:val="00AD11D0"/>
    <w:rsid w:val="00AE2703"/>
    <w:rsid w:val="00AE377E"/>
    <w:rsid w:val="00AE6BA3"/>
    <w:rsid w:val="00B02271"/>
    <w:rsid w:val="00B1108C"/>
    <w:rsid w:val="00B14FFD"/>
    <w:rsid w:val="00B156AB"/>
    <w:rsid w:val="00B250AE"/>
    <w:rsid w:val="00B36380"/>
    <w:rsid w:val="00B51BE5"/>
    <w:rsid w:val="00B57D39"/>
    <w:rsid w:val="00B61D7F"/>
    <w:rsid w:val="00B65513"/>
    <w:rsid w:val="00B77934"/>
    <w:rsid w:val="00B94134"/>
    <w:rsid w:val="00B945A8"/>
    <w:rsid w:val="00B97C8E"/>
    <w:rsid w:val="00BA11FA"/>
    <w:rsid w:val="00BC3717"/>
    <w:rsid w:val="00BD5C43"/>
    <w:rsid w:val="00BD6C8B"/>
    <w:rsid w:val="00BE39C3"/>
    <w:rsid w:val="00BE3DAB"/>
    <w:rsid w:val="00BE6C89"/>
    <w:rsid w:val="00BF16E5"/>
    <w:rsid w:val="00BF390B"/>
    <w:rsid w:val="00BF5249"/>
    <w:rsid w:val="00C03B0D"/>
    <w:rsid w:val="00C12301"/>
    <w:rsid w:val="00C37CA0"/>
    <w:rsid w:val="00C463B7"/>
    <w:rsid w:val="00C4794A"/>
    <w:rsid w:val="00C601CE"/>
    <w:rsid w:val="00C93DDF"/>
    <w:rsid w:val="00C95BC8"/>
    <w:rsid w:val="00CA284F"/>
    <w:rsid w:val="00CA3DEE"/>
    <w:rsid w:val="00CB28DB"/>
    <w:rsid w:val="00CC16AE"/>
    <w:rsid w:val="00CC59C0"/>
    <w:rsid w:val="00CC5FB1"/>
    <w:rsid w:val="00CD227C"/>
    <w:rsid w:val="00CD3A8A"/>
    <w:rsid w:val="00CE1D4F"/>
    <w:rsid w:val="00CE2F70"/>
    <w:rsid w:val="00CF1CAB"/>
    <w:rsid w:val="00CF4B49"/>
    <w:rsid w:val="00D033C1"/>
    <w:rsid w:val="00D0675E"/>
    <w:rsid w:val="00D11B95"/>
    <w:rsid w:val="00D14DD6"/>
    <w:rsid w:val="00D20381"/>
    <w:rsid w:val="00D27FF3"/>
    <w:rsid w:val="00D3181B"/>
    <w:rsid w:val="00D31DC3"/>
    <w:rsid w:val="00D43FD4"/>
    <w:rsid w:val="00D57594"/>
    <w:rsid w:val="00D66EF7"/>
    <w:rsid w:val="00D70B23"/>
    <w:rsid w:val="00D85C43"/>
    <w:rsid w:val="00D91C42"/>
    <w:rsid w:val="00DA00E4"/>
    <w:rsid w:val="00DB2781"/>
    <w:rsid w:val="00DB74C5"/>
    <w:rsid w:val="00DC201F"/>
    <w:rsid w:val="00DC49A8"/>
    <w:rsid w:val="00DE30C2"/>
    <w:rsid w:val="00E01816"/>
    <w:rsid w:val="00E01C12"/>
    <w:rsid w:val="00E05D64"/>
    <w:rsid w:val="00E06BA3"/>
    <w:rsid w:val="00E116D4"/>
    <w:rsid w:val="00E27FAB"/>
    <w:rsid w:val="00E3532F"/>
    <w:rsid w:val="00E35E50"/>
    <w:rsid w:val="00E47C88"/>
    <w:rsid w:val="00E47DD7"/>
    <w:rsid w:val="00E546D2"/>
    <w:rsid w:val="00E54AD9"/>
    <w:rsid w:val="00E60252"/>
    <w:rsid w:val="00E72789"/>
    <w:rsid w:val="00E7368F"/>
    <w:rsid w:val="00E772A3"/>
    <w:rsid w:val="00E82C60"/>
    <w:rsid w:val="00E85681"/>
    <w:rsid w:val="00E9519D"/>
    <w:rsid w:val="00E975A5"/>
    <w:rsid w:val="00EA0667"/>
    <w:rsid w:val="00EA17F2"/>
    <w:rsid w:val="00EB205D"/>
    <w:rsid w:val="00EC646D"/>
    <w:rsid w:val="00EC76B0"/>
    <w:rsid w:val="00EC790C"/>
    <w:rsid w:val="00ED77F3"/>
    <w:rsid w:val="00EE2657"/>
    <w:rsid w:val="00EE42A7"/>
    <w:rsid w:val="00EE719E"/>
    <w:rsid w:val="00EF088B"/>
    <w:rsid w:val="00EF0D5C"/>
    <w:rsid w:val="00EF36D3"/>
    <w:rsid w:val="00EF4A6A"/>
    <w:rsid w:val="00F14F5F"/>
    <w:rsid w:val="00F52EA8"/>
    <w:rsid w:val="00F64BAA"/>
    <w:rsid w:val="00F6511F"/>
    <w:rsid w:val="00F67AE2"/>
    <w:rsid w:val="00F7256D"/>
    <w:rsid w:val="00F7442F"/>
    <w:rsid w:val="00F75FF0"/>
    <w:rsid w:val="00F76518"/>
    <w:rsid w:val="00F774E0"/>
    <w:rsid w:val="00F77E82"/>
    <w:rsid w:val="00F852F9"/>
    <w:rsid w:val="00F86318"/>
    <w:rsid w:val="00F91723"/>
    <w:rsid w:val="00FA5D7D"/>
    <w:rsid w:val="00FB44DA"/>
    <w:rsid w:val="00FC35F3"/>
    <w:rsid w:val="00FC38F8"/>
    <w:rsid w:val="00FC53B0"/>
    <w:rsid w:val="00FD4832"/>
    <w:rsid w:val="00FE2573"/>
    <w:rsid w:val="00FE7EB3"/>
    <w:rsid w:val="00FF0458"/>
    <w:rsid w:val="00FF4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5:docId w15:val="{EF82CD07-9C8C-4639-A828-33E08F53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51E4"/>
    <w:rPr>
      <w:sz w:val="16"/>
      <w:szCs w:val="16"/>
    </w:rPr>
  </w:style>
  <w:style w:type="paragraph" w:styleId="CommentText">
    <w:name w:val="annotation text"/>
    <w:basedOn w:val="Normal"/>
    <w:link w:val="CommentTextChar"/>
    <w:uiPriority w:val="99"/>
    <w:unhideWhenUsed/>
    <w:rsid w:val="00AC51E4"/>
    <w:rPr>
      <w:sz w:val="20"/>
      <w:szCs w:val="20"/>
    </w:rPr>
  </w:style>
  <w:style w:type="character" w:customStyle="1" w:styleId="CommentTextChar">
    <w:name w:val="Comment Text Char"/>
    <w:basedOn w:val="DefaultParagraphFont"/>
    <w:link w:val="CommentText"/>
    <w:uiPriority w:val="99"/>
    <w:rsid w:val="00AC51E4"/>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AC51E4"/>
    <w:rPr>
      <w:b/>
      <w:bCs/>
    </w:rPr>
  </w:style>
  <w:style w:type="character" w:customStyle="1" w:styleId="CommentSubjectChar">
    <w:name w:val="Comment Subject Char"/>
    <w:basedOn w:val="CommentTextChar"/>
    <w:link w:val="CommentSubject"/>
    <w:uiPriority w:val="99"/>
    <w:semiHidden/>
    <w:rsid w:val="00AC51E4"/>
    <w:rPr>
      <w:rFonts w:ascii="Times New Roman" w:hAnsi="Times New Roman" w:cs="Times New Roman"/>
      <w:b/>
      <w:bCs/>
      <w:sz w:val="20"/>
      <w:szCs w:val="20"/>
      <w:lang w:val="sl-SI"/>
    </w:rPr>
  </w:style>
  <w:style w:type="character" w:customStyle="1" w:styleId="Bodytext2">
    <w:name w:val="Body text|2"/>
    <w:uiPriority w:val="99"/>
    <w:semiHidden/>
    <w:unhideWhenUsed/>
    <w:rsid w:val="00487005"/>
  </w:style>
  <w:style w:type="paragraph" w:styleId="ListBullet">
    <w:name w:val="List Bullet"/>
    <w:basedOn w:val="Normal"/>
    <w:uiPriority w:val="99"/>
    <w:semiHidden/>
    <w:unhideWhenUsed/>
    <w:rsid w:val="00D70B23"/>
    <w:pPr>
      <w:numPr>
        <w:numId w:val="1"/>
      </w:numPr>
      <w:contextualSpacing/>
    </w:pPr>
  </w:style>
  <w:style w:type="paragraph" w:styleId="ListBullet2">
    <w:name w:val="List Bullet 2"/>
    <w:basedOn w:val="Normal"/>
    <w:uiPriority w:val="99"/>
    <w:semiHidden/>
    <w:unhideWhenUsed/>
    <w:rsid w:val="00D70B23"/>
    <w:pPr>
      <w:numPr>
        <w:numId w:val="2"/>
      </w:numPr>
      <w:contextualSpacing/>
    </w:pPr>
  </w:style>
  <w:style w:type="paragraph" w:styleId="ListBullet3">
    <w:name w:val="List Bullet 3"/>
    <w:basedOn w:val="Normal"/>
    <w:uiPriority w:val="99"/>
    <w:semiHidden/>
    <w:unhideWhenUsed/>
    <w:rsid w:val="00D70B23"/>
    <w:pPr>
      <w:numPr>
        <w:numId w:val="3"/>
      </w:numPr>
      <w:contextualSpacing/>
    </w:pPr>
  </w:style>
  <w:style w:type="paragraph" w:styleId="ListBullet4">
    <w:name w:val="List Bullet 4"/>
    <w:basedOn w:val="Normal"/>
    <w:uiPriority w:val="99"/>
    <w:semiHidden/>
    <w:unhideWhenUsed/>
    <w:rsid w:val="00D70B23"/>
    <w:pPr>
      <w:numPr>
        <w:numId w:val="4"/>
      </w:numPr>
      <w:contextualSpacing/>
    </w:pPr>
  </w:style>
  <w:style w:type="paragraph" w:styleId="Revision">
    <w:name w:val="Revision"/>
    <w:hidden/>
    <w:uiPriority w:val="99"/>
    <w:semiHidden/>
    <w:rsid w:val="00E85681"/>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9C27BD"/>
    <w:rPr>
      <w:color w:val="0000FF" w:themeColor="hyperlink"/>
      <w:u w:val="single"/>
    </w:rPr>
  </w:style>
  <w:style w:type="character" w:customStyle="1" w:styleId="UnresolvedMention">
    <w:name w:val="Unresolved Mention"/>
    <w:basedOn w:val="DefaultParagraphFont"/>
    <w:uiPriority w:val="99"/>
    <w:semiHidden/>
    <w:unhideWhenUsed/>
    <w:rsid w:val="006751B4"/>
    <w:rPr>
      <w:color w:val="605E5C"/>
      <w:shd w:val="clear" w:color="auto" w:fill="E1DFDD"/>
    </w:rPr>
  </w:style>
  <w:style w:type="character" w:styleId="FollowedHyperlink">
    <w:name w:val="FollowedHyperlink"/>
    <w:basedOn w:val="DefaultParagraphFont"/>
    <w:uiPriority w:val="99"/>
    <w:semiHidden/>
    <w:unhideWhenUsed/>
    <w:rsid w:val="00C601CE"/>
    <w:rPr>
      <w:color w:val="800080" w:themeColor="followedHyperlink"/>
      <w:u w:val="single"/>
    </w:rPr>
  </w:style>
  <w:style w:type="character" w:customStyle="1" w:styleId="HeaderChar">
    <w:name w:val="Header Char"/>
    <w:basedOn w:val="DefaultParagraphFont"/>
    <w:link w:val="Header"/>
    <w:uiPriority w:val="99"/>
    <w:rsid w:val="00152D3D"/>
    <w:rPr>
      <w:rFonts w:ascii="Times New Roman" w:hAnsi="Times New Roman" w:cs="Times New Roman"/>
      <w:sz w:val="24"/>
      <w:lang w:val="sl-SI"/>
    </w:rPr>
  </w:style>
  <w:style w:type="character" w:customStyle="1" w:styleId="FooterChar">
    <w:name w:val="Footer Char"/>
    <w:basedOn w:val="DefaultParagraphFont"/>
    <w:link w:val="Footer"/>
    <w:uiPriority w:val="99"/>
    <w:rsid w:val="00152D3D"/>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52D3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52D3D"/>
    <w:pPr>
      <w:spacing w:before="0"/>
      <w:jc w:val="right"/>
    </w:pPr>
    <w:rPr>
      <w:sz w:val="28"/>
    </w:rPr>
  </w:style>
  <w:style w:type="paragraph" w:customStyle="1" w:styleId="FooterSensitivity">
    <w:name w:val="Footer Sensitivity"/>
    <w:basedOn w:val="Normal"/>
    <w:rsid w:val="00152D3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52D3D"/>
    <w:pPr>
      <w:tabs>
        <w:tab w:val="center" w:pos="4535"/>
        <w:tab w:val="right" w:pos="9071"/>
      </w:tabs>
      <w:spacing w:before="0"/>
    </w:pPr>
  </w:style>
  <w:style w:type="paragraph" w:customStyle="1" w:styleId="HeaderLandscape">
    <w:name w:val="HeaderLandscape"/>
    <w:basedOn w:val="Normal"/>
    <w:rsid w:val="00152D3D"/>
    <w:pPr>
      <w:tabs>
        <w:tab w:val="center" w:pos="7285"/>
        <w:tab w:val="right" w:pos="14003"/>
      </w:tabs>
      <w:spacing w:before="0"/>
    </w:pPr>
  </w:style>
  <w:style w:type="paragraph" w:styleId="Footer">
    <w:name w:val="footer"/>
    <w:basedOn w:val="Normal"/>
    <w:link w:val="FooterChar"/>
    <w:uiPriority w:val="99"/>
    <w:unhideWhenUsed/>
    <w:rsid w:val="00152D3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52D3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9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guinault.com/fr/apu-off" TargetMode="External"/><Relationship Id="rId1" Type="http://schemas.openxmlformats.org/officeDocument/2006/relationships/hyperlink" Target="https://www.iata.org/en/publications/economics/fuel-moni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931-0D1A-4553-B49E-D7766E03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11</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2024-05-02T14:13:00Z</dcterms:created>
  <dcterms:modified xsi:type="dcterms:W3CDTF">2024-05-22T07:40:00Z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2022-11-17T14:08:12Z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056e1cc0-bd39-4fba-9fbc-17be165f28d6</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SJ-020</vt:lpwstr>
  </property>
  <property fmtid="{D5CDD505-2E9C-101B-9397-08002B2CF9AE}" pid="17" name="DQCStatus">
    <vt:lpwstr>Green (DQC version 03)</vt:lpwstr>
  </property>
  <property name="OP_sanitized" fmtid="{D5CDD505-2E9C-101B-9397-08002B2CF9AE}" pid="18">
    <vt:lpwstr>True</vt:lpwstr>
  </property>
</Properties>
</file>