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E89" w:rsidRPr="00A4089F" w:rsidRDefault="00321C5F" w:rsidP="00321C5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2BFAF87-7D7E-415B-B678-1209984BA86E" style="width:455.25pt;height:341.25pt">
            <v:imagedata r:id="rId11" o:title=""/>
          </v:shape>
        </w:pict>
      </w:r>
    </w:p>
    <w:p w:rsidR="00EC3C7B" w:rsidRPr="00A4089F" w:rsidRDefault="00EC3C7B" w:rsidP="00EC3C7B">
      <w:pPr>
        <w:pStyle w:val="Pagedecouverture"/>
        <w:rPr>
          <w:noProof/>
        </w:rPr>
        <w:sectPr w:rsidR="00EC3C7B" w:rsidRPr="00A4089F" w:rsidSect="00321C5F">
          <w:footerReference w:type="even" r:id="rId12"/>
          <w:footerReference w:type="default" r:id="rId13"/>
          <w:pgSz w:w="11907" w:h="16839"/>
          <w:pgMar w:top="1134" w:right="1417" w:bottom="1134" w:left="1417" w:header="709" w:footer="709" w:gutter="0"/>
          <w:pgNumType w:start="0"/>
          <w:cols w:space="720"/>
          <w:docGrid w:linePitch="360"/>
        </w:sectPr>
      </w:pPr>
    </w:p>
    <w:p w:rsidR="00F71E89" w:rsidRPr="00A4089F" w:rsidRDefault="00F71E89" w:rsidP="00DD6855">
      <w:pPr>
        <w:pStyle w:val="Exposdesmotifstitre"/>
        <w:rPr>
          <w:noProof/>
        </w:rPr>
      </w:pPr>
      <w:bookmarkStart w:id="0" w:name="_GoBack"/>
      <w:bookmarkEnd w:id="0"/>
      <w:r w:rsidRPr="00A4089F">
        <w:rPr>
          <w:noProof/>
        </w:rPr>
        <w:lastRenderedPageBreak/>
        <w:t>OBRAZLOŽITVENI MEMORANDUM</w:t>
      </w:r>
    </w:p>
    <w:p w:rsidR="00F71E89" w:rsidRPr="00A4089F" w:rsidRDefault="00F71E89" w:rsidP="00DD6855">
      <w:pPr>
        <w:pStyle w:val="ManualHeading1"/>
        <w:rPr>
          <w:noProof/>
        </w:rPr>
      </w:pPr>
      <w:r w:rsidRPr="00A4089F">
        <w:rPr>
          <w:noProof/>
        </w:rPr>
        <w:t>1.</w:t>
      </w:r>
      <w:r w:rsidRPr="00A4089F">
        <w:rPr>
          <w:noProof/>
        </w:rPr>
        <w:tab/>
        <w:t>OZADJE PREDLOGA</w:t>
      </w:r>
    </w:p>
    <w:p w:rsidR="00F71E89" w:rsidRPr="00A4089F" w:rsidRDefault="00F71E89" w:rsidP="00DD6855">
      <w:pPr>
        <w:pStyle w:val="ManualHeading2"/>
        <w:rPr>
          <w:rFonts w:eastAsia="Arial Unicode MS"/>
          <w:noProof/>
        </w:rPr>
      </w:pPr>
      <w:r w:rsidRPr="00A4089F">
        <w:rPr>
          <w:noProof/>
          <w:color w:val="000000"/>
          <w:u w:color="000000"/>
          <w:bdr w:val="nil"/>
        </w:rPr>
        <w:t>•</w:t>
      </w:r>
      <w:r w:rsidRPr="00A4089F">
        <w:rPr>
          <w:noProof/>
          <w:color w:val="000000"/>
          <w:u w:color="000000"/>
          <w:bdr w:val="nil"/>
        </w:rPr>
        <w:tab/>
      </w:r>
      <w:r w:rsidRPr="00A4089F">
        <w:rPr>
          <w:noProof/>
        </w:rPr>
        <w:t>Razlogi za predlog in njegovi cilji</w:t>
      </w:r>
    </w:p>
    <w:p w:rsidR="004D2A3B" w:rsidRPr="00A4089F" w:rsidRDefault="004D2A3B" w:rsidP="004D2A3B">
      <w:pPr>
        <w:rPr>
          <w:noProof/>
        </w:rPr>
      </w:pPr>
      <w:r w:rsidRPr="00A4089F">
        <w:rPr>
          <w:noProof/>
        </w:rPr>
        <w:t>Po invaziji Rusije na Ukrajino je pritok plina iz Rusije v EU moten zaradi namernih poskusov uporabiti energijo kot politično orožje. EU se je leta 2021 za približno 45 % oskrbe s plinom zanašala na Rusijo. Ta delež se je od februarja 2022 stalno zmanjševal. EU je leta 2023 prek plinovodov iz Rusije uvozila približno 25 milijard kubičnih metrov plina.  Plin iz Rusije je leta 2023 predstavljal 15 % celotnega uvoza EU (po plinovodu in utekočinjeni zemeljski plin). Zaradi motenj v oskrbi s plinom in zaostrenih razmer na trgu od februarja 2022 je dvanajst držav članic razglasilo prvo ali drugo stopnjo krize v skladu s skupno klasifikacijo EU, kakor je predvideno v Uredbi (EU) 2017/1938 o zanesljivosti oskrbe s plinom.</w:t>
      </w:r>
    </w:p>
    <w:p w:rsidR="004D2A3B" w:rsidRPr="00A4089F" w:rsidRDefault="004D2A3B" w:rsidP="004D2A3B">
      <w:pPr>
        <w:pBdr>
          <w:top w:val="nil"/>
          <w:left w:val="nil"/>
          <w:bottom w:val="nil"/>
          <w:right w:val="nil"/>
          <w:between w:val="nil"/>
        </w:pBdr>
        <w:spacing w:before="0" w:after="240"/>
        <w:rPr>
          <w:rFonts w:eastAsia="Times New Roman"/>
          <w:noProof/>
        </w:rPr>
      </w:pPr>
      <w:r w:rsidRPr="00A4089F">
        <w:rPr>
          <w:noProof/>
        </w:rPr>
        <w:t>Ta motnja v oskrbi je izrazito vplivala na ceno plina in njeno nestanovitnost ter ceno električne energije, inflacijo, splošno finančno in makroekonomsko stabilnost EU in na ekonomsko dobrobit državljanov. Veleprodajna cena je bila leta 2022 v povprečju več kot petkrat višja kot pred krizo, ki jo je sprožila invazija Rusije na Ukrajino februarja 2022, in se je na vrhuncu krize poleti 2022 povzpela celo nad 300 EUR/MWh. Od februarja 2022 so ravni cen višje kot v obdobju pred krizo in še vedno zelo nestanovitne. To je negativno vplivalo na konkurenčnost podjetij v EU, zlasti v energijsko intenzivnih panogah, zmanjšala pa se je tudi kupna moč državljanov.</w:t>
      </w:r>
    </w:p>
    <w:p w:rsidR="004D2A3B" w:rsidRPr="00A4089F" w:rsidRDefault="007E6F4A" w:rsidP="004D2A3B">
      <w:pPr>
        <w:pBdr>
          <w:top w:val="nil"/>
          <w:left w:val="nil"/>
          <w:bottom w:val="nil"/>
          <w:right w:val="nil"/>
          <w:between w:val="nil"/>
        </w:pBdr>
        <w:spacing w:before="0" w:after="240"/>
        <w:rPr>
          <w:rFonts w:eastAsia="Times New Roman"/>
          <w:noProof/>
        </w:rPr>
      </w:pPr>
      <w:r w:rsidRPr="00A4089F">
        <w:rPr>
          <w:noProof/>
        </w:rPr>
        <w:t xml:space="preserve">V tej zvezi je Komisija 20. julija 2022 predlagala uredbo Sveta o usklajenem zmanjšanju povpraševanja po plinu, ki jo je Svet nato sprejel 5. avgusta 2022 v obliki Uredbe (EU) 2022/1369. Od sprejetja Uredbe (EU) 2022/1369 jo države članice izvajajo s sprejetjem ukrepov za zmanjšanje njihovega povpraševanja po plinu za 15 %. </w:t>
      </w:r>
    </w:p>
    <w:p w:rsidR="004D2A3B" w:rsidRPr="00A4089F" w:rsidRDefault="004D2A3B" w:rsidP="004D2A3B">
      <w:pPr>
        <w:rPr>
          <w:rFonts w:eastAsia="Times New Roman"/>
          <w:noProof/>
        </w:rPr>
      </w:pPr>
      <w:r w:rsidRPr="00A4089F">
        <w:rPr>
          <w:noProof/>
        </w:rPr>
        <w:t>Uredba (EU) 2022/1369 določa prostovoljno zmanjšanje povpraševanja po plinu po vsej Uniji za 15 %. Določa tudi, da v primeru dokazane nezadostnosti prostovoljnih ukrepov za zmanjšanje povpraševanja za naslovitev tveganja hudega pomanjkanja oskrbe ali na zahtevo petih ali več pristojnih organov držav članic, ki so razglasile nacionalna stanja pripravljenosti, lahko Svet na predlog Komisije z izvedbenim sklepom razglasi pripravljenost na ravni Unije. Zaradi te pripravljenosti na ravni Unije bi bil cilj 15-odstotnega zmanjšanja povpraševanja obvezen in bi deloval kot varnostna mreža v primeru krize.</w:t>
      </w:r>
    </w:p>
    <w:p w:rsidR="004D2A3B" w:rsidRPr="00A4089F" w:rsidRDefault="009D63FB" w:rsidP="004D2A3B">
      <w:pPr>
        <w:rPr>
          <w:rFonts w:eastAsia="Times New Roman"/>
          <w:noProof/>
        </w:rPr>
      </w:pPr>
      <w:r w:rsidRPr="00A4089F">
        <w:rPr>
          <w:noProof/>
        </w:rPr>
        <w:t xml:space="preserve">Od sprejetja Uredbe (EU) 2022/1369 je EU že zmanjšala povpraševanje po plinu za 18 % na prostovoljni osnovi med avgustom 2022 in decembrom 2023 (privarčevanih cca. 101 kubični metrov). Zaradi še vedno obstoječe potrebe po nadaljevanju zmanjševanja povpraševanja po plinu, da se zagotovi zanesljivost oskrbe in omeji nestanovitnost cen, je Svet Uredbo podaljšal za eno leto, tj. do 31. marca 2024. Kot je razvidno iz poročila Komisije COM(2024) 88, so prizadevanja za zmanjšanje povpraševanja največ prispevala k nadomestitvi manjkajočega plina po plinovodu iz Rusije, pri čemer je bilo leta 2023 privarčevanih približno 65 milijard kubičnih metrov plina. </w:t>
      </w:r>
    </w:p>
    <w:p w:rsidR="004D2A3B" w:rsidRPr="00A4089F" w:rsidRDefault="004D2A3B" w:rsidP="004D2A3B">
      <w:pPr>
        <w:pBdr>
          <w:top w:val="nil"/>
          <w:left w:val="nil"/>
          <w:bottom w:val="nil"/>
          <w:right w:val="nil"/>
          <w:between w:val="nil"/>
        </w:pBdr>
        <w:spacing w:before="0" w:after="240"/>
        <w:rPr>
          <w:rFonts w:eastAsia="Times New Roman"/>
          <w:noProof/>
        </w:rPr>
      </w:pPr>
      <w:r w:rsidRPr="00A4089F">
        <w:rPr>
          <w:noProof/>
        </w:rPr>
        <w:t>Države članice morajo biti na usklajen način in v duhu solidarnosti še naprej pripravljene na morebitno hudo pomanjkanje plina. Kljub sprejetim ukrepom še vedno obstajajo hude težave pri oskrbi z energijo, ki lahko vplivajo na splošno energetsko varnost, če povpraševanje ne ostane pod varno ravnjo. Razmere na svetovnih trgih plina so še vedno zaostrene in naj bi po pričakovanjih take ostale še nekaj časa, saj naj bi pred letom 2026 na svetovni ravni začele delovali le zelo omejene nove zmogljivosti za utekočinjanje utekočinjenega zemeljskega plina.</w:t>
      </w:r>
    </w:p>
    <w:p w:rsidR="004D2A3B" w:rsidRPr="00A4089F" w:rsidRDefault="004D2A3B" w:rsidP="004D2A3B">
      <w:pPr>
        <w:spacing w:before="0" w:after="240"/>
        <w:rPr>
          <w:rFonts w:eastAsia="Times New Roman"/>
          <w:noProof/>
        </w:rPr>
      </w:pPr>
      <w:r w:rsidRPr="00A4089F">
        <w:rPr>
          <w:noProof/>
        </w:rPr>
        <w:t xml:space="preserve">Dodatna tveganja vključujejo nadaljnje poslabšanje geopolitičnih groženj v oskrbovalnih regijah, možno okrepitev povpraševanja po utekočinjenem zemeljskem plinu v Aziji, kar lahko zmanjša razpoložljivost plina na svetovnem trgu, vremenske razmere, ki lahko vplivajo na proizvodnjo hidroenergije in jedrske energije ter zahtevajo večje zatekanje k proizvodnji električne energije iz plina, in druge motnje v oskrbi s plinom, ki lahko vplivajo na polnjenje podzemnih skladišč plina, ki so potrebna za varno zimo 2024–2025. </w:t>
      </w:r>
    </w:p>
    <w:p w:rsidR="004D2A3B" w:rsidRPr="00A4089F" w:rsidRDefault="004D2A3B" w:rsidP="004D2A3B">
      <w:pPr>
        <w:rPr>
          <w:rFonts w:eastAsia="Times New Roman"/>
          <w:noProof/>
          <w:szCs w:val="24"/>
        </w:rPr>
      </w:pPr>
      <w:r w:rsidRPr="00A4089F">
        <w:rPr>
          <w:noProof/>
        </w:rPr>
        <w:t xml:space="preserve">Poleg tega Poročilo Komisije (COM)2024 88 vključuje več scenarijev, ki v primeru motnje oskrbe iz Rusije poudarjajo potrebo nadaljnjem zmanjševanju porabe, da se zagotovi polnjenje skladišč in zanesljivost oskrbe za sezono 2024–2025. Popolnoma motena oskrba s plinom iz Rusije je pomemben scenarij, ki ga je treba upoštevati, med drugim zaradi prenehanja veljavnosti sporazuma o tranzitu prek Ukrajine 31. decembra 2024 in morebitno dodatno zaostrenih geopolitičnih razmer. Če bi se v primeru motnje iz Rusije povpraševanje okrepilo na predkrizne ravni (tj. brez nadaljevanja zmanjšanja povpraševanja), bi se skladišča izpraznila že februarja 2025. Tako bi EU ostala brez potrebnih količin za oskrbo potrošnikov v delu zime 2024/2025. Poleg tega bi EU sezono polnjenja skladišč 2025–2026 začela pri rekordno nizkih ravneh, kar pomeni, da bi bila pod vprašajem tudi zanesljivost oskrbe za sezono 2025–2026. Tveganja za zanesljivost oskrbe v primeru popolnoma motene oskrbe iz Rusije priznava tudi Evropska mreža sistemskih operaterjev prenosnih omrežij zemeljskega plina (ENTSOG) v svojih obetih za zimsko oskrbo. Mreža ENTSOG je ugotovila, da bi bili kljub izboljšanju splošne zanesljivosti oskrbe v EU lahko potrebni dodatni ukrepi za zagotovitev oskrbe s plinom in ustreznost povpraševanja v primeru popolnoma motene oskrbe iz Rusije. Agencija Evropske unije za sodelovanje energetskih regulatorjev (ACER) je v svojem mnenju o obetih ENTSOG za zimsko oskrbo priznala, da lahko uresničitev tveganj povzroči pomanjkanje oskrbe ter da bi bilo treba še naprej pozorno spremljati stanje zanesljivosti oskrbe in zmanjševanje povpraševanja po plinu. </w:t>
      </w:r>
    </w:p>
    <w:p w:rsidR="004D2A3B" w:rsidRPr="00A4089F" w:rsidRDefault="004D2A3B" w:rsidP="004D2A3B">
      <w:pPr>
        <w:rPr>
          <w:rFonts w:eastAsia="Times New Roman"/>
          <w:noProof/>
          <w:color w:val="000000" w:themeColor="text1"/>
        </w:rPr>
      </w:pPr>
      <w:r w:rsidRPr="00A4089F">
        <w:rPr>
          <w:noProof/>
          <w:color w:val="000000" w:themeColor="text1"/>
        </w:rPr>
        <w:t xml:space="preserve">Za zagotovitev, da bo EU pripravljena na zimo 2024–2025 in da bodo države članice izpolnile cilj 90-odstotne napolnjenosti skladišč do 1. novembra 2024, ostaja ključno preudarno upravljanje skladišč, ki bi morala biti pozimi napolnjena na ustrezno visoki ravni. V sezoni 2023–2024 je bilo kot v sezoni 2022–2023 zmanjšanje povpraševanja ključnega pomena za ohranitev ustreznih ravni skladiščenja ob koncu zime in za zagotavljanje potrebne prožnosti poleti, tako da je bilo mogoče doseči cilj 90-odstotnega skladiščenja, hkrati pa ohraniti cene na nižjih ravneh in omejiti nestanovitnost. Ukrepi za zmanjšanje povpraševanja so prav tako ključno pripomogli k temu, da je bil cilj glede skladiščenja dosežen že avgusta, precej pred ciljnim novembrom. Zato so akterji na evropskem trgu začeli skladiščiti plin v Ukrajini proti koncu poletja 2023. </w:t>
      </w:r>
    </w:p>
    <w:p w:rsidR="004D2A3B" w:rsidRPr="00A4089F" w:rsidRDefault="004D2A3B" w:rsidP="004D2A3B">
      <w:pPr>
        <w:rPr>
          <w:rFonts w:eastAsia="Times New Roman"/>
          <w:noProof/>
        </w:rPr>
      </w:pPr>
      <w:r w:rsidRPr="00A4089F">
        <w:rPr>
          <w:noProof/>
        </w:rPr>
        <w:t xml:space="preserve">Zato se ob upoštevanju tveganj v zvezi z oskrbo iz Rusije, trenutnega poslabšanja geopolitične krajine groženj, vremenskih razmer in razvoja na svetovnem trgu plina predlaga, da se državam članicam priporoči, da po poteku obdobja iz Uredbe (EU) 2022/1369 še naprej izvajajo svoje usklajene ukrepe za zmanjšanje povpraševanja. Čeprav so države članice različno izpostavljene motnjam v oskrbi, bi morebitno pomanjkanje oskrbe s plinom škodovalo gospodarstvom vseh držav članic. Kot je navedeno v sporočilu „Varčujmo s plinom za varno zimo“ z dne 20. julija 2022, je za državljane in industrijo vseh držav članic ekonomsko bolj vzdržno, da se v duhu solidarnosti nadaljuje proaktivno in sorazmerno zmanjševanje povpraševanja, namesto da bi se pozneje soočali z nekoordiniranimi omejitvami. Vnaprejšnji, usklajeni in prostovoljni prihranki zato zmanjšujejo tveganje negativnega vpliva, ki bi ga pomanjkanje plina lahko imelo na konkurenčnost industrije. </w:t>
      </w:r>
    </w:p>
    <w:p w:rsidR="000832E4" w:rsidRPr="00A4089F" w:rsidRDefault="004D2A3B" w:rsidP="000832E4">
      <w:pPr>
        <w:rPr>
          <w:noProof/>
        </w:rPr>
      </w:pPr>
      <w:r w:rsidRPr="00A4089F">
        <w:rPr>
          <w:noProof/>
        </w:rPr>
        <w:t xml:space="preserve">Zato predlagano priporočilo Sveta o nadaljevanju usklajenih ukrepov za zmanjšanje povpraševanja priporoča, naj države članice še naprej zmanjšujejo svoje povpraševanje za 15 % v primerjavi z referenčnim obdobjem od 1. aprila 2017 do 31. marca 2022. </w:t>
      </w:r>
    </w:p>
    <w:p w:rsidR="00F71E89" w:rsidRPr="00A4089F" w:rsidRDefault="00F71E89" w:rsidP="00DD6855">
      <w:pPr>
        <w:pStyle w:val="ManualHeading2"/>
        <w:rPr>
          <w:rFonts w:eastAsia="Arial Unicode MS"/>
          <w:noProof/>
          <w:color w:val="000000"/>
          <w:u w:color="000000"/>
          <w:bdr w:val="nil"/>
        </w:rPr>
      </w:pPr>
      <w:r w:rsidRPr="00A4089F">
        <w:rPr>
          <w:noProof/>
          <w:color w:val="000000"/>
          <w:u w:color="000000"/>
          <w:bdr w:val="nil"/>
        </w:rPr>
        <w:t>•</w:t>
      </w:r>
      <w:r w:rsidRPr="00A4089F">
        <w:rPr>
          <w:noProof/>
          <w:color w:val="000000"/>
          <w:u w:color="000000"/>
          <w:bdr w:val="nil"/>
        </w:rPr>
        <w:tab/>
      </w:r>
      <w:r w:rsidRPr="00A4089F">
        <w:rPr>
          <w:noProof/>
        </w:rPr>
        <w:t>Skladnost z veljavnimi predpisi s področja zadevne politike</w:t>
      </w:r>
    </w:p>
    <w:p w:rsidR="004D2A3B" w:rsidRPr="00A4089F" w:rsidRDefault="004D2A3B" w:rsidP="004D2A3B">
      <w:pPr>
        <w:pBdr>
          <w:top w:val="nil"/>
          <w:left w:val="nil"/>
          <w:bottom w:val="nil"/>
          <w:right w:val="nil"/>
          <w:between w:val="nil"/>
        </w:pBdr>
        <w:spacing w:before="0" w:after="240"/>
        <w:rPr>
          <w:rFonts w:eastAsia="Times New Roman"/>
          <w:noProof/>
        </w:rPr>
      </w:pPr>
      <w:r w:rsidRPr="00A4089F">
        <w:rPr>
          <w:noProof/>
        </w:rPr>
        <w:t xml:space="preserve">Predlagani instrument dopolnjuje obstoječe zadevne pobude in zakonodajo EU, ki zagotavljajo, da imajo državljani zanesljivo oskrbo s plinom in so odjemalci zaščiteni pred večjimi motnjami v njej. Poleg tega podpira cilj diverzifikacije oskrbe z zemeljskim plinom. </w:t>
      </w:r>
    </w:p>
    <w:p w:rsidR="004D2A3B" w:rsidRPr="00A4089F" w:rsidRDefault="004D2A3B" w:rsidP="004D2A3B">
      <w:pPr>
        <w:pBdr>
          <w:top w:val="nil"/>
          <w:left w:val="nil"/>
          <w:bottom w:val="nil"/>
          <w:right w:val="nil"/>
          <w:between w:val="nil"/>
        </w:pBdr>
        <w:spacing w:before="0" w:after="240"/>
        <w:rPr>
          <w:rFonts w:eastAsia="Times New Roman"/>
          <w:noProof/>
        </w:rPr>
      </w:pPr>
      <w:r w:rsidRPr="00A4089F">
        <w:rPr>
          <w:noProof/>
        </w:rPr>
        <w:t>Logično gradi na obstoječih pobudah, kot so REPowerEU, predlog svežnja ukrepov za razogljičenje trga vodika in plina ter pobuda „Varčujmo s plinom za varno zimo“, vključno z Uredbo (EU) 2022/1369 o usklajenih ukrepih za zmanjšanje povpraševanja po plinu, spremenjeno z Uredbo (EU) 2023/706. Določbe dopolnjujejo zakonodajo EU o notranjem trgu in zanesljivosti oskrbe, zlasti Uredbo (EU) 2017/1938. Poleg tega dopolnjuje Uredbo Sveta (EU) 2022/2576 o krepitvi solidarnosti z boljšim usklajevanjem nakupov plina, zanesljivimi referenčnimi cenami in čezmejno izmenjavo plina. Vzpostavljeni so solidarnostni mehanizmi, ki zagotavljajo čezmejno sodelovanje držav članic, da se v primeru motenj v oskrbi zagotovi oskrba z energijo za tiste odjemalce v regiji, ki jo najbolj potrebujejo.</w:t>
      </w:r>
    </w:p>
    <w:p w:rsidR="004D2A3B" w:rsidRPr="00A4089F" w:rsidRDefault="004D2A3B" w:rsidP="004D2A3B">
      <w:pPr>
        <w:spacing w:before="0" w:after="240"/>
        <w:rPr>
          <w:rFonts w:eastAsia="Times New Roman"/>
          <w:noProof/>
        </w:rPr>
      </w:pPr>
      <w:r w:rsidRPr="00A4089F">
        <w:rPr>
          <w:noProof/>
        </w:rPr>
        <w:t>Po invaziji Rusije na Ukrajino je EU oblikovala načrt REPowerEU, da bi čim prej, najpozneje pa do leta 2027, odpravila odvisnost EU od ruskih fosilnih goriv. V ta namen REPowerEU določa načrt za diverzifikacijo oskrbe z energijo, varčevanje z energijo in pospešitev zelenega prehoda. Predlagana pobuda je v celoti skladna s cilji iz načrta REPowerEU. Ta predlog priporočila Sveta zato dopolnjuje obstoječe določbe in nedavne pobude v energetskem sektorju ter zagotavlja zanesljivost oskrbe s plinom, prispeva k stabilizaciji trga, nadzoru nad cenami in varčevanju z energijo.</w:t>
      </w:r>
    </w:p>
    <w:p w:rsidR="00F71E89" w:rsidRPr="00A4089F" w:rsidRDefault="004D2A3B" w:rsidP="0041056D">
      <w:pPr>
        <w:spacing w:before="0" w:after="240"/>
        <w:rPr>
          <w:rFonts w:eastAsia="Arial Unicode MS"/>
          <w:noProof/>
        </w:rPr>
      </w:pPr>
      <w:r w:rsidRPr="00A4089F">
        <w:rPr>
          <w:noProof/>
        </w:rPr>
        <w:t>Sporočilo „Varčujmo s plinom za varnejšo zimo“, sprejeto 20. julija 2022, določa orodja, ki jih EU že ima na voljo za usklajeno zmanjšanje povpraševanja, in nadaljnje ukrepe, ki so potrebni, da bo EU pripravljena na popolne ali delne motnje oskrbe. Predlagana pobuda je odziv na povišana tveganja, ki so posledica ruske vojne proti Ukrajini, in v celoti dopolnjuje obstoječa pravila o zanesljivosti oskrbe.</w:t>
      </w:r>
    </w:p>
    <w:p w:rsidR="00F71E89" w:rsidRPr="00A4089F" w:rsidRDefault="00F71E89" w:rsidP="00DD6855">
      <w:pPr>
        <w:pStyle w:val="ManualHeading2"/>
        <w:rPr>
          <w:rFonts w:eastAsia="Arial Unicode MS"/>
          <w:noProof/>
        </w:rPr>
      </w:pPr>
      <w:r w:rsidRPr="00A4089F">
        <w:rPr>
          <w:noProof/>
        </w:rPr>
        <w:t>•</w:t>
      </w:r>
      <w:r w:rsidRPr="00A4089F">
        <w:rPr>
          <w:noProof/>
        </w:rPr>
        <w:tab/>
        <w:t>Skladnost z drugimi politikami Unije</w:t>
      </w:r>
    </w:p>
    <w:p w:rsidR="00F07D6B" w:rsidRPr="00A4089F" w:rsidRDefault="00F07D6B" w:rsidP="00F07D6B">
      <w:pPr>
        <w:pBdr>
          <w:top w:val="nil"/>
          <w:left w:val="nil"/>
          <w:bottom w:val="nil"/>
          <w:right w:val="nil"/>
          <w:between w:val="nil"/>
        </w:pBdr>
        <w:spacing w:before="0" w:after="240"/>
        <w:rPr>
          <w:rFonts w:eastAsia="Times New Roman"/>
          <w:noProof/>
          <w:szCs w:val="24"/>
        </w:rPr>
      </w:pPr>
      <w:r w:rsidRPr="00A4089F">
        <w:rPr>
          <w:noProof/>
        </w:rPr>
        <w:t>. Ta predlog priporočila Sveta je skladen z drugimi pobudami, katerih cilj je izboljšati energetsko odpornost Unije in se pripraviti na možne izredne razmere, ter je v celoti združljiv s pravili o konkurenci in tržnimi pravili, saj so delujoči čezmejni energetski trgi ključni za zagotavljanje zanesljivosti oskrbe, kadar je primanjkuje. Priporočanje bolj usklajenega zmanjšanja povpraševanja je tudi v skladu s Komisijinim zelenim dogovorom in cilji svežnja „Pripravljeni na 55“.</w:t>
      </w:r>
    </w:p>
    <w:p w:rsidR="00F71E89" w:rsidRPr="00A4089F" w:rsidRDefault="00F71E89" w:rsidP="00DD6855">
      <w:pPr>
        <w:pStyle w:val="ManualHeading1"/>
        <w:rPr>
          <w:noProof/>
        </w:rPr>
      </w:pPr>
      <w:r w:rsidRPr="00A4089F">
        <w:rPr>
          <w:noProof/>
        </w:rPr>
        <w:t>2.</w:t>
      </w:r>
      <w:r w:rsidRPr="00A4089F">
        <w:rPr>
          <w:noProof/>
        </w:rPr>
        <w:tab/>
        <w:t>PRAVNA PODLAGA, SUBSIDIARNOST IN SORAZMERNOST</w:t>
      </w:r>
    </w:p>
    <w:p w:rsidR="00F71E89" w:rsidRPr="00A4089F" w:rsidRDefault="00F71E89" w:rsidP="00DD6855">
      <w:pPr>
        <w:pStyle w:val="ManualHeading2"/>
        <w:rPr>
          <w:rFonts w:eastAsia="Arial Unicode MS"/>
          <w:noProof/>
          <w:u w:color="000000"/>
          <w:bdr w:val="nil"/>
        </w:rPr>
      </w:pPr>
      <w:r w:rsidRPr="00A4089F">
        <w:rPr>
          <w:noProof/>
          <w:bdr w:val="nil"/>
        </w:rPr>
        <w:t>•</w:t>
      </w:r>
      <w:r w:rsidRPr="00A4089F">
        <w:rPr>
          <w:noProof/>
          <w:bdr w:val="nil"/>
        </w:rPr>
        <w:tab/>
        <w:t>Pravna podlaga</w:t>
      </w:r>
    </w:p>
    <w:p w:rsidR="00B337BF" w:rsidRPr="00A4089F" w:rsidRDefault="646FEFE4" w:rsidP="00B337BF">
      <w:pPr>
        <w:pStyle w:val="Normal1"/>
        <w:shd w:val="clear" w:color="auto" w:fill="FFFFFF"/>
        <w:spacing w:before="0" w:beforeAutospacing="0" w:after="0" w:afterAutospacing="0"/>
        <w:jc w:val="both"/>
        <w:rPr>
          <w:noProof/>
          <w:color w:val="000000" w:themeColor="text1"/>
        </w:rPr>
      </w:pPr>
      <w:r w:rsidRPr="00A4089F">
        <w:rPr>
          <w:noProof/>
        </w:rPr>
        <w:t>Priporočilo, ki prispeva k zanesljivosti oskrbe z električno energijo, se sprejme na podlagi člena 194(2) PDEU v povezavi s členom 292 PDEU.</w:t>
      </w:r>
      <w:r w:rsidRPr="00A4089F">
        <w:rPr>
          <w:noProof/>
          <w:color w:val="333333"/>
        </w:rPr>
        <w:t xml:space="preserve"> Člen 292 zagotavlja pravno podlago, po kateri lahko Svet sprejme priporočila na predlog Komisije. Pobuda ne predlaga nobene razširitve pristojnosti EU za sprejemanje predpisov ali zavezujočih zavez držav članic. Države članice se bodo glede na nacionalne okoliščine odločile, kako bodo izvedle to priporočilo Sveta.</w:t>
      </w:r>
      <w:r w:rsidRPr="00A4089F">
        <w:rPr>
          <w:noProof/>
          <w:color w:val="000000" w:themeColor="text1"/>
        </w:rPr>
        <w:t xml:space="preserve"> Na področju energije ima EU deljeno pristojnost v skladu s členom 4(2), točka (i), PDEU.</w:t>
      </w:r>
    </w:p>
    <w:p w:rsidR="00932619" w:rsidRPr="00A4089F" w:rsidRDefault="00932619" w:rsidP="00B337BF">
      <w:pPr>
        <w:pStyle w:val="Normal1"/>
        <w:shd w:val="clear" w:color="auto" w:fill="FFFFFF"/>
        <w:spacing w:before="0" w:beforeAutospacing="0" w:after="0" w:afterAutospacing="0"/>
        <w:jc w:val="both"/>
        <w:rPr>
          <w:noProof/>
          <w:color w:val="333333"/>
        </w:rPr>
      </w:pPr>
    </w:p>
    <w:p w:rsidR="004953A9" w:rsidRPr="00A4089F" w:rsidRDefault="00E82B2D" w:rsidP="00B337BF">
      <w:pPr>
        <w:pStyle w:val="Normal1"/>
        <w:shd w:val="clear" w:color="auto" w:fill="FFFFFF"/>
        <w:spacing w:before="0" w:beforeAutospacing="0" w:after="0" w:afterAutospacing="0"/>
        <w:jc w:val="both"/>
        <w:rPr>
          <w:noProof/>
          <w:color w:val="333333"/>
        </w:rPr>
      </w:pPr>
      <w:r w:rsidRPr="00A4089F">
        <w:rPr>
          <w:noProof/>
          <w:color w:val="333333"/>
        </w:rPr>
        <w:t xml:space="preserve">Uredba (EU) 2022/1369, spremenjena z Uredbo (EU) 2023/706, je vzpostavila pravila za usklajeno zmanjšanje povpraševanja in določila cilj 15-odstotnega zmanjšanja povpraševanja na podlagi člena 122(1) PDEU. Uredba (EU) 2022/1369 preneha veljati 31. marca 2024. </w:t>
      </w:r>
    </w:p>
    <w:p w:rsidR="004953A9" w:rsidRPr="00A4089F" w:rsidRDefault="004953A9" w:rsidP="00B337BF">
      <w:pPr>
        <w:pStyle w:val="Normal1"/>
        <w:shd w:val="clear" w:color="auto" w:fill="FFFFFF"/>
        <w:spacing w:before="0" w:beforeAutospacing="0" w:after="0" w:afterAutospacing="0"/>
        <w:jc w:val="both"/>
        <w:rPr>
          <w:noProof/>
          <w:color w:val="333333"/>
        </w:rPr>
      </w:pPr>
    </w:p>
    <w:p w:rsidR="00B337BF" w:rsidRPr="00A4089F" w:rsidRDefault="00D3130C" w:rsidP="00B337BF">
      <w:pPr>
        <w:pStyle w:val="Normal1"/>
        <w:shd w:val="clear" w:color="auto" w:fill="FFFFFF"/>
        <w:spacing w:before="0" w:beforeAutospacing="0" w:after="0" w:afterAutospacing="0"/>
        <w:jc w:val="both"/>
        <w:rPr>
          <w:noProof/>
          <w:color w:val="333333"/>
        </w:rPr>
      </w:pPr>
      <w:r w:rsidRPr="00A4089F">
        <w:rPr>
          <w:noProof/>
          <w:color w:val="333333"/>
        </w:rPr>
        <w:t>Predlagano priporočilo Sveta priporoča, da države članice nadaljujejo prizadevanja v zvezi z zmanjšanjem povpraševanja po plinu v enakem duhu solidarnosti kot pri izvajanju Uredbe (EU) 2022/1369.</w:t>
      </w:r>
    </w:p>
    <w:p w:rsidR="00F71E89" w:rsidRPr="00A4089F" w:rsidRDefault="00F71E89" w:rsidP="00DD6855">
      <w:pPr>
        <w:pStyle w:val="ManualHeading2"/>
        <w:rPr>
          <w:rFonts w:eastAsia="Arial Unicode MS"/>
          <w:noProof/>
          <w:u w:color="000000"/>
          <w:bdr w:val="nil"/>
        </w:rPr>
      </w:pPr>
      <w:r w:rsidRPr="00A4089F">
        <w:rPr>
          <w:noProof/>
          <w:u w:color="000000"/>
          <w:bdr w:val="nil"/>
        </w:rPr>
        <w:t>•</w:t>
      </w:r>
      <w:r w:rsidRPr="00A4089F">
        <w:rPr>
          <w:noProof/>
          <w:u w:color="000000"/>
          <w:bdr w:val="nil"/>
        </w:rPr>
        <w:tab/>
        <w:t xml:space="preserve">Subsidiarnost (za neizključno pristojnost) </w:t>
      </w:r>
    </w:p>
    <w:p w:rsidR="00F07D6B" w:rsidRPr="00A4089F" w:rsidRDefault="00F07D6B" w:rsidP="00F07D6B">
      <w:pPr>
        <w:pBdr>
          <w:top w:val="nil"/>
          <w:left w:val="nil"/>
          <w:bottom w:val="nil"/>
          <w:right w:val="nil"/>
          <w:between w:val="nil"/>
        </w:pBdr>
        <w:spacing w:before="0" w:after="240"/>
        <w:rPr>
          <w:noProof/>
        </w:rPr>
      </w:pPr>
      <w:r w:rsidRPr="00A4089F">
        <w:rPr>
          <w:noProof/>
        </w:rPr>
        <w:t xml:space="preserve">Ukrepi, za katere se v okviru te pobude načrtuje nadaljnjo uporabo, so povsem skladni z načelom subsidiarnosti. Zaradi obsega in znatnega učinka nadaljnjih zmanjšanj oskrbe s plinom s strani Rusije je potrebno usklajeno ukrepanje držav članic. Potrebno je nadaljevanje usklajenega pristopa z zmanjšanjem povpraševanja po vsej Uniji v duhu solidarnosti, da se čim bolj zmanjša tveganje morebitnih večjih motenj v zimi 2024–2025, ko bo poraba plina večja in ko se bodo morale države članice delno zanašati na plin, skladiščen v sezoni polnjenja zmogljivosti. </w:t>
      </w:r>
    </w:p>
    <w:p w:rsidR="00F07D6B" w:rsidRPr="00A4089F" w:rsidRDefault="00F07D6B" w:rsidP="00F07D6B">
      <w:pPr>
        <w:pBdr>
          <w:top w:val="nil"/>
          <w:left w:val="nil"/>
          <w:bottom w:val="nil"/>
          <w:right w:val="nil"/>
          <w:between w:val="nil"/>
        </w:pBdr>
        <w:spacing w:before="0" w:after="240"/>
        <w:rPr>
          <w:noProof/>
        </w:rPr>
      </w:pPr>
      <w:r w:rsidRPr="00A4089F">
        <w:rPr>
          <w:noProof/>
        </w:rPr>
        <w:t>Ker gre za krizo v oskrbi s plinom s čezmejni učinki, kakršne doslej še ni bilo, in zaradi ravni povezanosti notranjega energetskega trga EU je ukrepanje na ravni Unije še naprej upravičeno, saj države članice tveganja hudih gospodarskih težav, ki bi bile posledica povišanj cen ali znatnih motenj v oskrbi, ne morejo zadovoljivo in usklajeno obravnavati same. Samo nadaljevanje ukrepov EU, ki temeljijo na duhu solidarnosti med državami članicami, lahko zagotovi, da motnje v oskrbi ne bodo povzročile trajne škode za državljane in gospodarstvo.</w:t>
      </w:r>
    </w:p>
    <w:p w:rsidR="00F07D6B" w:rsidRPr="00A4089F" w:rsidRDefault="00F07D6B" w:rsidP="00F07D6B">
      <w:pPr>
        <w:pBdr>
          <w:top w:val="nil"/>
          <w:left w:val="nil"/>
          <w:bottom w:val="nil"/>
          <w:right w:val="nil"/>
          <w:between w:val="nil"/>
        </w:pBdr>
        <w:spacing w:before="0" w:after="240"/>
        <w:rPr>
          <w:noProof/>
        </w:rPr>
      </w:pPr>
      <w:r w:rsidRPr="00A4089F">
        <w:rPr>
          <w:noProof/>
        </w:rPr>
        <w:t>Zaradi njegovega obsega in učinkov se lahko ta ukrep lažje izvede na ravni Unije, zato lahko Unija sprejme ukrepe v skladu z načelom subsidiarnosti, kot je določeno v členu 5 Pogodbe o Evropski uniji.</w:t>
      </w:r>
    </w:p>
    <w:p w:rsidR="00F71E89" w:rsidRPr="00A4089F" w:rsidRDefault="00F71E89" w:rsidP="00DD6855">
      <w:pPr>
        <w:pStyle w:val="ManualHeading2"/>
        <w:rPr>
          <w:rFonts w:eastAsia="Arial Unicode MS"/>
          <w:noProof/>
          <w:u w:color="000000"/>
          <w:bdr w:val="nil"/>
        </w:rPr>
      </w:pPr>
      <w:r w:rsidRPr="00A4089F">
        <w:rPr>
          <w:noProof/>
          <w:u w:color="000000"/>
          <w:bdr w:val="nil"/>
        </w:rPr>
        <w:t>•</w:t>
      </w:r>
      <w:r w:rsidRPr="00A4089F">
        <w:rPr>
          <w:noProof/>
          <w:u w:color="000000"/>
          <w:bdr w:val="nil"/>
        </w:rPr>
        <w:tab/>
        <w:t>Sorazmernost</w:t>
      </w:r>
    </w:p>
    <w:p w:rsidR="000173F6" w:rsidRPr="00A4089F" w:rsidRDefault="000173F6" w:rsidP="000173F6">
      <w:pPr>
        <w:pBdr>
          <w:top w:val="nil"/>
          <w:left w:val="nil"/>
          <w:bottom w:val="nil"/>
          <w:right w:val="nil"/>
          <w:between w:val="nil"/>
        </w:pBdr>
        <w:spacing w:before="0" w:after="240"/>
        <w:rPr>
          <w:noProof/>
        </w:rPr>
      </w:pPr>
      <w:r w:rsidRPr="00A4089F">
        <w:rPr>
          <w:noProof/>
        </w:rPr>
        <w:t xml:space="preserve">Pobuda je skladna z načelom sorazmernosti. Ukrep politike je sorazmeren z razsežnostjo in naravo opredeljenih težav ter doseganjem zastavljenih ciljev. </w:t>
      </w:r>
    </w:p>
    <w:p w:rsidR="000173F6" w:rsidRPr="00A4089F" w:rsidRDefault="000173F6" w:rsidP="000173F6">
      <w:pPr>
        <w:pBdr>
          <w:top w:val="nil"/>
          <w:left w:val="nil"/>
          <w:bottom w:val="nil"/>
          <w:right w:val="nil"/>
          <w:between w:val="nil"/>
        </w:pBdr>
        <w:spacing w:before="0" w:after="240"/>
        <w:rPr>
          <w:noProof/>
        </w:rPr>
      </w:pPr>
      <w:r w:rsidRPr="00A4089F">
        <w:rPr>
          <w:noProof/>
        </w:rPr>
        <w:t xml:space="preserve">Glede na doslej najbolj zaostrene geopolitične razmere ter še vedno obstoječo grožnjo za državljane in gospodarstvo EU obstaja jasna potreba po nadaljnjem usklajenem ukrepanju. Zato predlog ne presega tistega, kar je potrebno za doseganje ciljev, ki so določeni v tem instrumentu. Ukrepi, za katere se predlaga, da se priporočijo, se štejejo za sorazmerne in v največji možni meri temeljijo na obstoječih pristopih, kot so obstoječe stopnje krize in načrti za izredne razmere, pripravljeni v skladu z Uredbo (EU) 2017/1938 in določbami Uredbe (EU) 2022/1369, ki prenehajo veljati 31. marca 2024. </w:t>
      </w:r>
    </w:p>
    <w:p w:rsidR="000173F6" w:rsidRPr="00A4089F" w:rsidRDefault="000173F6" w:rsidP="000173F6">
      <w:pPr>
        <w:pBdr>
          <w:top w:val="nil"/>
          <w:left w:val="nil"/>
          <w:bottom w:val="nil"/>
          <w:right w:val="nil"/>
          <w:between w:val="nil"/>
        </w:pBdr>
        <w:spacing w:before="0" w:after="240"/>
        <w:rPr>
          <w:rFonts w:eastAsia="Times New Roman"/>
          <w:noProof/>
          <w:szCs w:val="24"/>
        </w:rPr>
      </w:pPr>
      <w:r w:rsidRPr="00A4089F">
        <w:rPr>
          <w:noProof/>
        </w:rPr>
        <w:t>Ta predlog določa končni rezultat, katerega dosego se priporoča, v obliki prostovoljnega cilja zmanjšanja povpraševanja po plinu za države članice, pri čemer daje državam članicam popolno avtonomijo pri izbiri najučinkovitejših sredstev za dosego takega prostovoljnega cilja v skladu z njihovimi nacionalnimi posebnostmi in ukrepi, ki so že predvideni v nacionalnih načrtih za izredne razmere.</w:t>
      </w:r>
    </w:p>
    <w:p w:rsidR="00F71E89" w:rsidRPr="00A4089F" w:rsidRDefault="00F71E89" w:rsidP="00DD6855">
      <w:pPr>
        <w:pStyle w:val="ManualHeading2"/>
        <w:rPr>
          <w:rFonts w:eastAsia="Arial Unicode MS"/>
          <w:noProof/>
          <w:u w:color="000000"/>
          <w:bdr w:val="nil"/>
        </w:rPr>
      </w:pPr>
      <w:r w:rsidRPr="00A4089F">
        <w:rPr>
          <w:noProof/>
          <w:u w:color="000000"/>
          <w:bdr w:val="nil"/>
        </w:rPr>
        <w:t>•</w:t>
      </w:r>
      <w:r w:rsidRPr="00A4089F">
        <w:rPr>
          <w:noProof/>
          <w:u w:color="000000"/>
          <w:bdr w:val="nil"/>
        </w:rPr>
        <w:tab/>
        <w:t>Izbira instrumenta</w:t>
      </w:r>
    </w:p>
    <w:p w:rsidR="00F71E89" w:rsidRPr="00A4089F" w:rsidRDefault="00F07D6B" w:rsidP="00DD6855">
      <w:pPr>
        <w:pBdr>
          <w:top w:val="nil"/>
          <w:left w:val="nil"/>
          <w:bottom w:val="nil"/>
          <w:right w:val="nil"/>
          <w:between w:val="nil"/>
          <w:bar w:val="nil"/>
        </w:pBdr>
        <w:spacing w:before="0" w:after="240"/>
        <w:rPr>
          <w:rFonts w:eastAsia="Arial Unicode MS"/>
          <w:noProof/>
        </w:rPr>
      </w:pPr>
      <w:r w:rsidRPr="00A4089F">
        <w:rPr>
          <w:noProof/>
        </w:rPr>
        <w:t xml:space="preserve">Za dosego zgornjih ciljev PDEU omogoča sprejetje priporočil Sveta, zlasti v členu 292 v povezavi s členom 194(2) PDEU, na podlagi predloga Komisije. Priporočilo Sveta je v tem primeru ustrezen instrument, saj priporoča nadaljevanje usklajenega zmanjšanja povpraševanja iz Uredbe (EU) 2022/1369, kakor je bila spremenjena z Uredbo (EU) 2023/706, medtem ko priznava, da pravno zavezujoče zmanjšanje povpraševanja zdaj ni več potrebno. Kot pravni akt, čeprav nezavezujoč, priporočilo Sveta izraža zavezanost držav članic vključenim ukrepom in zagotavlja trdno politično podlago za sodelovanje na teh področjih, hkrati pa v celoti spoštuje pristojnosti držav članic. </w:t>
      </w:r>
    </w:p>
    <w:p w:rsidR="00F71E89" w:rsidRPr="00A4089F" w:rsidRDefault="00F71E89" w:rsidP="008D741C">
      <w:pPr>
        <w:pStyle w:val="ManualHeading1"/>
        <w:jc w:val="left"/>
        <w:rPr>
          <w:noProof/>
        </w:rPr>
      </w:pPr>
      <w:r w:rsidRPr="00A4089F">
        <w:rPr>
          <w:noProof/>
        </w:rPr>
        <w:t>3.</w:t>
      </w:r>
      <w:r w:rsidRPr="00A4089F">
        <w:rPr>
          <w:noProof/>
        </w:rPr>
        <w:tab/>
        <w:t>REZULTATI NAKNADNIH OCEN, POSVETOVANJ Z DELEŽNIKI IN OCEN UČINKA</w:t>
      </w:r>
    </w:p>
    <w:p w:rsidR="00F71E89" w:rsidRPr="00A4089F" w:rsidRDefault="00F71E89" w:rsidP="00DD6855">
      <w:pPr>
        <w:pStyle w:val="ManualHeading2"/>
        <w:rPr>
          <w:rFonts w:eastAsia="Arial Unicode MS"/>
          <w:noProof/>
          <w:u w:color="000000"/>
          <w:bdr w:val="nil"/>
        </w:rPr>
      </w:pPr>
      <w:r w:rsidRPr="00A4089F">
        <w:rPr>
          <w:noProof/>
          <w:u w:color="000000"/>
          <w:bdr w:val="nil"/>
        </w:rPr>
        <w:t>•</w:t>
      </w:r>
      <w:r w:rsidRPr="00A4089F">
        <w:rPr>
          <w:noProof/>
          <w:u w:color="000000"/>
          <w:bdr w:val="nil"/>
        </w:rPr>
        <w:tab/>
        <w:t>Posvetovanja z deležniki</w:t>
      </w:r>
    </w:p>
    <w:p w:rsidR="0000424C" w:rsidRPr="00A4089F" w:rsidRDefault="0000424C" w:rsidP="0000424C">
      <w:pPr>
        <w:pBdr>
          <w:top w:val="nil"/>
          <w:left w:val="nil"/>
          <w:bottom w:val="nil"/>
          <w:right w:val="nil"/>
          <w:between w:val="nil"/>
        </w:pBdr>
        <w:spacing w:before="0" w:after="240"/>
        <w:rPr>
          <w:rFonts w:eastAsia="Times New Roman"/>
          <w:noProof/>
        </w:rPr>
      </w:pPr>
      <w:r w:rsidRPr="00A4089F">
        <w:rPr>
          <w:noProof/>
        </w:rPr>
        <w:t xml:space="preserve">Zaradi politične občutljivosti predloga in nujnosti njegove priprave, da bi ga Svet lahko pravočasno sprejel pred prenehanjem veljavnosti Uredbe (EU) 2022/1369 31. marca 2024, ni bilo mogoče izvesti posebnega posvetovanja z deležniki. Vendar so bile upoštevane izkušnje, pridobljene z uporabo Uredbe (EU) 2022/1369 in pregledom navedene uredbe s poročiloma COM(2023) 173 in COM(2024) 88. Od začetka veljavnosti Uredbe (EU) 2022/1369 8. avgusta 2022 so potekale redne izmenjave z državami članicami in deležniki, med drugim v okviru koordinacijske skupine za plin. </w:t>
      </w:r>
    </w:p>
    <w:p w:rsidR="00F71E89" w:rsidRPr="00A4089F" w:rsidRDefault="00F71E89" w:rsidP="00DD6855">
      <w:pPr>
        <w:pStyle w:val="ManualHeading2"/>
        <w:rPr>
          <w:rFonts w:eastAsia="Arial Unicode MS"/>
          <w:noProof/>
          <w:u w:color="000000"/>
          <w:bdr w:val="nil"/>
        </w:rPr>
      </w:pPr>
      <w:r w:rsidRPr="00A4089F">
        <w:rPr>
          <w:noProof/>
          <w:u w:color="000000"/>
          <w:bdr w:val="nil"/>
        </w:rPr>
        <w:t>•</w:t>
      </w:r>
      <w:r w:rsidRPr="00A4089F">
        <w:rPr>
          <w:noProof/>
          <w:u w:color="000000"/>
          <w:bdr w:val="nil"/>
        </w:rPr>
        <w:tab/>
        <w:t>Temeljne pravice</w:t>
      </w:r>
    </w:p>
    <w:p w:rsidR="0000424C" w:rsidRPr="00A4089F" w:rsidRDefault="0000424C" w:rsidP="0000424C">
      <w:pPr>
        <w:pBdr>
          <w:top w:val="nil"/>
          <w:left w:val="nil"/>
          <w:bottom w:val="nil"/>
          <w:right w:val="nil"/>
          <w:between w:val="nil"/>
        </w:pBdr>
        <w:spacing w:before="0" w:after="240"/>
        <w:rPr>
          <w:noProof/>
        </w:rPr>
      </w:pPr>
      <w:r w:rsidRPr="00A4089F">
        <w:rPr>
          <w:noProof/>
        </w:rPr>
        <w:t>Ni ugotovljenega negativnega učinka na temeljne pravice. Ukrepi v okviru tega instrumenta ne bodo vplivali na pravice odjemalcev, ki so določeni kot zaščiteni v skladu z Uredbo (EU) 2017/1938, vključno z vsemi gospodinjskimi odjemalci. Instrument bo omogočil zmanjšanje tveganj, povezanih s pomanjkanjem plina, ki bi sicer pomembno vplivalo na gospodarstvo in družbo.</w:t>
      </w:r>
    </w:p>
    <w:p w:rsidR="00F71E89" w:rsidRPr="00A4089F" w:rsidRDefault="00F71E89" w:rsidP="00DD6855">
      <w:pPr>
        <w:pStyle w:val="ManualHeading1"/>
        <w:rPr>
          <w:noProof/>
        </w:rPr>
      </w:pPr>
      <w:r w:rsidRPr="00A4089F">
        <w:rPr>
          <w:noProof/>
        </w:rPr>
        <w:t>4.</w:t>
      </w:r>
      <w:r w:rsidRPr="00A4089F">
        <w:rPr>
          <w:noProof/>
        </w:rPr>
        <w:tab/>
        <w:t>PRORAČUNSKE POSLEDICE</w:t>
      </w:r>
    </w:p>
    <w:p w:rsidR="0000424C" w:rsidRPr="00A4089F" w:rsidRDefault="0000424C" w:rsidP="0000424C">
      <w:pPr>
        <w:pBdr>
          <w:top w:val="nil"/>
          <w:left w:val="nil"/>
          <w:bottom w:val="nil"/>
          <w:right w:val="nil"/>
          <w:between w:val="nil"/>
        </w:pBdr>
        <w:spacing w:before="0" w:after="240"/>
        <w:rPr>
          <w:rFonts w:eastAsia="Times New Roman"/>
          <w:noProof/>
          <w:szCs w:val="24"/>
        </w:rPr>
      </w:pPr>
      <w:r w:rsidRPr="00A4089F">
        <w:rPr>
          <w:noProof/>
        </w:rPr>
        <w:t>Za ta predlog niso potrebna dodatna sredstva iz proračuna EU.</w:t>
      </w:r>
    </w:p>
    <w:p w:rsidR="00F71E89" w:rsidRPr="00A4089F" w:rsidRDefault="00F71E89" w:rsidP="00DD6855">
      <w:pPr>
        <w:pStyle w:val="ManualHeading2"/>
        <w:rPr>
          <w:rFonts w:eastAsia="Arial Unicode MS"/>
          <w:noProof/>
          <w:u w:color="000000"/>
          <w:bdr w:val="nil"/>
        </w:rPr>
      </w:pPr>
      <w:r w:rsidRPr="00A4089F">
        <w:rPr>
          <w:noProof/>
          <w:u w:color="000000"/>
          <w:bdr w:val="nil"/>
        </w:rPr>
        <w:t>•</w:t>
      </w:r>
      <w:r w:rsidRPr="00A4089F">
        <w:rPr>
          <w:noProof/>
          <w:u w:color="000000"/>
          <w:bdr w:val="nil"/>
        </w:rPr>
        <w:tab/>
        <w:t>Natančnejša pojasnitev posameznih določb predloga</w:t>
      </w:r>
    </w:p>
    <w:p w:rsidR="2D810A58" w:rsidRPr="00A4089F" w:rsidRDefault="2D810A58" w:rsidP="02563572">
      <w:pPr>
        <w:spacing w:before="0" w:after="240"/>
        <w:rPr>
          <w:rFonts w:eastAsia="Times New Roman"/>
          <w:noProof/>
        </w:rPr>
      </w:pPr>
      <w:r w:rsidRPr="00A4089F">
        <w:rPr>
          <w:noProof/>
        </w:rPr>
        <w:t>Ta predlog za priporočilo Sveta predlaga naslednje priporočilo:</w:t>
      </w:r>
    </w:p>
    <w:p w:rsidR="7F1E94AF" w:rsidRPr="00A4089F" w:rsidRDefault="2D810A58" w:rsidP="00D301B1">
      <w:pPr>
        <w:pStyle w:val="Bullet0"/>
        <w:numPr>
          <w:ilvl w:val="0"/>
          <w:numId w:val="6"/>
        </w:numPr>
        <w:rPr>
          <w:noProof/>
        </w:rPr>
      </w:pPr>
      <w:r w:rsidRPr="00A4089F">
        <w:rPr>
          <w:noProof/>
        </w:rPr>
        <w:t>nadaljevanje tekočih ukrepov s strani držav članic, da se doseže 15-odstotno zmanjšanje povpraševanja v primerjavi z referenčnimi leti april 2017–marec 2022, dokler se do 11. oktobra 2025 ne prenesejo deli Direktive (EU) 2023/1791 Evropskega parlamenta in Sveta</w:t>
      </w:r>
      <w:r w:rsidR="00B50DA8" w:rsidRPr="00A4089F">
        <w:rPr>
          <w:rStyle w:val="FootnoteReference"/>
          <w:noProof/>
        </w:rPr>
        <w:footnoteReference w:id="2"/>
      </w:r>
      <w:r w:rsidRPr="00A4089F">
        <w:rPr>
          <w:noProof/>
        </w:rPr>
        <w:t xml:space="preserve">; </w:t>
      </w:r>
    </w:p>
    <w:p w:rsidR="5AD821F5" w:rsidRPr="00A4089F" w:rsidRDefault="10856BC9" w:rsidP="00685E07">
      <w:pPr>
        <w:pStyle w:val="Bullet0"/>
        <w:rPr>
          <w:noProof/>
        </w:rPr>
      </w:pPr>
      <w:r w:rsidRPr="00A4089F">
        <w:rPr>
          <w:noProof/>
        </w:rPr>
        <w:t xml:space="preserve">spodbujanje držav članic, da Eurostatu še naprej poročajo o tekočem zmanjšanju povpraševanja, vključno z razčlenitvijo po sektorjih. </w:t>
      </w:r>
    </w:p>
    <w:p w:rsidR="00F71E89" w:rsidRPr="00A4089F" w:rsidRDefault="00F71E89" w:rsidP="00DD6855">
      <w:pPr>
        <w:rPr>
          <w:rFonts w:eastAsia="Times New Roman"/>
          <w:noProof/>
          <w:color w:val="333333"/>
        </w:rPr>
        <w:sectPr w:rsidR="00F71E89" w:rsidRPr="00A4089F" w:rsidSect="00321C5F">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48529A" w:rsidRDefault="00126122">
      <w:pPr>
        <w:pStyle w:val="Rfrenceinterinstitutionnelle"/>
        <w:rPr>
          <w:noProof/>
        </w:rPr>
      </w:pPr>
      <w:r>
        <w:rPr>
          <w:noProof/>
        </w:rPr>
        <w:t>2024/0054 (NLE)</w:t>
      </w:r>
    </w:p>
    <w:p w:rsidR="00F71E89" w:rsidRPr="00A4089F" w:rsidRDefault="00A4089F" w:rsidP="00A4089F">
      <w:pPr>
        <w:pStyle w:val="Statut"/>
        <w:rPr>
          <w:noProof/>
        </w:rPr>
      </w:pPr>
      <w:r w:rsidRPr="00A4089F">
        <w:rPr>
          <w:noProof/>
        </w:rPr>
        <w:t>Predlog</w:t>
      </w:r>
    </w:p>
    <w:p w:rsidR="00F71E89" w:rsidRPr="00A4089F" w:rsidRDefault="00A4089F" w:rsidP="00A4089F">
      <w:pPr>
        <w:pStyle w:val="Typedudocument"/>
        <w:rPr>
          <w:noProof/>
        </w:rPr>
      </w:pPr>
      <w:r w:rsidRPr="00A4089F">
        <w:rPr>
          <w:noProof/>
        </w:rPr>
        <w:t>PRIPOROČILO SVETA</w:t>
      </w:r>
    </w:p>
    <w:p w:rsidR="00F71E89" w:rsidRPr="00A4089F" w:rsidRDefault="00A4089F" w:rsidP="00A4089F">
      <w:pPr>
        <w:pStyle w:val="Titreobjet"/>
        <w:rPr>
          <w:noProof/>
        </w:rPr>
      </w:pPr>
      <w:r w:rsidRPr="00A4089F">
        <w:rPr>
          <w:noProof/>
        </w:rPr>
        <w:t>o nadaljevanju usklajenih ukrepov za zmanjšanje povpraševanja po plinu</w:t>
      </w:r>
    </w:p>
    <w:p w:rsidR="00F71E89" w:rsidRPr="00A4089F" w:rsidRDefault="00F71E89" w:rsidP="00DD6855">
      <w:pPr>
        <w:pStyle w:val="Institutionquiagit"/>
        <w:rPr>
          <w:noProof/>
        </w:rPr>
      </w:pPr>
      <w:r w:rsidRPr="00A4089F">
        <w:rPr>
          <w:noProof/>
        </w:rPr>
        <w:t>SVET EVROPSKE UNIJE JE –</w:t>
      </w:r>
    </w:p>
    <w:p w:rsidR="00F71E89" w:rsidRPr="00A4089F" w:rsidRDefault="00F71E89" w:rsidP="00DD6855">
      <w:pPr>
        <w:rPr>
          <w:noProof/>
        </w:rPr>
      </w:pPr>
      <w:r w:rsidRPr="00A4089F">
        <w:rPr>
          <w:noProof/>
        </w:rPr>
        <w:t>ob upoštevanju Pogodbe o delovanju Evropske unije in zlasti člena 292 v povezavi s členom 194(2) Pogodbe,</w:t>
      </w:r>
    </w:p>
    <w:p w:rsidR="00F71E89" w:rsidRPr="00A4089F" w:rsidRDefault="00F71E89" w:rsidP="00DD6855">
      <w:pPr>
        <w:rPr>
          <w:noProof/>
        </w:rPr>
      </w:pPr>
      <w:r w:rsidRPr="00A4089F">
        <w:rPr>
          <w:noProof/>
        </w:rPr>
        <w:t>ob upoštevanju predloga Evropske komisije,</w:t>
      </w:r>
    </w:p>
    <w:p w:rsidR="00F71E89" w:rsidRPr="00A4089F" w:rsidRDefault="00F71E89" w:rsidP="00DD6855">
      <w:pPr>
        <w:rPr>
          <w:noProof/>
        </w:rPr>
      </w:pPr>
      <w:r w:rsidRPr="00A4089F">
        <w:rPr>
          <w:noProof/>
        </w:rPr>
        <w:t>ob upoštevanju naslednjega:</w:t>
      </w:r>
    </w:p>
    <w:p w:rsidR="001B6379" w:rsidRPr="00A4089F" w:rsidRDefault="001B6379" w:rsidP="005E7265">
      <w:pPr>
        <w:pStyle w:val="ManualConsidrant"/>
        <w:rPr>
          <w:noProof/>
        </w:rPr>
      </w:pPr>
      <w:r>
        <w:rPr>
          <w:noProof/>
        </w:rPr>
        <w:t>(1)</w:t>
      </w:r>
      <w:r>
        <w:rPr>
          <w:noProof/>
        </w:rPr>
        <w:tab/>
      </w:r>
      <w:r w:rsidRPr="00A4089F">
        <w:rPr>
          <w:noProof/>
          <w:color w:val="333333"/>
        </w:rPr>
        <w:t xml:space="preserve">Namen tega predloga priporočila Sveta je nadaljevati tekoče ukrepe držav članic za zmanjšanje povpraševanja, da se doseže 15-odstotno zmanjšanje povpraševanja po plinu v primerjavi z referenčnimi leti april 2017–marec 2022. </w:t>
      </w:r>
      <w:r w:rsidRPr="00A4089F">
        <w:rPr>
          <w:noProof/>
        </w:rPr>
        <w:t>Njegov namen je spodbuditi države članice, da Eurostatu še naprej poročajo o tekočem zmanjšanju povpraševanja, vključno z razčlenitvijo po sektorjih.</w:t>
      </w:r>
    </w:p>
    <w:p w:rsidR="00101CFC" w:rsidRPr="00A4089F" w:rsidRDefault="00101CFC" w:rsidP="005E7265">
      <w:pPr>
        <w:pStyle w:val="ManualConsidrant"/>
        <w:rPr>
          <w:noProof/>
        </w:rPr>
      </w:pPr>
      <w:r>
        <w:rPr>
          <w:noProof/>
        </w:rPr>
        <w:t>(2)</w:t>
      </w:r>
      <w:r>
        <w:rPr>
          <w:noProof/>
        </w:rPr>
        <w:tab/>
      </w:r>
      <w:r w:rsidRPr="00A4089F">
        <w:rPr>
          <w:noProof/>
        </w:rPr>
        <w:t>Uredba Sveta (EU) 2022/1369</w:t>
      </w:r>
      <w:r w:rsidRPr="00A4089F">
        <w:rPr>
          <w:rStyle w:val="FootnoteReference"/>
          <w:noProof/>
        </w:rPr>
        <w:footnoteReference w:id="3"/>
      </w:r>
      <w:r w:rsidRPr="00A4089F">
        <w:rPr>
          <w:noProof/>
        </w:rPr>
        <w:t xml:space="preserve"> je bila sprejeta zaradi krize v oskrbi s plinom, ki jo je povzročila invazija Rusije na Ukrajino. Njen cilj je prostovoljno in, če je potrebno, obvezno zmanjšanje povpraševanja po plinu v Uniji, olajšanje polnjenja skladišč in zagotovitev boljše pripravljenosti na morebitne nadaljnje motnje v oskrbi. Sprejeta je bila zaradi pereče potrebe, da se Unija odzove z začasnimi ukrepi v duhu solidarnosti med državami članicami.</w:t>
      </w:r>
    </w:p>
    <w:p w:rsidR="00101CFC" w:rsidRPr="00A4089F" w:rsidRDefault="00101CFC" w:rsidP="005E7265">
      <w:pPr>
        <w:pStyle w:val="ManualConsidrant"/>
        <w:rPr>
          <w:noProof/>
        </w:rPr>
      </w:pPr>
      <w:r>
        <w:rPr>
          <w:noProof/>
        </w:rPr>
        <w:t>(3)</w:t>
      </w:r>
      <w:r>
        <w:rPr>
          <w:noProof/>
        </w:rPr>
        <w:tab/>
      </w:r>
      <w:r w:rsidRPr="00A4089F">
        <w:rPr>
          <w:noProof/>
        </w:rPr>
        <w:t>Na podlagi Uredbe (EU) 2022/1369 si morajo države članice po najboljših močeh prizadevati za zmanjšanje porabe plina za 15 % najprej v obdobju od 1. avgusta 2022 do 31. marca 2023 in, po podaljšanju veljavnosti Uredbe Sveta (EU) 2023/706</w:t>
      </w:r>
      <w:r w:rsidR="00B673FB" w:rsidRPr="00A4089F">
        <w:rPr>
          <w:rStyle w:val="FootnoteReference"/>
          <w:noProof/>
        </w:rPr>
        <w:footnoteReference w:id="4"/>
      </w:r>
      <w:r w:rsidRPr="00A4089F">
        <w:rPr>
          <w:noProof/>
        </w:rPr>
        <w:t>, v obdobju od 1. aprila 2023 do 31. marca 2024. Če bi se prostovoljni ukrepi za zmanjšanje povpraševanja izkazali za nezadostne za naslovitev tveganja hudega pomanjkanja oskrbe, je bil Svet na predlog Komisije pooblaščen, da razglasi pripravljenost na ravni Unije, ki bi sprožila obvezno zmanjšanje povpraševanja. Države članice so sprejele ukrepe za zmanjšanje svojega povpraševanja po plinu v duhu solidarnosti, ki so prinesli 15-odstotno dejansko zmanjšanje povpraševanja po plinu po vsej Uniji od avgusta 2022 do decembra 2023.</w:t>
      </w:r>
    </w:p>
    <w:p w:rsidR="00101CFC" w:rsidRPr="00A4089F" w:rsidRDefault="00101CFC" w:rsidP="005E7265">
      <w:pPr>
        <w:pStyle w:val="ManualConsidrant"/>
        <w:rPr>
          <w:noProof/>
        </w:rPr>
      </w:pPr>
      <w:r>
        <w:rPr>
          <w:noProof/>
        </w:rPr>
        <w:t>(4)</w:t>
      </w:r>
      <w:r>
        <w:rPr>
          <w:noProof/>
        </w:rPr>
        <w:tab/>
      </w:r>
      <w:r w:rsidRPr="00A4089F">
        <w:rPr>
          <w:noProof/>
        </w:rPr>
        <w:t>V skladu s členom 9 Uredbe (EU) 2022/1369 mora Komisija do 1. marca 2024 opraviti nov pregled te uredbe glede na splošno stanje v zvezi z oskrbo Unije s plinom in Svetu predložiti poročilo o glavnih ugotovitvah. Komisija je predstavila glavne ugotovitve pregleda v svojem Poročilu (COM)2024 88.</w:t>
      </w:r>
    </w:p>
    <w:p w:rsidR="00101CFC" w:rsidRPr="00A4089F" w:rsidRDefault="007D25DD" w:rsidP="005E7265">
      <w:pPr>
        <w:pStyle w:val="ManualConsidrant"/>
        <w:rPr>
          <w:rFonts w:eastAsia="Times New Roman"/>
          <w:noProof/>
          <w:color w:val="000000" w:themeColor="text1"/>
        </w:rPr>
      </w:pPr>
      <w:r>
        <w:rPr>
          <w:noProof/>
        </w:rPr>
        <w:t>(5)</w:t>
      </w:r>
      <w:r>
        <w:rPr>
          <w:noProof/>
        </w:rPr>
        <w:tab/>
      </w:r>
      <w:r w:rsidRPr="00A4089F">
        <w:rPr>
          <w:noProof/>
        </w:rPr>
        <w:t>Komisija v Poročilu COM(2024) 88 ugotavlja, da se je zanesljivost oskrbe s plinom zaradi ciljno usmerjenih naložb in številnih ukrepov, vključno s ciljem glede zmanjšanja iz Uredbe (EU) 2022/1369, sicer izboljšala, splošna zanesljivost oskrbe pa ostaja kočljiva. Razmere na svetovnem trgu plina so še vedno zaostrene in pred 2025–2027 ni pričakovati znatnih izboljšanj svetovnih zmogljivosti utekočinjanja, pri čemer ostajajo druga tveganja neugodnega razvoja, ki lahko poslabšajo zdajšnjo zanesljivost oskrbe. V poročilu je bilo tudi ugotovljeno, da je zmanjšanje povpraševanja znatno prispevalo k postopni opustitvi približno 65 milijard kubičnih metrov plina iz Rusije v letu 2023, zlasti v sektorjih gospodinjstev in industrije. Zmanjšanje povpraševanja je bilo leta 2023 ključnega pomena za to, da so bile ob koncu zime ravni skladiščenja ustrezne, poleti pa zagotovljene potrebne prožnosti za dosego obveznosti 90-odstotnega skladiščenja iz Uredbe (EU) 2017/1938 Evropskega parlamenta in Sveta</w:t>
      </w:r>
      <w:r w:rsidR="00B56912" w:rsidRPr="005257DC">
        <w:rPr>
          <w:rStyle w:val="FootnoteReference"/>
          <w:rFonts w:eastAsia="Times New Roman"/>
          <w:noProof/>
        </w:rPr>
        <w:footnoteReference w:id="5"/>
      </w:r>
      <w:r w:rsidRPr="00A4089F">
        <w:rPr>
          <w:noProof/>
        </w:rPr>
        <w:t>.</w:t>
      </w:r>
    </w:p>
    <w:p w:rsidR="00096E93" w:rsidRPr="00A4089F" w:rsidRDefault="00096E93" w:rsidP="005E7265">
      <w:pPr>
        <w:pStyle w:val="ManualConsidrant"/>
        <w:rPr>
          <w:noProof/>
        </w:rPr>
      </w:pPr>
      <w:r>
        <w:rPr>
          <w:noProof/>
        </w:rPr>
        <w:t>(6)</w:t>
      </w:r>
      <w:r>
        <w:rPr>
          <w:noProof/>
        </w:rPr>
        <w:tab/>
      </w:r>
      <w:r w:rsidRPr="00A4089F">
        <w:rPr>
          <w:noProof/>
        </w:rPr>
        <w:t>Nedavni primeri znatne nestanovitnosti cen, tudi poleti in jeseni 2023, ko so se zaradi dogodkov, kot so bili stavka v avstralskih obratih za utekočinjeni zemeljski plin in motnje na plinovodu Balticconnector, cene v nekaj tednih zvišale za več kot 50 %, kažejo, da so trgi še vedno krhki in občutljivi tudi na razmeroma majhne pretrese v zvezi s ponudbo in povpraševanjem. V takih razmerah lahko strah pred pomanjkanjem oskrbe z zemeljskim plinom sproži negativne sistemske odzive po vsej Uniji z resnimi posledicami za cene energije. Poleg tega je zaradi znatnega zmanjšanja uvoza plina po plinovodih iz Rusije v zadnjem letu razpoložljivost splošne oskrbe s plinom v Uniji veliko manjša kot v obdobju pred krizo. Unija je iz Rusije prejela približno 25 kubičnih metrov plina po plinovodih, dobave iz Rusije pa so leta 2023 skupno znašale le 15 % celotnega uvoza EU (po plinovodih in utekočinjeni zemeljski plin) v primerjavi s 45 % leta 2021.</w:t>
      </w:r>
    </w:p>
    <w:p w:rsidR="00101CFC" w:rsidRPr="00A4089F" w:rsidRDefault="00101CFC" w:rsidP="005E7265">
      <w:pPr>
        <w:pStyle w:val="ManualConsidrant"/>
        <w:rPr>
          <w:noProof/>
        </w:rPr>
      </w:pPr>
      <w:r>
        <w:rPr>
          <w:noProof/>
        </w:rPr>
        <w:t>(7)</w:t>
      </w:r>
      <w:r>
        <w:rPr>
          <w:noProof/>
        </w:rPr>
        <w:tab/>
      </w:r>
      <w:r w:rsidRPr="00A4089F">
        <w:rPr>
          <w:noProof/>
        </w:rPr>
        <w:t>Zaradi še vedno krhkega ravnovesja med ponudbo in povpraševanjem lahko motnje oskrbe s plinom pomembno vplivajo na trg s plinom, hkrati pa lahko škodijo gospodarstvu, tako da prizadenejo konkurenčnost, in negativno vplivajo na državljane Unije. V ta namen je priporočljivo nadaljevanje usklajenega zmanjševanja povpraševanja v vseh državah članicah v duhu solidarnosti, da se med drugim ponovno napolnijo skladiščne zmogljivosti na učinkovit način in z minimalnimi motnjami na trgu, kar prispeva k zanesljivosti oskrbe s plinom pred zimo 2024–2025. Vnaprejšnji, usklajeni in prostovoljni prihranki zmanjšujejo tveganje negativnega vpliva, ki bi ga pomanjkanje plina lahko imelo na konkurenčnost industrije.</w:t>
      </w:r>
    </w:p>
    <w:p w:rsidR="00101CFC" w:rsidRPr="00A4089F" w:rsidRDefault="008D741C" w:rsidP="005E7265">
      <w:pPr>
        <w:pStyle w:val="ManualConsidrant"/>
        <w:rPr>
          <w:rFonts w:eastAsia="Times New Roman"/>
          <w:noProof/>
        </w:rPr>
      </w:pPr>
      <w:r>
        <w:rPr>
          <w:noProof/>
        </w:rPr>
        <w:t>(8)</w:t>
      </w:r>
      <w:r>
        <w:rPr>
          <w:noProof/>
        </w:rPr>
        <w:tab/>
      </w:r>
      <w:r w:rsidRPr="00A4089F">
        <w:rPr>
          <w:noProof/>
        </w:rPr>
        <w:t>Od začetka veljavnosti Uredbe (EU) 2022/1369 sta se raven pripravljenosti na trgu plina in zanesljivost oskrbe v Uniji znatno izboljšali. Vendar še naprej ostajajo tveganja za zanesljivost oskrbe Unije z energijo, saj so svetovne razmere na trgu plina še naprej napete, cene pa višje kot pred krizo. Razmere še poslabšuje visoka nestanovitnost trga, ki je med drugim posledica geopolitičnih napetosti, trenutno na primer krize na Bližnjem vzhodu in v Rdečem morju. Zaradi motenj v oskrbi in napetosti na trgu v preteklih mesecih je dvanajst držav članic še vedno na prvi ali drugi stopnji krize po skupni klasifikaciji EU, kakor določa člen 11(1) Uredbe (EU) 2017/1938.</w:t>
      </w:r>
    </w:p>
    <w:p w:rsidR="00DC5350" w:rsidRPr="00A4089F" w:rsidRDefault="00DC5350" w:rsidP="005E7265">
      <w:pPr>
        <w:pStyle w:val="ManualConsidrant"/>
        <w:rPr>
          <w:noProof/>
        </w:rPr>
      </w:pPr>
      <w:r>
        <w:rPr>
          <w:noProof/>
        </w:rPr>
        <w:t>(9)</w:t>
      </w:r>
      <w:r>
        <w:rPr>
          <w:noProof/>
        </w:rPr>
        <w:tab/>
      </w:r>
      <w:r w:rsidRPr="00A4089F">
        <w:rPr>
          <w:noProof/>
        </w:rPr>
        <w:t>Te možne težave za zanesljivost oskrbe še poslabšuje več dodatnih tveganj vključno s prenehanjem veljavnosti trenutnega sporazuma o tranzitu prek Ukrajine 31. decembra 2024, prek katerega je bilo leta 2023 prepeljanih približno 14 milijard kubičnih metrov plina. Druga tveganja so možna okrepitev povpraševanja po utekočinjenem zemeljskem plinu v Aziji, ki bi zmanjšala razpoložljivost plina na svetovnem trgu plina, mrzla zima 2024–2025, zaradi katere bi se lahko povpraševanje po plinu povečalo za do 30 milijard kubičnih metrov, ter ekstremne vremenske razmere, ki bi lahko vplivale na skladiščenje električne energije iz hidroelektrarn in proizvodnjo jedrske energije zaradi nizkih vodostajev ter posledično povečale povpraševanje po proizvodnji električne energije iz plina. Dodatna tveganja so nastala zaradi dodatnih motenj v kritični infrastrukturi, na primer zaradi sabotaže plinovoda Severni tok septembra 2022 ali motnje na plinovodu Balticconnector oktobra 2023, ter poslabšanja geopolitičnih razmer, zlasti v državah in regijah, ki so pomembne za zanesljivo oskrbo z energijo v Uniji, kot sta Ukrajina in Bližnji vzhod.</w:t>
      </w:r>
    </w:p>
    <w:p w:rsidR="00101CFC" w:rsidRPr="00A4089F" w:rsidRDefault="00101CFC" w:rsidP="00784070">
      <w:pPr>
        <w:pStyle w:val="ManualConsidrant"/>
        <w:rPr>
          <w:noProof/>
        </w:rPr>
      </w:pPr>
      <w:r>
        <w:rPr>
          <w:noProof/>
        </w:rPr>
        <w:t>(10)</w:t>
      </w:r>
      <w:r>
        <w:rPr>
          <w:noProof/>
        </w:rPr>
        <w:tab/>
      </w:r>
      <w:r w:rsidRPr="00A4089F">
        <w:rPr>
          <w:noProof/>
        </w:rPr>
        <w:t>Razmere na svetovnih trgih plina so še vedno zaostrene in tako naj bi ostalo še nekaj časa. Kot ugotavlja Mednarodna agencija za energijo (IEA) v svojem srednjeročnem poročilu o plinu za leto 2023</w:t>
      </w:r>
      <w:r w:rsidRPr="00A4089F">
        <w:rPr>
          <w:rStyle w:val="FootnoteReference"/>
          <w:noProof/>
        </w:rPr>
        <w:footnoteReference w:id="6"/>
      </w:r>
      <w:r w:rsidRPr="00A4089F">
        <w:rPr>
          <w:noProof/>
        </w:rPr>
        <w:t>, se je svetovna oskrba z utekočinjenim zemeljskim plinom v letih 2022 (za 4 %) in 2023 (za 3 %) le rahlo povečala. IEA v svojih svetovnih energetskih napovedih za leto 2023</w:t>
      </w:r>
      <w:r w:rsidRPr="00A4089F">
        <w:rPr>
          <w:rStyle w:val="FootnoteReference"/>
          <w:noProof/>
        </w:rPr>
        <w:footnoteReference w:id="7"/>
      </w:r>
      <w:r w:rsidRPr="00A4089F">
        <w:rPr>
          <w:noProof/>
        </w:rPr>
        <w:t xml:space="preserve"> pričakuje, da bodo tržna ravnovesja v bližnji prihodnosti ostala krhka, dokler ne bodo v obdobju 2025–2027 na voljo nove zmogljivosti v zvezi z utekočinjenim zemeljskim plinom.</w:t>
      </w:r>
    </w:p>
    <w:p w:rsidR="00101CFC" w:rsidRPr="00A4089F" w:rsidRDefault="00101CFC" w:rsidP="00101CFC">
      <w:pPr>
        <w:pStyle w:val="ManualConsidrant"/>
        <w:rPr>
          <w:noProof/>
        </w:rPr>
      </w:pPr>
      <w:r>
        <w:rPr>
          <w:noProof/>
        </w:rPr>
        <w:t>(11)</w:t>
      </w:r>
      <w:r>
        <w:rPr>
          <w:noProof/>
        </w:rPr>
        <w:tab/>
      </w:r>
      <w:bookmarkStart w:id="1" w:name="_Hlk157520011"/>
      <w:r w:rsidRPr="00A4089F">
        <w:rPr>
          <w:noProof/>
        </w:rPr>
        <w:t>Nedavno sprejeta Direktiva (EU) 2023/1791 Evropskega parlamenta in Sveta</w:t>
      </w:r>
      <w:r w:rsidR="003D2A62" w:rsidRPr="00A4089F">
        <w:rPr>
          <w:rStyle w:val="FootnoteReference"/>
          <w:noProof/>
        </w:rPr>
        <w:footnoteReference w:id="8"/>
      </w:r>
      <w:r w:rsidRPr="00A4089F">
        <w:rPr>
          <w:noProof/>
        </w:rPr>
        <w:t xml:space="preserve"> ter Direktiva (EU) 2023/2413 Evropskega parlamenta in Sveta</w:t>
      </w:r>
      <w:r w:rsidR="00984B7B" w:rsidRPr="00A4089F">
        <w:rPr>
          <w:rStyle w:val="FootnoteReference"/>
          <w:noProof/>
        </w:rPr>
        <w:footnoteReference w:id="9"/>
      </w:r>
      <w:r w:rsidRPr="00A4089F">
        <w:rPr>
          <w:noProof/>
        </w:rPr>
        <w:t xml:space="preserve"> bosta prispevali k doseganju ciljev EU glede razogljičenja in strukturnemu zmanjšanju povpraševanja v bližnji prihodnosti v skladu s Pregledom globalnega stanja COP28</w:t>
      </w:r>
      <w:r w:rsidR="00217E69" w:rsidRPr="00A4089F">
        <w:rPr>
          <w:rStyle w:val="FootnoteReference"/>
          <w:noProof/>
        </w:rPr>
        <w:footnoteReference w:id="10"/>
      </w:r>
      <w:r w:rsidRPr="00A4089F">
        <w:rPr>
          <w:noProof/>
        </w:rPr>
        <w:t xml:space="preserve">, ki priznava potrebo po pravičnem, urejenem in poštenem prehodu s fosilnih goriv v energetskih sistemih. Čeprav ukrepi, ki jih bodo države članice sprejele za prenos navedenih direktiv, med uporabo tega priporočila večinoma še ne bodo veljali, bodo prispevali k zmanjšanju povpraševanja po plinu v letih po prenosu. Glede na to, da bo treba pomembne ukrepe navedenih direktiv prenesti šele maja 2025, je primerno priporočiti zmanjšanje povpraševanja po plinu v prehodnem obdobju do tega prenosa. </w:t>
      </w:r>
      <w:bookmarkEnd w:id="1"/>
    </w:p>
    <w:p w:rsidR="00DA4990" w:rsidRPr="00A4089F" w:rsidRDefault="000312BC" w:rsidP="00101CFC">
      <w:pPr>
        <w:pStyle w:val="ManualConsidrant"/>
        <w:rPr>
          <w:noProof/>
        </w:rPr>
      </w:pPr>
      <w:r>
        <w:rPr>
          <w:noProof/>
        </w:rPr>
        <w:t>(12)</w:t>
      </w:r>
      <w:r>
        <w:rPr>
          <w:noProof/>
        </w:rPr>
        <w:tab/>
      </w:r>
      <w:r w:rsidRPr="00A4089F">
        <w:rPr>
          <w:noProof/>
        </w:rPr>
        <w:t>Zmanjšanje povpraševanja s strani držav članic lahko prispeva zlasti k polnjenju podzemnih skladišč, da se zagotovijo ustrezne ravni zanesljivosti oskrbe za zimo 2024–2025 in prepreči nadaljnje pomanjkanje napolnjenosti skladišč v zimi 2025–2026. Nadaljevanje zmanjševanja povpraševanja po plinu bo pripomoglo tudi k ohranjanju pritiska na zniževanje cen v korist potrošnikov Unije in industrijske konkurenčnosti.</w:t>
      </w:r>
    </w:p>
    <w:p w:rsidR="00B000BB" w:rsidRPr="00A4089F" w:rsidRDefault="00B000BB" w:rsidP="00685E07">
      <w:pPr>
        <w:pStyle w:val="ManualConsidrant"/>
        <w:rPr>
          <w:noProof/>
        </w:rPr>
      </w:pPr>
      <w:r>
        <w:rPr>
          <w:noProof/>
        </w:rPr>
        <w:t>(13)</w:t>
      </w:r>
      <w:r>
        <w:rPr>
          <w:noProof/>
        </w:rPr>
        <w:tab/>
      </w:r>
      <w:r w:rsidRPr="00A4089F">
        <w:rPr>
          <w:noProof/>
        </w:rPr>
        <w:t>Priporočilo o varčevanju s plinom ne bi smelo vplivati na potrebo po spoštovanju ciljev držav članic glede razogljičenja. To priporočilo zato ne bi smelo odvrniti držav članic od nadaljevanja prehoda s premoga na plin za npr. proizvodnjo električne energije, če to državam članicam pomaga doseči njihove cilje razogljičenja, kot so določeni v celovitih nacionalnih energetskih in podnebnih načrtih, vzpostavljenih na podlagi Uredbe (EU) 2018/1999 Evropskega parlamenta in Sveta</w:t>
      </w:r>
      <w:r w:rsidRPr="00A4089F">
        <w:rPr>
          <w:rStyle w:val="FootnoteReference"/>
          <w:noProof/>
        </w:rPr>
        <w:footnoteReference w:id="11"/>
      </w:r>
      <w:r w:rsidRPr="00A4089F">
        <w:rPr>
          <w:noProof/>
        </w:rPr>
        <w:t xml:space="preserve">. </w:t>
      </w:r>
    </w:p>
    <w:p w:rsidR="00F71E89" w:rsidRPr="00A4089F" w:rsidRDefault="00860CC2" w:rsidP="00685E07">
      <w:pPr>
        <w:pStyle w:val="ManualConsidrant"/>
        <w:rPr>
          <w:noProof/>
        </w:rPr>
      </w:pPr>
      <w:r>
        <w:rPr>
          <w:noProof/>
        </w:rPr>
        <w:t>(14)</w:t>
      </w:r>
      <w:r>
        <w:rPr>
          <w:noProof/>
        </w:rPr>
        <w:tab/>
      </w:r>
      <w:r w:rsidRPr="00A4089F">
        <w:rPr>
          <w:noProof/>
        </w:rPr>
        <w:t>Določbe tega priporočila o zmanjšanju povpraševanja priznavajo posebne nacionalne okoliščine. Države članice bi morale imeti možnost, da začasno omejijo priporočeni cilj zmanjšanja povpraševanja v primeru nacionalnih posebnosti, med drugim kadar se država članica sooča s krizo pri oskrbi z električno energijo, kakor je navedeno v Uredbi (EU) 2019/941 Evropskega parlamenta in Sveta (</w:t>
      </w:r>
      <w:r w:rsidRPr="00A4089F">
        <w:rPr>
          <w:rStyle w:val="FootnoteReference"/>
          <w:noProof/>
        </w:rPr>
        <w:footnoteReference w:id="12"/>
      </w:r>
      <w:r w:rsidRPr="00A4089F">
        <w:rPr>
          <w:noProof/>
        </w:rPr>
        <w:t>). Tak scenarij bi lahko vključeval omejitev, ki je sorazmerna z znatnim povečanjem porabe plina za proizvodnjo električne energije, potrebno za znatno večji izvoz električne energije v sosednjo državo članico zaradi izjemnih okoliščin, kot je nizka razpoložljivost vodne ali jedrske energije v zadevni državi članici ali v sosednji državi članici, v katero se izvozi znatno več električne energije –</w:t>
      </w:r>
    </w:p>
    <w:p w:rsidR="00101CFC" w:rsidRPr="00A4089F" w:rsidRDefault="0043247E" w:rsidP="00DD6855">
      <w:pPr>
        <w:pStyle w:val="Formuledadoption"/>
        <w:rPr>
          <w:noProof/>
        </w:rPr>
      </w:pPr>
      <w:r w:rsidRPr="00A4089F">
        <w:rPr>
          <w:noProof/>
        </w:rPr>
        <w:t xml:space="preserve">SPREJEL NASLEDNJE PRIPOROČILO: </w:t>
      </w:r>
    </w:p>
    <w:p w:rsidR="5F71D280" w:rsidRPr="00A4089F" w:rsidRDefault="004A5BCC" w:rsidP="00D301B1">
      <w:pPr>
        <w:pStyle w:val="Point0"/>
        <w:rPr>
          <w:noProof/>
        </w:rPr>
      </w:pPr>
      <w:r>
        <w:rPr>
          <w:noProof/>
        </w:rPr>
        <w:t>(1)</w:t>
      </w:r>
      <w:r>
        <w:rPr>
          <w:noProof/>
        </w:rPr>
        <w:tab/>
      </w:r>
      <w:r w:rsidRPr="00A4089F">
        <w:rPr>
          <w:noProof/>
        </w:rPr>
        <w:t>Države članice bi morale nasloviti težave pri oskrbi s plinom, da se v duhu solidarnosti zagotovi zanesljivost oskrbe Unije s plinom z izboljšanim usklajevanjem, spremljanjem nacionalnega zmanjšanja povpraševanja po plinu in poročanjem o njem.</w:t>
      </w:r>
    </w:p>
    <w:p w:rsidR="00524430" w:rsidRPr="00A4089F" w:rsidRDefault="00524430" w:rsidP="00101CFC">
      <w:pPr>
        <w:pStyle w:val="Point0"/>
        <w:rPr>
          <w:noProof/>
        </w:rPr>
      </w:pPr>
      <w:r>
        <w:rPr>
          <w:noProof/>
        </w:rPr>
        <w:t>(2)</w:t>
      </w:r>
      <w:r>
        <w:rPr>
          <w:noProof/>
        </w:rPr>
        <w:tab/>
      </w:r>
      <w:r w:rsidRPr="00A4089F">
        <w:rPr>
          <w:noProof/>
        </w:rPr>
        <w:t xml:space="preserve">Države članice bi si morale po najboljših močeh prizadevati za zmanjšanje porabe plina v obdobju od 1. aprila 2024 do 31. marca 2025 (v nadaljnjem besedilu: obdobje zmanjševanja) za vsaj 15 % v primerjavi s svojo povprečno porabo plina v „referenčnem obdobju“ od 1. aprila 2017 do 31. marca 2022. </w:t>
      </w:r>
    </w:p>
    <w:p w:rsidR="381B96C4" w:rsidRPr="00A4089F" w:rsidRDefault="381B96C4" w:rsidP="510E002B">
      <w:pPr>
        <w:pStyle w:val="Point0"/>
        <w:rPr>
          <w:noProof/>
          <w:szCs w:val="24"/>
        </w:rPr>
      </w:pPr>
      <w:r>
        <w:rPr>
          <w:noProof/>
        </w:rPr>
        <w:t>(3)</w:t>
      </w:r>
      <w:r>
        <w:rPr>
          <w:noProof/>
        </w:rPr>
        <w:tab/>
      </w:r>
      <w:r w:rsidRPr="00A4089F">
        <w:rPr>
          <w:noProof/>
        </w:rPr>
        <w:t>Za namene zmanjšanja porabe plina v vsaki državi članici v obdobju zmanjševanja bi moralo biti povpraševanje po plinu za 15 % nižje od referenčne porabe plina. „Referenčna poraba plina“ pomeni količino povprečne porabe plina v zadevni državi članici v referenčnem obdobju. Za države članice, v katerih se je poraba plina v obdobju od 1. aprila 2021 do 31. marca 2022 povečala za vsaj 8 % v primerjavi s povprečno porabo plina v referenčnem obdobju, referenčna poraba plina pomeni le količino porabe plina v obdobju od 1. aprila 2021 do 31. marca 2022</w:t>
      </w:r>
      <w:r w:rsidR="00A4089F">
        <w:rPr>
          <w:noProof/>
        </w:rPr>
        <w:t>.</w:t>
      </w:r>
    </w:p>
    <w:p w:rsidR="00524430" w:rsidRPr="00A4089F" w:rsidRDefault="00851D07" w:rsidP="00524430">
      <w:pPr>
        <w:pStyle w:val="Point0"/>
        <w:rPr>
          <w:noProof/>
          <w:szCs w:val="24"/>
        </w:rPr>
      </w:pPr>
      <w:r>
        <w:rPr>
          <w:noProof/>
        </w:rPr>
        <w:t>(4)</w:t>
      </w:r>
      <w:r>
        <w:rPr>
          <w:noProof/>
        </w:rPr>
        <w:tab/>
      </w:r>
      <w:r w:rsidRPr="00A4089F">
        <w:rPr>
          <w:noProof/>
        </w:rPr>
        <w:t>To priporočilo ni naslovljeno na državo članico, katere elektroenergetski sistem je sinhroniziran le z elektroenergetskim sistemom tretje države, v primeru, da ni več sinhroniziran s sistemom navedene tretje države, vse dokler so za zagotovitev varnega in zanesljivega delovanja elektroenergetskega sistema potrebne storitve izoliranega elektroenergetskega sistema ali druge storitve za operaterja prenosnega sistema za električno energijo.</w:t>
      </w:r>
    </w:p>
    <w:p w:rsidR="00524430" w:rsidRPr="00A4089F" w:rsidRDefault="00D16C9C" w:rsidP="00524430">
      <w:pPr>
        <w:pStyle w:val="Point0"/>
        <w:rPr>
          <w:noProof/>
        </w:rPr>
      </w:pPr>
      <w:r>
        <w:rPr>
          <w:noProof/>
        </w:rPr>
        <w:t>(5)</w:t>
      </w:r>
      <w:r>
        <w:rPr>
          <w:noProof/>
        </w:rPr>
        <w:tab/>
      </w:r>
      <w:r w:rsidRPr="00A4089F">
        <w:rPr>
          <w:noProof/>
        </w:rPr>
        <w:t>To priporočilo ni naslovljeno na državo članico, dokler navedena država članica ni neposredno povezana s povezanim plinskim sistemom katere koli druge države članice.</w:t>
      </w:r>
    </w:p>
    <w:p w:rsidR="00524430" w:rsidRPr="00A4089F" w:rsidRDefault="00524430" w:rsidP="00524430">
      <w:pPr>
        <w:pStyle w:val="Point0"/>
        <w:rPr>
          <w:noProof/>
        </w:rPr>
      </w:pPr>
      <w:r>
        <w:rPr>
          <w:noProof/>
        </w:rPr>
        <w:t>(6)</w:t>
      </w:r>
      <w:r>
        <w:rPr>
          <w:noProof/>
        </w:rPr>
        <w:tab/>
      </w:r>
      <w:r w:rsidRPr="00A4089F">
        <w:rPr>
          <w:noProof/>
        </w:rPr>
        <w:t>Država članica bi morala imeti možnost, da referenčno porabo plina, ki se uporablja za izračun ciljnega zmanjšanja povpraševanja na podlagi točke 3, omeji za količino plina, ki je enaka razliki med njenim vmesnim ciljem za 1. avgust 2022 iz Priloge 1a Uredbe (EU) 2022/1032 in dejansko količino skladiščenega plina dne 1. avgusta 2022, če je na navedeni datum izpolnila vmesni cilj.</w:t>
      </w:r>
    </w:p>
    <w:p w:rsidR="00524430" w:rsidRPr="00A4089F" w:rsidRDefault="00524430" w:rsidP="00524430">
      <w:pPr>
        <w:pStyle w:val="Point0"/>
        <w:rPr>
          <w:noProof/>
        </w:rPr>
      </w:pPr>
      <w:r>
        <w:rPr>
          <w:noProof/>
        </w:rPr>
        <w:t>(7)</w:t>
      </w:r>
      <w:r>
        <w:rPr>
          <w:noProof/>
        </w:rPr>
        <w:tab/>
      </w:r>
      <w:r w:rsidRPr="00A4089F">
        <w:rPr>
          <w:noProof/>
        </w:rPr>
        <w:t>Država članica bi morala imeti možnost, da referenčno porabo plina, ki se uporablja za izračun ciljnega zmanjšanja povpraševanja na podlagi točke 3, omeji za količino plina, porabljenega v referenčnem obdobju kot surovina. „Surovina“ pomeni „neenergetsko rabo zemeljskega plina“, kot je navedeno v izračunih energetskih bilanc Komisije (Eurostat).</w:t>
      </w:r>
    </w:p>
    <w:p w:rsidR="00524430" w:rsidRPr="00A4089F" w:rsidRDefault="00524430" w:rsidP="009F2F70">
      <w:pPr>
        <w:pStyle w:val="Point0"/>
        <w:rPr>
          <w:noProof/>
        </w:rPr>
      </w:pPr>
      <w:r>
        <w:rPr>
          <w:noProof/>
        </w:rPr>
        <w:t>(8)</w:t>
      </w:r>
      <w:r>
        <w:rPr>
          <w:noProof/>
        </w:rPr>
        <w:tab/>
      </w:r>
      <w:r w:rsidRPr="00A4089F">
        <w:rPr>
          <w:noProof/>
        </w:rPr>
        <w:t>Država članica bi prav tako morala imeti možnost, da referenčno porabo plina, ki se uporablja za izračun ciljnega obveznega zmanjšanja povpraševanja na podlagi točke 3, prilagodi za količino povečane porabe plina zaradi prehoda s premoga na plin, ki se uporablja za daljinsko ogrevanje, če to povečanje v obdobju od 1. avgusta 2023 do 31. marca 2024 znaša vsaj 8 % v primerjavi s povprečno porabo plina v referenčnem obdobju in kolikor je to povečanje mogoče neposredno pripisati prehodu.</w:t>
      </w:r>
    </w:p>
    <w:p w:rsidR="00524430" w:rsidRPr="00A4089F" w:rsidRDefault="00524430" w:rsidP="00524430">
      <w:pPr>
        <w:pStyle w:val="Point0"/>
        <w:rPr>
          <w:noProof/>
        </w:rPr>
      </w:pPr>
      <w:r>
        <w:rPr>
          <w:noProof/>
        </w:rPr>
        <w:t>(9)</w:t>
      </w:r>
      <w:r>
        <w:rPr>
          <w:noProof/>
        </w:rPr>
        <w:tab/>
      </w:r>
      <w:r w:rsidRPr="00A4089F">
        <w:rPr>
          <w:noProof/>
        </w:rPr>
        <w:t xml:space="preserve">Država članica bi morala imeti možnost, da omeji cilj zmanjšanja povpraševanja za 8 odstotnih točk, če je njena povezanost z drugimi državami članicami, merjena v trdni tehnični izvozni zmogljivosti v primerjavi z njeno letno porabo plina v letu 2021 manjša od 50 % in je bila zmogljivost na povezovalnih plinovodih v druge države članice dejansko uporabljena za prevoz plina na ravni najmanj 90 % v preteklem mesecu, razen če lahko država članica dokaže, da ni bilo povpraševanja in je bila zmogljivost maksimalno povečana ter da so njeni domači obrati za </w:t>
      </w:r>
      <w:r w:rsidR="00A4089F">
        <w:rPr>
          <w:noProof/>
        </w:rPr>
        <w:t>utekočinjeni zemeljsko plin</w:t>
      </w:r>
      <w:r w:rsidRPr="00A4089F">
        <w:rPr>
          <w:noProof/>
        </w:rPr>
        <w:t xml:space="preserve"> komercialno in tehnično pripravljeni preusmeriti plin v druge države članice do količin, ki jih zahteva trg.</w:t>
      </w:r>
    </w:p>
    <w:p w:rsidR="00524430" w:rsidRPr="00A4089F" w:rsidRDefault="00524430" w:rsidP="00524430">
      <w:pPr>
        <w:pStyle w:val="Point0"/>
        <w:rPr>
          <w:noProof/>
        </w:rPr>
      </w:pPr>
      <w:r>
        <w:rPr>
          <w:noProof/>
        </w:rPr>
        <w:t>(10)</w:t>
      </w:r>
      <w:r>
        <w:rPr>
          <w:noProof/>
        </w:rPr>
        <w:tab/>
      </w:r>
      <w:r w:rsidRPr="00A4089F">
        <w:rPr>
          <w:noProof/>
        </w:rPr>
        <w:t>Država članica bi morala imeti možnost, da v primeru krize pri oskrbi z električno energijo kakršne koli cilje zmanjšanja povpraševanja začasno omeji, da ublaži tveganje za oskrbo z električno energijo, še zlasti, če ni ekonomskih alternativ za nadomestilo plina, ki je potreben za proizvodnjo električne energije, ne da bi bila pri tem resno ogrožena zanesljivost oskrbe. V navedenem primeru se priporoča, da država članica sporoči razloge za omejitev.</w:t>
      </w:r>
    </w:p>
    <w:p w:rsidR="00524430" w:rsidRPr="00A4089F" w:rsidRDefault="00D95C08" w:rsidP="00784070">
      <w:pPr>
        <w:pStyle w:val="Point0"/>
        <w:rPr>
          <w:noProof/>
        </w:rPr>
      </w:pPr>
      <w:r>
        <w:rPr>
          <w:noProof/>
        </w:rPr>
        <w:t>(11)</w:t>
      </w:r>
      <w:r>
        <w:rPr>
          <w:noProof/>
        </w:rPr>
        <w:tab/>
      </w:r>
      <w:r w:rsidRPr="00A4089F">
        <w:rPr>
          <w:noProof/>
        </w:rPr>
        <w:t xml:space="preserve">Ukrepi, ki jih izberejo države članice za zmanjšanje povpraševanja, bi morali biti jasno opredeljeni, pregledni, sorazmerni, nediskriminatorni in preverljivi. </w:t>
      </w:r>
    </w:p>
    <w:p w:rsidR="00D95C08" w:rsidRPr="00A4089F" w:rsidRDefault="007E29AB" w:rsidP="00101CFC">
      <w:pPr>
        <w:pStyle w:val="Point0"/>
        <w:rPr>
          <w:noProof/>
        </w:rPr>
      </w:pPr>
      <w:r>
        <w:rPr>
          <w:noProof/>
        </w:rPr>
        <w:t>(12)</w:t>
      </w:r>
      <w:r>
        <w:rPr>
          <w:noProof/>
        </w:rPr>
        <w:tab/>
      </w:r>
      <w:r w:rsidRPr="00A4089F">
        <w:rPr>
          <w:noProof/>
        </w:rPr>
        <w:t xml:space="preserve">Državam članicam se priporoča, da se pri sprejemanju ukrepov, ki vplivajo na odjemalce, ki niso zaščiteni odjemalci, kakor so opredeljeni v členu 2, točka 5, Uredbe (EU) 2017/1938, ravnajo po objektivnih in preglednih merilih, pri katerih se upoštevajo njihov gospodarski pomen in med drugim naslednji elementi: </w:t>
      </w:r>
    </w:p>
    <w:p w:rsidR="00D95C08" w:rsidRPr="00A4089F" w:rsidRDefault="00D95C08" w:rsidP="00D95C08">
      <w:pPr>
        <w:pStyle w:val="Point1"/>
        <w:rPr>
          <w:noProof/>
        </w:rPr>
      </w:pPr>
      <w:r>
        <w:rPr>
          <w:noProof/>
        </w:rPr>
        <w:t>(a)</w:t>
      </w:r>
      <w:r>
        <w:rPr>
          <w:noProof/>
        </w:rPr>
        <w:tab/>
      </w:r>
      <w:r w:rsidRPr="00A4089F">
        <w:rPr>
          <w:noProof/>
        </w:rPr>
        <w:t xml:space="preserve">učinek motenj na dobavne verige, ki so ključnega pomena za družbo; </w:t>
      </w:r>
    </w:p>
    <w:p w:rsidR="00D95C08" w:rsidRPr="00A4089F" w:rsidRDefault="00D95C08" w:rsidP="00D95C08">
      <w:pPr>
        <w:pStyle w:val="Point1"/>
        <w:rPr>
          <w:noProof/>
        </w:rPr>
      </w:pPr>
      <w:r>
        <w:rPr>
          <w:noProof/>
        </w:rPr>
        <w:t>(b)</w:t>
      </w:r>
      <w:r>
        <w:rPr>
          <w:noProof/>
        </w:rPr>
        <w:tab/>
      </w:r>
      <w:r w:rsidRPr="00A4089F">
        <w:rPr>
          <w:noProof/>
        </w:rPr>
        <w:t xml:space="preserve">morebitne negativne učinke v drugih državah članicah, zlasti na dobavne verige sektorjev nižje v verigi, ki so ključnega pomena za družbo; </w:t>
      </w:r>
    </w:p>
    <w:p w:rsidR="00D95C08" w:rsidRPr="00A4089F" w:rsidRDefault="00D95C08" w:rsidP="00D95C08">
      <w:pPr>
        <w:pStyle w:val="Point1"/>
        <w:rPr>
          <w:noProof/>
        </w:rPr>
      </w:pPr>
      <w:r>
        <w:rPr>
          <w:noProof/>
        </w:rPr>
        <w:t>(c)</w:t>
      </w:r>
      <w:r>
        <w:rPr>
          <w:noProof/>
        </w:rPr>
        <w:tab/>
      </w:r>
      <w:r w:rsidRPr="00A4089F">
        <w:rPr>
          <w:noProof/>
        </w:rPr>
        <w:t xml:space="preserve">morebitna dolgotrajna škoda na industrijskih obratih; </w:t>
      </w:r>
    </w:p>
    <w:p w:rsidR="00524430" w:rsidRPr="00A4089F" w:rsidRDefault="00D95C08" w:rsidP="00D95C08">
      <w:pPr>
        <w:pStyle w:val="Point1"/>
        <w:rPr>
          <w:noProof/>
        </w:rPr>
      </w:pPr>
      <w:r>
        <w:rPr>
          <w:noProof/>
        </w:rPr>
        <w:t>(d)</w:t>
      </w:r>
      <w:r>
        <w:rPr>
          <w:noProof/>
        </w:rPr>
        <w:tab/>
      </w:r>
      <w:r w:rsidRPr="00A4089F">
        <w:rPr>
          <w:noProof/>
        </w:rPr>
        <w:t>možnosti za zmanjšanje porabe in nadomestitev proizvodov v Uniji.</w:t>
      </w:r>
    </w:p>
    <w:p w:rsidR="00D95C08" w:rsidRPr="00A4089F" w:rsidRDefault="00841CAD" w:rsidP="00D95C08">
      <w:pPr>
        <w:pStyle w:val="Point0"/>
        <w:rPr>
          <w:noProof/>
        </w:rPr>
      </w:pPr>
      <w:r>
        <w:rPr>
          <w:noProof/>
        </w:rPr>
        <w:t>(13)</w:t>
      </w:r>
      <w:r>
        <w:rPr>
          <w:noProof/>
        </w:rPr>
        <w:tab/>
      </w:r>
      <w:r w:rsidRPr="00A4089F">
        <w:rPr>
          <w:noProof/>
        </w:rPr>
        <w:t>Državam članicam se, kadar se odločijo za ukrepe za varčevanje s plinom, priporoča, da preučijo ukrepe za zmanjšanje porabe plina v sektorju električne energije, ukrepe za spodbujanje prehoda na druga goriva v industriji, nacionalne kampanje ozaveščanja ter ciljno usmerjene obveznosti za zmanjšanje ogrevanja in hlajenja z namenom spodbujanja prehoda na obnovljiva goriva in zmanjšanje porabe v industriji, kadar se odločajo za ukrepe o zmanjšanju povpraševanja.</w:t>
      </w:r>
    </w:p>
    <w:p w:rsidR="00D95C08" w:rsidRPr="00A4089F" w:rsidRDefault="007573A7" w:rsidP="00D95C08">
      <w:pPr>
        <w:pStyle w:val="Point0"/>
        <w:rPr>
          <w:noProof/>
        </w:rPr>
      </w:pPr>
      <w:r>
        <w:rPr>
          <w:noProof/>
        </w:rPr>
        <w:t>(14)</w:t>
      </w:r>
      <w:r>
        <w:rPr>
          <w:noProof/>
        </w:rPr>
        <w:tab/>
      </w:r>
      <w:r w:rsidRPr="00A4089F">
        <w:rPr>
          <w:noProof/>
        </w:rPr>
        <w:t xml:space="preserve">Priporoča se, da države članice obvestijo Komisijo o novih ukrepih za zmanjšanje povpraševanja, ki jih še niso priglasile v skladu z Uredbo (EU) 2022/1369. </w:t>
      </w:r>
    </w:p>
    <w:p w:rsidR="00E13B98" w:rsidRPr="00A4089F" w:rsidRDefault="00E13B98" w:rsidP="00E13B98">
      <w:pPr>
        <w:pStyle w:val="Point0"/>
        <w:rPr>
          <w:noProof/>
        </w:rPr>
      </w:pPr>
      <w:r>
        <w:rPr>
          <w:noProof/>
        </w:rPr>
        <w:t>(15)</w:t>
      </w:r>
      <w:r>
        <w:rPr>
          <w:noProof/>
        </w:rPr>
        <w:tab/>
      </w:r>
      <w:r w:rsidRPr="00A4089F">
        <w:rPr>
          <w:noProof/>
        </w:rPr>
        <w:t>Priporoča se, da države članice spremljajo izvajanje ukrepov za zmanjšanje povpraševanja na svojem ozemlju in da o svoji porabi plina (v terajoulih, TJ) prek Eurostata poročajo Komisiji vsaj vsaka dva meseca in najpozneje do 15. dne naslednjega meseca.</w:t>
      </w:r>
    </w:p>
    <w:p w:rsidR="00E13B98" w:rsidRPr="00A4089F" w:rsidRDefault="00003F6E" w:rsidP="00685E07">
      <w:pPr>
        <w:pStyle w:val="Point0"/>
        <w:rPr>
          <w:noProof/>
        </w:rPr>
      </w:pPr>
      <w:r>
        <w:rPr>
          <w:noProof/>
        </w:rPr>
        <w:t>(16)</w:t>
      </w:r>
      <w:r>
        <w:rPr>
          <w:noProof/>
        </w:rPr>
        <w:tab/>
      </w:r>
      <w:r w:rsidRPr="00A4089F">
        <w:rPr>
          <w:noProof/>
        </w:rPr>
        <w:t>Priporoča se, da poročanje Eurostatu vključuje razčlenitev porabe plina po sektorjih, vključno s porabo plina v naslednjih sektorjih:</w:t>
      </w:r>
    </w:p>
    <w:p w:rsidR="00EB6314" w:rsidRPr="00A4089F" w:rsidRDefault="00E13B98" w:rsidP="00EB6314">
      <w:pPr>
        <w:pStyle w:val="Point1"/>
        <w:rPr>
          <w:noProof/>
        </w:rPr>
      </w:pPr>
      <w:r>
        <w:rPr>
          <w:noProof/>
        </w:rPr>
        <w:t>(a)</w:t>
      </w:r>
      <w:r>
        <w:rPr>
          <w:noProof/>
        </w:rPr>
        <w:tab/>
      </w:r>
      <w:r w:rsidRPr="00A4089F">
        <w:rPr>
          <w:noProof/>
        </w:rPr>
        <w:t>vložek plina za proizvodnjo električne energije in toplote;</w:t>
      </w:r>
    </w:p>
    <w:p w:rsidR="00EB6314" w:rsidRPr="00A4089F" w:rsidRDefault="00E13B98" w:rsidP="00EB6314">
      <w:pPr>
        <w:pStyle w:val="Point1"/>
        <w:rPr>
          <w:noProof/>
        </w:rPr>
      </w:pPr>
      <w:r>
        <w:rPr>
          <w:noProof/>
        </w:rPr>
        <w:t>(b)</w:t>
      </w:r>
      <w:r>
        <w:rPr>
          <w:noProof/>
        </w:rPr>
        <w:tab/>
      </w:r>
      <w:r w:rsidRPr="00A4089F">
        <w:rPr>
          <w:noProof/>
        </w:rPr>
        <w:t>poraba plina v industriji;</w:t>
      </w:r>
    </w:p>
    <w:p w:rsidR="00E13B98" w:rsidRPr="00A4089F" w:rsidRDefault="00E13B98" w:rsidP="00EB6314">
      <w:pPr>
        <w:pStyle w:val="Point1"/>
        <w:rPr>
          <w:noProof/>
        </w:rPr>
      </w:pPr>
      <w:r>
        <w:rPr>
          <w:noProof/>
        </w:rPr>
        <w:t>(c)</w:t>
      </w:r>
      <w:r>
        <w:rPr>
          <w:noProof/>
        </w:rPr>
        <w:tab/>
      </w:r>
      <w:r w:rsidRPr="00A4089F">
        <w:rPr>
          <w:noProof/>
        </w:rPr>
        <w:t>poraba plina v gospodinjstvih in pri storitvah.</w:t>
      </w:r>
    </w:p>
    <w:p w:rsidR="00E13B98" w:rsidRPr="00A4089F" w:rsidRDefault="00E13B98" w:rsidP="00685E07">
      <w:pPr>
        <w:pStyle w:val="Point0"/>
        <w:rPr>
          <w:noProof/>
        </w:rPr>
      </w:pPr>
      <w:r>
        <w:rPr>
          <w:noProof/>
        </w:rPr>
        <w:t>(17)</w:t>
      </w:r>
      <w:r>
        <w:rPr>
          <w:noProof/>
        </w:rPr>
        <w:tab/>
      </w:r>
      <w:r w:rsidRPr="00A4089F">
        <w:rPr>
          <w:noProof/>
        </w:rPr>
        <w:t>Za namen priporočila v tej točki bi bilo treba šteti za relevantne opredelitve pojmov in statistične konvencije iz Uredbe (ES) št. 1099/2008</w:t>
      </w:r>
      <w:r w:rsidR="00ED0073" w:rsidRPr="00A4089F">
        <w:rPr>
          <w:rStyle w:val="FootnoteReference"/>
          <w:noProof/>
          <w:lang w:eastAsia="en-IE"/>
        </w:rPr>
        <w:footnoteReference w:id="13"/>
      </w:r>
      <w:r w:rsidRPr="00A4089F">
        <w:rPr>
          <w:noProof/>
        </w:rPr>
        <w:t xml:space="preserve"> Evropskega parlamenta in Sveta.</w:t>
      </w:r>
    </w:p>
    <w:p w:rsidR="00D95C08" w:rsidRPr="00A4089F" w:rsidRDefault="002D181E" w:rsidP="00685E07">
      <w:pPr>
        <w:pStyle w:val="Point0"/>
        <w:rPr>
          <w:noProof/>
        </w:rPr>
      </w:pPr>
      <w:r>
        <w:rPr>
          <w:noProof/>
        </w:rPr>
        <w:t>(18)</w:t>
      </w:r>
      <w:r>
        <w:rPr>
          <w:noProof/>
        </w:rPr>
        <w:tab/>
      </w:r>
      <w:r w:rsidRPr="00A4089F">
        <w:rPr>
          <w:noProof/>
        </w:rPr>
        <w:t xml:space="preserve">Izraža se zadovoljstvo s tem, da Komisija podpira izvajanje tega priporočila s spremljanjem zmanjšanja povpraševanja, doseženega po sektorjih, in </w:t>
      </w:r>
      <w:r w:rsidR="00A4089F">
        <w:rPr>
          <w:noProof/>
        </w:rPr>
        <w:t>s</w:t>
      </w:r>
      <w:r w:rsidRPr="00A4089F">
        <w:rPr>
          <w:noProof/>
        </w:rPr>
        <w:t xml:space="preserve">prejetih ukrepov za zmanjšanje povpraševanja skupaj s koordinacijsko skupino za plin. </w:t>
      </w:r>
    </w:p>
    <w:p w:rsidR="008A4214" w:rsidRPr="00A4089F" w:rsidRDefault="008A4214" w:rsidP="00DD6855">
      <w:pPr>
        <w:rPr>
          <w:noProof/>
        </w:rPr>
      </w:pPr>
    </w:p>
    <w:p w:rsidR="00F71E89" w:rsidRPr="00A4089F" w:rsidRDefault="00A4089F" w:rsidP="00BB6638">
      <w:pPr>
        <w:pStyle w:val="Fait"/>
        <w:rPr>
          <w:noProof/>
        </w:rPr>
      </w:pPr>
      <w:r>
        <w:rPr>
          <w:noProof/>
        </w:rPr>
        <w:t>V Bruslju,</w:t>
      </w:r>
    </w:p>
    <w:p w:rsidR="00F71E89" w:rsidRPr="00A4089F" w:rsidRDefault="00F71E89" w:rsidP="00BB6638">
      <w:pPr>
        <w:pStyle w:val="Institutionquisigne"/>
        <w:rPr>
          <w:noProof/>
        </w:rPr>
      </w:pPr>
      <w:r w:rsidRPr="00A4089F">
        <w:rPr>
          <w:noProof/>
        </w:rPr>
        <w:tab/>
        <w:t>Za Svet</w:t>
      </w:r>
    </w:p>
    <w:p w:rsidR="00F71E89" w:rsidRPr="00A4089F" w:rsidRDefault="00F71E89" w:rsidP="00F71E89">
      <w:pPr>
        <w:pStyle w:val="Personnequisigne"/>
        <w:rPr>
          <w:noProof/>
        </w:rPr>
      </w:pPr>
      <w:r w:rsidRPr="00A4089F">
        <w:rPr>
          <w:noProof/>
        </w:rPr>
        <w:tab/>
        <w:t>predsednik</w:t>
      </w:r>
    </w:p>
    <w:sectPr w:rsidR="00F71E89" w:rsidRPr="00A4089F" w:rsidSect="00321C5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276" w:rsidRDefault="00640276" w:rsidP="00F71E89">
      <w:pPr>
        <w:spacing w:before="0" w:after="0"/>
      </w:pPr>
      <w:r>
        <w:separator/>
      </w:r>
    </w:p>
  </w:endnote>
  <w:endnote w:type="continuationSeparator" w:id="0">
    <w:p w:rsidR="00640276" w:rsidRDefault="00640276" w:rsidP="00F71E89">
      <w:pPr>
        <w:spacing w:before="0" w:after="0"/>
      </w:pPr>
      <w:r>
        <w:continuationSeparator/>
      </w:r>
    </w:p>
  </w:endnote>
  <w:endnote w:type="continuationNotice" w:id="1">
    <w:p w:rsidR="00640276" w:rsidRDefault="006402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C5F" w:rsidRPr="00321C5F" w:rsidRDefault="00321C5F" w:rsidP="00321C5F">
    <w:pPr>
      <w:pStyle w:val="Footer"/>
      <w:rPr>
        <w:rFonts w:ascii="Arial" w:hAnsi="Arial" w:cs="Arial"/>
        <w:b/>
        <w:sz w:val="48"/>
      </w:rPr>
    </w:pPr>
    <w:r w:rsidRPr="00321C5F">
      <w:rPr>
        <w:rFonts w:ascii="Arial" w:hAnsi="Arial" w:cs="Arial"/>
        <w:b/>
        <w:sz w:val="48"/>
      </w:rPr>
      <w:t>SL</w:t>
    </w:r>
    <w:r w:rsidRPr="00321C5F">
      <w:rPr>
        <w:rFonts w:ascii="Arial" w:hAnsi="Arial" w:cs="Arial"/>
        <w:b/>
        <w:sz w:val="48"/>
      </w:rPr>
      <w:tab/>
    </w:r>
    <w:r w:rsidRPr="00321C5F">
      <w:rPr>
        <w:rFonts w:ascii="Arial" w:hAnsi="Arial" w:cs="Arial"/>
        <w:b/>
        <w:sz w:val="48"/>
      </w:rPr>
      <w:tab/>
    </w:r>
    <w:r w:rsidRPr="00321C5F">
      <w:tab/>
    </w:r>
    <w:r w:rsidRPr="00321C5F">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C5F" w:rsidRPr="00321C5F" w:rsidRDefault="00321C5F" w:rsidP="00321C5F">
    <w:pPr>
      <w:pStyle w:val="Footer"/>
      <w:rPr>
        <w:rFonts w:ascii="Arial" w:hAnsi="Arial" w:cs="Arial"/>
        <w:b/>
        <w:sz w:val="48"/>
      </w:rPr>
    </w:pPr>
    <w:r w:rsidRPr="00321C5F">
      <w:rPr>
        <w:rFonts w:ascii="Arial" w:hAnsi="Arial" w:cs="Arial"/>
        <w:b/>
        <w:sz w:val="48"/>
      </w:rPr>
      <w:t>SL</w:t>
    </w:r>
    <w:r w:rsidRPr="00321C5F">
      <w:rPr>
        <w:rFonts w:ascii="Arial" w:hAnsi="Arial" w:cs="Arial"/>
        <w:b/>
        <w:sz w:val="48"/>
      </w:rPr>
      <w:tab/>
    </w:r>
    <w:r w:rsidRPr="00321C5F">
      <w:rPr>
        <w:rFonts w:ascii="Arial" w:hAnsi="Arial" w:cs="Arial"/>
        <w:b/>
        <w:sz w:val="48"/>
      </w:rPr>
      <w:tab/>
    </w:r>
    <w:r w:rsidRPr="00321C5F">
      <w:tab/>
    </w:r>
    <w:r w:rsidRPr="00321C5F">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C5F" w:rsidRDefault="00321C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C5F" w:rsidRPr="00321C5F" w:rsidRDefault="00321C5F" w:rsidP="00321C5F">
    <w:pPr>
      <w:pStyle w:val="Footer"/>
      <w:rPr>
        <w:rFonts w:ascii="Arial" w:hAnsi="Arial" w:cs="Arial"/>
        <w:b/>
        <w:sz w:val="48"/>
      </w:rPr>
    </w:pPr>
    <w:r w:rsidRPr="00321C5F">
      <w:rPr>
        <w:rFonts w:ascii="Arial" w:hAnsi="Arial" w:cs="Arial"/>
        <w:b/>
        <w:sz w:val="48"/>
      </w:rPr>
      <w:t>SL</w:t>
    </w:r>
    <w:r w:rsidRPr="00321C5F">
      <w:rPr>
        <w:rFonts w:ascii="Arial" w:hAnsi="Arial" w:cs="Arial"/>
        <w:b/>
        <w:sz w:val="48"/>
      </w:rPr>
      <w:tab/>
    </w:r>
    <w:r>
      <w:fldChar w:fldCharType="begin"/>
    </w:r>
    <w:r>
      <w:instrText xml:space="preserve"> PAGE  \* MERGEFORMAT </w:instrText>
    </w:r>
    <w:r>
      <w:fldChar w:fldCharType="separate"/>
    </w:r>
    <w:r w:rsidR="00BB6638">
      <w:rPr>
        <w:noProof/>
      </w:rPr>
      <w:t>11</w:t>
    </w:r>
    <w:r>
      <w:fldChar w:fldCharType="end"/>
    </w:r>
    <w:r>
      <w:tab/>
    </w:r>
    <w:r w:rsidRPr="00321C5F">
      <w:tab/>
    </w:r>
    <w:r w:rsidRPr="00321C5F">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C5F" w:rsidRDefault="00321C5F" w:rsidP="00321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276" w:rsidRDefault="00640276" w:rsidP="00F71E89">
      <w:pPr>
        <w:spacing w:before="0" w:after="0"/>
      </w:pPr>
      <w:r>
        <w:separator/>
      </w:r>
    </w:p>
  </w:footnote>
  <w:footnote w:type="continuationSeparator" w:id="0">
    <w:p w:rsidR="00640276" w:rsidRDefault="00640276" w:rsidP="00F71E89">
      <w:pPr>
        <w:spacing w:before="0" w:after="0"/>
      </w:pPr>
      <w:r>
        <w:continuationSeparator/>
      </w:r>
    </w:p>
  </w:footnote>
  <w:footnote w:type="continuationNotice" w:id="1">
    <w:p w:rsidR="00640276" w:rsidRDefault="00640276">
      <w:pPr>
        <w:spacing w:before="0" w:after="0"/>
      </w:pPr>
    </w:p>
  </w:footnote>
  <w:footnote w:id="2">
    <w:p w:rsidR="00B50DA8" w:rsidRPr="00CA20E1" w:rsidRDefault="00B50DA8" w:rsidP="00B50DA8">
      <w:pPr>
        <w:pStyle w:val="FootnoteText"/>
      </w:pPr>
      <w:r>
        <w:rPr>
          <w:rStyle w:val="FootnoteReference"/>
        </w:rPr>
        <w:footnoteRef/>
      </w:r>
      <w:r>
        <w:tab/>
        <w:t>Direktiva (EU) 2023/1791 Evropskega parlamenta in Sveta z dne 13. septembra 2023 o energetski učinkovitosti in spremembi Uredbe (EU) 2023/955 (UL L 231, 20.9.2023, str. 1), ELI:  </w:t>
      </w:r>
      <w:hyperlink r:id="rId1" w:tooltip="Dostop do tega dokumenta prek spletnega identifikatorja ELI." w:history="1">
        <w:r>
          <w:rPr>
            <w:rStyle w:val="Hyperlink"/>
          </w:rPr>
          <w:t>http://data.europa.eu/eli/dir/2023/1791/oj</w:t>
        </w:r>
      </w:hyperlink>
      <w:r>
        <w:t>).</w:t>
      </w:r>
    </w:p>
  </w:footnote>
  <w:footnote w:id="3">
    <w:p w:rsidR="00101CFC" w:rsidRPr="00784070" w:rsidRDefault="00101CFC" w:rsidP="00101CFC">
      <w:pPr>
        <w:pStyle w:val="FootnoteText"/>
      </w:pPr>
      <w:r>
        <w:rPr>
          <w:rStyle w:val="FootnoteReference"/>
        </w:rPr>
        <w:footnoteRef/>
      </w:r>
      <w:r>
        <w:tab/>
        <w:t>Uredba Sveta (EU) 2022/1369 z dne 5. avgusta 2022 o usklajenih ukrepih za zmanjšanje povpraševanja po plinu (UL L 206, 8.8.2022, str. 1), ELI: </w:t>
      </w:r>
      <w:hyperlink r:id="rId2" w:tooltip="Dostop do tega dokumenta prek spletnega identifikatorja ELI." w:history="1">
        <w:r>
          <w:rPr>
            <w:rStyle w:val="Hyperlink"/>
          </w:rPr>
          <w:t>http://data.europa.eu/eli/reg/2022/1369/oj</w:t>
        </w:r>
      </w:hyperlink>
      <w:r>
        <w:t>).</w:t>
      </w:r>
    </w:p>
  </w:footnote>
  <w:footnote w:id="4">
    <w:p w:rsidR="00B673FB" w:rsidRPr="00784070" w:rsidRDefault="00B673FB">
      <w:pPr>
        <w:pStyle w:val="FootnoteText"/>
      </w:pPr>
      <w:r>
        <w:rPr>
          <w:rStyle w:val="FootnoteReference"/>
        </w:rPr>
        <w:footnoteRef/>
      </w:r>
      <w:r>
        <w:tab/>
        <w:t>Uredba Sveta (EU) 2023/706 z dne 30. marca 2023 o spremembi Uredbe (EU) 2022/1369 glede podaljšanja obdobja zmanjšanja povpraševanja pri ukrepih za zmanjšanje povpraševanja po plinu ter okrepitve poročanja in spremljanja njihovega izvajanja (UL L 93, 31.3.2023, str. 1, ELI </w:t>
      </w:r>
      <w:hyperlink r:id="rId3" w:tooltip="Dostop do tega dokumenta prek spletnega identifikatorja ELI." w:history="1">
        <w:r>
          <w:rPr>
            <w:rStyle w:val="Hyperlink"/>
          </w:rPr>
          <w:t>http://data.europa.eu/eli/reg/2023/706/oj</w:t>
        </w:r>
      </w:hyperlink>
      <w:r>
        <w:t>).</w:t>
      </w:r>
    </w:p>
  </w:footnote>
  <w:footnote w:id="5">
    <w:p w:rsidR="00B56912" w:rsidRPr="00784070" w:rsidRDefault="00B56912" w:rsidP="00B56912">
      <w:pPr>
        <w:pStyle w:val="FootnoteText"/>
      </w:pPr>
      <w:r>
        <w:rPr>
          <w:rStyle w:val="FootnoteReference"/>
        </w:rPr>
        <w:footnoteRef/>
      </w:r>
      <w:r>
        <w:tab/>
        <w:t>Uredba (EU) 2017/1938 Evropskega parlamenta in Sveta z dne 25. oktobra 2017 o ukrepih za zagotavljanje zanesljivosti oskrbe s plinom in o razveljavitvi Uredbe (EU) št. 994/2010 (UL L 280, 28.10.2017, str. 1, ELI: </w:t>
      </w:r>
      <w:hyperlink r:id="rId4" w:tooltip="Dostop do tega dokumenta prek spletnega identifikatorja ELI." w:history="1">
        <w:r>
          <w:rPr>
            <w:rStyle w:val="Hyperlink"/>
          </w:rPr>
          <w:t>http://data.europa.eu/eli/reg/2017/1938/oj</w:t>
        </w:r>
      </w:hyperlink>
      <w:r>
        <w:t>).</w:t>
      </w:r>
    </w:p>
  </w:footnote>
  <w:footnote w:id="6">
    <w:p w:rsidR="460E3C29" w:rsidRPr="00784070" w:rsidRDefault="460E3C29" w:rsidP="00AB7D4E">
      <w:pPr>
        <w:pStyle w:val="FootnoteText"/>
      </w:pPr>
      <w:r>
        <w:rPr>
          <w:rStyle w:val="FootnoteReference"/>
        </w:rPr>
        <w:footnoteRef/>
      </w:r>
      <w:r>
        <w:tab/>
      </w:r>
      <w:hyperlink r:id="rId5" w:history="1">
        <w:r>
          <w:rPr>
            <w:rStyle w:val="Hyperlink"/>
          </w:rPr>
          <w:t>Srednjeročno poročilo o plinu za leto 2023 – Analiza – IEA.</w:t>
        </w:r>
      </w:hyperlink>
    </w:p>
  </w:footnote>
  <w:footnote w:id="7">
    <w:p w:rsidR="3E9D89AB" w:rsidRPr="00784070" w:rsidRDefault="3E9D89AB" w:rsidP="00AB7D4E">
      <w:pPr>
        <w:pStyle w:val="FootnoteText"/>
        <w:rPr>
          <w:rFonts w:eastAsia="Times New Roman"/>
        </w:rPr>
      </w:pPr>
      <w:r>
        <w:rPr>
          <w:rStyle w:val="FootnoteReference"/>
        </w:rPr>
        <w:footnoteRef/>
      </w:r>
      <w:r>
        <w:tab/>
      </w:r>
      <w:hyperlink r:id="rId6" w:history="1">
        <w:r>
          <w:rPr>
            <w:rStyle w:val="Hyperlink"/>
          </w:rPr>
          <w:t>Svetovni energetski obeti za leto 2023 – Analiza – IEA.</w:t>
        </w:r>
      </w:hyperlink>
    </w:p>
  </w:footnote>
  <w:footnote w:id="8">
    <w:p w:rsidR="003D2A62" w:rsidRPr="00CA20E1" w:rsidRDefault="003D2A62" w:rsidP="003D2A62">
      <w:pPr>
        <w:pStyle w:val="FootnoteText"/>
      </w:pPr>
      <w:r>
        <w:rPr>
          <w:rStyle w:val="FootnoteReference"/>
        </w:rPr>
        <w:footnoteRef/>
      </w:r>
      <w:r>
        <w:tab/>
        <w:t>Direktiva (EU) 2023/1791 Evropskega parlamenta in Sveta z dne 13. septembra 2023 o energetski učinkovitosti in spremembi Uredbe (EU) 2023/955 (UL L 231, 20.9.2023, str. 1), ELI:  </w:t>
      </w:r>
      <w:hyperlink r:id="rId7" w:tooltip="Dostop do tega dokumenta prek spletnega identifikatorja ELI." w:history="1">
        <w:r>
          <w:rPr>
            <w:rStyle w:val="Hyperlink"/>
          </w:rPr>
          <w:t>http://data.europa.eu/eli/dir/2023/1791/oj</w:t>
        </w:r>
      </w:hyperlink>
      <w:r>
        <w:t>).</w:t>
      </w:r>
    </w:p>
  </w:footnote>
  <w:footnote w:id="9">
    <w:p w:rsidR="00984B7B" w:rsidRPr="00CA20E1" w:rsidRDefault="00984B7B" w:rsidP="00984B7B">
      <w:pPr>
        <w:pStyle w:val="FootnoteText"/>
      </w:pPr>
      <w:r>
        <w:rPr>
          <w:rStyle w:val="FootnoteReference"/>
        </w:rPr>
        <w:footnoteRef/>
      </w:r>
      <w:r>
        <w:tab/>
        <w:t xml:space="preserve">Direktiva (EU) 2023/2413 Evropskega parlamenta in Sveta z dne 18. oktobra 2023 o spremembi Direktive (EU) 2018/2001, Uredbe (EU) 2018/1999 in Direktive 98/70/ES glede spodbujanja energije iz obnovljivih virov ter razveljavitvi Direktive Sveta (EU) 2015/652 (UL L, 2023/2413, 31.10.2023, ELI: </w:t>
      </w:r>
      <w:hyperlink r:id="rId8" w:tooltip="Dostop do tega dokumenta prek spletnega identifikatorja ELI." w:history="1">
        <w:r>
          <w:rPr>
            <w:rStyle w:val="Hyperlink"/>
          </w:rPr>
          <w:t>http://data.europa.eu/eli/dir/2023/2413/oj</w:t>
        </w:r>
      </w:hyperlink>
      <w:r>
        <w:t>).</w:t>
      </w:r>
    </w:p>
  </w:footnote>
  <w:footnote w:id="10">
    <w:p w:rsidR="00217E69" w:rsidRPr="00CA20E1" w:rsidRDefault="00217E69" w:rsidP="00217E69">
      <w:pPr>
        <w:pStyle w:val="FootnoteText"/>
      </w:pPr>
      <w:r>
        <w:rPr>
          <w:rStyle w:val="FootnoteReference"/>
        </w:rPr>
        <w:footnoteRef/>
      </w:r>
      <w:r>
        <w:tab/>
      </w:r>
      <w:r>
        <w:rPr>
          <w:i/>
          <w:iCs/>
        </w:rPr>
        <w:t>UNFCCC Global Stocktake</w:t>
      </w:r>
      <w:r>
        <w:t xml:space="preserve"> (Pregled globalnega stanja UNFCCC), https://unfccc.int/sites/default/files/resource/cma2023_L17_adv.pdf</w:t>
      </w:r>
    </w:p>
  </w:footnote>
  <w:footnote w:id="11">
    <w:p w:rsidR="00B000BB" w:rsidRPr="00CA20E1" w:rsidRDefault="00B000BB" w:rsidP="00B000BB">
      <w:pPr>
        <w:pStyle w:val="FootnoteText"/>
      </w:pPr>
      <w:r>
        <w:rPr>
          <w:rStyle w:val="FootnoteReference"/>
        </w:rPr>
        <w:footnoteRef/>
      </w:r>
      <w:r>
        <w:tab/>
        <w:t xml:space="preserve">Uredba (EU) 2018/1999 Evropskega parlamenta in Sveta z dne 11. decembra 2018 o upravljanju energetske unije in podnebnih ukrepov, spremembi uredb (ES) št. 663/2009 in (ES) št. 715/2009 Evropskega parlamenta in Sveta, direktiv 94/22/ES, 98/70/ES, 2009/31/ES, 2009/73/ES, 2010/31/EU, 2012/27/EU in 2013/30/EU Evropskega parlamenta in Sveta, direktiv Sveta 2009/119/ES in (EU) 2015/652 ter razveljavitvi Uredbe (EU) št. 525/2013 Evropskega parlamenta in Sveta (UL L 328, 21.12.2018, str. 1), ELI: </w:t>
      </w:r>
      <w:hyperlink r:id="rId9" w:tooltip="Dostop do tega dokumenta prek spletnega identifikatorja ELI." w:history="1">
        <w:r>
          <w:rPr>
            <w:rStyle w:val="Hyperlink"/>
          </w:rPr>
          <w:t>http://data.europa.eu/eli/reg/2018/1999/oj</w:t>
        </w:r>
      </w:hyperlink>
      <w:r>
        <w:t>).</w:t>
      </w:r>
    </w:p>
  </w:footnote>
  <w:footnote w:id="12">
    <w:p w:rsidR="00860CC2" w:rsidRPr="00CA20E1" w:rsidRDefault="00860CC2" w:rsidP="00860CC2">
      <w:pPr>
        <w:pStyle w:val="FootnoteText"/>
      </w:pPr>
      <w:r>
        <w:rPr>
          <w:rStyle w:val="FootnoteReference"/>
        </w:rPr>
        <w:footnoteRef/>
      </w:r>
      <w:r>
        <w:tab/>
        <w:t>Uredba (EU) 2019/941 Evropskega parlamenta in Sveta z dne 5. junija 2019 o pripravljenosti na tveganja v sektorju električne energije in razveljavitvi Direktive 2005/89/ES (UL L 158, 14.6.2019, str. 1).</w:t>
      </w:r>
    </w:p>
  </w:footnote>
  <w:footnote w:id="13">
    <w:p w:rsidR="00ED0073" w:rsidRPr="00CA20E1" w:rsidRDefault="00ED0073" w:rsidP="00ED0073">
      <w:pPr>
        <w:pStyle w:val="FootnoteText"/>
      </w:pPr>
      <w:r>
        <w:rPr>
          <w:rStyle w:val="FootnoteReference"/>
        </w:rPr>
        <w:footnoteRef/>
      </w:r>
      <w:r>
        <w:tab/>
        <w:t>Uredba (ES) št. 1099/2008 Evropskega parlamenta in Sveta z dne 22. oktobra 2008 o statistiki energetike (UL L 304, 14.11.2008, str. 1), ELI: </w:t>
      </w:r>
      <w:hyperlink r:id="rId10" w:tooltip="Dostop do tega dokumenta prek spletnega identifikatorja ELI." w:history="1">
        <w:r>
          <w:rPr>
            <w:rStyle w:val="Hyperlink"/>
          </w:rPr>
          <w:t>http://data.europa.eu/eli/reg/2008/1099/oj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C5F" w:rsidRDefault="00321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C5F" w:rsidRDefault="00321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2E8499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E9A2B8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AA41B0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A1CAA0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1"/>
    <w:lvlOverride w:ilvl="0">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8"/>
  </w:num>
  <w:num w:numId="10">
    <w:abstractNumId w:val="17"/>
  </w:num>
  <w:num w:numId="11">
    <w:abstractNumId w:val="7"/>
  </w:num>
  <w:num w:numId="12">
    <w:abstractNumId w:val="9"/>
  </w:num>
  <w:num w:numId="13">
    <w:abstractNumId w:val="10"/>
  </w:num>
  <w:num w:numId="14">
    <w:abstractNumId w:val="5"/>
  </w:num>
  <w:num w:numId="15">
    <w:abstractNumId w:val="16"/>
  </w:num>
  <w:num w:numId="16">
    <w:abstractNumId w:val="4"/>
  </w:num>
  <w:num w:numId="17">
    <w:abstractNumId w:val="11"/>
  </w:num>
  <w:num w:numId="18">
    <w:abstractNumId w:val="13"/>
  </w:num>
  <w:num w:numId="19">
    <w:abstractNumId w:val="14"/>
  </w:num>
  <w:num w:numId="20">
    <w:abstractNumId w:val="6"/>
  </w:num>
  <w:num w:numId="21">
    <w:abstractNumId w:val="12"/>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2-29 17:42:2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2BFAF87-7D7E-415B-B678-1209984BA86E"/>
    <w:docVar w:name="LW_COVERPAGE_TYPE" w:val="1"/>
    <w:docVar w:name="LW_CROSSREFERENCE" w:val="&lt;UNUSED&gt;"/>
    <w:docVar w:name="LW_DocType" w:val="COM"/>
    <w:docVar w:name="LW_EMISSION" w:val="27.2.2024"/>
    <w:docVar w:name="LW_EMISSION_ISODATE" w:val="2024-02-27"/>
    <w:docVar w:name="LW_EMISSION_LOCATION" w:val="BRX"/>
    <w:docVar w:name="LW_EMISSION_PREFIX" w:val="Bruselj, "/>
    <w:docVar w:name="LW_EMISSION_SUFFIX" w:val=" "/>
    <w:docVar w:name="LW_ID_DOCMODEL" w:val="SJ-022"/>
    <w:docVar w:name="LW_ID_DOCSIGNATURE" w:val="SJ-022"/>
    <w:docVar w:name="LW_ID_DOCSTRUCTURE" w:val="COM/PL/ORG"/>
    <w:docVar w:name="LW_ID_DOCTYPE" w:val="SJ-022"/>
    <w:docVar w:name="LW_ID_STATUT" w:val="SJ-022"/>
    <w:docVar w:name="LW_INSERT_EXP.MOTIFS.NEW" w:val="1"/>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NLE"/>
    <w:docVar w:name="LW_REF.II.NEW.CP_NUMBER" w:val="0054"/>
    <w:docVar w:name="LW_REF.II.NEW.CP_YEAR" w:val="2024"/>
    <w:docVar w:name="LW_REF.INST.NEW" w:val="COM"/>
    <w:docVar w:name="LW_REF.INST.NEW_ADOPTED" w:val="final"/>
    <w:docVar w:name="LW_REF.INST.NEW_TEXT" w:val="(2024) 1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nadaljevanju usklajenih ukrepov za zmanj\u353?anje povpra\u353?evanja po plinu"/>
    <w:docVar w:name="LW_TYPE.DOC.CP" w:val="PRIPORO\u268?ILO SVETA"/>
    <w:docVar w:name="LwApiVersions" w:val="LW4CoDe 1.24.5.0; LW 9.0, Build 20240221"/>
  </w:docVars>
  <w:rsids>
    <w:rsidRoot w:val="00F71E89"/>
    <w:rsid w:val="0000006A"/>
    <w:rsid w:val="0000060D"/>
    <w:rsid w:val="00002685"/>
    <w:rsid w:val="00003A01"/>
    <w:rsid w:val="00003F6E"/>
    <w:rsid w:val="0000403D"/>
    <w:rsid w:val="0000424C"/>
    <w:rsid w:val="00004DE0"/>
    <w:rsid w:val="00006A8B"/>
    <w:rsid w:val="00010C42"/>
    <w:rsid w:val="00012A9A"/>
    <w:rsid w:val="000173F6"/>
    <w:rsid w:val="0002043E"/>
    <w:rsid w:val="00020F04"/>
    <w:rsid w:val="0002203D"/>
    <w:rsid w:val="0002269D"/>
    <w:rsid w:val="00022F6A"/>
    <w:rsid w:val="0002488E"/>
    <w:rsid w:val="00024F24"/>
    <w:rsid w:val="00027BE0"/>
    <w:rsid w:val="00030C07"/>
    <w:rsid w:val="000312BC"/>
    <w:rsid w:val="0003134B"/>
    <w:rsid w:val="000321B8"/>
    <w:rsid w:val="00032D28"/>
    <w:rsid w:val="00033F07"/>
    <w:rsid w:val="000341FD"/>
    <w:rsid w:val="00040292"/>
    <w:rsid w:val="00040DC3"/>
    <w:rsid w:val="00041E2D"/>
    <w:rsid w:val="000435A9"/>
    <w:rsid w:val="000444E8"/>
    <w:rsid w:val="00047356"/>
    <w:rsid w:val="00047771"/>
    <w:rsid w:val="0004793A"/>
    <w:rsid w:val="00047FCD"/>
    <w:rsid w:val="0005091D"/>
    <w:rsid w:val="00051B72"/>
    <w:rsid w:val="00053ED7"/>
    <w:rsid w:val="00054550"/>
    <w:rsid w:val="00054BE0"/>
    <w:rsid w:val="00056BDE"/>
    <w:rsid w:val="00057B41"/>
    <w:rsid w:val="00062FC2"/>
    <w:rsid w:val="000636C8"/>
    <w:rsid w:val="000637DC"/>
    <w:rsid w:val="00063907"/>
    <w:rsid w:val="00064EA2"/>
    <w:rsid w:val="00065D70"/>
    <w:rsid w:val="00066009"/>
    <w:rsid w:val="00067CD1"/>
    <w:rsid w:val="00071565"/>
    <w:rsid w:val="00071B2F"/>
    <w:rsid w:val="000748D5"/>
    <w:rsid w:val="00074963"/>
    <w:rsid w:val="00074E97"/>
    <w:rsid w:val="00077FC5"/>
    <w:rsid w:val="000809A4"/>
    <w:rsid w:val="00081AA3"/>
    <w:rsid w:val="000832E4"/>
    <w:rsid w:val="000833DA"/>
    <w:rsid w:val="00083B93"/>
    <w:rsid w:val="0008616F"/>
    <w:rsid w:val="00087652"/>
    <w:rsid w:val="000876F6"/>
    <w:rsid w:val="00091B84"/>
    <w:rsid w:val="000934B0"/>
    <w:rsid w:val="00096E93"/>
    <w:rsid w:val="00097370"/>
    <w:rsid w:val="000974F7"/>
    <w:rsid w:val="000A0F86"/>
    <w:rsid w:val="000A10C7"/>
    <w:rsid w:val="000A1E4D"/>
    <w:rsid w:val="000A2D99"/>
    <w:rsid w:val="000A396D"/>
    <w:rsid w:val="000A4DA4"/>
    <w:rsid w:val="000A60E5"/>
    <w:rsid w:val="000A7070"/>
    <w:rsid w:val="000A733D"/>
    <w:rsid w:val="000B13FC"/>
    <w:rsid w:val="000B1EE2"/>
    <w:rsid w:val="000B29A9"/>
    <w:rsid w:val="000B4751"/>
    <w:rsid w:val="000B4965"/>
    <w:rsid w:val="000B67E7"/>
    <w:rsid w:val="000C0B5F"/>
    <w:rsid w:val="000C5153"/>
    <w:rsid w:val="000C51FF"/>
    <w:rsid w:val="000C5732"/>
    <w:rsid w:val="000C628F"/>
    <w:rsid w:val="000C668A"/>
    <w:rsid w:val="000D17FB"/>
    <w:rsid w:val="000D2528"/>
    <w:rsid w:val="000D2793"/>
    <w:rsid w:val="000D3C77"/>
    <w:rsid w:val="000D4E4A"/>
    <w:rsid w:val="000D60AC"/>
    <w:rsid w:val="000E017D"/>
    <w:rsid w:val="000E1D5E"/>
    <w:rsid w:val="000E2D89"/>
    <w:rsid w:val="000E3ED8"/>
    <w:rsid w:val="000E4C9D"/>
    <w:rsid w:val="000E4CD5"/>
    <w:rsid w:val="000E521E"/>
    <w:rsid w:val="000E7D4D"/>
    <w:rsid w:val="000E7F17"/>
    <w:rsid w:val="000F01B6"/>
    <w:rsid w:val="000F09AE"/>
    <w:rsid w:val="000F1D1A"/>
    <w:rsid w:val="000F2490"/>
    <w:rsid w:val="000F30D6"/>
    <w:rsid w:val="000F7D67"/>
    <w:rsid w:val="00101CFC"/>
    <w:rsid w:val="00105065"/>
    <w:rsid w:val="00105EF0"/>
    <w:rsid w:val="001065F5"/>
    <w:rsid w:val="00110A57"/>
    <w:rsid w:val="00110A71"/>
    <w:rsid w:val="00114077"/>
    <w:rsid w:val="001146A1"/>
    <w:rsid w:val="001146D3"/>
    <w:rsid w:val="001168AD"/>
    <w:rsid w:val="00117EEF"/>
    <w:rsid w:val="0012116C"/>
    <w:rsid w:val="001238EF"/>
    <w:rsid w:val="00123E46"/>
    <w:rsid w:val="001242CE"/>
    <w:rsid w:val="00124806"/>
    <w:rsid w:val="001262C4"/>
    <w:rsid w:val="00126976"/>
    <w:rsid w:val="00127296"/>
    <w:rsid w:val="00131441"/>
    <w:rsid w:val="00131FA4"/>
    <w:rsid w:val="00133B4F"/>
    <w:rsid w:val="00134F93"/>
    <w:rsid w:val="001356BB"/>
    <w:rsid w:val="00135BBD"/>
    <w:rsid w:val="00135F9A"/>
    <w:rsid w:val="00136527"/>
    <w:rsid w:val="00137996"/>
    <w:rsid w:val="00141351"/>
    <w:rsid w:val="00141690"/>
    <w:rsid w:val="00143405"/>
    <w:rsid w:val="001443F6"/>
    <w:rsid w:val="001449D2"/>
    <w:rsid w:val="00145B97"/>
    <w:rsid w:val="00147238"/>
    <w:rsid w:val="001510DE"/>
    <w:rsid w:val="0015218B"/>
    <w:rsid w:val="001552E1"/>
    <w:rsid w:val="0016138F"/>
    <w:rsid w:val="00161439"/>
    <w:rsid w:val="00161A53"/>
    <w:rsid w:val="00163130"/>
    <w:rsid w:val="00164DF0"/>
    <w:rsid w:val="00167ED6"/>
    <w:rsid w:val="00171122"/>
    <w:rsid w:val="00171472"/>
    <w:rsid w:val="00171FF8"/>
    <w:rsid w:val="0017275E"/>
    <w:rsid w:val="00173152"/>
    <w:rsid w:val="00181E21"/>
    <w:rsid w:val="001831CA"/>
    <w:rsid w:val="0018369C"/>
    <w:rsid w:val="00184191"/>
    <w:rsid w:val="0018596A"/>
    <w:rsid w:val="00186523"/>
    <w:rsid w:val="00186C55"/>
    <w:rsid w:val="00187E1C"/>
    <w:rsid w:val="00191AAF"/>
    <w:rsid w:val="00191F44"/>
    <w:rsid w:val="00192730"/>
    <w:rsid w:val="00192B8B"/>
    <w:rsid w:val="00192CCE"/>
    <w:rsid w:val="00193620"/>
    <w:rsid w:val="00194124"/>
    <w:rsid w:val="00194EFA"/>
    <w:rsid w:val="00197613"/>
    <w:rsid w:val="001976C1"/>
    <w:rsid w:val="0019774B"/>
    <w:rsid w:val="001A013D"/>
    <w:rsid w:val="001A0336"/>
    <w:rsid w:val="001A04BB"/>
    <w:rsid w:val="001A08E0"/>
    <w:rsid w:val="001A0A56"/>
    <w:rsid w:val="001A277E"/>
    <w:rsid w:val="001A2FEE"/>
    <w:rsid w:val="001A3728"/>
    <w:rsid w:val="001A39B3"/>
    <w:rsid w:val="001A46A7"/>
    <w:rsid w:val="001A57BC"/>
    <w:rsid w:val="001A7298"/>
    <w:rsid w:val="001A77E7"/>
    <w:rsid w:val="001B094D"/>
    <w:rsid w:val="001B11CC"/>
    <w:rsid w:val="001B4355"/>
    <w:rsid w:val="001B50F9"/>
    <w:rsid w:val="001B6379"/>
    <w:rsid w:val="001B7E0D"/>
    <w:rsid w:val="001C1D8D"/>
    <w:rsid w:val="001C3638"/>
    <w:rsid w:val="001C37B3"/>
    <w:rsid w:val="001C4259"/>
    <w:rsid w:val="001C47E9"/>
    <w:rsid w:val="001C50D2"/>
    <w:rsid w:val="001C6D9A"/>
    <w:rsid w:val="001C7425"/>
    <w:rsid w:val="001C7EE4"/>
    <w:rsid w:val="001D23F8"/>
    <w:rsid w:val="001D2A23"/>
    <w:rsid w:val="001D2CF1"/>
    <w:rsid w:val="001D334E"/>
    <w:rsid w:val="001D366A"/>
    <w:rsid w:val="001D4EF5"/>
    <w:rsid w:val="001D51E5"/>
    <w:rsid w:val="001D6579"/>
    <w:rsid w:val="001E14FD"/>
    <w:rsid w:val="001E15F5"/>
    <w:rsid w:val="001E25D6"/>
    <w:rsid w:val="001F0FCE"/>
    <w:rsid w:val="001F2148"/>
    <w:rsid w:val="001F2983"/>
    <w:rsid w:val="001F4187"/>
    <w:rsid w:val="001F5E30"/>
    <w:rsid w:val="001F6DB4"/>
    <w:rsid w:val="00201C9F"/>
    <w:rsid w:val="00202AA1"/>
    <w:rsid w:val="0020302F"/>
    <w:rsid w:val="00205265"/>
    <w:rsid w:val="00205B55"/>
    <w:rsid w:val="00210620"/>
    <w:rsid w:val="00212449"/>
    <w:rsid w:val="00212A9E"/>
    <w:rsid w:val="00213107"/>
    <w:rsid w:val="002159E3"/>
    <w:rsid w:val="002168B3"/>
    <w:rsid w:val="00217B4E"/>
    <w:rsid w:val="00217E69"/>
    <w:rsid w:val="00220996"/>
    <w:rsid w:val="00221242"/>
    <w:rsid w:val="00221AA8"/>
    <w:rsid w:val="00222061"/>
    <w:rsid w:val="00223F61"/>
    <w:rsid w:val="002240F3"/>
    <w:rsid w:val="00224167"/>
    <w:rsid w:val="00225720"/>
    <w:rsid w:val="00225C0F"/>
    <w:rsid w:val="00226097"/>
    <w:rsid w:val="00230519"/>
    <w:rsid w:val="00233DC7"/>
    <w:rsid w:val="00235868"/>
    <w:rsid w:val="00237C4F"/>
    <w:rsid w:val="0024026D"/>
    <w:rsid w:val="00240410"/>
    <w:rsid w:val="00241394"/>
    <w:rsid w:val="002421FD"/>
    <w:rsid w:val="00242563"/>
    <w:rsid w:val="002443F1"/>
    <w:rsid w:val="00244462"/>
    <w:rsid w:val="00245316"/>
    <w:rsid w:val="0024540D"/>
    <w:rsid w:val="002454A4"/>
    <w:rsid w:val="0024606F"/>
    <w:rsid w:val="0024654A"/>
    <w:rsid w:val="00247779"/>
    <w:rsid w:val="00247AD3"/>
    <w:rsid w:val="00250359"/>
    <w:rsid w:val="00250B7D"/>
    <w:rsid w:val="00251573"/>
    <w:rsid w:val="00251821"/>
    <w:rsid w:val="00253AA4"/>
    <w:rsid w:val="00254EEC"/>
    <w:rsid w:val="002559E8"/>
    <w:rsid w:val="00255A71"/>
    <w:rsid w:val="002560F2"/>
    <w:rsid w:val="00256D62"/>
    <w:rsid w:val="00261F49"/>
    <w:rsid w:val="002630DB"/>
    <w:rsid w:val="00263CB8"/>
    <w:rsid w:val="00264CFA"/>
    <w:rsid w:val="00265CEF"/>
    <w:rsid w:val="002672EE"/>
    <w:rsid w:val="00271607"/>
    <w:rsid w:val="00273D00"/>
    <w:rsid w:val="00274898"/>
    <w:rsid w:val="00282C3B"/>
    <w:rsid w:val="002836D6"/>
    <w:rsid w:val="00283BB8"/>
    <w:rsid w:val="0028411A"/>
    <w:rsid w:val="00285BEE"/>
    <w:rsid w:val="00286303"/>
    <w:rsid w:val="00286B3A"/>
    <w:rsid w:val="00290A50"/>
    <w:rsid w:val="00291BFF"/>
    <w:rsid w:val="002921E0"/>
    <w:rsid w:val="00292977"/>
    <w:rsid w:val="00292CE6"/>
    <w:rsid w:val="002939FC"/>
    <w:rsid w:val="00293DF0"/>
    <w:rsid w:val="0029533F"/>
    <w:rsid w:val="00297008"/>
    <w:rsid w:val="002A0FBD"/>
    <w:rsid w:val="002A0FCE"/>
    <w:rsid w:val="002A16D1"/>
    <w:rsid w:val="002A221A"/>
    <w:rsid w:val="002A2453"/>
    <w:rsid w:val="002A33F9"/>
    <w:rsid w:val="002A341C"/>
    <w:rsid w:val="002A6F3B"/>
    <w:rsid w:val="002A7252"/>
    <w:rsid w:val="002B1669"/>
    <w:rsid w:val="002B2C84"/>
    <w:rsid w:val="002B30AF"/>
    <w:rsid w:val="002B315C"/>
    <w:rsid w:val="002B49EF"/>
    <w:rsid w:val="002B5205"/>
    <w:rsid w:val="002B5A3D"/>
    <w:rsid w:val="002B70C8"/>
    <w:rsid w:val="002B75C5"/>
    <w:rsid w:val="002C14BD"/>
    <w:rsid w:val="002C1D59"/>
    <w:rsid w:val="002C3F9E"/>
    <w:rsid w:val="002D15FE"/>
    <w:rsid w:val="002D181E"/>
    <w:rsid w:val="002D36EE"/>
    <w:rsid w:val="002D3E24"/>
    <w:rsid w:val="002D5C3D"/>
    <w:rsid w:val="002E0745"/>
    <w:rsid w:val="002E1106"/>
    <w:rsid w:val="002E1109"/>
    <w:rsid w:val="002E3234"/>
    <w:rsid w:val="002E44E7"/>
    <w:rsid w:val="002E55DC"/>
    <w:rsid w:val="002F017F"/>
    <w:rsid w:val="002F0BB1"/>
    <w:rsid w:val="002F301A"/>
    <w:rsid w:val="002F318C"/>
    <w:rsid w:val="002F31B1"/>
    <w:rsid w:val="002F74B6"/>
    <w:rsid w:val="00300D36"/>
    <w:rsid w:val="00301BFB"/>
    <w:rsid w:val="003073B9"/>
    <w:rsid w:val="00307642"/>
    <w:rsid w:val="0031013D"/>
    <w:rsid w:val="003105A3"/>
    <w:rsid w:val="00312835"/>
    <w:rsid w:val="00313122"/>
    <w:rsid w:val="00314388"/>
    <w:rsid w:val="003159D6"/>
    <w:rsid w:val="003167E0"/>
    <w:rsid w:val="00316AD0"/>
    <w:rsid w:val="00316CD1"/>
    <w:rsid w:val="00316CF3"/>
    <w:rsid w:val="00317995"/>
    <w:rsid w:val="003201D6"/>
    <w:rsid w:val="00320ABB"/>
    <w:rsid w:val="0032118F"/>
    <w:rsid w:val="00321809"/>
    <w:rsid w:val="00321C5F"/>
    <w:rsid w:val="00322BB9"/>
    <w:rsid w:val="0033124B"/>
    <w:rsid w:val="003317DB"/>
    <w:rsid w:val="00331BC3"/>
    <w:rsid w:val="00331F25"/>
    <w:rsid w:val="00332799"/>
    <w:rsid w:val="00332D25"/>
    <w:rsid w:val="0033344A"/>
    <w:rsid w:val="00334558"/>
    <w:rsid w:val="00334719"/>
    <w:rsid w:val="00334D5B"/>
    <w:rsid w:val="003362A4"/>
    <w:rsid w:val="0033799E"/>
    <w:rsid w:val="00340C3C"/>
    <w:rsid w:val="003416CA"/>
    <w:rsid w:val="00342D11"/>
    <w:rsid w:val="00343308"/>
    <w:rsid w:val="003437C8"/>
    <w:rsid w:val="003444F6"/>
    <w:rsid w:val="00346376"/>
    <w:rsid w:val="0035210C"/>
    <w:rsid w:val="003529EB"/>
    <w:rsid w:val="003529FC"/>
    <w:rsid w:val="00354DF9"/>
    <w:rsid w:val="003555CA"/>
    <w:rsid w:val="00357109"/>
    <w:rsid w:val="003600B3"/>
    <w:rsid w:val="00361687"/>
    <w:rsid w:val="0036230E"/>
    <w:rsid w:val="00363255"/>
    <w:rsid w:val="00363939"/>
    <w:rsid w:val="003656B6"/>
    <w:rsid w:val="00365B12"/>
    <w:rsid w:val="003668A4"/>
    <w:rsid w:val="003675D9"/>
    <w:rsid w:val="00370DEC"/>
    <w:rsid w:val="00371A4E"/>
    <w:rsid w:val="003763B2"/>
    <w:rsid w:val="0037660A"/>
    <w:rsid w:val="00376BDA"/>
    <w:rsid w:val="00377B97"/>
    <w:rsid w:val="003810AC"/>
    <w:rsid w:val="00381FFE"/>
    <w:rsid w:val="003820DD"/>
    <w:rsid w:val="00382EB9"/>
    <w:rsid w:val="00383275"/>
    <w:rsid w:val="0038601D"/>
    <w:rsid w:val="00386B83"/>
    <w:rsid w:val="00391972"/>
    <w:rsid w:val="00392EF3"/>
    <w:rsid w:val="0039326D"/>
    <w:rsid w:val="00393822"/>
    <w:rsid w:val="00393994"/>
    <w:rsid w:val="00394095"/>
    <w:rsid w:val="003946BE"/>
    <w:rsid w:val="00395A05"/>
    <w:rsid w:val="003A0386"/>
    <w:rsid w:val="003A1058"/>
    <w:rsid w:val="003A34A4"/>
    <w:rsid w:val="003A438F"/>
    <w:rsid w:val="003A4791"/>
    <w:rsid w:val="003A4E20"/>
    <w:rsid w:val="003A5E57"/>
    <w:rsid w:val="003A5EA7"/>
    <w:rsid w:val="003B0BB1"/>
    <w:rsid w:val="003B0C05"/>
    <w:rsid w:val="003B0D24"/>
    <w:rsid w:val="003B0E44"/>
    <w:rsid w:val="003B1094"/>
    <w:rsid w:val="003B134A"/>
    <w:rsid w:val="003B19FD"/>
    <w:rsid w:val="003B30CD"/>
    <w:rsid w:val="003B3517"/>
    <w:rsid w:val="003B528C"/>
    <w:rsid w:val="003B5C63"/>
    <w:rsid w:val="003B6164"/>
    <w:rsid w:val="003B61F0"/>
    <w:rsid w:val="003B6715"/>
    <w:rsid w:val="003B7541"/>
    <w:rsid w:val="003C00B9"/>
    <w:rsid w:val="003C048F"/>
    <w:rsid w:val="003C08B6"/>
    <w:rsid w:val="003C238A"/>
    <w:rsid w:val="003C372D"/>
    <w:rsid w:val="003C71E5"/>
    <w:rsid w:val="003D172D"/>
    <w:rsid w:val="003D1FC5"/>
    <w:rsid w:val="003D27E7"/>
    <w:rsid w:val="003D2A62"/>
    <w:rsid w:val="003D35FC"/>
    <w:rsid w:val="003D3616"/>
    <w:rsid w:val="003D44C8"/>
    <w:rsid w:val="003D52DA"/>
    <w:rsid w:val="003D58EB"/>
    <w:rsid w:val="003D6104"/>
    <w:rsid w:val="003D65C2"/>
    <w:rsid w:val="003E0D7A"/>
    <w:rsid w:val="003E17CC"/>
    <w:rsid w:val="003E2B71"/>
    <w:rsid w:val="003E403B"/>
    <w:rsid w:val="003E4C05"/>
    <w:rsid w:val="003E5AB3"/>
    <w:rsid w:val="003E5F42"/>
    <w:rsid w:val="003E72C9"/>
    <w:rsid w:val="003F1EDF"/>
    <w:rsid w:val="003F21B4"/>
    <w:rsid w:val="003F2598"/>
    <w:rsid w:val="003F26BC"/>
    <w:rsid w:val="003F26BD"/>
    <w:rsid w:val="003F27CC"/>
    <w:rsid w:val="003F4403"/>
    <w:rsid w:val="003F441E"/>
    <w:rsid w:val="003F49A8"/>
    <w:rsid w:val="003F5CB6"/>
    <w:rsid w:val="003F5DB3"/>
    <w:rsid w:val="003F714C"/>
    <w:rsid w:val="004001D6"/>
    <w:rsid w:val="00400356"/>
    <w:rsid w:val="00400DD2"/>
    <w:rsid w:val="0040410F"/>
    <w:rsid w:val="00404E33"/>
    <w:rsid w:val="00405829"/>
    <w:rsid w:val="00405A0D"/>
    <w:rsid w:val="00405B80"/>
    <w:rsid w:val="004060A0"/>
    <w:rsid w:val="0041056D"/>
    <w:rsid w:val="00412910"/>
    <w:rsid w:val="00412951"/>
    <w:rsid w:val="0041361A"/>
    <w:rsid w:val="0041502A"/>
    <w:rsid w:val="00416930"/>
    <w:rsid w:val="0041775C"/>
    <w:rsid w:val="0042086C"/>
    <w:rsid w:val="00421532"/>
    <w:rsid w:val="0042176A"/>
    <w:rsid w:val="004217A4"/>
    <w:rsid w:val="00421DAD"/>
    <w:rsid w:val="00422B52"/>
    <w:rsid w:val="0042648E"/>
    <w:rsid w:val="00426A8F"/>
    <w:rsid w:val="004272A2"/>
    <w:rsid w:val="00431B4B"/>
    <w:rsid w:val="0043247E"/>
    <w:rsid w:val="004327FC"/>
    <w:rsid w:val="00436173"/>
    <w:rsid w:val="00436E1B"/>
    <w:rsid w:val="00437257"/>
    <w:rsid w:val="004417E7"/>
    <w:rsid w:val="00443596"/>
    <w:rsid w:val="00443CD0"/>
    <w:rsid w:val="00444EEA"/>
    <w:rsid w:val="00445046"/>
    <w:rsid w:val="00445FCB"/>
    <w:rsid w:val="00447C80"/>
    <w:rsid w:val="00451A8F"/>
    <w:rsid w:val="004532D0"/>
    <w:rsid w:val="004555BF"/>
    <w:rsid w:val="00456903"/>
    <w:rsid w:val="0046019F"/>
    <w:rsid w:val="00462B78"/>
    <w:rsid w:val="004634F5"/>
    <w:rsid w:val="00464773"/>
    <w:rsid w:val="00465F67"/>
    <w:rsid w:val="0047108C"/>
    <w:rsid w:val="00471DB4"/>
    <w:rsid w:val="00472397"/>
    <w:rsid w:val="00472BA3"/>
    <w:rsid w:val="00473CCE"/>
    <w:rsid w:val="00475A6B"/>
    <w:rsid w:val="00476453"/>
    <w:rsid w:val="00476950"/>
    <w:rsid w:val="004810F6"/>
    <w:rsid w:val="004822A7"/>
    <w:rsid w:val="004824F0"/>
    <w:rsid w:val="00482918"/>
    <w:rsid w:val="004851A5"/>
    <w:rsid w:val="0048529A"/>
    <w:rsid w:val="00485D8A"/>
    <w:rsid w:val="00486282"/>
    <w:rsid w:val="00486F4C"/>
    <w:rsid w:val="00487332"/>
    <w:rsid w:val="0048795F"/>
    <w:rsid w:val="00487D1B"/>
    <w:rsid w:val="00490523"/>
    <w:rsid w:val="004905B7"/>
    <w:rsid w:val="00490944"/>
    <w:rsid w:val="00491D58"/>
    <w:rsid w:val="004936D2"/>
    <w:rsid w:val="0049446A"/>
    <w:rsid w:val="004953A9"/>
    <w:rsid w:val="00495598"/>
    <w:rsid w:val="00495A99"/>
    <w:rsid w:val="00496A04"/>
    <w:rsid w:val="004A24F4"/>
    <w:rsid w:val="004A28AB"/>
    <w:rsid w:val="004A3B4A"/>
    <w:rsid w:val="004A430D"/>
    <w:rsid w:val="004A4E0A"/>
    <w:rsid w:val="004A5BCC"/>
    <w:rsid w:val="004A5E86"/>
    <w:rsid w:val="004A5EDB"/>
    <w:rsid w:val="004A7029"/>
    <w:rsid w:val="004B3733"/>
    <w:rsid w:val="004B3833"/>
    <w:rsid w:val="004B39AE"/>
    <w:rsid w:val="004B47CA"/>
    <w:rsid w:val="004B50A3"/>
    <w:rsid w:val="004B580B"/>
    <w:rsid w:val="004B59D2"/>
    <w:rsid w:val="004B6F22"/>
    <w:rsid w:val="004B710F"/>
    <w:rsid w:val="004C2B6C"/>
    <w:rsid w:val="004C3AAA"/>
    <w:rsid w:val="004C4AF0"/>
    <w:rsid w:val="004C5370"/>
    <w:rsid w:val="004C754A"/>
    <w:rsid w:val="004D1279"/>
    <w:rsid w:val="004D2A3B"/>
    <w:rsid w:val="004D30B8"/>
    <w:rsid w:val="004D363C"/>
    <w:rsid w:val="004D379E"/>
    <w:rsid w:val="004D4CC5"/>
    <w:rsid w:val="004D570C"/>
    <w:rsid w:val="004D590F"/>
    <w:rsid w:val="004D5AB7"/>
    <w:rsid w:val="004D5C5D"/>
    <w:rsid w:val="004D62FF"/>
    <w:rsid w:val="004D6D73"/>
    <w:rsid w:val="004D73B2"/>
    <w:rsid w:val="004E0866"/>
    <w:rsid w:val="004E0FAA"/>
    <w:rsid w:val="004E17C8"/>
    <w:rsid w:val="004E325E"/>
    <w:rsid w:val="004E383D"/>
    <w:rsid w:val="004E3965"/>
    <w:rsid w:val="004E4363"/>
    <w:rsid w:val="004E6970"/>
    <w:rsid w:val="004E6B32"/>
    <w:rsid w:val="004F1998"/>
    <w:rsid w:val="004F1C84"/>
    <w:rsid w:val="004F2233"/>
    <w:rsid w:val="004F24A4"/>
    <w:rsid w:val="004F2C27"/>
    <w:rsid w:val="004F62D2"/>
    <w:rsid w:val="004F7235"/>
    <w:rsid w:val="0050321D"/>
    <w:rsid w:val="00503897"/>
    <w:rsid w:val="00503C71"/>
    <w:rsid w:val="00504787"/>
    <w:rsid w:val="00506662"/>
    <w:rsid w:val="0051152D"/>
    <w:rsid w:val="00511878"/>
    <w:rsid w:val="00511FED"/>
    <w:rsid w:val="00512AC7"/>
    <w:rsid w:val="00512B3E"/>
    <w:rsid w:val="00512E46"/>
    <w:rsid w:val="00512E63"/>
    <w:rsid w:val="005132EE"/>
    <w:rsid w:val="00514003"/>
    <w:rsid w:val="00515CEB"/>
    <w:rsid w:val="00516B37"/>
    <w:rsid w:val="0052041C"/>
    <w:rsid w:val="00520EC6"/>
    <w:rsid w:val="00521495"/>
    <w:rsid w:val="00523221"/>
    <w:rsid w:val="00523B3C"/>
    <w:rsid w:val="00524430"/>
    <w:rsid w:val="005250BA"/>
    <w:rsid w:val="005255D3"/>
    <w:rsid w:val="005257DC"/>
    <w:rsid w:val="0052795A"/>
    <w:rsid w:val="00531A5D"/>
    <w:rsid w:val="00531A67"/>
    <w:rsid w:val="005326DF"/>
    <w:rsid w:val="0053501E"/>
    <w:rsid w:val="00541713"/>
    <w:rsid w:val="00542432"/>
    <w:rsid w:val="005424D1"/>
    <w:rsid w:val="00542AB4"/>
    <w:rsid w:val="00542C04"/>
    <w:rsid w:val="005452CC"/>
    <w:rsid w:val="00546890"/>
    <w:rsid w:val="0054702F"/>
    <w:rsid w:val="00547ADA"/>
    <w:rsid w:val="00547AFD"/>
    <w:rsid w:val="005523E3"/>
    <w:rsid w:val="00553A47"/>
    <w:rsid w:val="00553CB4"/>
    <w:rsid w:val="00554EC8"/>
    <w:rsid w:val="00555F43"/>
    <w:rsid w:val="00556A7A"/>
    <w:rsid w:val="00556DB3"/>
    <w:rsid w:val="00557594"/>
    <w:rsid w:val="00557E59"/>
    <w:rsid w:val="00560B64"/>
    <w:rsid w:val="00560C19"/>
    <w:rsid w:val="00561A71"/>
    <w:rsid w:val="005620EC"/>
    <w:rsid w:val="00562852"/>
    <w:rsid w:val="00562884"/>
    <w:rsid w:val="005630D4"/>
    <w:rsid w:val="005637B3"/>
    <w:rsid w:val="00563D40"/>
    <w:rsid w:val="005651B1"/>
    <w:rsid w:val="005675A9"/>
    <w:rsid w:val="00570341"/>
    <w:rsid w:val="00570F42"/>
    <w:rsid w:val="00572E9A"/>
    <w:rsid w:val="0057604B"/>
    <w:rsid w:val="005762DC"/>
    <w:rsid w:val="0058073B"/>
    <w:rsid w:val="00581DBE"/>
    <w:rsid w:val="00581E66"/>
    <w:rsid w:val="00582DC7"/>
    <w:rsid w:val="00582EE7"/>
    <w:rsid w:val="00584D15"/>
    <w:rsid w:val="00585285"/>
    <w:rsid w:val="00585467"/>
    <w:rsid w:val="0058653E"/>
    <w:rsid w:val="005866A8"/>
    <w:rsid w:val="0058764E"/>
    <w:rsid w:val="00590238"/>
    <w:rsid w:val="00595266"/>
    <w:rsid w:val="005A0F85"/>
    <w:rsid w:val="005A32D8"/>
    <w:rsid w:val="005A4405"/>
    <w:rsid w:val="005A4F93"/>
    <w:rsid w:val="005A5A77"/>
    <w:rsid w:val="005A5E8B"/>
    <w:rsid w:val="005A7DB3"/>
    <w:rsid w:val="005B05A5"/>
    <w:rsid w:val="005B1EB6"/>
    <w:rsid w:val="005B2C43"/>
    <w:rsid w:val="005B3C2C"/>
    <w:rsid w:val="005B474B"/>
    <w:rsid w:val="005B5D9F"/>
    <w:rsid w:val="005B6A9B"/>
    <w:rsid w:val="005B7A79"/>
    <w:rsid w:val="005B7B5A"/>
    <w:rsid w:val="005C2231"/>
    <w:rsid w:val="005C234E"/>
    <w:rsid w:val="005C3ABB"/>
    <w:rsid w:val="005C3B9E"/>
    <w:rsid w:val="005C6C3B"/>
    <w:rsid w:val="005C7834"/>
    <w:rsid w:val="005D0388"/>
    <w:rsid w:val="005D15B1"/>
    <w:rsid w:val="005D26B3"/>
    <w:rsid w:val="005D2767"/>
    <w:rsid w:val="005D2924"/>
    <w:rsid w:val="005D2F53"/>
    <w:rsid w:val="005D4A9A"/>
    <w:rsid w:val="005D6D64"/>
    <w:rsid w:val="005E0870"/>
    <w:rsid w:val="005E1B92"/>
    <w:rsid w:val="005E2C37"/>
    <w:rsid w:val="005E3B17"/>
    <w:rsid w:val="005E3B3E"/>
    <w:rsid w:val="005E401E"/>
    <w:rsid w:val="005E5E36"/>
    <w:rsid w:val="005E6C2B"/>
    <w:rsid w:val="005E7265"/>
    <w:rsid w:val="005E72C7"/>
    <w:rsid w:val="005E7532"/>
    <w:rsid w:val="005F067D"/>
    <w:rsid w:val="005F10B0"/>
    <w:rsid w:val="005F3071"/>
    <w:rsid w:val="005F606E"/>
    <w:rsid w:val="006019FB"/>
    <w:rsid w:val="006024AE"/>
    <w:rsid w:val="00603022"/>
    <w:rsid w:val="00603354"/>
    <w:rsid w:val="00605247"/>
    <w:rsid w:val="0060537C"/>
    <w:rsid w:val="00606091"/>
    <w:rsid w:val="00606907"/>
    <w:rsid w:val="00612D32"/>
    <w:rsid w:val="0061349A"/>
    <w:rsid w:val="006137C4"/>
    <w:rsid w:val="00613F8C"/>
    <w:rsid w:val="00615427"/>
    <w:rsid w:val="0061558A"/>
    <w:rsid w:val="0061572E"/>
    <w:rsid w:val="006157EB"/>
    <w:rsid w:val="0061792E"/>
    <w:rsid w:val="00620BF2"/>
    <w:rsid w:val="00620CCA"/>
    <w:rsid w:val="00621294"/>
    <w:rsid w:val="00622B6B"/>
    <w:rsid w:val="006233BC"/>
    <w:rsid w:val="00627484"/>
    <w:rsid w:val="00627A6D"/>
    <w:rsid w:val="00631F8A"/>
    <w:rsid w:val="0063437C"/>
    <w:rsid w:val="006345F7"/>
    <w:rsid w:val="00635439"/>
    <w:rsid w:val="00637C8E"/>
    <w:rsid w:val="00640276"/>
    <w:rsid w:val="00643BF2"/>
    <w:rsid w:val="00644A2F"/>
    <w:rsid w:val="00645446"/>
    <w:rsid w:val="0064557C"/>
    <w:rsid w:val="00645FF6"/>
    <w:rsid w:val="00646415"/>
    <w:rsid w:val="00651263"/>
    <w:rsid w:val="00652EE4"/>
    <w:rsid w:val="00654331"/>
    <w:rsid w:val="00654920"/>
    <w:rsid w:val="00654B8A"/>
    <w:rsid w:val="00656EB8"/>
    <w:rsid w:val="00660D3F"/>
    <w:rsid w:val="00662391"/>
    <w:rsid w:val="0066287B"/>
    <w:rsid w:val="00662DE3"/>
    <w:rsid w:val="006633D3"/>
    <w:rsid w:val="00670AEB"/>
    <w:rsid w:val="00671017"/>
    <w:rsid w:val="006719BC"/>
    <w:rsid w:val="00672D2F"/>
    <w:rsid w:val="00673A6B"/>
    <w:rsid w:val="00673D77"/>
    <w:rsid w:val="00674796"/>
    <w:rsid w:val="00675AC1"/>
    <w:rsid w:val="006770D6"/>
    <w:rsid w:val="00677947"/>
    <w:rsid w:val="00681D80"/>
    <w:rsid w:val="00681DC4"/>
    <w:rsid w:val="00685E07"/>
    <w:rsid w:val="0068644D"/>
    <w:rsid w:val="00686D80"/>
    <w:rsid w:val="00686FA3"/>
    <w:rsid w:val="00687661"/>
    <w:rsid w:val="00690D65"/>
    <w:rsid w:val="00692994"/>
    <w:rsid w:val="00693C14"/>
    <w:rsid w:val="00694E74"/>
    <w:rsid w:val="00697412"/>
    <w:rsid w:val="00697A96"/>
    <w:rsid w:val="00697E8F"/>
    <w:rsid w:val="006A0692"/>
    <w:rsid w:val="006A2B59"/>
    <w:rsid w:val="006A4502"/>
    <w:rsid w:val="006A5A2E"/>
    <w:rsid w:val="006A783A"/>
    <w:rsid w:val="006A7F1B"/>
    <w:rsid w:val="006B0D92"/>
    <w:rsid w:val="006B0E97"/>
    <w:rsid w:val="006B14C0"/>
    <w:rsid w:val="006B32C9"/>
    <w:rsid w:val="006B40F6"/>
    <w:rsid w:val="006B6977"/>
    <w:rsid w:val="006B6AA9"/>
    <w:rsid w:val="006B7553"/>
    <w:rsid w:val="006B775D"/>
    <w:rsid w:val="006B792A"/>
    <w:rsid w:val="006B7955"/>
    <w:rsid w:val="006B7B03"/>
    <w:rsid w:val="006B7ECC"/>
    <w:rsid w:val="006C0BC2"/>
    <w:rsid w:val="006C1FEA"/>
    <w:rsid w:val="006C3A74"/>
    <w:rsid w:val="006C4121"/>
    <w:rsid w:val="006C4D7D"/>
    <w:rsid w:val="006C5065"/>
    <w:rsid w:val="006C51AB"/>
    <w:rsid w:val="006C6087"/>
    <w:rsid w:val="006C70FD"/>
    <w:rsid w:val="006D0792"/>
    <w:rsid w:val="006D0F0D"/>
    <w:rsid w:val="006D2097"/>
    <w:rsid w:val="006D2CAB"/>
    <w:rsid w:val="006D4E74"/>
    <w:rsid w:val="006E035B"/>
    <w:rsid w:val="006E1024"/>
    <w:rsid w:val="006E12A7"/>
    <w:rsid w:val="006E1FDD"/>
    <w:rsid w:val="006E3C73"/>
    <w:rsid w:val="006E4678"/>
    <w:rsid w:val="006F0017"/>
    <w:rsid w:val="006F23D9"/>
    <w:rsid w:val="006F26F7"/>
    <w:rsid w:val="006F2D0A"/>
    <w:rsid w:val="006F3749"/>
    <w:rsid w:val="006F4C02"/>
    <w:rsid w:val="006F5286"/>
    <w:rsid w:val="006F5D38"/>
    <w:rsid w:val="006F68B7"/>
    <w:rsid w:val="006F68CA"/>
    <w:rsid w:val="006F7FD7"/>
    <w:rsid w:val="00700A95"/>
    <w:rsid w:val="00700C42"/>
    <w:rsid w:val="00703CAD"/>
    <w:rsid w:val="00705512"/>
    <w:rsid w:val="0070695F"/>
    <w:rsid w:val="00710E7C"/>
    <w:rsid w:val="00715FDC"/>
    <w:rsid w:val="007164DD"/>
    <w:rsid w:val="007178F0"/>
    <w:rsid w:val="00720C36"/>
    <w:rsid w:val="007219A2"/>
    <w:rsid w:val="00721D21"/>
    <w:rsid w:val="00722B23"/>
    <w:rsid w:val="007232F4"/>
    <w:rsid w:val="00723432"/>
    <w:rsid w:val="00725624"/>
    <w:rsid w:val="007257A3"/>
    <w:rsid w:val="00725B72"/>
    <w:rsid w:val="00725E2B"/>
    <w:rsid w:val="00727F04"/>
    <w:rsid w:val="00731E6B"/>
    <w:rsid w:val="00732667"/>
    <w:rsid w:val="00733406"/>
    <w:rsid w:val="00735C02"/>
    <w:rsid w:val="00737182"/>
    <w:rsid w:val="00740546"/>
    <w:rsid w:val="00743C1B"/>
    <w:rsid w:val="00743C63"/>
    <w:rsid w:val="00744E9E"/>
    <w:rsid w:val="0074596C"/>
    <w:rsid w:val="007469C5"/>
    <w:rsid w:val="00747838"/>
    <w:rsid w:val="00747E20"/>
    <w:rsid w:val="00752323"/>
    <w:rsid w:val="0075347E"/>
    <w:rsid w:val="007562D2"/>
    <w:rsid w:val="007573A7"/>
    <w:rsid w:val="00760374"/>
    <w:rsid w:val="00763129"/>
    <w:rsid w:val="00763677"/>
    <w:rsid w:val="007668A5"/>
    <w:rsid w:val="00766DBB"/>
    <w:rsid w:val="007712F1"/>
    <w:rsid w:val="00771634"/>
    <w:rsid w:val="00771EAC"/>
    <w:rsid w:val="00772772"/>
    <w:rsid w:val="00773331"/>
    <w:rsid w:val="00773853"/>
    <w:rsid w:val="007744E9"/>
    <w:rsid w:val="00775770"/>
    <w:rsid w:val="007774EC"/>
    <w:rsid w:val="00777B2D"/>
    <w:rsid w:val="00777F34"/>
    <w:rsid w:val="00777F4A"/>
    <w:rsid w:val="00782898"/>
    <w:rsid w:val="007828F2"/>
    <w:rsid w:val="00783A10"/>
    <w:rsid w:val="00784070"/>
    <w:rsid w:val="007863D4"/>
    <w:rsid w:val="00786EF4"/>
    <w:rsid w:val="007872AD"/>
    <w:rsid w:val="00787C4C"/>
    <w:rsid w:val="00790032"/>
    <w:rsid w:val="007932EF"/>
    <w:rsid w:val="00793A95"/>
    <w:rsid w:val="00793C2C"/>
    <w:rsid w:val="007954E4"/>
    <w:rsid w:val="00795D47"/>
    <w:rsid w:val="0079B052"/>
    <w:rsid w:val="007A2C93"/>
    <w:rsid w:val="007A2DF6"/>
    <w:rsid w:val="007A395C"/>
    <w:rsid w:val="007A3F78"/>
    <w:rsid w:val="007A5060"/>
    <w:rsid w:val="007B00FA"/>
    <w:rsid w:val="007B3B54"/>
    <w:rsid w:val="007B3CCF"/>
    <w:rsid w:val="007B4118"/>
    <w:rsid w:val="007B46F0"/>
    <w:rsid w:val="007B4827"/>
    <w:rsid w:val="007B4BF1"/>
    <w:rsid w:val="007B7D9E"/>
    <w:rsid w:val="007C142A"/>
    <w:rsid w:val="007C17FA"/>
    <w:rsid w:val="007C1886"/>
    <w:rsid w:val="007C1AD3"/>
    <w:rsid w:val="007C4372"/>
    <w:rsid w:val="007C43F1"/>
    <w:rsid w:val="007C456E"/>
    <w:rsid w:val="007C4B5B"/>
    <w:rsid w:val="007C5E5C"/>
    <w:rsid w:val="007C6B2F"/>
    <w:rsid w:val="007D1FAF"/>
    <w:rsid w:val="007D2196"/>
    <w:rsid w:val="007D25DD"/>
    <w:rsid w:val="007D31CC"/>
    <w:rsid w:val="007D3CC7"/>
    <w:rsid w:val="007D4F17"/>
    <w:rsid w:val="007D6383"/>
    <w:rsid w:val="007D682D"/>
    <w:rsid w:val="007D6AED"/>
    <w:rsid w:val="007E05B0"/>
    <w:rsid w:val="007E12D6"/>
    <w:rsid w:val="007E19C2"/>
    <w:rsid w:val="007E1AA1"/>
    <w:rsid w:val="007E1DB6"/>
    <w:rsid w:val="007E29AB"/>
    <w:rsid w:val="007E41D3"/>
    <w:rsid w:val="007E5400"/>
    <w:rsid w:val="007E5B40"/>
    <w:rsid w:val="007E6388"/>
    <w:rsid w:val="007E6F4A"/>
    <w:rsid w:val="007F0CBC"/>
    <w:rsid w:val="007F3265"/>
    <w:rsid w:val="007F3CD2"/>
    <w:rsid w:val="007F4235"/>
    <w:rsid w:val="007F4261"/>
    <w:rsid w:val="007F4E19"/>
    <w:rsid w:val="007F553B"/>
    <w:rsid w:val="007F5DE2"/>
    <w:rsid w:val="007F64C3"/>
    <w:rsid w:val="00810933"/>
    <w:rsid w:val="0081322B"/>
    <w:rsid w:val="00816B84"/>
    <w:rsid w:val="008178AD"/>
    <w:rsid w:val="0082146F"/>
    <w:rsid w:val="008225A7"/>
    <w:rsid w:val="00824882"/>
    <w:rsid w:val="00831224"/>
    <w:rsid w:val="00833D15"/>
    <w:rsid w:val="00834A3E"/>
    <w:rsid w:val="00834DDE"/>
    <w:rsid w:val="0083601A"/>
    <w:rsid w:val="008370D2"/>
    <w:rsid w:val="00837326"/>
    <w:rsid w:val="00837FFC"/>
    <w:rsid w:val="0084005B"/>
    <w:rsid w:val="00841CAD"/>
    <w:rsid w:val="00841EEA"/>
    <w:rsid w:val="008421D4"/>
    <w:rsid w:val="008422D0"/>
    <w:rsid w:val="008430D8"/>
    <w:rsid w:val="00843C8F"/>
    <w:rsid w:val="0084415F"/>
    <w:rsid w:val="00844322"/>
    <w:rsid w:val="00844864"/>
    <w:rsid w:val="00844E61"/>
    <w:rsid w:val="00845A1D"/>
    <w:rsid w:val="008477D5"/>
    <w:rsid w:val="0085062F"/>
    <w:rsid w:val="00850902"/>
    <w:rsid w:val="00851023"/>
    <w:rsid w:val="0085130A"/>
    <w:rsid w:val="00851D07"/>
    <w:rsid w:val="00851D67"/>
    <w:rsid w:val="00852CF3"/>
    <w:rsid w:val="008533D7"/>
    <w:rsid w:val="00853E02"/>
    <w:rsid w:val="008546C7"/>
    <w:rsid w:val="008549B1"/>
    <w:rsid w:val="0085718B"/>
    <w:rsid w:val="00860CC2"/>
    <w:rsid w:val="008612FC"/>
    <w:rsid w:val="00861640"/>
    <w:rsid w:val="00861EF7"/>
    <w:rsid w:val="00862962"/>
    <w:rsid w:val="00864143"/>
    <w:rsid w:val="008656F0"/>
    <w:rsid w:val="0086581F"/>
    <w:rsid w:val="0086783F"/>
    <w:rsid w:val="00867C9B"/>
    <w:rsid w:val="00870DAC"/>
    <w:rsid w:val="00871258"/>
    <w:rsid w:val="00871C3A"/>
    <w:rsid w:val="00873011"/>
    <w:rsid w:val="00873CED"/>
    <w:rsid w:val="00873FCF"/>
    <w:rsid w:val="00874D22"/>
    <w:rsid w:val="0087651C"/>
    <w:rsid w:val="008773D1"/>
    <w:rsid w:val="0088162A"/>
    <w:rsid w:val="008819AC"/>
    <w:rsid w:val="008832C2"/>
    <w:rsid w:val="008851C0"/>
    <w:rsid w:val="0088547B"/>
    <w:rsid w:val="00885813"/>
    <w:rsid w:val="008858CF"/>
    <w:rsid w:val="00885F94"/>
    <w:rsid w:val="00886195"/>
    <w:rsid w:val="00886491"/>
    <w:rsid w:val="0088661B"/>
    <w:rsid w:val="00886F10"/>
    <w:rsid w:val="00887090"/>
    <w:rsid w:val="00887E14"/>
    <w:rsid w:val="008903B7"/>
    <w:rsid w:val="00890A8D"/>
    <w:rsid w:val="00892EF2"/>
    <w:rsid w:val="008946A6"/>
    <w:rsid w:val="0089760D"/>
    <w:rsid w:val="00897736"/>
    <w:rsid w:val="00897B93"/>
    <w:rsid w:val="008A1289"/>
    <w:rsid w:val="008A1E93"/>
    <w:rsid w:val="008A2914"/>
    <w:rsid w:val="008A4214"/>
    <w:rsid w:val="008A4440"/>
    <w:rsid w:val="008A729D"/>
    <w:rsid w:val="008B225B"/>
    <w:rsid w:val="008B302B"/>
    <w:rsid w:val="008B374B"/>
    <w:rsid w:val="008B4A9E"/>
    <w:rsid w:val="008B5951"/>
    <w:rsid w:val="008B5FCC"/>
    <w:rsid w:val="008C0E57"/>
    <w:rsid w:val="008C47D6"/>
    <w:rsid w:val="008C545F"/>
    <w:rsid w:val="008C5581"/>
    <w:rsid w:val="008C5A28"/>
    <w:rsid w:val="008C6CC3"/>
    <w:rsid w:val="008C7ECF"/>
    <w:rsid w:val="008D0838"/>
    <w:rsid w:val="008D0FCC"/>
    <w:rsid w:val="008D15A5"/>
    <w:rsid w:val="008D1FCD"/>
    <w:rsid w:val="008D21FC"/>
    <w:rsid w:val="008D2354"/>
    <w:rsid w:val="008D25CA"/>
    <w:rsid w:val="008D2C06"/>
    <w:rsid w:val="008D3130"/>
    <w:rsid w:val="008D36C0"/>
    <w:rsid w:val="008D49C4"/>
    <w:rsid w:val="008D4DA1"/>
    <w:rsid w:val="008D5D66"/>
    <w:rsid w:val="008D674D"/>
    <w:rsid w:val="008D6CDE"/>
    <w:rsid w:val="008D741C"/>
    <w:rsid w:val="008E2BF8"/>
    <w:rsid w:val="008E2D6B"/>
    <w:rsid w:val="008E31DD"/>
    <w:rsid w:val="008E40C8"/>
    <w:rsid w:val="008E4306"/>
    <w:rsid w:val="008E44B9"/>
    <w:rsid w:val="008E4A37"/>
    <w:rsid w:val="008E4D8E"/>
    <w:rsid w:val="008E758B"/>
    <w:rsid w:val="008F00FF"/>
    <w:rsid w:val="008F34FD"/>
    <w:rsid w:val="008F361C"/>
    <w:rsid w:val="008F383F"/>
    <w:rsid w:val="008F3E6B"/>
    <w:rsid w:val="008F4956"/>
    <w:rsid w:val="008F59BD"/>
    <w:rsid w:val="008F625D"/>
    <w:rsid w:val="008F71F2"/>
    <w:rsid w:val="00901726"/>
    <w:rsid w:val="00902204"/>
    <w:rsid w:val="0090280F"/>
    <w:rsid w:val="009042B3"/>
    <w:rsid w:val="00904C2C"/>
    <w:rsid w:val="00905891"/>
    <w:rsid w:val="00906A5B"/>
    <w:rsid w:val="009079C2"/>
    <w:rsid w:val="0091314E"/>
    <w:rsid w:val="00914D56"/>
    <w:rsid w:val="009158F6"/>
    <w:rsid w:val="00915C64"/>
    <w:rsid w:val="00920281"/>
    <w:rsid w:val="009215F4"/>
    <w:rsid w:val="00924E9C"/>
    <w:rsid w:val="00925490"/>
    <w:rsid w:val="0092712F"/>
    <w:rsid w:val="00927679"/>
    <w:rsid w:val="0093046B"/>
    <w:rsid w:val="00930F67"/>
    <w:rsid w:val="0093121A"/>
    <w:rsid w:val="00932619"/>
    <w:rsid w:val="00933BA4"/>
    <w:rsid w:val="00934B86"/>
    <w:rsid w:val="00936105"/>
    <w:rsid w:val="009376FB"/>
    <w:rsid w:val="00937BED"/>
    <w:rsid w:val="00941346"/>
    <w:rsid w:val="00942458"/>
    <w:rsid w:val="009432A5"/>
    <w:rsid w:val="00943312"/>
    <w:rsid w:val="0094414F"/>
    <w:rsid w:val="009511A9"/>
    <w:rsid w:val="00951B99"/>
    <w:rsid w:val="00951D50"/>
    <w:rsid w:val="00952324"/>
    <w:rsid w:val="0095274C"/>
    <w:rsid w:val="00952828"/>
    <w:rsid w:val="00952D34"/>
    <w:rsid w:val="0095498D"/>
    <w:rsid w:val="00955609"/>
    <w:rsid w:val="0095611B"/>
    <w:rsid w:val="00956B5B"/>
    <w:rsid w:val="00957037"/>
    <w:rsid w:val="009579CD"/>
    <w:rsid w:val="009610B2"/>
    <w:rsid w:val="00961DB2"/>
    <w:rsid w:val="00965F44"/>
    <w:rsid w:val="009709A6"/>
    <w:rsid w:val="00970AB1"/>
    <w:rsid w:val="00971033"/>
    <w:rsid w:val="0097170E"/>
    <w:rsid w:val="0097360B"/>
    <w:rsid w:val="00975C9E"/>
    <w:rsid w:val="00976C45"/>
    <w:rsid w:val="00981E52"/>
    <w:rsid w:val="00982E9C"/>
    <w:rsid w:val="00984B7B"/>
    <w:rsid w:val="00985F82"/>
    <w:rsid w:val="009869D5"/>
    <w:rsid w:val="009873D7"/>
    <w:rsid w:val="0099027F"/>
    <w:rsid w:val="0099064C"/>
    <w:rsid w:val="00990F25"/>
    <w:rsid w:val="00992070"/>
    <w:rsid w:val="0099241E"/>
    <w:rsid w:val="009938CD"/>
    <w:rsid w:val="0099390F"/>
    <w:rsid w:val="00993E0D"/>
    <w:rsid w:val="00994231"/>
    <w:rsid w:val="009945BA"/>
    <w:rsid w:val="009960B1"/>
    <w:rsid w:val="0099728B"/>
    <w:rsid w:val="009A1DB3"/>
    <w:rsid w:val="009A2C33"/>
    <w:rsid w:val="009A2E80"/>
    <w:rsid w:val="009A3878"/>
    <w:rsid w:val="009A4475"/>
    <w:rsid w:val="009A4515"/>
    <w:rsid w:val="009A6285"/>
    <w:rsid w:val="009A6475"/>
    <w:rsid w:val="009A7948"/>
    <w:rsid w:val="009B0528"/>
    <w:rsid w:val="009B1AC8"/>
    <w:rsid w:val="009B249A"/>
    <w:rsid w:val="009B6343"/>
    <w:rsid w:val="009B63FC"/>
    <w:rsid w:val="009B662A"/>
    <w:rsid w:val="009B6D4A"/>
    <w:rsid w:val="009C066E"/>
    <w:rsid w:val="009C0671"/>
    <w:rsid w:val="009C0A2C"/>
    <w:rsid w:val="009C128E"/>
    <w:rsid w:val="009C18B9"/>
    <w:rsid w:val="009C3B1D"/>
    <w:rsid w:val="009C3C66"/>
    <w:rsid w:val="009C553D"/>
    <w:rsid w:val="009C718B"/>
    <w:rsid w:val="009D032A"/>
    <w:rsid w:val="009D0DB9"/>
    <w:rsid w:val="009D0DFE"/>
    <w:rsid w:val="009D1172"/>
    <w:rsid w:val="009D177A"/>
    <w:rsid w:val="009D46CB"/>
    <w:rsid w:val="009D63FB"/>
    <w:rsid w:val="009D7B42"/>
    <w:rsid w:val="009E2704"/>
    <w:rsid w:val="009E2DE2"/>
    <w:rsid w:val="009E4234"/>
    <w:rsid w:val="009E4CA1"/>
    <w:rsid w:val="009E52C9"/>
    <w:rsid w:val="009E60B9"/>
    <w:rsid w:val="009E6876"/>
    <w:rsid w:val="009E73E9"/>
    <w:rsid w:val="009E7E50"/>
    <w:rsid w:val="009F1DAD"/>
    <w:rsid w:val="009F2F70"/>
    <w:rsid w:val="009F3B0C"/>
    <w:rsid w:val="009F4134"/>
    <w:rsid w:val="009F6DCD"/>
    <w:rsid w:val="009F7394"/>
    <w:rsid w:val="00A0093B"/>
    <w:rsid w:val="00A00A5A"/>
    <w:rsid w:val="00A0107E"/>
    <w:rsid w:val="00A013C2"/>
    <w:rsid w:val="00A11F36"/>
    <w:rsid w:val="00A12222"/>
    <w:rsid w:val="00A12544"/>
    <w:rsid w:val="00A125C4"/>
    <w:rsid w:val="00A12A6A"/>
    <w:rsid w:val="00A141AB"/>
    <w:rsid w:val="00A142F7"/>
    <w:rsid w:val="00A14C14"/>
    <w:rsid w:val="00A1561F"/>
    <w:rsid w:val="00A20015"/>
    <w:rsid w:val="00A20B66"/>
    <w:rsid w:val="00A2332B"/>
    <w:rsid w:val="00A2365E"/>
    <w:rsid w:val="00A23F31"/>
    <w:rsid w:val="00A24F9F"/>
    <w:rsid w:val="00A253E1"/>
    <w:rsid w:val="00A257DC"/>
    <w:rsid w:val="00A26034"/>
    <w:rsid w:val="00A30562"/>
    <w:rsid w:val="00A31285"/>
    <w:rsid w:val="00A34878"/>
    <w:rsid w:val="00A35E90"/>
    <w:rsid w:val="00A4089F"/>
    <w:rsid w:val="00A416A5"/>
    <w:rsid w:val="00A41EF1"/>
    <w:rsid w:val="00A42169"/>
    <w:rsid w:val="00A433D5"/>
    <w:rsid w:val="00A4382B"/>
    <w:rsid w:val="00A4485A"/>
    <w:rsid w:val="00A44A5C"/>
    <w:rsid w:val="00A45D37"/>
    <w:rsid w:val="00A4751D"/>
    <w:rsid w:val="00A5014C"/>
    <w:rsid w:val="00A57301"/>
    <w:rsid w:val="00A57590"/>
    <w:rsid w:val="00A60AB3"/>
    <w:rsid w:val="00A62A95"/>
    <w:rsid w:val="00A63E32"/>
    <w:rsid w:val="00A6450C"/>
    <w:rsid w:val="00A6486D"/>
    <w:rsid w:val="00A64DFC"/>
    <w:rsid w:val="00A65281"/>
    <w:rsid w:val="00A65612"/>
    <w:rsid w:val="00A656E5"/>
    <w:rsid w:val="00A65BC0"/>
    <w:rsid w:val="00A67792"/>
    <w:rsid w:val="00A67BFD"/>
    <w:rsid w:val="00A704E2"/>
    <w:rsid w:val="00A71ADC"/>
    <w:rsid w:val="00A71FAF"/>
    <w:rsid w:val="00A74A2B"/>
    <w:rsid w:val="00A74B74"/>
    <w:rsid w:val="00A758B7"/>
    <w:rsid w:val="00A7732E"/>
    <w:rsid w:val="00A80A37"/>
    <w:rsid w:val="00A814F7"/>
    <w:rsid w:val="00A8375F"/>
    <w:rsid w:val="00A87382"/>
    <w:rsid w:val="00A87F1F"/>
    <w:rsid w:val="00A90205"/>
    <w:rsid w:val="00A917E7"/>
    <w:rsid w:val="00A92D26"/>
    <w:rsid w:val="00A942A7"/>
    <w:rsid w:val="00A955C5"/>
    <w:rsid w:val="00A95814"/>
    <w:rsid w:val="00A96197"/>
    <w:rsid w:val="00A973F8"/>
    <w:rsid w:val="00AA4E82"/>
    <w:rsid w:val="00AA5536"/>
    <w:rsid w:val="00AA5665"/>
    <w:rsid w:val="00AA6DC4"/>
    <w:rsid w:val="00AA7CC5"/>
    <w:rsid w:val="00AB0618"/>
    <w:rsid w:val="00AB0D96"/>
    <w:rsid w:val="00AB12BC"/>
    <w:rsid w:val="00AB1AFF"/>
    <w:rsid w:val="00AB1E05"/>
    <w:rsid w:val="00AB2B41"/>
    <w:rsid w:val="00AB4ABC"/>
    <w:rsid w:val="00AB57A1"/>
    <w:rsid w:val="00AB5E56"/>
    <w:rsid w:val="00AB703B"/>
    <w:rsid w:val="00AB7D4E"/>
    <w:rsid w:val="00AC01E3"/>
    <w:rsid w:val="00AC09F0"/>
    <w:rsid w:val="00AC1BE6"/>
    <w:rsid w:val="00AC2E1F"/>
    <w:rsid w:val="00AC47C1"/>
    <w:rsid w:val="00AC4943"/>
    <w:rsid w:val="00AC4B36"/>
    <w:rsid w:val="00AC5034"/>
    <w:rsid w:val="00AC7C27"/>
    <w:rsid w:val="00AD004C"/>
    <w:rsid w:val="00AD1976"/>
    <w:rsid w:val="00AD1DFC"/>
    <w:rsid w:val="00AD3A51"/>
    <w:rsid w:val="00AD3CDE"/>
    <w:rsid w:val="00AD4120"/>
    <w:rsid w:val="00AD4995"/>
    <w:rsid w:val="00AD4FFC"/>
    <w:rsid w:val="00AD519E"/>
    <w:rsid w:val="00AE0B0F"/>
    <w:rsid w:val="00AE1057"/>
    <w:rsid w:val="00AE15C1"/>
    <w:rsid w:val="00AE2ABB"/>
    <w:rsid w:val="00AE3A48"/>
    <w:rsid w:val="00AE4BAD"/>
    <w:rsid w:val="00AE723D"/>
    <w:rsid w:val="00AE7445"/>
    <w:rsid w:val="00AE7DBD"/>
    <w:rsid w:val="00AE7FBD"/>
    <w:rsid w:val="00AF1AEF"/>
    <w:rsid w:val="00AF292D"/>
    <w:rsid w:val="00AF2E39"/>
    <w:rsid w:val="00AF6949"/>
    <w:rsid w:val="00B000BB"/>
    <w:rsid w:val="00B00178"/>
    <w:rsid w:val="00B015BC"/>
    <w:rsid w:val="00B01830"/>
    <w:rsid w:val="00B0373A"/>
    <w:rsid w:val="00B05F2A"/>
    <w:rsid w:val="00B10F07"/>
    <w:rsid w:val="00B1137B"/>
    <w:rsid w:val="00B120AE"/>
    <w:rsid w:val="00B129D8"/>
    <w:rsid w:val="00B12BF5"/>
    <w:rsid w:val="00B12DDB"/>
    <w:rsid w:val="00B14C3F"/>
    <w:rsid w:val="00B157CE"/>
    <w:rsid w:val="00B1581A"/>
    <w:rsid w:val="00B1642B"/>
    <w:rsid w:val="00B164B6"/>
    <w:rsid w:val="00B16A97"/>
    <w:rsid w:val="00B175BB"/>
    <w:rsid w:val="00B17BB3"/>
    <w:rsid w:val="00B17EE9"/>
    <w:rsid w:val="00B2032A"/>
    <w:rsid w:val="00B21F15"/>
    <w:rsid w:val="00B221BF"/>
    <w:rsid w:val="00B2223D"/>
    <w:rsid w:val="00B250FB"/>
    <w:rsid w:val="00B2613D"/>
    <w:rsid w:val="00B27771"/>
    <w:rsid w:val="00B31B9A"/>
    <w:rsid w:val="00B337BF"/>
    <w:rsid w:val="00B33F9E"/>
    <w:rsid w:val="00B340CD"/>
    <w:rsid w:val="00B3410B"/>
    <w:rsid w:val="00B34118"/>
    <w:rsid w:val="00B34152"/>
    <w:rsid w:val="00B345D1"/>
    <w:rsid w:val="00B3472A"/>
    <w:rsid w:val="00B35033"/>
    <w:rsid w:val="00B36A7D"/>
    <w:rsid w:val="00B36BF7"/>
    <w:rsid w:val="00B371CA"/>
    <w:rsid w:val="00B37BC9"/>
    <w:rsid w:val="00B40079"/>
    <w:rsid w:val="00B408A7"/>
    <w:rsid w:val="00B40C08"/>
    <w:rsid w:val="00B410A8"/>
    <w:rsid w:val="00B4190D"/>
    <w:rsid w:val="00B42A25"/>
    <w:rsid w:val="00B45939"/>
    <w:rsid w:val="00B466BA"/>
    <w:rsid w:val="00B47DC1"/>
    <w:rsid w:val="00B50DA8"/>
    <w:rsid w:val="00B512E3"/>
    <w:rsid w:val="00B5220A"/>
    <w:rsid w:val="00B52F71"/>
    <w:rsid w:val="00B53B0E"/>
    <w:rsid w:val="00B54A29"/>
    <w:rsid w:val="00B561A5"/>
    <w:rsid w:val="00B56912"/>
    <w:rsid w:val="00B56BB1"/>
    <w:rsid w:val="00B601DB"/>
    <w:rsid w:val="00B60C07"/>
    <w:rsid w:val="00B61BAA"/>
    <w:rsid w:val="00B623B1"/>
    <w:rsid w:val="00B64EA3"/>
    <w:rsid w:val="00B65F69"/>
    <w:rsid w:val="00B66614"/>
    <w:rsid w:val="00B67132"/>
    <w:rsid w:val="00B673FB"/>
    <w:rsid w:val="00B70014"/>
    <w:rsid w:val="00B70B07"/>
    <w:rsid w:val="00B70C74"/>
    <w:rsid w:val="00B714E3"/>
    <w:rsid w:val="00B722CF"/>
    <w:rsid w:val="00B72620"/>
    <w:rsid w:val="00B7591E"/>
    <w:rsid w:val="00B75B90"/>
    <w:rsid w:val="00B75D77"/>
    <w:rsid w:val="00B763CD"/>
    <w:rsid w:val="00B80000"/>
    <w:rsid w:val="00B8166D"/>
    <w:rsid w:val="00B8251B"/>
    <w:rsid w:val="00B83137"/>
    <w:rsid w:val="00B8361E"/>
    <w:rsid w:val="00B837FD"/>
    <w:rsid w:val="00B83E98"/>
    <w:rsid w:val="00B85204"/>
    <w:rsid w:val="00B8746F"/>
    <w:rsid w:val="00B87BBB"/>
    <w:rsid w:val="00B87FB8"/>
    <w:rsid w:val="00B90C9E"/>
    <w:rsid w:val="00B923F0"/>
    <w:rsid w:val="00B977B7"/>
    <w:rsid w:val="00BA0BFC"/>
    <w:rsid w:val="00BA24D7"/>
    <w:rsid w:val="00BA2D32"/>
    <w:rsid w:val="00BA2DD0"/>
    <w:rsid w:val="00BA5C75"/>
    <w:rsid w:val="00BA6F87"/>
    <w:rsid w:val="00BA7507"/>
    <w:rsid w:val="00BB0907"/>
    <w:rsid w:val="00BB09A4"/>
    <w:rsid w:val="00BB1383"/>
    <w:rsid w:val="00BB15FB"/>
    <w:rsid w:val="00BB1741"/>
    <w:rsid w:val="00BB2053"/>
    <w:rsid w:val="00BB26CE"/>
    <w:rsid w:val="00BB4DA0"/>
    <w:rsid w:val="00BB6085"/>
    <w:rsid w:val="00BB6638"/>
    <w:rsid w:val="00BB6B51"/>
    <w:rsid w:val="00BC001D"/>
    <w:rsid w:val="00BC1C93"/>
    <w:rsid w:val="00BC2830"/>
    <w:rsid w:val="00BC7211"/>
    <w:rsid w:val="00BC78FB"/>
    <w:rsid w:val="00BC7CF1"/>
    <w:rsid w:val="00BD0166"/>
    <w:rsid w:val="00BD1929"/>
    <w:rsid w:val="00BD1969"/>
    <w:rsid w:val="00BD3EAF"/>
    <w:rsid w:val="00BD4059"/>
    <w:rsid w:val="00BD5713"/>
    <w:rsid w:val="00BD70D3"/>
    <w:rsid w:val="00BD75D1"/>
    <w:rsid w:val="00BE11B1"/>
    <w:rsid w:val="00BE1D62"/>
    <w:rsid w:val="00BE29D4"/>
    <w:rsid w:val="00BE3556"/>
    <w:rsid w:val="00BE3AD0"/>
    <w:rsid w:val="00BE5606"/>
    <w:rsid w:val="00BE6A9C"/>
    <w:rsid w:val="00BE6DB3"/>
    <w:rsid w:val="00BF38A8"/>
    <w:rsid w:val="00BF4AC0"/>
    <w:rsid w:val="00BF5A9C"/>
    <w:rsid w:val="00BF5B4B"/>
    <w:rsid w:val="00BF7E27"/>
    <w:rsid w:val="00C02758"/>
    <w:rsid w:val="00C02AD2"/>
    <w:rsid w:val="00C04D3C"/>
    <w:rsid w:val="00C05A7C"/>
    <w:rsid w:val="00C063A2"/>
    <w:rsid w:val="00C06B14"/>
    <w:rsid w:val="00C07F05"/>
    <w:rsid w:val="00C10306"/>
    <w:rsid w:val="00C104F8"/>
    <w:rsid w:val="00C12301"/>
    <w:rsid w:val="00C13913"/>
    <w:rsid w:val="00C15356"/>
    <w:rsid w:val="00C153B0"/>
    <w:rsid w:val="00C15626"/>
    <w:rsid w:val="00C1572B"/>
    <w:rsid w:val="00C166F9"/>
    <w:rsid w:val="00C17591"/>
    <w:rsid w:val="00C200D7"/>
    <w:rsid w:val="00C211A1"/>
    <w:rsid w:val="00C22324"/>
    <w:rsid w:val="00C232E3"/>
    <w:rsid w:val="00C241C1"/>
    <w:rsid w:val="00C2728F"/>
    <w:rsid w:val="00C33F7C"/>
    <w:rsid w:val="00C3419F"/>
    <w:rsid w:val="00C35573"/>
    <w:rsid w:val="00C36329"/>
    <w:rsid w:val="00C36810"/>
    <w:rsid w:val="00C36E4E"/>
    <w:rsid w:val="00C409FF"/>
    <w:rsid w:val="00C40A0D"/>
    <w:rsid w:val="00C40E7E"/>
    <w:rsid w:val="00C418C4"/>
    <w:rsid w:val="00C45C8E"/>
    <w:rsid w:val="00C45D4C"/>
    <w:rsid w:val="00C472D6"/>
    <w:rsid w:val="00C47C5C"/>
    <w:rsid w:val="00C47E38"/>
    <w:rsid w:val="00C51EBC"/>
    <w:rsid w:val="00C54A46"/>
    <w:rsid w:val="00C55580"/>
    <w:rsid w:val="00C56695"/>
    <w:rsid w:val="00C56A01"/>
    <w:rsid w:val="00C56CFD"/>
    <w:rsid w:val="00C56D5E"/>
    <w:rsid w:val="00C6046A"/>
    <w:rsid w:val="00C60CD7"/>
    <w:rsid w:val="00C60F6D"/>
    <w:rsid w:val="00C6234A"/>
    <w:rsid w:val="00C646EA"/>
    <w:rsid w:val="00C66B9D"/>
    <w:rsid w:val="00C67494"/>
    <w:rsid w:val="00C701FB"/>
    <w:rsid w:val="00C73201"/>
    <w:rsid w:val="00C73A34"/>
    <w:rsid w:val="00C75266"/>
    <w:rsid w:val="00C77267"/>
    <w:rsid w:val="00C7737D"/>
    <w:rsid w:val="00C82442"/>
    <w:rsid w:val="00C825B8"/>
    <w:rsid w:val="00C83465"/>
    <w:rsid w:val="00C8566A"/>
    <w:rsid w:val="00C869B4"/>
    <w:rsid w:val="00C8753A"/>
    <w:rsid w:val="00C87C1C"/>
    <w:rsid w:val="00C90BC8"/>
    <w:rsid w:val="00C91CC1"/>
    <w:rsid w:val="00C921DA"/>
    <w:rsid w:val="00C92DBF"/>
    <w:rsid w:val="00C92DF3"/>
    <w:rsid w:val="00C935B3"/>
    <w:rsid w:val="00C953D8"/>
    <w:rsid w:val="00CA04C7"/>
    <w:rsid w:val="00CA367A"/>
    <w:rsid w:val="00CA4DD9"/>
    <w:rsid w:val="00CA6D5A"/>
    <w:rsid w:val="00CA71E0"/>
    <w:rsid w:val="00CA73B8"/>
    <w:rsid w:val="00CB11E0"/>
    <w:rsid w:val="00CB1A0B"/>
    <w:rsid w:val="00CB1A8D"/>
    <w:rsid w:val="00CB30A1"/>
    <w:rsid w:val="00CB3E60"/>
    <w:rsid w:val="00CB41F8"/>
    <w:rsid w:val="00CB528C"/>
    <w:rsid w:val="00CB6B57"/>
    <w:rsid w:val="00CB6FE3"/>
    <w:rsid w:val="00CC0A5C"/>
    <w:rsid w:val="00CC172C"/>
    <w:rsid w:val="00CC3F9B"/>
    <w:rsid w:val="00CC4A45"/>
    <w:rsid w:val="00CC52CD"/>
    <w:rsid w:val="00CC5E88"/>
    <w:rsid w:val="00CC69FD"/>
    <w:rsid w:val="00CD1120"/>
    <w:rsid w:val="00CD14D2"/>
    <w:rsid w:val="00CD15C7"/>
    <w:rsid w:val="00CD1A1B"/>
    <w:rsid w:val="00CD1CEF"/>
    <w:rsid w:val="00CD47F1"/>
    <w:rsid w:val="00CD56CF"/>
    <w:rsid w:val="00CD6021"/>
    <w:rsid w:val="00CD6E70"/>
    <w:rsid w:val="00CD7BF5"/>
    <w:rsid w:val="00CE19C1"/>
    <w:rsid w:val="00CE1DB5"/>
    <w:rsid w:val="00CE3B40"/>
    <w:rsid w:val="00CE42AF"/>
    <w:rsid w:val="00CE4FAB"/>
    <w:rsid w:val="00CE7D20"/>
    <w:rsid w:val="00CF05B8"/>
    <w:rsid w:val="00CF2011"/>
    <w:rsid w:val="00CF3021"/>
    <w:rsid w:val="00CF32DA"/>
    <w:rsid w:val="00CF38A5"/>
    <w:rsid w:val="00D001C9"/>
    <w:rsid w:val="00D01DE6"/>
    <w:rsid w:val="00D03B2E"/>
    <w:rsid w:val="00D03BF2"/>
    <w:rsid w:val="00D04268"/>
    <w:rsid w:val="00D0607F"/>
    <w:rsid w:val="00D066D8"/>
    <w:rsid w:val="00D069B8"/>
    <w:rsid w:val="00D06B9E"/>
    <w:rsid w:val="00D10E5A"/>
    <w:rsid w:val="00D1332C"/>
    <w:rsid w:val="00D16596"/>
    <w:rsid w:val="00D1677C"/>
    <w:rsid w:val="00D16C9C"/>
    <w:rsid w:val="00D16E8E"/>
    <w:rsid w:val="00D178CF"/>
    <w:rsid w:val="00D20381"/>
    <w:rsid w:val="00D20AD3"/>
    <w:rsid w:val="00D21567"/>
    <w:rsid w:val="00D2186B"/>
    <w:rsid w:val="00D22C7F"/>
    <w:rsid w:val="00D230F8"/>
    <w:rsid w:val="00D24957"/>
    <w:rsid w:val="00D25EBE"/>
    <w:rsid w:val="00D301B1"/>
    <w:rsid w:val="00D3027A"/>
    <w:rsid w:val="00D3130C"/>
    <w:rsid w:val="00D3158A"/>
    <w:rsid w:val="00D31C5B"/>
    <w:rsid w:val="00D31CAF"/>
    <w:rsid w:val="00D3255E"/>
    <w:rsid w:val="00D363DB"/>
    <w:rsid w:val="00D364E6"/>
    <w:rsid w:val="00D36EA0"/>
    <w:rsid w:val="00D37B6D"/>
    <w:rsid w:val="00D42669"/>
    <w:rsid w:val="00D4290E"/>
    <w:rsid w:val="00D434C0"/>
    <w:rsid w:val="00D434F4"/>
    <w:rsid w:val="00D436BB"/>
    <w:rsid w:val="00D4492B"/>
    <w:rsid w:val="00D45ED4"/>
    <w:rsid w:val="00D46192"/>
    <w:rsid w:val="00D51922"/>
    <w:rsid w:val="00D51F01"/>
    <w:rsid w:val="00D53118"/>
    <w:rsid w:val="00D532A5"/>
    <w:rsid w:val="00D53C04"/>
    <w:rsid w:val="00D53CD6"/>
    <w:rsid w:val="00D552E6"/>
    <w:rsid w:val="00D55BDD"/>
    <w:rsid w:val="00D5659A"/>
    <w:rsid w:val="00D566B8"/>
    <w:rsid w:val="00D6015C"/>
    <w:rsid w:val="00D6327A"/>
    <w:rsid w:val="00D63375"/>
    <w:rsid w:val="00D665B9"/>
    <w:rsid w:val="00D66E5D"/>
    <w:rsid w:val="00D712D8"/>
    <w:rsid w:val="00D714F5"/>
    <w:rsid w:val="00D72B8C"/>
    <w:rsid w:val="00D737C0"/>
    <w:rsid w:val="00D74BE8"/>
    <w:rsid w:val="00D76594"/>
    <w:rsid w:val="00D809E5"/>
    <w:rsid w:val="00D80D56"/>
    <w:rsid w:val="00D814B9"/>
    <w:rsid w:val="00D81955"/>
    <w:rsid w:val="00D86592"/>
    <w:rsid w:val="00D86A8D"/>
    <w:rsid w:val="00D86B12"/>
    <w:rsid w:val="00D87148"/>
    <w:rsid w:val="00D87D0D"/>
    <w:rsid w:val="00D90A43"/>
    <w:rsid w:val="00D90DFB"/>
    <w:rsid w:val="00D90E12"/>
    <w:rsid w:val="00D92C95"/>
    <w:rsid w:val="00D92EB7"/>
    <w:rsid w:val="00D93F53"/>
    <w:rsid w:val="00D95C08"/>
    <w:rsid w:val="00D96947"/>
    <w:rsid w:val="00D977D2"/>
    <w:rsid w:val="00D9786A"/>
    <w:rsid w:val="00DA169C"/>
    <w:rsid w:val="00DA2978"/>
    <w:rsid w:val="00DA46C8"/>
    <w:rsid w:val="00DA4990"/>
    <w:rsid w:val="00DA554D"/>
    <w:rsid w:val="00DA669C"/>
    <w:rsid w:val="00DB114A"/>
    <w:rsid w:val="00DB1B60"/>
    <w:rsid w:val="00DB5573"/>
    <w:rsid w:val="00DB5B4E"/>
    <w:rsid w:val="00DB6366"/>
    <w:rsid w:val="00DB6A35"/>
    <w:rsid w:val="00DB7380"/>
    <w:rsid w:val="00DC1F1E"/>
    <w:rsid w:val="00DC279F"/>
    <w:rsid w:val="00DC2970"/>
    <w:rsid w:val="00DC490D"/>
    <w:rsid w:val="00DC527B"/>
    <w:rsid w:val="00DC5350"/>
    <w:rsid w:val="00DC60EC"/>
    <w:rsid w:val="00DC6147"/>
    <w:rsid w:val="00DC7D07"/>
    <w:rsid w:val="00DD0F78"/>
    <w:rsid w:val="00DD1A2A"/>
    <w:rsid w:val="00DD2DBE"/>
    <w:rsid w:val="00DD397E"/>
    <w:rsid w:val="00DD5E3B"/>
    <w:rsid w:val="00DD6855"/>
    <w:rsid w:val="00DD69FA"/>
    <w:rsid w:val="00DE0433"/>
    <w:rsid w:val="00DE1B76"/>
    <w:rsid w:val="00DE1F30"/>
    <w:rsid w:val="00DE302D"/>
    <w:rsid w:val="00DE363D"/>
    <w:rsid w:val="00DE3761"/>
    <w:rsid w:val="00DE4629"/>
    <w:rsid w:val="00DE6301"/>
    <w:rsid w:val="00DE63DC"/>
    <w:rsid w:val="00DE6837"/>
    <w:rsid w:val="00DE7371"/>
    <w:rsid w:val="00DF0076"/>
    <w:rsid w:val="00DF02E6"/>
    <w:rsid w:val="00DF13A1"/>
    <w:rsid w:val="00DF2682"/>
    <w:rsid w:val="00DF26F1"/>
    <w:rsid w:val="00DF274B"/>
    <w:rsid w:val="00DF37E3"/>
    <w:rsid w:val="00DF558D"/>
    <w:rsid w:val="00DF6FED"/>
    <w:rsid w:val="00E00417"/>
    <w:rsid w:val="00E01361"/>
    <w:rsid w:val="00E0347E"/>
    <w:rsid w:val="00E045A0"/>
    <w:rsid w:val="00E04C24"/>
    <w:rsid w:val="00E04C8F"/>
    <w:rsid w:val="00E0513F"/>
    <w:rsid w:val="00E10E3A"/>
    <w:rsid w:val="00E13B98"/>
    <w:rsid w:val="00E153A5"/>
    <w:rsid w:val="00E15796"/>
    <w:rsid w:val="00E15C4C"/>
    <w:rsid w:val="00E163E1"/>
    <w:rsid w:val="00E167D0"/>
    <w:rsid w:val="00E20490"/>
    <w:rsid w:val="00E20526"/>
    <w:rsid w:val="00E20F60"/>
    <w:rsid w:val="00E22C07"/>
    <w:rsid w:val="00E25DDF"/>
    <w:rsid w:val="00E26396"/>
    <w:rsid w:val="00E26A2F"/>
    <w:rsid w:val="00E26EE5"/>
    <w:rsid w:val="00E27B3F"/>
    <w:rsid w:val="00E27E78"/>
    <w:rsid w:val="00E300E9"/>
    <w:rsid w:val="00E30AF3"/>
    <w:rsid w:val="00E314D0"/>
    <w:rsid w:val="00E31E86"/>
    <w:rsid w:val="00E3244F"/>
    <w:rsid w:val="00E3259A"/>
    <w:rsid w:val="00E3280F"/>
    <w:rsid w:val="00E33EAE"/>
    <w:rsid w:val="00E345CF"/>
    <w:rsid w:val="00E34CF8"/>
    <w:rsid w:val="00E34D90"/>
    <w:rsid w:val="00E34E55"/>
    <w:rsid w:val="00E34FB1"/>
    <w:rsid w:val="00E35219"/>
    <w:rsid w:val="00E41F79"/>
    <w:rsid w:val="00E429E5"/>
    <w:rsid w:val="00E433FC"/>
    <w:rsid w:val="00E43687"/>
    <w:rsid w:val="00E45378"/>
    <w:rsid w:val="00E45639"/>
    <w:rsid w:val="00E4658E"/>
    <w:rsid w:val="00E50A6B"/>
    <w:rsid w:val="00E51791"/>
    <w:rsid w:val="00E52494"/>
    <w:rsid w:val="00E54A36"/>
    <w:rsid w:val="00E55424"/>
    <w:rsid w:val="00E55E88"/>
    <w:rsid w:val="00E561D7"/>
    <w:rsid w:val="00E6187B"/>
    <w:rsid w:val="00E61B54"/>
    <w:rsid w:val="00E6285A"/>
    <w:rsid w:val="00E632FB"/>
    <w:rsid w:val="00E6430F"/>
    <w:rsid w:val="00E6534D"/>
    <w:rsid w:val="00E65A9D"/>
    <w:rsid w:val="00E65AA5"/>
    <w:rsid w:val="00E6776D"/>
    <w:rsid w:val="00E67EAF"/>
    <w:rsid w:val="00E71371"/>
    <w:rsid w:val="00E719CF"/>
    <w:rsid w:val="00E72B16"/>
    <w:rsid w:val="00E72CDD"/>
    <w:rsid w:val="00E73B65"/>
    <w:rsid w:val="00E75764"/>
    <w:rsid w:val="00E77D65"/>
    <w:rsid w:val="00E77F70"/>
    <w:rsid w:val="00E81C51"/>
    <w:rsid w:val="00E829AD"/>
    <w:rsid w:val="00E82B2D"/>
    <w:rsid w:val="00E82F06"/>
    <w:rsid w:val="00E849D7"/>
    <w:rsid w:val="00E85F64"/>
    <w:rsid w:val="00E86447"/>
    <w:rsid w:val="00E86AB6"/>
    <w:rsid w:val="00E878D0"/>
    <w:rsid w:val="00E9028B"/>
    <w:rsid w:val="00E90AEB"/>
    <w:rsid w:val="00E919BA"/>
    <w:rsid w:val="00E91EA3"/>
    <w:rsid w:val="00E9529F"/>
    <w:rsid w:val="00E953D8"/>
    <w:rsid w:val="00E955DB"/>
    <w:rsid w:val="00E95938"/>
    <w:rsid w:val="00E9691A"/>
    <w:rsid w:val="00E97CD4"/>
    <w:rsid w:val="00EA0AF8"/>
    <w:rsid w:val="00EA3AFB"/>
    <w:rsid w:val="00EA3BC7"/>
    <w:rsid w:val="00EA42C4"/>
    <w:rsid w:val="00EA4E01"/>
    <w:rsid w:val="00EA70A7"/>
    <w:rsid w:val="00EA721D"/>
    <w:rsid w:val="00EB2795"/>
    <w:rsid w:val="00EB2B0C"/>
    <w:rsid w:val="00EB34F1"/>
    <w:rsid w:val="00EB36B4"/>
    <w:rsid w:val="00EB36D5"/>
    <w:rsid w:val="00EB3FA2"/>
    <w:rsid w:val="00EB521C"/>
    <w:rsid w:val="00EB6314"/>
    <w:rsid w:val="00EB6390"/>
    <w:rsid w:val="00EB66C1"/>
    <w:rsid w:val="00EC1556"/>
    <w:rsid w:val="00EC3C7B"/>
    <w:rsid w:val="00EC7A80"/>
    <w:rsid w:val="00ED0073"/>
    <w:rsid w:val="00ED31D5"/>
    <w:rsid w:val="00ED41DB"/>
    <w:rsid w:val="00EE0412"/>
    <w:rsid w:val="00EE17A1"/>
    <w:rsid w:val="00EE1C12"/>
    <w:rsid w:val="00EE639C"/>
    <w:rsid w:val="00EE7C50"/>
    <w:rsid w:val="00EE8610"/>
    <w:rsid w:val="00EF2183"/>
    <w:rsid w:val="00EF440F"/>
    <w:rsid w:val="00EF50A8"/>
    <w:rsid w:val="00EF6F28"/>
    <w:rsid w:val="00F01CEB"/>
    <w:rsid w:val="00F01E96"/>
    <w:rsid w:val="00F06EF1"/>
    <w:rsid w:val="00F07067"/>
    <w:rsid w:val="00F07D6B"/>
    <w:rsid w:val="00F1184F"/>
    <w:rsid w:val="00F11F45"/>
    <w:rsid w:val="00F13066"/>
    <w:rsid w:val="00F13CFD"/>
    <w:rsid w:val="00F14AE5"/>
    <w:rsid w:val="00F1538C"/>
    <w:rsid w:val="00F1543F"/>
    <w:rsid w:val="00F1548F"/>
    <w:rsid w:val="00F157D3"/>
    <w:rsid w:val="00F2049F"/>
    <w:rsid w:val="00F20637"/>
    <w:rsid w:val="00F20AB2"/>
    <w:rsid w:val="00F253B4"/>
    <w:rsid w:val="00F25D6D"/>
    <w:rsid w:val="00F25FEA"/>
    <w:rsid w:val="00F26151"/>
    <w:rsid w:val="00F263D9"/>
    <w:rsid w:val="00F26EFF"/>
    <w:rsid w:val="00F309B0"/>
    <w:rsid w:val="00F30A54"/>
    <w:rsid w:val="00F318E9"/>
    <w:rsid w:val="00F31B53"/>
    <w:rsid w:val="00F33939"/>
    <w:rsid w:val="00F35637"/>
    <w:rsid w:val="00F41351"/>
    <w:rsid w:val="00F42341"/>
    <w:rsid w:val="00F4420A"/>
    <w:rsid w:val="00F45116"/>
    <w:rsid w:val="00F45862"/>
    <w:rsid w:val="00F46235"/>
    <w:rsid w:val="00F469DB"/>
    <w:rsid w:val="00F506B7"/>
    <w:rsid w:val="00F5251E"/>
    <w:rsid w:val="00F529DB"/>
    <w:rsid w:val="00F53B6A"/>
    <w:rsid w:val="00F545C3"/>
    <w:rsid w:val="00F56FE8"/>
    <w:rsid w:val="00F57274"/>
    <w:rsid w:val="00F6006E"/>
    <w:rsid w:val="00F60CF6"/>
    <w:rsid w:val="00F613D6"/>
    <w:rsid w:val="00F62BF1"/>
    <w:rsid w:val="00F63C6E"/>
    <w:rsid w:val="00F64379"/>
    <w:rsid w:val="00F64779"/>
    <w:rsid w:val="00F64FFA"/>
    <w:rsid w:val="00F652E6"/>
    <w:rsid w:val="00F65AD3"/>
    <w:rsid w:val="00F65C3E"/>
    <w:rsid w:val="00F67926"/>
    <w:rsid w:val="00F70B82"/>
    <w:rsid w:val="00F70BE5"/>
    <w:rsid w:val="00F70DA9"/>
    <w:rsid w:val="00F71051"/>
    <w:rsid w:val="00F71E89"/>
    <w:rsid w:val="00F72FE9"/>
    <w:rsid w:val="00F732A5"/>
    <w:rsid w:val="00F74BA0"/>
    <w:rsid w:val="00F75043"/>
    <w:rsid w:val="00F75229"/>
    <w:rsid w:val="00F75351"/>
    <w:rsid w:val="00F753DA"/>
    <w:rsid w:val="00F833CA"/>
    <w:rsid w:val="00F85BC4"/>
    <w:rsid w:val="00F86C0C"/>
    <w:rsid w:val="00F876D0"/>
    <w:rsid w:val="00F92095"/>
    <w:rsid w:val="00F930EF"/>
    <w:rsid w:val="00F95ED1"/>
    <w:rsid w:val="00F96D12"/>
    <w:rsid w:val="00FA08C3"/>
    <w:rsid w:val="00FA1401"/>
    <w:rsid w:val="00FA5498"/>
    <w:rsid w:val="00FA5AD6"/>
    <w:rsid w:val="00FB0AD1"/>
    <w:rsid w:val="00FB0C4C"/>
    <w:rsid w:val="00FB22FB"/>
    <w:rsid w:val="00FB2A57"/>
    <w:rsid w:val="00FB35DE"/>
    <w:rsid w:val="00FB52CE"/>
    <w:rsid w:val="00FB5DFF"/>
    <w:rsid w:val="00FB623A"/>
    <w:rsid w:val="00FB651F"/>
    <w:rsid w:val="00FC0385"/>
    <w:rsid w:val="00FC1E3A"/>
    <w:rsid w:val="00FC38F8"/>
    <w:rsid w:val="00FC3D43"/>
    <w:rsid w:val="00FC3D66"/>
    <w:rsid w:val="00FC482E"/>
    <w:rsid w:val="00FC540D"/>
    <w:rsid w:val="00FC6429"/>
    <w:rsid w:val="00FC6AE7"/>
    <w:rsid w:val="00FC75B9"/>
    <w:rsid w:val="00FC7B05"/>
    <w:rsid w:val="00FD1DFB"/>
    <w:rsid w:val="00FD4531"/>
    <w:rsid w:val="00FD45E4"/>
    <w:rsid w:val="00FD495A"/>
    <w:rsid w:val="00FD55D3"/>
    <w:rsid w:val="00FD5BA9"/>
    <w:rsid w:val="00FD7385"/>
    <w:rsid w:val="00FD7DA7"/>
    <w:rsid w:val="00FE0B27"/>
    <w:rsid w:val="00FE0E11"/>
    <w:rsid w:val="00FE173C"/>
    <w:rsid w:val="00FE30F6"/>
    <w:rsid w:val="00FF016E"/>
    <w:rsid w:val="00FF0244"/>
    <w:rsid w:val="00FF05AB"/>
    <w:rsid w:val="00FF4164"/>
    <w:rsid w:val="00FF6D59"/>
    <w:rsid w:val="00FF738B"/>
    <w:rsid w:val="00FF7EE6"/>
    <w:rsid w:val="010A803D"/>
    <w:rsid w:val="012F5DBC"/>
    <w:rsid w:val="01EF6993"/>
    <w:rsid w:val="0203A2DC"/>
    <w:rsid w:val="020D86CA"/>
    <w:rsid w:val="02563572"/>
    <w:rsid w:val="025E63B0"/>
    <w:rsid w:val="02CC7F33"/>
    <w:rsid w:val="0357A01E"/>
    <w:rsid w:val="042878A9"/>
    <w:rsid w:val="044679F4"/>
    <w:rsid w:val="052A2FCA"/>
    <w:rsid w:val="05493297"/>
    <w:rsid w:val="066046D6"/>
    <w:rsid w:val="06B1788B"/>
    <w:rsid w:val="06EFC7A9"/>
    <w:rsid w:val="074F8229"/>
    <w:rsid w:val="07CF6618"/>
    <w:rsid w:val="07FCF6B0"/>
    <w:rsid w:val="081139BB"/>
    <w:rsid w:val="08190D1C"/>
    <w:rsid w:val="088D1DE7"/>
    <w:rsid w:val="08C576F6"/>
    <w:rsid w:val="08F23B59"/>
    <w:rsid w:val="092A21D1"/>
    <w:rsid w:val="095BCFD2"/>
    <w:rsid w:val="09E07D7B"/>
    <w:rsid w:val="0A6AFE94"/>
    <w:rsid w:val="0A73BFB9"/>
    <w:rsid w:val="0B5ACDC9"/>
    <w:rsid w:val="0BDC75F1"/>
    <w:rsid w:val="0C3E9C46"/>
    <w:rsid w:val="0C5C2A45"/>
    <w:rsid w:val="0D927BF9"/>
    <w:rsid w:val="0DB0D6EE"/>
    <w:rsid w:val="0EEA136A"/>
    <w:rsid w:val="0EF2E8B9"/>
    <w:rsid w:val="0F2F44AD"/>
    <w:rsid w:val="0F49519A"/>
    <w:rsid w:val="0F6B884A"/>
    <w:rsid w:val="0FA242D5"/>
    <w:rsid w:val="102D52C1"/>
    <w:rsid w:val="10856BC9"/>
    <w:rsid w:val="10A26B4B"/>
    <w:rsid w:val="11ACE5D2"/>
    <w:rsid w:val="124E24F1"/>
    <w:rsid w:val="1288F836"/>
    <w:rsid w:val="13CDE60A"/>
    <w:rsid w:val="14D8179E"/>
    <w:rsid w:val="151825E8"/>
    <w:rsid w:val="1534D9DE"/>
    <w:rsid w:val="153FB48F"/>
    <w:rsid w:val="15CF3145"/>
    <w:rsid w:val="162FE1DE"/>
    <w:rsid w:val="164E466E"/>
    <w:rsid w:val="1652ED40"/>
    <w:rsid w:val="16FF450D"/>
    <w:rsid w:val="1717B195"/>
    <w:rsid w:val="17F3DFC2"/>
    <w:rsid w:val="1832F607"/>
    <w:rsid w:val="189A6554"/>
    <w:rsid w:val="19103F81"/>
    <w:rsid w:val="1950CE35"/>
    <w:rsid w:val="197ADEDF"/>
    <w:rsid w:val="199BB07D"/>
    <w:rsid w:val="19EF3C62"/>
    <w:rsid w:val="1A26F489"/>
    <w:rsid w:val="1A4E2367"/>
    <w:rsid w:val="1A89813E"/>
    <w:rsid w:val="1B36EB81"/>
    <w:rsid w:val="1BA78D8A"/>
    <w:rsid w:val="1C7D14E1"/>
    <w:rsid w:val="1CDB1AAB"/>
    <w:rsid w:val="1CEE3471"/>
    <w:rsid w:val="1D5B86A9"/>
    <w:rsid w:val="1DDF383D"/>
    <w:rsid w:val="1EC3BFCF"/>
    <w:rsid w:val="1F19E6FD"/>
    <w:rsid w:val="1F6D61CF"/>
    <w:rsid w:val="1FE7F5BC"/>
    <w:rsid w:val="204A225C"/>
    <w:rsid w:val="20C9C886"/>
    <w:rsid w:val="20FFFC40"/>
    <w:rsid w:val="2131EA0D"/>
    <w:rsid w:val="2155B103"/>
    <w:rsid w:val="21630D57"/>
    <w:rsid w:val="21CAE5D1"/>
    <w:rsid w:val="21DB075B"/>
    <w:rsid w:val="227B90E4"/>
    <w:rsid w:val="22C089FA"/>
    <w:rsid w:val="22CD3E42"/>
    <w:rsid w:val="236C7990"/>
    <w:rsid w:val="23768A8F"/>
    <w:rsid w:val="241B2A83"/>
    <w:rsid w:val="242AD1C3"/>
    <w:rsid w:val="244C0DA9"/>
    <w:rsid w:val="2480FEA4"/>
    <w:rsid w:val="24948D5E"/>
    <w:rsid w:val="2519ED21"/>
    <w:rsid w:val="2530567B"/>
    <w:rsid w:val="25B7C177"/>
    <w:rsid w:val="25C2A615"/>
    <w:rsid w:val="26499B4C"/>
    <w:rsid w:val="271AD0B9"/>
    <w:rsid w:val="27A5F743"/>
    <w:rsid w:val="2878CF18"/>
    <w:rsid w:val="287C376A"/>
    <w:rsid w:val="28E3FD05"/>
    <w:rsid w:val="2910657F"/>
    <w:rsid w:val="2937E39B"/>
    <w:rsid w:val="297F972D"/>
    <w:rsid w:val="2999CBF8"/>
    <w:rsid w:val="2A128349"/>
    <w:rsid w:val="2A41DDB0"/>
    <w:rsid w:val="2AF27F38"/>
    <w:rsid w:val="2BD322EE"/>
    <w:rsid w:val="2BEA93C5"/>
    <w:rsid w:val="2CA9E939"/>
    <w:rsid w:val="2D019C2F"/>
    <w:rsid w:val="2D46931E"/>
    <w:rsid w:val="2D810A58"/>
    <w:rsid w:val="2DC2E5C2"/>
    <w:rsid w:val="2E7BA2F0"/>
    <w:rsid w:val="2ECF6FC1"/>
    <w:rsid w:val="2FFC982F"/>
    <w:rsid w:val="3072F26E"/>
    <w:rsid w:val="3151A0A1"/>
    <w:rsid w:val="31839B69"/>
    <w:rsid w:val="318CC5F5"/>
    <w:rsid w:val="31FAE217"/>
    <w:rsid w:val="3202CA85"/>
    <w:rsid w:val="32DD41FA"/>
    <w:rsid w:val="337B28EC"/>
    <w:rsid w:val="337E3C2C"/>
    <w:rsid w:val="348FC5CE"/>
    <w:rsid w:val="34C466B7"/>
    <w:rsid w:val="3567083F"/>
    <w:rsid w:val="3663644D"/>
    <w:rsid w:val="37050A2A"/>
    <w:rsid w:val="3787FB3B"/>
    <w:rsid w:val="37B03F36"/>
    <w:rsid w:val="37E2671A"/>
    <w:rsid w:val="381B96C4"/>
    <w:rsid w:val="3849018B"/>
    <w:rsid w:val="39E211F5"/>
    <w:rsid w:val="3A7848F7"/>
    <w:rsid w:val="3AC33850"/>
    <w:rsid w:val="3B38841E"/>
    <w:rsid w:val="3B885A4D"/>
    <w:rsid w:val="3BD19996"/>
    <w:rsid w:val="3CDF1B63"/>
    <w:rsid w:val="3DC673A8"/>
    <w:rsid w:val="3DC6B436"/>
    <w:rsid w:val="3DDCBF02"/>
    <w:rsid w:val="3DEC8E4E"/>
    <w:rsid w:val="3E36DF44"/>
    <w:rsid w:val="3E5220A0"/>
    <w:rsid w:val="3E9D89AB"/>
    <w:rsid w:val="3EF542DB"/>
    <w:rsid w:val="3F155C4A"/>
    <w:rsid w:val="3F35AD35"/>
    <w:rsid w:val="3F3B7DB1"/>
    <w:rsid w:val="3F564597"/>
    <w:rsid w:val="3FC92B66"/>
    <w:rsid w:val="3FD8C08A"/>
    <w:rsid w:val="4065A9EB"/>
    <w:rsid w:val="4091449A"/>
    <w:rsid w:val="41A1D3D4"/>
    <w:rsid w:val="41CE8BB2"/>
    <w:rsid w:val="41D42A04"/>
    <w:rsid w:val="429C1719"/>
    <w:rsid w:val="43371E13"/>
    <w:rsid w:val="43D177E9"/>
    <w:rsid w:val="43FAE8AC"/>
    <w:rsid w:val="452E8663"/>
    <w:rsid w:val="460E3C29"/>
    <w:rsid w:val="46DA284F"/>
    <w:rsid w:val="471AF05E"/>
    <w:rsid w:val="473197E7"/>
    <w:rsid w:val="48322C72"/>
    <w:rsid w:val="487F6349"/>
    <w:rsid w:val="493800E2"/>
    <w:rsid w:val="49A5DB5C"/>
    <w:rsid w:val="4A226C9D"/>
    <w:rsid w:val="4A3346EA"/>
    <w:rsid w:val="4A4B3C0D"/>
    <w:rsid w:val="4AB1847F"/>
    <w:rsid w:val="4AC80A9F"/>
    <w:rsid w:val="4AD3950B"/>
    <w:rsid w:val="4B8D2AE4"/>
    <w:rsid w:val="4C763A06"/>
    <w:rsid w:val="4CF1C867"/>
    <w:rsid w:val="4DE592F1"/>
    <w:rsid w:val="4E6DE010"/>
    <w:rsid w:val="4F1738A7"/>
    <w:rsid w:val="4FA2A9C9"/>
    <w:rsid w:val="5006C841"/>
    <w:rsid w:val="50C904C3"/>
    <w:rsid w:val="510E002B"/>
    <w:rsid w:val="515CE9DD"/>
    <w:rsid w:val="51F8463E"/>
    <w:rsid w:val="522B5790"/>
    <w:rsid w:val="529339C7"/>
    <w:rsid w:val="53C50875"/>
    <w:rsid w:val="542D0840"/>
    <w:rsid w:val="54D0BA81"/>
    <w:rsid w:val="5522C371"/>
    <w:rsid w:val="55D37CFE"/>
    <w:rsid w:val="55DA552B"/>
    <w:rsid w:val="56100C15"/>
    <w:rsid w:val="571FE2D7"/>
    <w:rsid w:val="573FA6ED"/>
    <w:rsid w:val="5766128B"/>
    <w:rsid w:val="57686AF7"/>
    <w:rsid w:val="583CB82C"/>
    <w:rsid w:val="587A590D"/>
    <w:rsid w:val="58A2B453"/>
    <w:rsid w:val="5999BC3A"/>
    <w:rsid w:val="5A1DFB6B"/>
    <w:rsid w:val="5A9393B4"/>
    <w:rsid w:val="5AD821F5"/>
    <w:rsid w:val="5ADBC337"/>
    <w:rsid w:val="5AE6A570"/>
    <w:rsid w:val="5B966E66"/>
    <w:rsid w:val="5C474948"/>
    <w:rsid w:val="5C553748"/>
    <w:rsid w:val="5D03D07B"/>
    <w:rsid w:val="5DA82AD6"/>
    <w:rsid w:val="5DD7255F"/>
    <w:rsid w:val="5E8FC2AE"/>
    <w:rsid w:val="5EA45BA1"/>
    <w:rsid w:val="5F1FC38F"/>
    <w:rsid w:val="5F6AFAAB"/>
    <w:rsid w:val="5F71D280"/>
    <w:rsid w:val="5F82D588"/>
    <w:rsid w:val="601E758F"/>
    <w:rsid w:val="61297CD8"/>
    <w:rsid w:val="62D0E9B7"/>
    <w:rsid w:val="62DC2F24"/>
    <w:rsid w:val="637DF4F9"/>
    <w:rsid w:val="646FEFE4"/>
    <w:rsid w:val="64A2AB4E"/>
    <w:rsid w:val="64EF93E0"/>
    <w:rsid w:val="64F0DD69"/>
    <w:rsid w:val="6515793E"/>
    <w:rsid w:val="6550ED40"/>
    <w:rsid w:val="663C878E"/>
    <w:rsid w:val="668D09FB"/>
    <w:rsid w:val="6699A5A3"/>
    <w:rsid w:val="675DE681"/>
    <w:rsid w:val="69BBB570"/>
    <w:rsid w:val="69E52A6E"/>
    <w:rsid w:val="6A2CD5CE"/>
    <w:rsid w:val="6A72CD26"/>
    <w:rsid w:val="6B5D0784"/>
    <w:rsid w:val="6BBC66D5"/>
    <w:rsid w:val="6BFDF247"/>
    <w:rsid w:val="6C06B001"/>
    <w:rsid w:val="6C4A7E7B"/>
    <w:rsid w:val="6CF62B64"/>
    <w:rsid w:val="6CFA4453"/>
    <w:rsid w:val="6D097E72"/>
    <w:rsid w:val="6DE14028"/>
    <w:rsid w:val="6EF9191C"/>
    <w:rsid w:val="6FF1E224"/>
    <w:rsid w:val="706AD294"/>
    <w:rsid w:val="708315EB"/>
    <w:rsid w:val="70B99787"/>
    <w:rsid w:val="70FD34C5"/>
    <w:rsid w:val="71D655A3"/>
    <w:rsid w:val="723BB11E"/>
    <w:rsid w:val="7270EDE1"/>
    <w:rsid w:val="729889D8"/>
    <w:rsid w:val="72A00883"/>
    <w:rsid w:val="72BC77C1"/>
    <w:rsid w:val="73519C6E"/>
    <w:rsid w:val="740F92BA"/>
    <w:rsid w:val="74B735E9"/>
    <w:rsid w:val="74CE9D76"/>
    <w:rsid w:val="74FD775E"/>
    <w:rsid w:val="754566F4"/>
    <w:rsid w:val="77469C04"/>
    <w:rsid w:val="776337AD"/>
    <w:rsid w:val="77E6054B"/>
    <w:rsid w:val="7872254D"/>
    <w:rsid w:val="789C7940"/>
    <w:rsid w:val="78B8C0D2"/>
    <w:rsid w:val="792EB935"/>
    <w:rsid w:val="79BB0842"/>
    <w:rsid w:val="79BBC937"/>
    <w:rsid w:val="7A6A6774"/>
    <w:rsid w:val="7B229B3E"/>
    <w:rsid w:val="7C6EDE27"/>
    <w:rsid w:val="7CA00EA6"/>
    <w:rsid w:val="7CAA4934"/>
    <w:rsid w:val="7D28D083"/>
    <w:rsid w:val="7D46ED24"/>
    <w:rsid w:val="7DE604F8"/>
    <w:rsid w:val="7E2FFE0B"/>
    <w:rsid w:val="7EAB2204"/>
    <w:rsid w:val="7ECC0219"/>
    <w:rsid w:val="7F1E94AF"/>
    <w:rsid w:val="7F26D818"/>
    <w:rsid w:val="7F813C90"/>
    <w:rsid w:val="7F8570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DDAC6112-5773-4BD2-94AE-5FD04817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E19C1"/>
    <w:pPr>
      <w:spacing w:after="0" w:line="240" w:lineRule="auto"/>
    </w:pPr>
    <w:rPr>
      <w:rFonts w:ascii="Times New Roman" w:hAnsi="Times New Roman" w:cs="Times New Roman"/>
      <w:sz w:val="24"/>
    </w:rPr>
  </w:style>
  <w:style w:type="paragraph" w:customStyle="1" w:styleId="norm">
    <w:name w:val="norm"/>
    <w:basedOn w:val="Normal"/>
    <w:rsid w:val="004A5BCC"/>
    <w:pPr>
      <w:spacing w:before="100" w:beforeAutospacing="1" w:after="100" w:afterAutospacing="1"/>
      <w:jc w:val="left"/>
    </w:pPr>
    <w:rPr>
      <w:rFonts w:eastAsia="Times New Roman"/>
      <w:szCs w:val="24"/>
      <w:lang w:eastAsia="en-IE"/>
    </w:rPr>
  </w:style>
  <w:style w:type="character" w:customStyle="1" w:styleId="no-parag">
    <w:name w:val="no-parag"/>
    <w:basedOn w:val="DefaultParagraphFont"/>
    <w:rsid w:val="00524430"/>
  </w:style>
  <w:style w:type="character" w:styleId="Hyperlink">
    <w:name w:val="Hyperlink"/>
    <w:basedOn w:val="DefaultParagraphFont"/>
    <w:uiPriority w:val="99"/>
    <w:unhideWhenUsed/>
    <w:rsid w:val="00E13B98"/>
    <w:rPr>
      <w:color w:val="0000FF"/>
      <w:u w:val="single"/>
    </w:rPr>
  </w:style>
  <w:style w:type="character" w:customStyle="1" w:styleId="superscript">
    <w:name w:val="superscript"/>
    <w:basedOn w:val="DefaultParagraphFont"/>
    <w:rsid w:val="00E13B98"/>
  </w:style>
  <w:style w:type="paragraph" w:styleId="ListBullet">
    <w:name w:val="List Bullet"/>
    <w:basedOn w:val="Normal"/>
    <w:uiPriority w:val="99"/>
    <w:semiHidden/>
    <w:unhideWhenUsed/>
    <w:rsid w:val="00DD6855"/>
    <w:pPr>
      <w:numPr>
        <w:numId w:val="1"/>
      </w:numPr>
      <w:contextualSpacing/>
    </w:pPr>
  </w:style>
  <w:style w:type="paragraph" w:styleId="ListBullet2">
    <w:name w:val="List Bullet 2"/>
    <w:basedOn w:val="Normal"/>
    <w:uiPriority w:val="99"/>
    <w:semiHidden/>
    <w:unhideWhenUsed/>
    <w:rsid w:val="00DD6855"/>
    <w:pPr>
      <w:numPr>
        <w:numId w:val="2"/>
      </w:numPr>
      <w:contextualSpacing/>
    </w:pPr>
  </w:style>
  <w:style w:type="paragraph" w:styleId="ListBullet3">
    <w:name w:val="List Bullet 3"/>
    <w:basedOn w:val="Normal"/>
    <w:uiPriority w:val="99"/>
    <w:semiHidden/>
    <w:unhideWhenUsed/>
    <w:rsid w:val="00DD6855"/>
    <w:pPr>
      <w:numPr>
        <w:numId w:val="3"/>
      </w:numPr>
      <w:contextualSpacing/>
    </w:pPr>
  </w:style>
  <w:style w:type="paragraph" w:styleId="ListBullet4">
    <w:name w:val="List Bullet 4"/>
    <w:basedOn w:val="Normal"/>
    <w:uiPriority w:val="99"/>
    <w:semiHidden/>
    <w:unhideWhenUsed/>
    <w:rsid w:val="00DD6855"/>
    <w:pPr>
      <w:numPr>
        <w:numId w:val="4"/>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l-SI"/>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92977"/>
    <w:rPr>
      <w:b/>
      <w:bCs/>
    </w:rPr>
  </w:style>
  <w:style w:type="character" w:customStyle="1" w:styleId="CommentSubjectChar">
    <w:name w:val="Comment Subject Char"/>
    <w:basedOn w:val="CommentTextChar"/>
    <w:link w:val="CommentSubject"/>
    <w:uiPriority w:val="99"/>
    <w:semiHidden/>
    <w:rsid w:val="00292977"/>
    <w:rPr>
      <w:rFonts w:ascii="Times New Roman" w:hAnsi="Times New Roman" w:cs="Times New Roman"/>
      <w:b/>
      <w:bCs/>
      <w:sz w:val="20"/>
      <w:szCs w:val="20"/>
      <w:lang w:val="sl-SI"/>
    </w:rPr>
  </w:style>
  <w:style w:type="paragraph" w:styleId="ListParagraph">
    <w:name w:val="List Paragraph"/>
    <w:basedOn w:val="Normal"/>
    <w:uiPriority w:val="34"/>
    <w:qFormat/>
    <w:rsid w:val="00D6015C"/>
    <w:pPr>
      <w:ind w:left="720"/>
      <w:contextualSpacing/>
    </w:pPr>
  </w:style>
  <w:style w:type="character" w:customStyle="1" w:styleId="UnresolvedMention">
    <w:name w:val="Unresolved Mention"/>
    <w:basedOn w:val="DefaultParagraphFont"/>
    <w:uiPriority w:val="99"/>
    <w:semiHidden/>
    <w:unhideWhenUsed/>
    <w:rsid w:val="009D0DFE"/>
    <w:rPr>
      <w:color w:val="605E5C"/>
      <w:shd w:val="clear" w:color="auto" w:fill="E1DFDD"/>
    </w:rPr>
  </w:style>
  <w:style w:type="paragraph" w:customStyle="1" w:styleId="Normal1">
    <w:name w:val="Normal1"/>
    <w:basedOn w:val="Normal"/>
    <w:rsid w:val="00D363DB"/>
    <w:pPr>
      <w:spacing w:before="100" w:beforeAutospacing="1" w:after="100" w:afterAutospacing="1"/>
      <w:jc w:val="left"/>
    </w:pPr>
    <w:rPr>
      <w:rFonts w:eastAsia="Times New Roman"/>
      <w:szCs w:val="24"/>
      <w:lang w:eastAsia="en-IE"/>
    </w:rPr>
  </w:style>
  <w:style w:type="character" w:customStyle="1" w:styleId="Mention">
    <w:name w:val="Mention"/>
    <w:basedOn w:val="DefaultParagraphFont"/>
    <w:uiPriority w:val="99"/>
    <w:unhideWhenUsed/>
    <w:rsid w:val="00852CF3"/>
    <w:rPr>
      <w:color w:val="2B579A"/>
      <w:shd w:val="clear" w:color="auto" w:fill="E1DFDD"/>
    </w:rPr>
  </w:style>
  <w:style w:type="character" w:styleId="FollowedHyperlink">
    <w:name w:val="FollowedHyperlink"/>
    <w:basedOn w:val="DefaultParagraphFont"/>
    <w:uiPriority w:val="99"/>
    <w:semiHidden/>
    <w:unhideWhenUsed/>
    <w:rsid w:val="00700C42"/>
    <w:rPr>
      <w:color w:val="800080" w:themeColor="followedHyperlink"/>
      <w:u w:val="single"/>
    </w:rPr>
  </w:style>
  <w:style w:type="character" w:customStyle="1" w:styleId="HeaderChar">
    <w:name w:val="Header Char"/>
    <w:basedOn w:val="DefaultParagraphFont"/>
    <w:link w:val="Header"/>
    <w:uiPriority w:val="99"/>
    <w:rsid w:val="00321C5F"/>
    <w:rPr>
      <w:rFonts w:ascii="Times New Roman" w:hAnsi="Times New Roman" w:cs="Times New Roman"/>
      <w:sz w:val="24"/>
      <w:lang w:val="sl-SI"/>
    </w:rPr>
  </w:style>
  <w:style w:type="character" w:customStyle="1" w:styleId="FooterChar">
    <w:name w:val="Footer Char"/>
    <w:basedOn w:val="DefaultParagraphFont"/>
    <w:link w:val="Footer"/>
    <w:uiPriority w:val="99"/>
    <w:rsid w:val="00321C5F"/>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l-S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l-S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l-S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l-S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l-S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l-S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l-S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21C5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21C5F"/>
    <w:pPr>
      <w:spacing w:before="0"/>
      <w:jc w:val="right"/>
    </w:pPr>
    <w:rPr>
      <w:sz w:val="28"/>
    </w:rPr>
  </w:style>
  <w:style w:type="paragraph" w:customStyle="1" w:styleId="FooterSensitivity">
    <w:name w:val="Footer Sensitivity"/>
    <w:basedOn w:val="Normal"/>
    <w:rsid w:val="00321C5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ret5">
    <w:name w:val="Tiret 5"/>
    <w:basedOn w:val="Point5"/>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NumPar5">
    <w:name w:val="NumPar 5"/>
    <w:basedOn w:val="Normal"/>
    <w:next w:val="Text2"/>
    <w:pPr>
      <w:numPr>
        <w:ilvl w:val="4"/>
        <w:numId w:val="14"/>
      </w:numPr>
    </w:pPr>
  </w:style>
  <w:style w:type="paragraph" w:customStyle="1" w:styleId="NumPar6">
    <w:name w:val="NumPar 6"/>
    <w:basedOn w:val="Normal"/>
    <w:next w:val="Text2"/>
    <w:pPr>
      <w:numPr>
        <w:ilvl w:val="5"/>
        <w:numId w:val="14"/>
      </w:numPr>
    </w:pPr>
  </w:style>
  <w:style w:type="paragraph" w:customStyle="1" w:styleId="NumPar7">
    <w:name w:val="NumPar 7"/>
    <w:basedOn w:val="Normal"/>
    <w:next w:val="Text2"/>
    <w:pPr>
      <w:numPr>
        <w:ilvl w:val="6"/>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321C5F"/>
    <w:pPr>
      <w:tabs>
        <w:tab w:val="center" w:pos="4535"/>
        <w:tab w:val="right" w:pos="9071"/>
      </w:tabs>
      <w:spacing w:before="0"/>
    </w:pPr>
  </w:style>
  <w:style w:type="paragraph" w:customStyle="1" w:styleId="HeaderLandscape">
    <w:name w:val="HeaderLandscape"/>
    <w:basedOn w:val="Normal"/>
    <w:rsid w:val="00321C5F"/>
    <w:pPr>
      <w:tabs>
        <w:tab w:val="center" w:pos="7285"/>
        <w:tab w:val="right" w:pos="14003"/>
      </w:tabs>
      <w:spacing w:before="0"/>
    </w:pPr>
  </w:style>
  <w:style w:type="paragraph" w:styleId="Footer">
    <w:name w:val="footer"/>
    <w:basedOn w:val="Normal"/>
    <w:link w:val="FooterChar"/>
    <w:uiPriority w:val="99"/>
    <w:unhideWhenUsed/>
    <w:rsid w:val="00321C5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321C5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3563">
      <w:bodyDiv w:val="1"/>
      <w:marLeft w:val="0"/>
      <w:marRight w:val="0"/>
      <w:marTop w:val="0"/>
      <w:marBottom w:val="0"/>
      <w:divBdr>
        <w:top w:val="none" w:sz="0" w:space="0" w:color="auto"/>
        <w:left w:val="none" w:sz="0" w:space="0" w:color="auto"/>
        <w:bottom w:val="none" w:sz="0" w:space="0" w:color="auto"/>
        <w:right w:val="none" w:sz="0" w:space="0" w:color="auto"/>
      </w:divBdr>
    </w:div>
    <w:div w:id="203179400">
      <w:bodyDiv w:val="1"/>
      <w:marLeft w:val="0"/>
      <w:marRight w:val="0"/>
      <w:marTop w:val="0"/>
      <w:marBottom w:val="0"/>
      <w:divBdr>
        <w:top w:val="none" w:sz="0" w:space="0" w:color="auto"/>
        <w:left w:val="none" w:sz="0" w:space="0" w:color="auto"/>
        <w:bottom w:val="none" w:sz="0" w:space="0" w:color="auto"/>
        <w:right w:val="none" w:sz="0" w:space="0" w:color="auto"/>
      </w:divBdr>
      <w:divsChild>
        <w:div w:id="1039089639">
          <w:marLeft w:val="0"/>
          <w:marRight w:val="0"/>
          <w:marTop w:val="0"/>
          <w:marBottom w:val="0"/>
          <w:divBdr>
            <w:top w:val="none" w:sz="0" w:space="0" w:color="auto"/>
            <w:left w:val="none" w:sz="0" w:space="0" w:color="auto"/>
            <w:bottom w:val="none" w:sz="0" w:space="0" w:color="auto"/>
            <w:right w:val="none" w:sz="0" w:space="0" w:color="auto"/>
          </w:divBdr>
        </w:div>
      </w:divsChild>
    </w:div>
    <w:div w:id="268591127">
      <w:bodyDiv w:val="1"/>
      <w:marLeft w:val="0"/>
      <w:marRight w:val="0"/>
      <w:marTop w:val="0"/>
      <w:marBottom w:val="0"/>
      <w:divBdr>
        <w:top w:val="none" w:sz="0" w:space="0" w:color="auto"/>
        <w:left w:val="none" w:sz="0" w:space="0" w:color="auto"/>
        <w:bottom w:val="none" w:sz="0" w:space="0" w:color="auto"/>
        <w:right w:val="none" w:sz="0" w:space="0" w:color="auto"/>
      </w:divBdr>
      <w:divsChild>
        <w:div w:id="931622511">
          <w:marLeft w:val="0"/>
          <w:marRight w:val="0"/>
          <w:marTop w:val="0"/>
          <w:marBottom w:val="0"/>
          <w:divBdr>
            <w:top w:val="none" w:sz="0" w:space="0" w:color="auto"/>
            <w:left w:val="none" w:sz="0" w:space="0" w:color="auto"/>
            <w:bottom w:val="none" w:sz="0" w:space="0" w:color="auto"/>
            <w:right w:val="none" w:sz="0" w:space="0" w:color="auto"/>
          </w:divBdr>
          <w:divsChild>
            <w:div w:id="619148397">
              <w:marLeft w:val="0"/>
              <w:marRight w:val="0"/>
              <w:marTop w:val="0"/>
              <w:marBottom w:val="0"/>
              <w:divBdr>
                <w:top w:val="none" w:sz="0" w:space="0" w:color="auto"/>
                <w:left w:val="none" w:sz="0" w:space="0" w:color="auto"/>
                <w:bottom w:val="none" w:sz="0" w:space="0" w:color="auto"/>
                <w:right w:val="none" w:sz="0" w:space="0" w:color="auto"/>
              </w:divBdr>
            </w:div>
          </w:divsChild>
        </w:div>
        <w:div w:id="1110126278">
          <w:marLeft w:val="0"/>
          <w:marRight w:val="0"/>
          <w:marTop w:val="0"/>
          <w:marBottom w:val="0"/>
          <w:divBdr>
            <w:top w:val="none" w:sz="0" w:space="0" w:color="auto"/>
            <w:left w:val="none" w:sz="0" w:space="0" w:color="auto"/>
            <w:bottom w:val="none" w:sz="0" w:space="0" w:color="auto"/>
            <w:right w:val="none" w:sz="0" w:space="0" w:color="auto"/>
          </w:divBdr>
          <w:divsChild>
            <w:div w:id="1187676124">
              <w:marLeft w:val="0"/>
              <w:marRight w:val="0"/>
              <w:marTop w:val="0"/>
              <w:marBottom w:val="0"/>
              <w:divBdr>
                <w:top w:val="none" w:sz="0" w:space="0" w:color="auto"/>
                <w:left w:val="none" w:sz="0" w:space="0" w:color="auto"/>
                <w:bottom w:val="none" w:sz="0" w:space="0" w:color="auto"/>
                <w:right w:val="none" w:sz="0" w:space="0" w:color="auto"/>
              </w:divBdr>
            </w:div>
          </w:divsChild>
        </w:div>
        <w:div w:id="1247030802">
          <w:marLeft w:val="0"/>
          <w:marRight w:val="0"/>
          <w:marTop w:val="0"/>
          <w:marBottom w:val="0"/>
          <w:divBdr>
            <w:top w:val="none" w:sz="0" w:space="0" w:color="auto"/>
            <w:left w:val="none" w:sz="0" w:space="0" w:color="auto"/>
            <w:bottom w:val="none" w:sz="0" w:space="0" w:color="auto"/>
            <w:right w:val="none" w:sz="0" w:space="0" w:color="auto"/>
          </w:divBdr>
          <w:divsChild>
            <w:div w:id="182282232">
              <w:marLeft w:val="0"/>
              <w:marRight w:val="0"/>
              <w:marTop w:val="0"/>
              <w:marBottom w:val="0"/>
              <w:divBdr>
                <w:top w:val="none" w:sz="0" w:space="0" w:color="auto"/>
                <w:left w:val="none" w:sz="0" w:space="0" w:color="auto"/>
                <w:bottom w:val="none" w:sz="0" w:space="0" w:color="auto"/>
                <w:right w:val="none" w:sz="0" w:space="0" w:color="auto"/>
              </w:divBdr>
            </w:div>
          </w:divsChild>
        </w:div>
        <w:div w:id="1449472189">
          <w:marLeft w:val="0"/>
          <w:marRight w:val="0"/>
          <w:marTop w:val="0"/>
          <w:marBottom w:val="0"/>
          <w:divBdr>
            <w:top w:val="none" w:sz="0" w:space="0" w:color="auto"/>
            <w:left w:val="none" w:sz="0" w:space="0" w:color="auto"/>
            <w:bottom w:val="none" w:sz="0" w:space="0" w:color="auto"/>
            <w:right w:val="none" w:sz="0" w:space="0" w:color="auto"/>
          </w:divBdr>
          <w:divsChild>
            <w:div w:id="1697921514">
              <w:marLeft w:val="0"/>
              <w:marRight w:val="0"/>
              <w:marTop w:val="0"/>
              <w:marBottom w:val="0"/>
              <w:divBdr>
                <w:top w:val="none" w:sz="0" w:space="0" w:color="auto"/>
                <w:left w:val="none" w:sz="0" w:space="0" w:color="auto"/>
                <w:bottom w:val="none" w:sz="0" w:space="0" w:color="auto"/>
                <w:right w:val="none" w:sz="0" w:space="0" w:color="auto"/>
              </w:divBdr>
            </w:div>
          </w:divsChild>
        </w:div>
        <w:div w:id="1506674889">
          <w:marLeft w:val="0"/>
          <w:marRight w:val="0"/>
          <w:marTop w:val="0"/>
          <w:marBottom w:val="0"/>
          <w:divBdr>
            <w:top w:val="none" w:sz="0" w:space="0" w:color="auto"/>
            <w:left w:val="none" w:sz="0" w:space="0" w:color="auto"/>
            <w:bottom w:val="none" w:sz="0" w:space="0" w:color="auto"/>
            <w:right w:val="none" w:sz="0" w:space="0" w:color="auto"/>
          </w:divBdr>
          <w:divsChild>
            <w:div w:id="2017534183">
              <w:marLeft w:val="0"/>
              <w:marRight w:val="0"/>
              <w:marTop w:val="0"/>
              <w:marBottom w:val="0"/>
              <w:divBdr>
                <w:top w:val="none" w:sz="0" w:space="0" w:color="auto"/>
                <w:left w:val="none" w:sz="0" w:space="0" w:color="auto"/>
                <w:bottom w:val="none" w:sz="0" w:space="0" w:color="auto"/>
                <w:right w:val="none" w:sz="0" w:space="0" w:color="auto"/>
              </w:divBdr>
            </w:div>
          </w:divsChild>
        </w:div>
        <w:div w:id="2085645300">
          <w:marLeft w:val="0"/>
          <w:marRight w:val="0"/>
          <w:marTop w:val="0"/>
          <w:marBottom w:val="0"/>
          <w:divBdr>
            <w:top w:val="none" w:sz="0" w:space="0" w:color="auto"/>
            <w:left w:val="none" w:sz="0" w:space="0" w:color="auto"/>
            <w:bottom w:val="none" w:sz="0" w:space="0" w:color="auto"/>
            <w:right w:val="none" w:sz="0" w:space="0" w:color="auto"/>
          </w:divBdr>
          <w:divsChild>
            <w:div w:id="12155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588">
      <w:bodyDiv w:val="1"/>
      <w:marLeft w:val="0"/>
      <w:marRight w:val="0"/>
      <w:marTop w:val="0"/>
      <w:marBottom w:val="0"/>
      <w:divBdr>
        <w:top w:val="none" w:sz="0" w:space="0" w:color="auto"/>
        <w:left w:val="none" w:sz="0" w:space="0" w:color="auto"/>
        <w:bottom w:val="none" w:sz="0" w:space="0" w:color="auto"/>
        <w:right w:val="none" w:sz="0" w:space="0" w:color="auto"/>
      </w:divBdr>
      <w:divsChild>
        <w:div w:id="2004972604">
          <w:marLeft w:val="0"/>
          <w:marRight w:val="0"/>
          <w:marTop w:val="0"/>
          <w:marBottom w:val="0"/>
          <w:divBdr>
            <w:top w:val="none" w:sz="0" w:space="0" w:color="auto"/>
            <w:left w:val="none" w:sz="0" w:space="0" w:color="auto"/>
            <w:bottom w:val="none" w:sz="0" w:space="0" w:color="auto"/>
            <w:right w:val="none" w:sz="0" w:space="0" w:color="auto"/>
          </w:divBdr>
        </w:div>
      </w:divsChild>
    </w:div>
    <w:div w:id="772019893">
      <w:bodyDiv w:val="1"/>
      <w:marLeft w:val="0"/>
      <w:marRight w:val="0"/>
      <w:marTop w:val="0"/>
      <w:marBottom w:val="0"/>
      <w:divBdr>
        <w:top w:val="none" w:sz="0" w:space="0" w:color="auto"/>
        <w:left w:val="none" w:sz="0" w:space="0" w:color="auto"/>
        <w:bottom w:val="none" w:sz="0" w:space="0" w:color="auto"/>
        <w:right w:val="none" w:sz="0" w:space="0" w:color="auto"/>
      </w:divBdr>
      <w:divsChild>
        <w:div w:id="188032100">
          <w:marLeft w:val="0"/>
          <w:marRight w:val="0"/>
          <w:marTop w:val="0"/>
          <w:marBottom w:val="0"/>
          <w:divBdr>
            <w:top w:val="none" w:sz="0" w:space="0" w:color="auto"/>
            <w:left w:val="none" w:sz="0" w:space="0" w:color="auto"/>
            <w:bottom w:val="none" w:sz="0" w:space="0" w:color="auto"/>
            <w:right w:val="none" w:sz="0" w:space="0" w:color="auto"/>
          </w:divBdr>
          <w:divsChild>
            <w:div w:id="1308587730">
              <w:marLeft w:val="0"/>
              <w:marRight w:val="0"/>
              <w:marTop w:val="0"/>
              <w:marBottom w:val="0"/>
              <w:divBdr>
                <w:top w:val="none" w:sz="0" w:space="0" w:color="auto"/>
                <w:left w:val="none" w:sz="0" w:space="0" w:color="auto"/>
                <w:bottom w:val="none" w:sz="0" w:space="0" w:color="auto"/>
                <w:right w:val="none" w:sz="0" w:space="0" w:color="auto"/>
              </w:divBdr>
            </w:div>
          </w:divsChild>
        </w:div>
        <w:div w:id="888228090">
          <w:marLeft w:val="0"/>
          <w:marRight w:val="0"/>
          <w:marTop w:val="0"/>
          <w:marBottom w:val="0"/>
          <w:divBdr>
            <w:top w:val="none" w:sz="0" w:space="0" w:color="auto"/>
            <w:left w:val="none" w:sz="0" w:space="0" w:color="auto"/>
            <w:bottom w:val="none" w:sz="0" w:space="0" w:color="auto"/>
            <w:right w:val="none" w:sz="0" w:space="0" w:color="auto"/>
          </w:divBdr>
          <w:divsChild>
            <w:div w:id="102307676">
              <w:marLeft w:val="0"/>
              <w:marRight w:val="0"/>
              <w:marTop w:val="0"/>
              <w:marBottom w:val="0"/>
              <w:divBdr>
                <w:top w:val="none" w:sz="0" w:space="0" w:color="auto"/>
                <w:left w:val="none" w:sz="0" w:space="0" w:color="auto"/>
                <w:bottom w:val="none" w:sz="0" w:space="0" w:color="auto"/>
                <w:right w:val="none" w:sz="0" w:space="0" w:color="auto"/>
              </w:divBdr>
            </w:div>
          </w:divsChild>
        </w:div>
        <w:div w:id="1085766798">
          <w:marLeft w:val="0"/>
          <w:marRight w:val="0"/>
          <w:marTop w:val="0"/>
          <w:marBottom w:val="0"/>
          <w:divBdr>
            <w:top w:val="none" w:sz="0" w:space="0" w:color="auto"/>
            <w:left w:val="none" w:sz="0" w:space="0" w:color="auto"/>
            <w:bottom w:val="none" w:sz="0" w:space="0" w:color="auto"/>
            <w:right w:val="none" w:sz="0" w:space="0" w:color="auto"/>
          </w:divBdr>
          <w:divsChild>
            <w:div w:id="65853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9687">
      <w:bodyDiv w:val="1"/>
      <w:marLeft w:val="0"/>
      <w:marRight w:val="0"/>
      <w:marTop w:val="0"/>
      <w:marBottom w:val="0"/>
      <w:divBdr>
        <w:top w:val="none" w:sz="0" w:space="0" w:color="auto"/>
        <w:left w:val="none" w:sz="0" w:space="0" w:color="auto"/>
        <w:bottom w:val="none" w:sz="0" w:space="0" w:color="auto"/>
        <w:right w:val="none" w:sz="0" w:space="0" w:color="auto"/>
      </w:divBdr>
      <w:divsChild>
        <w:div w:id="1474062314">
          <w:marLeft w:val="0"/>
          <w:marRight w:val="0"/>
          <w:marTop w:val="0"/>
          <w:marBottom w:val="0"/>
          <w:divBdr>
            <w:top w:val="none" w:sz="0" w:space="0" w:color="auto"/>
            <w:left w:val="none" w:sz="0" w:space="0" w:color="auto"/>
            <w:bottom w:val="none" w:sz="0" w:space="0" w:color="auto"/>
            <w:right w:val="none" w:sz="0" w:space="0" w:color="auto"/>
          </w:divBdr>
        </w:div>
      </w:divsChild>
    </w:div>
    <w:div w:id="1085692101">
      <w:bodyDiv w:val="1"/>
      <w:marLeft w:val="0"/>
      <w:marRight w:val="0"/>
      <w:marTop w:val="0"/>
      <w:marBottom w:val="0"/>
      <w:divBdr>
        <w:top w:val="none" w:sz="0" w:space="0" w:color="auto"/>
        <w:left w:val="none" w:sz="0" w:space="0" w:color="auto"/>
        <w:bottom w:val="none" w:sz="0" w:space="0" w:color="auto"/>
        <w:right w:val="none" w:sz="0" w:space="0" w:color="auto"/>
      </w:divBdr>
      <w:divsChild>
        <w:div w:id="580913554">
          <w:marLeft w:val="0"/>
          <w:marRight w:val="0"/>
          <w:marTop w:val="0"/>
          <w:marBottom w:val="0"/>
          <w:divBdr>
            <w:top w:val="none" w:sz="0" w:space="0" w:color="auto"/>
            <w:left w:val="none" w:sz="0" w:space="0" w:color="auto"/>
            <w:bottom w:val="none" w:sz="0" w:space="0" w:color="auto"/>
            <w:right w:val="none" w:sz="0" w:space="0" w:color="auto"/>
          </w:divBdr>
          <w:divsChild>
            <w:div w:id="1624926450">
              <w:marLeft w:val="0"/>
              <w:marRight w:val="0"/>
              <w:marTop w:val="0"/>
              <w:marBottom w:val="0"/>
              <w:divBdr>
                <w:top w:val="none" w:sz="0" w:space="0" w:color="auto"/>
                <w:left w:val="none" w:sz="0" w:space="0" w:color="auto"/>
                <w:bottom w:val="none" w:sz="0" w:space="0" w:color="auto"/>
                <w:right w:val="none" w:sz="0" w:space="0" w:color="auto"/>
              </w:divBdr>
            </w:div>
            <w:div w:id="2013953145">
              <w:marLeft w:val="0"/>
              <w:marRight w:val="0"/>
              <w:marTop w:val="120"/>
              <w:marBottom w:val="0"/>
              <w:divBdr>
                <w:top w:val="none" w:sz="0" w:space="0" w:color="auto"/>
                <w:left w:val="none" w:sz="0" w:space="0" w:color="auto"/>
                <w:bottom w:val="none" w:sz="0" w:space="0" w:color="auto"/>
                <w:right w:val="none" w:sz="0" w:space="0" w:color="auto"/>
              </w:divBdr>
            </w:div>
          </w:divsChild>
        </w:div>
        <w:div w:id="1184979369">
          <w:marLeft w:val="0"/>
          <w:marRight w:val="0"/>
          <w:marTop w:val="0"/>
          <w:marBottom w:val="0"/>
          <w:divBdr>
            <w:top w:val="none" w:sz="0" w:space="0" w:color="auto"/>
            <w:left w:val="none" w:sz="0" w:space="0" w:color="auto"/>
            <w:bottom w:val="none" w:sz="0" w:space="0" w:color="auto"/>
            <w:right w:val="none" w:sz="0" w:space="0" w:color="auto"/>
          </w:divBdr>
          <w:divsChild>
            <w:div w:id="515728393">
              <w:marLeft w:val="0"/>
              <w:marRight w:val="0"/>
              <w:marTop w:val="0"/>
              <w:marBottom w:val="0"/>
              <w:divBdr>
                <w:top w:val="none" w:sz="0" w:space="0" w:color="auto"/>
                <w:left w:val="none" w:sz="0" w:space="0" w:color="auto"/>
                <w:bottom w:val="none" w:sz="0" w:space="0" w:color="auto"/>
                <w:right w:val="none" w:sz="0" w:space="0" w:color="auto"/>
              </w:divBdr>
            </w:div>
            <w:div w:id="1015501497">
              <w:marLeft w:val="0"/>
              <w:marRight w:val="0"/>
              <w:marTop w:val="120"/>
              <w:marBottom w:val="0"/>
              <w:divBdr>
                <w:top w:val="none" w:sz="0" w:space="0" w:color="auto"/>
                <w:left w:val="none" w:sz="0" w:space="0" w:color="auto"/>
                <w:bottom w:val="none" w:sz="0" w:space="0" w:color="auto"/>
                <w:right w:val="none" w:sz="0" w:space="0" w:color="auto"/>
              </w:divBdr>
            </w:div>
          </w:divsChild>
        </w:div>
        <w:div w:id="1341738770">
          <w:marLeft w:val="0"/>
          <w:marRight w:val="0"/>
          <w:marTop w:val="0"/>
          <w:marBottom w:val="0"/>
          <w:divBdr>
            <w:top w:val="none" w:sz="0" w:space="0" w:color="auto"/>
            <w:left w:val="none" w:sz="0" w:space="0" w:color="auto"/>
            <w:bottom w:val="none" w:sz="0" w:space="0" w:color="auto"/>
            <w:right w:val="none" w:sz="0" w:space="0" w:color="auto"/>
          </w:divBdr>
          <w:divsChild>
            <w:div w:id="741105179">
              <w:marLeft w:val="0"/>
              <w:marRight w:val="0"/>
              <w:marTop w:val="120"/>
              <w:marBottom w:val="0"/>
              <w:divBdr>
                <w:top w:val="none" w:sz="0" w:space="0" w:color="auto"/>
                <w:left w:val="none" w:sz="0" w:space="0" w:color="auto"/>
                <w:bottom w:val="none" w:sz="0" w:space="0" w:color="auto"/>
                <w:right w:val="none" w:sz="0" w:space="0" w:color="auto"/>
              </w:divBdr>
            </w:div>
            <w:div w:id="1746144826">
              <w:marLeft w:val="0"/>
              <w:marRight w:val="0"/>
              <w:marTop w:val="0"/>
              <w:marBottom w:val="0"/>
              <w:divBdr>
                <w:top w:val="none" w:sz="0" w:space="0" w:color="auto"/>
                <w:left w:val="none" w:sz="0" w:space="0" w:color="auto"/>
                <w:bottom w:val="none" w:sz="0" w:space="0" w:color="auto"/>
                <w:right w:val="none" w:sz="0" w:space="0" w:color="auto"/>
              </w:divBdr>
            </w:div>
          </w:divsChild>
        </w:div>
        <w:div w:id="1662078769">
          <w:marLeft w:val="0"/>
          <w:marRight w:val="0"/>
          <w:marTop w:val="0"/>
          <w:marBottom w:val="0"/>
          <w:divBdr>
            <w:top w:val="none" w:sz="0" w:space="0" w:color="auto"/>
            <w:left w:val="none" w:sz="0" w:space="0" w:color="auto"/>
            <w:bottom w:val="none" w:sz="0" w:space="0" w:color="auto"/>
            <w:right w:val="none" w:sz="0" w:space="0" w:color="auto"/>
          </w:divBdr>
          <w:divsChild>
            <w:div w:id="13942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0147">
      <w:bodyDiv w:val="1"/>
      <w:marLeft w:val="0"/>
      <w:marRight w:val="0"/>
      <w:marTop w:val="0"/>
      <w:marBottom w:val="0"/>
      <w:divBdr>
        <w:top w:val="none" w:sz="0" w:space="0" w:color="auto"/>
        <w:left w:val="none" w:sz="0" w:space="0" w:color="auto"/>
        <w:bottom w:val="none" w:sz="0" w:space="0" w:color="auto"/>
        <w:right w:val="none" w:sz="0" w:space="0" w:color="auto"/>
      </w:divBdr>
      <w:divsChild>
        <w:div w:id="749815627">
          <w:marLeft w:val="0"/>
          <w:marRight w:val="0"/>
          <w:marTop w:val="0"/>
          <w:marBottom w:val="0"/>
          <w:divBdr>
            <w:top w:val="none" w:sz="0" w:space="0" w:color="auto"/>
            <w:left w:val="none" w:sz="0" w:space="0" w:color="auto"/>
            <w:bottom w:val="none" w:sz="0" w:space="0" w:color="auto"/>
            <w:right w:val="none" w:sz="0" w:space="0" w:color="auto"/>
          </w:divBdr>
          <w:divsChild>
            <w:div w:id="2087995201">
              <w:marLeft w:val="0"/>
              <w:marRight w:val="0"/>
              <w:marTop w:val="0"/>
              <w:marBottom w:val="0"/>
              <w:divBdr>
                <w:top w:val="none" w:sz="0" w:space="0" w:color="auto"/>
                <w:left w:val="none" w:sz="0" w:space="0" w:color="auto"/>
                <w:bottom w:val="none" w:sz="0" w:space="0" w:color="auto"/>
                <w:right w:val="none" w:sz="0" w:space="0" w:color="auto"/>
              </w:divBdr>
            </w:div>
          </w:divsChild>
        </w:div>
        <w:div w:id="1264336261">
          <w:marLeft w:val="0"/>
          <w:marRight w:val="0"/>
          <w:marTop w:val="0"/>
          <w:marBottom w:val="0"/>
          <w:divBdr>
            <w:top w:val="none" w:sz="0" w:space="0" w:color="auto"/>
            <w:left w:val="none" w:sz="0" w:space="0" w:color="auto"/>
            <w:bottom w:val="none" w:sz="0" w:space="0" w:color="auto"/>
            <w:right w:val="none" w:sz="0" w:space="0" w:color="auto"/>
          </w:divBdr>
          <w:divsChild>
            <w:div w:id="1797405622">
              <w:marLeft w:val="0"/>
              <w:marRight w:val="0"/>
              <w:marTop w:val="0"/>
              <w:marBottom w:val="0"/>
              <w:divBdr>
                <w:top w:val="none" w:sz="0" w:space="0" w:color="auto"/>
                <w:left w:val="none" w:sz="0" w:space="0" w:color="auto"/>
                <w:bottom w:val="none" w:sz="0" w:space="0" w:color="auto"/>
                <w:right w:val="none" w:sz="0" w:space="0" w:color="auto"/>
              </w:divBdr>
            </w:div>
          </w:divsChild>
        </w:div>
        <w:div w:id="1569919324">
          <w:marLeft w:val="0"/>
          <w:marRight w:val="0"/>
          <w:marTop w:val="0"/>
          <w:marBottom w:val="0"/>
          <w:divBdr>
            <w:top w:val="none" w:sz="0" w:space="0" w:color="auto"/>
            <w:left w:val="none" w:sz="0" w:space="0" w:color="auto"/>
            <w:bottom w:val="none" w:sz="0" w:space="0" w:color="auto"/>
            <w:right w:val="none" w:sz="0" w:space="0" w:color="auto"/>
          </w:divBdr>
          <w:divsChild>
            <w:div w:id="560478661">
              <w:marLeft w:val="0"/>
              <w:marRight w:val="0"/>
              <w:marTop w:val="0"/>
              <w:marBottom w:val="0"/>
              <w:divBdr>
                <w:top w:val="none" w:sz="0" w:space="0" w:color="auto"/>
                <w:left w:val="none" w:sz="0" w:space="0" w:color="auto"/>
                <w:bottom w:val="none" w:sz="0" w:space="0" w:color="auto"/>
                <w:right w:val="none" w:sz="0" w:space="0" w:color="auto"/>
              </w:divBdr>
            </w:div>
          </w:divsChild>
        </w:div>
        <w:div w:id="1769499337">
          <w:marLeft w:val="0"/>
          <w:marRight w:val="0"/>
          <w:marTop w:val="0"/>
          <w:marBottom w:val="0"/>
          <w:divBdr>
            <w:top w:val="none" w:sz="0" w:space="0" w:color="auto"/>
            <w:left w:val="none" w:sz="0" w:space="0" w:color="auto"/>
            <w:bottom w:val="none" w:sz="0" w:space="0" w:color="auto"/>
            <w:right w:val="none" w:sz="0" w:space="0" w:color="auto"/>
          </w:divBdr>
          <w:divsChild>
            <w:div w:id="1406606928">
              <w:marLeft w:val="0"/>
              <w:marRight w:val="0"/>
              <w:marTop w:val="0"/>
              <w:marBottom w:val="0"/>
              <w:divBdr>
                <w:top w:val="none" w:sz="0" w:space="0" w:color="auto"/>
                <w:left w:val="none" w:sz="0" w:space="0" w:color="auto"/>
                <w:bottom w:val="none" w:sz="0" w:space="0" w:color="auto"/>
                <w:right w:val="none" w:sz="0" w:space="0" w:color="auto"/>
              </w:divBdr>
            </w:div>
          </w:divsChild>
        </w:div>
        <w:div w:id="2019456522">
          <w:marLeft w:val="0"/>
          <w:marRight w:val="0"/>
          <w:marTop w:val="0"/>
          <w:marBottom w:val="0"/>
          <w:divBdr>
            <w:top w:val="none" w:sz="0" w:space="0" w:color="auto"/>
            <w:left w:val="none" w:sz="0" w:space="0" w:color="auto"/>
            <w:bottom w:val="none" w:sz="0" w:space="0" w:color="auto"/>
            <w:right w:val="none" w:sz="0" w:space="0" w:color="auto"/>
          </w:divBdr>
          <w:divsChild>
            <w:div w:id="774985824">
              <w:marLeft w:val="0"/>
              <w:marRight w:val="0"/>
              <w:marTop w:val="0"/>
              <w:marBottom w:val="0"/>
              <w:divBdr>
                <w:top w:val="none" w:sz="0" w:space="0" w:color="auto"/>
                <w:left w:val="none" w:sz="0" w:space="0" w:color="auto"/>
                <w:bottom w:val="none" w:sz="0" w:space="0" w:color="auto"/>
                <w:right w:val="none" w:sz="0" w:space="0" w:color="auto"/>
              </w:divBdr>
            </w:div>
          </w:divsChild>
        </w:div>
        <w:div w:id="2106029143">
          <w:marLeft w:val="0"/>
          <w:marRight w:val="0"/>
          <w:marTop w:val="0"/>
          <w:marBottom w:val="0"/>
          <w:divBdr>
            <w:top w:val="none" w:sz="0" w:space="0" w:color="auto"/>
            <w:left w:val="none" w:sz="0" w:space="0" w:color="auto"/>
            <w:bottom w:val="none" w:sz="0" w:space="0" w:color="auto"/>
            <w:right w:val="none" w:sz="0" w:space="0" w:color="auto"/>
          </w:divBdr>
          <w:divsChild>
            <w:div w:id="1221599461">
              <w:marLeft w:val="0"/>
              <w:marRight w:val="0"/>
              <w:marTop w:val="0"/>
              <w:marBottom w:val="0"/>
              <w:divBdr>
                <w:top w:val="none" w:sz="0" w:space="0" w:color="auto"/>
                <w:left w:val="none" w:sz="0" w:space="0" w:color="auto"/>
                <w:bottom w:val="none" w:sz="0" w:space="0" w:color="auto"/>
                <w:right w:val="none" w:sz="0" w:space="0" w:color="auto"/>
              </w:divBdr>
            </w:div>
          </w:divsChild>
        </w:div>
        <w:div w:id="2124959808">
          <w:marLeft w:val="0"/>
          <w:marRight w:val="0"/>
          <w:marTop w:val="0"/>
          <w:marBottom w:val="0"/>
          <w:divBdr>
            <w:top w:val="none" w:sz="0" w:space="0" w:color="auto"/>
            <w:left w:val="none" w:sz="0" w:space="0" w:color="auto"/>
            <w:bottom w:val="none" w:sz="0" w:space="0" w:color="auto"/>
            <w:right w:val="none" w:sz="0" w:space="0" w:color="auto"/>
          </w:divBdr>
          <w:divsChild>
            <w:div w:id="67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87576">
      <w:bodyDiv w:val="1"/>
      <w:marLeft w:val="0"/>
      <w:marRight w:val="0"/>
      <w:marTop w:val="0"/>
      <w:marBottom w:val="0"/>
      <w:divBdr>
        <w:top w:val="none" w:sz="0" w:space="0" w:color="auto"/>
        <w:left w:val="none" w:sz="0" w:space="0" w:color="auto"/>
        <w:bottom w:val="none" w:sz="0" w:space="0" w:color="auto"/>
        <w:right w:val="none" w:sz="0" w:space="0" w:color="auto"/>
      </w:divBdr>
      <w:divsChild>
        <w:div w:id="138040233">
          <w:marLeft w:val="0"/>
          <w:marRight w:val="0"/>
          <w:marTop w:val="0"/>
          <w:marBottom w:val="0"/>
          <w:divBdr>
            <w:top w:val="none" w:sz="0" w:space="0" w:color="auto"/>
            <w:left w:val="none" w:sz="0" w:space="0" w:color="auto"/>
            <w:bottom w:val="none" w:sz="0" w:space="0" w:color="auto"/>
            <w:right w:val="none" w:sz="0" w:space="0" w:color="auto"/>
          </w:divBdr>
          <w:divsChild>
            <w:div w:id="1736901065">
              <w:marLeft w:val="0"/>
              <w:marRight w:val="0"/>
              <w:marTop w:val="0"/>
              <w:marBottom w:val="0"/>
              <w:divBdr>
                <w:top w:val="none" w:sz="0" w:space="0" w:color="auto"/>
                <w:left w:val="none" w:sz="0" w:space="0" w:color="auto"/>
                <w:bottom w:val="none" w:sz="0" w:space="0" w:color="auto"/>
                <w:right w:val="none" w:sz="0" w:space="0" w:color="auto"/>
              </w:divBdr>
            </w:div>
          </w:divsChild>
        </w:div>
        <w:div w:id="801381417">
          <w:marLeft w:val="0"/>
          <w:marRight w:val="0"/>
          <w:marTop w:val="0"/>
          <w:marBottom w:val="0"/>
          <w:divBdr>
            <w:top w:val="none" w:sz="0" w:space="0" w:color="auto"/>
            <w:left w:val="none" w:sz="0" w:space="0" w:color="auto"/>
            <w:bottom w:val="none" w:sz="0" w:space="0" w:color="auto"/>
            <w:right w:val="none" w:sz="0" w:space="0" w:color="auto"/>
          </w:divBdr>
          <w:divsChild>
            <w:div w:id="366373795">
              <w:marLeft w:val="0"/>
              <w:marRight w:val="0"/>
              <w:marTop w:val="120"/>
              <w:marBottom w:val="0"/>
              <w:divBdr>
                <w:top w:val="none" w:sz="0" w:space="0" w:color="auto"/>
                <w:left w:val="none" w:sz="0" w:space="0" w:color="auto"/>
                <w:bottom w:val="none" w:sz="0" w:space="0" w:color="auto"/>
                <w:right w:val="none" w:sz="0" w:space="0" w:color="auto"/>
              </w:divBdr>
            </w:div>
            <w:div w:id="2043438899">
              <w:marLeft w:val="0"/>
              <w:marRight w:val="0"/>
              <w:marTop w:val="0"/>
              <w:marBottom w:val="0"/>
              <w:divBdr>
                <w:top w:val="none" w:sz="0" w:space="0" w:color="auto"/>
                <w:left w:val="none" w:sz="0" w:space="0" w:color="auto"/>
                <w:bottom w:val="none" w:sz="0" w:space="0" w:color="auto"/>
                <w:right w:val="none" w:sz="0" w:space="0" w:color="auto"/>
              </w:divBdr>
            </w:div>
          </w:divsChild>
        </w:div>
        <w:div w:id="948319088">
          <w:marLeft w:val="0"/>
          <w:marRight w:val="0"/>
          <w:marTop w:val="0"/>
          <w:marBottom w:val="0"/>
          <w:divBdr>
            <w:top w:val="none" w:sz="0" w:space="0" w:color="auto"/>
            <w:left w:val="none" w:sz="0" w:space="0" w:color="auto"/>
            <w:bottom w:val="none" w:sz="0" w:space="0" w:color="auto"/>
            <w:right w:val="none" w:sz="0" w:space="0" w:color="auto"/>
          </w:divBdr>
          <w:divsChild>
            <w:div w:id="1534538328">
              <w:marLeft w:val="0"/>
              <w:marRight w:val="0"/>
              <w:marTop w:val="120"/>
              <w:marBottom w:val="0"/>
              <w:divBdr>
                <w:top w:val="none" w:sz="0" w:space="0" w:color="auto"/>
                <w:left w:val="none" w:sz="0" w:space="0" w:color="auto"/>
                <w:bottom w:val="none" w:sz="0" w:space="0" w:color="auto"/>
                <w:right w:val="none" w:sz="0" w:space="0" w:color="auto"/>
              </w:divBdr>
            </w:div>
            <w:div w:id="1827932629">
              <w:marLeft w:val="0"/>
              <w:marRight w:val="0"/>
              <w:marTop w:val="0"/>
              <w:marBottom w:val="0"/>
              <w:divBdr>
                <w:top w:val="none" w:sz="0" w:space="0" w:color="auto"/>
                <w:left w:val="none" w:sz="0" w:space="0" w:color="auto"/>
                <w:bottom w:val="none" w:sz="0" w:space="0" w:color="auto"/>
                <w:right w:val="none" w:sz="0" w:space="0" w:color="auto"/>
              </w:divBdr>
            </w:div>
          </w:divsChild>
        </w:div>
        <w:div w:id="1222252373">
          <w:marLeft w:val="0"/>
          <w:marRight w:val="0"/>
          <w:marTop w:val="0"/>
          <w:marBottom w:val="0"/>
          <w:divBdr>
            <w:top w:val="none" w:sz="0" w:space="0" w:color="auto"/>
            <w:left w:val="none" w:sz="0" w:space="0" w:color="auto"/>
            <w:bottom w:val="none" w:sz="0" w:space="0" w:color="auto"/>
            <w:right w:val="none" w:sz="0" w:space="0" w:color="auto"/>
          </w:divBdr>
          <w:divsChild>
            <w:div w:id="585695905">
              <w:marLeft w:val="0"/>
              <w:marRight w:val="0"/>
              <w:marTop w:val="120"/>
              <w:marBottom w:val="0"/>
              <w:divBdr>
                <w:top w:val="none" w:sz="0" w:space="0" w:color="auto"/>
                <w:left w:val="none" w:sz="0" w:space="0" w:color="auto"/>
                <w:bottom w:val="none" w:sz="0" w:space="0" w:color="auto"/>
                <w:right w:val="none" w:sz="0" w:space="0" w:color="auto"/>
              </w:divBdr>
            </w:div>
            <w:div w:id="19242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ir/2023/2413/oj" TargetMode="External"/><Relationship Id="rId3" Type="http://schemas.openxmlformats.org/officeDocument/2006/relationships/hyperlink" Target="http://data.europa.eu/eli/reg/2023/706/oj" TargetMode="External"/><Relationship Id="rId7" Type="http://schemas.openxmlformats.org/officeDocument/2006/relationships/hyperlink" Target="http://data.europa.eu/eli/dir/2023/1791/oj" TargetMode="External"/><Relationship Id="rId2" Type="http://schemas.openxmlformats.org/officeDocument/2006/relationships/hyperlink" Target="http://data.europa.eu/eli/reg/2022/1369/oj" TargetMode="External"/><Relationship Id="rId1" Type="http://schemas.openxmlformats.org/officeDocument/2006/relationships/hyperlink" Target="http://data.europa.eu/eli/dir/2023/1791/oj" TargetMode="External"/><Relationship Id="rId6" Type="http://schemas.openxmlformats.org/officeDocument/2006/relationships/hyperlink" Target="https://origin.iea.org/reports/world-energy-outlook-2023" TargetMode="External"/><Relationship Id="rId5" Type="http://schemas.openxmlformats.org/officeDocument/2006/relationships/hyperlink" Target="https://www.iea.org/reports/medium-term-gas-report-2023" TargetMode="External"/><Relationship Id="rId10" Type="http://schemas.openxmlformats.org/officeDocument/2006/relationships/hyperlink" Target="http://data.europa.eu/eli/reg/2008/1099/oj" TargetMode="External"/><Relationship Id="rId4" Type="http://schemas.openxmlformats.org/officeDocument/2006/relationships/hyperlink" Target="http://data.europa.eu/eli/reg/2017/1938/oj" TargetMode="External"/><Relationship Id="rId9" Type="http://schemas.openxmlformats.org/officeDocument/2006/relationships/hyperlink" Target="http://data.europa.eu/eli/reg/2018/1999/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BAA3E038356449A8E8E5EFBA56BA7" ma:contentTypeVersion="15" ma:contentTypeDescription="Create a new document." ma:contentTypeScope="" ma:versionID="1923a0cae1461222ee1a9295937dc8fb">
  <xsd:schema xmlns:xsd="http://www.w3.org/2001/XMLSchema" xmlns:xs="http://www.w3.org/2001/XMLSchema" xmlns:p="http://schemas.microsoft.com/office/2006/metadata/properties" xmlns:ns2="72bda078-25cf-4dc4-9853-c68387b648e8" xmlns:ns3="12661c1b-ebcd-4cf2-a537-0fae4d653bab" targetNamespace="http://schemas.microsoft.com/office/2006/metadata/properties" ma:root="true" ma:fieldsID="66449e583438cdc1042e2fe1e7aa4678" ns2:_="" ns3:_="">
    <xsd:import namespace="72bda078-25cf-4dc4-9853-c68387b648e8"/>
    <xsd:import namespace="12661c1b-ebcd-4cf2-a537-0fae4d653b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da078-25cf-4dc4-9853-c68387b64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661c1b-ebcd-4cf2-a537-0fae4d653b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f96f296-39b7-4fb0-847b-093ec654244c}" ma:internalName="TaxCatchAll" ma:showField="CatchAllData" ma:web="12661c1b-ebcd-4cf2-a537-0fae4d653b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bda078-25cf-4dc4-9853-c68387b648e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2661c1b-ebcd-4cf2-a537-0fae4d653bab"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EB382-A779-42C0-8DDD-D8DFE194C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da078-25cf-4dc4-9853-c68387b648e8"/>
    <ds:schemaRef ds:uri="12661c1b-ebcd-4cf2-a537-0fae4d653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9EC85-9AD1-4C89-B035-DDDBB713DE14}">
  <ds:schemaRefs>
    <ds:schemaRef ds:uri="http://schemas.microsoft.com/office/2006/metadata/properties"/>
    <ds:schemaRef ds:uri="http://schemas.microsoft.com/office/infopath/2007/PartnerControls"/>
    <ds:schemaRef ds:uri="72bda078-25cf-4dc4-9853-c68387b648e8"/>
    <ds:schemaRef ds:uri="12661c1b-ebcd-4cf2-a537-0fae4d653bab"/>
  </ds:schemaRefs>
</ds:datastoreItem>
</file>

<file path=customXml/itemProps3.xml><?xml version="1.0" encoding="utf-8"?>
<ds:datastoreItem xmlns:ds="http://schemas.openxmlformats.org/officeDocument/2006/customXml" ds:itemID="{20C0096C-F7E8-478D-88F1-23CA62326AF7}">
  <ds:schemaRefs>
    <ds:schemaRef ds:uri="http://schemas.microsoft.com/sharepoint/v3/contenttype/forms"/>
  </ds:schemaRefs>
</ds:datastoreItem>
</file>

<file path=customXml/itemProps4.xml><?xml version="1.0" encoding="utf-8"?>
<ds:datastoreItem xmlns:ds="http://schemas.openxmlformats.org/officeDocument/2006/customXml" ds:itemID="{32CFB8ED-F61D-43E4-BCB0-1EB7B561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23</TotalTime>
  <Pages>12</Pages>
  <Words>4881</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32644</CharactersWithSpaces>
  <SharedDoc>false</SharedDoc>
  <HLinks>
    <vt:vector size="132" baseType="variant">
      <vt:variant>
        <vt:i4>6422587</vt:i4>
      </vt:variant>
      <vt:variant>
        <vt:i4>0</vt:i4>
      </vt:variant>
      <vt:variant>
        <vt:i4>0</vt:i4>
      </vt:variant>
      <vt:variant>
        <vt:i4>5</vt:i4>
      </vt:variant>
      <vt:variant>
        <vt:lpwstr>https://eur-lex.europa.eu/legal-content/EN/TXT/?uri=CELEX%3A02022R1369-20230401</vt:lpwstr>
      </vt:variant>
      <vt:variant>
        <vt:lpwstr>E0001</vt:lpwstr>
      </vt:variant>
      <vt:variant>
        <vt:i4>6815847</vt:i4>
      </vt:variant>
      <vt:variant>
        <vt:i4>30</vt:i4>
      </vt:variant>
      <vt:variant>
        <vt:i4>0</vt:i4>
      </vt:variant>
      <vt:variant>
        <vt:i4>5</vt:i4>
      </vt:variant>
      <vt:variant>
        <vt:lpwstr>http://data.europa.eu/eli/reg/2008/1099/oj</vt:lpwstr>
      </vt:variant>
      <vt:variant>
        <vt:lpwstr/>
      </vt:variant>
      <vt:variant>
        <vt:i4>6815855</vt:i4>
      </vt:variant>
      <vt:variant>
        <vt:i4>27</vt:i4>
      </vt:variant>
      <vt:variant>
        <vt:i4>0</vt:i4>
      </vt:variant>
      <vt:variant>
        <vt:i4>5</vt:i4>
      </vt:variant>
      <vt:variant>
        <vt:lpwstr>http://data.europa.eu/eli/reg/2018/1999/oj</vt:lpwstr>
      </vt:variant>
      <vt:variant>
        <vt:lpwstr/>
      </vt:variant>
      <vt:variant>
        <vt:i4>6553704</vt:i4>
      </vt:variant>
      <vt:variant>
        <vt:i4>24</vt:i4>
      </vt:variant>
      <vt:variant>
        <vt:i4>0</vt:i4>
      </vt:variant>
      <vt:variant>
        <vt:i4>5</vt:i4>
      </vt:variant>
      <vt:variant>
        <vt:lpwstr>http://data.europa.eu/eli/dir/2023/2413/oj</vt:lpwstr>
      </vt:variant>
      <vt:variant>
        <vt:lpwstr/>
      </vt:variant>
      <vt:variant>
        <vt:i4>7274601</vt:i4>
      </vt:variant>
      <vt:variant>
        <vt:i4>21</vt:i4>
      </vt:variant>
      <vt:variant>
        <vt:i4>0</vt:i4>
      </vt:variant>
      <vt:variant>
        <vt:i4>5</vt:i4>
      </vt:variant>
      <vt:variant>
        <vt:lpwstr>http://data.europa.eu/eli/dir/2023/1791/oj</vt:lpwstr>
      </vt:variant>
      <vt:variant>
        <vt:lpwstr/>
      </vt:variant>
      <vt:variant>
        <vt:i4>1703954</vt:i4>
      </vt:variant>
      <vt:variant>
        <vt:i4>18</vt:i4>
      </vt:variant>
      <vt:variant>
        <vt:i4>0</vt:i4>
      </vt:variant>
      <vt:variant>
        <vt:i4>5</vt:i4>
      </vt:variant>
      <vt:variant>
        <vt:lpwstr>https://origin.iea.org/reports/world-energy-outlook-2023</vt:lpwstr>
      </vt:variant>
      <vt:variant>
        <vt:lpwstr/>
      </vt:variant>
      <vt:variant>
        <vt:i4>7798883</vt:i4>
      </vt:variant>
      <vt:variant>
        <vt:i4>15</vt:i4>
      </vt:variant>
      <vt:variant>
        <vt:i4>0</vt:i4>
      </vt:variant>
      <vt:variant>
        <vt:i4>5</vt:i4>
      </vt:variant>
      <vt:variant>
        <vt:lpwstr>https://www.iea.org/reports/medium-term-gas-report-2023</vt:lpwstr>
      </vt:variant>
      <vt:variant>
        <vt:lpwstr/>
      </vt:variant>
      <vt:variant>
        <vt:i4>7143534</vt:i4>
      </vt:variant>
      <vt:variant>
        <vt:i4>12</vt:i4>
      </vt:variant>
      <vt:variant>
        <vt:i4>0</vt:i4>
      </vt:variant>
      <vt:variant>
        <vt:i4>5</vt:i4>
      </vt:variant>
      <vt:variant>
        <vt:lpwstr>http://data.europa.eu/eli/reg/2017/1938/oj</vt:lpwstr>
      </vt:variant>
      <vt:variant>
        <vt:lpwstr/>
      </vt:variant>
      <vt:variant>
        <vt:i4>4194332</vt:i4>
      </vt:variant>
      <vt:variant>
        <vt:i4>6</vt:i4>
      </vt:variant>
      <vt:variant>
        <vt:i4>0</vt:i4>
      </vt:variant>
      <vt:variant>
        <vt:i4>5</vt:i4>
      </vt:variant>
      <vt:variant>
        <vt:lpwstr>http://data.europa.eu/eli/reg/2023/706/oj</vt:lpwstr>
      </vt:variant>
      <vt:variant>
        <vt:lpwstr/>
      </vt:variant>
      <vt:variant>
        <vt:i4>7143526</vt:i4>
      </vt:variant>
      <vt:variant>
        <vt:i4>3</vt:i4>
      </vt:variant>
      <vt:variant>
        <vt:i4>0</vt:i4>
      </vt:variant>
      <vt:variant>
        <vt:i4>5</vt:i4>
      </vt:variant>
      <vt:variant>
        <vt:lpwstr>http://data.europa.eu/eli/reg/2022/1369/oj</vt:lpwstr>
      </vt:variant>
      <vt:variant>
        <vt:lpwstr/>
      </vt:variant>
      <vt:variant>
        <vt:i4>7274601</vt:i4>
      </vt:variant>
      <vt:variant>
        <vt:i4>0</vt:i4>
      </vt:variant>
      <vt:variant>
        <vt:i4>0</vt:i4>
      </vt:variant>
      <vt:variant>
        <vt:i4>5</vt:i4>
      </vt:variant>
      <vt:variant>
        <vt:lpwstr>http://data.europa.eu/eli/dir/2023/1791/oj</vt:lpwstr>
      </vt:variant>
      <vt:variant>
        <vt:lpwstr/>
      </vt:variant>
      <vt:variant>
        <vt:i4>5177463</vt:i4>
      </vt:variant>
      <vt:variant>
        <vt:i4>30</vt:i4>
      </vt:variant>
      <vt:variant>
        <vt:i4>0</vt:i4>
      </vt:variant>
      <vt:variant>
        <vt:i4>5</vt:i4>
      </vt:variant>
      <vt:variant>
        <vt:lpwstr>mailto:Ana.PAIVA@ec.europa.eu</vt:lpwstr>
      </vt:variant>
      <vt:variant>
        <vt:lpwstr/>
      </vt:variant>
      <vt:variant>
        <vt:i4>4128781</vt:i4>
      </vt:variant>
      <vt:variant>
        <vt:i4>27</vt:i4>
      </vt:variant>
      <vt:variant>
        <vt:i4>0</vt:i4>
      </vt:variant>
      <vt:variant>
        <vt:i4>5</vt:i4>
      </vt:variant>
      <vt:variant>
        <vt:lpwstr>mailto:Leander.STUKART@ec.europa.eu</vt:lpwstr>
      </vt:variant>
      <vt:variant>
        <vt:lpwstr/>
      </vt:variant>
      <vt:variant>
        <vt:i4>5177463</vt:i4>
      </vt:variant>
      <vt:variant>
        <vt:i4>24</vt:i4>
      </vt:variant>
      <vt:variant>
        <vt:i4>0</vt:i4>
      </vt:variant>
      <vt:variant>
        <vt:i4>5</vt:i4>
      </vt:variant>
      <vt:variant>
        <vt:lpwstr>mailto:Ana.PAIVA@ec.europa.eu</vt:lpwstr>
      </vt:variant>
      <vt:variant>
        <vt:lpwstr/>
      </vt:variant>
      <vt:variant>
        <vt:i4>4128781</vt:i4>
      </vt:variant>
      <vt:variant>
        <vt:i4>21</vt:i4>
      </vt:variant>
      <vt:variant>
        <vt:i4>0</vt:i4>
      </vt:variant>
      <vt:variant>
        <vt:i4>5</vt:i4>
      </vt:variant>
      <vt:variant>
        <vt:lpwstr>mailto:Leander.STUKART@ec.europa.eu</vt:lpwstr>
      </vt:variant>
      <vt:variant>
        <vt:lpwstr/>
      </vt:variant>
      <vt:variant>
        <vt:i4>5177463</vt:i4>
      </vt:variant>
      <vt:variant>
        <vt:i4>18</vt:i4>
      </vt:variant>
      <vt:variant>
        <vt:i4>0</vt:i4>
      </vt:variant>
      <vt:variant>
        <vt:i4>5</vt:i4>
      </vt:variant>
      <vt:variant>
        <vt:lpwstr>mailto:Ana.PAIVA@ec.europa.eu</vt:lpwstr>
      </vt:variant>
      <vt:variant>
        <vt:lpwstr/>
      </vt:variant>
      <vt:variant>
        <vt:i4>4128781</vt:i4>
      </vt:variant>
      <vt:variant>
        <vt:i4>15</vt:i4>
      </vt:variant>
      <vt:variant>
        <vt:i4>0</vt:i4>
      </vt:variant>
      <vt:variant>
        <vt:i4>5</vt:i4>
      </vt:variant>
      <vt:variant>
        <vt:lpwstr>mailto:Leander.STUKART@ec.europa.eu</vt:lpwstr>
      </vt:variant>
      <vt:variant>
        <vt:lpwstr/>
      </vt:variant>
      <vt:variant>
        <vt:i4>5767203</vt:i4>
      </vt:variant>
      <vt:variant>
        <vt:i4>12</vt:i4>
      </vt:variant>
      <vt:variant>
        <vt:i4>0</vt:i4>
      </vt:variant>
      <vt:variant>
        <vt:i4>5</vt:i4>
      </vt:variant>
      <vt:variant>
        <vt:lpwstr>C:\Users\alvesaa\Downloads\COM_2024_88_1_REPORT_FROM_COMMISSION_EN_V6_P1_3269569 (1).DOCX</vt:lpwstr>
      </vt:variant>
      <vt:variant>
        <vt:lpwstr>_ftnref1</vt:lpwstr>
      </vt:variant>
      <vt:variant>
        <vt:i4>786487</vt:i4>
      </vt:variant>
      <vt:variant>
        <vt:i4>9</vt:i4>
      </vt:variant>
      <vt:variant>
        <vt:i4>0</vt:i4>
      </vt:variant>
      <vt:variant>
        <vt:i4>5</vt:i4>
      </vt:variant>
      <vt:variant>
        <vt:lpwstr>C:\Users\alvesaa\Downloads\COM_2024_88_1_REPORT_FROM_COMMISSION_EN_V6_P1_3269569 (1).DOCX</vt:lpwstr>
      </vt:variant>
      <vt:variant>
        <vt:lpwstr>_ftn1</vt:lpwstr>
      </vt:variant>
      <vt:variant>
        <vt:i4>5177463</vt:i4>
      </vt:variant>
      <vt:variant>
        <vt:i4>6</vt:i4>
      </vt:variant>
      <vt:variant>
        <vt:i4>0</vt:i4>
      </vt:variant>
      <vt:variant>
        <vt:i4>5</vt:i4>
      </vt:variant>
      <vt:variant>
        <vt:lpwstr>mailto:Ana.PAIVA@ec.europa.eu</vt:lpwstr>
      </vt:variant>
      <vt:variant>
        <vt:lpwstr/>
      </vt:variant>
      <vt:variant>
        <vt:i4>4128781</vt:i4>
      </vt:variant>
      <vt:variant>
        <vt:i4>3</vt:i4>
      </vt:variant>
      <vt:variant>
        <vt:i4>0</vt:i4>
      </vt:variant>
      <vt:variant>
        <vt:i4>5</vt:i4>
      </vt:variant>
      <vt:variant>
        <vt:lpwstr>mailto:Leander.STUKART@ec.europa.eu</vt:lpwstr>
      </vt:variant>
      <vt:variant>
        <vt:lpwstr/>
      </vt:variant>
      <vt:variant>
        <vt:i4>5177463</vt:i4>
      </vt:variant>
      <vt:variant>
        <vt:i4>0</vt:i4>
      </vt:variant>
      <vt:variant>
        <vt:i4>0</vt:i4>
      </vt:variant>
      <vt:variant>
        <vt:i4>5</vt:i4>
      </vt:variant>
      <vt:variant>
        <vt:lpwstr>mailto:Ana.PAIVA@ec.europa.eu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33</cp:revision>
  <dcterms:created xsi:type="dcterms:W3CDTF">2024-02-23T17:10:00Z</dcterms:created>
  <dcterms:modified xsi:type="dcterms:W3CDTF">2024-02-29T16:42:00Z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2024-02-13T15:14:24Z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0b926959-97b4-4b77-8dd0-9172582a8b71</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SJ-022</vt:lpwstr>
  </property>
  <property fmtid="{D5CDD505-2E9C-101B-9397-08002B2CF9AE}" pid="17" name="ContentTypeId">
    <vt:lpwstr>0x010100DECBAA3E038356449A8E8E5EFBA56BA7</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