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773DF2" w14:textId="5F541320" w:rsidR="004D0AEF" w:rsidRPr="004F6E38" w:rsidRDefault="00ED4319" w:rsidP="00ED4319">
      <w:pPr>
        <w:pStyle w:val="Pagedecouverture"/>
        <w:rPr>
          <w:noProof/>
        </w:rPr>
      </w:pPr>
      <w:r>
        <w:rPr>
          <w:noProof/>
        </w:rPr>
        <w:pict w14:anchorId="3CF7E7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alt="DC705159-42F8-4E36-95C2-BD2086EE889B" style="width:455.25pt;height:454.5pt">
            <v:imagedata r:id="rId8" o:title=""/>
          </v:shape>
        </w:pict>
      </w:r>
    </w:p>
    <w:p w14:paraId="3C902C74" w14:textId="77777777" w:rsidR="004D0AEF" w:rsidRPr="004F6E38" w:rsidRDefault="004D0AEF" w:rsidP="004D0AEF">
      <w:pPr>
        <w:rPr>
          <w:noProof/>
        </w:rPr>
        <w:sectPr w:rsidR="004D0AEF" w:rsidRPr="004F6E38" w:rsidSect="00ED4319">
          <w:footerReference w:type="default" r:id="rId9"/>
          <w:pgSz w:w="11907" w:h="16839"/>
          <w:pgMar w:top="1134" w:right="1417" w:bottom="1134" w:left="1417" w:header="709" w:footer="709" w:gutter="0"/>
          <w:pgNumType w:start="0"/>
          <w:cols w:space="720"/>
          <w:docGrid w:linePitch="360"/>
        </w:sectPr>
      </w:pPr>
    </w:p>
    <w:p w14:paraId="0206392F" w14:textId="77777777" w:rsidR="004D0AEF" w:rsidRPr="004F6E38" w:rsidRDefault="004D0AEF" w:rsidP="00BB6B30">
      <w:pPr>
        <w:pStyle w:val="Exposdesmotifstitre"/>
        <w:rPr>
          <w:noProof/>
        </w:rPr>
      </w:pPr>
      <w:bookmarkStart w:id="0" w:name="_GoBack"/>
      <w:bookmarkEnd w:id="0"/>
      <w:r w:rsidRPr="004F6E38">
        <w:rPr>
          <w:noProof/>
        </w:rPr>
        <w:lastRenderedPageBreak/>
        <w:t>OBRAZLOŽITVENI MEMORANDUM</w:t>
      </w:r>
    </w:p>
    <w:p w14:paraId="43CC67C9" w14:textId="77777777" w:rsidR="004D0AEF" w:rsidRPr="004F6E38" w:rsidRDefault="004D0AEF" w:rsidP="00BB6B30">
      <w:pPr>
        <w:pStyle w:val="ManualHeading1"/>
        <w:rPr>
          <w:noProof/>
        </w:rPr>
      </w:pPr>
      <w:r w:rsidRPr="004F6E38">
        <w:rPr>
          <w:noProof/>
        </w:rPr>
        <w:t>1.</w:t>
      </w:r>
      <w:r w:rsidRPr="004F6E38">
        <w:rPr>
          <w:noProof/>
        </w:rPr>
        <w:tab/>
        <w:t>OZADJE PREDLOGA</w:t>
      </w:r>
    </w:p>
    <w:p w14:paraId="13B66E34" w14:textId="77777777" w:rsidR="004D0AEF" w:rsidRPr="004F6E38" w:rsidRDefault="004D0AEF" w:rsidP="00044058">
      <w:pPr>
        <w:pStyle w:val="ManualHeading2"/>
        <w:rPr>
          <w:rFonts w:eastAsia="Arial Unicode MS"/>
          <w:noProof/>
        </w:rPr>
      </w:pPr>
      <w:r w:rsidRPr="004F6E38">
        <w:rPr>
          <w:noProof/>
          <w:color w:val="000000"/>
          <w:u w:color="000000"/>
          <w:bdr w:val="nil"/>
        </w:rPr>
        <w:t>•</w:t>
      </w:r>
      <w:r w:rsidRPr="004F6E38">
        <w:rPr>
          <w:noProof/>
        </w:rPr>
        <w:tab/>
        <w:t>Razlogi za predlog in njegovi cilji</w:t>
      </w:r>
    </w:p>
    <w:p w14:paraId="58AE85C0" w14:textId="77777777" w:rsidR="00903CBB" w:rsidRPr="004F6E38" w:rsidRDefault="00903CBB" w:rsidP="00903CBB">
      <w:pPr>
        <w:keepNext/>
        <w:tabs>
          <w:tab w:val="left" w:pos="1134"/>
        </w:tabs>
        <w:outlineLvl w:val="1"/>
        <w:rPr>
          <w:rFonts w:eastAsia="Arial Unicode MS"/>
          <w:bCs/>
          <w:noProof/>
        </w:rPr>
      </w:pPr>
      <w:r w:rsidRPr="004F6E38">
        <w:rPr>
          <w:noProof/>
        </w:rPr>
        <w:t xml:space="preserve">Ta predlog dopolnjuje Uredbo (EU) </w:t>
      </w:r>
      <w:bookmarkStart w:id="1" w:name="_Hlk136770546"/>
      <w:r w:rsidRPr="004F6E38">
        <w:rPr>
          <w:noProof/>
        </w:rPr>
        <w:t>(XXX/XXX) o uvedbi digitalnega eura</w:t>
      </w:r>
      <w:bookmarkEnd w:id="1"/>
      <w:r w:rsidRPr="004F6E38">
        <w:rPr>
          <w:noProof/>
        </w:rPr>
        <w:t xml:space="preserve"> v zvezi s storitvami z digitalnim eurom, ki jih opravljajo ponudniki plačilnih storitev s sedežem v državi članici, katere valuta ni euro. Uredba (XXX/XXX) o uvedbi digitalnega eura je naslovljena na države članice, katerih valuta je euro. Da bi se zagotovilo, da opravljanje storitev z digitalnim eurom s strani ponudnikov plačilnih storitev s sedežem v državi članici, katere valuta ni euro, v euroobmočju ustrezno nadzorujejo pristojni organi države članice, katere valuta ni euro, je treba določiti pravila, ki se bodo uporabljala za te ponudnike plačilnih storitev. Pravila, ki urejajo dostop do digitalnega eura in njegovo uporabo v državah članicah, katerih valuta ni euro, so določena v členu 18 Uredbe (EU) (XXX/XXX) o uvedbi digitalnega eura.  </w:t>
      </w:r>
    </w:p>
    <w:p w14:paraId="3A4DEDD1" w14:textId="77777777" w:rsidR="004D0AEF" w:rsidRPr="004F6E38" w:rsidRDefault="004D0AEF" w:rsidP="00044058">
      <w:pPr>
        <w:pStyle w:val="ManualHeading2"/>
        <w:rPr>
          <w:rFonts w:eastAsia="Arial Unicode MS"/>
          <w:noProof/>
          <w:color w:val="000000"/>
          <w:u w:color="000000"/>
          <w:bdr w:val="nil"/>
        </w:rPr>
      </w:pPr>
      <w:r w:rsidRPr="004F6E38">
        <w:rPr>
          <w:noProof/>
          <w:color w:val="000000"/>
          <w:u w:color="000000"/>
          <w:bdr w:val="nil"/>
        </w:rPr>
        <w:t>•</w:t>
      </w:r>
      <w:r w:rsidRPr="004F6E38">
        <w:rPr>
          <w:noProof/>
        </w:rPr>
        <w:tab/>
        <w:t>Skladnost z veljavnimi predpisi s področja zadevne politike</w:t>
      </w:r>
    </w:p>
    <w:p w14:paraId="5AA94750" w14:textId="77777777" w:rsidR="00A22380" w:rsidRPr="004F6E38" w:rsidRDefault="00A22380" w:rsidP="00A22380">
      <w:pPr>
        <w:keepNext/>
        <w:outlineLvl w:val="1"/>
        <w:rPr>
          <w:rFonts w:eastAsia="Arial Unicode MS"/>
          <w:bCs/>
          <w:noProof/>
        </w:rPr>
      </w:pPr>
      <w:r w:rsidRPr="004F6E38">
        <w:rPr>
          <w:noProof/>
        </w:rPr>
        <w:t xml:space="preserve">Ta uredba je skladna z Direktivo (EU) 2015/2366 Evropskega parlamenta in Sveta z dne 15. novembra 2015 o plačilnih storitvah na notranjem trgu, kakor je bila spremenjena z Direktivo (EU) XXX/23. Direktiva o plačilnih storitvah določa usklajena pravila, ki urejajo prosto opravljanje plačilnih storitev po vsej Uniji, in bi se morala uporabljati tudi za plačilne transakcije z digitalnim eurom. Ta uredba bo ponudnikom plačilnih storitev s sedežem v državi članici, katere valuta ni euro, zlasti omogočila, da na podlagi prostega opravljanja storitev ali svobode ustanavljanja prebivalcem euroobmočja skupaj z drugimi plačilnimi ali bančnimi storitvami ponujajo plačilne storitve z digitalnim eurom.  </w:t>
      </w:r>
    </w:p>
    <w:p w14:paraId="2B21A07B" w14:textId="77777777" w:rsidR="004D0AEF" w:rsidRPr="004F6E38" w:rsidRDefault="004D0AEF" w:rsidP="00A4693B">
      <w:pPr>
        <w:pStyle w:val="ManualHeading2"/>
        <w:rPr>
          <w:rFonts w:eastAsia="Arial Unicode MS"/>
          <w:noProof/>
        </w:rPr>
      </w:pPr>
      <w:r w:rsidRPr="004F6E38">
        <w:rPr>
          <w:noProof/>
          <w:color w:val="000000"/>
          <w:u w:color="000000"/>
          <w:bdr w:val="nil"/>
        </w:rPr>
        <w:t>•</w:t>
      </w:r>
      <w:r w:rsidRPr="004F6E38">
        <w:rPr>
          <w:noProof/>
        </w:rPr>
        <w:tab/>
        <w:t>Skladnost z drugimi politikami Unije</w:t>
      </w:r>
    </w:p>
    <w:p w14:paraId="44164F0C" w14:textId="77777777" w:rsidR="00A22380" w:rsidRPr="004F6E38" w:rsidRDefault="00A22380" w:rsidP="00A22380">
      <w:pPr>
        <w:rPr>
          <w:noProof/>
        </w:rPr>
      </w:pPr>
      <w:r w:rsidRPr="004F6E38">
        <w:rPr>
          <w:noProof/>
        </w:rPr>
        <w:t xml:space="preserve">Ta uredba je potrebna, da se prepreči kakršna koli razdrobljenost na notranjem trgu, saj bi morali biti vsi ponudniki plačilnih storitev v EU, ne glede na to, kje imajo dovoljenje, sposobni opravljati podobne storitve, ki bodo najbolje zadovoljevale potrebe podjetij in ljudi. </w:t>
      </w:r>
    </w:p>
    <w:p w14:paraId="26E35A53" w14:textId="77777777" w:rsidR="00A22380" w:rsidRPr="004F6E38" w:rsidRDefault="00A22380" w:rsidP="00A22380">
      <w:pPr>
        <w:contextualSpacing/>
        <w:rPr>
          <w:iCs/>
          <w:noProof/>
          <w:szCs w:val="24"/>
        </w:rPr>
      </w:pPr>
      <w:r w:rsidRPr="004F6E38">
        <w:rPr>
          <w:noProof/>
        </w:rPr>
        <w:t>Ta uredba je skladna s strategijama Komisije za digitalne finance in mala plačila</w:t>
      </w:r>
      <w:r w:rsidRPr="004F6E38">
        <w:rPr>
          <w:rStyle w:val="FootnoteReference"/>
          <w:noProof/>
        </w:rPr>
        <w:footnoteReference w:id="2"/>
      </w:r>
      <w:r w:rsidRPr="004F6E38">
        <w:rPr>
          <w:noProof/>
        </w:rPr>
        <w:t xml:space="preserve">. V navedenem sporočilu je bilo poudarjeno, da bi digitalni euro spodbujal inovacije na področju plačil, financiranja in trgovanja v okviru sedanjih prizadevanj za zmanjšanje razdrobljenosti trga plačil malih vrednosti v EU. Ponudniki plačilnih storitev, ne glede na to, kje v Uniji imajo sedež, bi morali zato distribuirati storitve z digitalnim eurom, da se zagotovi visoka raven konkurence med ponudniki plačilnih storitev.  </w:t>
      </w:r>
    </w:p>
    <w:p w14:paraId="7B0CE942" w14:textId="77777777" w:rsidR="004D0AEF" w:rsidRPr="004F6E38" w:rsidRDefault="004D0AEF" w:rsidP="00550536">
      <w:pPr>
        <w:pStyle w:val="ManualHeading1"/>
        <w:rPr>
          <w:noProof/>
        </w:rPr>
      </w:pPr>
      <w:r w:rsidRPr="004F6E38">
        <w:rPr>
          <w:noProof/>
        </w:rPr>
        <w:t>2.</w:t>
      </w:r>
      <w:r w:rsidRPr="004F6E38">
        <w:rPr>
          <w:noProof/>
        </w:rPr>
        <w:tab/>
        <w:t>PRAVNA PODLAGA, SUBSIDIARNOST IN SORAZMERNOST</w:t>
      </w:r>
    </w:p>
    <w:p w14:paraId="395D7147" w14:textId="77777777" w:rsidR="004D0AEF" w:rsidRPr="004F6E38" w:rsidRDefault="004D0AEF" w:rsidP="00A4693B">
      <w:pPr>
        <w:pStyle w:val="ManualHeading2"/>
        <w:rPr>
          <w:rFonts w:eastAsia="Arial Unicode MS"/>
          <w:noProof/>
          <w:u w:color="000000"/>
          <w:bdr w:val="nil"/>
        </w:rPr>
      </w:pPr>
      <w:r w:rsidRPr="004F6E38">
        <w:rPr>
          <w:noProof/>
          <w:u w:color="000000"/>
          <w:bdr w:val="nil"/>
        </w:rPr>
        <w:t>•</w:t>
      </w:r>
      <w:r w:rsidRPr="004F6E38">
        <w:rPr>
          <w:noProof/>
        </w:rPr>
        <w:tab/>
      </w:r>
      <w:r w:rsidRPr="004F6E38">
        <w:rPr>
          <w:noProof/>
          <w:u w:color="000000"/>
          <w:bdr w:val="nil"/>
        </w:rPr>
        <w:t>Pravna podlaga</w:t>
      </w:r>
    </w:p>
    <w:p w14:paraId="50CF84A3" w14:textId="77777777" w:rsidR="00A22380" w:rsidRPr="004F6E38" w:rsidRDefault="00A22380" w:rsidP="00A22380">
      <w:pPr>
        <w:rPr>
          <w:noProof/>
          <w:szCs w:val="24"/>
        </w:rPr>
      </w:pPr>
      <w:r w:rsidRPr="004F6E38">
        <w:rPr>
          <w:noProof/>
        </w:rPr>
        <w:t xml:space="preserve">Ta uredba temelji na členu 114 PDEU, tako kot Direktiva (EU) 2015/2366. Ta predlog bo z urejanjem distribucije storitev z digitalnim eurom, ki jo izvajajo ponudniki plačilnih storitev s sedežem v državi članici, katere valuta ni euro, zagotovil prosti pretok plačilnih storitev po vsej Uniji. Zagotovil bo, da bodo za ponudnike plačilnih storitev, ne glede na to, kje v Uniji imajo sedež, veljale podobne zahteve in nadzorni standardi, ki so potrebni za zaščito finančne stabilnosti in zagotavljanje enakih konkurenčnih pogojev za vse ponudnike plačilnih storitev.   </w:t>
      </w:r>
    </w:p>
    <w:p w14:paraId="442044DF" w14:textId="77777777" w:rsidR="004D0AEF" w:rsidRPr="004F6E38" w:rsidRDefault="004D0AEF" w:rsidP="00A4693B">
      <w:pPr>
        <w:pStyle w:val="ManualHeading2"/>
        <w:rPr>
          <w:rFonts w:eastAsia="Arial Unicode MS"/>
          <w:noProof/>
          <w:u w:color="000000"/>
          <w:bdr w:val="nil"/>
        </w:rPr>
      </w:pPr>
      <w:r w:rsidRPr="004F6E38">
        <w:rPr>
          <w:noProof/>
          <w:u w:color="000000"/>
          <w:bdr w:val="nil"/>
        </w:rPr>
        <w:t>•</w:t>
      </w:r>
      <w:r w:rsidRPr="004F6E38">
        <w:rPr>
          <w:noProof/>
        </w:rPr>
        <w:tab/>
      </w:r>
      <w:r w:rsidRPr="004F6E38">
        <w:rPr>
          <w:noProof/>
          <w:u w:color="000000"/>
          <w:bdr w:val="nil"/>
        </w:rPr>
        <w:t xml:space="preserve">Subsidiarnost  </w:t>
      </w:r>
    </w:p>
    <w:p w14:paraId="24FEE8D1" w14:textId="77777777" w:rsidR="00A22380" w:rsidRPr="004F6E38" w:rsidRDefault="00A22380" w:rsidP="00A22380">
      <w:pPr>
        <w:rPr>
          <w:rFonts w:eastAsia="Arial Unicode MS"/>
          <w:b/>
          <w:noProof/>
          <w:bdr w:val="none" w:sz="0" w:space="0" w:color="auto" w:frame="1"/>
        </w:rPr>
      </w:pPr>
      <w:r w:rsidRPr="004F6E38">
        <w:rPr>
          <w:noProof/>
        </w:rPr>
        <w:t xml:space="preserve">S to uredbo bi se ustrezne določbe Uredbe (EU) XX o uvedbi digitalnega eura uporabljale za ponudnike plačilnih storitev s sedežem v državi članici, katere valuta ni euro. Uredba (EU) XX o uvedbi digitalnega eura temelji na členu 133, ki je v izključni pristojnosti Unije. </w:t>
      </w:r>
    </w:p>
    <w:p w14:paraId="6236708B" w14:textId="77777777" w:rsidR="00A22380" w:rsidRPr="004F6E38" w:rsidRDefault="00A22380" w:rsidP="00A22380">
      <w:pPr>
        <w:contextualSpacing/>
        <w:rPr>
          <w:rFonts w:eastAsia="Arial Unicode MS"/>
          <w:noProof/>
          <w:szCs w:val="24"/>
        </w:rPr>
      </w:pPr>
      <w:r w:rsidRPr="004F6E38">
        <w:rPr>
          <w:noProof/>
        </w:rPr>
        <w:t>Glede na to, da je cilj predlaganih ukrepov zagotoviti, da se bo obstoječa zakonodaja Unije, ki temelji na členu 114 PDEU, uporabljala v zvezi s storitvami z digitalnim eurom, ki jih opravljajo ponudniki plačilnih storitev s sedežem v državi članici, katere valuta ni euro, se to lahko najbolje doseže na ravni EU in ne z različnimi nacionalnimi pobudami.</w:t>
      </w:r>
    </w:p>
    <w:p w14:paraId="5D885D6F" w14:textId="77777777" w:rsidR="00ED0690" w:rsidRPr="004F6E38" w:rsidRDefault="00023A8F" w:rsidP="00023A8F">
      <w:pPr>
        <w:pStyle w:val="ManualHeading2"/>
        <w:rPr>
          <w:rFonts w:eastAsia="Arial Unicode MS"/>
          <w:b w:val="0"/>
          <w:noProof/>
          <w:bdr w:val="none" w:sz="0" w:space="0" w:color="auto" w:frame="1"/>
        </w:rPr>
      </w:pPr>
      <w:r w:rsidRPr="004F6E38">
        <w:rPr>
          <w:noProof/>
          <w:u w:color="000000"/>
          <w:bdr w:val="nil"/>
        </w:rPr>
        <w:t>•</w:t>
      </w:r>
      <w:r w:rsidRPr="004F6E38">
        <w:rPr>
          <w:noProof/>
        </w:rPr>
        <w:tab/>
      </w:r>
      <w:r w:rsidRPr="004F6E38">
        <w:rPr>
          <w:noProof/>
          <w:u w:color="000000"/>
          <w:bdr w:val="nil"/>
        </w:rPr>
        <w:t xml:space="preserve">Sorazmernost </w:t>
      </w:r>
    </w:p>
    <w:p w14:paraId="53755C77" w14:textId="77777777" w:rsidR="00ED0690" w:rsidRPr="004F6E38" w:rsidRDefault="00ED0690" w:rsidP="003D173E">
      <w:pPr>
        <w:contextualSpacing/>
        <w:rPr>
          <w:rFonts w:eastAsia="Arial Unicode MS"/>
          <w:b/>
          <w:bCs/>
          <w:noProof/>
          <w:u w:color="000000"/>
          <w:bdr w:val="nil"/>
        </w:rPr>
      </w:pPr>
      <w:r w:rsidRPr="004F6E38">
        <w:rPr>
          <w:noProof/>
        </w:rPr>
        <w:t xml:space="preserve">Ta uredba je potrebna za preprečevanje ovir na notranjem trgu med ponudniki plačilnih storitev s sedežem v euroobmočju in zunaj njega. Obveznosti iz te uredbe so podobne obveznostim iz uredbe o uvedbi digitalnega eura in so zaradi razlogov, navedenih v obrazložitvenem memorandumu, priloženem navedenemu predlogu, v skladu z načelom sorazmernosti.   </w:t>
      </w:r>
    </w:p>
    <w:p w14:paraId="586925B5" w14:textId="77777777" w:rsidR="004D0AEF" w:rsidRPr="004F6E38" w:rsidRDefault="004D0AEF" w:rsidP="00A4693B">
      <w:pPr>
        <w:pStyle w:val="ManualHeading2"/>
        <w:rPr>
          <w:rFonts w:eastAsia="Arial Unicode MS"/>
          <w:noProof/>
          <w:u w:color="000000"/>
          <w:bdr w:val="nil"/>
        </w:rPr>
      </w:pPr>
      <w:r w:rsidRPr="004F6E38">
        <w:rPr>
          <w:noProof/>
          <w:u w:color="000000"/>
          <w:bdr w:val="nil"/>
        </w:rPr>
        <w:t>•</w:t>
      </w:r>
      <w:r w:rsidRPr="004F6E38">
        <w:rPr>
          <w:noProof/>
        </w:rPr>
        <w:tab/>
      </w:r>
      <w:r w:rsidRPr="004F6E38">
        <w:rPr>
          <w:noProof/>
          <w:u w:color="000000"/>
          <w:bdr w:val="nil"/>
        </w:rPr>
        <w:t>Izbira instrumenta</w:t>
      </w:r>
    </w:p>
    <w:p w14:paraId="54D880D8" w14:textId="77777777" w:rsidR="00A22380" w:rsidRPr="004F6E38" w:rsidRDefault="00A22380" w:rsidP="00A22380">
      <w:pPr>
        <w:spacing w:after="240"/>
        <w:rPr>
          <w:rFonts w:eastAsia="Arial Unicode MS"/>
          <w:noProof/>
          <w:szCs w:val="24"/>
        </w:rPr>
      </w:pPr>
      <w:r w:rsidRPr="004F6E38">
        <w:rPr>
          <w:noProof/>
        </w:rPr>
        <w:t>Uredba je ustrezen instrument za prispevanje k oblikovanju enotnega pravilnika, ki se splošno uporablja in je v celoti zavezujoč ter se neposredno uporablja v vseh državah članicah, s čimer se odpravlja možnost razlik v uporabi v različnih državah članicah.</w:t>
      </w:r>
    </w:p>
    <w:p w14:paraId="10D3D47C" w14:textId="77777777" w:rsidR="004D0AEF" w:rsidRPr="004F6E38" w:rsidRDefault="004D0AEF" w:rsidP="00550536">
      <w:pPr>
        <w:pStyle w:val="ManualHeading1"/>
        <w:rPr>
          <w:noProof/>
        </w:rPr>
      </w:pPr>
      <w:r w:rsidRPr="004F6E38">
        <w:rPr>
          <w:noProof/>
        </w:rPr>
        <w:t>3.</w:t>
      </w:r>
      <w:r w:rsidRPr="004F6E38">
        <w:rPr>
          <w:noProof/>
        </w:rPr>
        <w:tab/>
        <w:t>REZULTATI NAKNADNIH OCEN, POSVETOVANJ Z DELEŽNIKI IN OCEN UČINKA</w:t>
      </w:r>
    </w:p>
    <w:p w14:paraId="298B4FBF" w14:textId="77777777" w:rsidR="00A22380" w:rsidRPr="004F6E38" w:rsidRDefault="00A22380" w:rsidP="006419B0">
      <w:pPr>
        <w:spacing w:after="240"/>
        <w:rPr>
          <w:noProof/>
          <w:szCs w:val="24"/>
        </w:rPr>
      </w:pPr>
      <w:r w:rsidRPr="004F6E38">
        <w:rPr>
          <w:noProof/>
        </w:rPr>
        <w:t xml:space="preserve">Ta predlog temelji na naknadnih ocenah, posvetovanjih z deležniki in oceni učinka, izvedenih v okviru priprave predloga uredbe o uvedbi digitalnega eura. Ocena učinka predloga uredbe o uvedbi digitalnega eura je bila 14. oktobra 2022 predložena Odboru za regulativni nadzor in odobrena 25. aprila 2023. </w:t>
      </w:r>
    </w:p>
    <w:p w14:paraId="607F1CCA" w14:textId="77777777" w:rsidR="00A22380" w:rsidRPr="004F6E38" w:rsidRDefault="00A22380" w:rsidP="00A22380">
      <w:pPr>
        <w:spacing w:after="240"/>
        <w:rPr>
          <w:noProof/>
          <w:szCs w:val="24"/>
        </w:rPr>
      </w:pPr>
      <w:r w:rsidRPr="004F6E38">
        <w:rPr>
          <w:noProof/>
        </w:rPr>
        <w:t xml:space="preserve">Zaradi skladnosti z direktivo o plačilnih storitvah bi morali imeti vsi ponudniki plačilnih storitev v EU pravico do distribucije plačilnih storitev z digitalnim eurom v euroobmočju. To bo dodatno prispevalo k inovativnemu in konkurenčnemu trgu plačil malih vrednosti.  </w:t>
      </w:r>
    </w:p>
    <w:p w14:paraId="07805963" w14:textId="77777777" w:rsidR="004D0AEF" w:rsidRPr="004F6E38" w:rsidRDefault="00900EAF" w:rsidP="00550536">
      <w:pPr>
        <w:pBdr>
          <w:top w:val="nil"/>
          <w:left w:val="nil"/>
          <w:bottom w:val="nil"/>
          <w:right w:val="nil"/>
          <w:between w:val="nil"/>
          <w:bar w:val="nil"/>
        </w:pBdr>
        <w:spacing w:before="0" w:after="240"/>
        <w:rPr>
          <w:rFonts w:eastAsia="Arial Unicode MS"/>
          <w:noProof/>
        </w:rPr>
      </w:pPr>
      <w:r w:rsidRPr="004F6E38">
        <w:rPr>
          <w:noProof/>
        </w:rPr>
        <w:t xml:space="preserve">Kar zadeva temeljne pravice, ta predlog izrecno zagotavlja, da imajo ponudniki plačilnih storitev s sedežem v državi članici, katere valuta ni euro, pravico do svobode gospodarske pobude (opravljanje storitev z digitalnim eurom) v skladu s členom 16 Listine Evropske unije o temeljnih pravicah. Spoštovanje drugih temeljnih pravic je podrobneje opredeljeno v obrazložitvenem memorandumu predloga uredbe o uvedbi digitalnega eura.  </w:t>
      </w:r>
    </w:p>
    <w:p w14:paraId="61F1E2EF" w14:textId="77777777" w:rsidR="004D0AEF" w:rsidRPr="004F6E38" w:rsidRDefault="004D0AEF" w:rsidP="00550536">
      <w:pPr>
        <w:pStyle w:val="ManualHeading1"/>
        <w:rPr>
          <w:noProof/>
        </w:rPr>
      </w:pPr>
      <w:r w:rsidRPr="004F6E38">
        <w:rPr>
          <w:noProof/>
        </w:rPr>
        <w:t>4.</w:t>
      </w:r>
      <w:r w:rsidRPr="004F6E38">
        <w:rPr>
          <w:noProof/>
        </w:rPr>
        <w:tab/>
        <w:t>PRORAČUNSKE POSLEDICE</w:t>
      </w:r>
    </w:p>
    <w:p w14:paraId="179BDEF7" w14:textId="77777777" w:rsidR="00A22380" w:rsidRPr="004F6E38" w:rsidRDefault="00A22380" w:rsidP="00A22380">
      <w:pPr>
        <w:rPr>
          <w:noProof/>
        </w:rPr>
      </w:pPr>
      <w:r w:rsidRPr="004F6E38">
        <w:rPr>
          <w:noProof/>
        </w:rPr>
        <w:t>Ta uredba ne vpliva na proračun.</w:t>
      </w:r>
    </w:p>
    <w:p w14:paraId="51C57209" w14:textId="77777777" w:rsidR="004D0AEF" w:rsidRPr="004F6E38" w:rsidRDefault="004D0AEF" w:rsidP="00550536">
      <w:pPr>
        <w:pStyle w:val="ManualHeading1"/>
        <w:rPr>
          <w:noProof/>
        </w:rPr>
      </w:pPr>
      <w:r w:rsidRPr="004F6E38">
        <w:rPr>
          <w:noProof/>
        </w:rPr>
        <w:t>5.</w:t>
      </w:r>
      <w:r w:rsidRPr="004F6E38">
        <w:rPr>
          <w:noProof/>
        </w:rPr>
        <w:tab/>
        <w:t>DRUGI ELEMENTI</w:t>
      </w:r>
    </w:p>
    <w:p w14:paraId="1EB4A7FA" w14:textId="77777777" w:rsidR="004D0AEF" w:rsidRPr="004F6E38" w:rsidRDefault="004D0AEF" w:rsidP="00A4693B">
      <w:pPr>
        <w:pStyle w:val="ManualHeading2"/>
        <w:rPr>
          <w:rFonts w:eastAsia="Arial Unicode MS"/>
          <w:noProof/>
          <w:u w:color="000000"/>
          <w:bdr w:val="nil"/>
        </w:rPr>
      </w:pPr>
      <w:r w:rsidRPr="004F6E38">
        <w:rPr>
          <w:noProof/>
          <w:u w:color="000000"/>
          <w:bdr w:val="nil"/>
        </w:rPr>
        <w:t>•</w:t>
      </w:r>
      <w:r w:rsidRPr="004F6E38">
        <w:rPr>
          <w:noProof/>
        </w:rPr>
        <w:tab/>
      </w:r>
      <w:r w:rsidRPr="004F6E38">
        <w:rPr>
          <w:noProof/>
          <w:u w:color="000000"/>
          <w:bdr w:val="nil"/>
        </w:rPr>
        <w:t>Načrti za izvedbo ter ureditev spremljanja, ocenjevanja in poročanja</w:t>
      </w:r>
    </w:p>
    <w:p w14:paraId="139CDA18" w14:textId="77777777" w:rsidR="00D2655D" w:rsidRPr="004F6E38" w:rsidRDefault="00D2655D" w:rsidP="00D2655D">
      <w:pPr>
        <w:pBdr>
          <w:top w:val="nil"/>
          <w:left w:val="nil"/>
          <w:bottom w:val="nil"/>
          <w:right w:val="nil"/>
          <w:between w:val="nil"/>
          <w:bar w:val="nil"/>
        </w:pBdr>
        <w:spacing w:before="0" w:after="240"/>
        <w:rPr>
          <w:rFonts w:eastAsia="Arial Unicode MS"/>
          <w:noProof/>
        </w:rPr>
      </w:pPr>
      <w:r w:rsidRPr="004F6E38">
        <w:rPr>
          <w:noProof/>
        </w:rPr>
        <w:t>Cilj zagotavljanja, da lahko izdani centralnobančni denar, tj. euro, podpira EU z izpolnjevanjem plačilnih potreb v digitalni dobi, se lahko stalno spremlja na podlagi podatkov ponudnikov plačilnih storitev, trgovcev in Evropske centralne banke. Skupno število in obseg plačil malih vrednosti z digitalnim eurom ter njihov relativni delež v primerjavi z drugimi plačilnimi sredstvi bi lahko bili glavni kazalniki pri spremljanju uporabe digitalnega eura v digitaliziranem gospodarstvu EU.</w:t>
      </w:r>
    </w:p>
    <w:p w14:paraId="03678E02" w14:textId="77777777" w:rsidR="00D2655D" w:rsidRPr="004F6E38" w:rsidRDefault="00D2655D" w:rsidP="00D2655D">
      <w:pPr>
        <w:pBdr>
          <w:top w:val="nil"/>
          <w:left w:val="nil"/>
          <w:bottom w:val="nil"/>
          <w:right w:val="nil"/>
          <w:between w:val="nil"/>
          <w:bar w:val="nil"/>
        </w:pBdr>
        <w:spacing w:before="0" w:after="240"/>
        <w:rPr>
          <w:rFonts w:eastAsia="Arial Unicode MS"/>
          <w:noProof/>
        </w:rPr>
      </w:pPr>
      <w:r w:rsidRPr="004F6E38">
        <w:rPr>
          <w:noProof/>
        </w:rPr>
        <w:t>Predlog vključuje splošni načrt za spremljanje in ocenjevanje učinka na specifične cilje, pri čemer mora Komisija opraviti prvi pregled tri leta po datumu začetka uporabe uredbe (nato pa vsaka tri leta) ter o svojih glavnih ugotovitvah poročati Evropskemu parlamentu in Svetu. Pregled je treba izvesti v skladu s smernicami Komisije za boljše pravno urejanje.</w:t>
      </w:r>
    </w:p>
    <w:p w14:paraId="36BF9A8D" w14:textId="77777777" w:rsidR="00A22380" w:rsidRPr="004F6E38" w:rsidRDefault="00A22380" w:rsidP="00C42A21">
      <w:pPr>
        <w:pStyle w:val="ManualHeading2"/>
        <w:rPr>
          <w:rFonts w:eastAsia="Arial Unicode MS"/>
          <w:b w:val="0"/>
          <w:noProof/>
          <w:bdr w:val="none" w:sz="0" w:space="0" w:color="auto" w:frame="1"/>
        </w:rPr>
      </w:pPr>
      <w:r w:rsidRPr="004F6E38">
        <w:rPr>
          <w:noProof/>
          <w:bdr w:val="none" w:sz="0" w:space="0" w:color="auto" w:frame="1"/>
        </w:rPr>
        <w:t>•</w:t>
      </w:r>
      <w:r w:rsidRPr="004F6E38">
        <w:rPr>
          <w:noProof/>
        </w:rPr>
        <w:tab/>
      </w:r>
      <w:r w:rsidRPr="004F6E38">
        <w:rPr>
          <w:noProof/>
          <w:bdr w:val="none" w:sz="0" w:space="0" w:color="auto" w:frame="1"/>
        </w:rPr>
        <w:t>Natančnejša pojasnitev posameznih določb predloga</w:t>
      </w:r>
    </w:p>
    <w:p w14:paraId="6F98D30F" w14:textId="77777777" w:rsidR="00A22380" w:rsidRPr="004F6E38" w:rsidRDefault="00A22380" w:rsidP="00B23D96">
      <w:pPr>
        <w:pStyle w:val="ManualHeading3"/>
        <w:rPr>
          <w:noProof/>
        </w:rPr>
      </w:pPr>
      <w:r w:rsidRPr="004F6E38">
        <w:rPr>
          <w:noProof/>
        </w:rPr>
        <w:t xml:space="preserve">Predmet urejanja (člen 1) </w:t>
      </w:r>
    </w:p>
    <w:p w14:paraId="54E5DD5C" w14:textId="77777777" w:rsidR="00A22380" w:rsidRPr="004F6E38" w:rsidRDefault="00A22380" w:rsidP="003D173E">
      <w:pPr>
        <w:pBdr>
          <w:top w:val="nil"/>
          <w:left w:val="nil"/>
          <w:bottom w:val="nil"/>
          <w:right w:val="nil"/>
          <w:between w:val="nil"/>
          <w:bar w:val="nil"/>
        </w:pBdr>
        <w:spacing w:before="0" w:after="240"/>
        <w:rPr>
          <w:noProof/>
        </w:rPr>
      </w:pPr>
      <w:r w:rsidRPr="004F6E38">
        <w:rPr>
          <w:noProof/>
        </w:rPr>
        <w:t xml:space="preserve">Namen te uredbe je določiti pravila v zvezi s posebnimi obveznostmi, ki jih morajo ponudniki plačilnih storitev s sedežem v državi članici, katere valuta ni euro, izpolnjevati pri distribuciji digitalnega eura, ter nadzor in izvrševanje teh obveznosti.  </w:t>
      </w:r>
    </w:p>
    <w:p w14:paraId="1169F674" w14:textId="77777777" w:rsidR="00A22380" w:rsidRPr="004F6E38" w:rsidRDefault="00A22380" w:rsidP="00B23D96">
      <w:pPr>
        <w:pStyle w:val="ManualHeading3"/>
        <w:rPr>
          <w:noProof/>
        </w:rPr>
      </w:pPr>
      <w:r w:rsidRPr="004F6E38">
        <w:rPr>
          <w:noProof/>
        </w:rPr>
        <w:t>Distribucija digitalnega eura (člen 3)</w:t>
      </w:r>
    </w:p>
    <w:p w14:paraId="2920866D" w14:textId="77777777" w:rsidR="00A22380" w:rsidRPr="004F6E38" w:rsidRDefault="00A22380" w:rsidP="003D173E">
      <w:pPr>
        <w:pBdr>
          <w:top w:val="nil"/>
          <w:left w:val="nil"/>
          <w:bottom w:val="nil"/>
          <w:right w:val="nil"/>
          <w:between w:val="nil"/>
          <w:bar w:val="nil"/>
        </w:pBdr>
        <w:spacing w:before="0" w:after="240"/>
        <w:rPr>
          <w:noProof/>
        </w:rPr>
      </w:pPr>
      <w:r w:rsidRPr="004F6E38">
        <w:rPr>
          <w:noProof/>
        </w:rPr>
        <w:t xml:space="preserve">Brez poseganja v poglavje V Uredbe (EU) (XXX/XXX) o uvedbi digitalnega eura, ki ureja dostop do digitalnega eura in njegovo uporabo zunaj euroobmočja, bi moralo biti opravljanje storitev z digitalnim eurom s strani ponudnikov plačilnih storitev s sedežem v državi članici, katere valuta ni euro, namenjeno predvsem (i) fizičnim ali pravnim osebam s prebivališčem ali sedežem v državi članici, katere valuta je euro, (ii) fizičnim ali pravnim osebam, ki so odprle račun za digitalni euro v času, ko so prebivale ali so imele sedež v državi članici, katere valuta je euro, vendar v tej državi članici nimajo več prebivališča ali sedeža, (iii) obiskovalcem pod pogoji iz člena 20 uredbe o uvedbi digitalnega eura. </w:t>
      </w:r>
    </w:p>
    <w:p w14:paraId="5FD1C59C" w14:textId="77777777" w:rsidR="00A22380" w:rsidRPr="004F6E38" w:rsidRDefault="00A22380" w:rsidP="003D173E">
      <w:pPr>
        <w:pBdr>
          <w:top w:val="nil"/>
          <w:left w:val="nil"/>
          <w:bottom w:val="nil"/>
          <w:right w:val="nil"/>
          <w:between w:val="nil"/>
          <w:bar w:val="nil"/>
        </w:pBdr>
        <w:spacing w:before="0" w:after="240"/>
        <w:rPr>
          <w:noProof/>
        </w:rPr>
      </w:pPr>
      <w:r w:rsidRPr="004F6E38">
        <w:rPr>
          <w:noProof/>
        </w:rPr>
        <w:t xml:space="preserve">Ponudniki plačilnih storitev, ki imajo dovoljenje zunaj euroobmočja, lahko te storitve opravljajo v okviru svobode ustanavljanja ali prostega opravljanja storitev v skladu z Direktivo 2015/2366. </w:t>
      </w:r>
    </w:p>
    <w:p w14:paraId="0D96CC7D" w14:textId="221788CD" w:rsidR="00A22380" w:rsidRPr="004F6E38" w:rsidRDefault="00A22380" w:rsidP="00B23D96">
      <w:pPr>
        <w:pStyle w:val="ManualHeading3"/>
        <w:rPr>
          <w:noProof/>
        </w:rPr>
      </w:pPr>
      <w:r w:rsidRPr="004F6E38">
        <w:rPr>
          <w:noProof/>
        </w:rPr>
        <w:t>Pravo, ki se uporablja, in pristojni organi (členi 4 do 6)</w:t>
      </w:r>
    </w:p>
    <w:p w14:paraId="6D2F9094" w14:textId="63F611D0" w:rsidR="00A22380" w:rsidRPr="004F6E38" w:rsidRDefault="00A22380" w:rsidP="003D173E">
      <w:pPr>
        <w:pBdr>
          <w:top w:val="nil"/>
          <w:left w:val="nil"/>
          <w:bottom w:val="nil"/>
          <w:right w:val="nil"/>
          <w:between w:val="nil"/>
          <w:bar w:val="nil"/>
        </w:pBdr>
        <w:spacing w:before="0" w:after="240"/>
        <w:rPr>
          <w:noProof/>
          <w:bdr w:val="none" w:sz="0" w:space="0" w:color="auto" w:frame="1"/>
        </w:rPr>
      </w:pPr>
      <w:r w:rsidRPr="004F6E38">
        <w:rPr>
          <w:noProof/>
          <w:bdr w:val="none" w:sz="0" w:space="0" w:color="auto" w:frame="1"/>
        </w:rPr>
        <w:t>Člen 5 pojasnjuje, da se za digitalni euro uporablja Direktiva (EU) 2015/2366 Evropskega parlamenta in Sveta z dne 25.</w:t>
      </w:r>
      <w:r w:rsidRPr="004F6E38">
        <w:rPr>
          <w:noProof/>
        </w:rPr>
        <w:t xml:space="preserve"> novembra</w:t>
      </w:r>
      <w:r w:rsidRPr="004F6E38">
        <w:rPr>
          <w:noProof/>
          <w:bdr w:val="none" w:sz="0" w:space="0" w:color="auto" w:frame="1"/>
        </w:rPr>
        <w:t xml:space="preserve"> 2015 o plačilnih storitvah na notranjem trgu, kakor je bila spremenjena z Direktivo (EU)</w:t>
      </w:r>
      <w:r w:rsidRPr="004F6E38">
        <w:rPr>
          <w:noProof/>
        </w:rPr>
        <w:t xml:space="preserve">  [</w:t>
      </w:r>
      <w:r w:rsidRPr="004F6E38">
        <w:rPr>
          <w:i/>
          <w:noProof/>
        </w:rPr>
        <w:t>vstavite sklic – predlog direktive Evropskega parlamenta in Sveta o plačilnih storitvah in storitvah v zvezi z elektronskim denarjem na notranjem trgu, spremembi Direktive 98/26/ES ter razveljavitvi direktiv (EU) 2015/2366 in 2009/110/ES – COM(2023) 366 final</w:t>
      </w:r>
      <w:r w:rsidRPr="004F6E38">
        <w:rPr>
          <w:noProof/>
        </w:rPr>
        <w:t>].</w:t>
      </w:r>
      <w:r w:rsidRPr="004F6E38">
        <w:rPr>
          <w:noProof/>
          <w:bdr w:val="none" w:sz="0" w:space="0" w:color="auto" w:frame="1"/>
        </w:rPr>
        <w:t xml:space="preserve"> Navedena direktiva določa, da bi se moral poleg bankovcev in kovancev za „sredstva“ v smislu navedene direktive šteti tudi centralnobančni denar, izdan za uporabo na drobno. Podobno bi se morala za digitalni euro uporabljati okvir za preprečevanje pranja denarja in financiranja terorizma iz Direktive (EU) 2015/849 Evropskega parlamenta in Sveta z dne 20. maja 2015 o preprečevanju uporabe finančnega sistema za pranje denarja ali financiranje terorizma in Uredba (EU) 2015/847 Evropskega parlamenta in Sveta z dne 20. maja 2015 o informacijah, ki spremljajo prenose sredstev.</w:t>
      </w:r>
    </w:p>
    <w:p w14:paraId="54CA6E4F" w14:textId="77777777" w:rsidR="00A22380" w:rsidRPr="004F6E38" w:rsidRDefault="00A22380" w:rsidP="003D173E">
      <w:pPr>
        <w:pBdr>
          <w:top w:val="nil"/>
          <w:left w:val="nil"/>
          <w:bottom w:val="nil"/>
          <w:right w:val="nil"/>
          <w:between w:val="nil"/>
          <w:bar w:val="nil"/>
        </w:pBdr>
        <w:spacing w:before="0" w:after="240"/>
        <w:rPr>
          <w:noProof/>
          <w:bdr w:val="none" w:sz="0" w:space="0" w:color="auto" w:frame="1"/>
        </w:rPr>
      </w:pPr>
      <w:r w:rsidRPr="004F6E38">
        <w:rPr>
          <w:noProof/>
          <w:bdr w:val="none" w:sz="0" w:space="0" w:color="auto" w:frame="1"/>
        </w:rPr>
        <w:t xml:space="preserve">Ponudniki plačilnih storitev s sedežem v državi članici, katere valuta ni euro, lahko distribuirajo digitalni euro pod nadzorom in režimom sankcij držav članic, katerih valuta ni euro. </w:t>
      </w:r>
    </w:p>
    <w:p w14:paraId="74F69FF1" w14:textId="77777777" w:rsidR="00A22380" w:rsidRPr="004F6E38" w:rsidRDefault="00A22380" w:rsidP="003D173E">
      <w:pPr>
        <w:pBdr>
          <w:top w:val="nil"/>
          <w:left w:val="nil"/>
          <w:bottom w:val="nil"/>
          <w:right w:val="nil"/>
          <w:between w:val="nil"/>
          <w:bar w:val="nil"/>
        </w:pBdr>
        <w:spacing w:before="0" w:after="240"/>
        <w:rPr>
          <w:noProof/>
          <w:bdr w:val="none" w:sz="0" w:space="0" w:color="auto" w:frame="1"/>
        </w:rPr>
      </w:pPr>
      <w:r w:rsidRPr="004F6E38">
        <w:rPr>
          <w:noProof/>
        </w:rPr>
        <w:t>Medtem ko bi bili pristojni organi na podlagi Direktive 2015/2366 in Direktive 2015/849 odgovorni za nadzor in izvrševanje vseh obveznosti iz navedenih aktov Unije, ki temeljijo na členu 114 PDEU, bi bili isti pristojni organi odgovorni tudi za zagotavljanje spoštovanja ustreznih določb uredbe o uvedbi digitalnega eura, kot je določeno v tej uredbi.</w:t>
      </w:r>
      <w:r w:rsidRPr="004F6E38">
        <w:rPr>
          <w:noProof/>
          <w:bdr w:val="none" w:sz="0" w:space="0" w:color="auto" w:frame="1"/>
        </w:rPr>
        <w:t xml:space="preserve"> </w:t>
      </w:r>
    </w:p>
    <w:p w14:paraId="3462D930" w14:textId="77777777" w:rsidR="00A22380" w:rsidRPr="004F6E38" w:rsidRDefault="00A22380" w:rsidP="003D173E">
      <w:pPr>
        <w:pBdr>
          <w:top w:val="nil"/>
          <w:left w:val="nil"/>
          <w:bottom w:val="nil"/>
          <w:right w:val="nil"/>
          <w:between w:val="nil"/>
          <w:bar w:val="nil"/>
        </w:pBdr>
        <w:spacing w:before="0" w:after="240"/>
        <w:rPr>
          <w:noProof/>
          <w:bdr w:val="none" w:sz="0" w:space="0" w:color="auto" w:frame="1"/>
        </w:rPr>
      </w:pPr>
      <w:r w:rsidRPr="004F6E38">
        <w:rPr>
          <w:noProof/>
        </w:rPr>
        <w:t>Nadzorne ureditve med pristojnimi organi matične države članice in pristojnimi organi držav članic gostiteljic, določene v Direktivi 2015/2366 in Direktivi 2015/849, bi se morale uporabljati tudi v zvezi z digitalnim eurom.</w:t>
      </w:r>
      <w:r w:rsidRPr="004F6E38">
        <w:rPr>
          <w:noProof/>
          <w:bdr w:val="none" w:sz="0" w:space="0" w:color="auto" w:frame="1"/>
        </w:rPr>
        <w:t xml:space="preserve"> </w:t>
      </w:r>
    </w:p>
    <w:p w14:paraId="4F32CAFF" w14:textId="77777777" w:rsidR="00A22380" w:rsidRPr="004F6E38" w:rsidRDefault="00A22380" w:rsidP="00B23D96">
      <w:pPr>
        <w:pStyle w:val="ManualHeading3"/>
        <w:rPr>
          <w:noProof/>
        </w:rPr>
      </w:pPr>
      <w:r w:rsidRPr="004F6E38">
        <w:rPr>
          <w:noProof/>
        </w:rPr>
        <w:t>Končne določbe (člen 8)</w:t>
      </w:r>
    </w:p>
    <w:p w14:paraId="6AA27A31" w14:textId="77777777" w:rsidR="00A22380" w:rsidRPr="004F6E38" w:rsidRDefault="00A22380" w:rsidP="003D173E">
      <w:pPr>
        <w:pBdr>
          <w:top w:val="nil"/>
          <w:left w:val="nil"/>
          <w:bottom w:val="nil"/>
          <w:right w:val="nil"/>
          <w:between w:val="nil"/>
          <w:bar w:val="nil"/>
        </w:pBdr>
        <w:spacing w:before="0" w:after="240"/>
        <w:rPr>
          <w:noProof/>
        </w:rPr>
      </w:pPr>
      <w:r w:rsidRPr="004F6E38">
        <w:rPr>
          <w:noProof/>
        </w:rPr>
        <w:t>Ta uredba bi morala začeti veljati dvajseti dan po objavi v </w:t>
      </w:r>
      <w:r w:rsidRPr="004F6E38">
        <w:rPr>
          <w:i/>
          <w:iCs/>
          <w:noProof/>
        </w:rPr>
        <w:t>Uradnem listu Evropske unije</w:t>
      </w:r>
      <w:r w:rsidRPr="004F6E38">
        <w:rPr>
          <w:noProof/>
        </w:rPr>
        <w:t xml:space="preserve">.  </w:t>
      </w:r>
    </w:p>
    <w:p w14:paraId="763696AB" w14:textId="77777777" w:rsidR="004D0AEF" w:rsidRPr="004F6E38" w:rsidRDefault="004D0AEF" w:rsidP="00F96E01">
      <w:pPr>
        <w:rPr>
          <w:noProof/>
        </w:rPr>
        <w:sectPr w:rsidR="004D0AEF" w:rsidRPr="004F6E38" w:rsidSect="00ED4319">
          <w:footerReference w:type="default" r:id="rId10"/>
          <w:footerReference w:type="first" r:id="rId11"/>
          <w:pgSz w:w="11907" w:h="16839"/>
          <w:pgMar w:top="1134" w:right="1417" w:bottom="1134" w:left="1417" w:header="709" w:footer="709" w:gutter="0"/>
          <w:cols w:space="708"/>
          <w:docGrid w:linePitch="360"/>
        </w:sectPr>
      </w:pPr>
    </w:p>
    <w:p w14:paraId="0FF50F8C" w14:textId="00748BEB" w:rsidR="00AC7B60" w:rsidRPr="004F6E38" w:rsidRDefault="00D44C0E" w:rsidP="00D44C0E">
      <w:pPr>
        <w:pStyle w:val="Rfrenceinterinstitutionnelle"/>
        <w:rPr>
          <w:noProof/>
        </w:rPr>
      </w:pPr>
      <w:r w:rsidRPr="00D44C0E">
        <w:t>2023/0211 (COD)</w:t>
      </w:r>
    </w:p>
    <w:p w14:paraId="273F1B67" w14:textId="2C6BF49E" w:rsidR="004D0AEF" w:rsidRPr="004F6E38" w:rsidRDefault="00704192" w:rsidP="00704192">
      <w:pPr>
        <w:pStyle w:val="Statut"/>
        <w:rPr>
          <w:noProof/>
        </w:rPr>
      </w:pPr>
      <w:r w:rsidRPr="00704192">
        <w:rPr>
          <w:noProof/>
        </w:rPr>
        <w:t>Predlog</w:t>
      </w:r>
    </w:p>
    <w:p w14:paraId="3B0B0CDE" w14:textId="7FF8BB1C" w:rsidR="004D0AEF" w:rsidRPr="004F6E38" w:rsidRDefault="00704192" w:rsidP="00704192">
      <w:pPr>
        <w:pStyle w:val="Typedudocument"/>
        <w:rPr>
          <w:noProof/>
        </w:rPr>
      </w:pPr>
      <w:r w:rsidRPr="00704192">
        <w:rPr>
          <w:noProof/>
        </w:rPr>
        <w:t>UREDBA EVROPSKEGA PARLAMENTA IN SVETA</w:t>
      </w:r>
    </w:p>
    <w:p w14:paraId="31F9814F" w14:textId="4EDB0125" w:rsidR="004D0AEF" w:rsidRPr="004F6E38" w:rsidRDefault="00704192" w:rsidP="00704192">
      <w:pPr>
        <w:pStyle w:val="Titreobjet"/>
        <w:rPr>
          <w:noProof/>
        </w:rPr>
      </w:pPr>
      <w:r w:rsidRPr="00704192">
        <w:rPr>
          <w:noProof/>
        </w:rPr>
        <w:t xml:space="preserve">o opravljanju storitev z digitalnim eurom s strani ponudnikov plačilnih storitev s sedežem v državi članici, katere valuta ni euro, in spremembi Uredbe (EU) 2021/1230 Evropskega parlamenta in Sveta </w:t>
      </w:r>
      <w:r w:rsidRPr="00704192">
        <w:rPr>
          <w:noProof/>
        </w:rPr>
        <w:br/>
      </w:r>
    </w:p>
    <w:p w14:paraId="4BE27350" w14:textId="076BF3B1" w:rsidR="000039AC" w:rsidRPr="004F6E38" w:rsidRDefault="00704192" w:rsidP="00704192">
      <w:pPr>
        <w:pStyle w:val="IntrtEEE"/>
        <w:rPr>
          <w:noProof/>
        </w:rPr>
      </w:pPr>
      <w:r w:rsidRPr="00704192">
        <w:rPr>
          <w:noProof/>
        </w:rPr>
        <w:t>(Besedilo velja za EGP)</w:t>
      </w:r>
    </w:p>
    <w:p w14:paraId="496EA612" w14:textId="77777777" w:rsidR="004D0AEF" w:rsidRPr="004F6E38" w:rsidRDefault="004D0AEF" w:rsidP="006D42BA">
      <w:pPr>
        <w:pStyle w:val="Institutionquiagit"/>
        <w:rPr>
          <w:noProof/>
        </w:rPr>
      </w:pPr>
      <w:r w:rsidRPr="004F6E38">
        <w:rPr>
          <w:noProof/>
        </w:rPr>
        <w:t>EVROPSKI PARLAMENT IN SVET EVROPSKE UNIJE STA –</w:t>
      </w:r>
    </w:p>
    <w:p w14:paraId="34E5CA7F" w14:textId="77777777" w:rsidR="004D0AEF" w:rsidRPr="004F6E38" w:rsidRDefault="004D0AEF" w:rsidP="006D42BA">
      <w:pPr>
        <w:rPr>
          <w:noProof/>
        </w:rPr>
      </w:pPr>
      <w:r w:rsidRPr="004F6E38">
        <w:rPr>
          <w:noProof/>
        </w:rPr>
        <w:t>ob upoštevanju Pogodbe o delovanju Evropske unije in zlasti člena 114 Pogodbe,</w:t>
      </w:r>
    </w:p>
    <w:p w14:paraId="6E962853" w14:textId="77777777" w:rsidR="004D0AEF" w:rsidRPr="004F6E38" w:rsidRDefault="004D0AEF" w:rsidP="006D42BA">
      <w:pPr>
        <w:rPr>
          <w:noProof/>
        </w:rPr>
      </w:pPr>
      <w:r w:rsidRPr="004F6E38">
        <w:rPr>
          <w:noProof/>
        </w:rPr>
        <w:t>ob upoštevanju predloga Evropske komisije,</w:t>
      </w:r>
    </w:p>
    <w:p w14:paraId="1195EF37" w14:textId="77777777" w:rsidR="004D0AEF" w:rsidRPr="004F6E38" w:rsidRDefault="004D0AEF" w:rsidP="006D42BA">
      <w:pPr>
        <w:rPr>
          <w:noProof/>
        </w:rPr>
      </w:pPr>
      <w:r w:rsidRPr="004F6E38">
        <w:rPr>
          <w:noProof/>
        </w:rPr>
        <w:t>po posredovanju osnutka zakonodajnega akta nacionalnim parlamentom,</w:t>
      </w:r>
    </w:p>
    <w:p w14:paraId="4006DC95" w14:textId="77777777" w:rsidR="002A1BBA" w:rsidRPr="004F6E38" w:rsidRDefault="002A1BBA" w:rsidP="002A1BBA">
      <w:pPr>
        <w:rPr>
          <w:rFonts w:eastAsia="Times New Roman"/>
          <w:noProof/>
          <w:szCs w:val="24"/>
        </w:rPr>
      </w:pPr>
      <w:r w:rsidRPr="004F6E38">
        <w:rPr>
          <w:noProof/>
        </w:rPr>
        <w:t>ob upoštevanju mnenja Evropske centralne banke</w:t>
      </w:r>
      <w:r w:rsidRPr="004F6E38">
        <w:rPr>
          <w:rStyle w:val="FootnoteReference"/>
          <w:noProof/>
        </w:rPr>
        <w:footnoteReference w:id="3"/>
      </w:r>
      <w:r w:rsidRPr="004F6E38">
        <w:rPr>
          <w:noProof/>
        </w:rPr>
        <w:t>,</w:t>
      </w:r>
    </w:p>
    <w:p w14:paraId="62492488" w14:textId="77777777" w:rsidR="004D0AEF" w:rsidRPr="004F6E38" w:rsidRDefault="004D0AEF" w:rsidP="006D42BA">
      <w:pPr>
        <w:rPr>
          <w:noProof/>
        </w:rPr>
      </w:pPr>
      <w:r w:rsidRPr="004F6E38">
        <w:rPr>
          <w:noProof/>
        </w:rPr>
        <w:t>ob upoštevanju mnenja Evropskega ekonomsko-socialnega odbora</w:t>
      </w:r>
      <w:r w:rsidRPr="004F6E38">
        <w:rPr>
          <w:rStyle w:val="FootnoteReference"/>
          <w:noProof/>
        </w:rPr>
        <w:footnoteReference w:id="4"/>
      </w:r>
      <w:r w:rsidRPr="004F6E38">
        <w:rPr>
          <w:noProof/>
        </w:rPr>
        <w:t>,</w:t>
      </w:r>
    </w:p>
    <w:p w14:paraId="2B0B5E88" w14:textId="77777777" w:rsidR="004D0AEF" w:rsidRPr="004F6E38" w:rsidRDefault="004D0AEF" w:rsidP="006D42BA">
      <w:pPr>
        <w:rPr>
          <w:noProof/>
        </w:rPr>
      </w:pPr>
      <w:r w:rsidRPr="004F6E38">
        <w:rPr>
          <w:noProof/>
        </w:rPr>
        <w:t>v skladu z rednim zakonodajnim postopkom,</w:t>
      </w:r>
    </w:p>
    <w:p w14:paraId="6E365B2C" w14:textId="77777777" w:rsidR="004D0AEF" w:rsidRPr="004F6E38" w:rsidRDefault="004D0AEF" w:rsidP="006D42BA">
      <w:pPr>
        <w:rPr>
          <w:noProof/>
        </w:rPr>
      </w:pPr>
      <w:r w:rsidRPr="004F6E38">
        <w:rPr>
          <w:noProof/>
        </w:rPr>
        <w:t>ob upoštevanju naslednjega:</w:t>
      </w:r>
    </w:p>
    <w:p w14:paraId="3654AA09" w14:textId="71F1CF5D" w:rsidR="00A22380" w:rsidRPr="004F6E38" w:rsidRDefault="00EE135F" w:rsidP="00EE135F">
      <w:pPr>
        <w:pStyle w:val="ManualConsidrant"/>
        <w:rPr>
          <w:noProof/>
        </w:rPr>
      </w:pPr>
      <w:bookmarkStart w:id="2" w:name="_Ref126239952"/>
      <w:r w:rsidRPr="004F6E38">
        <w:rPr>
          <w:noProof/>
        </w:rPr>
        <w:t>(1)</w:t>
      </w:r>
      <w:r w:rsidRPr="004F6E38">
        <w:rPr>
          <w:noProof/>
        </w:rPr>
        <w:tab/>
        <w:t>Komisija je v strategijah za digitalne finance in mala plačila</w:t>
      </w:r>
      <w:r w:rsidRPr="004F6E38">
        <w:rPr>
          <w:rStyle w:val="FootnoteReference"/>
          <w:noProof/>
        </w:rPr>
        <w:footnoteReference w:id="5"/>
      </w:r>
      <w:r w:rsidRPr="004F6E38">
        <w:rPr>
          <w:noProof/>
        </w:rPr>
        <w:t xml:space="preserve"> iz septembra 2020 poudarila, da bi digitalni euro kot centralnobančna digitalna valuta za plačila malih vrednosti spodbujal inovacije na področju plačil, financiranja in trgovanja v okviru sedanjih prizadevanj za zmanjšanje razdrobljenosti trga plačil malih vrednosti v EU. </w:t>
      </w:r>
      <w:bookmarkEnd w:id="2"/>
    </w:p>
    <w:p w14:paraId="690BE945" w14:textId="7DC5FB13" w:rsidR="00A22380" w:rsidRPr="004F6E38" w:rsidRDefault="00EE135F" w:rsidP="00EE135F">
      <w:pPr>
        <w:pStyle w:val="ManualConsidrant"/>
        <w:rPr>
          <w:noProof/>
        </w:rPr>
      </w:pPr>
      <w:r w:rsidRPr="004F6E38">
        <w:rPr>
          <w:noProof/>
        </w:rPr>
        <w:t>(2)</w:t>
      </w:r>
      <w:r w:rsidRPr="004F6E38">
        <w:rPr>
          <w:noProof/>
        </w:rPr>
        <w:tab/>
        <w:t>Uredba (EU) [</w:t>
      </w:r>
      <w:r w:rsidRPr="004F6E38">
        <w:rPr>
          <w:i/>
          <w:noProof/>
          <w:sz w:val="23"/>
        </w:rPr>
        <w:t>vstavite sklic – predlog uredbe Evropskega parlamenta in Sveta o uvedbi digitalnega eura – COM(2023) 369 final]</w:t>
      </w:r>
      <w:r w:rsidRPr="004F6E38">
        <w:rPr>
          <w:noProof/>
        </w:rPr>
        <w:t xml:space="preserve"> o uvedbi digitalnega eura uvaja digitalni euro in določa pravila v zvezi z njim, zlasti kar zadeva njegov status zakonitega plačilnega sredstva, distribucijo, uporabo in bistvene značilnosti, z namenom prilagoditve eura tehnološkim spremembam in zagotovitve njegove uporabe kot enotne valute.</w:t>
      </w:r>
    </w:p>
    <w:p w14:paraId="0900D948" w14:textId="2E90F07C" w:rsidR="00A22380" w:rsidRPr="004F6E38" w:rsidRDefault="00EE135F" w:rsidP="00EE135F">
      <w:pPr>
        <w:pStyle w:val="ManualConsidrant"/>
        <w:rPr>
          <w:noProof/>
        </w:rPr>
      </w:pPr>
      <w:r w:rsidRPr="004F6E38">
        <w:rPr>
          <w:noProof/>
        </w:rPr>
        <w:t>(3)</w:t>
      </w:r>
      <w:r w:rsidRPr="004F6E38">
        <w:rPr>
          <w:noProof/>
        </w:rPr>
        <w:tab/>
        <w:t xml:space="preserve">Bistveno je zagotoviti, da lahko vsi ponudniki plačilnih storitev, ne glede na to, ali imajo sedež v državi članici, katere valuta je euro, ali v državi članici, katere valuta ni euro, distribuirajo digitalni euro in tako uveljavljajo svojo svobodo opravljanja storitev v Uniji. Opravljanje plačilnih storitev z digitalnim eurom s strani vseh ponudnikov plačilnih storitev bi prispevalo k visoki ravni inovacij, olajšalo plačila in povečalo konkurenco po vsej Uniji ter je potrebno za zaščito celovitosti enotnega trga. Vsi ponudniki plačilnih storitev s sedežem v Uniji bi zato morali imeti možnost distribuirati plačilne storitve z digitalnim eurom pod enakimi pogoji fizičnim ali pravnim osebam, ki imajo prebivališče ali sedež v državi članici, katere valuta je euro, fizičnim ali pravnim osebam, ki so odprle račun za digitalni euro v času, ko so imele prebivališče ali sedež v državi članici, katere valuta je euro, vendar v tej državi članici nimajo več prebivališča ali sedeža, ter obiskovalcem v euroobmočju. Ponudniki plačilnih storitev s sedežem v državi članici, katere valuta ni euro, bi morali imeti možnost distribuirati digitalni euro tudi kateri koli drugi fizični ali pravni osebi s prebivališčem ali sedežem v državi članici, katere valuta ni euro, in v drugih državah Evropskega gospodarskega prostora ali v kateri koli tretji državi pod pogoji iz Uredbe (EU) </w:t>
      </w:r>
      <w:r w:rsidRPr="004F6E38">
        <w:rPr>
          <w:i/>
          <w:noProof/>
        </w:rPr>
        <w:t>[</w:t>
      </w:r>
      <w:r w:rsidRPr="004F6E38">
        <w:rPr>
          <w:i/>
          <w:noProof/>
          <w:sz w:val="23"/>
        </w:rPr>
        <w:t>vstavite sklic – predlog uredbe Evropskega parlamenta in Sveta o uvedbi digitalnega eura – COM(2023) 369 final</w:t>
      </w:r>
      <w:r w:rsidRPr="004F6E38">
        <w:rPr>
          <w:i/>
          <w:noProof/>
        </w:rPr>
        <w:t>]</w:t>
      </w:r>
      <w:r w:rsidRPr="004F6E38">
        <w:rPr>
          <w:noProof/>
        </w:rPr>
        <w:t>.</w:t>
      </w:r>
    </w:p>
    <w:p w14:paraId="009C5123" w14:textId="0BA4E719" w:rsidR="00A22380" w:rsidRPr="004F6E38" w:rsidRDefault="00EE135F" w:rsidP="00EE135F">
      <w:pPr>
        <w:pStyle w:val="ManualConsidrant"/>
        <w:rPr>
          <w:noProof/>
        </w:rPr>
      </w:pPr>
      <w:r w:rsidRPr="004F6E38">
        <w:rPr>
          <w:noProof/>
        </w:rPr>
        <w:t>(4)</w:t>
      </w:r>
      <w:r w:rsidRPr="004F6E38">
        <w:rPr>
          <w:noProof/>
        </w:rPr>
        <w:tab/>
        <w:t xml:space="preserve">Ponudniki plačilnih storitev s sedežem v državi članici, katere valuta ni euro, bi morali za distribucijo digitalnega eura uporabljati enaka pravila kot ponudniki plačilnih storitev s sedežem v državi članici, katere valuta je euro. To je bistveno za zagotovitev, da distribucija digitalnega eura s strani vseh ponudnikov plačilnih storitev s sedežem v Uniji, poteka enotno. </w:t>
      </w:r>
    </w:p>
    <w:p w14:paraId="07E1651D" w14:textId="4D672E47" w:rsidR="00A22380" w:rsidRPr="004F6E38" w:rsidRDefault="00EE135F" w:rsidP="00EE135F">
      <w:pPr>
        <w:pStyle w:val="ManualConsidrant"/>
        <w:rPr>
          <w:noProof/>
        </w:rPr>
      </w:pPr>
      <w:bookmarkStart w:id="3" w:name="_Hlk135223264"/>
      <w:r w:rsidRPr="004F6E38">
        <w:rPr>
          <w:noProof/>
        </w:rPr>
        <w:t>(5)</w:t>
      </w:r>
      <w:r w:rsidRPr="004F6E38">
        <w:rPr>
          <w:noProof/>
        </w:rPr>
        <w:tab/>
        <w:t>Za opravljanje plačilnih storitev z digitalnim eurom s strani ponudnikov plačilnih storitev s sedežem v državi članici, katere valuta ni euro, bi morali veljati enaki nadzorni standardi, kot se uporabljajo za ponudnike plačilnih storitev s sedežem v državi članici, katere valuta je euro. V ta namen bi se morale ustrezne določbe Direktive (EU) 2015/2366 Evropskega parlamenta in Sveta</w:t>
      </w:r>
      <w:r w:rsidRPr="004F6E38">
        <w:rPr>
          <w:rStyle w:val="FootnoteReference"/>
          <w:noProof/>
        </w:rPr>
        <w:footnoteReference w:id="6"/>
      </w:r>
      <w:r w:rsidRPr="004F6E38">
        <w:rPr>
          <w:noProof/>
        </w:rPr>
        <w:t xml:space="preserve">, kakor je bila nadomeščena z Direktivo (EU) </w:t>
      </w:r>
      <w:r w:rsidRPr="004F6E38">
        <w:rPr>
          <w:i/>
          <w:noProof/>
          <w:sz w:val="23"/>
        </w:rPr>
        <w:t>[vstavite sklic – predlog direktive o plačilnih storitvah in storitvah v zvezi z elektronskim denarjem na notranjem trgu – COM/2023/366 final]</w:t>
      </w:r>
      <w:r w:rsidRPr="004F6E38">
        <w:rPr>
          <w:noProof/>
        </w:rPr>
        <w:t>, in Direktive (EU) 2015/843</w:t>
      </w:r>
      <w:r w:rsidRPr="004F6E38">
        <w:rPr>
          <w:rStyle w:val="FootnoteReference"/>
          <w:noProof/>
        </w:rPr>
        <w:footnoteReference w:id="7"/>
      </w:r>
      <w:r w:rsidRPr="004F6E38">
        <w:rPr>
          <w:noProof/>
        </w:rPr>
        <w:t xml:space="preserve">, kakor je bila nadomeščena z Direktivo (EU) </w:t>
      </w:r>
      <w:r w:rsidRPr="004F6E38">
        <w:rPr>
          <w:i/>
          <w:noProof/>
          <w:sz w:val="23"/>
        </w:rPr>
        <w:t>[vstavite sklic – predlog direktive o preprečevanju pranja denarja – COM(2021) 423 fina</w:t>
      </w:r>
      <w:r w:rsidRPr="004F6E38">
        <w:rPr>
          <w:noProof/>
        </w:rPr>
        <w:t xml:space="preserve">l], </w:t>
      </w:r>
      <w:r w:rsidRPr="004F6E38">
        <w:rPr>
          <w:noProof/>
          <w:color w:val="333333"/>
          <w:shd w:val="clear" w:color="auto" w:fill="FFFFFF"/>
        </w:rPr>
        <w:t>uporabljati za</w:t>
      </w:r>
      <w:r w:rsidRPr="004F6E38">
        <w:rPr>
          <w:noProof/>
        </w:rPr>
        <w:t xml:space="preserve"> nadzor, ki ga izvajajo pristojni organi, režim sankcij in nadzorne ureditve med pristojnimi organi matičnih držav članic in držav članic gostiteljic v zvezi z opravljanjem plačilnih storitev z digitalnim eurom s strani ponudnikov plačilnih storitev s sedežem v državi članici, katere valuta ni euro.</w:t>
      </w:r>
    </w:p>
    <w:p w14:paraId="6CF0C241" w14:textId="0A6736EF" w:rsidR="00A22380" w:rsidRPr="004F6E38" w:rsidRDefault="00EE135F" w:rsidP="00EE135F">
      <w:pPr>
        <w:pStyle w:val="ManualConsidrant"/>
        <w:rPr>
          <w:noProof/>
        </w:rPr>
      </w:pPr>
      <w:r w:rsidRPr="004F6E38">
        <w:rPr>
          <w:noProof/>
        </w:rPr>
        <w:t>(6)</w:t>
      </w:r>
      <w:r w:rsidRPr="004F6E38">
        <w:rPr>
          <w:noProof/>
        </w:rPr>
        <w:tab/>
        <w:t>Podobno kot v primeru pristojnih organov držav članic, katerih valuta je euro, v skladu z Uredbo (EU) [</w:t>
      </w:r>
      <w:r w:rsidRPr="004F6E38">
        <w:rPr>
          <w:i/>
          <w:noProof/>
          <w:sz w:val="23"/>
        </w:rPr>
        <w:t>vstavite sklic – predlog uredbe Evropskega parlamenta in Sveta o uvedbi digitalnega eura – COM(2023) 369 final</w:t>
      </w:r>
      <w:r w:rsidRPr="004F6E38">
        <w:rPr>
          <w:noProof/>
        </w:rPr>
        <w:t xml:space="preserve">], bi morali pristojni organi, ki so v skladu z Direktivo (EU) 2015/2366 odgovorni za nadzor nad opravljanjem plačilnih storitev, sodelovati tudi z Evropsko centralno banko za namene nadzora uporabe obveznosti, povezanih s plačili, iz Uredbe (EU) </w:t>
      </w:r>
      <w:r w:rsidRPr="004F6E38">
        <w:rPr>
          <w:i/>
          <w:noProof/>
        </w:rPr>
        <w:t>[</w:t>
      </w:r>
      <w:r w:rsidRPr="004F6E38">
        <w:rPr>
          <w:i/>
          <w:noProof/>
          <w:sz w:val="23"/>
        </w:rPr>
        <w:t>vstavite sklic – predlog uredbe Evropskega parlamenta in Sveta o uvedbi digitalnega eura – COM(2023) 369 final]</w:t>
      </w:r>
      <w:r w:rsidRPr="004F6E38">
        <w:rPr>
          <w:noProof/>
        </w:rPr>
        <w:t>.</w:t>
      </w:r>
    </w:p>
    <w:bookmarkEnd w:id="3"/>
    <w:p w14:paraId="6B593035" w14:textId="4A90AAF8" w:rsidR="00D54011" w:rsidRPr="004F6E38" w:rsidRDefault="00EE135F" w:rsidP="00EE135F">
      <w:pPr>
        <w:pStyle w:val="ManualConsidrant"/>
        <w:rPr>
          <w:iCs/>
          <w:noProof/>
        </w:rPr>
      </w:pPr>
      <w:r w:rsidRPr="004F6E38">
        <w:rPr>
          <w:noProof/>
        </w:rPr>
        <w:t>(7)</w:t>
      </w:r>
      <w:r w:rsidRPr="004F6E38">
        <w:rPr>
          <w:noProof/>
        </w:rPr>
        <w:tab/>
        <w:t>V skladu s členom 4, točka 25, Direktive 2015/2366 sredstva pomenijo bankovce in kovance, knjižni denar ali elektronski denar. Digitalni euro bi bilo treba kot novo obliko centralnobančnega denarja s statusom zakonitega plačilnega sredstva šteti za sredstva v skladu z Direktivo 2015/2366, kakor je bila nadomeščena z Direktivo (EU) [</w:t>
      </w:r>
      <w:r w:rsidRPr="004F6E38">
        <w:rPr>
          <w:i/>
          <w:iCs/>
          <w:noProof/>
        </w:rPr>
        <w:t>vstavite sklic – predlog direktive o plačilnih storitvah in storitvah v zvezi z elektronskim denarjem na notranjem trgu – COM/2023/366 final</w:t>
      </w:r>
      <w:r w:rsidRPr="004F6E38">
        <w:rPr>
          <w:noProof/>
        </w:rPr>
        <w:t>], ki razširja opredelitev sredstev na vse oblike centralnobančnega denarja, izdanega za uporabo na drobno. Enako opredelitev sredstev bi bilo treba vključiti v Uredbo (EU) 2021/1230 Evropskega parlamenta in Sveta z dne 14. julija 2021 o čezmejnih plačilih v Uniji.</w:t>
      </w:r>
    </w:p>
    <w:p w14:paraId="579B5BC3" w14:textId="15D751C1" w:rsidR="00DA5641" w:rsidRPr="004F6E38" w:rsidRDefault="00EE135F" w:rsidP="00EE135F">
      <w:pPr>
        <w:pStyle w:val="ManualConsidrant"/>
        <w:rPr>
          <w:noProof/>
        </w:rPr>
      </w:pPr>
      <w:r w:rsidRPr="004F6E38">
        <w:rPr>
          <w:noProof/>
        </w:rPr>
        <w:t>(8)</w:t>
      </w:r>
      <w:r w:rsidRPr="004F6E38">
        <w:rPr>
          <w:noProof/>
        </w:rPr>
        <w:tab/>
        <w:t>Ker ciljev te uredbe države članice ne morejo zadovoljivo doseči, saj bi morala biti pravila, ki se uporabljajo za ponudnike plačilnih storitev, enaka ne glede na to, ali imajo sedež v državi članici, katere valuta je euro, ali ne, temveč se zaradi obsega ali učinkov ukrepa za zagotovitev celovitosti enotnega trga lažje dosežejo na ravni Unije, lahko Unija sprejme ukrepe v skladu z načelom subsidiarnosti iz člena 5 Pogodbe o Evropski uniji. V skladu z načelom sorazmernosti iz navedenega člena ta uredba ne presega tistega, kar je potrebno za doseganje navedenih ciljev.</w:t>
      </w:r>
    </w:p>
    <w:p w14:paraId="7E1C2113" w14:textId="3B9D1FBC" w:rsidR="00DA5641" w:rsidRPr="004F6E38" w:rsidRDefault="00EE135F" w:rsidP="00EE135F">
      <w:pPr>
        <w:pStyle w:val="ManualConsidrant"/>
        <w:rPr>
          <w:noProof/>
        </w:rPr>
      </w:pPr>
      <w:r w:rsidRPr="004F6E38">
        <w:rPr>
          <w:noProof/>
        </w:rPr>
        <w:t>(9)</w:t>
      </w:r>
      <w:r w:rsidRPr="004F6E38">
        <w:rPr>
          <w:noProof/>
        </w:rPr>
        <w:tab/>
        <w:t>V skladu s členom 42 Uredbe (EU) 2018/1725 je bilo opravljeno posvetovanje z Evropskim nadzornikom za varstvo podatkov in Evropskim odborom za varstvo podatkov, ki sta podala skupno mnenje [XX XX 2023] –</w:t>
      </w:r>
    </w:p>
    <w:p w14:paraId="182DE2EC" w14:textId="77777777" w:rsidR="004D0AEF" w:rsidRPr="004F6E38" w:rsidRDefault="004D0AEF" w:rsidP="006D42BA">
      <w:pPr>
        <w:pStyle w:val="Formuledadoption"/>
        <w:rPr>
          <w:noProof/>
        </w:rPr>
      </w:pPr>
      <w:r w:rsidRPr="004F6E38">
        <w:rPr>
          <w:noProof/>
        </w:rPr>
        <w:t>SPREJELA NASLEDNJO UREDBO:</w:t>
      </w:r>
    </w:p>
    <w:p w14:paraId="33672584" w14:textId="77777777" w:rsidR="00A22380" w:rsidRPr="004F6E38" w:rsidRDefault="004D0AEF" w:rsidP="00A22380">
      <w:pPr>
        <w:pStyle w:val="Titrearticle"/>
        <w:rPr>
          <w:noProof/>
        </w:rPr>
      </w:pPr>
      <w:r w:rsidRPr="004F6E38">
        <w:rPr>
          <w:noProof/>
        </w:rPr>
        <w:t xml:space="preserve">Člen 1 </w:t>
      </w:r>
      <w:r w:rsidRPr="004F6E38">
        <w:rPr>
          <w:noProof/>
        </w:rPr>
        <w:br/>
        <w:t>Predmet urejanja in področje uporabe</w:t>
      </w:r>
    </w:p>
    <w:p w14:paraId="6B1EE894" w14:textId="77777777" w:rsidR="00841E62" w:rsidRPr="004F6E38" w:rsidRDefault="00A22380" w:rsidP="00A22380">
      <w:pPr>
        <w:rPr>
          <w:noProof/>
          <w:szCs w:val="24"/>
        </w:rPr>
      </w:pPr>
      <w:r w:rsidRPr="004F6E38">
        <w:rPr>
          <w:noProof/>
        </w:rPr>
        <w:t>Ta uredba določa pravila v zvezi s:</w:t>
      </w:r>
    </w:p>
    <w:p w14:paraId="1BCD743F" w14:textId="28616645" w:rsidR="00841E62" w:rsidRPr="004F6E38" w:rsidRDefault="00EE135F" w:rsidP="00EE135F">
      <w:pPr>
        <w:pStyle w:val="Point0"/>
        <w:rPr>
          <w:noProof/>
        </w:rPr>
      </w:pPr>
      <w:r w:rsidRPr="004F6E38">
        <w:rPr>
          <w:noProof/>
        </w:rPr>
        <w:t>(a)</w:t>
      </w:r>
      <w:r w:rsidRPr="004F6E38">
        <w:rPr>
          <w:noProof/>
        </w:rPr>
        <w:tab/>
        <w:t>posebnimi obveznosti, ki jih morajo izpolnjevati ponudniki plačilnih storitev s sedežem v državi članici, katere valuta ni euro, pri opravljanju plačilnih storitev z digitalnim eurom;</w:t>
      </w:r>
    </w:p>
    <w:p w14:paraId="33F15FBE" w14:textId="2A876CB0" w:rsidR="00841E62" w:rsidRPr="004F6E38" w:rsidRDefault="00EE135F" w:rsidP="00EE135F">
      <w:pPr>
        <w:pStyle w:val="Point0"/>
        <w:rPr>
          <w:noProof/>
        </w:rPr>
      </w:pPr>
      <w:r w:rsidRPr="004F6E38">
        <w:rPr>
          <w:noProof/>
        </w:rPr>
        <w:t>(b)</w:t>
      </w:r>
      <w:r w:rsidRPr="004F6E38">
        <w:rPr>
          <w:noProof/>
        </w:rPr>
        <w:tab/>
        <w:t>nadzorom in izvrševanjem obveznosti iz točke (a) s strani držav članic, katerih valuta ni euro;</w:t>
      </w:r>
    </w:p>
    <w:p w14:paraId="4DF2C11B" w14:textId="16BEA332" w:rsidR="00A22380" w:rsidRPr="004F6E38" w:rsidRDefault="00EE135F" w:rsidP="00EE135F">
      <w:pPr>
        <w:pStyle w:val="Point0"/>
        <w:rPr>
          <w:noProof/>
        </w:rPr>
      </w:pPr>
      <w:r w:rsidRPr="004F6E38">
        <w:rPr>
          <w:noProof/>
        </w:rPr>
        <w:t>(c)</w:t>
      </w:r>
      <w:r w:rsidRPr="004F6E38">
        <w:rPr>
          <w:noProof/>
        </w:rPr>
        <w:tab/>
        <w:t xml:space="preserve">posebnimi obveznostmi, ki jih morajo v zvezi z digitalnim eurom izpolnjevati proizvajalci originalne opreme mobilnih naprav in ponudniki elektronskih komunikacijskih storitev v smislu člena 2(1) Direktive (EU) 2018/1972 s sedežem v državi članici, katere valuta ni euro. </w:t>
      </w:r>
    </w:p>
    <w:p w14:paraId="74E714C7" w14:textId="77777777" w:rsidR="00A22380" w:rsidRPr="004F6E38" w:rsidRDefault="00A22380" w:rsidP="00A22380">
      <w:pPr>
        <w:pStyle w:val="Titrearticle"/>
        <w:rPr>
          <w:noProof/>
        </w:rPr>
      </w:pPr>
      <w:r w:rsidRPr="004F6E38">
        <w:rPr>
          <w:noProof/>
        </w:rPr>
        <w:t xml:space="preserve">Člen 2 </w:t>
      </w:r>
      <w:r w:rsidRPr="004F6E38">
        <w:rPr>
          <w:noProof/>
        </w:rPr>
        <w:br/>
        <w:t>Opredelitev pojmov</w:t>
      </w:r>
    </w:p>
    <w:p w14:paraId="60150CAE" w14:textId="77777777" w:rsidR="00A22380" w:rsidRPr="004F6E38" w:rsidRDefault="00A22380" w:rsidP="00A22380">
      <w:pPr>
        <w:rPr>
          <w:noProof/>
          <w:szCs w:val="24"/>
        </w:rPr>
      </w:pPr>
      <w:r w:rsidRPr="004F6E38">
        <w:rPr>
          <w:noProof/>
        </w:rPr>
        <w:t xml:space="preserve">V tej uredbi se uporabljajo naslednje opredelitve pojmov: </w:t>
      </w:r>
    </w:p>
    <w:p w14:paraId="229448C1" w14:textId="4016A9DF" w:rsidR="00A22380" w:rsidRPr="004F6E38" w:rsidRDefault="00EE135F" w:rsidP="00EE135F">
      <w:pPr>
        <w:pStyle w:val="ManualNumPar1"/>
        <w:rPr>
          <w:noProof/>
        </w:rPr>
      </w:pPr>
      <w:r w:rsidRPr="004F6E38">
        <w:rPr>
          <w:noProof/>
        </w:rPr>
        <w:t>1.</w:t>
      </w:r>
      <w:r w:rsidRPr="004F6E38">
        <w:rPr>
          <w:noProof/>
        </w:rPr>
        <w:tab/>
        <w:t xml:space="preserve">„digitalni euro“ pomeni digitalno obliko enotne valute, ki je na voljo fizičnim in pravnim osebam, kot je opredeljena v členu 2, točka 1, Uredbe (EU) </w:t>
      </w:r>
      <w:r w:rsidRPr="004F6E38">
        <w:rPr>
          <w:noProof/>
          <w:sz w:val="23"/>
        </w:rPr>
        <w:t>[</w:t>
      </w:r>
      <w:r w:rsidRPr="004F6E38">
        <w:rPr>
          <w:i/>
          <w:noProof/>
          <w:sz w:val="23"/>
        </w:rPr>
        <w:t>vstavite sklic – predlog uredbe Evropskega parlamenta in Sveta o uvedbi digitalnega eura – COM(2023) 369 final</w:t>
      </w:r>
      <w:r w:rsidRPr="004F6E38">
        <w:rPr>
          <w:noProof/>
          <w:sz w:val="23"/>
        </w:rPr>
        <w:t>];</w:t>
      </w:r>
    </w:p>
    <w:p w14:paraId="2DB7C9EA" w14:textId="1FB7B5D1" w:rsidR="00A22380" w:rsidRPr="004F6E38" w:rsidRDefault="00EE135F" w:rsidP="00EE135F">
      <w:pPr>
        <w:pStyle w:val="ManualNumPar1"/>
        <w:rPr>
          <w:noProof/>
        </w:rPr>
      </w:pPr>
      <w:r w:rsidRPr="004F6E38">
        <w:rPr>
          <w:noProof/>
        </w:rPr>
        <w:t>2.</w:t>
      </w:r>
      <w:r w:rsidRPr="004F6E38">
        <w:rPr>
          <w:noProof/>
        </w:rPr>
        <w:tab/>
        <w:t xml:space="preserve">„ponudnik plačilnih storitev“ pomeni ponudnika plačilnih storitev, kot je opredeljen v členu 4, točka 11, Direktive (EU) 2015/2366; </w:t>
      </w:r>
    </w:p>
    <w:p w14:paraId="7EC9D984" w14:textId="407FABE0" w:rsidR="00A22380" w:rsidRPr="004F6E38" w:rsidRDefault="00EE135F" w:rsidP="00EE135F">
      <w:pPr>
        <w:pStyle w:val="ManualNumPar1"/>
        <w:rPr>
          <w:noProof/>
        </w:rPr>
      </w:pPr>
      <w:r w:rsidRPr="004F6E38">
        <w:rPr>
          <w:noProof/>
        </w:rPr>
        <w:t>3.</w:t>
      </w:r>
      <w:r w:rsidRPr="004F6E38">
        <w:rPr>
          <w:noProof/>
        </w:rPr>
        <w:tab/>
        <w:t>„plačilna storitev z digitalnim eurom“ pomeni plačilno storitev z digitalnim eurom, kot je opredeljena v členu 2, točka 8, Uredbe (EU) [</w:t>
      </w:r>
      <w:r w:rsidRPr="004F6E38">
        <w:rPr>
          <w:i/>
          <w:noProof/>
          <w:sz w:val="23"/>
        </w:rPr>
        <w:t>vstavite sklic – predlog uredbe Evropskega parlamenta in Sveta o uvedbi digitalnega eura – COM(2023) 369 final</w:t>
      </w:r>
      <w:r w:rsidRPr="004F6E38">
        <w:rPr>
          <w:noProof/>
        </w:rPr>
        <w:t>];</w:t>
      </w:r>
    </w:p>
    <w:p w14:paraId="20AA900C" w14:textId="16891685" w:rsidR="00A22380" w:rsidRPr="004F6E38" w:rsidRDefault="00EE135F" w:rsidP="00EE135F">
      <w:pPr>
        <w:pStyle w:val="ManualNumPar1"/>
        <w:rPr>
          <w:noProof/>
        </w:rPr>
      </w:pPr>
      <w:r w:rsidRPr="004F6E38">
        <w:rPr>
          <w:noProof/>
        </w:rPr>
        <w:t>4.</w:t>
      </w:r>
      <w:r w:rsidRPr="004F6E38">
        <w:rPr>
          <w:noProof/>
        </w:rPr>
        <w:tab/>
        <w:t>„prebivališče“ pomeni kraj, kjer fizična oseba zakonito prebiva v Uniji, kot je opredeljen v členu 2, točka 2, Direktive 2014/92/EU Evropskega parlamenta in Sveta</w:t>
      </w:r>
      <w:r w:rsidRPr="004F6E38">
        <w:rPr>
          <w:rStyle w:val="FootnoteReference"/>
          <w:noProof/>
        </w:rPr>
        <w:footnoteReference w:id="8"/>
      </w:r>
      <w:r w:rsidRPr="004F6E38">
        <w:rPr>
          <w:noProof/>
        </w:rPr>
        <w:t>;</w:t>
      </w:r>
    </w:p>
    <w:p w14:paraId="4A64CFD6" w14:textId="7CF17E5F" w:rsidR="00A22380" w:rsidRPr="004F6E38" w:rsidRDefault="00EE135F" w:rsidP="00EE135F">
      <w:pPr>
        <w:pStyle w:val="ManualNumPar1"/>
        <w:rPr>
          <w:noProof/>
        </w:rPr>
      </w:pPr>
      <w:r w:rsidRPr="004F6E38">
        <w:rPr>
          <w:noProof/>
        </w:rPr>
        <w:t>5.</w:t>
      </w:r>
      <w:r w:rsidRPr="004F6E38">
        <w:rPr>
          <w:noProof/>
        </w:rPr>
        <w:tab/>
        <w:t>„obiskovalec“ pomeni fizično osebo, kot je opredeljena v členu 2, točka 22, Uredbe (EU) [</w:t>
      </w:r>
      <w:r w:rsidRPr="004F6E38">
        <w:rPr>
          <w:i/>
          <w:noProof/>
          <w:sz w:val="23"/>
        </w:rPr>
        <w:t>vstavite sklic – predlog uredbe Evropskega parlamenta in Sveta o uvedbi digitalnega eura – COM(2023) 369 final</w:t>
      </w:r>
      <w:r w:rsidRPr="004F6E38">
        <w:rPr>
          <w:noProof/>
        </w:rPr>
        <w:t>];</w:t>
      </w:r>
    </w:p>
    <w:p w14:paraId="1886166B" w14:textId="578A0616" w:rsidR="003A3EB3" w:rsidRPr="004F6E38" w:rsidRDefault="00EE135F" w:rsidP="00EE135F">
      <w:pPr>
        <w:pStyle w:val="ManualNumPar1"/>
        <w:rPr>
          <w:noProof/>
        </w:rPr>
      </w:pPr>
      <w:r w:rsidRPr="004F6E38">
        <w:rPr>
          <w:noProof/>
        </w:rPr>
        <w:t>6.</w:t>
      </w:r>
      <w:r w:rsidRPr="004F6E38">
        <w:rPr>
          <w:noProof/>
        </w:rPr>
        <w:tab/>
        <w:t>„država članica, katere valuta ni euro“ pomeni državo članico, kot je opredeljena v členu 2, točka 23, Uredbe (EU) [</w:t>
      </w:r>
      <w:r w:rsidRPr="004F6E38">
        <w:rPr>
          <w:i/>
          <w:noProof/>
          <w:sz w:val="23"/>
        </w:rPr>
        <w:t>vstavite sklic – predlog uredbe Evropskega parlamenta in Sveta o uvedbi digitalnega eura – COM(2023) 369 final</w:t>
      </w:r>
      <w:r w:rsidRPr="004F6E38">
        <w:rPr>
          <w:noProof/>
        </w:rPr>
        <w:t>];</w:t>
      </w:r>
    </w:p>
    <w:p w14:paraId="7D2FBC1A" w14:textId="65185255" w:rsidR="007F18D4" w:rsidRPr="004F6E38" w:rsidRDefault="00EE135F" w:rsidP="00EE135F">
      <w:pPr>
        <w:pStyle w:val="ManualNumPar1"/>
        <w:rPr>
          <w:noProof/>
        </w:rPr>
      </w:pPr>
      <w:r w:rsidRPr="004F6E38">
        <w:rPr>
          <w:noProof/>
        </w:rPr>
        <w:t>7.</w:t>
      </w:r>
      <w:r w:rsidRPr="004F6E38">
        <w:rPr>
          <w:noProof/>
        </w:rPr>
        <w:tab/>
        <w:t>„mobilna naprava“ pomeni mobilno napravo, kot je opredeljena v členu 2, točka 31, Uredbe (EU) [</w:t>
      </w:r>
      <w:r w:rsidRPr="004F6E38">
        <w:rPr>
          <w:i/>
          <w:noProof/>
          <w:sz w:val="23"/>
        </w:rPr>
        <w:t>vstavite sklic – predlog uredbe Evropskega parlamenta in Sveta o uvedbi digitalnega eura – COM(2023) 369 final</w:t>
      </w:r>
      <w:r w:rsidRPr="004F6E38">
        <w:rPr>
          <w:noProof/>
        </w:rPr>
        <w:t>];</w:t>
      </w:r>
    </w:p>
    <w:p w14:paraId="62011668" w14:textId="77777777" w:rsidR="00A22380" w:rsidRPr="004F6E38" w:rsidRDefault="00A22380" w:rsidP="00A22380">
      <w:pPr>
        <w:pStyle w:val="Titrearticle"/>
        <w:rPr>
          <w:noProof/>
        </w:rPr>
      </w:pPr>
      <w:r w:rsidRPr="004F6E38">
        <w:rPr>
          <w:noProof/>
        </w:rPr>
        <w:t xml:space="preserve">Člen 3 </w:t>
      </w:r>
      <w:r w:rsidRPr="004F6E38">
        <w:rPr>
          <w:noProof/>
        </w:rPr>
        <w:br/>
        <w:t>Opravljanje plačilnih storitev z digitalnim eurom</w:t>
      </w:r>
    </w:p>
    <w:p w14:paraId="5EC5861F" w14:textId="77777777" w:rsidR="00A22380" w:rsidRPr="004F6E38" w:rsidRDefault="00A22380" w:rsidP="00A22380">
      <w:pPr>
        <w:rPr>
          <w:noProof/>
          <w:sz w:val="22"/>
        </w:rPr>
      </w:pPr>
      <w:r w:rsidRPr="004F6E38">
        <w:rPr>
          <w:noProof/>
        </w:rPr>
        <w:t>V okviru Direktive (EU) 2015/2366 lahko ponudniki plačilnih storitev s sedežem v državi članici, katere valuta ni euro, opravljajo plačilne storitve z digitalnim eurom za:</w:t>
      </w:r>
    </w:p>
    <w:p w14:paraId="5AB73425" w14:textId="25CD9AD8" w:rsidR="00804A4C" w:rsidRPr="004F6E38" w:rsidRDefault="00EE135F" w:rsidP="00EE135F">
      <w:pPr>
        <w:pStyle w:val="Point0"/>
        <w:rPr>
          <w:noProof/>
        </w:rPr>
      </w:pPr>
      <w:r w:rsidRPr="004F6E38">
        <w:rPr>
          <w:noProof/>
        </w:rPr>
        <w:t>(a)</w:t>
      </w:r>
      <w:r w:rsidRPr="004F6E38">
        <w:rPr>
          <w:noProof/>
        </w:rPr>
        <w:tab/>
        <w:t>fizične in pravne osebe s prebivališčem ali sedežem v državi članici, katere valuta je euro;</w:t>
      </w:r>
    </w:p>
    <w:p w14:paraId="415843F6" w14:textId="5B63FC29" w:rsidR="00804A4C" w:rsidRPr="004F6E38" w:rsidRDefault="00EE135F" w:rsidP="00EE135F">
      <w:pPr>
        <w:pStyle w:val="Point0"/>
        <w:rPr>
          <w:noProof/>
        </w:rPr>
      </w:pPr>
      <w:r w:rsidRPr="004F6E38">
        <w:rPr>
          <w:noProof/>
        </w:rPr>
        <w:t>(b)</w:t>
      </w:r>
      <w:r w:rsidRPr="004F6E38">
        <w:rPr>
          <w:noProof/>
        </w:rPr>
        <w:tab/>
        <w:t>fizične in pravne osebe, ki so odprle račun za digitalni euro v času, ko so imele prebivališče ali sedež v državi članici, katere valuta je euro, vendar prebivališča ali sedeža v tej državi članici nimajo več;</w:t>
      </w:r>
    </w:p>
    <w:p w14:paraId="72340A02" w14:textId="0D2B90F0" w:rsidR="00804A4C" w:rsidRPr="004F6E38" w:rsidRDefault="00EE135F" w:rsidP="00EE135F">
      <w:pPr>
        <w:pStyle w:val="Point0"/>
        <w:rPr>
          <w:noProof/>
        </w:rPr>
      </w:pPr>
      <w:r w:rsidRPr="004F6E38">
        <w:rPr>
          <w:noProof/>
        </w:rPr>
        <w:t>(c)</w:t>
      </w:r>
      <w:r w:rsidRPr="004F6E38">
        <w:rPr>
          <w:noProof/>
        </w:rPr>
        <w:tab/>
        <w:t>obiskovalce;</w:t>
      </w:r>
    </w:p>
    <w:p w14:paraId="5170E02B" w14:textId="711B66A2" w:rsidR="00804A4C" w:rsidRPr="004F6E38" w:rsidRDefault="00EE135F" w:rsidP="00EE135F">
      <w:pPr>
        <w:pStyle w:val="Point0"/>
        <w:rPr>
          <w:noProof/>
        </w:rPr>
      </w:pPr>
      <w:r w:rsidRPr="004F6E38">
        <w:rPr>
          <w:noProof/>
        </w:rPr>
        <w:t>(d)</w:t>
      </w:r>
      <w:r w:rsidRPr="004F6E38">
        <w:rPr>
          <w:noProof/>
        </w:rPr>
        <w:tab/>
        <w:t xml:space="preserve">fizične in pravne osebe s prebivališčem ali sedežem v državi članici, katere valuta ni euro, pod pogoji iz člena 18 </w:t>
      </w:r>
      <w:r w:rsidRPr="004F6E38">
        <w:rPr>
          <w:noProof/>
          <w:color w:val="333333"/>
        </w:rPr>
        <w:t xml:space="preserve">Uredbe (EU) </w:t>
      </w:r>
      <w:r w:rsidRPr="004F6E38">
        <w:rPr>
          <w:noProof/>
        </w:rPr>
        <w:t>[</w:t>
      </w:r>
      <w:r w:rsidRPr="004F6E38">
        <w:rPr>
          <w:i/>
          <w:noProof/>
        </w:rPr>
        <w:t>vstavite sklic – predlog uredbe Evropskega parlamenta in Sveta o uvedbi digitalnega eura – COM(2023) 369 final</w:t>
      </w:r>
      <w:r w:rsidRPr="004F6E38">
        <w:rPr>
          <w:noProof/>
        </w:rPr>
        <w:t>];</w:t>
      </w:r>
    </w:p>
    <w:p w14:paraId="7254ABC2" w14:textId="23BE02C8" w:rsidR="00A22380" w:rsidRPr="004F6E38" w:rsidRDefault="00EE135F" w:rsidP="00EE135F">
      <w:pPr>
        <w:pStyle w:val="Point0"/>
        <w:rPr>
          <w:noProof/>
        </w:rPr>
      </w:pPr>
      <w:r w:rsidRPr="004F6E38">
        <w:rPr>
          <w:noProof/>
        </w:rPr>
        <w:t>(e)</w:t>
      </w:r>
      <w:r w:rsidRPr="004F6E38">
        <w:rPr>
          <w:noProof/>
        </w:rPr>
        <w:tab/>
        <w:t xml:space="preserve">fizične in pravne osebe s prebivališčem ali sedežem v tretjih državah, vključno z ozemlji, ki imajo z Evropsko unijo sklenjen monetarni sporazum, pod pogoji iz členov 19 in 20 </w:t>
      </w:r>
      <w:r w:rsidRPr="004F6E38">
        <w:rPr>
          <w:noProof/>
          <w:color w:val="333333"/>
        </w:rPr>
        <w:t xml:space="preserve">Uredbe (EU) </w:t>
      </w:r>
      <w:r w:rsidRPr="004F6E38">
        <w:rPr>
          <w:noProof/>
        </w:rPr>
        <w:t>[</w:t>
      </w:r>
      <w:r w:rsidRPr="004F6E38">
        <w:rPr>
          <w:i/>
          <w:noProof/>
          <w:sz w:val="23"/>
        </w:rPr>
        <w:t>vstavite sklic – predlog uredbe Evropskega parlamenta in Sveta o uvedbi digitalnega eura – COM(2023) 369 final</w:t>
      </w:r>
      <w:r w:rsidRPr="004F6E38">
        <w:rPr>
          <w:noProof/>
        </w:rPr>
        <w:t>];</w:t>
      </w:r>
    </w:p>
    <w:p w14:paraId="354E1F06" w14:textId="77777777" w:rsidR="00A22380" w:rsidRPr="004F6E38" w:rsidRDefault="00A22380" w:rsidP="00A22380">
      <w:pPr>
        <w:pStyle w:val="Titrearticle"/>
        <w:rPr>
          <w:noProof/>
        </w:rPr>
      </w:pPr>
      <w:r w:rsidRPr="004F6E38">
        <w:rPr>
          <w:noProof/>
        </w:rPr>
        <w:t xml:space="preserve">Člen 4 </w:t>
      </w:r>
      <w:r w:rsidRPr="004F6E38">
        <w:rPr>
          <w:noProof/>
        </w:rPr>
        <w:br/>
        <w:t>Pravo, ki se uporabi</w:t>
      </w:r>
    </w:p>
    <w:p w14:paraId="1108F23D" w14:textId="4B0F2104" w:rsidR="00946590" w:rsidRPr="004F6E38" w:rsidRDefault="00EE135F" w:rsidP="00EE135F">
      <w:pPr>
        <w:pStyle w:val="ManualNumPar1"/>
        <w:rPr>
          <w:noProof/>
        </w:rPr>
      </w:pPr>
      <w:bookmarkStart w:id="4" w:name="_Hlk132805405"/>
      <w:r w:rsidRPr="004F6E38">
        <w:rPr>
          <w:noProof/>
        </w:rPr>
        <w:t>1.</w:t>
      </w:r>
      <w:r w:rsidRPr="004F6E38">
        <w:rPr>
          <w:noProof/>
        </w:rPr>
        <w:tab/>
        <w:t xml:space="preserve">Zahteve iz člena 13, člena 14(1), poglavja V, člena 18, poglavja VII, poglavja VIII in poglavja IX Uredbe (EU) X o uvedbi digitalnega eura se uporabljajo za ponudnike plačilnih storitev s sedežem na ozemlju države članice, katere valuta ni euro, ki opravljajo plačilne storitve z digitalnim eurom v skladu s členom 1 te uredbe. </w:t>
      </w:r>
    </w:p>
    <w:p w14:paraId="1F41C576" w14:textId="7DF19552" w:rsidR="00946590" w:rsidRPr="004F6E38" w:rsidRDefault="00946590" w:rsidP="00023A8F">
      <w:pPr>
        <w:pStyle w:val="Text1"/>
        <w:rPr>
          <w:noProof/>
        </w:rPr>
      </w:pPr>
      <w:r w:rsidRPr="004F6E38">
        <w:rPr>
          <w:noProof/>
        </w:rPr>
        <w:t>Zahteva iz člena 33 Uredbe (EU) [</w:t>
      </w:r>
      <w:r w:rsidRPr="004F6E38">
        <w:rPr>
          <w:i/>
          <w:noProof/>
          <w:sz w:val="23"/>
        </w:rPr>
        <w:t>vstavite sklic – predlog uredbe Evropskega parlamenta in Sveta o uvedbi digitalnega eura – COM(2023) 369 final</w:t>
      </w:r>
      <w:r w:rsidRPr="004F6E38">
        <w:rPr>
          <w:noProof/>
          <w:sz w:val="23"/>
        </w:rPr>
        <w:t>]</w:t>
      </w:r>
      <w:r w:rsidRPr="004F6E38">
        <w:rPr>
          <w:noProof/>
        </w:rPr>
        <w:t xml:space="preserve"> se uporablja za proizvajalce originalne opreme mobilnih naprav in ponudnike elektronskih komunikacijskih storitev v smislu člena 2(1) Direktive (EU) 2018/1972 s sedežem v državi članici, katere valuta ni euro. </w:t>
      </w:r>
    </w:p>
    <w:p w14:paraId="3940F54B" w14:textId="4B7D7F15" w:rsidR="00A22380" w:rsidRPr="004F6E38" w:rsidRDefault="00EE135F" w:rsidP="00EE135F">
      <w:pPr>
        <w:pStyle w:val="ManualNumPar1"/>
        <w:rPr>
          <w:noProof/>
        </w:rPr>
      </w:pPr>
      <w:r w:rsidRPr="004F6E38">
        <w:rPr>
          <w:noProof/>
        </w:rPr>
        <w:t>2.</w:t>
      </w:r>
      <w:r w:rsidRPr="004F6E38">
        <w:rPr>
          <w:noProof/>
        </w:rPr>
        <w:tab/>
        <w:t>V skladu s členom 4(25) Direktive (EU) 2015/2366 Evropskega parlamenta in Sveta z dne 25. novembra 2015 o plačilnih storitvah na notranjem trgu, kakor je bila spremenjena z Direktivo (EU) [</w:t>
      </w:r>
      <w:r w:rsidRPr="004F6E38">
        <w:rPr>
          <w:i/>
          <w:noProof/>
          <w:sz w:val="23"/>
        </w:rPr>
        <w:t>vstavite sklic – predlog direktive o plačilnih storitvah in storitvah v zvezi z elektronskim denarjem na notranjem trgu – COM(2023) 366 final</w:t>
      </w:r>
      <w:r w:rsidRPr="004F6E38">
        <w:rPr>
          <w:noProof/>
        </w:rPr>
        <w:t>], se določbe navedene direktive uporabljajo za plačilne transakcije z digitalnim eurom.</w:t>
      </w:r>
    </w:p>
    <w:p w14:paraId="0C0F0548" w14:textId="57B51DC9" w:rsidR="00A22380" w:rsidRPr="004F6E38" w:rsidRDefault="00EE135F" w:rsidP="00EE135F">
      <w:pPr>
        <w:pStyle w:val="ManualNumPar1"/>
        <w:rPr>
          <w:noProof/>
        </w:rPr>
      </w:pPr>
      <w:r w:rsidRPr="004F6E38">
        <w:rPr>
          <w:noProof/>
        </w:rPr>
        <w:t>3.</w:t>
      </w:r>
      <w:r w:rsidRPr="004F6E38">
        <w:rPr>
          <w:noProof/>
        </w:rPr>
        <w:tab/>
        <w:t xml:space="preserve">V skladu s členom 2(10) Uredbe (EU) 2021/1230 Evropskega parlamenta in Sveta z dne 14. julija 2021 o čezmejnih plačilih v Uniji se določbe navedene uredbe uporabljajo za plačilne transakcije z digitalnim eurom. </w:t>
      </w:r>
    </w:p>
    <w:p w14:paraId="374A5620" w14:textId="11986233" w:rsidR="00A22380" w:rsidRPr="004F6E38" w:rsidRDefault="00EE135F" w:rsidP="00EE135F">
      <w:pPr>
        <w:pStyle w:val="ManualNumPar1"/>
        <w:rPr>
          <w:noProof/>
          <w:szCs w:val="24"/>
        </w:rPr>
      </w:pPr>
      <w:r w:rsidRPr="004F6E38">
        <w:rPr>
          <w:noProof/>
        </w:rPr>
        <w:t>4.</w:t>
      </w:r>
      <w:r w:rsidRPr="004F6E38">
        <w:rPr>
          <w:noProof/>
        </w:rPr>
        <w:tab/>
        <w:t>Brez poseganja v člen 37 Uredbe [</w:t>
      </w:r>
      <w:r w:rsidRPr="004F6E38">
        <w:rPr>
          <w:i/>
          <w:noProof/>
          <w:sz w:val="23"/>
        </w:rPr>
        <w:t>vstavite sklic – predlog uredbe Evropskega parlamenta in Sveta o uvedbi digitalnega eura – COM(2023) 369 final</w:t>
      </w:r>
      <w:r w:rsidRPr="004F6E38">
        <w:rPr>
          <w:noProof/>
        </w:rPr>
        <w:t xml:space="preserve">] se v zvezi z digitalnim eurom uporabljata Direktiva (EU) 2015/849 Evropskega parlamenta in Sveta z dne 20. maja 2015 o preprečevanju uporabe finančnega sistema za pranje denarja ali financiranje terorizma in Uredba (EU) 2015/847 Evropskega parlamenta in Sveta z dne 20. maja 2015 o informacijah, ki spremljajo prenose sredstev. </w:t>
      </w:r>
    </w:p>
    <w:bookmarkEnd w:id="4"/>
    <w:p w14:paraId="39D6E197" w14:textId="77777777" w:rsidR="00D720E1" w:rsidRPr="004F6E38" w:rsidRDefault="00D720E1" w:rsidP="00D720E1">
      <w:pPr>
        <w:pStyle w:val="Titrearticle"/>
        <w:rPr>
          <w:iCs/>
          <w:noProof/>
        </w:rPr>
      </w:pPr>
      <w:r w:rsidRPr="004F6E38">
        <w:rPr>
          <w:noProof/>
        </w:rPr>
        <w:t xml:space="preserve">Člen 5 </w:t>
      </w:r>
      <w:r w:rsidRPr="004F6E38">
        <w:rPr>
          <w:noProof/>
        </w:rPr>
        <w:br/>
        <w:t>Pristojni organi</w:t>
      </w:r>
    </w:p>
    <w:p w14:paraId="03994124" w14:textId="61601CAF" w:rsidR="00D720E1" w:rsidRPr="004F6E38" w:rsidRDefault="00EE135F" w:rsidP="00EE135F">
      <w:pPr>
        <w:pStyle w:val="ManualNumPar1"/>
        <w:rPr>
          <w:noProof/>
        </w:rPr>
      </w:pPr>
      <w:r w:rsidRPr="004F6E38">
        <w:rPr>
          <w:noProof/>
        </w:rPr>
        <w:t>1.</w:t>
      </w:r>
      <w:r w:rsidRPr="004F6E38">
        <w:rPr>
          <w:noProof/>
        </w:rPr>
        <w:tab/>
        <w:t xml:space="preserve">Direktiva (EU) 2015/2366 Evropskega parlamenta in Sveta se uporablja za nadzor, ki ga izvajajo pristojni organi, ter režim sankcij in nadzorne ureditve med pristojnimi organi matičnih držav članic in držav članic gostiteljic v zvezi z dejavnostmi ponudnikov plačilnih storitev s sedežem v državi članici, katere valuta ni euro, v zvezi z digitalnim eurom za namene uporabe te uredbe in obveznosti iz poglavij IV, V, VI in VII Uredbe </w:t>
      </w:r>
      <w:r w:rsidRPr="004F6E38">
        <w:rPr>
          <w:noProof/>
          <w:color w:val="333333"/>
        </w:rPr>
        <w:t>(EU)</w:t>
      </w:r>
      <w:r w:rsidRPr="004F6E38">
        <w:rPr>
          <w:noProof/>
        </w:rPr>
        <w:t xml:space="preserve"> [</w:t>
      </w:r>
      <w:r w:rsidRPr="004F6E38">
        <w:rPr>
          <w:i/>
          <w:noProof/>
          <w:sz w:val="23"/>
        </w:rPr>
        <w:t>vstavite sklic – predlog uredbe Evropskega parlamenta in Sveta o uvedbi digitalnega eura – COM(2023) 369 final</w:t>
      </w:r>
      <w:r w:rsidRPr="004F6E38">
        <w:rPr>
          <w:noProof/>
        </w:rPr>
        <w:t xml:space="preserve">]. </w:t>
      </w:r>
    </w:p>
    <w:p w14:paraId="2964A90B" w14:textId="124856ED" w:rsidR="00D720E1" w:rsidRPr="004F6E38" w:rsidRDefault="00EE135F" w:rsidP="00EE135F">
      <w:pPr>
        <w:pStyle w:val="ManualNumPar1"/>
        <w:rPr>
          <w:noProof/>
        </w:rPr>
      </w:pPr>
      <w:r w:rsidRPr="004F6E38">
        <w:rPr>
          <w:noProof/>
        </w:rPr>
        <w:t>2.</w:t>
      </w:r>
      <w:r w:rsidRPr="004F6E38">
        <w:rPr>
          <w:noProof/>
        </w:rPr>
        <w:tab/>
        <w:t>Direktiva (EU) 2015/843 se uporablja za nadzor, ki ga izvajajo pristojni organi, ter režim sankcij in nadzorne ureditve med pristojnimi organi matičnih držav članic in držav članic gostiteljic v zvezi z dejavnostmi ponudnikov plačilnih storitev s sedežem v državi članici, katere valuta ni euro, v zvezi z digitalnim eurom za namene uporabe te uredbe in obveznosti iz poglavja IX Uredbe (EU)</w:t>
      </w:r>
      <w:r w:rsidRPr="004F6E38">
        <w:rPr>
          <w:i/>
          <w:noProof/>
        </w:rPr>
        <w:t>[</w:t>
      </w:r>
      <w:r w:rsidRPr="004F6E38">
        <w:rPr>
          <w:noProof/>
        </w:rPr>
        <w:t xml:space="preserve"> </w:t>
      </w:r>
      <w:r w:rsidRPr="004F6E38">
        <w:rPr>
          <w:i/>
          <w:iCs/>
          <w:noProof/>
          <w:color w:val="333333"/>
          <w:sz w:val="23"/>
        </w:rPr>
        <w:t>vstavite sklic – predlog uredbe Evropskega parlamenta in Sveta o uvedbi digitalnega eura – COM(2023) 369 final</w:t>
      </w:r>
      <w:r w:rsidRPr="004F6E38">
        <w:rPr>
          <w:noProof/>
        </w:rPr>
        <w:t>].</w:t>
      </w:r>
      <w:r w:rsidRPr="004F6E38">
        <w:rPr>
          <w:i/>
          <w:noProof/>
          <w:color w:val="333333"/>
        </w:rPr>
        <w:t xml:space="preserve"> </w:t>
      </w:r>
      <w:r w:rsidRPr="004F6E38">
        <w:rPr>
          <w:i/>
          <w:noProof/>
        </w:rPr>
        <w:t xml:space="preserve"> </w:t>
      </w:r>
    </w:p>
    <w:p w14:paraId="15B5CFDC" w14:textId="77777777" w:rsidR="00D720E1" w:rsidRPr="004F6E38" w:rsidRDefault="00D720E1" w:rsidP="00D720E1">
      <w:pPr>
        <w:pStyle w:val="Titrearticle"/>
        <w:rPr>
          <w:iCs/>
          <w:noProof/>
        </w:rPr>
      </w:pPr>
      <w:r w:rsidRPr="004F6E38">
        <w:rPr>
          <w:noProof/>
        </w:rPr>
        <w:t xml:space="preserve">Člen 6 </w:t>
      </w:r>
      <w:r w:rsidRPr="004F6E38">
        <w:rPr>
          <w:noProof/>
        </w:rPr>
        <w:br/>
        <w:t>Sodelovanje z Evropsko centralno banko</w:t>
      </w:r>
    </w:p>
    <w:p w14:paraId="7AF3DB9F" w14:textId="0ECCE914" w:rsidR="00D720E1" w:rsidRPr="004F6E38" w:rsidRDefault="00D720E1" w:rsidP="00D720E1">
      <w:pPr>
        <w:rPr>
          <w:noProof/>
          <w:szCs w:val="24"/>
        </w:rPr>
      </w:pPr>
      <w:r w:rsidRPr="004F6E38">
        <w:rPr>
          <w:noProof/>
        </w:rPr>
        <w:t>Za namene nadzora uporabe poglavij IV, V in VII Uredbe (EU) [</w:t>
      </w:r>
      <w:r w:rsidRPr="004F6E38">
        <w:rPr>
          <w:i/>
          <w:iCs/>
          <w:noProof/>
        </w:rPr>
        <w:t>vstavite sklic – predlog uredbe Evropskega parlamenta in Sveta o uvedbi digitalnega eura – COM(2023) 369 final</w:t>
      </w:r>
      <w:r w:rsidRPr="004F6E38">
        <w:rPr>
          <w:noProof/>
        </w:rPr>
        <w:t xml:space="preserve">] pristojni organi iz člena 4(1) sodelujejo z Evropsko centralno banko. </w:t>
      </w:r>
    </w:p>
    <w:p w14:paraId="783D6582" w14:textId="77777777" w:rsidR="00D720E1" w:rsidRPr="004F6E38" w:rsidRDefault="00D720E1" w:rsidP="00D720E1">
      <w:pPr>
        <w:pStyle w:val="Titrearticle"/>
        <w:rPr>
          <w:iCs/>
          <w:noProof/>
        </w:rPr>
      </w:pPr>
      <w:r w:rsidRPr="004F6E38">
        <w:rPr>
          <w:noProof/>
        </w:rPr>
        <w:t xml:space="preserve">Člen 7 </w:t>
      </w:r>
      <w:r w:rsidRPr="004F6E38">
        <w:rPr>
          <w:noProof/>
        </w:rPr>
        <w:br/>
        <w:t>Spremembe</w:t>
      </w:r>
    </w:p>
    <w:p w14:paraId="666C2B14" w14:textId="76C3D4CB" w:rsidR="002F4CB3" w:rsidRPr="004F6E38" w:rsidRDefault="00D720E1" w:rsidP="000816A0">
      <w:pPr>
        <w:rPr>
          <w:noProof/>
        </w:rPr>
      </w:pPr>
      <w:r w:rsidRPr="004F6E38">
        <w:rPr>
          <w:noProof/>
        </w:rPr>
        <w:t>Člen 2(10) Uredbe (EU) 2021/1230 Evropskega parlamenta in Sveta z dne 14. julija 2021 o čezmejnih plačilih v Uniji se nadomesti s „‚sredstva‘ pomeni centralnobančni denar, izdan za uporabo na drobno, knjižni denar ali elektronski denar“.</w:t>
      </w:r>
    </w:p>
    <w:p w14:paraId="5EBD8C09" w14:textId="77777777" w:rsidR="00D720E1" w:rsidRPr="004F6E38" w:rsidRDefault="00D720E1" w:rsidP="00D720E1">
      <w:pPr>
        <w:pStyle w:val="Titrearticle"/>
        <w:rPr>
          <w:iCs/>
          <w:noProof/>
        </w:rPr>
      </w:pPr>
      <w:r w:rsidRPr="004F6E38">
        <w:rPr>
          <w:noProof/>
        </w:rPr>
        <w:t xml:space="preserve">Člen 8 </w:t>
      </w:r>
      <w:r w:rsidRPr="004F6E38">
        <w:rPr>
          <w:noProof/>
        </w:rPr>
        <w:br/>
        <w:t>Začetek veljavnosti in uporaba</w:t>
      </w:r>
    </w:p>
    <w:p w14:paraId="28B21315" w14:textId="77777777" w:rsidR="00D720E1" w:rsidRPr="004F6E38" w:rsidRDefault="00D720E1" w:rsidP="00D720E1">
      <w:pPr>
        <w:rPr>
          <w:noProof/>
        </w:rPr>
      </w:pPr>
      <w:r w:rsidRPr="004F6E38">
        <w:rPr>
          <w:noProof/>
        </w:rPr>
        <w:t>Ta uredba začne veljati dvajseti dan po objavi v </w:t>
      </w:r>
      <w:r w:rsidRPr="004F6E38">
        <w:rPr>
          <w:i/>
          <w:noProof/>
        </w:rPr>
        <w:t>Uradnem listu Evropske unije</w:t>
      </w:r>
      <w:r w:rsidRPr="004F6E38">
        <w:rPr>
          <w:noProof/>
        </w:rPr>
        <w:t>.</w:t>
      </w:r>
    </w:p>
    <w:p w14:paraId="5292CFFD" w14:textId="77777777" w:rsidR="004D0AEF" w:rsidRPr="004F6E38" w:rsidRDefault="00D720E1" w:rsidP="000B3B12">
      <w:pPr>
        <w:pStyle w:val="Applicationdirecte"/>
        <w:rPr>
          <w:noProof/>
        </w:rPr>
      </w:pPr>
      <w:r w:rsidRPr="004F6E38">
        <w:rPr>
          <w:noProof/>
        </w:rPr>
        <w:t xml:space="preserve">Ta uredba je v celoti zavezujoča in se neposredno uporablja v državah članicah v skladu s Pogodbama. </w:t>
      </w:r>
    </w:p>
    <w:p w14:paraId="65420210" w14:textId="7959FD80" w:rsidR="004D0AEF" w:rsidRPr="004F6E38" w:rsidRDefault="00757204" w:rsidP="00717FDB">
      <w:pPr>
        <w:pStyle w:val="Fait"/>
        <w:rPr>
          <w:noProof/>
        </w:rPr>
      </w:pPr>
      <w:r w:rsidRPr="00757204">
        <w:t>V Bruslju,</w:t>
      </w:r>
    </w:p>
    <w:p w14:paraId="305601E5" w14:textId="77777777" w:rsidR="004D0AEF" w:rsidRPr="004F6E38" w:rsidRDefault="004D0AEF" w:rsidP="00717FDB">
      <w:pPr>
        <w:pStyle w:val="Institutionquisigne"/>
        <w:rPr>
          <w:noProof/>
        </w:rPr>
      </w:pPr>
      <w:r w:rsidRPr="004F6E38">
        <w:rPr>
          <w:noProof/>
        </w:rPr>
        <w:t>Za Evropski parlament</w:t>
      </w:r>
      <w:r w:rsidRPr="004F6E38">
        <w:rPr>
          <w:noProof/>
        </w:rPr>
        <w:tab/>
        <w:t>Za Svet</w:t>
      </w:r>
    </w:p>
    <w:p w14:paraId="6E937F1D" w14:textId="77777777" w:rsidR="004D0AEF" w:rsidRPr="004F6E38" w:rsidRDefault="004D0AEF" w:rsidP="004D0AEF">
      <w:pPr>
        <w:pStyle w:val="Personnequisigne"/>
        <w:rPr>
          <w:noProof/>
        </w:rPr>
      </w:pPr>
      <w:r w:rsidRPr="004F6E38">
        <w:rPr>
          <w:noProof/>
        </w:rPr>
        <w:t>predsednica</w:t>
      </w:r>
      <w:r w:rsidRPr="004F6E38">
        <w:rPr>
          <w:noProof/>
        </w:rPr>
        <w:tab/>
        <w:t>predsednik</w:t>
      </w:r>
    </w:p>
    <w:sectPr w:rsidR="004D0AEF" w:rsidRPr="004F6E38" w:rsidSect="00ED4319">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A09252" w14:textId="77777777" w:rsidR="00854470" w:rsidRDefault="00854470" w:rsidP="004D0AEF">
      <w:pPr>
        <w:spacing w:before="0" w:after="0"/>
      </w:pPr>
      <w:r>
        <w:separator/>
      </w:r>
    </w:p>
  </w:endnote>
  <w:endnote w:type="continuationSeparator" w:id="0">
    <w:p w14:paraId="1C870284" w14:textId="77777777" w:rsidR="00854470" w:rsidRDefault="00854470" w:rsidP="004D0AEF">
      <w:pPr>
        <w:spacing w:before="0" w:after="0"/>
      </w:pPr>
      <w:r>
        <w:continuationSeparator/>
      </w:r>
    </w:p>
  </w:endnote>
  <w:endnote w:type="continuationNotice" w:id="1">
    <w:p w14:paraId="5872D0F6" w14:textId="77777777" w:rsidR="00854470" w:rsidRDefault="0085447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FE1BE" w14:textId="30BE4C81" w:rsidR="00A042BC" w:rsidRPr="00ED4319" w:rsidRDefault="00ED4319" w:rsidP="00ED4319">
    <w:pPr>
      <w:pStyle w:val="Footer"/>
      <w:rPr>
        <w:rFonts w:ascii="Arial" w:hAnsi="Arial" w:cs="Arial"/>
        <w:b/>
        <w:sz w:val="48"/>
      </w:rPr>
    </w:pPr>
    <w:r w:rsidRPr="00ED4319">
      <w:rPr>
        <w:rFonts w:ascii="Arial" w:hAnsi="Arial" w:cs="Arial"/>
        <w:b/>
        <w:sz w:val="48"/>
      </w:rPr>
      <w:t>SL</w:t>
    </w:r>
    <w:r w:rsidRPr="00ED4319">
      <w:rPr>
        <w:rFonts w:ascii="Arial" w:hAnsi="Arial" w:cs="Arial"/>
        <w:b/>
        <w:sz w:val="48"/>
      </w:rPr>
      <w:tab/>
    </w:r>
    <w:r w:rsidRPr="00ED4319">
      <w:rPr>
        <w:rFonts w:ascii="Arial" w:hAnsi="Arial" w:cs="Arial"/>
        <w:b/>
        <w:sz w:val="48"/>
      </w:rPr>
      <w:tab/>
    </w:r>
    <w:r w:rsidRPr="00ED4319">
      <w:tab/>
    </w:r>
    <w:r w:rsidRPr="00ED4319">
      <w:rPr>
        <w:rFonts w:ascii="Arial" w:hAnsi="Arial" w:cs="Arial"/>
        <w:b/>
        <w:sz w:val="48"/>
      </w:rPr>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0AB77" w14:textId="4B3D7A45" w:rsidR="00ED4319" w:rsidRPr="00ED4319" w:rsidRDefault="00ED4319" w:rsidP="00ED4319">
    <w:pPr>
      <w:pStyle w:val="Footer"/>
      <w:rPr>
        <w:rFonts w:ascii="Arial" w:hAnsi="Arial" w:cs="Arial"/>
        <w:b/>
        <w:sz w:val="48"/>
      </w:rPr>
    </w:pPr>
    <w:r w:rsidRPr="00ED4319">
      <w:rPr>
        <w:rFonts w:ascii="Arial" w:hAnsi="Arial" w:cs="Arial"/>
        <w:b/>
        <w:sz w:val="48"/>
      </w:rPr>
      <w:t>SL</w:t>
    </w:r>
    <w:r w:rsidRPr="00ED4319">
      <w:rPr>
        <w:rFonts w:ascii="Arial" w:hAnsi="Arial" w:cs="Arial"/>
        <w:b/>
        <w:sz w:val="48"/>
      </w:rPr>
      <w:tab/>
    </w:r>
    <w:r>
      <w:fldChar w:fldCharType="begin"/>
    </w:r>
    <w:r>
      <w:instrText xml:space="preserve"> PAGE  \* MERGEFORMAT </w:instrText>
    </w:r>
    <w:r>
      <w:fldChar w:fldCharType="separate"/>
    </w:r>
    <w:r w:rsidR="00717FDB">
      <w:rPr>
        <w:noProof/>
      </w:rPr>
      <w:t>10</w:t>
    </w:r>
    <w:r>
      <w:fldChar w:fldCharType="end"/>
    </w:r>
    <w:r>
      <w:tab/>
    </w:r>
    <w:r w:rsidRPr="00ED4319">
      <w:tab/>
    </w:r>
    <w:r w:rsidRPr="00ED4319">
      <w:rPr>
        <w:rFonts w:ascii="Arial" w:hAnsi="Arial" w:cs="Arial"/>
        <w:b/>
        <w:sz w:val="48"/>
      </w:rPr>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D6E62" w14:textId="77777777" w:rsidR="00ED4319" w:rsidRPr="00ED4319" w:rsidRDefault="00ED4319" w:rsidP="00ED43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95E551" w14:textId="77777777" w:rsidR="00854470" w:rsidRDefault="00854470" w:rsidP="004D0AEF">
      <w:pPr>
        <w:spacing w:before="0" w:after="0"/>
      </w:pPr>
      <w:r>
        <w:separator/>
      </w:r>
    </w:p>
  </w:footnote>
  <w:footnote w:type="continuationSeparator" w:id="0">
    <w:p w14:paraId="2EE02D66" w14:textId="77777777" w:rsidR="00854470" w:rsidRDefault="00854470" w:rsidP="004D0AEF">
      <w:pPr>
        <w:spacing w:before="0" w:after="0"/>
      </w:pPr>
      <w:r>
        <w:continuationSeparator/>
      </w:r>
    </w:p>
  </w:footnote>
  <w:footnote w:type="continuationNotice" w:id="1">
    <w:p w14:paraId="03DDCFCC" w14:textId="77777777" w:rsidR="00854470" w:rsidRDefault="00854470">
      <w:pPr>
        <w:spacing w:before="0" w:after="0"/>
      </w:pPr>
    </w:p>
  </w:footnote>
  <w:footnote w:id="2">
    <w:p w14:paraId="55ECC534" w14:textId="5F196EBD" w:rsidR="00A22380" w:rsidRPr="004F6E38" w:rsidRDefault="00A22380" w:rsidP="00A521CC">
      <w:pPr>
        <w:pStyle w:val="FootnoteText"/>
        <w:rPr>
          <w:lang w:val="es-ES_tradnl"/>
        </w:rPr>
      </w:pPr>
      <w:r>
        <w:rPr>
          <w:rStyle w:val="FootnoteReference"/>
        </w:rPr>
        <w:footnoteRef/>
      </w:r>
      <w:r w:rsidRPr="004F6E38">
        <w:rPr>
          <w:lang w:val="es-ES_tradnl"/>
        </w:rPr>
        <w:tab/>
        <w:t>Sporočilo Komisije Evropskemu parlamentu, Svetu in Odboru regij o strategiji EU za digitalne finance (COM(2020) 591 final).</w:t>
      </w:r>
    </w:p>
  </w:footnote>
  <w:footnote w:id="3">
    <w:p w14:paraId="77564DEE" w14:textId="77777777" w:rsidR="002A1BBA" w:rsidRDefault="002A1BBA" w:rsidP="002A1BBA">
      <w:pPr>
        <w:pStyle w:val="FootnoteText"/>
      </w:pPr>
      <w:r>
        <w:rPr>
          <w:rStyle w:val="FootnoteReference"/>
        </w:rPr>
        <w:footnoteRef/>
      </w:r>
      <w:r>
        <w:tab/>
        <w:t>UL C […], […], str. […].</w:t>
      </w:r>
    </w:p>
  </w:footnote>
  <w:footnote w:id="4">
    <w:p w14:paraId="44F89A4C" w14:textId="77777777" w:rsidR="004D0AEF" w:rsidRPr="004F6E38" w:rsidRDefault="004D0AEF" w:rsidP="006D42BA">
      <w:pPr>
        <w:pStyle w:val="FootnoteText"/>
        <w:rPr>
          <w:lang w:val="es-ES_tradnl"/>
        </w:rPr>
      </w:pPr>
      <w:r>
        <w:rPr>
          <w:rStyle w:val="FootnoteReference"/>
        </w:rPr>
        <w:footnoteRef/>
      </w:r>
      <w:r>
        <w:tab/>
        <w:t xml:space="preserve">UL C […], […], str. </w:t>
      </w:r>
      <w:r w:rsidRPr="004F6E38">
        <w:rPr>
          <w:lang w:val="es-ES_tradnl"/>
        </w:rPr>
        <w:t>[…].</w:t>
      </w:r>
    </w:p>
  </w:footnote>
  <w:footnote w:id="5">
    <w:p w14:paraId="235B9AC3" w14:textId="5E438385" w:rsidR="00A22380" w:rsidRPr="004F6E38" w:rsidRDefault="00A22380" w:rsidP="00A22380">
      <w:pPr>
        <w:pStyle w:val="FootnoteText"/>
        <w:rPr>
          <w:rFonts w:asciiTheme="minorHAnsi" w:hAnsiTheme="minorHAnsi" w:cstheme="minorBidi"/>
          <w:lang w:val="es-ES_tradnl"/>
        </w:rPr>
      </w:pPr>
      <w:r>
        <w:rPr>
          <w:rStyle w:val="FootnoteReference"/>
        </w:rPr>
        <w:footnoteRef/>
      </w:r>
      <w:r w:rsidRPr="004F6E38">
        <w:rPr>
          <w:lang w:val="es-ES_tradnl"/>
        </w:rPr>
        <w:tab/>
        <w:t>Sporočilo Komisije Evropskemu parlamentu, Svetu in Odboru regij o strategiji EU za digitalne finance (COM(2020) 591 final).</w:t>
      </w:r>
    </w:p>
  </w:footnote>
  <w:footnote w:id="6">
    <w:p w14:paraId="0C4CE85C" w14:textId="37636575" w:rsidR="000F05B5" w:rsidRPr="004F6E38" w:rsidRDefault="000F05B5">
      <w:pPr>
        <w:pStyle w:val="FootnoteText"/>
        <w:rPr>
          <w:lang w:val="es-ES_tradnl"/>
        </w:rPr>
      </w:pPr>
      <w:r>
        <w:rPr>
          <w:rStyle w:val="FootnoteReference"/>
        </w:rPr>
        <w:footnoteRef/>
      </w:r>
      <w:r w:rsidRPr="004F6E38">
        <w:rPr>
          <w:lang w:val="es-ES_tradnl"/>
        </w:rPr>
        <w:tab/>
        <w:t>Direktiva (EU) 2015/2366 Evropskega parlamenta in Sveta z dne 25. novembra 2015 o plačilnih storitvah na notranjem trgu, spremembah direktiv 2002/65/ES, 2009/110/ES ter 2013/36/EU in Uredbe (EU) št. 1093/2010 ter razveljavitvi Direktive 2007/64/ES (UL L 337, 23.12.2015, str. 35).</w:t>
      </w:r>
    </w:p>
  </w:footnote>
  <w:footnote w:id="7">
    <w:p w14:paraId="6A9B54D1" w14:textId="24FDFE72" w:rsidR="00223828" w:rsidRPr="004F6E38" w:rsidRDefault="00223828">
      <w:pPr>
        <w:pStyle w:val="FootnoteText"/>
        <w:rPr>
          <w:lang w:val="es-ES_tradnl"/>
        </w:rPr>
      </w:pPr>
      <w:r>
        <w:rPr>
          <w:rStyle w:val="FootnoteReference"/>
        </w:rPr>
        <w:footnoteRef/>
      </w:r>
      <w:r w:rsidRPr="004F6E38">
        <w:rPr>
          <w:lang w:val="es-ES_tradnl"/>
        </w:rPr>
        <w:tab/>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141, 5.6.2015, str. 73).</w:t>
      </w:r>
    </w:p>
  </w:footnote>
  <w:footnote w:id="8">
    <w:p w14:paraId="6411D66D" w14:textId="2BA97DC2" w:rsidR="00233924" w:rsidRPr="004F6E38" w:rsidRDefault="00233924" w:rsidP="00233924">
      <w:pPr>
        <w:pStyle w:val="FootnoteText"/>
        <w:rPr>
          <w:lang w:val="es-ES_tradnl"/>
        </w:rPr>
      </w:pPr>
      <w:r>
        <w:rPr>
          <w:rStyle w:val="FootnoteReference"/>
        </w:rPr>
        <w:footnoteRef/>
      </w:r>
      <w:r w:rsidRPr="004F6E38">
        <w:rPr>
          <w:lang w:val="es-ES_tradnl"/>
        </w:rPr>
        <w:tab/>
        <w:t>Direktiva 2014/92/EU Evropskega parlamenta in Sveta z dne 23. julija 2014 o primerljivosti nadomestil, povezanih s plačilnimi računi, zamenjavi plačilnih računov in dostopu do osnovnih plačilnih računov (UL L 257, 28.8.2014, str. 214).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D4EEA4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00C30A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4167FE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2F24DC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E230858"/>
    <w:multiLevelType w:val="hybridMultilevel"/>
    <w:tmpl w:val="91B2CC9C"/>
    <w:styleLink w:val="ImportedStyle1"/>
    <w:lvl w:ilvl="0" w:tplc="2FFE88E4">
      <w:start w:val="1"/>
      <w:numFmt w:val="decimal"/>
      <w:lvlText w:val="%1."/>
      <w:lvlJc w:val="left"/>
      <w:pPr>
        <w:ind w:left="704" w:hanging="4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2BF8260A">
      <w:start w:val="1"/>
      <w:numFmt w:val="lowerLetter"/>
      <w:lvlText w:val="%2."/>
      <w:lvlJc w:val="left"/>
      <w:pPr>
        <w:ind w:left="1364"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D400AFBC">
      <w:start w:val="1"/>
      <w:numFmt w:val="lowerRoman"/>
      <w:lvlText w:val="%3."/>
      <w:lvlJc w:val="left"/>
      <w:pPr>
        <w:ind w:left="2084"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6F6E3952">
      <w:start w:val="1"/>
      <w:numFmt w:val="decimal"/>
      <w:lvlText w:val="%4."/>
      <w:lvlJc w:val="left"/>
      <w:pPr>
        <w:ind w:left="2804"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6604399E">
      <w:start w:val="1"/>
      <w:numFmt w:val="lowerLetter"/>
      <w:lvlText w:val="%5."/>
      <w:lvlJc w:val="left"/>
      <w:pPr>
        <w:ind w:left="3524"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BD9221F6">
      <w:start w:val="1"/>
      <w:numFmt w:val="lowerRoman"/>
      <w:lvlText w:val="%6."/>
      <w:lvlJc w:val="left"/>
      <w:pPr>
        <w:ind w:left="4244"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289AE5CE">
      <w:start w:val="1"/>
      <w:numFmt w:val="decimal"/>
      <w:lvlText w:val="%7."/>
      <w:lvlJc w:val="left"/>
      <w:pPr>
        <w:ind w:left="4964"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97EEFCDC">
      <w:start w:val="1"/>
      <w:numFmt w:val="lowerLetter"/>
      <w:lvlText w:val="%8."/>
      <w:lvlJc w:val="left"/>
      <w:pPr>
        <w:ind w:left="5684"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0C5ED978">
      <w:start w:val="1"/>
      <w:numFmt w:val="lowerRoman"/>
      <w:lvlText w:val="%9."/>
      <w:lvlJc w:val="left"/>
      <w:pPr>
        <w:ind w:left="6404"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6"/>
  </w:num>
  <w:num w:numId="7">
    <w:abstractNumId w:val="9"/>
  </w:num>
  <w:num w:numId="8">
    <w:abstractNumId w:val="18"/>
  </w:num>
  <w:num w:numId="9">
    <w:abstractNumId w:val="8"/>
  </w:num>
  <w:num w:numId="10">
    <w:abstractNumId w:val="10"/>
  </w:num>
  <w:num w:numId="11">
    <w:abstractNumId w:val="11"/>
  </w:num>
  <w:num w:numId="12">
    <w:abstractNumId w:val="6"/>
  </w:num>
  <w:num w:numId="13">
    <w:abstractNumId w:val="17"/>
  </w:num>
  <w:num w:numId="14">
    <w:abstractNumId w:val="5"/>
  </w:num>
  <w:num w:numId="15">
    <w:abstractNumId w:val="12"/>
  </w:num>
  <w:num w:numId="16">
    <w:abstractNumId w:val="14"/>
  </w:num>
  <w:num w:numId="17">
    <w:abstractNumId w:val="15"/>
  </w:num>
  <w:num w:numId="18">
    <w:abstractNumId w:val="7"/>
  </w:num>
  <w:num w:numId="19">
    <w:abstractNumId w:val="13"/>
  </w:num>
  <w:num w:numId="20">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3-07-13 08:52:5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C705159-42F8-4E36-95C2-BD2086EE889B"/>
    <w:docVar w:name="LW_COVERPAGE_TYPE" w:val="1"/>
    <w:docVar w:name="LW_CROSSREFERENCE" w:val="{COM(2023) 364 final} - {COM(2023) 369 final} - {SEC(2023) 257 final} - {SWD(2023) 233 final} - {SWD(2023) 234 final}"/>
    <w:docVar w:name="LW_DocType" w:val="COM"/>
    <w:docVar w:name="LW_EMISSION" w:val="28.6.2023"/>
    <w:docVar w:name="LW_EMISSION_ISODATE" w:val="2023-06-28"/>
    <w:docVar w:name="LW_EMISSION_LOCATION" w:val="BRX"/>
    <w:docVar w:name="LW_EMISSION_PREFIX" w:val="Bruselj,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Besedilo velja za EGP)"/>
    <w:docVar w:name="LW_LANGUE" w:val="SL"/>
    <w:docVar w:name="LW_LEVEL_OF_SENSITIVITY" w:val="Standard treatment"/>
    <w:docVar w:name="LW_NOM.INST" w:val="EVROPSKA KOMISIJA"/>
    <w:docVar w:name="LW_NOM.INST_JOINTDOC" w:val="&lt;EMPTY&gt;"/>
    <w:docVar w:name="LW_PART_NBR" w:val="1"/>
    <w:docVar w:name="LW_PART_NBR_TOTAL" w:val="1"/>
    <w:docVar w:name="LW_REF.II.NEW.CP" w:val="COD"/>
    <w:docVar w:name="LW_REF.II.NEW.CP_NUMBER" w:val="0211"/>
    <w:docVar w:name="LW_REF.II.NEW.CP_YEAR" w:val="2023"/>
    <w:docVar w:name="LW_REF.INST.NEW" w:val="COM"/>
    <w:docVar w:name="LW_REF.INST.NEW_ADOPTED" w:val="final"/>
    <w:docVar w:name="LW_REF.INST.NEW_TEXT" w:val="(2023) 36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edlog"/>
    <w:docVar w:name="LW_SUPERTITRE" w:val="&lt;UNUSED&gt;"/>
    <w:docVar w:name="LW_TITRE.OBJ.CP" w:val="o opravljanju storitev z digitalnim eurom s strani ponudnikov plačilnih storitev s sedežem v državi članici, katere valuta ni euro, in spremembi Uredbe (EU) 2021/1230 Evropskega parlamenta in Sveta _x000b_"/>
    <w:docVar w:name="LW_TYPE.DOC.CP" w:val="UREDBA EVROPSKEGA PARLAMENTA IN SVETA"/>
    <w:docVar w:name="LwApiVersions" w:val="LW4CoDe 1.23.2.0; LW 8.0, Build 20211117"/>
  </w:docVars>
  <w:rsids>
    <w:rsidRoot w:val="004D0AEF"/>
    <w:rsid w:val="000039AC"/>
    <w:rsid w:val="00011B67"/>
    <w:rsid w:val="00013048"/>
    <w:rsid w:val="00017783"/>
    <w:rsid w:val="000233AB"/>
    <w:rsid w:val="00023A8F"/>
    <w:rsid w:val="00036F00"/>
    <w:rsid w:val="00042403"/>
    <w:rsid w:val="00070B1B"/>
    <w:rsid w:val="000816A0"/>
    <w:rsid w:val="000960B4"/>
    <w:rsid w:val="000B0BC4"/>
    <w:rsid w:val="000B32C3"/>
    <w:rsid w:val="000B39CB"/>
    <w:rsid w:val="000B3B12"/>
    <w:rsid w:val="000C372E"/>
    <w:rsid w:val="000D0307"/>
    <w:rsid w:val="000D3279"/>
    <w:rsid w:val="000D52DE"/>
    <w:rsid w:val="000D6EC9"/>
    <w:rsid w:val="000E06BC"/>
    <w:rsid w:val="000E1F5C"/>
    <w:rsid w:val="000E4B57"/>
    <w:rsid w:val="000F05B5"/>
    <w:rsid w:val="000F121E"/>
    <w:rsid w:val="001065F5"/>
    <w:rsid w:val="001130C2"/>
    <w:rsid w:val="001238EF"/>
    <w:rsid w:val="00144878"/>
    <w:rsid w:val="00152280"/>
    <w:rsid w:val="0015665D"/>
    <w:rsid w:val="00165666"/>
    <w:rsid w:val="00185218"/>
    <w:rsid w:val="00192FAD"/>
    <w:rsid w:val="00197613"/>
    <w:rsid w:val="001B22CE"/>
    <w:rsid w:val="001C2414"/>
    <w:rsid w:val="001C76BE"/>
    <w:rsid w:val="001D302C"/>
    <w:rsid w:val="001F041E"/>
    <w:rsid w:val="001F0C45"/>
    <w:rsid w:val="001F0F91"/>
    <w:rsid w:val="001F5BE0"/>
    <w:rsid w:val="00223828"/>
    <w:rsid w:val="00233924"/>
    <w:rsid w:val="00233DC7"/>
    <w:rsid w:val="002358C0"/>
    <w:rsid w:val="00236C76"/>
    <w:rsid w:val="002400C4"/>
    <w:rsid w:val="00247779"/>
    <w:rsid w:val="00255C55"/>
    <w:rsid w:val="002628CA"/>
    <w:rsid w:val="0027030E"/>
    <w:rsid w:val="002704EB"/>
    <w:rsid w:val="00285BEE"/>
    <w:rsid w:val="00294085"/>
    <w:rsid w:val="0029490D"/>
    <w:rsid w:val="0029533F"/>
    <w:rsid w:val="002A0F0D"/>
    <w:rsid w:val="002A1BBA"/>
    <w:rsid w:val="002B30AF"/>
    <w:rsid w:val="002C0DFE"/>
    <w:rsid w:val="002E3E79"/>
    <w:rsid w:val="002E4137"/>
    <w:rsid w:val="002F34D3"/>
    <w:rsid w:val="002F413A"/>
    <w:rsid w:val="002F4CA0"/>
    <w:rsid w:val="002F4CB3"/>
    <w:rsid w:val="00302F7A"/>
    <w:rsid w:val="0031106A"/>
    <w:rsid w:val="003134F1"/>
    <w:rsid w:val="00316733"/>
    <w:rsid w:val="00322714"/>
    <w:rsid w:val="00324AA9"/>
    <w:rsid w:val="0032596D"/>
    <w:rsid w:val="003307DA"/>
    <w:rsid w:val="0033344A"/>
    <w:rsid w:val="003405CA"/>
    <w:rsid w:val="003475AF"/>
    <w:rsid w:val="00355DDE"/>
    <w:rsid w:val="00367A47"/>
    <w:rsid w:val="003734A8"/>
    <w:rsid w:val="00373AC3"/>
    <w:rsid w:val="003742D3"/>
    <w:rsid w:val="00391358"/>
    <w:rsid w:val="003A3EB3"/>
    <w:rsid w:val="003D0C82"/>
    <w:rsid w:val="003D173E"/>
    <w:rsid w:val="003E47FA"/>
    <w:rsid w:val="00404F0C"/>
    <w:rsid w:val="00405D6D"/>
    <w:rsid w:val="00406154"/>
    <w:rsid w:val="0042648E"/>
    <w:rsid w:val="00431F9A"/>
    <w:rsid w:val="0044257A"/>
    <w:rsid w:val="00445F65"/>
    <w:rsid w:val="00452215"/>
    <w:rsid w:val="00456D9E"/>
    <w:rsid w:val="004674AB"/>
    <w:rsid w:val="00481668"/>
    <w:rsid w:val="00492C46"/>
    <w:rsid w:val="004936D2"/>
    <w:rsid w:val="004A689D"/>
    <w:rsid w:val="004B0F48"/>
    <w:rsid w:val="004B572A"/>
    <w:rsid w:val="004C02A7"/>
    <w:rsid w:val="004D0AEF"/>
    <w:rsid w:val="004D3408"/>
    <w:rsid w:val="004F6E38"/>
    <w:rsid w:val="0051473A"/>
    <w:rsid w:val="00514C76"/>
    <w:rsid w:val="00531E02"/>
    <w:rsid w:val="005378F7"/>
    <w:rsid w:val="00537DE2"/>
    <w:rsid w:val="00541709"/>
    <w:rsid w:val="0054692C"/>
    <w:rsid w:val="005502A3"/>
    <w:rsid w:val="00557653"/>
    <w:rsid w:val="00576FE3"/>
    <w:rsid w:val="00586092"/>
    <w:rsid w:val="00592606"/>
    <w:rsid w:val="005A0F44"/>
    <w:rsid w:val="005B1EB6"/>
    <w:rsid w:val="005B64C4"/>
    <w:rsid w:val="005C3FD5"/>
    <w:rsid w:val="005E2F12"/>
    <w:rsid w:val="005E4AAD"/>
    <w:rsid w:val="005E5AA5"/>
    <w:rsid w:val="006173DE"/>
    <w:rsid w:val="00617639"/>
    <w:rsid w:val="006419B0"/>
    <w:rsid w:val="00646B23"/>
    <w:rsid w:val="006475AF"/>
    <w:rsid w:val="0065345A"/>
    <w:rsid w:val="00660FC8"/>
    <w:rsid w:val="00693768"/>
    <w:rsid w:val="006A1E4D"/>
    <w:rsid w:val="006A6D97"/>
    <w:rsid w:val="006C00D3"/>
    <w:rsid w:val="006D2770"/>
    <w:rsid w:val="006E7BD2"/>
    <w:rsid w:val="006F2BF9"/>
    <w:rsid w:val="00704192"/>
    <w:rsid w:val="0071652B"/>
    <w:rsid w:val="00717FDB"/>
    <w:rsid w:val="00730D67"/>
    <w:rsid w:val="00743A45"/>
    <w:rsid w:val="00757204"/>
    <w:rsid w:val="0076623F"/>
    <w:rsid w:val="00773331"/>
    <w:rsid w:val="00785143"/>
    <w:rsid w:val="007932EF"/>
    <w:rsid w:val="007A4B94"/>
    <w:rsid w:val="007A5016"/>
    <w:rsid w:val="007A71ED"/>
    <w:rsid w:val="007C36B4"/>
    <w:rsid w:val="007C5092"/>
    <w:rsid w:val="007C5D7C"/>
    <w:rsid w:val="007D536C"/>
    <w:rsid w:val="007E05B0"/>
    <w:rsid w:val="007F18D4"/>
    <w:rsid w:val="007F4EBA"/>
    <w:rsid w:val="0080084B"/>
    <w:rsid w:val="008014A3"/>
    <w:rsid w:val="00804A4C"/>
    <w:rsid w:val="0084186A"/>
    <w:rsid w:val="00841E62"/>
    <w:rsid w:val="008422B3"/>
    <w:rsid w:val="00854470"/>
    <w:rsid w:val="00857FA9"/>
    <w:rsid w:val="00866069"/>
    <w:rsid w:val="00872E26"/>
    <w:rsid w:val="00874D22"/>
    <w:rsid w:val="00885901"/>
    <w:rsid w:val="008873CD"/>
    <w:rsid w:val="008A02F5"/>
    <w:rsid w:val="008A2914"/>
    <w:rsid w:val="008B0199"/>
    <w:rsid w:val="008C23F9"/>
    <w:rsid w:val="008D03B1"/>
    <w:rsid w:val="008D081E"/>
    <w:rsid w:val="008D12CD"/>
    <w:rsid w:val="008D4089"/>
    <w:rsid w:val="008E4D8E"/>
    <w:rsid w:val="008F3F1F"/>
    <w:rsid w:val="008F5F18"/>
    <w:rsid w:val="008F63B2"/>
    <w:rsid w:val="008F65D0"/>
    <w:rsid w:val="00900A11"/>
    <w:rsid w:val="00900EAF"/>
    <w:rsid w:val="00901300"/>
    <w:rsid w:val="00903CBB"/>
    <w:rsid w:val="009162E0"/>
    <w:rsid w:val="00933154"/>
    <w:rsid w:val="00933DAC"/>
    <w:rsid w:val="00944E7C"/>
    <w:rsid w:val="00945472"/>
    <w:rsid w:val="00946590"/>
    <w:rsid w:val="009529DB"/>
    <w:rsid w:val="00956D68"/>
    <w:rsid w:val="00960217"/>
    <w:rsid w:val="009616D1"/>
    <w:rsid w:val="0096661E"/>
    <w:rsid w:val="00966894"/>
    <w:rsid w:val="00976DF8"/>
    <w:rsid w:val="009E0CA9"/>
    <w:rsid w:val="009E5B00"/>
    <w:rsid w:val="00A042BC"/>
    <w:rsid w:val="00A12D8A"/>
    <w:rsid w:val="00A22380"/>
    <w:rsid w:val="00A32813"/>
    <w:rsid w:val="00A33657"/>
    <w:rsid w:val="00A33EF2"/>
    <w:rsid w:val="00A37B95"/>
    <w:rsid w:val="00A400D0"/>
    <w:rsid w:val="00A521CC"/>
    <w:rsid w:val="00A57200"/>
    <w:rsid w:val="00A87B57"/>
    <w:rsid w:val="00A93B1E"/>
    <w:rsid w:val="00A958BE"/>
    <w:rsid w:val="00AB13F4"/>
    <w:rsid w:val="00AB3D2D"/>
    <w:rsid w:val="00AB5DA1"/>
    <w:rsid w:val="00AC7B60"/>
    <w:rsid w:val="00AD168A"/>
    <w:rsid w:val="00B03C29"/>
    <w:rsid w:val="00B169D2"/>
    <w:rsid w:val="00B2232B"/>
    <w:rsid w:val="00B23D96"/>
    <w:rsid w:val="00B420BB"/>
    <w:rsid w:val="00B638B5"/>
    <w:rsid w:val="00B67408"/>
    <w:rsid w:val="00B715B7"/>
    <w:rsid w:val="00B76A35"/>
    <w:rsid w:val="00B92435"/>
    <w:rsid w:val="00B92CA3"/>
    <w:rsid w:val="00BC6126"/>
    <w:rsid w:val="00BC677F"/>
    <w:rsid w:val="00BF282F"/>
    <w:rsid w:val="00BF6202"/>
    <w:rsid w:val="00C00B1C"/>
    <w:rsid w:val="00C12301"/>
    <w:rsid w:val="00C20901"/>
    <w:rsid w:val="00C42A21"/>
    <w:rsid w:val="00C46770"/>
    <w:rsid w:val="00C47211"/>
    <w:rsid w:val="00C50B3B"/>
    <w:rsid w:val="00C53C05"/>
    <w:rsid w:val="00C67872"/>
    <w:rsid w:val="00C74CD2"/>
    <w:rsid w:val="00CA468A"/>
    <w:rsid w:val="00CB6377"/>
    <w:rsid w:val="00CE2C79"/>
    <w:rsid w:val="00CE7E58"/>
    <w:rsid w:val="00D03E16"/>
    <w:rsid w:val="00D13BBB"/>
    <w:rsid w:val="00D20381"/>
    <w:rsid w:val="00D2655D"/>
    <w:rsid w:val="00D44C0E"/>
    <w:rsid w:val="00D5240D"/>
    <w:rsid w:val="00D54011"/>
    <w:rsid w:val="00D625CA"/>
    <w:rsid w:val="00D626F1"/>
    <w:rsid w:val="00D6473E"/>
    <w:rsid w:val="00D66D42"/>
    <w:rsid w:val="00D720E1"/>
    <w:rsid w:val="00D7634A"/>
    <w:rsid w:val="00D944C9"/>
    <w:rsid w:val="00DA0698"/>
    <w:rsid w:val="00DA5641"/>
    <w:rsid w:val="00DD4855"/>
    <w:rsid w:val="00DE6783"/>
    <w:rsid w:val="00DE7F4D"/>
    <w:rsid w:val="00DF0FB2"/>
    <w:rsid w:val="00DF1C00"/>
    <w:rsid w:val="00DF705C"/>
    <w:rsid w:val="00E0056C"/>
    <w:rsid w:val="00E1228E"/>
    <w:rsid w:val="00E17A97"/>
    <w:rsid w:val="00E2175D"/>
    <w:rsid w:val="00E21A46"/>
    <w:rsid w:val="00E306F4"/>
    <w:rsid w:val="00E334F8"/>
    <w:rsid w:val="00E515C4"/>
    <w:rsid w:val="00E54727"/>
    <w:rsid w:val="00E721B4"/>
    <w:rsid w:val="00E7396A"/>
    <w:rsid w:val="00E84B5D"/>
    <w:rsid w:val="00E8529F"/>
    <w:rsid w:val="00E85579"/>
    <w:rsid w:val="00E91E4D"/>
    <w:rsid w:val="00E94474"/>
    <w:rsid w:val="00E96C75"/>
    <w:rsid w:val="00EA162D"/>
    <w:rsid w:val="00EA62CE"/>
    <w:rsid w:val="00ED0690"/>
    <w:rsid w:val="00ED24EE"/>
    <w:rsid w:val="00ED4319"/>
    <w:rsid w:val="00EE135F"/>
    <w:rsid w:val="00F2110A"/>
    <w:rsid w:val="00F3527F"/>
    <w:rsid w:val="00F41031"/>
    <w:rsid w:val="00F90F9E"/>
    <w:rsid w:val="00FA219D"/>
    <w:rsid w:val="00FC38F8"/>
    <w:rsid w:val="00FC41B1"/>
    <w:rsid w:val="00FC782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0347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sl-SI"/>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903CBB"/>
    <w:pPr>
      <w:numPr>
        <w:numId w:val="1"/>
      </w:numPr>
      <w:contextualSpacing/>
    </w:pPr>
  </w:style>
  <w:style w:type="paragraph" w:styleId="ListBullet2">
    <w:name w:val="List Bullet 2"/>
    <w:basedOn w:val="Normal"/>
    <w:uiPriority w:val="99"/>
    <w:semiHidden/>
    <w:unhideWhenUsed/>
    <w:rsid w:val="00903CBB"/>
    <w:pPr>
      <w:numPr>
        <w:numId w:val="2"/>
      </w:numPr>
      <w:contextualSpacing/>
    </w:pPr>
  </w:style>
  <w:style w:type="paragraph" w:styleId="ListBullet3">
    <w:name w:val="List Bullet 3"/>
    <w:basedOn w:val="Normal"/>
    <w:uiPriority w:val="99"/>
    <w:semiHidden/>
    <w:unhideWhenUsed/>
    <w:rsid w:val="00903CBB"/>
    <w:pPr>
      <w:numPr>
        <w:numId w:val="3"/>
      </w:numPr>
      <w:contextualSpacing/>
    </w:pPr>
  </w:style>
  <w:style w:type="paragraph" w:styleId="ListBullet4">
    <w:name w:val="List Bullet 4"/>
    <w:basedOn w:val="Normal"/>
    <w:uiPriority w:val="99"/>
    <w:semiHidden/>
    <w:unhideWhenUsed/>
    <w:rsid w:val="00903CBB"/>
    <w:pPr>
      <w:numPr>
        <w:numId w:val="4"/>
      </w:numPr>
      <w:contextualSpacing/>
    </w:pPr>
  </w:style>
  <w:style w:type="paragraph" w:customStyle="1" w:styleId="16Point">
    <w:name w:val="16 Point"/>
    <w:aliases w:val="Superscript 6 Point,Exposant 3 Point,footnote ref,2001+ Fußnotenzeichen,Times 10 Point,Voetnootverwijzing,FR,FR1, Exposant 3 Point"/>
    <w:basedOn w:val="Normal"/>
    <w:link w:val="FootnoteReference"/>
    <w:uiPriority w:val="99"/>
    <w:qFormat/>
    <w:rsid w:val="00A22380"/>
    <w:pPr>
      <w:spacing w:before="0" w:after="160" w:line="240" w:lineRule="exact"/>
      <w:jc w:val="left"/>
    </w:pPr>
    <w:rPr>
      <w:rFonts w:asciiTheme="minorHAnsi" w:hAnsiTheme="minorHAnsi" w:cstheme="minorBidi"/>
      <w:sz w:val="22"/>
      <w:vertAlign w:val="superscript"/>
    </w:rPr>
  </w:style>
  <w:style w:type="paragraph" w:customStyle="1" w:styleId="title-bold">
    <w:name w:val="title-bold"/>
    <w:basedOn w:val="Normal"/>
    <w:rsid w:val="00A22380"/>
    <w:pPr>
      <w:spacing w:before="100" w:beforeAutospacing="1" w:after="100" w:afterAutospacing="1"/>
      <w:jc w:val="left"/>
    </w:pPr>
    <w:rPr>
      <w:rFonts w:eastAsia="Times New Roman"/>
      <w:szCs w:val="24"/>
      <w:lang w:eastAsia="en-IE"/>
    </w:rPr>
  </w:style>
  <w:style w:type="character" w:customStyle="1" w:styleId="ListParagraphChar">
    <w:name w:val="List Paragraph Char"/>
    <w:aliases w:val="3 Char,Bullet Points Char,Colorful List - Accent 11 Char,Dot pt Char,F5 List Paragraph Char,Indicator Text Char,Issue Action POC Char,List Paragraph Char Char Char Char,List Paragraph2 Char,MAIN CONTENT Char,Normal numbered Char"/>
    <w:link w:val="ListParagraph"/>
    <w:uiPriority w:val="34"/>
    <w:qFormat/>
    <w:locked/>
    <w:rsid w:val="00A22380"/>
    <w:rPr>
      <w:rFonts w:ascii="Times New Roman" w:hAnsi="Times New Roman" w:cs="Times New Roman"/>
      <w:sz w:val="20"/>
      <w:szCs w:val="20"/>
      <w:lang w:eastAsia="en-IE"/>
    </w:rPr>
  </w:style>
  <w:style w:type="paragraph" w:styleId="ListParagraph">
    <w:name w:val="List Paragraph"/>
    <w:aliases w:val="3,Bullet Points,Colorful List - Accent 11,Dot pt,F5 List Paragraph,Indicator Text,Issue Action POC,List Paragraph Char Char Char,List Paragraph2,MAIN CONTENT,Normal numbered,Numbered Para 1,POCG Table Text,Bullet layer,Bulle,列出段落"/>
    <w:basedOn w:val="Normal"/>
    <w:link w:val="ListParagraphChar"/>
    <w:uiPriority w:val="34"/>
    <w:qFormat/>
    <w:rsid w:val="00A22380"/>
    <w:pPr>
      <w:spacing w:before="0" w:after="160" w:line="252" w:lineRule="auto"/>
      <w:ind w:left="720"/>
      <w:jc w:val="left"/>
    </w:pPr>
    <w:rPr>
      <w:sz w:val="20"/>
      <w:szCs w:val="20"/>
      <w:lang w:eastAsia="en-IE"/>
    </w:rPr>
  </w:style>
  <w:style w:type="paragraph" w:customStyle="1" w:styleId="norm">
    <w:name w:val="norm"/>
    <w:basedOn w:val="Normal"/>
    <w:rsid w:val="00A22380"/>
    <w:pPr>
      <w:spacing w:before="100" w:beforeAutospacing="1" w:after="100" w:afterAutospacing="1"/>
      <w:jc w:val="left"/>
    </w:pPr>
    <w:rPr>
      <w:szCs w:val="24"/>
      <w:lang w:eastAsia="en-IE"/>
    </w:rPr>
  </w:style>
  <w:style w:type="numbering" w:customStyle="1" w:styleId="ImportedStyle1">
    <w:name w:val="Imported Style 1"/>
    <w:rsid w:val="00A22380"/>
    <w:pPr>
      <w:numPr>
        <w:numId w:val="5"/>
      </w:numPr>
    </w:pPr>
  </w:style>
  <w:style w:type="character" w:customStyle="1" w:styleId="Bodytext1">
    <w:name w:val="Body text|1_"/>
    <w:basedOn w:val="DefaultParagraphFont"/>
    <w:link w:val="Bodytext10"/>
    <w:locked/>
    <w:rsid w:val="00D720E1"/>
    <w:rPr>
      <w:sz w:val="19"/>
      <w:szCs w:val="19"/>
    </w:rPr>
  </w:style>
  <w:style w:type="paragraph" w:customStyle="1" w:styleId="Bodytext10">
    <w:name w:val="Body text|1"/>
    <w:basedOn w:val="Normal"/>
    <w:link w:val="Bodytext1"/>
    <w:rsid w:val="00D720E1"/>
    <w:pPr>
      <w:widowControl w:val="0"/>
      <w:spacing w:before="0" w:after="420"/>
      <w:jc w:val="left"/>
    </w:pPr>
    <w:rPr>
      <w:rFonts w:asciiTheme="minorHAnsi" w:hAnsiTheme="minorHAnsi" w:cstheme="minorBidi"/>
      <w:sz w:val="19"/>
      <w:szCs w:val="19"/>
    </w:rPr>
  </w:style>
  <w:style w:type="character" w:styleId="CommentReference">
    <w:name w:val="annotation reference"/>
    <w:basedOn w:val="DefaultParagraphFont"/>
    <w:uiPriority w:val="99"/>
    <w:semiHidden/>
    <w:unhideWhenUsed/>
    <w:rsid w:val="00E721B4"/>
    <w:rPr>
      <w:sz w:val="16"/>
      <w:szCs w:val="16"/>
    </w:rPr>
  </w:style>
  <w:style w:type="paragraph" w:styleId="CommentText">
    <w:name w:val="annotation text"/>
    <w:basedOn w:val="Normal"/>
    <w:link w:val="CommentTextChar"/>
    <w:uiPriority w:val="99"/>
    <w:semiHidden/>
    <w:unhideWhenUsed/>
    <w:rsid w:val="00E721B4"/>
    <w:rPr>
      <w:sz w:val="20"/>
      <w:szCs w:val="20"/>
    </w:rPr>
  </w:style>
  <w:style w:type="character" w:customStyle="1" w:styleId="CommentTextChar">
    <w:name w:val="Comment Text Char"/>
    <w:basedOn w:val="DefaultParagraphFont"/>
    <w:link w:val="CommentText"/>
    <w:uiPriority w:val="99"/>
    <w:semiHidden/>
    <w:rsid w:val="00E721B4"/>
    <w:rPr>
      <w:rFonts w:ascii="Times New Roman" w:hAnsi="Times New Roman" w:cs="Times New Roman"/>
      <w:sz w:val="20"/>
      <w:szCs w:val="20"/>
      <w:lang w:val="sl-SI"/>
    </w:rPr>
  </w:style>
  <w:style w:type="paragraph" w:styleId="CommentSubject">
    <w:name w:val="annotation subject"/>
    <w:basedOn w:val="CommentText"/>
    <w:next w:val="CommentText"/>
    <w:link w:val="CommentSubjectChar"/>
    <w:uiPriority w:val="99"/>
    <w:semiHidden/>
    <w:unhideWhenUsed/>
    <w:rsid w:val="00E721B4"/>
    <w:rPr>
      <w:b/>
      <w:bCs/>
    </w:rPr>
  </w:style>
  <w:style w:type="character" w:customStyle="1" w:styleId="CommentSubjectChar">
    <w:name w:val="Comment Subject Char"/>
    <w:basedOn w:val="CommentTextChar"/>
    <w:link w:val="CommentSubject"/>
    <w:uiPriority w:val="99"/>
    <w:semiHidden/>
    <w:rsid w:val="00E721B4"/>
    <w:rPr>
      <w:rFonts w:ascii="Times New Roman" w:hAnsi="Times New Roman" w:cs="Times New Roman"/>
      <w:b/>
      <w:bCs/>
      <w:sz w:val="20"/>
      <w:szCs w:val="20"/>
      <w:lang w:val="sl-SI"/>
    </w:rPr>
  </w:style>
  <w:style w:type="character" w:styleId="Hyperlink">
    <w:name w:val="Hyperlink"/>
    <w:basedOn w:val="DefaultParagraphFont"/>
    <w:uiPriority w:val="99"/>
    <w:unhideWhenUsed/>
    <w:rsid w:val="00E721B4"/>
    <w:rPr>
      <w:color w:val="0000FF" w:themeColor="hyperlink"/>
      <w:u w:val="single"/>
    </w:rPr>
  </w:style>
  <w:style w:type="character" w:customStyle="1" w:styleId="UnresolvedMention1">
    <w:name w:val="Unresolved Mention1"/>
    <w:basedOn w:val="DefaultParagraphFont"/>
    <w:uiPriority w:val="99"/>
    <w:semiHidden/>
    <w:unhideWhenUsed/>
    <w:rsid w:val="00E721B4"/>
    <w:rPr>
      <w:color w:val="605E5C"/>
      <w:shd w:val="clear" w:color="auto" w:fill="E1DFDD"/>
    </w:rPr>
  </w:style>
  <w:style w:type="paragraph" w:styleId="Revision">
    <w:name w:val="Revision"/>
    <w:hidden/>
    <w:uiPriority w:val="99"/>
    <w:semiHidden/>
    <w:rsid w:val="008D081E"/>
    <w:pPr>
      <w:spacing w:after="0" w:line="240" w:lineRule="auto"/>
    </w:pPr>
    <w:rPr>
      <w:rFonts w:ascii="Times New Roman" w:hAnsi="Times New Roman" w:cs="Times New Roman"/>
      <w:sz w:val="24"/>
    </w:rPr>
  </w:style>
  <w:style w:type="character" w:customStyle="1" w:styleId="ui-provider">
    <w:name w:val="ui-provider"/>
    <w:basedOn w:val="DefaultParagraphFont"/>
    <w:rsid w:val="00D54011"/>
  </w:style>
  <w:style w:type="character" w:customStyle="1" w:styleId="bodytext11">
    <w:name w:val="bodytext1"/>
    <w:basedOn w:val="DefaultParagraphFont"/>
    <w:rsid w:val="006E7BD2"/>
  </w:style>
  <w:style w:type="paragraph" w:styleId="Header">
    <w:name w:val="header"/>
    <w:basedOn w:val="Normal"/>
    <w:link w:val="HeaderChar"/>
    <w:uiPriority w:val="99"/>
    <w:unhideWhenUsed/>
    <w:rsid w:val="00ED4319"/>
    <w:pPr>
      <w:tabs>
        <w:tab w:val="center" w:pos="4535"/>
        <w:tab w:val="right" w:pos="9071"/>
      </w:tabs>
      <w:spacing w:before="0"/>
    </w:pPr>
  </w:style>
  <w:style w:type="character" w:customStyle="1" w:styleId="HeaderChar">
    <w:name w:val="Header Char"/>
    <w:basedOn w:val="DefaultParagraphFont"/>
    <w:link w:val="Header"/>
    <w:uiPriority w:val="99"/>
    <w:rsid w:val="00ED4319"/>
    <w:rPr>
      <w:rFonts w:ascii="Times New Roman" w:hAnsi="Times New Roman" w:cs="Times New Roman"/>
      <w:sz w:val="24"/>
      <w:lang w:val="sl-SI"/>
    </w:rPr>
  </w:style>
  <w:style w:type="paragraph" w:styleId="Footer">
    <w:name w:val="footer"/>
    <w:basedOn w:val="Normal"/>
    <w:link w:val="FooterChar"/>
    <w:uiPriority w:val="99"/>
    <w:unhideWhenUsed/>
    <w:rsid w:val="00ED4319"/>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ED4319"/>
    <w:rPr>
      <w:rFonts w:ascii="Times New Roman" w:hAnsi="Times New Roman" w:cs="Times New Roman"/>
      <w:sz w:val="24"/>
      <w:lang w:val="sl-SI"/>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sl-SI"/>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sl-SI"/>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sl-SI"/>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sl-SI"/>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sl-SI"/>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sl-SI"/>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sl-SI"/>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ED4319"/>
    <w:pPr>
      <w:tabs>
        <w:tab w:val="center" w:pos="7285"/>
        <w:tab w:val="right" w:pos="14003"/>
      </w:tabs>
      <w:spacing w:before="0"/>
    </w:pPr>
  </w:style>
  <w:style w:type="paragraph" w:customStyle="1" w:styleId="FooterLandscape">
    <w:name w:val="FooterLandscape"/>
    <w:basedOn w:val="Normal"/>
    <w:rsid w:val="00ED4319"/>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link w:val="16Point"/>
    <w:uiPriority w:val="99"/>
    <w:semiHidden/>
    <w:unhideWhenUsed/>
    <w:rPr>
      <w:shd w:val="clear" w:color="auto" w:fill="auto"/>
      <w:vertAlign w:val="superscript"/>
    </w:rPr>
  </w:style>
  <w:style w:type="paragraph" w:customStyle="1" w:styleId="HeaderSensitivity">
    <w:name w:val="Header Sensitivity"/>
    <w:basedOn w:val="Normal"/>
    <w:rsid w:val="00ED431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D4319"/>
    <w:pPr>
      <w:spacing w:before="0"/>
      <w:jc w:val="right"/>
    </w:pPr>
    <w:rPr>
      <w:sz w:val="28"/>
    </w:rPr>
  </w:style>
  <w:style w:type="paragraph" w:customStyle="1" w:styleId="FooterSensitivity">
    <w:name w:val="Footer Sensitivity"/>
    <w:basedOn w:val="Normal"/>
    <w:rsid w:val="00ED431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5096">
      <w:bodyDiv w:val="1"/>
      <w:marLeft w:val="0"/>
      <w:marRight w:val="0"/>
      <w:marTop w:val="0"/>
      <w:marBottom w:val="0"/>
      <w:divBdr>
        <w:top w:val="none" w:sz="0" w:space="0" w:color="auto"/>
        <w:left w:val="none" w:sz="0" w:space="0" w:color="auto"/>
        <w:bottom w:val="none" w:sz="0" w:space="0" w:color="auto"/>
        <w:right w:val="none" w:sz="0" w:space="0" w:color="auto"/>
      </w:divBdr>
    </w:div>
    <w:div w:id="74784545">
      <w:bodyDiv w:val="1"/>
      <w:marLeft w:val="0"/>
      <w:marRight w:val="0"/>
      <w:marTop w:val="0"/>
      <w:marBottom w:val="0"/>
      <w:divBdr>
        <w:top w:val="none" w:sz="0" w:space="0" w:color="auto"/>
        <w:left w:val="none" w:sz="0" w:space="0" w:color="auto"/>
        <w:bottom w:val="none" w:sz="0" w:space="0" w:color="auto"/>
        <w:right w:val="none" w:sz="0" w:space="0" w:color="auto"/>
      </w:divBdr>
    </w:div>
    <w:div w:id="97677201">
      <w:bodyDiv w:val="1"/>
      <w:marLeft w:val="0"/>
      <w:marRight w:val="0"/>
      <w:marTop w:val="0"/>
      <w:marBottom w:val="0"/>
      <w:divBdr>
        <w:top w:val="none" w:sz="0" w:space="0" w:color="auto"/>
        <w:left w:val="none" w:sz="0" w:space="0" w:color="auto"/>
        <w:bottom w:val="none" w:sz="0" w:space="0" w:color="auto"/>
        <w:right w:val="none" w:sz="0" w:space="0" w:color="auto"/>
      </w:divBdr>
    </w:div>
    <w:div w:id="255017097">
      <w:bodyDiv w:val="1"/>
      <w:marLeft w:val="0"/>
      <w:marRight w:val="0"/>
      <w:marTop w:val="0"/>
      <w:marBottom w:val="0"/>
      <w:divBdr>
        <w:top w:val="none" w:sz="0" w:space="0" w:color="auto"/>
        <w:left w:val="none" w:sz="0" w:space="0" w:color="auto"/>
        <w:bottom w:val="none" w:sz="0" w:space="0" w:color="auto"/>
        <w:right w:val="none" w:sz="0" w:space="0" w:color="auto"/>
      </w:divBdr>
    </w:div>
    <w:div w:id="376054180">
      <w:bodyDiv w:val="1"/>
      <w:marLeft w:val="0"/>
      <w:marRight w:val="0"/>
      <w:marTop w:val="0"/>
      <w:marBottom w:val="0"/>
      <w:divBdr>
        <w:top w:val="none" w:sz="0" w:space="0" w:color="auto"/>
        <w:left w:val="none" w:sz="0" w:space="0" w:color="auto"/>
        <w:bottom w:val="none" w:sz="0" w:space="0" w:color="auto"/>
        <w:right w:val="none" w:sz="0" w:space="0" w:color="auto"/>
      </w:divBdr>
    </w:div>
    <w:div w:id="583491561">
      <w:bodyDiv w:val="1"/>
      <w:marLeft w:val="0"/>
      <w:marRight w:val="0"/>
      <w:marTop w:val="0"/>
      <w:marBottom w:val="0"/>
      <w:divBdr>
        <w:top w:val="none" w:sz="0" w:space="0" w:color="auto"/>
        <w:left w:val="none" w:sz="0" w:space="0" w:color="auto"/>
        <w:bottom w:val="none" w:sz="0" w:space="0" w:color="auto"/>
        <w:right w:val="none" w:sz="0" w:space="0" w:color="auto"/>
      </w:divBdr>
    </w:div>
    <w:div w:id="665321743">
      <w:bodyDiv w:val="1"/>
      <w:marLeft w:val="0"/>
      <w:marRight w:val="0"/>
      <w:marTop w:val="0"/>
      <w:marBottom w:val="0"/>
      <w:divBdr>
        <w:top w:val="none" w:sz="0" w:space="0" w:color="auto"/>
        <w:left w:val="none" w:sz="0" w:space="0" w:color="auto"/>
        <w:bottom w:val="none" w:sz="0" w:space="0" w:color="auto"/>
        <w:right w:val="none" w:sz="0" w:space="0" w:color="auto"/>
      </w:divBdr>
    </w:div>
    <w:div w:id="677775360">
      <w:bodyDiv w:val="1"/>
      <w:marLeft w:val="0"/>
      <w:marRight w:val="0"/>
      <w:marTop w:val="0"/>
      <w:marBottom w:val="0"/>
      <w:divBdr>
        <w:top w:val="none" w:sz="0" w:space="0" w:color="auto"/>
        <w:left w:val="none" w:sz="0" w:space="0" w:color="auto"/>
        <w:bottom w:val="none" w:sz="0" w:space="0" w:color="auto"/>
        <w:right w:val="none" w:sz="0" w:space="0" w:color="auto"/>
      </w:divBdr>
    </w:div>
    <w:div w:id="710422057">
      <w:bodyDiv w:val="1"/>
      <w:marLeft w:val="0"/>
      <w:marRight w:val="0"/>
      <w:marTop w:val="0"/>
      <w:marBottom w:val="0"/>
      <w:divBdr>
        <w:top w:val="none" w:sz="0" w:space="0" w:color="auto"/>
        <w:left w:val="none" w:sz="0" w:space="0" w:color="auto"/>
        <w:bottom w:val="none" w:sz="0" w:space="0" w:color="auto"/>
        <w:right w:val="none" w:sz="0" w:space="0" w:color="auto"/>
      </w:divBdr>
    </w:div>
    <w:div w:id="863175161">
      <w:bodyDiv w:val="1"/>
      <w:marLeft w:val="0"/>
      <w:marRight w:val="0"/>
      <w:marTop w:val="0"/>
      <w:marBottom w:val="0"/>
      <w:divBdr>
        <w:top w:val="none" w:sz="0" w:space="0" w:color="auto"/>
        <w:left w:val="none" w:sz="0" w:space="0" w:color="auto"/>
        <w:bottom w:val="none" w:sz="0" w:space="0" w:color="auto"/>
        <w:right w:val="none" w:sz="0" w:space="0" w:color="auto"/>
      </w:divBdr>
    </w:div>
    <w:div w:id="1003047810">
      <w:bodyDiv w:val="1"/>
      <w:marLeft w:val="0"/>
      <w:marRight w:val="0"/>
      <w:marTop w:val="0"/>
      <w:marBottom w:val="0"/>
      <w:divBdr>
        <w:top w:val="none" w:sz="0" w:space="0" w:color="auto"/>
        <w:left w:val="none" w:sz="0" w:space="0" w:color="auto"/>
        <w:bottom w:val="none" w:sz="0" w:space="0" w:color="auto"/>
        <w:right w:val="none" w:sz="0" w:space="0" w:color="auto"/>
      </w:divBdr>
    </w:div>
    <w:div w:id="1221985467">
      <w:bodyDiv w:val="1"/>
      <w:marLeft w:val="0"/>
      <w:marRight w:val="0"/>
      <w:marTop w:val="0"/>
      <w:marBottom w:val="0"/>
      <w:divBdr>
        <w:top w:val="none" w:sz="0" w:space="0" w:color="auto"/>
        <w:left w:val="none" w:sz="0" w:space="0" w:color="auto"/>
        <w:bottom w:val="none" w:sz="0" w:space="0" w:color="auto"/>
        <w:right w:val="none" w:sz="0" w:space="0" w:color="auto"/>
      </w:divBdr>
    </w:div>
    <w:div w:id="1332830928">
      <w:bodyDiv w:val="1"/>
      <w:marLeft w:val="0"/>
      <w:marRight w:val="0"/>
      <w:marTop w:val="0"/>
      <w:marBottom w:val="0"/>
      <w:divBdr>
        <w:top w:val="none" w:sz="0" w:space="0" w:color="auto"/>
        <w:left w:val="none" w:sz="0" w:space="0" w:color="auto"/>
        <w:bottom w:val="none" w:sz="0" w:space="0" w:color="auto"/>
        <w:right w:val="none" w:sz="0" w:space="0" w:color="auto"/>
      </w:divBdr>
    </w:div>
    <w:div w:id="1383140956">
      <w:bodyDiv w:val="1"/>
      <w:marLeft w:val="0"/>
      <w:marRight w:val="0"/>
      <w:marTop w:val="0"/>
      <w:marBottom w:val="0"/>
      <w:divBdr>
        <w:top w:val="none" w:sz="0" w:space="0" w:color="auto"/>
        <w:left w:val="none" w:sz="0" w:space="0" w:color="auto"/>
        <w:bottom w:val="none" w:sz="0" w:space="0" w:color="auto"/>
        <w:right w:val="none" w:sz="0" w:space="0" w:color="auto"/>
      </w:divBdr>
    </w:div>
    <w:div w:id="1482692370">
      <w:bodyDiv w:val="1"/>
      <w:marLeft w:val="0"/>
      <w:marRight w:val="0"/>
      <w:marTop w:val="0"/>
      <w:marBottom w:val="0"/>
      <w:divBdr>
        <w:top w:val="none" w:sz="0" w:space="0" w:color="auto"/>
        <w:left w:val="none" w:sz="0" w:space="0" w:color="auto"/>
        <w:bottom w:val="none" w:sz="0" w:space="0" w:color="auto"/>
        <w:right w:val="none" w:sz="0" w:space="0" w:color="auto"/>
      </w:divBdr>
    </w:div>
    <w:div w:id="1499268617">
      <w:bodyDiv w:val="1"/>
      <w:marLeft w:val="0"/>
      <w:marRight w:val="0"/>
      <w:marTop w:val="0"/>
      <w:marBottom w:val="0"/>
      <w:divBdr>
        <w:top w:val="none" w:sz="0" w:space="0" w:color="auto"/>
        <w:left w:val="none" w:sz="0" w:space="0" w:color="auto"/>
        <w:bottom w:val="none" w:sz="0" w:space="0" w:color="auto"/>
        <w:right w:val="none" w:sz="0" w:space="0" w:color="auto"/>
      </w:divBdr>
    </w:div>
    <w:div w:id="1610508505">
      <w:bodyDiv w:val="1"/>
      <w:marLeft w:val="0"/>
      <w:marRight w:val="0"/>
      <w:marTop w:val="0"/>
      <w:marBottom w:val="0"/>
      <w:divBdr>
        <w:top w:val="none" w:sz="0" w:space="0" w:color="auto"/>
        <w:left w:val="none" w:sz="0" w:space="0" w:color="auto"/>
        <w:bottom w:val="none" w:sz="0" w:space="0" w:color="auto"/>
        <w:right w:val="none" w:sz="0" w:space="0" w:color="auto"/>
      </w:divBdr>
    </w:div>
    <w:div w:id="1678342176">
      <w:bodyDiv w:val="1"/>
      <w:marLeft w:val="0"/>
      <w:marRight w:val="0"/>
      <w:marTop w:val="0"/>
      <w:marBottom w:val="0"/>
      <w:divBdr>
        <w:top w:val="none" w:sz="0" w:space="0" w:color="auto"/>
        <w:left w:val="none" w:sz="0" w:space="0" w:color="auto"/>
        <w:bottom w:val="none" w:sz="0" w:space="0" w:color="auto"/>
        <w:right w:val="none" w:sz="0" w:space="0" w:color="auto"/>
      </w:divBdr>
    </w:div>
    <w:div w:id="1707942852">
      <w:bodyDiv w:val="1"/>
      <w:marLeft w:val="0"/>
      <w:marRight w:val="0"/>
      <w:marTop w:val="0"/>
      <w:marBottom w:val="0"/>
      <w:divBdr>
        <w:top w:val="none" w:sz="0" w:space="0" w:color="auto"/>
        <w:left w:val="none" w:sz="0" w:space="0" w:color="auto"/>
        <w:bottom w:val="none" w:sz="0" w:space="0" w:color="auto"/>
        <w:right w:val="none" w:sz="0" w:space="0" w:color="auto"/>
      </w:divBdr>
    </w:div>
    <w:div w:id="1866820316">
      <w:bodyDiv w:val="1"/>
      <w:marLeft w:val="0"/>
      <w:marRight w:val="0"/>
      <w:marTop w:val="0"/>
      <w:marBottom w:val="0"/>
      <w:divBdr>
        <w:top w:val="none" w:sz="0" w:space="0" w:color="auto"/>
        <w:left w:val="none" w:sz="0" w:space="0" w:color="auto"/>
        <w:bottom w:val="none" w:sz="0" w:space="0" w:color="auto"/>
        <w:right w:val="none" w:sz="0" w:space="0" w:color="auto"/>
      </w:divBdr>
    </w:div>
    <w:div w:id="1907447366">
      <w:bodyDiv w:val="1"/>
      <w:marLeft w:val="0"/>
      <w:marRight w:val="0"/>
      <w:marTop w:val="0"/>
      <w:marBottom w:val="0"/>
      <w:divBdr>
        <w:top w:val="none" w:sz="0" w:space="0" w:color="auto"/>
        <w:left w:val="none" w:sz="0" w:space="0" w:color="auto"/>
        <w:bottom w:val="none" w:sz="0" w:space="0" w:color="auto"/>
        <w:right w:val="none" w:sz="0" w:space="0" w:color="auto"/>
      </w:divBdr>
    </w:div>
    <w:div w:id="1935236712">
      <w:bodyDiv w:val="1"/>
      <w:marLeft w:val="0"/>
      <w:marRight w:val="0"/>
      <w:marTop w:val="0"/>
      <w:marBottom w:val="0"/>
      <w:divBdr>
        <w:top w:val="none" w:sz="0" w:space="0" w:color="auto"/>
        <w:left w:val="none" w:sz="0" w:space="0" w:color="auto"/>
        <w:bottom w:val="none" w:sz="0" w:space="0" w:color="auto"/>
        <w:right w:val="none" w:sz="0" w:space="0" w:color="auto"/>
      </w:divBdr>
    </w:div>
    <w:div w:id="2086956173">
      <w:bodyDiv w:val="1"/>
      <w:marLeft w:val="0"/>
      <w:marRight w:val="0"/>
      <w:marTop w:val="0"/>
      <w:marBottom w:val="0"/>
      <w:divBdr>
        <w:top w:val="none" w:sz="0" w:space="0" w:color="auto"/>
        <w:left w:val="none" w:sz="0" w:space="0" w:color="auto"/>
        <w:bottom w:val="none" w:sz="0" w:space="0" w:color="auto"/>
        <w:right w:val="none" w:sz="0" w:space="0" w:color="auto"/>
      </w:divBdr>
    </w:div>
    <w:div w:id="212056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3D2092-7047-4451-B3AE-6EE013C78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11</Pages>
  <Words>3480</Words>
  <Characters>19908</Characters>
  <Application>Microsoft Office Word</Application>
  <DocSecurity>0</DocSecurity>
  <Lines>337</Lines>
  <Paragraphs>123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2023-06-28T07:00:00Z</dcterms:created>
  <dcterms:modified xsi:type="dcterms:W3CDTF">2023-07-13T06:52:00Z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9.0, Build 20230317</vt:lpwstr>
  </property>
  <property fmtid="{D5CDD505-2E9C-101B-9397-08002B2CF9AE}" pid="3" name="MSIP_Label_6bd9ddd1-4d20-43f6-abfa-fc3c07406f94_Enabled">
    <vt:lpwstr>true</vt:lpwstr>
  </property>
  <property fmtid="{D5CDD505-2E9C-101B-9397-08002B2CF9AE}" pid="4" name="MSIP_Label_6bd9ddd1-4d20-43f6-abfa-fc3c07406f94_SetDate">
    <vt:lpwstr>2023-06-24T11:47:03Z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8fb7e3a8-1e0a-4ec2-9aad-8027fec69d14</vt:lpwstr>
  </property>
  <property fmtid="{D5CDD505-2E9C-101B-9397-08002B2CF9AE}" pid="9" name="MSIP_Label_6bd9ddd1-4d20-43f6-abfa-fc3c07406f94_ContentBits">
    <vt:lpwstr>0</vt:lpwstr>
  </property>
  <property fmtid="{D5CDD505-2E9C-101B-9397-08002B2CF9AE}" pid="10" name="Category">
    <vt:lpwstr>COM/PL/ORG</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SJ-023</vt:lpwstr>
  </property>
  <property fmtid="{D5CDD505-2E9C-101B-9397-08002B2CF9AE}" pid="15" name="DQCStatus">
    <vt:lpwstr>Green (DQC version 03)</vt:lpwstr>
  </property>
</Properties>
</file>