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22332" w14:textId="7FACBC1F" w:rsidR="00FF7AC2" w:rsidRPr="00344C8D" w:rsidRDefault="00886DBD" w:rsidP="00886DBD">
      <w:pPr>
        <w:pStyle w:val="Pagedecouverture"/>
        <w:rPr>
          <w:noProof/>
        </w:rPr>
      </w:pPr>
      <w:bookmarkStart w:id="0" w:name="LW_BM_COVERPAGE"/>
      <w:r>
        <w:rPr>
          <w:noProof/>
        </w:rPr>
        <w:pict w14:anchorId="586F9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5944EE8-D485-4049-A075-7D329D3765F0" style="width:455.25pt;height:310.5pt">
            <v:imagedata r:id="rId12" o:title=""/>
          </v:shape>
        </w:pict>
      </w:r>
    </w:p>
    <w:bookmarkEnd w:id="0"/>
    <w:p w14:paraId="2BCF292D" w14:textId="77777777" w:rsidR="00FF7AC2" w:rsidRPr="00344C8D" w:rsidRDefault="00FF7AC2" w:rsidP="00FF7AC2">
      <w:pPr>
        <w:rPr>
          <w:noProof/>
        </w:rPr>
        <w:sectPr w:rsidR="00FF7AC2" w:rsidRPr="00344C8D" w:rsidSect="00886DBD">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14:paraId="22527F20" w14:textId="5B6DE0E0" w:rsidR="00E41A36" w:rsidRPr="00E41A36" w:rsidRDefault="00E41A36" w:rsidP="00E41A36">
      <w:pPr>
        <w:pStyle w:val="Typedudocument"/>
        <w:rPr>
          <w:noProof/>
        </w:rPr>
      </w:pPr>
      <w:bookmarkStart w:id="1" w:name="_Toc106886462"/>
      <w:bookmarkStart w:id="2" w:name="_Toc113284133"/>
      <w:bookmarkStart w:id="3" w:name="_Toc113290821"/>
      <w:bookmarkStart w:id="4" w:name="_Toc113353499"/>
      <w:bookmarkStart w:id="5" w:name="_Toc113353571"/>
      <w:bookmarkStart w:id="6" w:name="_Toc113525431"/>
      <w:bookmarkStart w:id="7" w:name="_Toc113548270"/>
      <w:bookmarkStart w:id="8" w:name="_GoBack"/>
      <w:bookmarkEnd w:id="8"/>
      <w:r w:rsidRPr="00E41A36">
        <w:rPr>
          <w:noProof/>
        </w:rPr>
        <w:lastRenderedPageBreak/>
        <w:t>POROČILO KOMISIJE EVROPSKEMU PARLAMENTU IN SVETU</w:t>
      </w:r>
    </w:p>
    <w:p w14:paraId="443B39F8" w14:textId="4499955A" w:rsidR="00E41A36" w:rsidRPr="00E41A36" w:rsidRDefault="00E41A36" w:rsidP="00E41A36">
      <w:pPr>
        <w:pStyle w:val="Titreobjet"/>
        <w:rPr>
          <w:noProof/>
        </w:rPr>
      </w:pPr>
      <w:r w:rsidRPr="00E41A36">
        <w:rPr>
          <w:noProof/>
        </w:rPr>
        <w:t>o izvajanju instrumenta za posojila v javnem sektorju v okviru mehanizma za pravični prehod v letu 2022 iz člena 16 Uredbe (EU) 2021/1229</w:t>
      </w:r>
    </w:p>
    <w:p w14:paraId="29955294" w14:textId="64A25F9F" w:rsidR="009C0690" w:rsidRPr="00EA4FEB" w:rsidRDefault="00EA4FEB" w:rsidP="00EA4FEB">
      <w:pPr>
        <w:spacing w:before="120" w:after="120"/>
        <w:rPr>
          <w:b/>
          <w:noProof/>
          <w:szCs w:val="24"/>
        </w:rPr>
      </w:pPr>
      <w:r>
        <w:rPr>
          <w:b/>
          <w:noProof/>
        </w:rPr>
        <w:t>1.</w:t>
      </w:r>
      <w:r>
        <w:rPr>
          <w:noProof/>
        </w:rPr>
        <w:tab/>
      </w:r>
      <w:r>
        <w:rPr>
          <w:rFonts w:ascii="Times New Roman Bold" w:hAnsi="Times New Roman Bold"/>
          <w:b/>
          <w:smallCaps/>
          <w:noProof/>
        </w:rPr>
        <w:t>Uvod in namen tega poročila</w:t>
      </w:r>
    </w:p>
    <w:p w14:paraId="7144B043" w14:textId="1BF74A63" w:rsidR="00017648" w:rsidRPr="00344C8D" w:rsidRDefault="00530D58" w:rsidP="00EA4FEB">
      <w:pPr>
        <w:spacing w:before="120" w:after="120"/>
        <w:rPr>
          <w:noProof/>
          <w:szCs w:val="24"/>
        </w:rPr>
      </w:pPr>
      <w:r>
        <w:rPr>
          <w:noProof/>
        </w:rPr>
        <w:t>Komisija je decembra 2019 sprejela evropski zeleni dogovor za Evropsko unijo in njene državljane</w:t>
      </w:r>
      <w:r>
        <w:rPr>
          <w:rStyle w:val="FootnoteReference"/>
          <w:noProof/>
          <w:szCs w:val="24"/>
        </w:rPr>
        <w:footnoteReference w:id="2"/>
      </w:r>
      <w:r>
        <w:rPr>
          <w:noProof/>
        </w:rPr>
        <w:t>, pri čemer je opozorila na zavezo Komisije, da se bo spopadala s podnebnimi in okoljskimi izzivi ter opisala potrebo po pravičnem in vključujočem prehodu. Komisija je januarja 2020 v okviru naložbenega načrta za evropski zeleni dogovor</w:t>
      </w:r>
      <w:r>
        <w:rPr>
          <w:rStyle w:val="FootnoteReference"/>
          <w:noProof/>
          <w:szCs w:val="24"/>
        </w:rPr>
        <w:footnoteReference w:id="3"/>
      </w:r>
      <w:r>
        <w:rPr>
          <w:noProof/>
        </w:rPr>
        <w:t xml:space="preserve"> podrobno opredelila mehanizem za pravični prehod za zagotovitev, da ne bo pri prehodu na podnebno nevtralno gospodarstvo zapostavljen noben posameznik in nobena regija. Glavni cilj mehanizma je zagotoviti podporo najbolj prizadetim regijam in ljudem ter jim pomagati zmanjšati družbeno-ekonomske stroške prehoda. Mehanizem za pravični prehod sestavljajo trije stebri: prvi steber je Sklad za pravični prehod, drugi steber je namenska shema v okviru programa InvestEU, tretji steber pa je instrument za posojila v javnem sektorju (v nadaljnjem besedilu: instrument). </w:t>
      </w:r>
    </w:p>
    <w:p w14:paraId="27F5975A" w14:textId="1071BD54" w:rsidR="001D1847" w:rsidRPr="00344C8D" w:rsidRDefault="00017648" w:rsidP="00EA4FEB">
      <w:pPr>
        <w:spacing w:before="120" w:after="120"/>
        <w:rPr>
          <w:noProof/>
          <w:szCs w:val="24"/>
        </w:rPr>
      </w:pPr>
      <w:r>
        <w:rPr>
          <w:noProof/>
        </w:rPr>
        <w:t xml:space="preserve">V okviru instrumenta se bodo posojila (ki jih bo zagotovila Evropska investicijska banka kot finančni partner) kombinirala z nepovratnimi sredstvi (ki jih bo zagotovila Unija) za podporo subjektom javnega sektorja s sredstvi za izpolnjevanje razvojnih potreb pri prehodu na podnebno nevtralno gospodarstvo. </w:t>
      </w:r>
    </w:p>
    <w:p w14:paraId="31163197" w14:textId="237BCCBE" w:rsidR="00F654E4" w:rsidRPr="00344C8D" w:rsidRDefault="008C7A9B" w:rsidP="00EA4FEB">
      <w:pPr>
        <w:spacing w:before="120" w:after="120"/>
        <w:rPr>
          <w:noProof/>
          <w:szCs w:val="24"/>
        </w:rPr>
      </w:pPr>
      <w:r>
        <w:rPr>
          <w:noProof/>
        </w:rPr>
        <w:t>Instrument bo podpiral projekte, ki ne ustvarjajo zadostnega toka prihodkov za kritje naložbenih stroškov in obravnavanje razvojnih potreb območij, opredeljenih v območnih načrtih za pravični prehod</w:t>
      </w:r>
      <w:r>
        <w:rPr>
          <w:rStyle w:val="FootnoteReference"/>
          <w:noProof/>
          <w:szCs w:val="24"/>
        </w:rPr>
        <w:footnoteReference w:id="4"/>
      </w:r>
      <w:r>
        <w:rPr>
          <w:noProof/>
        </w:rPr>
        <w:t xml:space="preserve">. Podprte naložbe bodo pokrile najrazličnejše razvojne potrebe, od energetske in prometne infrastrukture, omrežij za daljinsko ogrevanje, energetske učinkovitosti ter izpopolnjevanja in preusposabljanja, usposabljanja in socialne infrastrukture, do socialnih stanovanj. </w:t>
      </w:r>
    </w:p>
    <w:p w14:paraId="1B7F4AC5" w14:textId="3A854B5D" w:rsidR="00F654E4" w:rsidRPr="00EA4FEB" w:rsidRDefault="00EA4FEB" w:rsidP="00EA4FEB">
      <w:pPr>
        <w:spacing w:before="120" w:after="120"/>
        <w:ind w:left="720" w:hanging="720"/>
        <w:rPr>
          <w:noProof/>
          <w:szCs w:val="24"/>
        </w:rPr>
      </w:pPr>
      <w:r>
        <w:rPr>
          <w:b/>
          <w:noProof/>
        </w:rPr>
        <w:t>1.1</w:t>
      </w:r>
      <w:r>
        <w:rPr>
          <w:noProof/>
        </w:rPr>
        <w:tab/>
      </w:r>
      <w:r>
        <w:rPr>
          <w:b/>
          <w:noProof/>
        </w:rPr>
        <w:t>Pravni in proračunski okvir instrumenta za posojila v javnem sektorju v okviru mehanizma za pravični prehod</w:t>
      </w:r>
    </w:p>
    <w:p w14:paraId="4CA7F880" w14:textId="7C940B85" w:rsidR="00F654E4" w:rsidRPr="00344C8D" w:rsidRDefault="00F654E4" w:rsidP="00BA5D97">
      <w:pPr>
        <w:spacing w:before="120" w:after="120"/>
        <w:rPr>
          <w:noProof/>
        </w:rPr>
      </w:pPr>
      <w:r>
        <w:rPr>
          <w:noProof/>
        </w:rPr>
        <w:t xml:space="preserve">Instrument je bil vzpostavljen z Uredbo (EU) 2021/1229 Evropskega parlamenta in Sveta z dne 14. julija 2021 o instrumentu za posojila v javnem sektorju v okviru Mehanizma za pravični prehod (v nadaljnjem besedilu: uredba o instrumentu za posojila v javnem sektorju). </w:t>
      </w:r>
    </w:p>
    <w:p w14:paraId="5B3CD7A1" w14:textId="3109759F" w:rsidR="009C0690" w:rsidRPr="00344C8D" w:rsidRDefault="00F654E4" w:rsidP="00BA5D97">
      <w:pPr>
        <w:spacing w:before="120" w:after="120"/>
        <w:rPr>
          <w:noProof/>
          <w:szCs w:val="24"/>
        </w:rPr>
      </w:pPr>
      <w:r>
        <w:rPr>
          <w:noProof/>
        </w:rPr>
        <w:t xml:space="preserve">Uredba o instrumentu za posojila v javnem sektorju določa skupni najvišji proračun podpore Unije v višini 1 525 milijonov EUR za del nepovratnih sredstev instrumenta (vključno s tehnično pomočjo in svetovalno podporo). </w:t>
      </w:r>
    </w:p>
    <w:p w14:paraId="345D92B7" w14:textId="6211697F" w:rsidR="0042216F" w:rsidRPr="00344C8D" w:rsidRDefault="0042216F" w:rsidP="00BA5D97">
      <w:pPr>
        <w:spacing w:before="120" w:after="120"/>
        <w:rPr>
          <w:noProof/>
          <w:szCs w:val="24"/>
        </w:rPr>
      </w:pPr>
      <w:r>
        <w:rPr>
          <w:noProof/>
        </w:rPr>
        <w:t xml:space="preserve">Poleg tega bo Evropska investicijska banka zagotovila do 10 milijard EUR za posojilni del instrumenta. </w:t>
      </w:r>
    </w:p>
    <w:p w14:paraId="54DD6018" w14:textId="49E32328" w:rsidR="00F654E4" w:rsidRPr="00EA4FEB" w:rsidRDefault="00EA4FEB" w:rsidP="00EA4FEB">
      <w:pPr>
        <w:spacing w:before="120" w:after="120"/>
        <w:ind w:left="720" w:hanging="720"/>
        <w:rPr>
          <w:b/>
          <w:noProof/>
          <w:szCs w:val="24"/>
        </w:rPr>
      </w:pPr>
      <w:r>
        <w:rPr>
          <w:b/>
          <w:noProof/>
        </w:rPr>
        <w:t>1.2</w:t>
      </w:r>
      <w:r>
        <w:rPr>
          <w:noProof/>
        </w:rPr>
        <w:tab/>
      </w:r>
      <w:r>
        <w:rPr>
          <w:b/>
          <w:noProof/>
        </w:rPr>
        <w:t xml:space="preserve">Področje uporabe poročila o izvajanju za leto 2022 </w:t>
      </w:r>
    </w:p>
    <w:p w14:paraId="2F8E214E" w14:textId="2268D1B6" w:rsidR="009C0690" w:rsidRPr="00344C8D" w:rsidRDefault="009C0690" w:rsidP="00BA5D97">
      <w:pPr>
        <w:spacing w:before="120" w:after="120"/>
        <w:rPr>
          <w:noProof/>
          <w:color w:val="333333"/>
        </w:rPr>
      </w:pPr>
      <w:r>
        <w:rPr>
          <w:noProof/>
          <w:color w:val="333333"/>
        </w:rPr>
        <w:t>V skladu s členom 16(3) uredbe o instrumentu za posojila v javnem sektorju „</w:t>
      </w:r>
      <w:r>
        <w:rPr>
          <w:i/>
          <w:iCs/>
          <w:noProof/>
          <w:color w:val="333333"/>
        </w:rPr>
        <w:t>Komisija do 31. oktobra vsako koledarsko leto, od leta 2022, izda poročilo o izvajanju Instrumenta</w:t>
      </w:r>
      <w:r>
        <w:rPr>
          <w:noProof/>
          <w:color w:val="333333"/>
        </w:rPr>
        <w:t>.</w:t>
      </w:r>
      <w:r>
        <w:rPr>
          <w:i/>
          <w:noProof/>
          <w:color w:val="333333"/>
        </w:rPr>
        <w:t xml:space="preserve"> </w:t>
      </w:r>
      <w:r>
        <w:rPr>
          <w:i/>
          <w:iCs/>
          <w:noProof/>
          <w:color w:val="333333"/>
        </w:rPr>
        <w:t>To poročilo zagotavlja informacije o ravni izvajanja instrumenta v zvezi z njegovimi cilji, pogoji in kazalniki uspešnosti.</w:t>
      </w:r>
      <w:r>
        <w:rPr>
          <w:noProof/>
          <w:color w:val="333333"/>
        </w:rPr>
        <w:t>“</w:t>
      </w:r>
    </w:p>
    <w:p w14:paraId="68A11C01" w14:textId="1CA035DE" w:rsidR="00212E50" w:rsidRPr="00344C8D" w:rsidRDefault="00212E50" w:rsidP="00BA5D97">
      <w:pPr>
        <w:spacing w:before="120" w:after="120"/>
        <w:rPr>
          <w:noProof/>
          <w:color w:val="333333"/>
          <w:szCs w:val="24"/>
        </w:rPr>
      </w:pPr>
      <w:r>
        <w:rPr>
          <w:noProof/>
          <w:color w:val="333333"/>
        </w:rPr>
        <w:t xml:space="preserve">Kot je podrobno opisano v nadaljevanju, je bila objava prvega razpisa za zbiranje predlogov v okviru instrumenta pogojena z izvedbo več pripravljalnih korakov, med drugim: sprejetje sklepa o financiranju (glej točko 2.1.1), prenos pooblastila za izvajanje instrumenta na CINEA (glej točko 2.1.2), podpis upravnega sporazuma s finančnim partnerjem (glej točko 2.1.3) ter vzpostavitev svetovalne podpore v okviru svetovalnega vozlišča InvestEU (glej točko 2.1.4). Poleg tega je bila objava prvega razpisa za zbiranje predlogov pogojena s sprejetjem zadostnega števila območnih načrtov za pravični prehod, saj so ti načrti potrebni, da potencialni vložniki opredelijo ustrezne projekte in predložijo svoje predloge. </w:t>
      </w:r>
    </w:p>
    <w:p w14:paraId="04396ED3" w14:textId="268146A1" w:rsidR="00793CC3" w:rsidRPr="00344C8D" w:rsidRDefault="00212E50" w:rsidP="00BA5D97">
      <w:pPr>
        <w:spacing w:before="120" w:after="120"/>
        <w:rPr>
          <w:noProof/>
          <w:color w:val="333333"/>
          <w:szCs w:val="24"/>
        </w:rPr>
      </w:pPr>
      <w:r>
        <w:rPr>
          <w:noProof/>
          <w:color w:val="333333"/>
        </w:rPr>
        <w:t>Komisija je 16. junija 2022 sprejela prve programe Sklada za pravični prehod in povezane območne načrte za pravični prehod za programsko obdobje 2021–2027</w:t>
      </w:r>
      <w:r>
        <w:rPr>
          <w:rStyle w:val="FootnoteReference"/>
          <w:noProof/>
          <w:szCs w:val="24"/>
        </w:rPr>
        <w:footnoteReference w:id="5"/>
      </w:r>
      <w:r>
        <w:rPr>
          <w:noProof/>
          <w:color w:val="333333"/>
        </w:rPr>
        <w:t xml:space="preserve">. To je Komisiji omogočilo, da je prvi razpis za zbiranje predlogov v okviru instrumenta objavila 19. julija 2022, pri čemer je bil prvi rok za predložitev 19. oktober 2022. </w:t>
      </w:r>
    </w:p>
    <w:p w14:paraId="15A85ED7" w14:textId="7F4D3E8D" w:rsidR="00625782" w:rsidRPr="00344C8D" w:rsidRDefault="0085012B" w:rsidP="00BA5D97">
      <w:pPr>
        <w:spacing w:before="120" w:after="120"/>
        <w:rPr>
          <w:noProof/>
          <w:color w:val="333333"/>
          <w:szCs w:val="24"/>
        </w:rPr>
      </w:pPr>
      <w:r>
        <w:rPr>
          <w:noProof/>
          <w:color w:val="333333"/>
        </w:rPr>
        <w:t xml:space="preserve">Zato se je izvajanje instrumenta šele začelo in je mogoče poročati le o nekaterih elementih. </w:t>
      </w:r>
    </w:p>
    <w:p w14:paraId="467123B6" w14:textId="74CCABC2" w:rsidR="0085012B" w:rsidRPr="00344C8D" w:rsidRDefault="00806FEE" w:rsidP="00BA5D97">
      <w:pPr>
        <w:spacing w:before="120" w:after="120"/>
        <w:rPr>
          <w:noProof/>
          <w:color w:val="333333"/>
          <w:szCs w:val="24"/>
        </w:rPr>
      </w:pPr>
      <w:r>
        <w:rPr>
          <w:noProof/>
          <w:color w:val="333333"/>
        </w:rPr>
        <w:t xml:space="preserve">Zato se bo to prvo poročilo osredotočalo na opis glavnih pripravljalnih korakov, ki so privedli do objave prvega razpisa za zbiranje predlogov, in značilnosti razpisa. </w:t>
      </w:r>
    </w:p>
    <w:p w14:paraId="6AE6344D" w14:textId="52DD8749" w:rsidR="007C399E" w:rsidRPr="00344C8D" w:rsidRDefault="007C399E" w:rsidP="00BA5D97">
      <w:pPr>
        <w:spacing w:before="120" w:after="120"/>
        <w:rPr>
          <w:noProof/>
          <w:color w:val="333333"/>
          <w:szCs w:val="24"/>
        </w:rPr>
      </w:pPr>
      <w:r>
        <w:rPr>
          <w:noProof/>
          <w:color w:val="333333"/>
        </w:rPr>
        <w:t>Da bi v to poročilo vključili elemente, povezane z dejanskim izvajanjem instrumenta, je bilo sklenjeno, da se to poročilo dokonča in izda šele po prvem roku za predložitev, kar pomeni, da je v primerjavi z regulativnim rokom iz uredbe o instrumentu za posojila v javnem sektorju prišlo do rahle zamude.</w:t>
      </w:r>
    </w:p>
    <w:p w14:paraId="62F002FC" w14:textId="5EBAE621" w:rsidR="009029E2" w:rsidRPr="00EA4FEB" w:rsidRDefault="00EA4FEB" w:rsidP="00EA4FEB">
      <w:pPr>
        <w:spacing w:before="120" w:after="120"/>
        <w:rPr>
          <w:b/>
          <w:noProof/>
          <w:szCs w:val="24"/>
        </w:rPr>
      </w:pPr>
      <w:r>
        <w:rPr>
          <w:b/>
          <w:noProof/>
        </w:rPr>
        <w:t>2.</w:t>
      </w:r>
      <w:r>
        <w:rPr>
          <w:noProof/>
        </w:rPr>
        <w:tab/>
      </w:r>
      <w:r>
        <w:rPr>
          <w:rFonts w:ascii="Times New Roman Bold" w:hAnsi="Times New Roman Bold"/>
          <w:b/>
          <w:smallCaps/>
          <w:noProof/>
        </w:rPr>
        <w:t>Poročilo o izvajanju instrumenta</w:t>
      </w:r>
      <w:r>
        <w:rPr>
          <w:b/>
          <w:noProof/>
        </w:rPr>
        <w:t xml:space="preserve"> </w:t>
      </w:r>
      <w:bookmarkEnd w:id="1"/>
      <w:bookmarkEnd w:id="2"/>
      <w:bookmarkEnd w:id="3"/>
      <w:bookmarkEnd w:id="4"/>
      <w:bookmarkEnd w:id="5"/>
      <w:bookmarkEnd w:id="6"/>
      <w:bookmarkEnd w:id="7"/>
    </w:p>
    <w:p w14:paraId="54049344" w14:textId="79E84257" w:rsidR="00104D50" w:rsidRPr="00BA5D97" w:rsidRDefault="00BA5D97" w:rsidP="00BA5D97">
      <w:pPr>
        <w:spacing w:before="120" w:after="120"/>
        <w:rPr>
          <w:b/>
          <w:noProof/>
          <w:szCs w:val="24"/>
        </w:rPr>
      </w:pPr>
      <w:r>
        <w:rPr>
          <w:b/>
          <w:noProof/>
        </w:rPr>
        <w:t>2.1</w:t>
      </w:r>
      <w:r>
        <w:rPr>
          <w:noProof/>
        </w:rPr>
        <w:tab/>
      </w:r>
      <w:r>
        <w:rPr>
          <w:b/>
          <w:noProof/>
        </w:rPr>
        <w:t xml:space="preserve">Priprave na objavo prvega razpisa za zbiranje predlogov v okviru instrumenta </w:t>
      </w:r>
    </w:p>
    <w:p w14:paraId="3072126C" w14:textId="199D8D0F" w:rsidR="00075102" w:rsidRPr="00BA5D97" w:rsidRDefault="00BA5D97" w:rsidP="00BA5D97">
      <w:pPr>
        <w:spacing w:before="120" w:after="120"/>
        <w:rPr>
          <w:b/>
          <w:i/>
          <w:noProof/>
        </w:rPr>
      </w:pPr>
      <w:bookmarkStart w:id="9" w:name="_Ref118968169"/>
      <w:r>
        <w:rPr>
          <w:b/>
          <w:i/>
          <w:noProof/>
        </w:rPr>
        <w:t>2.1.1</w:t>
      </w:r>
      <w:r>
        <w:rPr>
          <w:noProof/>
        </w:rPr>
        <w:tab/>
      </w:r>
      <w:r>
        <w:rPr>
          <w:b/>
          <w:i/>
          <w:noProof/>
        </w:rPr>
        <w:t>Sprejetje sklepa o financiranju</w:t>
      </w:r>
      <w:bookmarkEnd w:id="9"/>
    </w:p>
    <w:p w14:paraId="1715859D" w14:textId="7566FD9A" w:rsidR="009874CC" w:rsidRPr="00344C8D" w:rsidRDefault="000572A1" w:rsidP="00974048">
      <w:pPr>
        <w:spacing w:before="120" w:after="120"/>
        <w:rPr>
          <w:noProof/>
          <w:szCs w:val="24"/>
        </w:rPr>
      </w:pPr>
      <w:r>
        <w:rPr>
          <w:noProof/>
        </w:rPr>
        <w:t>V skladu s členom 14 uredbe o instrumentu za posojila v javnem sektorju (</w:t>
      </w:r>
      <w:r>
        <w:rPr>
          <w:i/>
          <w:iCs/>
          <w:noProof/>
        </w:rPr>
        <w:t>Programi dela</w:t>
      </w:r>
      <w:r>
        <w:rPr>
          <w:noProof/>
        </w:rPr>
        <w:t>) se instrument izvaja s programi dela, vzpostavljenimi v skladu s členom 110 finančne uredbe in sprejetimi z izvedbenimi akti Komisije po postopku komitologije.</w:t>
      </w:r>
    </w:p>
    <w:p w14:paraId="7C59304A" w14:textId="29071B7F" w:rsidR="00075102" w:rsidRPr="00344C8D" w:rsidRDefault="00075102" w:rsidP="00974048">
      <w:pPr>
        <w:spacing w:before="120" w:after="120"/>
        <w:rPr>
          <w:noProof/>
          <w:szCs w:val="24"/>
        </w:rPr>
      </w:pPr>
      <w:r>
        <w:rPr>
          <w:noProof/>
        </w:rPr>
        <w:t>Odbor za sklade iz uredbe o skupnih določbah je 6. maja 2022</w:t>
      </w:r>
      <w:r>
        <w:rPr>
          <w:rStyle w:val="FootnoteReference"/>
          <w:noProof/>
          <w:szCs w:val="24"/>
        </w:rPr>
        <w:footnoteReference w:id="6"/>
      </w:r>
      <w:r>
        <w:rPr>
          <w:noProof/>
        </w:rPr>
        <w:t xml:space="preserve"> izdal pozitivno mnenje o sklepu o financiranju, ki vključuje večletni delovni program za instrument za obdobje 2021–2025, sprejet pa je bil 17. junija 2022.</w:t>
      </w:r>
    </w:p>
    <w:p w14:paraId="416B915E" w14:textId="545A3617" w:rsidR="009874CC" w:rsidRPr="00344C8D" w:rsidRDefault="009874CC" w:rsidP="00974048">
      <w:pPr>
        <w:spacing w:before="120" w:after="120"/>
        <w:rPr>
          <w:noProof/>
          <w:szCs w:val="24"/>
        </w:rPr>
      </w:pPr>
      <w:r>
        <w:rPr>
          <w:noProof/>
        </w:rPr>
        <w:t>Sklep o financiranju, vključno z večletnim delovnim programom, je javno dostopen:</w:t>
      </w:r>
    </w:p>
    <w:p w14:paraId="37DD8777" w14:textId="46DC3346" w:rsidR="009874CC" w:rsidRPr="00344C8D" w:rsidRDefault="00974048" w:rsidP="00974048">
      <w:pPr>
        <w:spacing w:before="120" w:after="120"/>
        <w:ind w:left="160" w:hanging="160"/>
        <w:rPr>
          <w:noProof/>
          <w:szCs w:val="24"/>
        </w:rPr>
      </w:pPr>
      <w:r>
        <w:rPr>
          <w:noProof/>
        </w:rPr>
        <w:t xml:space="preserve">– na spletni strani Komisije o kohezijski politiki: </w:t>
      </w:r>
      <w:hyperlink r:id="rId19" w:history="1">
        <w:r>
          <w:rPr>
            <w:rStyle w:val="Hyperlink"/>
            <w:noProof/>
          </w:rPr>
          <w:t>Objava sklepov o financiranju in letnega delovnega programa – GD REGIO – Regionalna politika – Evropska komisija (europa.eu)</w:t>
        </w:r>
      </w:hyperlink>
    </w:p>
    <w:p w14:paraId="574DD00D" w14:textId="708B1C72" w:rsidR="00793CC3" w:rsidRPr="00344C8D" w:rsidRDefault="00974048" w:rsidP="00974048">
      <w:pPr>
        <w:spacing w:before="120" w:after="120"/>
        <w:ind w:left="160" w:hanging="160"/>
        <w:rPr>
          <w:noProof/>
          <w:szCs w:val="24"/>
        </w:rPr>
      </w:pPr>
      <w:r>
        <w:rPr>
          <w:noProof/>
        </w:rPr>
        <w:t xml:space="preserve">– na portalu za financiranje in razpise, ki je vstopna točka za udeležence programov financiranja Evropske komisije: </w:t>
      </w:r>
      <w:hyperlink r:id="rId20" w:history="1">
        <w:r>
          <w:rPr>
            <w:rStyle w:val="Hyperlink"/>
            <w:noProof/>
          </w:rPr>
          <w:t>2022_public_loan_facility_annex.pdf (europa.eu)</w:t>
        </w:r>
      </w:hyperlink>
    </w:p>
    <w:p w14:paraId="42E3FA80" w14:textId="4A35C95E" w:rsidR="005548C1" w:rsidRPr="00974048" w:rsidRDefault="00BA5D97" w:rsidP="00974048">
      <w:pPr>
        <w:keepNext/>
        <w:spacing w:before="120" w:after="120"/>
        <w:rPr>
          <w:b/>
          <w:i/>
          <w:noProof/>
        </w:rPr>
      </w:pPr>
      <w:bookmarkStart w:id="10" w:name="_Ref118968173"/>
      <w:r>
        <w:rPr>
          <w:b/>
          <w:i/>
          <w:noProof/>
        </w:rPr>
        <w:t>2.1.2.</w:t>
      </w:r>
      <w:r>
        <w:rPr>
          <w:noProof/>
        </w:rPr>
        <w:tab/>
      </w:r>
      <w:r>
        <w:rPr>
          <w:b/>
          <w:i/>
          <w:noProof/>
        </w:rPr>
        <w:t>Prenos pooblastila za izvajanje instrumenta na CINEA</w:t>
      </w:r>
      <w:bookmarkEnd w:id="10"/>
    </w:p>
    <w:p w14:paraId="180F8A4B" w14:textId="53524825" w:rsidR="005548C1" w:rsidRPr="00344C8D" w:rsidRDefault="005548C1" w:rsidP="00974048">
      <w:pPr>
        <w:spacing w:before="120" w:after="120"/>
        <w:rPr>
          <w:noProof/>
          <w:szCs w:val="24"/>
        </w:rPr>
      </w:pPr>
      <w:r>
        <w:rPr>
          <w:noProof/>
        </w:rPr>
        <w:t>Generalni direktorat Komisije za regionalno in mestno politiko (GD REGIO) je upravljanje instrumenta prenesel</w:t>
      </w:r>
      <w:r>
        <w:rPr>
          <w:rStyle w:val="FootnoteReference"/>
          <w:noProof/>
          <w:szCs w:val="24"/>
        </w:rPr>
        <w:footnoteReference w:id="7"/>
      </w:r>
      <w:r>
        <w:rPr>
          <w:noProof/>
        </w:rPr>
        <w:t xml:space="preserve"> na Evropsko izvajalsko agencijo za podnebno infrastrukturo in okolje (CINEA)</w:t>
      </w:r>
      <w:r>
        <w:rPr>
          <w:rStyle w:val="FootnoteReference"/>
          <w:noProof/>
          <w:szCs w:val="24"/>
        </w:rPr>
        <w:footnoteReference w:id="8"/>
      </w:r>
      <w:r>
        <w:rPr>
          <w:noProof/>
        </w:rPr>
        <w:t xml:space="preserve">, končna razdelitev nalog pa je bila dogovorjena z memorandumom o soglasju, podpisanim 5. septembra 2022. </w:t>
      </w:r>
    </w:p>
    <w:p w14:paraId="27390B3B" w14:textId="42924D53" w:rsidR="005548C1" w:rsidRPr="00344C8D" w:rsidRDefault="005548C1" w:rsidP="00974048">
      <w:pPr>
        <w:spacing w:before="120" w:after="120"/>
        <w:rPr>
          <w:noProof/>
          <w:szCs w:val="24"/>
        </w:rPr>
      </w:pPr>
      <w:r>
        <w:rPr>
          <w:noProof/>
        </w:rPr>
        <w:t xml:space="preserve">CINEA je odgovorna za izvajanje posebnih nalog v zvezi z dodeljevanjem finančne pomoči Unije in izvajanjem ustreznih odobritev, vključenih v proračun Unije, pod nadzorom GD REGIO, ki deluje kot matični GD. GD REGIO ostaja pristojen za vidike politike in končni izbor projektov, ki jih bo podpiral instrument. </w:t>
      </w:r>
    </w:p>
    <w:p w14:paraId="363CD4C9" w14:textId="060A2AD9" w:rsidR="00104D50" w:rsidRPr="00974048" w:rsidRDefault="00BA5D97" w:rsidP="00974048">
      <w:pPr>
        <w:spacing w:before="120" w:after="120"/>
        <w:rPr>
          <w:b/>
          <w:i/>
          <w:noProof/>
        </w:rPr>
      </w:pPr>
      <w:bookmarkStart w:id="11" w:name="_Ref118968177"/>
      <w:r>
        <w:rPr>
          <w:b/>
          <w:i/>
          <w:noProof/>
        </w:rPr>
        <w:t>2.1.3</w:t>
      </w:r>
      <w:r>
        <w:rPr>
          <w:noProof/>
        </w:rPr>
        <w:tab/>
      </w:r>
      <w:r>
        <w:rPr>
          <w:b/>
          <w:i/>
          <w:noProof/>
        </w:rPr>
        <w:t>Upravni sporazum s finančnim partnerjem (Evropska investicijska banka)</w:t>
      </w:r>
      <w:bookmarkEnd w:id="11"/>
    </w:p>
    <w:p w14:paraId="6BBFB307" w14:textId="2742F326" w:rsidR="00104D50" w:rsidRPr="00344C8D" w:rsidRDefault="000572A1" w:rsidP="00974048">
      <w:pPr>
        <w:spacing w:before="120" w:after="120"/>
        <w:rPr>
          <w:noProof/>
          <w:szCs w:val="24"/>
        </w:rPr>
      </w:pPr>
      <w:r>
        <w:rPr>
          <w:noProof/>
        </w:rPr>
        <w:t>V skladu s členom 8 uredbe o instrumentu za posojila v javnem sektorju (</w:t>
      </w:r>
      <w:r>
        <w:rPr>
          <w:i/>
          <w:iCs/>
          <w:noProof/>
        </w:rPr>
        <w:t>Upravni sporazum</w:t>
      </w:r>
      <w:r>
        <w:rPr>
          <w:noProof/>
        </w:rPr>
        <w:t xml:space="preserve">) Komisija in finančni partner pred izvajanjem instrumenta podpišeta upravni sporazum. </w:t>
      </w:r>
    </w:p>
    <w:p w14:paraId="6FB55955" w14:textId="04453E30" w:rsidR="00075102" w:rsidRPr="00344C8D" w:rsidRDefault="00104D50" w:rsidP="00974048">
      <w:pPr>
        <w:spacing w:before="120" w:after="120"/>
        <w:rPr>
          <w:noProof/>
          <w:szCs w:val="24"/>
        </w:rPr>
      </w:pPr>
      <w:r>
        <w:rPr>
          <w:noProof/>
        </w:rPr>
        <w:t xml:space="preserve">Po pogajanjih z Evropsko investicijsko banko je upravni sporazum med Komisijo in Evropsko investicijsko banko začel veljati 1. septembra 2022. </w:t>
      </w:r>
    </w:p>
    <w:p w14:paraId="7AF75D0F" w14:textId="33492878" w:rsidR="00104D50" w:rsidRPr="00974048" w:rsidRDefault="00BA5D97" w:rsidP="00974048">
      <w:pPr>
        <w:spacing w:before="120" w:after="120"/>
        <w:rPr>
          <w:b/>
          <w:i/>
          <w:noProof/>
          <w:szCs w:val="24"/>
        </w:rPr>
      </w:pPr>
      <w:bookmarkStart w:id="12" w:name="_Ref118968181"/>
      <w:r>
        <w:rPr>
          <w:b/>
          <w:i/>
          <w:noProof/>
        </w:rPr>
        <w:t>2.1.4</w:t>
      </w:r>
      <w:r>
        <w:rPr>
          <w:noProof/>
        </w:rPr>
        <w:tab/>
      </w:r>
      <w:r>
        <w:rPr>
          <w:b/>
          <w:i/>
          <w:noProof/>
        </w:rPr>
        <w:t>Svetovalna podpora v okviru svetovalnega vozlišča InvestEU</w:t>
      </w:r>
      <w:bookmarkEnd w:id="12"/>
      <w:r>
        <w:rPr>
          <w:b/>
          <w:i/>
          <w:noProof/>
        </w:rPr>
        <w:t xml:space="preserve"> </w:t>
      </w:r>
    </w:p>
    <w:p w14:paraId="6AA5B0A6" w14:textId="5345F35B" w:rsidR="00625782" w:rsidRPr="00344C8D" w:rsidRDefault="000572A1" w:rsidP="00974048">
      <w:pPr>
        <w:spacing w:before="120" w:after="120"/>
        <w:rPr>
          <w:noProof/>
        </w:rPr>
      </w:pPr>
      <w:r>
        <w:rPr>
          <w:noProof/>
        </w:rPr>
        <w:t>V skladu s členom 3 (</w:t>
      </w:r>
      <w:r>
        <w:rPr>
          <w:i/>
          <w:iCs/>
          <w:noProof/>
        </w:rPr>
        <w:t>Cilji</w:t>
      </w:r>
      <w:r>
        <w:rPr>
          <w:noProof/>
        </w:rPr>
        <w:t>) in členom 13 (</w:t>
      </w:r>
      <w:r>
        <w:rPr>
          <w:i/>
          <w:iCs/>
          <w:noProof/>
        </w:rPr>
        <w:t>Storitve svetovalne podpore</w:t>
      </w:r>
      <w:r>
        <w:rPr>
          <w:noProof/>
        </w:rPr>
        <w:t xml:space="preserve">) uredbe o instrumentu za posojila v javnem sektorju bi bilo treba zagotoviti svetovalno podporo (za pripravo, razvoj in izvajanje upravičenih projektov) in jo izvajati s posrednim upravljanjem v skladu s pravili in načini izvajanja, ki veljajo za svetovalno vozlišče InvestEU. </w:t>
      </w:r>
    </w:p>
    <w:p w14:paraId="73BE3DB7" w14:textId="1E3E71C6" w:rsidR="00A2031E" w:rsidRPr="00344C8D" w:rsidRDefault="005802D2" w:rsidP="00974048">
      <w:pPr>
        <w:spacing w:before="120" w:after="120"/>
        <w:rPr>
          <w:noProof/>
        </w:rPr>
      </w:pPr>
      <w:r>
        <w:rPr>
          <w:noProof/>
        </w:rPr>
        <w:t>Do 35 milijonov EUR se zagotovi za dejavnosti svetovalne podpore, od katerih se vsaj 10 milijonov EUR nameni za podporo upravni zmogljivosti upravičencev, zlasti v manj razvitih regijah.</w:t>
      </w:r>
    </w:p>
    <w:p w14:paraId="5F490964" w14:textId="655D7D59" w:rsidR="00C17E66" w:rsidRPr="00344C8D" w:rsidRDefault="000572A1" w:rsidP="00974048">
      <w:pPr>
        <w:spacing w:before="120" w:after="120"/>
        <w:rPr>
          <w:noProof/>
        </w:rPr>
      </w:pPr>
      <w:r>
        <w:rPr>
          <w:noProof/>
        </w:rPr>
        <w:t>Komisija in Evropska investicijska banka sta 4. marca 2022</w:t>
      </w:r>
      <w:r>
        <w:rPr>
          <w:rStyle w:val="FootnoteReference"/>
          <w:noProof/>
        </w:rPr>
        <w:footnoteReference w:id="9"/>
      </w:r>
      <w:r>
        <w:rPr>
          <w:noProof/>
        </w:rPr>
        <w:t xml:space="preserve"> podpisali svetovalni sporazum v zvezi s svetovalnimi dejavnostmi in operativno podporo, ki jih bo Evropska investicijska banka izvajala v okviru svetovalnega vozlišča InvestEU v obdobju 2021–2024. </w:t>
      </w:r>
    </w:p>
    <w:p w14:paraId="641C7B25" w14:textId="21DF4B32" w:rsidR="00B25A48" w:rsidRPr="00344C8D" w:rsidRDefault="000062D8" w:rsidP="00974048">
      <w:pPr>
        <w:spacing w:before="120" w:after="120"/>
        <w:rPr>
          <w:noProof/>
        </w:rPr>
      </w:pPr>
      <w:r>
        <w:rPr>
          <w:noProof/>
        </w:rPr>
        <w:t>Ta sporazum podrobno opisuje in izvaja svetovalno podporo v zvezi z instrumentom. V praksi lahko morebitni upravičenci zaprosijo za svetovalno podporo prek osrednje vstopne točke svetovalnega vozlišča InvestEU</w:t>
      </w:r>
      <w:r>
        <w:rPr>
          <w:rStyle w:val="FootnoteReference"/>
          <w:noProof/>
        </w:rPr>
        <w:footnoteReference w:id="10"/>
      </w:r>
      <w:r>
        <w:rPr>
          <w:noProof/>
        </w:rPr>
        <w:t xml:space="preserve">. </w:t>
      </w:r>
    </w:p>
    <w:p w14:paraId="0D435555" w14:textId="24604800" w:rsidR="00A2031E" w:rsidRPr="00344C8D" w:rsidRDefault="00A2031E" w:rsidP="00974048">
      <w:pPr>
        <w:spacing w:before="120" w:after="120"/>
        <w:rPr>
          <w:noProof/>
        </w:rPr>
      </w:pPr>
      <w:r>
        <w:rPr>
          <w:noProof/>
        </w:rPr>
        <w:t>Razpoložljivost svetovalne podpore je bila razširjena v okviru dejavnosti komuniciranja ob objavi prvega razpisa za zbiranje predlogov v okviru instrumenta.</w:t>
      </w:r>
    </w:p>
    <w:p w14:paraId="071EB8A4" w14:textId="21EBEB33" w:rsidR="000572A1" w:rsidRPr="00344C8D" w:rsidRDefault="00C54E00" w:rsidP="00974048">
      <w:pPr>
        <w:spacing w:before="120" w:after="120"/>
        <w:rPr>
          <w:noProof/>
        </w:rPr>
      </w:pPr>
      <w:r>
        <w:rPr>
          <w:noProof/>
        </w:rPr>
        <w:t>V času priprave tega poročila ni bilo nobenega zahtevka za podporo. Vendar Evropska investicijska banka  svetuje potencialnim upravičencem glede potencialnih projektov v okviru mehanizma za pravični prehod prek pobude JASPERS</w:t>
      </w:r>
      <w:r>
        <w:rPr>
          <w:rStyle w:val="FootnoteReference"/>
          <w:noProof/>
        </w:rPr>
        <w:footnoteReference w:id="11"/>
      </w:r>
      <w:r>
        <w:rPr>
          <w:noProof/>
        </w:rPr>
        <w:t xml:space="preserve">, svetovalne podpore pri projektih in svetovalnih služb. </w:t>
      </w:r>
      <w:bookmarkStart w:id="13" w:name="Tocka"/>
      <w:bookmarkEnd w:id="13"/>
    </w:p>
    <w:p w14:paraId="493FBC3F" w14:textId="05F5173B" w:rsidR="001D1847" w:rsidRPr="00974048" w:rsidRDefault="00BA5D97" w:rsidP="00974048">
      <w:pPr>
        <w:keepNext/>
        <w:spacing w:before="120" w:after="120"/>
        <w:rPr>
          <w:b/>
          <w:i/>
          <w:noProof/>
          <w:szCs w:val="24"/>
        </w:rPr>
      </w:pPr>
      <w:r>
        <w:rPr>
          <w:b/>
          <w:i/>
          <w:noProof/>
        </w:rPr>
        <w:t>2.1.5.</w:t>
      </w:r>
      <w:r>
        <w:rPr>
          <w:noProof/>
        </w:rPr>
        <w:tab/>
      </w:r>
      <w:r>
        <w:rPr>
          <w:b/>
          <w:i/>
          <w:noProof/>
        </w:rPr>
        <w:t>Horizontalna načela</w:t>
      </w:r>
    </w:p>
    <w:p w14:paraId="7201A430" w14:textId="4EA222CD" w:rsidR="001D1847" w:rsidRPr="00344C8D" w:rsidRDefault="001D1847" w:rsidP="00A458B5">
      <w:pPr>
        <w:spacing w:before="120" w:after="120"/>
        <w:rPr>
          <w:noProof/>
        </w:rPr>
      </w:pPr>
      <w:r>
        <w:rPr>
          <w:noProof/>
        </w:rPr>
        <w:t>V skladu s členom 4 uredbe o instrumentu za posojila v javnem sektorju (</w:t>
      </w:r>
      <w:r>
        <w:rPr>
          <w:i/>
          <w:iCs/>
          <w:noProof/>
        </w:rPr>
        <w:t>Horizontalna načela</w:t>
      </w:r>
      <w:r>
        <w:rPr>
          <w:noProof/>
        </w:rPr>
        <w:t xml:space="preserve">) se pri izvajanju instrumenta zagotavlja spoštovanje horizontalnih načel. </w:t>
      </w:r>
    </w:p>
    <w:p w14:paraId="40906AA0" w14:textId="5B6D3C11" w:rsidR="00A313B9" w:rsidRPr="00344C8D" w:rsidRDefault="001D1847" w:rsidP="00974048">
      <w:pPr>
        <w:spacing w:before="120" w:after="120"/>
        <w:rPr>
          <w:noProof/>
          <w:szCs w:val="24"/>
        </w:rPr>
      </w:pPr>
      <w:r>
        <w:rPr>
          <w:noProof/>
        </w:rPr>
        <w:t xml:space="preserve">To se je različno odražalo v dokumentaciji v skladu s praksami Komisije. Skladnost s horizontalnimi načeli je bila vključena v besedilo razpisa za zbiranje predlogov kot pogoj za upravičenost in kot del meril za oddajo. Zato vzorec vloge vključuje posebna vprašanja o skladnosti s temi načeli. </w:t>
      </w:r>
    </w:p>
    <w:p w14:paraId="7924A138" w14:textId="7B073A34" w:rsidR="001D1847" w:rsidRPr="00344C8D" w:rsidRDefault="00A313B9" w:rsidP="00974048">
      <w:pPr>
        <w:spacing w:before="120" w:after="120"/>
        <w:rPr>
          <w:noProof/>
          <w:szCs w:val="24"/>
        </w:rPr>
      </w:pPr>
      <w:r>
        <w:rPr>
          <w:noProof/>
        </w:rPr>
        <w:t xml:space="preserve">Poleg tega Evropska investicijska banka v skladu s svojimi pravili, politikami in postopki v svojo oceno posojil, ki jih bo zagotovila, vključi tudi spoštovanje teh načel. </w:t>
      </w:r>
    </w:p>
    <w:p w14:paraId="4E8CB25D" w14:textId="48D21DB5" w:rsidR="00EC2308" w:rsidRPr="00A458B5" w:rsidRDefault="00BA5D97" w:rsidP="00A458B5">
      <w:pPr>
        <w:spacing w:before="120" w:after="120"/>
        <w:rPr>
          <w:b/>
          <w:noProof/>
          <w:szCs w:val="24"/>
        </w:rPr>
      </w:pPr>
      <w:r>
        <w:rPr>
          <w:b/>
          <w:noProof/>
        </w:rPr>
        <w:t>2.2</w:t>
      </w:r>
      <w:r>
        <w:rPr>
          <w:noProof/>
        </w:rPr>
        <w:tab/>
      </w:r>
      <w:r>
        <w:rPr>
          <w:b/>
          <w:noProof/>
        </w:rPr>
        <w:t>Začetek izvajanja instrumenta</w:t>
      </w:r>
    </w:p>
    <w:p w14:paraId="20C88FCA" w14:textId="47953529" w:rsidR="005548C1" w:rsidRPr="00A458B5" w:rsidRDefault="00A458B5" w:rsidP="00A458B5">
      <w:pPr>
        <w:spacing w:before="120" w:after="120"/>
        <w:rPr>
          <w:b/>
          <w:i/>
          <w:noProof/>
          <w:szCs w:val="24"/>
        </w:rPr>
      </w:pPr>
      <w:r>
        <w:rPr>
          <w:b/>
          <w:i/>
          <w:noProof/>
        </w:rPr>
        <w:t>2.2.1</w:t>
      </w:r>
      <w:r>
        <w:rPr>
          <w:noProof/>
        </w:rPr>
        <w:tab/>
      </w:r>
      <w:r>
        <w:rPr>
          <w:b/>
          <w:i/>
          <w:noProof/>
        </w:rPr>
        <w:t>Določitev parametrov za izvajanje instrumenta</w:t>
      </w:r>
    </w:p>
    <w:p w14:paraId="1D87704C" w14:textId="0A280ED9" w:rsidR="003E2AB0" w:rsidRPr="00344C8D" w:rsidRDefault="005548C1" w:rsidP="00A458B5">
      <w:pPr>
        <w:spacing w:before="120" w:after="120"/>
        <w:rPr>
          <w:noProof/>
        </w:rPr>
      </w:pPr>
      <w:r>
        <w:rPr>
          <w:noProof/>
        </w:rPr>
        <w:t>V skladu s členom 7 uredbe o instrumentu za posojila v javnem sektorju (</w:t>
      </w:r>
      <w:r>
        <w:rPr>
          <w:i/>
          <w:iCs/>
          <w:noProof/>
        </w:rPr>
        <w:t>Razpoložljivost sredstev</w:t>
      </w:r>
      <w:r>
        <w:rPr>
          <w:noProof/>
        </w:rPr>
        <w:t>) skupni znesek nepovratnih sredstev, dodeljenih upravičenim projektom v določeni državi članici na podlagi razpisa za zbiranje predlogov, objavljenega najpozneje 31. decembra 2025, ne presega ustreznega nacionalnega deleža, dodeljenega tej državi članici. Ti nacionalni deleži so določeni v Prilogi I k Uredbi (EU) 2021/1056 Evropskega parlamenta in Sveta</w:t>
      </w:r>
      <w:r>
        <w:rPr>
          <w:rStyle w:val="FootnoteReference"/>
          <w:noProof/>
        </w:rPr>
        <w:footnoteReference w:id="12"/>
      </w:r>
      <w:r>
        <w:rPr>
          <w:noProof/>
        </w:rPr>
        <w:t xml:space="preserve"> ter v sklepu o financiranju, vključno z večletnim delovnim programom.</w:t>
      </w:r>
    </w:p>
    <w:p w14:paraId="1A634202" w14:textId="77A83C0C" w:rsidR="002A6A7F" w:rsidRPr="00344C8D" w:rsidRDefault="00BB140A" w:rsidP="00A458B5">
      <w:pPr>
        <w:spacing w:before="120" w:after="120"/>
        <w:rPr>
          <w:noProof/>
          <w:szCs w:val="24"/>
        </w:rPr>
      </w:pPr>
      <w:r>
        <w:rPr>
          <w:noProof/>
        </w:rPr>
        <w:t xml:space="preserve">Komisija se je odločila, da bo začela izvajati instrument s prvim večletnim razpisom za zbiranje predlogov. Ta razpis za zbiranje predlogov bo edini, ki bo objavljen za obdobje 2022–2025. Celotni nacionalni delež vsake države članice bo na voljo v okviru tega prvega večletnega razpisa za zbiranje predlogov. </w:t>
      </w:r>
    </w:p>
    <w:p w14:paraId="5BCA5B67" w14:textId="0C14842F" w:rsidR="005548C1" w:rsidRPr="00344C8D" w:rsidRDefault="005E02CA" w:rsidP="00A458B5">
      <w:pPr>
        <w:spacing w:before="120" w:after="120"/>
        <w:rPr>
          <w:noProof/>
          <w:szCs w:val="24"/>
        </w:rPr>
      </w:pPr>
      <w:r>
        <w:rPr>
          <w:noProof/>
        </w:rPr>
        <w:t xml:space="preserve">Komisija bo objavila drugi večletni razpis za zbiranje predlogov, ki bo zajemal obdobje 2026–2027. Ta drugi razpis za zbiranje predlogov bo imel proračun, sestavljen iz vseh zneskov, ki bodo ostali na voljo v okviru vsakega nacionalnega deleža ob koncu prvega razpisa za zbiranje predlogov, nepovratna sredstva pa bodo dodeljena na konkurenčni podlagi na ravni Unije. </w:t>
      </w:r>
    </w:p>
    <w:p w14:paraId="3B320C2B" w14:textId="52CC9156" w:rsidR="003E2AB0" w:rsidRPr="00A458B5" w:rsidRDefault="00A458B5" w:rsidP="00A458B5">
      <w:pPr>
        <w:spacing w:before="120" w:after="120"/>
        <w:rPr>
          <w:b/>
          <w:i/>
          <w:noProof/>
          <w:szCs w:val="24"/>
        </w:rPr>
      </w:pPr>
      <w:r>
        <w:rPr>
          <w:b/>
          <w:i/>
          <w:noProof/>
        </w:rPr>
        <w:t>2.2.2.</w:t>
      </w:r>
      <w:r>
        <w:rPr>
          <w:noProof/>
        </w:rPr>
        <w:tab/>
      </w:r>
      <w:r>
        <w:rPr>
          <w:b/>
          <w:i/>
          <w:noProof/>
        </w:rPr>
        <w:t xml:space="preserve">Objava prvega razpisa za zbiranje predlogov v okviru instrumenta </w:t>
      </w:r>
    </w:p>
    <w:p w14:paraId="47C55A56" w14:textId="77777777" w:rsidR="003E2AB0" w:rsidRPr="00344C8D" w:rsidRDefault="003E2AB0" w:rsidP="00A458B5">
      <w:pPr>
        <w:spacing w:before="120" w:after="120"/>
        <w:rPr>
          <w:noProof/>
          <w:szCs w:val="24"/>
        </w:rPr>
      </w:pPr>
      <w:r>
        <w:rPr>
          <w:noProof/>
        </w:rPr>
        <w:t xml:space="preserve">Ker je dostop do financiranja v okviru instrumenta odvisen od obstoja odobrenega območnega načrta za pravični prehod, je bilo odločeno, da se prvi razpis za zbiranje predlogov objavi šele po sprejetju zadostnega števila območnih načrtov za pravični prehod. </w:t>
      </w:r>
    </w:p>
    <w:p w14:paraId="792777D8" w14:textId="13216D06" w:rsidR="003E2AB0" w:rsidRPr="00344C8D" w:rsidRDefault="003E2AB0" w:rsidP="00A458B5">
      <w:pPr>
        <w:spacing w:before="120" w:after="120"/>
        <w:rPr>
          <w:noProof/>
          <w:szCs w:val="24"/>
        </w:rPr>
      </w:pPr>
      <w:r>
        <w:rPr>
          <w:noProof/>
        </w:rPr>
        <w:t xml:space="preserve">Komisija je 16. junija 2022 sprejela prve programe Sklada za pravični prehod in povezane območne načrte za pravični prehod za programsko obdobje 2021–2027. </w:t>
      </w:r>
    </w:p>
    <w:p w14:paraId="7D215974" w14:textId="716DBEAD" w:rsidR="005548C1" w:rsidRPr="00344C8D" w:rsidRDefault="003E2AB0" w:rsidP="00A458B5">
      <w:pPr>
        <w:spacing w:before="120" w:after="120"/>
        <w:rPr>
          <w:noProof/>
          <w:szCs w:val="24"/>
        </w:rPr>
      </w:pPr>
      <w:r>
        <w:rPr>
          <w:noProof/>
        </w:rPr>
        <w:t xml:space="preserve">To je Komisiji omogočilo, da je prvi razpis za zbiranje predlogov v okviru instrumenta objavila 19. julija 2022. Prvi rok za predložitev je bil 19. oktober 2022, sledili pa mu bodo trije roki za predložitev na koledarsko leto (januarja, aprila in septembra 2023, 2024 in 2025), kot je pojasnjeno v spodnji razpredelnici. </w:t>
      </w:r>
    </w:p>
    <w:p w14:paraId="2102D1D4" w14:textId="77777777" w:rsidR="005802D2" w:rsidRPr="00344C8D" w:rsidRDefault="005802D2" w:rsidP="004C4306">
      <w:pPr>
        <w:pStyle w:val="Text2"/>
        <w:spacing w:line="276" w:lineRule="auto"/>
        <w:rPr>
          <w:noProof/>
          <w:szCs w:val="24"/>
        </w:rPr>
      </w:pPr>
    </w:p>
    <w:p w14:paraId="0371AB95" w14:textId="55784136" w:rsidR="005548C1" w:rsidRPr="00344C8D" w:rsidRDefault="00721466" w:rsidP="005548C1">
      <w:pPr>
        <w:pStyle w:val="Text2"/>
        <w:spacing w:line="276" w:lineRule="auto"/>
        <w:ind w:left="1134"/>
        <w:rPr>
          <w:noProof/>
          <w:szCs w:val="24"/>
        </w:rPr>
      </w:pPr>
      <w:r>
        <w:rPr>
          <w:noProof/>
          <w:lang w:val="en-GB" w:eastAsia="en-GB"/>
        </w:rPr>
        <w:drawing>
          <wp:inline distT="0" distB="0" distL="0" distR="0" wp14:anchorId="016A9966" wp14:editId="718B9D4B">
            <wp:extent cx="5105400"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05400" cy="3733800"/>
                    </a:xfrm>
                    <a:prstGeom prst="rect">
                      <a:avLst/>
                    </a:prstGeom>
                  </pic:spPr>
                </pic:pic>
              </a:graphicData>
            </a:graphic>
          </wp:inline>
        </w:drawing>
      </w:r>
    </w:p>
    <w:p w14:paraId="3AD03118" w14:textId="7563E760" w:rsidR="005548C1" w:rsidRPr="00344C8D" w:rsidRDefault="00721466" w:rsidP="005548C1">
      <w:pPr>
        <w:pStyle w:val="Text2"/>
        <w:spacing w:line="276" w:lineRule="auto"/>
        <w:ind w:left="1134"/>
        <w:rPr>
          <w:noProof/>
          <w:szCs w:val="24"/>
        </w:rPr>
      </w:pPr>
      <w:r>
        <w:rPr>
          <w:noProof/>
          <w:lang w:val="en-GB" w:eastAsia="en-GB"/>
        </w:rPr>
        <w:drawing>
          <wp:inline distT="0" distB="0" distL="0" distR="0" wp14:anchorId="14B043D1" wp14:editId="492658CE">
            <wp:extent cx="5076825" cy="2209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076825" cy="2209800"/>
                    </a:xfrm>
                    <a:prstGeom prst="rect">
                      <a:avLst/>
                    </a:prstGeom>
                  </pic:spPr>
                </pic:pic>
              </a:graphicData>
            </a:graphic>
          </wp:inline>
        </w:drawing>
      </w:r>
    </w:p>
    <w:p w14:paraId="6CA5FB1B" w14:textId="54678524" w:rsidR="00A210BB" w:rsidRPr="00344C8D" w:rsidRDefault="00A210BB" w:rsidP="00A458B5">
      <w:pPr>
        <w:spacing w:before="120" w:after="120"/>
        <w:rPr>
          <w:noProof/>
        </w:rPr>
      </w:pPr>
      <w:r>
        <w:rPr>
          <w:noProof/>
        </w:rPr>
        <w:t xml:space="preserve">Po objavi prvega razpisa so bili sprejeti dodatni območni načrti za pravični prehod. V času prvega roka za predložitev je bilo sprejetih 16 območnih načrtov za pravični prehod za območja v Avstriji, na Češkem, Cipru, v Estoniji, Franciji, Nemčiji, Grčiji in na Švedskem. </w:t>
      </w:r>
    </w:p>
    <w:p w14:paraId="369F33AB" w14:textId="57C3C2F8" w:rsidR="00A210BB" w:rsidRPr="00344C8D" w:rsidRDefault="00A210BB" w:rsidP="00A458B5">
      <w:pPr>
        <w:spacing w:before="120" w:after="120"/>
        <w:rPr>
          <w:noProof/>
        </w:rPr>
      </w:pPr>
      <w:r>
        <w:rPr>
          <w:noProof/>
        </w:rPr>
        <w:t xml:space="preserve">Skupno naj bi bilo </w:t>
      </w:r>
      <w:bookmarkStart w:id="14" w:name="_Hlk120095387"/>
      <w:r>
        <w:rPr>
          <w:noProof/>
        </w:rPr>
        <w:t>do prvega četrtletja 2023 sprejetih približno 70 območnih načrtov za pravični prehod</w:t>
      </w:r>
      <w:r>
        <w:rPr>
          <w:rStyle w:val="FootnoteReference"/>
          <w:noProof/>
        </w:rPr>
        <w:footnoteReference w:id="13"/>
      </w:r>
      <w:bookmarkEnd w:id="14"/>
      <w:r>
        <w:rPr>
          <w:noProof/>
        </w:rPr>
        <w:t xml:space="preserve">. </w:t>
      </w:r>
    </w:p>
    <w:p w14:paraId="4A23E0CA" w14:textId="5B4434D6" w:rsidR="003E2AB0" w:rsidRPr="00A458B5" w:rsidRDefault="00A458B5" w:rsidP="00A458B5">
      <w:pPr>
        <w:spacing w:before="120" w:after="120"/>
        <w:rPr>
          <w:b/>
          <w:i/>
          <w:noProof/>
          <w:szCs w:val="24"/>
        </w:rPr>
      </w:pPr>
      <w:r>
        <w:rPr>
          <w:b/>
          <w:i/>
          <w:noProof/>
        </w:rPr>
        <w:t>2.2.3</w:t>
      </w:r>
      <w:r>
        <w:rPr>
          <w:noProof/>
        </w:rPr>
        <w:tab/>
      </w:r>
      <w:r>
        <w:rPr>
          <w:b/>
          <w:i/>
          <w:noProof/>
        </w:rPr>
        <w:t xml:space="preserve">Razpoložljivost razpisa za zbiranje predlogov in dejavnosti začetnega komuniciranja </w:t>
      </w:r>
    </w:p>
    <w:p w14:paraId="2AB84910" w14:textId="683786D3" w:rsidR="00EC2308" w:rsidRPr="00344C8D" w:rsidRDefault="00EC2308" w:rsidP="00A458B5">
      <w:pPr>
        <w:spacing w:before="120" w:after="120"/>
        <w:rPr>
          <w:noProof/>
          <w:szCs w:val="24"/>
        </w:rPr>
      </w:pPr>
      <w:r>
        <w:rPr>
          <w:noProof/>
        </w:rPr>
        <w:t>Razpis za zbiranje predlogov je objavljen in dostopen na portalu Komisije za financiranje in javna naročila</w:t>
      </w:r>
      <w:r>
        <w:rPr>
          <w:rStyle w:val="FootnoteReference"/>
          <w:noProof/>
          <w:szCs w:val="24"/>
        </w:rPr>
        <w:footnoteReference w:id="14"/>
      </w:r>
      <w:r>
        <w:rPr>
          <w:noProof/>
        </w:rPr>
        <w:t>. Potencialni vložniki lahko informacije najdejo tudi na platformi za pravični prehod</w:t>
      </w:r>
      <w:r>
        <w:rPr>
          <w:rStyle w:val="FootnoteReference"/>
          <w:noProof/>
          <w:szCs w:val="24"/>
        </w:rPr>
        <w:footnoteReference w:id="15"/>
      </w:r>
      <w:r>
        <w:rPr>
          <w:noProof/>
        </w:rPr>
        <w:t xml:space="preserve"> in na spletišču CINEA</w:t>
      </w:r>
      <w:r>
        <w:rPr>
          <w:rStyle w:val="FootnoteReference"/>
          <w:noProof/>
          <w:szCs w:val="24"/>
        </w:rPr>
        <w:footnoteReference w:id="16"/>
      </w:r>
      <w:r>
        <w:rPr>
          <w:noProof/>
        </w:rPr>
        <w:t xml:space="preserve">. Objava prvega razpisa za zbiranje predlogov v okviru instrumenta je bila razširjena tudi z drugimi običajnimi sredstvi (glej oddelek 3.2), vključno s skupnim sporočilom Komisije in EIB za javnost ter prek družbenih medijev.  </w:t>
      </w:r>
    </w:p>
    <w:p w14:paraId="1CD3EC03" w14:textId="5A3F680B" w:rsidR="009E12C7" w:rsidRPr="00344C8D" w:rsidRDefault="00EC2308" w:rsidP="00A458B5">
      <w:pPr>
        <w:spacing w:before="120" w:after="120"/>
        <w:rPr>
          <w:noProof/>
          <w:szCs w:val="24"/>
        </w:rPr>
      </w:pPr>
      <w:r>
        <w:rPr>
          <w:noProof/>
        </w:rPr>
        <w:t>Poleg tega so Komisija, CINEA in Evropska investicijska banka 14. septembra 2022 organizirale namenski informativni dan. Na tem dogodku so bili podrobno pojasnjeni politični vidiki instrumenta in postopki za zahtevek za nepovratna sredstva Komisije in posojilo Evropske investicijske banke, poleg tega se je tudi odgovorilo na vprašanja morebitnih vložnikov. Dogodek je bil posnet, povezava do ponovnega predvajanja pa je na voljo vsem potencialnim vložnikom na spletni strani instrumenta na spletišču CINEA</w:t>
      </w:r>
      <w:r>
        <w:rPr>
          <w:rStyle w:val="FootnoteReference"/>
          <w:noProof/>
          <w:szCs w:val="24"/>
        </w:rPr>
        <w:footnoteReference w:id="17"/>
      </w:r>
      <w:r>
        <w:rPr>
          <w:noProof/>
        </w:rPr>
        <w:t xml:space="preserve">. </w:t>
      </w:r>
    </w:p>
    <w:p w14:paraId="409D06CF" w14:textId="3F03B301" w:rsidR="009E12C7" w:rsidRPr="00344C8D" w:rsidRDefault="009E12C7" w:rsidP="00A458B5">
      <w:pPr>
        <w:spacing w:before="120" w:after="120"/>
        <w:rPr>
          <w:noProof/>
          <w:szCs w:val="24"/>
        </w:rPr>
      </w:pPr>
      <w:r>
        <w:rPr>
          <w:noProof/>
        </w:rPr>
        <w:t xml:space="preserve">V okviru svetovalnega vozlišča InvestEU je bila organizirana tudi posebna seja o razpoložljivi svetovalni podpori (tudi v zvezi z instrumentom). </w:t>
      </w:r>
    </w:p>
    <w:p w14:paraId="7AD7BAD5" w14:textId="492BFF5D" w:rsidR="00EC2308" w:rsidRPr="00344C8D" w:rsidRDefault="00F32354" w:rsidP="00A458B5">
      <w:pPr>
        <w:spacing w:before="120" w:after="120"/>
        <w:rPr>
          <w:noProof/>
          <w:szCs w:val="24"/>
        </w:rPr>
      </w:pPr>
      <w:r>
        <w:rPr>
          <w:noProof/>
        </w:rPr>
        <w:t>Organizirani sta bili še dve posebni informativni seji, in sicer 21. septembra 2022 v okviru evropskega tedna trajnostne energije in 11. oktobra 2022 v okviru evropskega tedna regij in mest.</w:t>
      </w:r>
    </w:p>
    <w:p w14:paraId="22FE0F65" w14:textId="62AC7807" w:rsidR="00EC2308" w:rsidRPr="00344C8D" w:rsidRDefault="00EC2308" w:rsidP="00A458B5">
      <w:pPr>
        <w:spacing w:before="120" w:after="120"/>
        <w:rPr>
          <w:noProof/>
          <w:szCs w:val="24"/>
        </w:rPr>
      </w:pPr>
      <w:r>
        <w:rPr>
          <w:noProof/>
        </w:rPr>
        <w:t>Teh sej se je udeležilo približno 300 udeležencev.</w:t>
      </w:r>
    </w:p>
    <w:p w14:paraId="07A1602D" w14:textId="32375EA5" w:rsidR="00EC2308" w:rsidRPr="00A458B5" w:rsidRDefault="00A458B5" w:rsidP="00A458B5">
      <w:pPr>
        <w:spacing w:before="120" w:after="120"/>
        <w:rPr>
          <w:b/>
          <w:noProof/>
          <w:szCs w:val="24"/>
        </w:rPr>
      </w:pPr>
      <w:r>
        <w:rPr>
          <w:b/>
          <w:noProof/>
        </w:rPr>
        <w:t>2.3</w:t>
      </w:r>
      <w:r>
        <w:rPr>
          <w:noProof/>
        </w:rPr>
        <w:tab/>
      </w:r>
      <w:r>
        <w:rPr>
          <w:b/>
          <w:noProof/>
        </w:rPr>
        <w:t>Rezultati po prvem roku za predložitev</w:t>
      </w:r>
    </w:p>
    <w:p w14:paraId="54F34097" w14:textId="48C30264" w:rsidR="00EC2308" w:rsidRPr="00344C8D" w:rsidRDefault="00EC2308" w:rsidP="00A458B5">
      <w:pPr>
        <w:spacing w:before="120" w:after="120"/>
        <w:rPr>
          <w:noProof/>
          <w:szCs w:val="24"/>
        </w:rPr>
      </w:pPr>
      <w:r>
        <w:rPr>
          <w:noProof/>
        </w:rPr>
        <w:t xml:space="preserve">Prvi rok za predložitev je bil 19. oktober 2022; prejete so bile tri vloge, od katerih je ena dopustna/upravičena in je v postopku ocenjevanja. </w:t>
      </w:r>
    </w:p>
    <w:p w14:paraId="1301BB12" w14:textId="715BA4CE" w:rsidR="00EC2308" w:rsidRPr="00344C8D" w:rsidRDefault="00EC2308" w:rsidP="00A458B5">
      <w:pPr>
        <w:spacing w:before="120" w:after="120"/>
        <w:rPr>
          <w:noProof/>
          <w:szCs w:val="24"/>
        </w:rPr>
      </w:pPr>
      <w:r>
        <w:rPr>
          <w:noProof/>
        </w:rPr>
        <w:t>To majhno število je bilo pričakovano, ker (i) je bilo sprejetih le omejeno število območnih načrtov za pravični prehod, kar je predpogoj (tj. pogoj za upravičenost) za predložitev predloga in (ii) morebitni vložniki potrebujejo čas, da se seznanijo z instrumentom in pripravijo predloge.</w:t>
      </w:r>
    </w:p>
    <w:p w14:paraId="5E7B76F8" w14:textId="28FC32FC" w:rsidR="00415980" w:rsidRPr="00344C8D" w:rsidRDefault="00EC2308" w:rsidP="00A458B5">
      <w:pPr>
        <w:spacing w:before="120" w:after="120"/>
        <w:rPr>
          <w:noProof/>
          <w:szCs w:val="24"/>
        </w:rPr>
      </w:pPr>
      <w:r>
        <w:rPr>
          <w:noProof/>
        </w:rPr>
        <w:t xml:space="preserve">Komisija si bo še naprej prizadevala za ozaveščanje o instrumentu za prihodnje roke za predložitev, da bi povečala število vlog. </w:t>
      </w:r>
    </w:p>
    <w:p w14:paraId="23555108" w14:textId="02E80DB1" w:rsidR="00EC2308" w:rsidRPr="00EA4FEB" w:rsidRDefault="00EA4FEB" w:rsidP="00EA4FEB">
      <w:pPr>
        <w:spacing w:before="120" w:after="120"/>
        <w:rPr>
          <w:b/>
          <w:noProof/>
          <w:szCs w:val="24"/>
        </w:rPr>
      </w:pPr>
      <w:r>
        <w:rPr>
          <w:b/>
          <w:noProof/>
        </w:rPr>
        <w:t>3.</w:t>
      </w:r>
      <w:r>
        <w:rPr>
          <w:noProof/>
        </w:rPr>
        <w:tab/>
      </w:r>
      <w:r>
        <w:rPr>
          <w:rFonts w:ascii="Times New Roman Bold" w:hAnsi="Times New Roman Bold"/>
          <w:b/>
          <w:smallCaps/>
          <w:noProof/>
        </w:rPr>
        <w:t>Dejavnosti komuniciranja</w:t>
      </w:r>
      <w:r>
        <w:rPr>
          <w:b/>
          <w:noProof/>
        </w:rPr>
        <w:t xml:space="preserve"> </w:t>
      </w:r>
    </w:p>
    <w:p w14:paraId="1B126897" w14:textId="5E5E8605" w:rsidR="00EC2308" w:rsidRPr="00A458B5" w:rsidRDefault="00A458B5" w:rsidP="00A458B5">
      <w:pPr>
        <w:spacing w:before="120" w:after="120"/>
        <w:rPr>
          <w:b/>
          <w:noProof/>
          <w:szCs w:val="24"/>
        </w:rPr>
      </w:pPr>
      <w:r>
        <w:rPr>
          <w:b/>
          <w:noProof/>
        </w:rPr>
        <w:t>3.1</w:t>
      </w:r>
      <w:r>
        <w:rPr>
          <w:noProof/>
        </w:rPr>
        <w:tab/>
      </w:r>
      <w:r>
        <w:rPr>
          <w:b/>
          <w:noProof/>
        </w:rPr>
        <w:t>Upravni sporazum s finančnim partnerjem (Evropska investicijska banka)</w:t>
      </w:r>
    </w:p>
    <w:p w14:paraId="26BC6DE1" w14:textId="3280045B" w:rsidR="00EC2308" w:rsidRPr="00344C8D" w:rsidRDefault="00BB140A" w:rsidP="00A458B5">
      <w:pPr>
        <w:spacing w:before="120" w:after="120"/>
        <w:rPr>
          <w:noProof/>
          <w:szCs w:val="24"/>
        </w:rPr>
      </w:pPr>
      <w:r>
        <w:rPr>
          <w:noProof/>
        </w:rPr>
        <w:t>Po podpisu upravnega sporazuma z Evropsko investicijsko banko sta Komisija</w:t>
      </w:r>
      <w:r>
        <w:rPr>
          <w:rStyle w:val="FootnoteReference"/>
          <w:noProof/>
          <w:szCs w:val="24"/>
        </w:rPr>
        <w:footnoteReference w:id="18"/>
      </w:r>
      <w:r>
        <w:rPr>
          <w:noProof/>
        </w:rPr>
        <w:t xml:space="preserve"> in EIB</w:t>
      </w:r>
      <w:r>
        <w:rPr>
          <w:rStyle w:val="FootnoteReference"/>
          <w:noProof/>
          <w:szCs w:val="24"/>
        </w:rPr>
        <w:footnoteReference w:id="19"/>
      </w:r>
      <w:r>
        <w:rPr>
          <w:noProof/>
        </w:rPr>
        <w:t xml:space="preserve"> objavili sporočili za javnost.</w:t>
      </w:r>
    </w:p>
    <w:p w14:paraId="78182C05" w14:textId="2A3F2790" w:rsidR="005109A6" w:rsidRPr="00A458B5" w:rsidRDefault="00A458B5" w:rsidP="00A458B5">
      <w:pPr>
        <w:spacing w:before="120" w:after="120"/>
        <w:rPr>
          <w:b/>
          <w:noProof/>
          <w:szCs w:val="24"/>
        </w:rPr>
      </w:pPr>
      <w:r>
        <w:rPr>
          <w:b/>
          <w:noProof/>
        </w:rPr>
        <w:t>3.2</w:t>
      </w:r>
      <w:r>
        <w:rPr>
          <w:noProof/>
        </w:rPr>
        <w:tab/>
      </w:r>
      <w:r>
        <w:rPr>
          <w:b/>
          <w:noProof/>
        </w:rPr>
        <w:t>Objava prvih razpisov za zbiranje predlogov</w:t>
      </w:r>
    </w:p>
    <w:p w14:paraId="23538A1D" w14:textId="4B00E373" w:rsidR="00C17E66" w:rsidRPr="00344C8D" w:rsidRDefault="007C399E" w:rsidP="00A458B5">
      <w:pPr>
        <w:spacing w:before="120" w:after="120"/>
        <w:rPr>
          <w:noProof/>
          <w:szCs w:val="24"/>
        </w:rPr>
      </w:pPr>
      <w:r>
        <w:rPr>
          <w:noProof/>
        </w:rPr>
        <w:t>Komisija si je zelo prizadevala za obveščanje v zvezi z objavo prvega razpisa za zbiranje predlogov z objavo sporočil za javnost služb Komisije</w:t>
      </w:r>
      <w:r>
        <w:rPr>
          <w:rStyle w:val="FootnoteReference"/>
          <w:noProof/>
          <w:szCs w:val="24"/>
        </w:rPr>
        <w:footnoteReference w:id="20"/>
      </w:r>
      <w:r>
        <w:rPr>
          <w:noProof/>
        </w:rPr>
        <w:t xml:space="preserve"> in izvajalske agencije CINEA</w:t>
      </w:r>
      <w:r>
        <w:rPr>
          <w:rStyle w:val="FootnoteReference"/>
          <w:noProof/>
        </w:rPr>
        <w:footnoteReference w:id="21"/>
      </w:r>
      <w:r>
        <w:rPr>
          <w:noProof/>
        </w:rPr>
        <w:t>, vključno z dnevnimi novicami v tiskovnem kotičku Komisije</w:t>
      </w:r>
      <w:r>
        <w:rPr>
          <w:rStyle w:val="FootnoteReference"/>
          <w:noProof/>
          <w:szCs w:val="24"/>
        </w:rPr>
        <w:footnoteReference w:id="22"/>
      </w:r>
      <w:r>
        <w:rPr>
          <w:noProof/>
        </w:rPr>
        <w:t>.</w:t>
      </w:r>
      <w:r>
        <w:rPr>
          <w:rStyle w:val="Hyperlink"/>
          <w:noProof/>
        </w:rPr>
        <w:t xml:space="preserve"> </w:t>
      </w:r>
    </w:p>
    <w:p w14:paraId="1CDE8743" w14:textId="4F5CDDD6" w:rsidR="00FC5B7A" w:rsidRPr="00344C8D" w:rsidRDefault="005E02CA" w:rsidP="00A458B5">
      <w:pPr>
        <w:spacing w:before="120" w:after="120"/>
        <w:rPr>
          <w:noProof/>
          <w:szCs w:val="24"/>
        </w:rPr>
      </w:pPr>
      <w:r>
        <w:rPr>
          <w:noProof/>
        </w:rPr>
        <w:t>Videosporočili sta posnela tako komisar, pristojen za regionalno in mestno politiko</w:t>
      </w:r>
      <w:r>
        <w:rPr>
          <w:rStyle w:val="FootnoteReference"/>
          <w:noProof/>
          <w:szCs w:val="24"/>
        </w:rPr>
        <w:footnoteReference w:id="23"/>
      </w:r>
      <w:r>
        <w:rPr>
          <w:noProof/>
        </w:rPr>
        <w:t>, kot podpredsednik Evropske investicijske banke</w:t>
      </w:r>
      <w:r>
        <w:rPr>
          <w:rStyle w:val="FootnoteReference"/>
          <w:noProof/>
          <w:szCs w:val="24"/>
        </w:rPr>
        <w:footnoteReference w:id="24"/>
      </w:r>
      <w:r>
        <w:rPr>
          <w:noProof/>
        </w:rPr>
        <w:t>.</w:t>
      </w:r>
    </w:p>
    <w:p w14:paraId="11091F74" w14:textId="12CA1CBB" w:rsidR="00EF6697" w:rsidRPr="00A458B5" w:rsidRDefault="00A458B5" w:rsidP="00A458B5">
      <w:pPr>
        <w:spacing w:before="120" w:after="120"/>
        <w:rPr>
          <w:b/>
          <w:noProof/>
          <w:color w:val="1F497D"/>
        </w:rPr>
      </w:pPr>
      <w:r>
        <w:rPr>
          <w:b/>
          <w:noProof/>
        </w:rPr>
        <w:t>3.3</w:t>
      </w:r>
      <w:r>
        <w:rPr>
          <w:noProof/>
        </w:rPr>
        <w:tab/>
      </w:r>
      <w:r>
        <w:rPr>
          <w:b/>
          <w:noProof/>
        </w:rPr>
        <w:t>Pogosto zastavljena vprašanja</w:t>
      </w:r>
    </w:p>
    <w:p w14:paraId="16131C93" w14:textId="33E134A6" w:rsidR="00EF6697" w:rsidRPr="00344C8D" w:rsidRDefault="003070A1" w:rsidP="00A458B5">
      <w:pPr>
        <w:spacing w:before="120" w:after="120"/>
        <w:rPr>
          <w:noProof/>
        </w:rPr>
      </w:pPr>
      <w:r>
        <w:rPr>
          <w:noProof/>
        </w:rPr>
        <w:t xml:space="preserve">Vprašanja, zastavljena med komunikacijskimi dogodki, so objavljena na spletišču CINEA kot referenca za udeležence. Komisija je na portalu za financiranje in javna naročila objavila tudi približno 40 izbranih pogostih vprašanj. </w:t>
      </w:r>
    </w:p>
    <w:p w14:paraId="7516C5E3" w14:textId="34DB45F3" w:rsidR="003070A1" w:rsidRPr="00344C8D" w:rsidRDefault="003070A1" w:rsidP="00A458B5">
      <w:pPr>
        <w:spacing w:before="120" w:after="120"/>
        <w:rPr>
          <w:b/>
          <w:noProof/>
        </w:rPr>
      </w:pPr>
      <w:r>
        <w:rPr>
          <w:noProof/>
        </w:rPr>
        <w:t xml:space="preserve">CINEA je oblikovala namenski poštni predal, da bi odgovorila na dodatna vprašanja morebitnih upravičencev. </w:t>
      </w:r>
    </w:p>
    <w:p w14:paraId="594CB80F" w14:textId="733DCEFC" w:rsidR="002730CC" w:rsidRPr="00A458B5" w:rsidRDefault="00A458B5" w:rsidP="00971D73">
      <w:pPr>
        <w:keepNext/>
        <w:spacing w:before="120" w:after="120"/>
        <w:rPr>
          <w:b/>
          <w:noProof/>
          <w:szCs w:val="24"/>
        </w:rPr>
      </w:pPr>
      <w:r>
        <w:rPr>
          <w:b/>
          <w:noProof/>
        </w:rPr>
        <w:t>3.4</w:t>
      </w:r>
      <w:r>
        <w:rPr>
          <w:noProof/>
        </w:rPr>
        <w:tab/>
      </w:r>
      <w:r>
        <w:rPr>
          <w:b/>
          <w:noProof/>
        </w:rPr>
        <w:t xml:space="preserve">Komunikacijski dogodki v letu 2022 </w:t>
      </w:r>
    </w:p>
    <w:p w14:paraId="498EA4E6" w14:textId="11DF6ED9" w:rsidR="002730CC" w:rsidRPr="00344C8D" w:rsidRDefault="002730CC" w:rsidP="00003F47">
      <w:pPr>
        <w:pStyle w:val="Heading2"/>
        <w:widowControl w:val="0"/>
        <w:tabs>
          <w:tab w:val="left" w:pos="567"/>
          <w:tab w:val="num" w:pos="3345"/>
          <w:tab w:val="left" w:pos="3402"/>
          <w:tab w:val="num" w:pos="4190"/>
        </w:tabs>
        <w:spacing w:before="120" w:after="120"/>
        <w:ind w:left="1134"/>
        <w:rPr>
          <w:noProof/>
          <w:szCs w:val="24"/>
        </w:rPr>
      </w:pPr>
      <w:r>
        <w:rPr>
          <w:noProof/>
        </w:rPr>
        <w:t xml:space="preserve">10. maj 2022: </w:t>
      </w:r>
      <w:r>
        <w:rPr>
          <w:noProof/>
        </w:rPr>
        <w:tab/>
      </w:r>
      <w:r>
        <w:rPr>
          <w:b w:val="0"/>
          <w:noProof/>
        </w:rPr>
        <w:t>Seja v okviru platforme za pravični prehod</w:t>
      </w:r>
      <w:r>
        <w:rPr>
          <w:rStyle w:val="FootnoteReference"/>
          <w:b w:val="0"/>
          <w:noProof/>
          <w:szCs w:val="24"/>
        </w:rPr>
        <w:footnoteReference w:id="25"/>
      </w:r>
      <w:r>
        <w:rPr>
          <w:b w:val="0"/>
          <w:noProof/>
        </w:rPr>
        <w:t xml:space="preserve"> </w:t>
      </w:r>
    </w:p>
    <w:p w14:paraId="1EDD915E" w14:textId="03296DE6" w:rsidR="00C43247" w:rsidRPr="00C43247" w:rsidRDefault="002730CC" w:rsidP="00C43247">
      <w:pPr>
        <w:pStyle w:val="Heading2"/>
        <w:widowControl w:val="0"/>
        <w:tabs>
          <w:tab w:val="left" w:pos="567"/>
          <w:tab w:val="num" w:pos="3345"/>
          <w:tab w:val="left" w:pos="3402"/>
          <w:tab w:val="num" w:pos="4190"/>
        </w:tabs>
        <w:spacing w:before="120" w:after="120"/>
        <w:ind w:left="1134"/>
        <w:rPr>
          <w:b w:val="0"/>
          <w:noProof/>
          <w:szCs w:val="24"/>
        </w:rPr>
      </w:pPr>
      <w:r>
        <w:rPr>
          <w:noProof/>
        </w:rPr>
        <w:t xml:space="preserve">14. september 2022: </w:t>
      </w:r>
      <w:r>
        <w:rPr>
          <w:noProof/>
        </w:rPr>
        <w:tab/>
      </w:r>
      <w:r>
        <w:rPr>
          <w:b w:val="0"/>
          <w:noProof/>
        </w:rPr>
        <w:t>Informativni dan, ki ga organizirajo CINEA, Komisija in EIB</w:t>
      </w:r>
      <w:r>
        <w:rPr>
          <w:rStyle w:val="FootnoteReference"/>
          <w:b w:val="0"/>
          <w:noProof/>
          <w:szCs w:val="24"/>
        </w:rPr>
        <w:footnoteReference w:id="26"/>
      </w:r>
    </w:p>
    <w:p w14:paraId="445D1C76" w14:textId="2E06067A" w:rsidR="002730CC" w:rsidRPr="00344C8D" w:rsidRDefault="002730CC" w:rsidP="00003F47">
      <w:pPr>
        <w:pStyle w:val="Heading2"/>
        <w:widowControl w:val="0"/>
        <w:tabs>
          <w:tab w:val="left" w:pos="567"/>
          <w:tab w:val="num" w:pos="3345"/>
          <w:tab w:val="left" w:pos="3402"/>
          <w:tab w:val="num" w:pos="4190"/>
        </w:tabs>
        <w:spacing w:before="120" w:after="120"/>
        <w:ind w:left="1134"/>
        <w:rPr>
          <w:noProof/>
          <w:szCs w:val="24"/>
        </w:rPr>
      </w:pPr>
      <w:r>
        <w:rPr>
          <w:noProof/>
        </w:rPr>
        <w:t xml:space="preserve">21. september 2022: </w:t>
      </w:r>
      <w:r>
        <w:rPr>
          <w:noProof/>
        </w:rPr>
        <w:tab/>
      </w:r>
      <w:r>
        <w:rPr>
          <w:b w:val="0"/>
          <w:noProof/>
        </w:rPr>
        <w:t>Seja v okviru evropskega tedna trajnostne energije (razširjeni program)</w:t>
      </w:r>
      <w:r>
        <w:rPr>
          <w:rStyle w:val="FootnoteReference"/>
          <w:b w:val="0"/>
          <w:noProof/>
          <w:szCs w:val="24"/>
        </w:rPr>
        <w:footnoteReference w:id="27"/>
      </w:r>
    </w:p>
    <w:p w14:paraId="71595A93" w14:textId="77777777" w:rsidR="00B851B5" w:rsidRPr="00344C8D" w:rsidRDefault="002730CC" w:rsidP="00003F47">
      <w:pPr>
        <w:pStyle w:val="Heading2"/>
        <w:widowControl w:val="0"/>
        <w:tabs>
          <w:tab w:val="left" w:pos="567"/>
          <w:tab w:val="num" w:pos="3345"/>
          <w:tab w:val="left" w:pos="3402"/>
          <w:tab w:val="num" w:pos="4190"/>
        </w:tabs>
        <w:spacing w:before="120" w:after="120"/>
        <w:ind w:left="1134"/>
        <w:rPr>
          <w:noProof/>
          <w:szCs w:val="24"/>
        </w:rPr>
      </w:pPr>
      <w:r>
        <w:rPr>
          <w:noProof/>
        </w:rPr>
        <w:t xml:space="preserve">11. oktober 2022: </w:t>
      </w:r>
      <w:r>
        <w:rPr>
          <w:noProof/>
        </w:rPr>
        <w:tab/>
      </w:r>
      <w:r>
        <w:rPr>
          <w:b w:val="0"/>
          <w:noProof/>
        </w:rPr>
        <w:t>Seja med evropskim tednom regij in mest</w:t>
      </w:r>
      <w:r>
        <w:rPr>
          <w:rStyle w:val="FootnoteReference"/>
          <w:b w:val="0"/>
          <w:noProof/>
          <w:szCs w:val="24"/>
        </w:rPr>
        <w:footnoteReference w:id="28"/>
      </w:r>
      <w:r>
        <w:rPr>
          <w:noProof/>
        </w:rPr>
        <w:t xml:space="preserve"> </w:t>
      </w:r>
    </w:p>
    <w:p w14:paraId="03355648" w14:textId="17F0817A" w:rsidR="002730CC" w:rsidRPr="00344C8D" w:rsidRDefault="002730CC" w:rsidP="00003F47">
      <w:pPr>
        <w:pStyle w:val="Heading2"/>
        <w:widowControl w:val="0"/>
        <w:tabs>
          <w:tab w:val="left" w:pos="567"/>
          <w:tab w:val="num" w:pos="3345"/>
          <w:tab w:val="left" w:pos="3402"/>
          <w:tab w:val="num" w:pos="4190"/>
        </w:tabs>
        <w:spacing w:before="120" w:after="120"/>
        <w:ind w:left="1134"/>
        <w:rPr>
          <w:noProof/>
          <w:szCs w:val="24"/>
        </w:rPr>
      </w:pPr>
      <w:r>
        <w:rPr>
          <w:noProof/>
        </w:rPr>
        <w:t xml:space="preserve">8.–11. november 2022: </w:t>
      </w:r>
      <w:r>
        <w:rPr>
          <w:noProof/>
        </w:rPr>
        <w:tab/>
      </w:r>
      <w:r>
        <w:rPr>
          <w:b w:val="0"/>
          <w:noProof/>
        </w:rPr>
        <w:t>Dvostranska srečanja s predstavniki EU med dogodkom Ecomondo</w:t>
      </w:r>
      <w:r>
        <w:rPr>
          <w:rStyle w:val="FootnoteReference"/>
          <w:b w:val="0"/>
          <w:noProof/>
          <w:szCs w:val="24"/>
        </w:rPr>
        <w:footnoteReference w:id="29"/>
      </w:r>
    </w:p>
    <w:p w14:paraId="1E80F065" w14:textId="6FD64A01" w:rsidR="002730CC" w:rsidRPr="00344C8D" w:rsidRDefault="002B511B" w:rsidP="00C43247">
      <w:pPr>
        <w:ind w:left="1134"/>
        <w:rPr>
          <w:noProof/>
          <w:szCs w:val="24"/>
        </w:rPr>
      </w:pPr>
      <w:r>
        <w:rPr>
          <w:noProof/>
        </w:rPr>
        <w:t>Na zahtevo držav članic so bile organizirane tudi posebne seje (marca v Sloveniji in oktobra v Franciji).</w:t>
      </w:r>
    </w:p>
    <w:p w14:paraId="2F15B2ED" w14:textId="57E27534" w:rsidR="00DC087F" w:rsidRPr="00EA4FEB" w:rsidRDefault="00EA4FEB" w:rsidP="00EA4FEB">
      <w:pPr>
        <w:spacing w:before="120" w:after="120"/>
        <w:rPr>
          <w:b/>
          <w:noProof/>
          <w:szCs w:val="24"/>
        </w:rPr>
      </w:pPr>
      <w:r>
        <w:rPr>
          <w:b/>
          <w:noProof/>
        </w:rPr>
        <w:t>4.</w:t>
      </w:r>
      <w:r>
        <w:rPr>
          <w:noProof/>
        </w:rPr>
        <w:tab/>
      </w:r>
      <w:r>
        <w:rPr>
          <w:rFonts w:ascii="Times New Roman Bold" w:hAnsi="Times New Roman Bold"/>
          <w:b/>
          <w:smallCaps/>
          <w:noProof/>
        </w:rPr>
        <w:t>Naslednji koraki</w:t>
      </w:r>
    </w:p>
    <w:p w14:paraId="0683D261" w14:textId="245A2357" w:rsidR="00DC087F" w:rsidRPr="00E6749A" w:rsidRDefault="00DC087F" w:rsidP="00EA4FEB">
      <w:pPr>
        <w:spacing w:before="120" w:after="120"/>
        <w:rPr>
          <w:noProof/>
          <w:szCs w:val="24"/>
        </w:rPr>
      </w:pPr>
      <w:r>
        <w:rPr>
          <w:noProof/>
        </w:rPr>
        <w:t>Komisija bo še naprej v sodelovanju s CINEA ocenjevala in izbirala predloge po vsakem roku za predložitev (glej razpredelnico v točki 2.2.2).</w:t>
      </w:r>
    </w:p>
    <w:p w14:paraId="5BEDB43B" w14:textId="0EDB03B8" w:rsidR="00DC087F" w:rsidRPr="00344C8D" w:rsidRDefault="00F07D86" w:rsidP="00EA4FEB">
      <w:pPr>
        <w:spacing w:before="120" w:after="120"/>
        <w:rPr>
          <w:noProof/>
          <w:szCs w:val="24"/>
        </w:rPr>
      </w:pPr>
      <w:r>
        <w:rPr>
          <w:noProof/>
        </w:rPr>
        <w:t xml:space="preserve">Komisija bo v sodelovanju s CINEA in Evropsko investicijsko banko še naprej ozaveščala o instrumentu, da bi ga promovirala in pokazala njegov potencial. To bo med drugim doseženo z organizacijo dvostranskih srečanj z državami članicami in regijami z območnimi načrti za pravični prehod, pripravo namenskih predstavitev za ustrezne odbore Komisije za spremljanje in udeležbo na ustreznih dogodkih, kar bo priložnost za predstavitev instrumenta. Na splošno bo Komisija izkoristila vsako priložnost za promocijo instrumenta in doseganje širokega kroga potencialno zainteresiranih deležnikov. </w:t>
      </w:r>
    </w:p>
    <w:p w14:paraId="0C8C8510" w14:textId="42A35119" w:rsidR="008268A1" w:rsidRPr="00DC087F" w:rsidRDefault="008268A1" w:rsidP="00EA4FEB">
      <w:pPr>
        <w:spacing w:before="120" w:after="120"/>
        <w:rPr>
          <w:noProof/>
          <w:szCs w:val="24"/>
        </w:rPr>
      </w:pPr>
      <w:r>
        <w:rPr>
          <w:noProof/>
        </w:rPr>
        <w:t>Poleg tega bo Agencija organizirala informativne dneve, povezane s presečnimi datumi za leto 2023.</w:t>
      </w:r>
    </w:p>
    <w:sectPr w:rsidR="008268A1" w:rsidRPr="00DC087F" w:rsidSect="00FF7AC2">
      <w:headerReference w:type="even" r:id="rId23"/>
      <w:headerReference w:type="default" r:id="rId24"/>
      <w:footerReference w:type="even" r:id="rId25"/>
      <w:footerReference w:type="default" r:id="rId26"/>
      <w:headerReference w:type="first" r:id="rId27"/>
      <w:footerReference w:type="first" r:id="rId28"/>
      <w:pgSz w:w="11906" w:h="16838"/>
      <w:pgMar w:top="1020" w:right="1276" w:bottom="1020" w:left="1134" w:header="601"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0A222" w14:textId="77777777" w:rsidR="00D23547" w:rsidRDefault="00D23547">
      <w:pPr>
        <w:spacing w:after="0"/>
      </w:pPr>
      <w:r>
        <w:separator/>
      </w:r>
    </w:p>
  </w:endnote>
  <w:endnote w:type="continuationSeparator" w:id="0">
    <w:p w14:paraId="22E40B5E" w14:textId="77777777" w:rsidR="00D23547" w:rsidRDefault="00D23547">
      <w:pPr>
        <w:spacing w:after="0"/>
      </w:pPr>
      <w:r>
        <w:continuationSeparator/>
      </w:r>
    </w:p>
  </w:endnote>
  <w:endnote w:type="continuationNotice" w:id="1">
    <w:p w14:paraId="668AB525" w14:textId="77777777" w:rsidR="00D23547" w:rsidRDefault="00D23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EC Square Sans Pro">
    <w:charset w:val="00"/>
    <w:family w:val="swiss"/>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D301B" w14:textId="77777777" w:rsidR="00886DBD" w:rsidRPr="00886DBD" w:rsidRDefault="00886DBD" w:rsidP="0088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B9AB" w14:textId="19BC92F3" w:rsidR="00E41A36" w:rsidRPr="00886DBD" w:rsidRDefault="00886DBD" w:rsidP="00886DBD">
    <w:pPr>
      <w:pStyle w:val="FooterCoverPage"/>
      <w:rPr>
        <w:rFonts w:ascii="Arial" w:hAnsi="Arial" w:cs="Arial"/>
        <w:b/>
        <w:sz w:val="48"/>
      </w:rPr>
    </w:pPr>
    <w:r w:rsidRPr="00886DBD">
      <w:rPr>
        <w:rFonts w:ascii="Arial" w:hAnsi="Arial" w:cs="Arial"/>
        <w:b/>
        <w:sz w:val="48"/>
      </w:rPr>
      <w:t>SL</w:t>
    </w:r>
    <w:r w:rsidRPr="00886DBD">
      <w:rPr>
        <w:rFonts w:ascii="Arial" w:hAnsi="Arial" w:cs="Arial"/>
        <w:b/>
        <w:sz w:val="48"/>
      </w:rPr>
      <w:tab/>
    </w:r>
    <w:r w:rsidRPr="00886DBD">
      <w:rPr>
        <w:rFonts w:ascii="Arial" w:hAnsi="Arial" w:cs="Arial"/>
        <w:b/>
        <w:sz w:val="48"/>
      </w:rPr>
      <w:tab/>
    </w:r>
    <w:r w:rsidRPr="00886DBD">
      <w:tab/>
    </w:r>
    <w:r w:rsidRPr="00886DBD">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25BB" w14:textId="77777777" w:rsidR="00886DBD" w:rsidRPr="00886DBD" w:rsidRDefault="00886DBD" w:rsidP="00886DB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F748" w14:textId="77777777" w:rsidR="00FF7AC2" w:rsidRDefault="00FF7AC2">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8633" w14:textId="125AAEEB" w:rsidR="00FF7AC2" w:rsidRDefault="00FF7AC2">
    <w:pPr>
      <w:pStyle w:val="FooterLine"/>
      <w:jc w:val="center"/>
    </w:pPr>
    <w:r>
      <w:fldChar w:fldCharType="begin"/>
    </w:r>
    <w:r>
      <w:instrText>PAGE   \* MERGEFORMAT</w:instrText>
    </w:r>
    <w:r>
      <w:fldChar w:fldCharType="separate"/>
    </w:r>
    <w:r w:rsidR="00886DBD">
      <w:rPr>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6C4A" w14:textId="7608124D" w:rsidR="00FF7AC2" w:rsidRPr="00C6305C" w:rsidRDefault="00FF7AC2" w:rsidP="00145D0A">
    <w:pPr>
      <w:pStyle w:val="Footer"/>
      <w:jc w:val="center"/>
      <w:rPr>
        <w:szCs w:val="16"/>
      </w:rPr>
    </w:pPr>
    <w:r>
      <w:fldChar w:fldCharType="begin"/>
    </w:r>
    <w:r>
      <w:instrText xml:space="preserve"> PAGE  \* Arabic  \* MERGEFORMAT </w:instrText>
    </w:r>
    <w:r>
      <w:fldChar w:fldCharType="separate"/>
    </w:r>
    <w:r w:rsidR="00886DBD">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53095" w14:textId="77777777" w:rsidR="00D23547" w:rsidRDefault="00D23547">
      <w:pPr>
        <w:spacing w:after="0"/>
      </w:pPr>
      <w:r>
        <w:separator/>
      </w:r>
    </w:p>
  </w:footnote>
  <w:footnote w:type="continuationSeparator" w:id="0">
    <w:p w14:paraId="4D88641E" w14:textId="77777777" w:rsidR="00D23547" w:rsidRDefault="00D23547">
      <w:pPr>
        <w:spacing w:after="0"/>
      </w:pPr>
      <w:r>
        <w:continuationSeparator/>
      </w:r>
    </w:p>
  </w:footnote>
  <w:footnote w:type="continuationNotice" w:id="1">
    <w:p w14:paraId="3408A275" w14:textId="77777777" w:rsidR="00D23547" w:rsidRDefault="00D23547">
      <w:pPr>
        <w:spacing w:after="0"/>
      </w:pPr>
    </w:p>
  </w:footnote>
  <w:footnote w:id="2">
    <w:p w14:paraId="6C2089A8" w14:textId="38DF3D8A" w:rsidR="00FF0953" w:rsidRPr="008976B8" w:rsidRDefault="00FF0953" w:rsidP="00974048">
      <w:pPr>
        <w:pStyle w:val="FootnoteText"/>
        <w:spacing w:after="0"/>
      </w:pPr>
      <w:r>
        <w:rPr>
          <w:rStyle w:val="FootnoteReference"/>
        </w:rPr>
        <w:footnoteRef/>
      </w:r>
      <w:r>
        <w:tab/>
      </w:r>
      <w:r>
        <w:rPr>
          <w:rStyle w:val="Hyperlink"/>
          <w:color w:val="auto"/>
          <w:u w:val="none"/>
        </w:rPr>
        <w:t>Sporočilo Komisije z naslovom – Evropski zeleni dogovor – (COM(2019) 640 final z dne 11. decembra 2019.</w:t>
      </w:r>
    </w:p>
  </w:footnote>
  <w:footnote w:id="3">
    <w:p w14:paraId="5E4C6945" w14:textId="0FA3D815" w:rsidR="00FF0953" w:rsidRPr="00EA5B36" w:rsidRDefault="00FF0953" w:rsidP="00974048">
      <w:pPr>
        <w:pStyle w:val="FootnoteText"/>
        <w:spacing w:after="0"/>
      </w:pPr>
      <w:r>
        <w:rPr>
          <w:rStyle w:val="FootnoteReference"/>
        </w:rPr>
        <w:footnoteRef/>
      </w:r>
      <w:r>
        <w:tab/>
      </w:r>
      <w:r>
        <w:rPr>
          <w:rStyle w:val="Hyperlink"/>
          <w:color w:val="auto"/>
          <w:u w:val="none"/>
        </w:rPr>
        <w:t>Sporočilo Komisije Evropskemu Parlamentu, Svetu, Evropskemu ekonomsko-socialnemu odboru in Odboru regij</w:t>
      </w:r>
      <w:r>
        <w:t xml:space="preserve"> – Naložbeni načrt za trajnostno Evropo – Naložbeni načrt za evropski zeleni dogovor</w:t>
      </w:r>
      <w:r>
        <w:rPr>
          <w:rStyle w:val="Hyperlink"/>
          <w:color w:val="auto"/>
          <w:u w:val="none"/>
        </w:rPr>
        <w:t xml:space="preserve"> – COM(2020) 21 final z dne 14. januarja 2020.</w:t>
      </w:r>
    </w:p>
  </w:footnote>
  <w:footnote w:id="4">
    <w:p w14:paraId="0CB78FEA" w14:textId="40434E3B" w:rsidR="00BB140A" w:rsidRPr="00E6749A" w:rsidRDefault="00BB140A" w:rsidP="00974048">
      <w:pPr>
        <w:pStyle w:val="FootnoteText"/>
        <w:spacing w:after="0"/>
      </w:pPr>
      <w:r>
        <w:rPr>
          <w:rStyle w:val="FootnoteReference"/>
        </w:rPr>
        <w:footnoteRef/>
      </w:r>
      <w:r>
        <w:tab/>
        <w:t>Kot je opredeljeno v členu 11 Uredbe (EU) 2021/1056 Evropskega parlamenta in Sveta z dne 24. junija 2021 o vzpostavitvi Sklada za pravični prehod (UL L 231, 30.6.2021, str. 1).</w:t>
      </w:r>
    </w:p>
  </w:footnote>
  <w:footnote w:id="5">
    <w:p w14:paraId="487F6209" w14:textId="7BA6AA15" w:rsidR="004D2962" w:rsidRPr="008C7A9B" w:rsidRDefault="004D2962" w:rsidP="004D2962">
      <w:pPr>
        <w:pStyle w:val="FootnoteText"/>
        <w:spacing w:after="0"/>
      </w:pPr>
      <w:r>
        <w:rPr>
          <w:rStyle w:val="FootnoteReference"/>
        </w:rPr>
        <w:footnoteRef/>
      </w:r>
      <w:r>
        <w:tab/>
      </w:r>
      <w:hyperlink r:id="rId1" w:history="1">
        <w:r>
          <w:rPr>
            <w:rStyle w:val="Hyperlink"/>
          </w:rPr>
          <w:t>Kohezijska politika EU:</w:t>
        </w:r>
      </w:hyperlink>
      <w:hyperlink r:id="rId2" w:history="1">
        <w:r>
          <w:rPr>
            <w:rStyle w:val="Hyperlink"/>
          </w:rPr>
          <w:t>1,63 milijarde evrov za pravičen podnebni in energetski prehod v Grčiji – regionalna politika – Evropska komisija (europa.eu)</w:t>
        </w:r>
      </w:hyperlink>
    </w:p>
  </w:footnote>
  <w:footnote w:id="6">
    <w:p w14:paraId="6EE1E60E" w14:textId="3BF13CCF" w:rsidR="00625782" w:rsidRPr="008C7A9B" w:rsidRDefault="00625782" w:rsidP="00974048">
      <w:pPr>
        <w:pStyle w:val="FootnoteText"/>
        <w:spacing w:after="0"/>
      </w:pPr>
      <w:r>
        <w:rPr>
          <w:rStyle w:val="FootnoteReference"/>
        </w:rPr>
        <w:footnoteRef/>
      </w:r>
      <w:r>
        <w:tab/>
      </w:r>
      <w:hyperlink r:id="rId3" w:history="1">
        <w:r>
          <w:rPr>
            <w:rStyle w:val="Hyperlink"/>
          </w:rPr>
          <w:t>Register komitologije (europa.eu)</w:t>
        </w:r>
      </w:hyperlink>
    </w:p>
  </w:footnote>
  <w:footnote w:id="7">
    <w:p w14:paraId="5270A1D0" w14:textId="7E0CE224" w:rsidR="005548C1" w:rsidRPr="008C7A9B" w:rsidRDefault="005548C1" w:rsidP="00974048">
      <w:pPr>
        <w:pStyle w:val="FootnoteText"/>
        <w:spacing w:after="0"/>
      </w:pPr>
      <w:r>
        <w:rPr>
          <w:rStyle w:val="FootnoteReference"/>
        </w:rPr>
        <w:footnoteRef/>
      </w:r>
      <w:r>
        <w:tab/>
        <w:t xml:space="preserve">Izvedbeni sklep Komisije (EU) 2021/173 z dne 12. februarja 2021. </w:t>
      </w:r>
    </w:p>
  </w:footnote>
  <w:footnote w:id="8">
    <w:p w14:paraId="45FC7810" w14:textId="767B082C" w:rsidR="005548C1" w:rsidRPr="008C7A9B" w:rsidRDefault="005548C1" w:rsidP="00974048">
      <w:pPr>
        <w:pStyle w:val="FootnoteText"/>
        <w:spacing w:after="0"/>
      </w:pPr>
      <w:r>
        <w:rPr>
          <w:rStyle w:val="FootnoteReference"/>
        </w:rPr>
        <w:footnoteRef/>
      </w:r>
      <w:r>
        <w:tab/>
      </w:r>
      <w:hyperlink r:id="rId4" w:history="1">
        <w:r>
          <w:rPr>
            <w:rStyle w:val="Hyperlink"/>
          </w:rPr>
          <w:t>Instrument za posojila v javnem sektorju na spletišču CINEA</w:t>
        </w:r>
      </w:hyperlink>
      <w:r>
        <w:t>.</w:t>
      </w:r>
    </w:p>
  </w:footnote>
  <w:footnote w:id="9">
    <w:p w14:paraId="4899228C" w14:textId="67E720A7" w:rsidR="00625782" w:rsidRPr="000062D8" w:rsidRDefault="00625782" w:rsidP="00974048">
      <w:pPr>
        <w:pStyle w:val="FootnoteText"/>
        <w:spacing w:after="0"/>
      </w:pPr>
      <w:r>
        <w:rPr>
          <w:rStyle w:val="FootnoteReference"/>
        </w:rPr>
        <w:footnoteRef/>
      </w:r>
      <w:r>
        <w:tab/>
      </w:r>
      <w:hyperlink r:id="rId5" w:history="1">
        <w:r>
          <w:rPr>
            <w:rStyle w:val="Hyperlink"/>
          </w:rPr>
          <w:t>Evropska komisija in skupina EIB sta podpisali sporazuma v okviru programa InvestEU, s katerima se bodo sprostile milijarde za naložbe po vsej Evropski uniji</w:t>
        </w:r>
      </w:hyperlink>
      <w:r>
        <w:t>.</w:t>
      </w:r>
    </w:p>
  </w:footnote>
  <w:footnote w:id="10">
    <w:p w14:paraId="33AD1568" w14:textId="06AA361E" w:rsidR="00B25A48" w:rsidRPr="008C7A9B" w:rsidRDefault="00B25A48" w:rsidP="00974048">
      <w:pPr>
        <w:pStyle w:val="FootnoteText"/>
        <w:spacing w:after="0"/>
      </w:pPr>
      <w:r>
        <w:rPr>
          <w:rStyle w:val="FootnoteReference"/>
        </w:rPr>
        <w:footnoteRef/>
      </w:r>
      <w:r>
        <w:tab/>
      </w:r>
      <w:hyperlink r:id="rId6" w:history="1">
        <w:r>
          <w:rPr>
            <w:rStyle w:val="Hyperlink"/>
          </w:rPr>
          <w:t>Svetovalno vozlišče InvestEU (europa.eu).</w:t>
        </w:r>
      </w:hyperlink>
      <w:r>
        <w:t xml:space="preserve"> </w:t>
      </w:r>
    </w:p>
  </w:footnote>
  <w:footnote w:id="11">
    <w:p w14:paraId="04C4F2B4" w14:textId="00B32278" w:rsidR="002418F0" w:rsidRPr="008C7A9B" w:rsidRDefault="002418F0" w:rsidP="00974048">
      <w:pPr>
        <w:pStyle w:val="FootnoteText"/>
        <w:spacing w:after="0"/>
        <w:rPr>
          <w:b/>
        </w:rPr>
      </w:pPr>
      <w:r>
        <w:rPr>
          <w:rStyle w:val="FootnoteReference"/>
        </w:rPr>
        <w:footnoteRef/>
      </w:r>
      <w:r>
        <w:tab/>
        <w:t>Skupna pobuda Komisije in EIB za zagotavljanje svetovalnih storitev (</w:t>
      </w:r>
      <w:hyperlink r:id="rId7" w:history="1">
        <w:r>
          <w:rPr>
            <w:rStyle w:val="Hyperlink"/>
          </w:rPr>
          <w:t>About JASPERS (eib.org)</w:t>
        </w:r>
      </w:hyperlink>
      <w:r>
        <w:t>).</w:t>
      </w:r>
    </w:p>
  </w:footnote>
  <w:footnote w:id="12">
    <w:p w14:paraId="6E9B4855" w14:textId="791C35D3" w:rsidR="00E92706" w:rsidRPr="009F5A23" w:rsidRDefault="00E92706" w:rsidP="00A458B5">
      <w:pPr>
        <w:pStyle w:val="FootnoteText"/>
        <w:spacing w:after="0"/>
      </w:pPr>
      <w:r>
        <w:rPr>
          <w:rStyle w:val="FootnoteReference"/>
        </w:rPr>
        <w:footnoteRef/>
      </w:r>
      <w:r>
        <w:tab/>
        <w:t>Uredba (EU) 2021/1056 Evropskega parlamenta in Sveta z dne 24. junija 2021 o vzpostavitvi Sklada za pravični prehod (UL L 231, 30.6.2021, str. 1).</w:t>
      </w:r>
    </w:p>
  </w:footnote>
  <w:footnote w:id="13">
    <w:p w14:paraId="04AB24DB" w14:textId="69053F1D" w:rsidR="00B707FE" w:rsidRPr="00E6749A" w:rsidRDefault="00B707FE" w:rsidP="00A458B5">
      <w:pPr>
        <w:pStyle w:val="FootnoteText"/>
        <w:spacing w:after="0"/>
      </w:pPr>
      <w:r>
        <w:rPr>
          <w:rStyle w:val="FootnoteReference"/>
        </w:rPr>
        <w:footnoteRef/>
      </w:r>
      <w:r>
        <w:tab/>
        <w:t xml:space="preserve">Za posodobljen zemljevid s sprejetimi območnimi načrti za pravični prehod: </w:t>
      </w:r>
      <w:hyperlink r:id="rId8" w:history="1">
        <w:r>
          <w:rPr>
            <w:rStyle w:val="Hyperlink"/>
          </w:rPr>
          <w:t>Inforegio – Sklad za pravični prehod (europa.eu)</w:t>
        </w:r>
      </w:hyperlink>
      <w:r>
        <w:t>.</w:t>
      </w:r>
    </w:p>
  </w:footnote>
  <w:footnote w:id="14">
    <w:p w14:paraId="489A00A8" w14:textId="7FE2C348" w:rsidR="00EC2308" w:rsidRPr="0088311A" w:rsidRDefault="00EC2308" w:rsidP="00A458B5">
      <w:pPr>
        <w:pStyle w:val="FootnoteText"/>
        <w:spacing w:after="0"/>
      </w:pPr>
      <w:r>
        <w:rPr>
          <w:rStyle w:val="FootnoteReference"/>
        </w:rPr>
        <w:footnoteRef/>
      </w:r>
      <w:r>
        <w:tab/>
      </w:r>
      <w:hyperlink r:id="rId9" w:history="1">
        <w:r>
          <w:rPr>
            <w:rStyle w:val="Hyperlink"/>
          </w:rPr>
          <w:t>Portal za financiranje in javne razpise (europa.eu)</w:t>
        </w:r>
      </w:hyperlink>
      <w:r>
        <w:t>.</w:t>
      </w:r>
    </w:p>
  </w:footnote>
  <w:footnote w:id="15">
    <w:p w14:paraId="52124FCD" w14:textId="401F7DFE" w:rsidR="00A210BB" w:rsidRPr="00E6749A" w:rsidRDefault="00A210BB" w:rsidP="00A458B5">
      <w:pPr>
        <w:pStyle w:val="FootnoteText"/>
        <w:spacing w:after="0"/>
      </w:pPr>
      <w:r>
        <w:rPr>
          <w:rStyle w:val="FootnoteReference"/>
        </w:rPr>
        <w:footnoteRef/>
      </w:r>
      <w:r>
        <w:tab/>
      </w:r>
      <w:hyperlink r:id="rId10" w:history="1">
        <w:r>
          <w:rPr>
            <w:rStyle w:val="Hyperlink"/>
          </w:rPr>
          <w:t>Platforma za pravični prehod – regionalna politika – Evropska komisija (europa.eu)</w:t>
        </w:r>
      </w:hyperlink>
      <w:r>
        <w:t>.</w:t>
      </w:r>
    </w:p>
  </w:footnote>
  <w:footnote w:id="16">
    <w:p w14:paraId="4C93F61E" w14:textId="7472E5F0" w:rsidR="00A210BB" w:rsidRPr="00E6749A" w:rsidRDefault="00A210BB" w:rsidP="00A458B5">
      <w:pPr>
        <w:pStyle w:val="FootnoteText"/>
        <w:spacing w:after="0"/>
      </w:pPr>
      <w:r>
        <w:rPr>
          <w:rStyle w:val="FootnoteReference"/>
        </w:rPr>
        <w:footnoteRef/>
      </w:r>
      <w:r>
        <w:tab/>
      </w:r>
      <w:hyperlink r:id="rId11" w:history="1">
        <w:r>
          <w:rPr>
            <w:rStyle w:val="Hyperlink"/>
          </w:rPr>
          <w:t>CINEA – Naložbena področja (europa.eu)</w:t>
        </w:r>
      </w:hyperlink>
      <w:r>
        <w:t>.</w:t>
      </w:r>
    </w:p>
  </w:footnote>
  <w:footnote w:id="17">
    <w:p w14:paraId="0E156B19" w14:textId="45A9F8BA" w:rsidR="00EB1772" w:rsidRPr="00346C71" w:rsidRDefault="00EB1772" w:rsidP="00A458B5">
      <w:pPr>
        <w:pStyle w:val="FootnoteText"/>
        <w:spacing w:after="0"/>
      </w:pPr>
      <w:r>
        <w:rPr>
          <w:rStyle w:val="FootnoteReference"/>
        </w:rPr>
        <w:footnoteRef/>
      </w:r>
      <w:r>
        <w:tab/>
      </w:r>
      <w:hyperlink r:id="rId12" w:history="1">
        <w:r>
          <w:rPr>
            <w:rStyle w:val="Hyperlink"/>
          </w:rPr>
          <w:t>Informativni dan o razpisu za zbiranje predlogov za instrument za posojila v javnem sektorju v okviru mehanizma za pravični prehod 2022 (europa.eu)</w:t>
        </w:r>
      </w:hyperlink>
      <w:r>
        <w:t>.</w:t>
      </w:r>
    </w:p>
  </w:footnote>
  <w:footnote w:id="18">
    <w:p w14:paraId="100A81BF" w14:textId="4C95C3DA" w:rsidR="004D2962" w:rsidRPr="004D2962" w:rsidRDefault="004D2962" w:rsidP="004D2962">
      <w:pPr>
        <w:pStyle w:val="FootnoteText"/>
        <w:spacing w:after="0"/>
      </w:pPr>
      <w:r>
        <w:rPr>
          <w:rStyle w:val="FootnoteReference"/>
        </w:rPr>
        <w:footnoteRef/>
      </w:r>
      <w:r>
        <w:tab/>
      </w:r>
      <w:hyperlink r:id="rId13" w:history="1">
        <w:r>
          <w:rPr>
            <w:rStyle w:val="Hyperlink"/>
          </w:rPr>
          <w:t>https://ec.europa.eu/regional_policy/en/newsroom/news/2022/09/09-07-2022-commission-and-european-investment-bank-unlock-up-to-eur10-billion-to-support-public-investments-in-the-territories-in-transition-towards-a-climate-neutral-economy</w:t>
        </w:r>
      </w:hyperlink>
    </w:p>
  </w:footnote>
  <w:footnote w:id="19">
    <w:p w14:paraId="1C674D05" w14:textId="2C5745EB" w:rsidR="004D2962" w:rsidRPr="004D2962" w:rsidRDefault="004D2962" w:rsidP="004D2962">
      <w:pPr>
        <w:pStyle w:val="FootnoteText"/>
        <w:spacing w:after="0"/>
      </w:pPr>
      <w:r>
        <w:rPr>
          <w:rStyle w:val="FootnoteReference"/>
        </w:rPr>
        <w:footnoteRef/>
      </w:r>
      <w:r>
        <w:tab/>
      </w:r>
      <w:hyperlink r:id="rId14" w:history="1">
        <w:r>
          <w:rPr>
            <w:rStyle w:val="Hyperlink"/>
          </w:rPr>
          <w:t>https://www.eib.org/en/press/all/2022-346-just-transition-eib-to-provide-up-to-eur10-billion-in-support-of-regions-most-affected-by-the-shift-away-from-fossil-fuels</w:t>
        </w:r>
      </w:hyperlink>
    </w:p>
  </w:footnote>
  <w:footnote w:id="20">
    <w:p w14:paraId="17F3FBDB" w14:textId="3B04FD21" w:rsidR="004D2962" w:rsidRPr="00FA5512" w:rsidRDefault="004D2962" w:rsidP="004D2962">
      <w:pPr>
        <w:pStyle w:val="FootnoteText"/>
        <w:spacing w:after="0"/>
      </w:pPr>
      <w:r>
        <w:rPr>
          <w:rStyle w:val="FootnoteReference"/>
        </w:rPr>
        <w:footnoteRef/>
      </w:r>
      <w:r>
        <w:tab/>
      </w:r>
      <w:hyperlink r:id="rId15" w:history="1">
        <w:r>
          <w:rPr>
            <w:rStyle w:val="Hyperlink"/>
          </w:rPr>
          <w:t>https://ec.europa.eu/regional_policy/en/newsroom/news/2022/07/19-07-2022-commission-publishes-the-first-call-for-proposals-for-a-public-sector-loan-facility</w:t>
        </w:r>
      </w:hyperlink>
    </w:p>
  </w:footnote>
  <w:footnote w:id="21">
    <w:p w14:paraId="066B69CC" w14:textId="0E2A2992" w:rsidR="004D2962" w:rsidRPr="00FA5512" w:rsidRDefault="004D2962" w:rsidP="004D2962">
      <w:pPr>
        <w:pStyle w:val="FootnoteText"/>
        <w:spacing w:after="0"/>
      </w:pPr>
      <w:r>
        <w:rPr>
          <w:rStyle w:val="FootnoteReference"/>
        </w:rPr>
        <w:footnoteRef/>
      </w:r>
      <w:r>
        <w:tab/>
      </w:r>
      <w:hyperlink r:id="rId16" w:history="1">
        <w:r>
          <w:rPr>
            <w:rStyle w:val="Hyperlink"/>
          </w:rPr>
          <w:t>https://cinea.ec.europa.eu/news-events/news/just-transition-mechanism-european-commission-publishes-first-calls-proposals-public-sector-loan-2022-07-19_en</w:t>
        </w:r>
      </w:hyperlink>
    </w:p>
  </w:footnote>
  <w:footnote w:id="22">
    <w:p w14:paraId="61D0AEE3" w14:textId="5FB7EB1C" w:rsidR="004D2962" w:rsidRPr="00FA5512" w:rsidRDefault="004D2962" w:rsidP="004D2962">
      <w:pPr>
        <w:pStyle w:val="FootnoteText"/>
        <w:spacing w:after="0"/>
      </w:pPr>
      <w:r>
        <w:rPr>
          <w:rStyle w:val="FootnoteReference"/>
        </w:rPr>
        <w:footnoteRef/>
      </w:r>
      <w:r>
        <w:tab/>
      </w:r>
      <w:hyperlink r:id="rId17" w:history="1">
        <w:r>
          <w:rPr>
            <w:rStyle w:val="Hyperlink"/>
          </w:rPr>
          <w:t>https://ec.europa.eu/commission/presscorner/detail/en/mex_22_4612</w:t>
        </w:r>
      </w:hyperlink>
    </w:p>
  </w:footnote>
  <w:footnote w:id="23">
    <w:p w14:paraId="10FD4745" w14:textId="4CE4A797" w:rsidR="00FA5512" w:rsidRPr="00FA5512" w:rsidRDefault="00FA5512" w:rsidP="00FA5512">
      <w:pPr>
        <w:pStyle w:val="FootnoteText"/>
        <w:spacing w:after="0"/>
      </w:pPr>
      <w:r>
        <w:rPr>
          <w:rStyle w:val="FootnoteReference"/>
        </w:rPr>
        <w:footnoteRef/>
      </w:r>
      <w:r>
        <w:tab/>
      </w:r>
      <w:hyperlink r:id="rId18" w:history="1">
        <w:r>
          <w:rPr>
            <w:rStyle w:val="Hyperlink"/>
          </w:rPr>
          <w:t>https://ec.europa.eu/commission/presscorner/detail/en/SPEECH_22_4621</w:t>
        </w:r>
      </w:hyperlink>
      <w:r>
        <w:t xml:space="preserve"> -</w:t>
      </w:r>
      <w:r>
        <w:tab/>
        <w:t xml:space="preserve"> </w:t>
      </w:r>
      <w:hyperlink r:id="rId19" w:history="1">
        <w:r>
          <w:rPr>
            <w:rStyle w:val="Hyperlink"/>
          </w:rPr>
          <w:t>https://audiovisual.ec.europa.eu/en/video/I-228334?lg=EN</w:t>
        </w:r>
      </w:hyperlink>
    </w:p>
  </w:footnote>
  <w:footnote w:id="24">
    <w:p w14:paraId="4751E38A" w14:textId="451E365E" w:rsidR="00FA5512" w:rsidRPr="00C43247" w:rsidRDefault="00FA5512" w:rsidP="00FA5512">
      <w:pPr>
        <w:pStyle w:val="FootnoteText"/>
        <w:spacing w:after="0"/>
      </w:pPr>
      <w:r>
        <w:rPr>
          <w:rStyle w:val="FootnoteReference"/>
        </w:rPr>
        <w:footnoteRef/>
      </w:r>
      <w:r>
        <w:tab/>
      </w:r>
      <w:hyperlink r:id="rId20" w:history="1">
        <w:r>
          <w:rPr>
            <w:rStyle w:val="Hyperlink"/>
          </w:rPr>
          <w:t>https://drive.google.com/file/d/1TR4M9jojHWmfw4BLIeTEqfEXAg46cmmP/view?usp=sharing</w:t>
        </w:r>
      </w:hyperlink>
    </w:p>
  </w:footnote>
  <w:footnote w:id="25">
    <w:p w14:paraId="43AC283D" w14:textId="316535DB" w:rsidR="002B511B" w:rsidRPr="00B96E8B" w:rsidRDefault="002B511B" w:rsidP="00A458B5">
      <w:pPr>
        <w:pStyle w:val="FootnoteText"/>
        <w:spacing w:after="0"/>
      </w:pPr>
      <w:r>
        <w:rPr>
          <w:rStyle w:val="FootnoteReference"/>
        </w:rPr>
        <w:footnoteRef/>
      </w:r>
      <w:r>
        <w:tab/>
      </w:r>
      <w:hyperlink r:id="rId21" w:history="1">
        <w:r>
          <w:rPr>
            <w:rStyle w:val="Hyperlink"/>
          </w:rPr>
          <w:t>Platforma za pravični prehod – regionalna politika – Evropska komisija (europa.eu)</w:t>
        </w:r>
      </w:hyperlink>
      <w:r>
        <w:t>.</w:t>
      </w:r>
    </w:p>
  </w:footnote>
  <w:footnote w:id="26">
    <w:p w14:paraId="25FFC8A5" w14:textId="761AA3FB" w:rsidR="002B511B" w:rsidRPr="00B96E8B" w:rsidRDefault="002B511B" w:rsidP="00A458B5">
      <w:pPr>
        <w:pStyle w:val="FootnoteText"/>
        <w:spacing w:after="0"/>
      </w:pPr>
      <w:r>
        <w:rPr>
          <w:rStyle w:val="FootnoteReference"/>
        </w:rPr>
        <w:footnoteRef/>
      </w:r>
      <w:r>
        <w:tab/>
      </w:r>
      <w:hyperlink r:id="rId22" w:history="1">
        <w:r>
          <w:rPr>
            <w:rStyle w:val="Hyperlink"/>
          </w:rPr>
          <w:t>Informativni dan o razpisu za zbiranje predlogov za instrument za posojila v javnem sektorju v okviru mehanizma za pravični prehod 2022 – Storitev pretakanja Evropske komisije (europa.eu)</w:t>
        </w:r>
      </w:hyperlink>
      <w:r>
        <w:t>.</w:t>
      </w:r>
    </w:p>
  </w:footnote>
  <w:footnote w:id="27">
    <w:p w14:paraId="38333B08" w14:textId="65691AE8" w:rsidR="00FC5B7A" w:rsidRPr="00B96E8B" w:rsidRDefault="00FC5B7A" w:rsidP="00A458B5">
      <w:pPr>
        <w:pStyle w:val="FootnoteText"/>
        <w:spacing w:after="0"/>
        <w:rPr>
          <w:rStyle w:val="Hyperlink"/>
        </w:rPr>
      </w:pPr>
      <w:r>
        <w:rPr>
          <w:rStyle w:val="FootnoteReference"/>
        </w:rPr>
        <w:footnoteRef/>
      </w:r>
      <w:r>
        <w:tab/>
      </w:r>
      <w:hyperlink r:id="rId23" w:history="1">
        <w:r>
          <w:rPr>
            <w:rStyle w:val="Hyperlink"/>
          </w:rPr>
          <w:t>EUSEW:</w:t>
        </w:r>
      </w:hyperlink>
      <w:hyperlink r:id="rId24" w:history="1">
        <w:r>
          <w:rPr>
            <w:rStyle w:val="Hyperlink"/>
          </w:rPr>
          <w:t>Kako se lahko uporablja instrument za posojila v javnem sektorju v okviru mehanizma za pravični prehod (europa.eu)</w:t>
        </w:r>
      </w:hyperlink>
      <w:r>
        <w:t>.</w:t>
      </w:r>
    </w:p>
  </w:footnote>
  <w:footnote w:id="28">
    <w:p w14:paraId="707EE03B" w14:textId="57CDE6FA" w:rsidR="00B96E8B" w:rsidRPr="00F53BF1" w:rsidRDefault="00B96E8B" w:rsidP="00A458B5">
      <w:pPr>
        <w:pStyle w:val="FootnoteText"/>
        <w:spacing w:after="0"/>
      </w:pPr>
      <w:r>
        <w:rPr>
          <w:rStyle w:val="FootnoteReference"/>
        </w:rPr>
        <w:footnoteRef/>
      </w:r>
      <w:r>
        <w:tab/>
      </w:r>
      <w:hyperlink r:id="rId25" w:history="1">
        <w:r>
          <w:rPr>
            <w:rStyle w:val="Hyperlink"/>
          </w:rPr>
          <w:t>EWRC:</w:t>
        </w:r>
      </w:hyperlink>
      <w:hyperlink r:id="rId26" w:history="1">
        <w:r>
          <w:rPr>
            <w:rStyle w:val="Hyperlink"/>
          </w:rPr>
          <w:t>Kako se lahko uporablja instrument za posojila v javnem sektorju v okviru mehanizma za pravični prehod</w:t>
        </w:r>
      </w:hyperlink>
      <w:r>
        <w:t>.</w:t>
      </w:r>
    </w:p>
  </w:footnote>
  <w:footnote w:id="29">
    <w:p w14:paraId="4C37A7FE" w14:textId="77D0D270" w:rsidR="002730CC" w:rsidRPr="00B96E8B" w:rsidRDefault="002730CC" w:rsidP="00A458B5">
      <w:pPr>
        <w:pStyle w:val="FootnoteText"/>
        <w:spacing w:after="0"/>
      </w:pPr>
      <w:r>
        <w:rPr>
          <w:rStyle w:val="FootnoteReference"/>
        </w:rPr>
        <w:footnoteRef/>
      </w:r>
      <w:r>
        <w:tab/>
      </w:r>
      <w:hyperlink r:id="rId27" w:history="1">
        <w:r>
          <w:rPr>
            <w:rStyle w:val="Hyperlink"/>
          </w:rPr>
          <w:t>Ecomondo dogodek za ekološki prehod – Ecomondo 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5F91" w14:textId="77777777" w:rsidR="00886DBD" w:rsidRPr="00886DBD" w:rsidRDefault="00886DBD" w:rsidP="00886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DCAA" w14:textId="77777777" w:rsidR="00886DBD" w:rsidRPr="00886DBD" w:rsidRDefault="00886DBD" w:rsidP="00886DB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7679A" w14:textId="77777777" w:rsidR="00886DBD" w:rsidRPr="00886DBD" w:rsidRDefault="00886DBD" w:rsidP="00886DB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88DB" w14:textId="77777777" w:rsidR="00FF7AC2" w:rsidRDefault="00FF7A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EE15" w14:textId="77777777" w:rsidR="00FF7AC2" w:rsidRDefault="00FF7A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1E75E" w14:textId="77777777" w:rsidR="00FF7AC2" w:rsidRPr="00250EC3" w:rsidRDefault="00FF7AC2" w:rsidP="00250EC3">
    <w:pPr>
      <w:pStyle w:val="Header"/>
      <w:jc w:val="right"/>
      <w:rPr>
        <w:b/>
        <w:i/>
        <w:sz w:val="16"/>
        <w:szCs w:val="16"/>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71A6"/>
    <w:multiLevelType w:val="hybridMultilevel"/>
    <w:tmpl w:val="880E10EE"/>
    <w:lvl w:ilvl="0" w:tplc="127EE41C">
      <w:start w:val="1"/>
      <w:numFmt w:val="lowerRoman"/>
      <w:lvlText w:val="(%1)"/>
      <w:lvlJc w:val="left"/>
      <w:pPr>
        <w:ind w:left="1797" w:hanging="72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 w15:restartNumberingAfterBreak="0">
    <w:nsid w:val="06855B1B"/>
    <w:multiLevelType w:val="hybridMultilevel"/>
    <w:tmpl w:val="F17CC31C"/>
    <w:lvl w:ilvl="0" w:tplc="B18E45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04984"/>
    <w:multiLevelType w:val="hybridMultilevel"/>
    <w:tmpl w:val="14FC5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2900F7"/>
    <w:multiLevelType w:val="multilevel"/>
    <w:tmpl w:val="6144FBFE"/>
    <w:name w:val="ListDash4Numbering"/>
    <w:lvl w:ilvl="0">
      <w:start w:val="1"/>
      <w:numFmt w:val="bullet"/>
      <w:pStyle w:val="ListDash4"/>
      <w:lvlText w:val="–"/>
      <w:lvlJc w:val="left"/>
      <w:pPr>
        <w:tabs>
          <w:tab w:val="num" w:pos="2803"/>
        </w:tabs>
        <w:ind w:left="2803" w:hanging="283"/>
      </w:pPr>
      <w:rPr>
        <w:rFonts w:ascii="Times New Roman" w:hAnsi="Times New Roman"/>
      </w:rPr>
    </w:lvl>
    <w:lvl w:ilvl="1">
      <w:start w:val="1"/>
      <w:numFmt w:val="bullet"/>
      <w:pStyle w:val="ListDash4Level2"/>
      <w:lvlText w:val="–"/>
      <w:lvlJc w:val="left"/>
      <w:pPr>
        <w:tabs>
          <w:tab w:val="num" w:pos="3087"/>
        </w:tabs>
        <w:ind w:left="3087" w:hanging="284"/>
      </w:pPr>
      <w:rPr>
        <w:rFonts w:ascii="Times New Roman" w:hAnsi="Times New Roman"/>
      </w:rPr>
    </w:lvl>
    <w:lvl w:ilvl="2">
      <w:start w:val="1"/>
      <w:numFmt w:val="bullet"/>
      <w:pStyle w:val="ListDash4Level3"/>
      <w:lvlText w:val="–"/>
      <w:lvlJc w:val="left"/>
      <w:pPr>
        <w:tabs>
          <w:tab w:val="num" w:pos="3370"/>
        </w:tabs>
        <w:ind w:left="3370" w:hanging="283"/>
      </w:pPr>
      <w:rPr>
        <w:rFonts w:ascii="Times New Roman" w:hAnsi="Times New Roman"/>
      </w:rPr>
    </w:lvl>
    <w:lvl w:ilvl="3">
      <w:start w:val="1"/>
      <w:numFmt w:val="bullet"/>
      <w:pStyle w:val="ListDash4Level4"/>
      <w:lvlText w:val="–"/>
      <w:lvlJc w:val="left"/>
      <w:pPr>
        <w:tabs>
          <w:tab w:val="num" w:pos="3654"/>
        </w:tabs>
        <w:ind w:left="365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FC64A16"/>
    <w:multiLevelType w:val="hybridMultilevel"/>
    <w:tmpl w:val="D5B060D2"/>
    <w:lvl w:ilvl="0" w:tplc="9BC68706">
      <w:start w:val="3"/>
      <w:numFmt w:val="bullet"/>
      <w:lvlText w:val="-"/>
      <w:lvlJc w:val="left"/>
      <w:pPr>
        <w:ind w:left="720" w:hanging="360"/>
      </w:pPr>
      <w:rPr>
        <w:rFonts w:ascii="Times New Roman" w:eastAsia="Calibri" w:hAnsi="Times New Roman" w:cs="Times New Roman"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B724912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DA3CF00C"/>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479218B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5534AB6"/>
    <w:multiLevelType w:val="hybridMultilevel"/>
    <w:tmpl w:val="D1A64814"/>
    <w:lvl w:ilvl="0" w:tplc="B19C2E1A">
      <w:start w:val="1"/>
      <w:numFmt w:val="bullet"/>
      <w:lvlText w:val="•"/>
      <w:lvlJc w:val="left"/>
      <w:pPr>
        <w:tabs>
          <w:tab w:val="num" w:pos="720"/>
        </w:tabs>
        <w:ind w:left="720" w:hanging="360"/>
      </w:pPr>
      <w:rPr>
        <w:rFonts w:ascii="Arial" w:hAnsi="Arial" w:hint="default"/>
      </w:rPr>
    </w:lvl>
    <w:lvl w:ilvl="1" w:tplc="173A62D8">
      <w:start w:val="1"/>
      <w:numFmt w:val="bullet"/>
      <w:lvlText w:val="•"/>
      <w:lvlJc w:val="left"/>
      <w:pPr>
        <w:tabs>
          <w:tab w:val="num" w:pos="1440"/>
        </w:tabs>
        <w:ind w:left="1440" w:hanging="360"/>
      </w:pPr>
      <w:rPr>
        <w:rFonts w:ascii="Arial" w:hAnsi="Arial" w:hint="default"/>
      </w:rPr>
    </w:lvl>
    <w:lvl w:ilvl="2" w:tplc="6FD263C8" w:tentative="1">
      <w:start w:val="1"/>
      <w:numFmt w:val="bullet"/>
      <w:lvlText w:val="•"/>
      <w:lvlJc w:val="left"/>
      <w:pPr>
        <w:tabs>
          <w:tab w:val="num" w:pos="2160"/>
        </w:tabs>
        <w:ind w:left="2160" w:hanging="360"/>
      </w:pPr>
      <w:rPr>
        <w:rFonts w:ascii="Arial" w:hAnsi="Arial" w:hint="default"/>
      </w:rPr>
    </w:lvl>
    <w:lvl w:ilvl="3" w:tplc="602E503E" w:tentative="1">
      <w:start w:val="1"/>
      <w:numFmt w:val="bullet"/>
      <w:lvlText w:val="•"/>
      <w:lvlJc w:val="left"/>
      <w:pPr>
        <w:tabs>
          <w:tab w:val="num" w:pos="2880"/>
        </w:tabs>
        <w:ind w:left="2880" w:hanging="360"/>
      </w:pPr>
      <w:rPr>
        <w:rFonts w:ascii="Arial" w:hAnsi="Arial" w:hint="default"/>
      </w:rPr>
    </w:lvl>
    <w:lvl w:ilvl="4" w:tplc="A968812A" w:tentative="1">
      <w:start w:val="1"/>
      <w:numFmt w:val="bullet"/>
      <w:lvlText w:val="•"/>
      <w:lvlJc w:val="left"/>
      <w:pPr>
        <w:tabs>
          <w:tab w:val="num" w:pos="3600"/>
        </w:tabs>
        <w:ind w:left="3600" w:hanging="360"/>
      </w:pPr>
      <w:rPr>
        <w:rFonts w:ascii="Arial" w:hAnsi="Arial" w:hint="default"/>
      </w:rPr>
    </w:lvl>
    <w:lvl w:ilvl="5" w:tplc="C3FAF6EA" w:tentative="1">
      <w:start w:val="1"/>
      <w:numFmt w:val="bullet"/>
      <w:lvlText w:val="•"/>
      <w:lvlJc w:val="left"/>
      <w:pPr>
        <w:tabs>
          <w:tab w:val="num" w:pos="4320"/>
        </w:tabs>
        <w:ind w:left="4320" w:hanging="360"/>
      </w:pPr>
      <w:rPr>
        <w:rFonts w:ascii="Arial" w:hAnsi="Arial" w:hint="default"/>
      </w:rPr>
    </w:lvl>
    <w:lvl w:ilvl="6" w:tplc="FBCAF642" w:tentative="1">
      <w:start w:val="1"/>
      <w:numFmt w:val="bullet"/>
      <w:lvlText w:val="•"/>
      <w:lvlJc w:val="left"/>
      <w:pPr>
        <w:tabs>
          <w:tab w:val="num" w:pos="5040"/>
        </w:tabs>
        <w:ind w:left="5040" w:hanging="360"/>
      </w:pPr>
      <w:rPr>
        <w:rFonts w:ascii="Arial" w:hAnsi="Arial" w:hint="default"/>
      </w:rPr>
    </w:lvl>
    <w:lvl w:ilvl="7" w:tplc="072A5672" w:tentative="1">
      <w:start w:val="1"/>
      <w:numFmt w:val="bullet"/>
      <w:lvlText w:val="•"/>
      <w:lvlJc w:val="left"/>
      <w:pPr>
        <w:tabs>
          <w:tab w:val="num" w:pos="5760"/>
        </w:tabs>
        <w:ind w:left="5760" w:hanging="360"/>
      </w:pPr>
      <w:rPr>
        <w:rFonts w:ascii="Arial" w:hAnsi="Arial" w:hint="default"/>
      </w:rPr>
    </w:lvl>
    <w:lvl w:ilvl="8" w:tplc="CA20DA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2F0AC5"/>
    <w:multiLevelType w:val="multilevel"/>
    <w:tmpl w:val="DC1CAC3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FD24D0E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E5317F9"/>
    <w:multiLevelType w:val="hybridMultilevel"/>
    <w:tmpl w:val="7F369FA2"/>
    <w:lvl w:ilvl="0" w:tplc="080C000F">
      <w:start w:val="1"/>
      <w:numFmt w:val="decimal"/>
      <w:lvlText w:val="%1."/>
      <w:lvlJc w:val="left"/>
      <w:pPr>
        <w:ind w:left="770" w:hanging="360"/>
      </w:pPr>
    </w:lvl>
    <w:lvl w:ilvl="1" w:tplc="080C0019">
      <w:start w:val="1"/>
      <w:numFmt w:val="lowerLetter"/>
      <w:lvlText w:val="%2."/>
      <w:lvlJc w:val="left"/>
      <w:pPr>
        <w:ind w:left="1490" w:hanging="360"/>
      </w:pPr>
    </w:lvl>
    <w:lvl w:ilvl="2" w:tplc="080C001B">
      <w:start w:val="1"/>
      <w:numFmt w:val="lowerRoman"/>
      <w:lvlText w:val="%3."/>
      <w:lvlJc w:val="right"/>
      <w:pPr>
        <w:ind w:left="2210" w:hanging="180"/>
      </w:pPr>
    </w:lvl>
    <w:lvl w:ilvl="3" w:tplc="080C000F">
      <w:start w:val="1"/>
      <w:numFmt w:val="decimal"/>
      <w:lvlText w:val="%4."/>
      <w:lvlJc w:val="left"/>
      <w:pPr>
        <w:ind w:left="2930" w:hanging="360"/>
      </w:pPr>
    </w:lvl>
    <w:lvl w:ilvl="4" w:tplc="080C0019">
      <w:start w:val="1"/>
      <w:numFmt w:val="lowerLetter"/>
      <w:lvlText w:val="%5."/>
      <w:lvlJc w:val="left"/>
      <w:pPr>
        <w:ind w:left="3650" w:hanging="360"/>
      </w:pPr>
    </w:lvl>
    <w:lvl w:ilvl="5" w:tplc="080C001B">
      <w:start w:val="1"/>
      <w:numFmt w:val="lowerRoman"/>
      <w:lvlText w:val="%6."/>
      <w:lvlJc w:val="right"/>
      <w:pPr>
        <w:ind w:left="4370" w:hanging="180"/>
      </w:pPr>
    </w:lvl>
    <w:lvl w:ilvl="6" w:tplc="080C000F">
      <w:start w:val="1"/>
      <w:numFmt w:val="decimal"/>
      <w:lvlText w:val="%7."/>
      <w:lvlJc w:val="left"/>
      <w:pPr>
        <w:ind w:left="5090" w:hanging="360"/>
      </w:pPr>
    </w:lvl>
    <w:lvl w:ilvl="7" w:tplc="080C0019">
      <w:start w:val="1"/>
      <w:numFmt w:val="lowerLetter"/>
      <w:lvlText w:val="%8."/>
      <w:lvlJc w:val="left"/>
      <w:pPr>
        <w:ind w:left="5810" w:hanging="360"/>
      </w:pPr>
    </w:lvl>
    <w:lvl w:ilvl="8" w:tplc="080C001B">
      <w:start w:val="1"/>
      <w:numFmt w:val="lowerRoman"/>
      <w:lvlText w:val="%9."/>
      <w:lvlJc w:val="right"/>
      <w:pPr>
        <w:ind w:left="6530" w:hanging="180"/>
      </w:pPr>
    </w:lvl>
  </w:abstractNum>
  <w:abstractNum w:abstractNumId="12" w15:restartNumberingAfterBreak="0">
    <w:nsid w:val="20CC70FD"/>
    <w:multiLevelType w:val="hybridMultilevel"/>
    <w:tmpl w:val="5CE0818E"/>
    <w:lvl w:ilvl="0" w:tplc="940E4AD0">
      <w:start w:val="1"/>
      <w:numFmt w:val="lowerRoman"/>
      <w:lvlText w:val="(%1)"/>
      <w:lvlJc w:val="left"/>
      <w:pPr>
        <w:ind w:left="2642" w:hanging="720"/>
      </w:pPr>
      <w:rPr>
        <w:rFonts w:hint="default"/>
        <w:i w:val="0"/>
      </w:rPr>
    </w:lvl>
    <w:lvl w:ilvl="1" w:tplc="04090019" w:tentative="1">
      <w:start w:val="1"/>
      <w:numFmt w:val="lowerLetter"/>
      <w:lvlText w:val="%2."/>
      <w:lvlJc w:val="left"/>
      <w:pPr>
        <w:ind w:left="3002" w:hanging="360"/>
      </w:pPr>
    </w:lvl>
    <w:lvl w:ilvl="2" w:tplc="0409001B" w:tentative="1">
      <w:start w:val="1"/>
      <w:numFmt w:val="lowerRoman"/>
      <w:lvlText w:val="%3."/>
      <w:lvlJc w:val="right"/>
      <w:pPr>
        <w:ind w:left="3722" w:hanging="180"/>
      </w:pPr>
    </w:lvl>
    <w:lvl w:ilvl="3" w:tplc="0409000F" w:tentative="1">
      <w:start w:val="1"/>
      <w:numFmt w:val="decimal"/>
      <w:lvlText w:val="%4."/>
      <w:lvlJc w:val="left"/>
      <w:pPr>
        <w:ind w:left="4442" w:hanging="360"/>
      </w:pPr>
    </w:lvl>
    <w:lvl w:ilvl="4" w:tplc="04090019" w:tentative="1">
      <w:start w:val="1"/>
      <w:numFmt w:val="lowerLetter"/>
      <w:lvlText w:val="%5."/>
      <w:lvlJc w:val="left"/>
      <w:pPr>
        <w:ind w:left="5162" w:hanging="360"/>
      </w:pPr>
    </w:lvl>
    <w:lvl w:ilvl="5" w:tplc="0409001B" w:tentative="1">
      <w:start w:val="1"/>
      <w:numFmt w:val="lowerRoman"/>
      <w:lvlText w:val="%6."/>
      <w:lvlJc w:val="right"/>
      <w:pPr>
        <w:ind w:left="5882" w:hanging="180"/>
      </w:pPr>
    </w:lvl>
    <w:lvl w:ilvl="6" w:tplc="0409000F" w:tentative="1">
      <w:start w:val="1"/>
      <w:numFmt w:val="decimal"/>
      <w:lvlText w:val="%7."/>
      <w:lvlJc w:val="left"/>
      <w:pPr>
        <w:ind w:left="6602" w:hanging="360"/>
      </w:pPr>
    </w:lvl>
    <w:lvl w:ilvl="7" w:tplc="04090019" w:tentative="1">
      <w:start w:val="1"/>
      <w:numFmt w:val="lowerLetter"/>
      <w:lvlText w:val="%8."/>
      <w:lvlJc w:val="left"/>
      <w:pPr>
        <w:ind w:left="7322" w:hanging="360"/>
      </w:pPr>
    </w:lvl>
    <w:lvl w:ilvl="8" w:tplc="0409001B" w:tentative="1">
      <w:start w:val="1"/>
      <w:numFmt w:val="lowerRoman"/>
      <w:lvlText w:val="%9."/>
      <w:lvlJc w:val="right"/>
      <w:pPr>
        <w:ind w:left="8042" w:hanging="180"/>
      </w:pPr>
    </w:lvl>
  </w:abstractNum>
  <w:abstractNum w:abstractNumId="13"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C569EA"/>
    <w:multiLevelType w:val="hybridMultilevel"/>
    <w:tmpl w:val="AB94D47E"/>
    <w:lvl w:ilvl="0" w:tplc="42785C8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C669E"/>
    <w:multiLevelType w:val="hybridMultilevel"/>
    <w:tmpl w:val="D090A2D2"/>
    <w:lvl w:ilvl="0" w:tplc="91946644">
      <w:numFmt w:val="bullet"/>
      <w:lvlText w:val="-"/>
      <w:lvlJc w:val="left"/>
      <w:pPr>
        <w:ind w:left="1437" w:hanging="360"/>
      </w:pPr>
      <w:rPr>
        <w:rFonts w:ascii="Times New Roman" w:eastAsia="Times New Roman" w:hAnsi="Times New Roman" w:cs="Times New Roman" w:hint="default"/>
      </w:rPr>
    </w:lvl>
    <w:lvl w:ilvl="1" w:tplc="04090003">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6" w15:restartNumberingAfterBreak="0">
    <w:nsid w:val="2A6D5BFD"/>
    <w:multiLevelType w:val="hybridMultilevel"/>
    <w:tmpl w:val="9C84EF98"/>
    <w:lvl w:ilvl="0" w:tplc="46CC6EDA">
      <w:start w:val="1"/>
      <w:numFmt w:val="bullet"/>
      <w:lvlText w:val="•"/>
      <w:lvlJc w:val="left"/>
      <w:pPr>
        <w:tabs>
          <w:tab w:val="num" w:pos="720"/>
        </w:tabs>
        <w:ind w:left="720" w:hanging="360"/>
      </w:pPr>
      <w:rPr>
        <w:rFonts w:ascii="Arial" w:hAnsi="Arial" w:hint="default"/>
      </w:rPr>
    </w:lvl>
    <w:lvl w:ilvl="1" w:tplc="06DC8846">
      <w:start w:val="1"/>
      <w:numFmt w:val="bullet"/>
      <w:lvlText w:val="•"/>
      <w:lvlJc w:val="left"/>
      <w:pPr>
        <w:tabs>
          <w:tab w:val="num" w:pos="1440"/>
        </w:tabs>
        <w:ind w:left="1440" w:hanging="360"/>
      </w:pPr>
      <w:rPr>
        <w:rFonts w:ascii="Arial" w:hAnsi="Arial" w:hint="default"/>
      </w:rPr>
    </w:lvl>
    <w:lvl w:ilvl="2" w:tplc="5F4200F2" w:tentative="1">
      <w:start w:val="1"/>
      <w:numFmt w:val="bullet"/>
      <w:lvlText w:val="•"/>
      <w:lvlJc w:val="left"/>
      <w:pPr>
        <w:tabs>
          <w:tab w:val="num" w:pos="2160"/>
        </w:tabs>
        <w:ind w:left="2160" w:hanging="360"/>
      </w:pPr>
      <w:rPr>
        <w:rFonts w:ascii="Arial" w:hAnsi="Arial" w:hint="default"/>
      </w:rPr>
    </w:lvl>
    <w:lvl w:ilvl="3" w:tplc="A71C6F5A" w:tentative="1">
      <w:start w:val="1"/>
      <w:numFmt w:val="bullet"/>
      <w:lvlText w:val="•"/>
      <w:lvlJc w:val="left"/>
      <w:pPr>
        <w:tabs>
          <w:tab w:val="num" w:pos="2880"/>
        </w:tabs>
        <w:ind w:left="2880" w:hanging="360"/>
      </w:pPr>
      <w:rPr>
        <w:rFonts w:ascii="Arial" w:hAnsi="Arial" w:hint="default"/>
      </w:rPr>
    </w:lvl>
    <w:lvl w:ilvl="4" w:tplc="3D263D86" w:tentative="1">
      <w:start w:val="1"/>
      <w:numFmt w:val="bullet"/>
      <w:lvlText w:val="•"/>
      <w:lvlJc w:val="left"/>
      <w:pPr>
        <w:tabs>
          <w:tab w:val="num" w:pos="3600"/>
        </w:tabs>
        <w:ind w:left="3600" w:hanging="360"/>
      </w:pPr>
      <w:rPr>
        <w:rFonts w:ascii="Arial" w:hAnsi="Arial" w:hint="default"/>
      </w:rPr>
    </w:lvl>
    <w:lvl w:ilvl="5" w:tplc="CE7AB740" w:tentative="1">
      <w:start w:val="1"/>
      <w:numFmt w:val="bullet"/>
      <w:lvlText w:val="•"/>
      <w:lvlJc w:val="left"/>
      <w:pPr>
        <w:tabs>
          <w:tab w:val="num" w:pos="4320"/>
        </w:tabs>
        <w:ind w:left="4320" w:hanging="360"/>
      </w:pPr>
      <w:rPr>
        <w:rFonts w:ascii="Arial" w:hAnsi="Arial" w:hint="default"/>
      </w:rPr>
    </w:lvl>
    <w:lvl w:ilvl="6" w:tplc="ACD867C0" w:tentative="1">
      <w:start w:val="1"/>
      <w:numFmt w:val="bullet"/>
      <w:lvlText w:val="•"/>
      <w:lvlJc w:val="left"/>
      <w:pPr>
        <w:tabs>
          <w:tab w:val="num" w:pos="5040"/>
        </w:tabs>
        <w:ind w:left="5040" w:hanging="360"/>
      </w:pPr>
      <w:rPr>
        <w:rFonts w:ascii="Arial" w:hAnsi="Arial" w:hint="default"/>
      </w:rPr>
    </w:lvl>
    <w:lvl w:ilvl="7" w:tplc="ADBA3C48" w:tentative="1">
      <w:start w:val="1"/>
      <w:numFmt w:val="bullet"/>
      <w:lvlText w:val="•"/>
      <w:lvlJc w:val="left"/>
      <w:pPr>
        <w:tabs>
          <w:tab w:val="num" w:pos="5760"/>
        </w:tabs>
        <w:ind w:left="5760" w:hanging="360"/>
      </w:pPr>
      <w:rPr>
        <w:rFonts w:ascii="Arial" w:hAnsi="Arial" w:hint="default"/>
      </w:rPr>
    </w:lvl>
    <w:lvl w:ilvl="8" w:tplc="2384ED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8DFDF8"/>
    <w:multiLevelType w:val="multilevel"/>
    <w:tmpl w:val="968AD7C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E3"/>
    <w:multiLevelType w:val="multilevel"/>
    <w:tmpl w:val="457E6C5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2D293CF4"/>
    <w:multiLevelType w:val="multilevel"/>
    <w:tmpl w:val="3A263FD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6324F1E"/>
    <w:multiLevelType w:val="multilevel"/>
    <w:tmpl w:val="9C22313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CB1E1C"/>
    <w:multiLevelType w:val="multilevel"/>
    <w:tmpl w:val="AFD4DA6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A7730C4"/>
    <w:multiLevelType w:val="multilevel"/>
    <w:tmpl w:val="7B144B28"/>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AFA36C5"/>
    <w:multiLevelType w:val="hybridMultilevel"/>
    <w:tmpl w:val="B6848262"/>
    <w:lvl w:ilvl="0" w:tplc="5E1607D2">
      <w:start w:val="1"/>
      <w:numFmt w:val="bullet"/>
      <w:lvlText w:val="•"/>
      <w:lvlJc w:val="left"/>
      <w:pPr>
        <w:tabs>
          <w:tab w:val="num" w:pos="720"/>
        </w:tabs>
        <w:ind w:left="720" w:hanging="360"/>
      </w:pPr>
      <w:rPr>
        <w:rFonts w:ascii="Arial" w:hAnsi="Arial" w:hint="default"/>
      </w:rPr>
    </w:lvl>
    <w:lvl w:ilvl="1" w:tplc="6A3E3D90">
      <w:start w:val="206"/>
      <w:numFmt w:val="bullet"/>
      <w:lvlText w:val="•"/>
      <w:lvlJc w:val="left"/>
      <w:pPr>
        <w:tabs>
          <w:tab w:val="num" w:pos="1440"/>
        </w:tabs>
        <w:ind w:left="1440" w:hanging="360"/>
      </w:pPr>
      <w:rPr>
        <w:rFonts w:ascii="Arial" w:hAnsi="Arial" w:hint="default"/>
      </w:rPr>
    </w:lvl>
    <w:lvl w:ilvl="2" w:tplc="24620B2A" w:tentative="1">
      <w:start w:val="1"/>
      <w:numFmt w:val="bullet"/>
      <w:lvlText w:val="•"/>
      <w:lvlJc w:val="left"/>
      <w:pPr>
        <w:tabs>
          <w:tab w:val="num" w:pos="2160"/>
        </w:tabs>
        <w:ind w:left="2160" w:hanging="360"/>
      </w:pPr>
      <w:rPr>
        <w:rFonts w:ascii="Arial" w:hAnsi="Arial" w:hint="default"/>
      </w:rPr>
    </w:lvl>
    <w:lvl w:ilvl="3" w:tplc="A17446A2" w:tentative="1">
      <w:start w:val="1"/>
      <w:numFmt w:val="bullet"/>
      <w:lvlText w:val="•"/>
      <w:lvlJc w:val="left"/>
      <w:pPr>
        <w:tabs>
          <w:tab w:val="num" w:pos="2880"/>
        </w:tabs>
        <w:ind w:left="2880" w:hanging="360"/>
      </w:pPr>
      <w:rPr>
        <w:rFonts w:ascii="Arial" w:hAnsi="Arial" w:hint="default"/>
      </w:rPr>
    </w:lvl>
    <w:lvl w:ilvl="4" w:tplc="1F8CB246" w:tentative="1">
      <w:start w:val="1"/>
      <w:numFmt w:val="bullet"/>
      <w:lvlText w:val="•"/>
      <w:lvlJc w:val="left"/>
      <w:pPr>
        <w:tabs>
          <w:tab w:val="num" w:pos="3600"/>
        </w:tabs>
        <w:ind w:left="3600" w:hanging="360"/>
      </w:pPr>
      <w:rPr>
        <w:rFonts w:ascii="Arial" w:hAnsi="Arial" w:hint="default"/>
      </w:rPr>
    </w:lvl>
    <w:lvl w:ilvl="5" w:tplc="AEE4ECC4" w:tentative="1">
      <w:start w:val="1"/>
      <w:numFmt w:val="bullet"/>
      <w:lvlText w:val="•"/>
      <w:lvlJc w:val="left"/>
      <w:pPr>
        <w:tabs>
          <w:tab w:val="num" w:pos="4320"/>
        </w:tabs>
        <w:ind w:left="4320" w:hanging="360"/>
      </w:pPr>
      <w:rPr>
        <w:rFonts w:ascii="Arial" w:hAnsi="Arial" w:hint="default"/>
      </w:rPr>
    </w:lvl>
    <w:lvl w:ilvl="6" w:tplc="AACE0DB6" w:tentative="1">
      <w:start w:val="1"/>
      <w:numFmt w:val="bullet"/>
      <w:lvlText w:val="•"/>
      <w:lvlJc w:val="left"/>
      <w:pPr>
        <w:tabs>
          <w:tab w:val="num" w:pos="5040"/>
        </w:tabs>
        <w:ind w:left="5040" w:hanging="360"/>
      </w:pPr>
      <w:rPr>
        <w:rFonts w:ascii="Arial" w:hAnsi="Arial" w:hint="default"/>
      </w:rPr>
    </w:lvl>
    <w:lvl w:ilvl="7" w:tplc="3F1699D8" w:tentative="1">
      <w:start w:val="1"/>
      <w:numFmt w:val="bullet"/>
      <w:lvlText w:val="•"/>
      <w:lvlJc w:val="left"/>
      <w:pPr>
        <w:tabs>
          <w:tab w:val="num" w:pos="5760"/>
        </w:tabs>
        <w:ind w:left="5760" w:hanging="360"/>
      </w:pPr>
      <w:rPr>
        <w:rFonts w:ascii="Arial" w:hAnsi="Arial" w:hint="default"/>
      </w:rPr>
    </w:lvl>
    <w:lvl w:ilvl="8" w:tplc="92986D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253774"/>
    <w:multiLevelType w:val="hybridMultilevel"/>
    <w:tmpl w:val="16BC8BAE"/>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BA5095"/>
    <w:multiLevelType w:val="hybridMultilevel"/>
    <w:tmpl w:val="AF3863A8"/>
    <w:lvl w:ilvl="0" w:tplc="1B7470E0">
      <w:start w:val="22"/>
      <w:numFmt w:val="bullet"/>
      <w:lvlText w:val="-"/>
      <w:lvlJc w:val="left"/>
      <w:pPr>
        <w:ind w:left="1437" w:hanging="360"/>
      </w:pPr>
      <w:rPr>
        <w:rFonts w:ascii="Times New Roman" w:eastAsia="Times New Roman" w:hAnsi="Times New Roman" w:cs="Times New Roman" w:hint="default"/>
      </w:rPr>
    </w:lvl>
    <w:lvl w:ilvl="1" w:tplc="04090003">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9E662A"/>
    <w:multiLevelType w:val="multilevel"/>
    <w:tmpl w:val="A2D091F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33E5EAE"/>
    <w:multiLevelType w:val="hybridMultilevel"/>
    <w:tmpl w:val="093EE258"/>
    <w:lvl w:ilvl="0" w:tplc="6200F4AC">
      <w:start w:val="3"/>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9" w15:restartNumberingAfterBreak="0">
    <w:nsid w:val="4E1A982C"/>
    <w:multiLevelType w:val="multilevel"/>
    <w:tmpl w:val="89AC250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072619B"/>
    <w:multiLevelType w:val="multilevel"/>
    <w:tmpl w:val="43BC04F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5CD636C3"/>
    <w:multiLevelType w:val="hybridMultilevel"/>
    <w:tmpl w:val="75802828"/>
    <w:lvl w:ilvl="0" w:tplc="9AAAE4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0557A8E"/>
    <w:multiLevelType w:val="hybridMultilevel"/>
    <w:tmpl w:val="06BA7EB6"/>
    <w:lvl w:ilvl="0" w:tplc="103ACC16">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FF3E1E"/>
    <w:multiLevelType w:val="hybridMultilevel"/>
    <w:tmpl w:val="3F587DF4"/>
    <w:lvl w:ilvl="0" w:tplc="32426604">
      <w:start w:val="8"/>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15:restartNumberingAfterBreak="0">
    <w:nsid w:val="625A67E7"/>
    <w:multiLevelType w:val="hybridMultilevel"/>
    <w:tmpl w:val="A35214CC"/>
    <w:lvl w:ilvl="0" w:tplc="685E8004">
      <w:start w:val="1"/>
      <w:numFmt w:val="lowerRoman"/>
      <w:lvlText w:val="(%1)"/>
      <w:lvlJc w:val="left"/>
      <w:pPr>
        <w:ind w:left="1797" w:hanging="720"/>
      </w:pPr>
      <w:rPr>
        <w:rFonts w:hint="default"/>
        <w:b/>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5" w15:restartNumberingAfterBreak="0">
    <w:nsid w:val="64DE6859"/>
    <w:multiLevelType w:val="hybridMultilevel"/>
    <w:tmpl w:val="4928FF8A"/>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88A34CD"/>
    <w:multiLevelType w:val="hybridMultilevel"/>
    <w:tmpl w:val="B88EC53C"/>
    <w:lvl w:ilvl="0" w:tplc="1936722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77472E"/>
    <w:multiLevelType w:val="multilevel"/>
    <w:tmpl w:val="873C8B6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9" w15:restartNumberingAfterBreak="0">
    <w:nsid w:val="6AF627CF"/>
    <w:multiLevelType w:val="hybridMultilevel"/>
    <w:tmpl w:val="AFFE4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22E0C13"/>
    <w:multiLevelType w:val="hybridMultilevel"/>
    <w:tmpl w:val="AC302B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C65145E"/>
    <w:multiLevelType w:val="multilevel"/>
    <w:tmpl w:val="C77C8B56"/>
    <w:name w:val="EurolookHeading"/>
    <w:lvl w:ilvl="0">
      <w:start w:val="1"/>
      <w:numFmt w:val="decimal"/>
      <w:lvlText w:val="%1."/>
      <w:lvlJc w:val="left"/>
      <w:pPr>
        <w:tabs>
          <w:tab w:val="num" w:pos="2750"/>
        </w:tabs>
        <w:ind w:left="2750" w:hanging="482"/>
      </w:pPr>
    </w:lvl>
    <w:lvl w:ilvl="1">
      <w:start w:val="1"/>
      <w:numFmt w:val="decimal"/>
      <w:lvlText w:val="%1.%2."/>
      <w:lvlJc w:val="left"/>
      <w:pPr>
        <w:tabs>
          <w:tab w:val="num" w:pos="3345"/>
        </w:tabs>
        <w:ind w:left="3345" w:hanging="595"/>
      </w:pPr>
      <w:rPr>
        <w:rFonts w:ascii="Times New Roman" w:hAnsi="Times New Roman" w:cs="Times New Roman" w:hint="default"/>
        <w:b/>
        <w:i w:val="0"/>
        <w:color w:val="auto"/>
        <w:lang w:val="en-US"/>
      </w:rPr>
    </w:lvl>
    <w:lvl w:ilvl="2">
      <w:start w:val="1"/>
      <w:numFmt w:val="decimal"/>
      <w:lvlText w:val="%1.%2.%3."/>
      <w:lvlJc w:val="left"/>
      <w:pPr>
        <w:tabs>
          <w:tab w:val="num" w:pos="4190"/>
        </w:tabs>
        <w:ind w:left="4190" w:hanging="845"/>
      </w:pPr>
      <w:rPr>
        <w:b/>
        <w:i w:val="0"/>
      </w:rPr>
    </w:lvl>
    <w:lvl w:ilvl="3">
      <w:start w:val="1"/>
      <w:numFmt w:val="decimal"/>
      <w:lvlText w:val="%1.%2.%3.%4."/>
      <w:lvlJc w:val="left"/>
      <w:pPr>
        <w:tabs>
          <w:tab w:val="num" w:pos="5148"/>
        </w:tabs>
        <w:ind w:left="5148" w:hanging="958"/>
      </w:pPr>
    </w:lvl>
    <w:lvl w:ilvl="4">
      <w:start w:val="1"/>
      <w:numFmt w:val="decimal"/>
      <w:lvlText w:val="%1.%2.%3.%4.%5."/>
      <w:lvlJc w:val="left"/>
      <w:pPr>
        <w:tabs>
          <w:tab w:val="num" w:pos="5148"/>
        </w:tabs>
        <w:ind w:left="6106" w:hanging="958"/>
      </w:pPr>
    </w:lvl>
    <w:lvl w:ilvl="5">
      <w:start w:val="1"/>
      <w:numFmt w:val="decimal"/>
      <w:lvlText w:val="%1.%2.%3.%4.%5.%6."/>
      <w:lvlJc w:val="left"/>
      <w:pPr>
        <w:tabs>
          <w:tab w:val="num" w:pos="5148"/>
        </w:tabs>
        <w:ind w:left="6106" w:hanging="958"/>
      </w:pPr>
    </w:lvl>
    <w:lvl w:ilvl="6">
      <w:start w:val="1"/>
      <w:numFmt w:val="decimal"/>
      <w:lvlText w:val="%1.%2.%3.%4.%5.%6.%7."/>
      <w:lvlJc w:val="left"/>
      <w:pPr>
        <w:tabs>
          <w:tab w:val="num" w:pos="5148"/>
        </w:tabs>
        <w:ind w:left="6106" w:hanging="958"/>
      </w:pPr>
    </w:lvl>
    <w:lvl w:ilvl="7">
      <w:start w:val="1"/>
      <w:numFmt w:val="decimal"/>
      <w:lvlText w:val="%1.%2.%3.%4.%5.%6.%7.%8."/>
      <w:lvlJc w:val="left"/>
      <w:pPr>
        <w:tabs>
          <w:tab w:val="num" w:pos="5148"/>
        </w:tabs>
        <w:ind w:left="6106" w:hanging="958"/>
      </w:pPr>
    </w:lvl>
    <w:lvl w:ilvl="8">
      <w:start w:val="1"/>
      <w:numFmt w:val="decimal"/>
      <w:lvlText w:val="%1.%2.%3.%4.%5.%6.%7.%8.%9."/>
      <w:lvlJc w:val="left"/>
      <w:pPr>
        <w:tabs>
          <w:tab w:val="num" w:pos="5148"/>
        </w:tabs>
        <w:ind w:left="6106" w:hanging="958"/>
      </w:pPr>
    </w:lvl>
  </w:abstractNum>
  <w:abstractNum w:abstractNumId="4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2"/>
  </w:num>
  <w:num w:numId="2">
    <w:abstractNumId w:val="19"/>
  </w:num>
  <w:num w:numId="3">
    <w:abstractNumId w:val="18"/>
  </w:num>
  <w:num w:numId="4">
    <w:abstractNumId w:val="41"/>
  </w:num>
  <w:num w:numId="5">
    <w:abstractNumId w:val="29"/>
  </w:num>
  <w:num w:numId="6">
    <w:abstractNumId w:val="22"/>
  </w:num>
  <w:num w:numId="7">
    <w:abstractNumId w:val="17"/>
  </w:num>
  <w:num w:numId="8">
    <w:abstractNumId w:val="7"/>
  </w:num>
  <w:num w:numId="9">
    <w:abstractNumId w:val="6"/>
  </w:num>
  <w:num w:numId="10">
    <w:abstractNumId w:val="5"/>
  </w:num>
  <w:num w:numId="11">
    <w:abstractNumId w:val="27"/>
  </w:num>
  <w:num w:numId="12">
    <w:abstractNumId w:val="9"/>
  </w:num>
  <w:num w:numId="13">
    <w:abstractNumId w:val="38"/>
  </w:num>
  <w:num w:numId="14">
    <w:abstractNumId w:val="30"/>
  </w:num>
  <w:num w:numId="15">
    <w:abstractNumId w:val="21"/>
  </w:num>
  <w:num w:numId="16">
    <w:abstractNumId w:val="10"/>
  </w:num>
  <w:num w:numId="17">
    <w:abstractNumId w:val="20"/>
  </w:num>
  <w:num w:numId="18">
    <w:abstractNumId w:val="3"/>
  </w:num>
  <w:num w:numId="19">
    <w:abstractNumId w:val="25"/>
  </w:num>
  <w:num w:numId="20">
    <w:abstractNumId w:val="26"/>
  </w:num>
  <w:num w:numId="21">
    <w:abstractNumId w:val="36"/>
  </w:num>
  <w:num w:numId="22">
    <w:abstractNumId w:val="16"/>
  </w:num>
  <w:num w:numId="23">
    <w:abstractNumId w:val="23"/>
  </w:num>
  <w:num w:numId="24">
    <w:abstractNumId w:val="34"/>
  </w:num>
  <w:num w:numId="25">
    <w:abstractNumId w:val="0"/>
  </w:num>
  <w:num w:numId="26">
    <w:abstractNumId w:val="37"/>
  </w:num>
  <w:num w:numId="27">
    <w:abstractNumId w:val="1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 w:numId="31">
    <w:abstractNumId w:val="40"/>
  </w:num>
  <w:num w:numId="32">
    <w:abstractNumId w:val="24"/>
  </w:num>
  <w:num w:numId="33">
    <w:abstractNumId w:val="4"/>
  </w:num>
  <w:num w:numId="34">
    <w:abstractNumId w:val="8"/>
  </w:num>
  <w:num w:numId="35">
    <w:abstractNumId w:val="39"/>
  </w:num>
  <w:num w:numId="36">
    <w:abstractNumId w:val="31"/>
  </w:num>
  <w:num w:numId="37">
    <w:abstractNumId w:val="35"/>
  </w:num>
  <w:num w:numId="38">
    <w:abstractNumId w:val="33"/>
  </w:num>
  <w:num w:numId="39">
    <w:abstractNumId w:val="28"/>
  </w:num>
  <w:num w:numId="40">
    <w:abstractNumId w:val="3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activeWritingStyle w:appName="MSWord" w:lang="es-ES"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5944EE8-D485-4049-A075-7D329D3765F0"/>
    <w:docVar w:name="LW_COVERPAGE_TYPE" w:val="1"/>
    <w:docVar w:name="LW_CROSSREFERENCE" w:val="&lt;UNUSED&gt;"/>
    <w:docVar w:name="LW_DocType" w:val="1A63FA88216A4FE584FF410AEB8E82F0"/>
    <w:docVar w:name="LW_EMISSION" w:val="7.2.2023"/>
    <w:docVar w:name="LW_EMISSION_ISODATE" w:val="2023-02-07"/>
    <w:docVar w:name="LW_EMISSION_LOCATION" w:val="BRX"/>
    <w:docVar w:name="LW_EMISSION_PREFIX" w:val="Bruselj, "/>
    <w:docVar w:name="LW_EMISSION_SUFFIX" w:val=" "/>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3) 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izvajanju instrumenta za posojila v javnem sektorju v okviru mehanizma za pravični prehod v letu 2022 iz člena 16 Uredbe (EU) 2021/1229"/>
    <w:docVar w:name="LW_TYPE.DOC.CP" w:val="POROČILO KOMISIJE EVROPSKEMU PARLAMENTU IN SVETU"/>
    <w:docVar w:name="LwApiVersions" w:val="LW4CoDe 1.23.2.0; LW 8.0, Build 20211117"/>
  </w:docVars>
  <w:rsids>
    <w:rsidRoot w:val="00D95E85"/>
    <w:rsid w:val="00000993"/>
    <w:rsid w:val="000010C0"/>
    <w:rsid w:val="0000136C"/>
    <w:rsid w:val="00003F47"/>
    <w:rsid w:val="00005189"/>
    <w:rsid w:val="000062D8"/>
    <w:rsid w:val="0000765B"/>
    <w:rsid w:val="00010053"/>
    <w:rsid w:val="00012EDA"/>
    <w:rsid w:val="0001463F"/>
    <w:rsid w:val="00014BB6"/>
    <w:rsid w:val="00014D63"/>
    <w:rsid w:val="000151E4"/>
    <w:rsid w:val="00017648"/>
    <w:rsid w:val="0002073F"/>
    <w:rsid w:val="00022772"/>
    <w:rsid w:val="0002667E"/>
    <w:rsid w:val="00027160"/>
    <w:rsid w:val="00030A79"/>
    <w:rsid w:val="00032652"/>
    <w:rsid w:val="000358C9"/>
    <w:rsid w:val="000362D9"/>
    <w:rsid w:val="00036A60"/>
    <w:rsid w:val="00041A3B"/>
    <w:rsid w:val="000460B2"/>
    <w:rsid w:val="0004674B"/>
    <w:rsid w:val="000505F4"/>
    <w:rsid w:val="00052088"/>
    <w:rsid w:val="000556F2"/>
    <w:rsid w:val="00055A29"/>
    <w:rsid w:val="000572A1"/>
    <w:rsid w:val="0005783D"/>
    <w:rsid w:val="000578B1"/>
    <w:rsid w:val="000620B0"/>
    <w:rsid w:val="000643B8"/>
    <w:rsid w:val="0007025E"/>
    <w:rsid w:val="0007187C"/>
    <w:rsid w:val="00072CE9"/>
    <w:rsid w:val="00075102"/>
    <w:rsid w:val="000772E8"/>
    <w:rsid w:val="0008122B"/>
    <w:rsid w:val="0008171A"/>
    <w:rsid w:val="00082C26"/>
    <w:rsid w:val="00082ED3"/>
    <w:rsid w:val="00084AC5"/>
    <w:rsid w:val="00084EBB"/>
    <w:rsid w:val="0008777F"/>
    <w:rsid w:val="00092EA0"/>
    <w:rsid w:val="00093F66"/>
    <w:rsid w:val="000947D5"/>
    <w:rsid w:val="00094AE1"/>
    <w:rsid w:val="000A186C"/>
    <w:rsid w:val="000A3C50"/>
    <w:rsid w:val="000A3F10"/>
    <w:rsid w:val="000A4C02"/>
    <w:rsid w:val="000A57F7"/>
    <w:rsid w:val="000B2083"/>
    <w:rsid w:val="000B2199"/>
    <w:rsid w:val="000B30CD"/>
    <w:rsid w:val="000B4F79"/>
    <w:rsid w:val="000C1310"/>
    <w:rsid w:val="000C6049"/>
    <w:rsid w:val="000D1891"/>
    <w:rsid w:val="000D1AB7"/>
    <w:rsid w:val="000D2B77"/>
    <w:rsid w:val="000D2C37"/>
    <w:rsid w:val="000D585B"/>
    <w:rsid w:val="000E4851"/>
    <w:rsid w:val="000E5B9C"/>
    <w:rsid w:val="000E614F"/>
    <w:rsid w:val="000E7C3A"/>
    <w:rsid w:val="000F4960"/>
    <w:rsid w:val="000F5180"/>
    <w:rsid w:val="00102787"/>
    <w:rsid w:val="00103CC8"/>
    <w:rsid w:val="001044CE"/>
    <w:rsid w:val="0010478B"/>
    <w:rsid w:val="00104D50"/>
    <w:rsid w:val="00105D6C"/>
    <w:rsid w:val="00111978"/>
    <w:rsid w:val="00112F1E"/>
    <w:rsid w:val="00113927"/>
    <w:rsid w:val="0011698B"/>
    <w:rsid w:val="001207A3"/>
    <w:rsid w:val="00121456"/>
    <w:rsid w:val="00125F4B"/>
    <w:rsid w:val="0012797D"/>
    <w:rsid w:val="001378C1"/>
    <w:rsid w:val="00137944"/>
    <w:rsid w:val="00141CD5"/>
    <w:rsid w:val="0014491C"/>
    <w:rsid w:val="00145D0A"/>
    <w:rsid w:val="001463B6"/>
    <w:rsid w:val="00146CF5"/>
    <w:rsid w:val="00153BC6"/>
    <w:rsid w:val="001557E3"/>
    <w:rsid w:val="001559C5"/>
    <w:rsid w:val="0015735A"/>
    <w:rsid w:val="00163C88"/>
    <w:rsid w:val="00164C45"/>
    <w:rsid w:val="0016544C"/>
    <w:rsid w:val="00166CF8"/>
    <w:rsid w:val="00173129"/>
    <w:rsid w:val="001746A6"/>
    <w:rsid w:val="00176C33"/>
    <w:rsid w:val="001811BE"/>
    <w:rsid w:val="00183C71"/>
    <w:rsid w:val="0018470F"/>
    <w:rsid w:val="0018714D"/>
    <w:rsid w:val="00187B7C"/>
    <w:rsid w:val="001906E5"/>
    <w:rsid w:val="00195340"/>
    <w:rsid w:val="00195F7E"/>
    <w:rsid w:val="00197D90"/>
    <w:rsid w:val="001A1F68"/>
    <w:rsid w:val="001A22E1"/>
    <w:rsid w:val="001A2746"/>
    <w:rsid w:val="001A2FC1"/>
    <w:rsid w:val="001A6FAC"/>
    <w:rsid w:val="001A7F03"/>
    <w:rsid w:val="001B3E1E"/>
    <w:rsid w:val="001B40EA"/>
    <w:rsid w:val="001B5799"/>
    <w:rsid w:val="001C20C6"/>
    <w:rsid w:val="001C2332"/>
    <w:rsid w:val="001C5DF4"/>
    <w:rsid w:val="001C765B"/>
    <w:rsid w:val="001D08DB"/>
    <w:rsid w:val="001D14D9"/>
    <w:rsid w:val="001D14EC"/>
    <w:rsid w:val="001D1847"/>
    <w:rsid w:val="001D2982"/>
    <w:rsid w:val="001D3D89"/>
    <w:rsid w:val="001E0D28"/>
    <w:rsid w:val="001E364F"/>
    <w:rsid w:val="001F08B0"/>
    <w:rsid w:val="001F20E7"/>
    <w:rsid w:val="001F2CAC"/>
    <w:rsid w:val="001F3F20"/>
    <w:rsid w:val="001F6504"/>
    <w:rsid w:val="001F69D3"/>
    <w:rsid w:val="002006B2"/>
    <w:rsid w:val="00201947"/>
    <w:rsid w:val="00201D67"/>
    <w:rsid w:val="002028B3"/>
    <w:rsid w:val="002050E6"/>
    <w:rsid w:val="00206E32"/>
    <w:rsid w:val="002122B4"/>
    <w:rsid w:val="00212E50"/>
    <w:rsid w:val="00213C7C"/>
    <w:rsid w:val="00214527"/>
    <w:rsid w:val="002150F2"/>
    <w:rsid w:val="002208C3"/>
    <w:rsid w:val="00220E37"/>
    <w:rsid w:val="00222C7E"/>
    <w:rsid w:val="00224391"/>
    <w:rsid w:val="002268B3"/>
    <w:rsid w:val="0022733A"/>
    <w:rsid w:val="002329C0"/>
    <w:rsid w:val="002418F0"/>
    <w:rsid w:val="00242685"/>
    <w:rsid w:val="002438C5"/>
    <w:rsid w:val="00245C05"/>
    <w:rsid w:val="0024618F"/>
    <w:rsid w:val="002464D5"/>
    <w:rsid w:val="0024730D"/>
    <w:rsid w:val="00250EC3"/>
    <w:rsid w:val="00250FFF"/>
    <w:rsid w:val="002522C2"/>
    <w:rsid w:val="00255598"/>
    <w:rsid w:val="00257286"/>
    <w:rsid w:val="002572ED"/>
    <w:rsid w:val="002606C4"/>
    <w:rsid w:val="002628F2"/>
    <w:rsid w:val="0026346C"/>
    <w:rsid w:val="00270299"/>
    <w:rsid w:val="002707B8"/>
    <w:rsid w:val="002707E3"/>
    <w:rsid w:val="0027270E"/>
    <w:rsid w:val="00272C25"/>
    <w:rsid w:val="002730CC"/>
    <w:rsid w:val="00274A49"/>
    <w:rsid w:val="002760F5"/>
    <w:rsid w:val="00276D5A"/>
    <w:rsid w:val="00277097"/>
    <w:rsid w:val="00277293"/>
    <w:rsid w:val="00280AAE"/>
    <w:rsid w:val="002810E4"/>
    <w:rsid w:val="00282C2D"/>
    <w:rsid w:val="0028345A"/>
    <w:rsid w:val="00284BF3"/>
    <w:rsid w:val="00287EE0"/>
    <w:rsid w:val="00291E3C"/>
    <w:rsid w:val="002925CE"/>
    <w:rsid w:val="002935E4"/>
    <w:rsid w:val="00293F3E"/>
    <w:rsid w:val="00294236"/>
    <w:rsid w:val="00294FD0"/>
    <w:rsid w:val="00296C74"/>
    <w:rsid w:val="00297F06"/>
    <w:rsid w:val="002A0760"/>
    <w:rsid w:val="002A096C"/>
    <w:rsid w:val="002A09A1"/>
    <w:rsid w:val="002A155A"/>
    <w:rsid w:val="002A36B4"/>
    <w:rsid w:val="002A3B8F"/>
    <w:rsid w:val="002A442B"/>
    <w:rsid w:val="002A5E98"/>
    <w:rsid w:val="002A6A7F"/>
    <w:rsid w:val="002B0593"/>
    <w:rsid w:val="002B07C5"/>
    <w:rsid w:val="002B3384"/>
    <w:rsid w:val="002B511B"/>
    <w:rsid w:val="002C640B"/>
    <w:rsid w:val="002C6BD2"/>
    <w:rsid w:val="002D14C9"/>
    <w:rsid w:val="002D2334"/>
    <w:rsid w:val="002D41ED"/>
    <w:rsid w:val="002D5349"/>
    <w:rsid w:val="002D62F4"/>
    <w:rsid w:val="002D7314"/>
    <w:rsid w:val="002D7E7C"/>
    <w:rsid w:val="002E10FE"/>
    <w:rsid w:val="002E2188"/>
    <w:rsid w:val="002E663F"/>
    <w:rsid w:val="002F13B2"/>
    <w:rsid w:val="002F32BD"/>
    <w:rsid w:val="002F412A"/>
    <w:rsid w:val="002F5127"/>
    <w:rsid w:val="002F62EC"/>
    <w:rsid w:val="002F6F4D"/>
    <w:rsid w:val="002F78B9"/>
    <w:rsid w:val="002F7FA5"/>
    <w:rsid w:val="00300B8C"/>
    <w:rsid w:val="00301F1B"/>
    <w:rsid w:val="00303E53"/>
    <w:rsid w:val="00305951"/>
    <w:rsid w:val="003070A1"/>
    <w:rsid w:val="003119B6"/>
    <w:rsid w:val="0031426E"/>
    <w:rsid w:val="00314AF7"/>
    <w:rsid w:val="00315315"/>
    <w:rsid w:val="0031799E"/>
    <w:rsid w:val="00317FFC"/>
    <w:rsid w:val="00320EF4"/>
    <w:rsid w:val="003324C2"/>
    <w:rsid w:val="00332D48"/>
    <w:rsid w:val="00333BE0"/>
    <w:rsid w:val="003372E5"/>
    <w:rsid w:val="00342DFF"/>
    <w:rsid w:val="00343420"/>
    <w:rsid w:val="00343680"/>
    <w:rsid w:val="00344C8D"/>
    <w:rsid w:val="00346C71"/>
    <w:rsid w:val="00350F44"/>
    <w:rsid w:val="00352611"/>
    <w:rsid w:val="00357975"/>
    <w:rsid w:val="0036060A"/>
    <w:rsid w:val="003617A0"/>
    <w:rsid w:val="00362BB7"/>
    <w:rsid w:val="00366A48"/>
    <w:rsid w:val="00367ED0"/>
    <w:rsid w:val="0037243A"/>
    <w:rsid w:val="00373DC0"/>
    <w:rsid w:val="003755B8"/>
    <w:rsid w:val="00376B1A"/>
    <w:rsid w:val="00376D96"/>
    <w:rsid w:val="00383DE5"/>
    <w:rsid w:val="00383E22"/>
    <w:rsid w:val="0038505A"/>
    <w:rsid w:val="0038572A"/>
    <w:rsid w:val="00386C05"/>
    <w:rsid w:val="00391D43"/>
    <w:rsid w:val="003A5D8E"/>
    <w:rsid w:val="003B15A0"/>
    <w:rsid w:val="003B3CF6"/>
    <w:rsid w:val="003B3EB7"/>
    <w:rsid w:val="003B63E7"/>
    <w:rsid w:val="003C15E1"/>
    <w:rsid w:val="003C3664"/>
    <w:rsid w:val="003C6E26"/>
    <w:rsid w:val="003D0690"/>
    <w:rsid w:val="003D11A2"/>
    <w:rsid w:val="003D1373"/>
    <w:rsid w:val="003D15AB"/>
    <w:rsid w:val="003D34BD"/>
    <w:rsid w:val="003D35D0"/>
    <w:rsid w:val="003D5396"/>
    <w:rsid w:val="003D6EDB"/>
    <w:rsid w:val="003E1E57"/>
    <w:rsid w:val="003E2AB0"/>
    <w:rsid w:val="003E7A8C"/>
    <w:rsid w:val="003F21C1"/>
    <w:rsid w:val="003F32FC"/>
    <w:rsid w:val="003F333C"/>
    <w:rsid w:val="003F40B1"/>
    <w:rsid w:val="003F693E"/>
    <w:rsid w:val="00400B36"/>
    <w:rsid w:val="004017EA"/>
    <w:rsid w:val="004018EE"/>
    <w:rsid w:val="0040355F"/>
    <w:rsid w:val="00403743"/>
    <w:rsid w:val="00410699"/>
    <w:rsid w:val="0041222B"/>
    <w:rsid w:val="00412392"/>
    <w:rsid w:val="00413A1B"/>
    <w:rsid w:val="00414223"/>
    <w:rsid w:val="00415980"/>
    <w:rsid w:val="00416F4C"/>
    <w:rsid w:val="0042216F"/>
    <w:rsid w:val="0042366F"/>
    <w:rsid w:val="0042482C"/>
    <w:rsid w:val="004269EC"/>
    <w:rsid w:val="004276CC"/>
    <w:rsid w:val="004309E4"/>
    <w:rsid w:val="00431B16"/>
    <w:rsid w:val="00434241"/>
    <w:rsid w:val="00444349"/>
    <w:rsid w:val="00445FFA"/>
    <w:rsid w:val="00446DF7"/>
    <w:rsid w:val="00447F91"/>
    <w:rsid w:val="00450513"/>
    <w:rsid w:val="00450D8A"/>
    <w:rsid w:val="00452507"/>
    <w:rsid w:val="00452C27"/>
    <w:rsid w:val="00455CF6"/>
    <w:rsid w:val="00456FA9"/>
    <w:rsid w:val="00457D9F"/>
    <w:rsid w:val="00463F07"/>
    <w:rsid w:val="00466ABB"/>
    <w:rsid w:val="00467216"/>
    <w:rsid w:val="00467516"/>
    <w:rsid w:val="00467E4D"/>
    <w:rsid w:val="00470348"/>
    <w:rsid w:val="004724AB"/>
    <w:rsid w:val="00474928"/>
    <w:rsid w:val="00476F89"/>
    <w:rsid w:val="004779EF"/>
    <w:rsid w:val="00477B41"/>
    <w:rsid w:val="00480F52"/>
    <w:rsid w:val="004815AD"/>
    <w:rsid w:val="00485507"/>
    <w:rsid w:val="0048619B"/>
    <w:rsid w:val="00494E80"/>
    <w:rsid w:val="004973CB"/>
    <w:rsid w:val="004A0A32"/>
    <w:rsid w:val="004A41C9"/>
    <w:rsid w:val="004A5C70"/>
    <w:rsid w:val="004A7594"/>
    <w:rsid w:val="004B4F33"/>
    <w:rsid w:val="004B6688"/>
    <w:rsid w:val="004B6E0C"/>
    <w:rsid w:val="004C0297"/>
    <w:rsid w:val="004C4306"/>
    <w:rsid w:val="004C6CF7"/>
    <w:rsid w:val="004C7201"/>
    <w:rsid w:val="004D2962"/>
    <w:rsid w:val="004D6437"/>
    <w:rsid w:val="004D669F"/>
    <w:rsid w:val="004D79D1"/>
    <w:rsid w:val="004E0104"/>
    <w:rsid w:val="004E2195"/>
    <w:rsid w:val="004E2BB1"/>
    <w:rsid w:val="004E3C61"/>
    <w:rsid w:val="004F12D2"/>
    <w:rsid w:val="004F6BB2"/>
    <w:rsid w:val="00501889"/>
    <w:rsid w:val="00503ABF"/>
    <w:rsid w:val="005068AB"/>
    <w:rsid w:val="005109A6"/>
    <w:rsid w:val="0051192B"/>
    <w:rsid w:val="0051286C"/>
    <w:rsid w:val="005142D2"/>
    <w:rsid w:val="00530D58"/>
    <w:rsid w:val="00532997"/>
    <w:rsid w:val="00533704"/>
    <w:rsid w:val="00534321"/>
    <w:rsid w:val="005362D3"/>
    <w:rsid w:val="0054154A"/>
    <w:rsid w:val="005423BD"/>
    <w:rsid w:val="00543BEA"/>
    <w:rsid w:val="00546D15"/>
    <w:rsid w:val="00547766"/>
    <w:rsid w:val="005513EA"/>
    <w:rsid w:val="005521B1"/>
    <w:rsid w:val="00552D5A"/>
    <w:rsid w:val="00553126"/>
    <w:rsid w:val="005548C1"/>
    <w:rsid w:val="00554F58"/>
    <w:rsid w:val="005560C6"/>
    <w:rsid w:val="00566F14"/>
    <w:rsid w:val="00572269"/>
    <w:rsid w:val="00573D97"/>
    <w:rsid w:val="00574085"/>
    <w:rsid w:val="00575D86"/>
    <w:rsid w:val="0057633E"/>
    <w:rsid w:val="00576758"/>
    <w:rsid w:val="0057782C"/>
    <w:rsid w:val="005802D2"/>
    <w:rsid w:val="00582A15"/>
    <w:rsid w:val="005840EB"/>
    <w:rsid w:val="005848F1"/>
    <w:rsid w:val="00586A93"/>
    <w:rsid w:val="00591CE0"/>
    <w:rsid w:val="00591EEE"/>
    <w:rsid w:val="00595898"/>
    <w:rsid w:val="00596A97"/>
    <w:rsid w:val="005973E8"/>
    <w:rsid w:val="005A3398"/>
    <w:rsid w:val="005A3AC0"/>
    <w:rsid w:val="005A4375"/>
    <w:rsid w:val="005A4E4D"/>
    <w:rsid w:val="005A6ECB"/>
    <w:rsid w:val="005B30E8"/>
    <w:rsid w:val="005B3E7C"/>
    <w:rsid w:val="005B426B"/>
    <w:rsid w:val="005B4FF5"/>
    <w:rsid w:val="005C34C9"/>
    <w:rsid w:val="005C564D"/>
    <w:rsid w:val="005C6E0D"/>
    <w:rsid w:val="005D2570"/>
    <w:rsid w:val="005D2EBD"/>
    <w:rsid w:val="005D6DC3"/>
    <w:rsid w:val="005D6E1F"/>
    <w:rsid w:val="005E02CA"/>
    <w:rsid w:val="005E3544"/>
    <w:rsid w:val="005E4679"/>
    <w:rsid w:val="005F0A5F"/>
    <w:rsid w:val="005F0F5A"/>
    <w:rsid w:val="005F25AF"/>
    <w:rsid w:val="005F30FB"/>
    <w:rsid w:val="005F44E4"/>
    <w:rsid w:val="005F7875"/>
    <w:rsid w:val="005F7E45"/>
    <w:rsid w:val="0060115B"/>
    <w:rsid w:val="006013BE"/>
    <w:rsid w:val="00601B68"/>
    <w:rsid w:val="006064C7"/>
    <w:rsid w:val="00606B1B"/>
    <w:rsid w:val="00606DDA"/>
    <w:rsid w:val="006108FE"/>
    <w:rsid w:val="00611801"/>
    <w:rsid w:val="006128AD"/>
    <w:rsid w:val="00615664"/>
    <w:rsid w:val="00615FE2"/>
    <w:rsid w:val="006175D2"/>
    <w:rsid w:val="00625782"/>
    <w:rsid w:val="00625F0D"/>
    <w:rsid w:val="00625FB6"/>
    <w:rsid w:val="00625FFB"/>
    <w:rsid w:val="00634ECF"/>
    <w:rsid w:val="0063509A"/>
    <w:rsid w:val="006351B1"/>
    <w:rsid w:val="006404CD"/>
    <w:rsid w:val="00642D9F"/>
    <w:rsid w:val="00645266"/>
    <w:rsid w:val="0064761F"/>
    <w:rsid w:val="0065309B"/>
    <w:rsid w:val="006534BE"/>
    <w:rsid w:val="00653789"/>
    <w:rsid w:val="006565B4"/>
    <w:rsid w:val="00663745"/>
    <w:rsid w:val="00666618"/>
    <w:rsid w:val="00667099"/>
    <w:rsid w:val="006673F3"/>
    <w:rsid w:val="00667424"/>
    <w:rsid w:val="00670CF7"/>
    <w:rsid w:val="006719AC"/>
    <w:rsid w:val="006815F0"/>
    <w:rsid w:val="00681E19"/>
    <w:rsid w:val="00684757"/>
    <w:rsid w:val="00690E02"/>
    <w:rsid w:val="00691A12"/>
    <w:rsid w:val="00691D3B"/>
    <w:rsid w:val="00693A27"/>
    <w:rsid w:val="006950F1"/>
    <w:rsid w:val="0069575A"/>
    <w:rsid w:val="00697830"/>
    <w:rsid w:val="00697AE0"/>
    <w:rsid w:val="006A0125"/>
    <w:rsid w:val="006A2A2C"/>
    <w:rsid w:val="006A5E53"/>
    <w:rsid w:val="006A610A"/>
    <w:rsid w:val="006B1863"/>
    <w:rsid w:val="006B34D1"/>
    <w:rsid w:val="006B5805"/>
    <w:rsid w:val="006B69E9"/>
    <w:rsid w:val="006C4AD6"/>
    <w:rsid w:val="006C762A"/>
    <w:rsid w:val="006D2B14"/>
    <w:rsid w:val="006D5836"/>
    <w:rsid w:val="006E138C"/>
    <w:rsid w:val="006E2430"/>
    <w:rsid w:val="006E3077"/>
    <w:rsid w:val="006E5A9D"/>
    <w:rsid w:val="006E6F0A"/>
    <w:rsid w:val="006E7D59"/>
    <w:rsid w:val="006F0660"/>
    <w:rsid w:val="006F1EC3"/>
    <w:rsid w:val="006F664D"/>
    <w:rsid w:val="006F6B2B"/>
    <w:rsid w:val="00700626"/>
    <w:rsid w:val="00704691"/>
    <w:rsid w:val="007058AE"/>
    <w:rsid w:val="007078AD"/>
    <w:rsid w:val="00711890"/>
    <w:rsid w:val="00715BB5"/>
    <w:rsid w:val="00717030"/>
    <w:rsid w:val="00717128"/>
    <w:rsid w:val="007200A0"/>
    <w:rsid w:val="00721466"/>
    <w:rsid w:val="007260DD"/>
    <w:rsid w:val="007318DC"/>
    <w:rsid w:val="007325DC"/>
    <w:rsid w:val="00734D58"/>
    <w:rsid w:val="00737130"/>
    <w:rsid w:val="007414B7"/>
    <w:rsid w:val="00745C87"/>
    <w:rsid w:val="007527EE"/>
    <w:rsid w:val="00755B22"/>
    <w:rsid w:val="00756338"/>
    <w:rsid w:val="0075736E"/>
    <w:rsid w:val="00757AE3"/>
    <w:rsid w:val="00757E2C"/>
    <w:rsid w:val="00761992"/>
    <w:rsid w:val="00761C46"/>
    <w:rsid w:val="00764309"/>
    <w:rsid w:val="00766D56"/>
    <w:rsid w:val="0077082D"/>
    <w:rsid w:val="00770C22"/>
    <w:rsid w:val="00773639"/>
    <w:rsid w:val="00777E4F"/>
    <w:rsid w:val="00782376"/>
    <w:rsid w:val="00782E38"/>
    <w:rsid w:val="00784796"/>
    <w:rsid w:val="0078660A"/>
    <w:rsid w:val="00790BB2"/>
    <w:rsid w:val="00791AB9"/>
    <w:rsid w:val="00791B23"/>
    <w:rsid w:val="00793CC3"/>
    <w:rsid w:val="0079408A"/>
    <w:rsid w:val="007952F2"/>
    <w:rsid w:val="0079591E"/>
    <w:rsid w:val="0079639F"/>
    <w:rsid w:val="00797E4B"/>
    <w:rsid w:val="007A11D8"/>
    <w:rsid w:val="007A1CED"/>
    <w:rsid w:val="007A4C7C"/>
    <w:rsid w:val="007B00AF"/>
    <w:rsid w:val="007B03F4"/>
    <w:rsid w:val="007B30DD"/>
    <w:rsid w:val="007B5FFE"/>
    <w:rsid w:val="007B7FFA"/>
    <w:rsid w:val="007C0910"/>
    <w:rsid w:val="007C399E"/>
    <w:rsid w:val="007C615B"/>
    <w:rsid w:val="007C68AA"/>
    <w:rsid w:val="007C7B25"/>
    <w:rsid w:val="007D51CC"/>
    <w:rsid w:val="007D6AFB"/>
    <w:rsid w:val="007D72AE"/>
    <w:rsid w:val="007D78F6"/>
    <w:rsid w:val="007E0AFA"/>
    <w:rsid w:val="007E1244"/>
    <w:rsid w:val="007E2ED0"/>
    <w:rsid w:val="007E4391"/>
    <w:rsid w:val="007E5DB8"/>
    <w:rsid w:val="007E634A"/>
    <w:rsid w:val="007F6C99"/>
    <w:rsid w:val="007F7218"/>
    <w:rsid w:val="007F793C"/>
    <w:rsid w:val="007F7D07"/>
    <w:rsid w:val="00802258"/>
    <w:rsid w:val="00803132"/>
    <w:rsid w:val="00803FEC"/>
    <w:rsid w:val="00805BF5"/>
    <w:rsid w:val="00806FEE"/>
    <w:rsid w:val="0080726E"/>
    <w:rsid w:val="00807D83"/>
    <w:rsid w:val="00810EF2"/>
    <w:rsid w:val="00812BF8"/>
    <w:rsid w:val="00814AE6"/>
    <w:rsid w:val="00820270"/>
    <w:rsid w:val="008214A4"/>
    <w:rsid w:val="008215F2"/>
    <w:rsid w:val="008240DB"/>
    <w:rsid w:val="008243C8"/>
    <w:rsid w:val="008268A1"/>
    <w:rsid w:val="008270D4"/>
    <w:rsid w:val="008324A6"/>
    <w:rsid w:val="00833ACC"/>
    <w:rsid w:val="008343CF"/>
    <w:rsid w:val="00835F24"/>
    <w:rsid w:val="008361B5"/>
    <w:rsid w:val="0084073B"/>
    <w:rsid w:val="008407C6"/>
    <w:rsid w:val="00840A34"/>
    <w:rsid w:val="00845950"/>
    <w:rsid w:val="008474E8"/>
    <w:rsid w:val="0085012B"/>
    <w:rsid w:val="00850ED3"/>
    <w:rsid w:val="00850F65"/>
    <w:rsid w:val="0085344C"/>
    <w:rsid w:val="00853E57"/>
    <w:rsid w:val="0086080A"/>
    <w:rsid w:val="0086177C"/>
    <w:rsid w:val="00861A90"/>
    <w:rsid w:val="00863D00"/>
    <w:rsid w:val="00871535"/>
    <w:rsid w:val="008725BC"/>
    <w:rsid w:val="00874ED0"/>
    <w:rsid w:val="0088311A"/>
    <w:rsid w:val="00883BD8"/>
    <w:rsid w:val="00886DBD"/>
    <w:rsid w:val="00887111"/>
    <w:rsid w:val="00887755"/>
    <w:rsid w:val="00891042"/>
    <w:rsid w:val="008931C2"/>
    <w:rsid w:val="00895519"/>
    <w:rsid w:val="008976B8"/>
    <w:rsid w:val="008A16F5"/>
    <w:rsid w:val="008A4012"/>
    <w:rsid w:val="008A45AC"/>
    <w:rsid w:val="008A5EB6"/>
    <w:rsid w:val="008A71A6"/>
    <w:rsid w:val="008B2C68"/>
    <w:rsid w:val="008B2D74"/>
    <w:rsid w:val="008B5035"/>
    <w:rsid w:val="008B5A1E"/>
    <w:rsid w:val="008B690F"/>
    <w:rsid w:val="008C0283"/>
    <w:rsid w:val="008C0627"/>
    <w:rsid w:val="008C1F01"/>
    <w:rsid w:val="008C3DD7"/>
    <w:rsid w:val="008C478D"/>
    <w:rsid w:val="008C5B63"/>
    <w:rsid w:val="008C7A9B"/>
    <w:rsid w:val="008D2551"/>
    <w:rsid w:val="008D2751"/>
    <w:rsid w:val="008D6798"/>
    <w:rsid w:val="008E30EC"/>
    <w:rsid w:val="008E3367"/>
    <w:rsid w:val="008E40E2"/>
    <w:rsid w:val="008E4B6B"/>
    <w:rsid w:val="008E7638"/>
    <w:rsid w:val="008F05AC"/>
    <w:rsid w:val="008F3529"/>
    <w:rsid w:val="008F5432"/>
    <w:rsid w:val="008F7DD8"/>
    <w:rsid w:val="00901DF8"/>
    <w:rsid w:val="009029E2"/>
    <w:rsid w:val="00903A94"/>
    <w:rsid w:val="00907FF6"/>
    <w:rsid w:val="00910006"/>
    <w:rsid w:val="00912417"/>
    <w:rsid w:val="009139C3"/>
    <w:rsid w:val="00915A00"/>
    <w:rsid w:val="00921BF9"/>
    <w:rsid w:val="00922E81"/>
    <w:rsid w:val="00926327"/>
    <w:rsid w:val="009310EC"/>
    <w:rsid w:val="00931DD5"/>
    <w:rsid w:val="0093369B"/>
    <w:rsid w:val="0093425F"/>
    <w:rsid w:val="0093612C"/>
    <w:rsid w:val="009372A7"/>
    <w:rsid w:val="009375CC"/>
    <w:rsid w:val="00944169"/>
    <w:rsid w:val="009444C2"/>
    <w:rsid w:val="009449E8"/>
    <w:rsid w:val="00944A3B"/>
    <w:rsid w:val="0094574A"/>
    <w:rsid w:val="00946CDA"/>
    <w:rsid w:val="00950D9B"/>
    <w:rsid w:val="00953993"/>
    <w:rsid w:val="00953BE8"/>
    <w:rsid w:val="0096029C"/>
    <w:rsid w:val="00960DE3"/>
    <w:rsid w:val="0096310E"/>
    <w:rsid w:val="00967A68"/>
    <w:rsid w:val="00970F9B"/>
    <w:rsid w:val="00971D73"/>
    <w:rsid w:val="00974048"/>
    <w:rsid w:val="00975E42"/>
    <w:rsid w:val="00976173"/>
    <w:rsid w:val="009807F7"/>
    <w:rsid w:val="0098132C"/>
    <w:rsid w:val="00983129"/>
    <w:rsid w:val="00984678"/>
    <w:rsid w:val="009874CC"/>
    <w:rsid w:val="00997161"/>
    <w:rsid w:val="009A2828"/>
    <w:rsid w:val="009A2F44"/>
    <w:rsid w:val="009A4A11"/>
    <w:rsid w:val="009A6051"/>
    <w:rsid w:val="009A65D6"/>
    <w:rsid w:val="009B272E"/>
    <w:rsid w:val="009B3EEE"/>
    <w:rsid w:val="009C0690"/>
    <w:rsid w:val="009C4C9D"/>
    <w:rsid w:val="009C6805"/>
    <w:rsid w:val="009D18D3"/>
    <w:rsid w:val="009E12C7"/>
    <w:rsid w:val="009E2B26"/>
    <w:rsid w:val="009E4E36"/>
    <w:rsid w:val="009E5E7C"/>
    <w:rsid w:val="009F0E54"/>
    <w:rsid w:val="009F5A20"/>
    <w:rsid w:val="009F5A23"/>
    <w:rsid w:val="009F6AFB"/>
    <w:rsid w:val="00A00A5C"/>
    <w:rsid w:val="00A02A65"/>
    <w:rsid w:val="00A04A6C"/>
    <w:rsid w:val="00A06C01"/>
    <w:rsid w:val="00A06CFA"/>
    <w:rsid w:val="00A120E1"/>
    <w:rsid w:val="00A1282A"/>
    <w:rsid w:val="00A146CA"/>
    <w:rsid w:val="00A15CD6"/>
    <w:rsid w:val="00A2031E"/>
    <w:rsid w:val="00A210BB"/>
    <w:rsid w:val="00A24DC8"/>
    <w:rsid w:val="00A2612E"/>
    <w:rsid w:val="00A30EBA"/>
    <w:rsid w:val="00A313B9"/>
    <w:rsid w:val="00A325BF"/>
    <w:rsid w:val="00A34904"/>
    <w:rsid w:val="00A3618E"/>
    <w:rsid w:val="00A4058C"/>
    <w:rsid w:val="00A436A7"/>
    <w:rsid w:val="00A43B73"/>
    <w:rsid w:val="00A43C38"/>
    <w:rsid w:val="00A4470F"/>
    <w:rsid w:val="00A458B5"/>
    <w:rsid w:val="00A50A87"/>
    <w:rsid w:val="00A513C5"/>
    <w:rsid w:val="00A517FC"/>
    <w:rsid w:val="00A524B4"/>
    <w:rsid w:val="00A52C46"/>
    <w:rsid w:val="00A5402A"/>
    <w:rsid w:val="00A544AA"/>
    <w:rsid w:val="00A57B4A"/>
    <w:rsid w:val="00A66EEA"/>
    <w:rsid w:val="00A71E3D"/>
    <w:rsid w:val="00A71E77"/>
    <w:rsid w:val="00A72E72"/>
    <w:rsid w:val="00A77419"/>
    <w:rsid w:val="00A829A2"/>
    <w:rsid w:val="00A82EFF"/>
    <w:rsid w:val="00A84A01"/>
    <w:rsid w:val="00A87D49"/>
    <w:rsid w:val="00A90619"/>
    <w:rsid w:val="00A93663"/>
    <w:rsid w:val="00A94F68"/>
    <w:rsid w:val="00AA0360"/>
    <w:rsid w:val="00AA2ACF"/>
    <w:rsid w:val="00AA38C6"/>
    <w:rsid w:val="00AA3BA4"/>
    <w:rsid w:val="00AA3F91"/>
    <w:rsid w:val="00AB2BDA"/>
    <w:rsid w:val="00AB463F"/>
    <w:rsid w:val="00AB6BE7"/>
    <w:rsid w:val="00AB739B"/>
    <w:rsid w:val="00AC05B6"/>
    <w:rsid w:val="00AC5B16"/>
    <w:rsid w:val="00AC7CB6"/>
    <w:rsid w:val="00AD219F"/>
    <w:rsid w:val="00AD4AA0"/>
    <w:rsid w:val="00AE17AC"/>
    <w:rsid w:val="00AE28A6"/>
    <w:rsid w:val="00AE4DAA"/>
    <w:rsid w:val="00AF3F30"/>
    <w:rsid w:val="00AF426F"/>
    <w:rsid w:val="00AF4B28"/>
    <w:rsid w:val="00AF57C3"/>
    <w:rsid w:val="00B00188"/>
    <w:rsid w:val="00B03E88"/>
    <w:rsid w:val="00B04DCD"/>
    <w:rsid w:val="00B06AA7"/>
    <w:rsid w:val="00B07ADF"/>
    <w:rsid w:val="00B1151D"/>
    <w:rsid w:val="00B1237A"/>
    <w:rsid w:val="00B12CBE"/>
    <w:rsid w:val="00B17A55"/>
    <w:rsid w:val="00B201D1"/>
    <w:rsid w:val="00B20DB4"/>
    <w:rsid w:val="00B22D62"/>
    <w:rsid w:val="00B23BC0"/>
    <w:rsid w:val="00B24741"/>
    <w:rsid w:val="00B25A48"/>
    <w:rsid w:val="00B26CE5"/>
    <w:rsid w:val="00B30114"/>
    <w:rsid w:val="00B340AA"/>
    <w:rsid w:val="00B37083"/>
    <w:rsid w:val="00B40EED"/>
    <w:rsid w:val="00B41BF8"/>
    <w:rsid w:val="00B5155C"/>
    <w:rsid w:val="00B537E2"/>
    <w:rsid w:val="00B543C4"/>
    <w:rsid w:val="00B57382"/>
    <w:rsid w:val="00B57939"/>
    <w:rsid w:val="00B61A07"/>
    <w:rsid w:val="00B662F5"/>
    <w:rsid w:val="00B669E3"/>
    <w:rsid w:val="00B66FAE"/>
    <w:rsid w:val="00B707FE"/>
    <w:rsid w:val="00B762A0"/>
    <w:rsid w:val="00B76F10"/>
    <w:rsid w:val="00B81531"/>
    <w:rsid w:val="00B81F61"/>
    <w:rsid w:val="00B851B5"/>
    <w:rsid w:val="00B90FAC"/>
    <w:rsid w:val="00B9174C"/>
    <w:rsid w:val="00B93FE2"/>
    <w:rsid w:val="00B96E8B"/>
    <w:rsid w:val="00BA3636"/>
    <w:rsid w:val="00BA45B9"/>
    <w:rsid w:val="00BA4847"/>
    <w:rsid w:val="00BA5D97"/>
    <w:rsid w:val="00BB01F8"/>
    <w:rsid w:val="00BB140A"/>
    <w:rsid w:val="00BC047E"/>
    <w:rsid w:val="00BD51CC"/>
    <w:rsid w:val="00BD60E9"/>
    <w:rsid w:val="00BE2FA5"/>
    <w:rsid w:val="00BE30B5"/>
    <w:rsid w:val="00BE3402"/>
    <w:rsid w:val="00BE3BB8"/>
    <w:rsid w:val="00BF2ACE"/>
    <w:rsid w:val="00BF4DCE"/>
    <w:rsid w:val="00BF58F8"/>
    <w:rsid w:val="00C00E8E"/>
    <w:rsid w:val="00C02173"/>
    <w:rsid w:val="00C03765"/>
    <w:rsid w:val="00C054D3"/>
    <w:rsid w:val="00C055B5"/>
    <w:rsid w:val="00C06572"/>
    <w:rsid w:val="00C06686"/>
    <w:rsid w:val="00C073F7"/>
    <w:rsid w:val="00C0752F"/>
    <w:rsid w:val="00C101F2"/>
    <w:rsid w:val="00C10FDA"/>
    <w:rsid w:val="00C11511"/>
    <w:rsid w:val="00C11FF1"/>
    <w:rsid w:val="00C1248F"/>
    <w:rsid w:val="00C13EEF"/>
    <w:rsid w:val="00C17BD6"/>
    <w:rsid w:val="00C17E66"/>
    <w:rsid w:val="00C250C8"/>
    <w:rsid w:val="00C2511E"/>
    <w:rsid w:val="00C27F69"/>
    <w:rsid w:val="00C34653"/>
    <w:rsid w:val="00C3471E"/>
    <w:rsid w:val="00C35139"/>
    <w:rsid w:val="00C3638B"/>
    <w:rsid w:val="00C42D80"/>
    <w:rsid w:val="00C43247"/>
    <w:rsid w:val="00C45E28"/>
    <w:rsid w:val="00C51292"/>
    <w:rsid w:val="00C51B0F"/>
    <w:rsid w:val="00C54E00"/>
    <w:rsid w:val="00C56E0A"/>
    <w:rsid w:val="00C605E3"/>
    <w:rsid w:val="00C6199A"/>
    <w:rsid w:val="00C6216E"/>
    <w:rsid w:val="00C627AE"/>
    <w:rsid w:val="00C6305C"/>
    <w:rsid w:val="00C63251"/>
    <w:rsid w:val="00C653C4"/>
    <w:rsid w:val="00C673A6"/>
    <w:rsid w:val="00C6767E"/>
    <w:rsid w:val="00C71EBF"/>
    <w:rsid w:val="00C7352F"/>
    <w:rsid w:val="00C7357D"/>
    <w:rsid w:val="00C7688C"/>
    <w:rsid w:val="00C77CAD"/>
    <w:rsid w:val="00C849CF"/>
    <w:rsid w:val="00C9060C"/>
    <w:rsid w:val="00C91C73"/>
    <w:rsid w:val="00C93249"/>
    <w:rsid w:val="00C973A5"/>
    <w:rsid w:val="00CA2873"/>
    <w:rsid w:val="00CA2E28"/>
    <w:rsid w:val="00CA60FB"/>
    <w:rsid w:val="00CA6987"/>
    <w:rsid w:val="00CB0A1F"/>
    <w:rsid w:val="00CC023C"/>
    <w:rsid w:val="00CC0A4F"/>
    <w:rsid w:val="00CC4B26"/>
    <w:rsid w:val="00CC6D4F"/>
    <w:rsid w:val="00CD10C8"/>
    <w:rsid w:val="00CD1FF3"/>
    <w:rsid w:val="00CD55FB"/>
    <w:rsid w:val="00CD5966"/>
    <w:rsid w:val="00CE07A0"/>
    <w:rsid w:val="00CE1184"/>
    <w:rsid w:val="00CE27E1"/>
    <w:rsid w:val="00CE2B66"/>
    <w:rsid w:val="00CE5117"/>
    <w:rsid w:val="00CE67C4"/>
    <w:rsid w:val="00CF115A"/>
    <w:rsid w:val="00CF1E7D"/>
    <w:rsid w:val="00CF401D"/>
    <w:rsid w:val="00D0197F"/>
    <w:rsid w:val="00D04F7C"/>
    <w:rsid w:val="00D0536F"/>
    <w:rsid w:val="00D103A8"/>
    <w:rsid w:val="00D11D8C"/>
    <w:rsid w:val="00D12237"/>
    <w:rsid w:val="00D1270B"/>
    <w:rsid w:val="00D155D3"/>
    <w:rsid w:val="00D15863"/>
    <w:rsid w:val="00D15B87"/>
    <w:rsid w:val="00D15DBF"/>
    <w:rsid w:val="00D207D3"/>
    <w:rsid w:val="00D21927"/>
    <w:rsid w:val="00D23135"/>
    <w:rsid w:val="00D23547"/>
    <w:rsid w:val="00D2701A"/>
    <w:rsid w:val="00D27F8F"/>
    <w:rsid w:val="00D304F6"/>
    <w:rsid w:val="00D307F9"/>
    <w:rsid w:val="00D31728"/>
    <w:rsid w:val="00D3172E"/>
    <w:rsid w:val="00D33E5B"/>
    <w:rsid w:val="00D413B9"/>
    <w:rsid w:val="00D43952"/>
    <w:rsid w:val="00D43D76"/>
    <w:rsid w:val="00D4413F"/>
    <w:rsid w:val="00D45FEA"/>
    <w:rsid w:val="00D5161B"/>
    <w:rsid w:val="00D5687A"/>
    <w:rsid w:val="00D56C7D"/>
    <w:rsid w:val="00D60C6B"/>
    <w:rsid w:val="00D611AF"/>
    <w:rsid w:val="00D62311"/>
    <w:rsid w:val="00D64FD8"/>
    <w:rsid w:val="00D665CC"/>
    <w:rsid w:val="00D6723B"/>
    <w:rsid w:val="00D70872"/>
    <w:rsid w:val="00D70A0D"/>
    <w:rsid w:val="00D74631"/>
    <w:rsid w:val="00D75FA5"/>
    <w:rsid w:val="00D810C7"/>
    <w:rsid w:val="00D8299A"/>
    <w:rsid w:val="00D82BFF"/>
    <w:rsid w:val="00D870B7"/>
    <w:rsid w:val="00D87E3C"/>
    <w:rsid w:val="00D94607"/>
    <w:rsid w:val="00D95035"/>
    <w:rsid w:val="00D95B80"/>
    <w:rsid w:val="00D95E85"/>
    <w:rsid w:val="00D96796"/>
    <w:rsid w:val="00DA54DE"/>
    <w:rsid w:val="00DB1530"/>
    <w:rsid w:val="00DC06F7"/>
    <w:rsid w:val="00DC087F"/>
    <w:rsid w:val="00DC2513"/>
    <w:rsid w:val="00DC4055"/>
    <w:rsid w:val="00DC40E7"/>
    <w:rsid w:val="00DC6FF6"/>
    <w:rsid w:val="00DD20F6"/>
    <w:rsid w:val="00DD578D"/>
    <w:rsid w:val="00DD6676"/>
    <w:rsid w:val="00DD707C"/>
    <w:rsid w:val="00DD7414"/>
    <w:rsid w:val="00DF0EA0"/>
    <w:rsid w:val="00DF40D4"/>
    <w:rsid w:val="00DF57EB"/>
    <w:rsid w:val="00E07E8D"/>
    <w:rsid w:val="00E1353F"/>
    <w:rsid w:val="00E13A9D"/>
    <w:rsid w:val="00E2149D"/>
    <w:rsid w:val="00E24DFF"/>
    <w:rsid w:val="00E27409"/>
    <w:rsid w:val="00E32825"/>
    <w:rsid w:val="00E37313"/>
    <w:rsid w:val="00E37585"/>
    <w:rsid w:val="00E41A36"/>
    <w:rsid w:val="00E42517"/>
    <w:rsid w:val="00E438E1"/>
    <w:rsid w:val="00E43905"/>
    <w:rsid w:val="00E466C9"/>
    <w:rsid w:val="00E46B5F"/>
    <w:rsid w:val="00E46E34"/>
    <w:rsid w:val="00E507BD"/>
    <w:rsid w:val="00E50B47"/>
    <w:rsid w:val="00E53D79"/>
    <w:rsid w:val="00E5417E"/>
    <w:rsid w:val="00E54451"/>
    <w:rsid w:val="00E549B4"/>
    <w:rsid w:val="00E55739"/>
    <w:rsid w:val="00E55BCC"/>
    <w:rsid w:val="00E560C5"/>
    <w:rsid w:val="00E5728B"/>
    <w:rsid w:val="00E619D8"/>
    <w:rsid w:val="00E639AB"/>
    <w:rsid w:val="00E63D45"/>
    <w:rsid w:val="00E64BC2"/>
    <w:rsid w:val="00E65237"/>
    <w:rsid w:val="00E65ED6"/>
    <w:rsid w:val="00E6749A"/>
    <w:rsid w:val="00E71326"/>
    <w:rsid w:val="00E726C5"/>
    <w:rsid w:val="00E74AA9"/>
    <w:rsid w:val="00E76136"/>
    <w:rsid w:val="00E80DD6"/>
    <w:rsid w:val="00E81360"/>
    <w:rsid w:val="00E83AD2"/>
    <w:rsid w:val="00E83ECC"/>
    <w:rsid w:val="00E84C7D"/>
    <w:rsid w:val="00E86061"/>
    <w:rsid w:val="00E906D3"/>
    <w:rsid w:val="00E92706"/>
    <w:rsid w:val="00E93C50"/>
    <w:rsid w:val="00E960F6"/>
    <w:rsid w:val="00E96A22"/>
    <w:rsid w:val="00EA12D0"/>
    <w:rsid w:val="00EA40E2"/>
    <w:rsid w:val="00EA4818"/>
    <w:rsid w:val="00EA4FEB"/>
    <w:rsid w:val="00EA5B36"/>
    <w:rsid w:val="00EA7DE9"/>
    <w:rsid w:val="00EB0A3D"/>
    <w:rsid w:val="00EB1772"/>
    <w:rsid w:val="00EB1EEB"/>
    <w:rsid w:val="00EB2709"/>
    <w:rsid w:val="00EB291B"/>
    <w:rsid w:val="00EB29FF"/>
    <w:rsid w:val="00EB2C96"/>
    <w:rsid w:val="00EB32C7"/>
    <w:rsid w:val="00EB3AEA"/>
    <w:rsid w:val="00EC1D5F"/>
    <w:rsid w:val="00EC2308"/>
    <w:rsid w:val="00EC332A"/>
    <w:rsid w:val="00ED07B6"/>
    <w:rsid w:val="00ED6286"/>
    <w:rsid w:val="00EE3686"/>
    <w:rsid w:val="00EE3BE5"/>
    <w:rsid w:val="00EE5592"/>
    <w:rsid w:val="00EE6815"/>
    <w:rsid w:val="00EF2FCA"/>
    <w:rsid w:val="00EF4150"/>
    <w:rsid w:val="00EF43D0"/>
    <w:rsid w:val="00EF55C5"/>
    <w:rsid w:val="00EF60B0"/>
    <w:rsid w:val="00EF63E4"/>
    <w:rsid w:val="00EF6697"/>
    <w:rsid w:val="00EF6DC7"/>
    <w:rsid w:val="00EF7804"/>
    <w:rsid w:val="00F0087E"/>
    <w:rsid w:val="00F0365A"/>
    <w:rsid w:val="00F07490"/>
    <w:rsid w:val="00F07D86"/>
    <w:rsid w:val="00F104CF"/>
    <w:rsid w:val="00F10AB1"/>
    <w:rsid w:val="00F119CD"/>
    <w:rsid w:val="00F12274"/>
    <w:rsid w:val="00F126BD"/>
    <w:rsid w:val="00F135A0"/>
    <w:rsid w:val="00F15131"/>
    <w:rsid w:val="00F2136C"/>
    <w:rsid w:val="00F2212E"/>
    <w:rsid w:val="00F27E59"/>
    <w:rsid w:val="00F319DB"/>
    <w:rsid w:val="00F32354"/>
    <w:rsid w:val="00F33B3D"/>
    <w:rsid w:val="00F3739C"/>
    <w:rsid w:val="00F41479"/>
    <w:rsid w:val="00F43BAB"/>
    <w:rsid w:val="00F44F36"/>
    <w:rsid w:val="00F450FA"/>
    <w:rsid w:val="00F46ED4"/>
    <w:rsid w:val="00F50D80"/>
    <w:rsid w:val="00F518FB"/>
    <w:rsid w:val="00F51C5B"/>
    <w:rsid w:val="00F51EA3"/>
    <w:rsid w:val="00F5271C"/>
    <w:rsid w:val="00F5339E"/>
    <w:rsid w:val="00F53BF1"/>
    <w:rsid w:val="00F53FEC"/>
    <w:rsid w:val="00F542B7"/>
    <w:rsid w:val="00F553C7"/>
    <w:rsid w:val="00F56E35"/>
    <w:rsid w:val="00F57365"/>
    <w:rsid w:val="00F60D2D"/>
    <w:rsid w:val="00F64C6A"/>
    <w:rsid w:val="00F652EC"/>
    <w:rsid w:val="00F654E4"/>
    <w:rsid w:val="00F670EF"/>
    <w:rsid w:val="00F707FA"/>
    <w:rsid w:val="00F72334"/>
    <w:rsid w:val="00F74A4F"/>
    <w:rsid w:val="00F74BC3"/>
    <w:rsid w:val="00F805DE"/>
    <w:rsid w:val="00F816BD"/>
    <w:rsid w:val="00F81AB1"/>
    <w:rsid w:val="00F8500E"/>
    <w:rsid w:val="00F853A6"/>
    <w:rsid w:val="00F85C71"/>
    <w:rsid w:val="00F8627A"/>
    <w:rsid w:val="00F900F9"/>
    <w:rsid w:val="00F9085B"/>
    <w:rsid w:val="00F910CB"/>
    <w:rsid w:val="00F93CF2"/>
    <w:rsid w:val="00F97CD3"/>
    <w:rsid w:val="00FA0688"/>
    <w:rsid w:val="00FA1B46"/>
    <w:rsid w:val="00FA1F27"/>
    <w:rsid w:val="00FA33CB"/>
    <w:rsid w:val="00FA4126"/>
    <w:rsid w:val="00FA49C9"/>
    <w:rsid w:val="00FA5512"/>
    <w:rsid w:val="00FA5A1B"/>
    <w:rsid w:val="00FB15FE"/>
    <w:rsid w:val="00FB275C"/>
    <w:rsid w:val="00FB30C1"/>
    <w:rsid w:val="00FB33FF"/>
    <w:rsid w:val="00FB45EF"/>
    <w:rsid w:val="00FB4F0E"/>
    <w:rsid w:val="00FB4F15"/>
    <w:rsid w:val="00FC0F8F"/>
    <w:rsid w:val="00FC3541"/>
    <w:rsid w:val="00FC4A2B"/>
    <w:rsid w:val="00FC5B7A"/>
    <w:rsid w:val="00FC6335"/>
    <w:rsid w:val="00FC7507"/>
    <w:rsid w:val="00FD2459"/>
    <w:rsid w:val="00FD3F9E"/>
    <w:rsid w:val="00FD43A3"/>
    <w:rsid w:val="00FD4E2D"/>
    <w:rsid w:val="00FE729A"/>
    <w:rsid w:val="00FF0953"/>
    <w:rsid w:val="00F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EBEA08"/>
  <w15:docId w15:val="{0A737296-91B1-47B0-BAD4-EF24581F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sl-SI" w:eastAsia="en-US" w:bidi="ar-SA"/>
      </w:rPr>
    </w:rPrDefault>
    <w:pPrDefault/>
  </w:docDefaults>
  <w:latentStyles w:defLockedState="1" w:defUIPriority="0" w:defSemiHidden="0" w:defUnhideWhenUsed="0" w:defQFormat="0" w:count="371">
    <w:lsdException w:name="Normal" w:uiPriority="90" w:qFormat="1"/>
    <w:lsdException w:name="heading 1"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qFormat="1"/>
    <w:lsdException w:name="annotation text" w:semiHidden="1" w:uiPriority="99"/>
    <w:lsdException w:name="index heading" w:semiHidden="1"/>
    <w:lsdException w:name="table of figures" w:semiHidden="1"/>
    <w:lsdException w:name="envelope address" w:semiHidden="1"/>
    <w:lsdException w:name="envelope return" w:semiHidden="1"/>
    <w:lsdException w:name="footnote reference" w:semiHidden="1" w:uiPriority="99"/>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uiPriority="90" w:qFormat="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Signature" w:uiPriority="99"/>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99"/>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atentStyles>
  <w:style w:type="paragraph" w:default="1" w:styleId="Normal">
    <w:name w:val="Normal"/>
    <w:uiPriority w:val="90"/>
    <w:qFormat/>
    <w:pPr>
      <w:spacing w:after="240"/>
      <w:jc w:val="both"/>
    </w:pPr>
  </w:style>
  <w:style w:type="paragraph" w:styleId="Heading1">
    <w:name w:val="heading 1"/>
    <w:basedOn w:val="Normal"/>
    <w:next w:val="Text1"/>
    <w:link w:val="Heading1Char"/>
    <w:qFormat/>
    <w:pPr>
      <w:keepNext/>
      <w:spacing w:before="240"/>
      <w:outlineLvl w:val="0"/>
    </w:pPr>
    <w:rPr>
      <w:b/>
      <w:smallCaps/>
    </w:rPr>
  </w:style>
  <w:style w:type="paragraph" w:styleId="Heading2">
    <w:name w:val="heading 2"/>
    <w:basedOn w:val="Normal"/>
    <w:next w:val="Text2"/>
    <w:link w:val="Heading2Char"/>
    <w:uiPriority w:val="90"/>
    <w:qFormat/>
    <w:pPr>
      <w:keepNext/>
      <w:outlineLvl w:val="1"/>
    </w:pPr>
    <w:rPr>
      <w:b/>
    </w:rPr>
  </w:style>
  <w:style w:type="paragraph" w:styleId="Heading3">
    <w:name w:val="heading 3"/>
    <w:basedOn w:val="Normal"/>
    <w:next w:val="Text3"/>
    <w:uiPriority w:val="90"/>
    <w:qFormat/>
    <w:pPr>
      <w:keepNext/>
      <w:outlineLvl w:val="2"/>
    </w:pPr>
    <w:rPr>
      <w:i/>
    </w:rPr>
  </w:style>
  <w:style w:type="paragraph" w:styleId="Heading4">
    <w:name w:val="heading 4"/>
    <w:basedOn w:val="Normal"/>
    <w:next w:val="Text4"/>
    <w:uiPriority w:val="90"/>
    <w:qFormat/>
    <w:pPr>
      <w:keepNext/>
      <w:outlineLvl w:val="3"/>
    </w:pPr>
  </w:style>
  <w:style w:type="paragraph" w:styleId="Heading5">
    <w:name w:val="heading 5"/>
    <w:basedOn w:val="Normal"/>
    <w:next w:val="Normal"/>
    <w:semiHidden/>
    <w:pPr>
      <w:keepNext/>
      <w:outlineLvl w:val="4"/>
    </w:pPr>
  </w:style>
  <w:style w:type="paragraph" w:styleId="Heading6">
    <w:name w:val="heading 6"/>
    <w:basedOn w:val="Normal"/>
    <w:next w:val="Normal"/>
    <w:semiHidden/>
    <w:pPr>
      <w:keepNext/>
      <w:outlineLvl w:val="5"/>
    </w:pPr>
  </w:style>
  <w:style w:type="paragraph" w:styleId="Heading7">
    <w:name w:val="heading 7"/>
    <w:basedOn w:val="Normal"/>
    <w:next w:val="Normal"/>
    <w:semiHidden/>
    <w:pPr>
      <w:keepNext/>
      <w:outlineLvl w:val="6"/>
    </w:pPr>
  </w:style>
  <w:style w:type="paragraph" w:styleId="Heading8">
    <w:name w:val="heading 8"/>
    <w:basedOn w:val="Normal"/>
    <w:next w:val="Normal"/>
    <w:semiHidden/>
    <w:pPr>
      <w:keepNext/>
      <w:outlineLvl w:val="7"/>
    </w:pPr>
  </w:style>
  <w:style w:type="paragraph" w:styleId="Heading9">
    <w:name w:val="heading 9"/>
    <w:basedOn w:val="Normal"/>
    <w:next w:val="Normal"/>
    <w:semiHidden/>
    <w:pPr>
      <w:keepNex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Nad"/>
    <w:basedOn w:val="Normal"/>
    <w:link w:val="ListParagraphChar"/>
    <w:uiPriority w:val="34"/>
    <w:qFormat/>
    <w:locked/>
    <w:rsid w:val="00D95E85"/>
    <w:pPr>
      <w:spacing w:after="0"/>
      <w:ind w:left="720"/>
      <w:jc w:val="left"/>
    </w:pPr>
    <w:rPr>
      <w:rFonts w:ascii="Calibri" w:eastAsia="SimSun" w:hAnsi="Calibri"/>
      <w:sz w:val="22"/>
      <w:szCs w:val="22"/>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uiPriority w:val="99"/>
    <w:qFormat/>
    <w:rsid w:val="00D95E85"/>
    <w:rPr>
      <w:sz w:val="20"/>
    </w:rPr>
  </w:style>
  <w:style w:type="character" w:styleId="FootnoteReference">
    <w:name w:val="footnote reference"/>
    <w:aliases w:val="BVI fnr,(Footnote Reference),16 Point,Exposant 3 Point,Footnote,Footnote Reference1,Footnote call,Footnote reference number,Footnote symbol,Ref,SUPERS,Times 10 Point,Voetnootverwijzing,de nota al pie,note TESI,stylish,fr"/>
    <w:uiPriority w:val="99"/>
    <w:locked/>
    <w:rsid w:val="00D95E85"/>
    <w:rPr>
      <w:vertAlign w:val="superscript"/>
    </w:rPr>
  </w:style>
  <w:style w:type="paragraph" w:customStyle="1" w:styleId="Default">
    <w:name w:val="Default"/>
    <w:rsid w:val="00D95E85"/>
    <w:pPr>
      <w:autoSpaceDE w:val="0"/>
      <w:autoSpaceDN w:val="0"/>
      <w:adjustRightInd w:val="0"/>
    </w:pPr>
    <w:rPr>
      <w:rFonts w:ascii="Arial" w:eastAsia="SimSun" w:hAnsi="Arial" w:cs="Arial"/>
      <w:color w:val="000000"/>
      <w:szCs w:val="24"/>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D95E85"/>
    <w:rPr>
      <w:rFonts w:ascii="Calibri" w:eastAsia="SimSun" w:hAnsi="Calibri"/>
      <w:sz w:val="22"/>
      <w:szCs w:val="22"/>
    </w:rPr>
  </w:style>
  <w:style w:type="paragraph" w:styleId="BalloonText">
    <w:name w:val="Balloon Text"/>
    <w:basedOn w:val="Normal"/>
    <w:link w:val="BalloonTextChar"/>
    <w:semiHidden/>
    <w:locked/>
    <w:rsid w:val="00D95E8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95E85"/>
    <w:rPr>
      <w:rFonts w:ascii="Segoe UI" w:hAnsi="Segoe UI" w:cs="Segoe UI"/>
      <w:sz w:val="18"/>
      <w:szCs w:val="18"/>
    </w:rPr>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ind w:left="0"/>
    </w:pPr>
  </w:style>
  <w:style w:type="paragraph" w:customStyle="1" w:styleId="ListNumber3Level3">
    <w:name w:val="List Number 3 (Level 3)"/>
    <w:basedOn w:val="Text3"/>
    <w:unhideWhenUsed/>
    <w:pPr>
      <w:ind w:left="0"/>
    </w:pPr>
  </w:style>
  <w:style w:type="paragraph" w:customStyle="1" w:styleId="ListNumber3Level2">
    <w:name w:val="List Number 3 (Level 2)"/>
    <w:basedOn w:val="Text3"/>
    <w:pPr>
      <w:ind w:left="0"/>
    </w:pPr>
  </w:style>
  <w:style w:type="paragraph" w:styleId="ListNumber3">
    <w:name w:val="List Number 3"/>
    <w:basedOn w:val="Text3"/>
    <w:pPr>
      <w:ind w:left="0"/>
    </w:pPr>
  </w:style>
  <w:style w:type="paragraph" w:customStyle="1" w:styleId="ListNumber2Level4">
    <w:name w:val="List Number 2 (Level 4)"/>
    <w:basedOn w:val="Text2"/>
    <w:semiHidden/>
    <w:unhideWhenUsed/>
    <w:pPr>
      <w:numPr>
        <w:ilvl w:val="3"/>
        <w:numId w:val="12"/>
      </w:numPr>
    </w:pPr>
  </w:style>
  <w:style w:type="paragraph" w:customStyle="1" w:styleId="ListNumber2Level3">
    <w:name w:val="List Number 2 (Level 3)"/>
    <w:basedOn w:val="Text2"/>
    <w:semiHidden/>
    <w:unhideWhenUsed/>
    <w:pPr>
      <w:numPr>
        <w:ilvl w:val="2"/>
        <w:numId w:val="12"/>
      </w:numPr>
    </w:pPr>
  </w:style>
  <w:style w:type="paragraph" w:customStyle="1" w:styleId="ListNumber2Level2">
    <w:name w:val="List Number 2 (Level 2)"/>
    <w:basedOn w:val="Text2"/>
    <w:pPr>
      <w:numPr>
        <w:ilvl w:val="1"/>
        <w:numId w:val="12"/>
      </w:numPr>
    </w:pPr>
  </w:style>
  <w:style w:type="paragraph" w:styleId="ListNumber2">
    <w:name w:val="List Number 2"/>
    <w:basedOn w:val="Text2"/>
    <w:pPr>
      <w:numPr>
        <w:numId w:val="12"/>
      </w:numPr>
    </w:pPr>
  </w:style>
  <w:style w:type="paragraph" w:customStyle="1" w:styleId="ListNumber1Level4">
    <w:name w:val="List Number 1 (Level 4)"/>
    <w:basedOn w:val="Text1"/>
    <w:semiHidden/>
    <w:unhideWhenUsed/>
    <w:pPr>
      <w:numPr>
        <w:ilvl w:val="3"/>
        <w:numId w:val="11"/>
      </w:numPr>
    </w:pPr>
  </w:style>
  <w:style w:type="paragraph" w:customStyle="1" w:styleId="ListNumber1Level3">
    <w:name w:val="List Number 1 (Level 3)"/>
    <w:basedOn w:val="Text1"/>
    <w:semiHidden/>
    <w:unhideWhenUsed/>
    <w:pPr>
      <w:numPr>
        <w:ilvl w:val="2"/>
        <w:numId w:val="11"/>
      </w:numPr>
    </w:pPr>
  </w:style>
  <w:style w:type="paragraph" w:customStyle="1" w:styleId="ListNumber1Level2">
    <w:name w:val="List Number 1 (Level 2)"/>
    <w:basedOn w:val="Text1"/>
    <w:pPr>
      <w:numPr>
        <w:ilvl w:val="1"/>
        <w:numId w:val="11"/>
      </w:numPr>
    </w:pPr>
  </w:style>
  <w:style w:type="paragraph" w:customStyle="1" w:styleId="ListNumber1">
    <w:name w:val="List Number 1"/>
    <w:basedOn w:val="Text1"/>
    <w:pPr>
      <w:numPr>
        <w:numId w:val="11"/>
      </w:numPr>
    </w:pPr>
  </w:style>
  <w:style w:type="paragraph" w:customStyle="1" w:styleId="ListNumberLevel4">
    <w:name w:val="List Number (Level 4)"/>
    <w:basedOn w:val="Normal"/>
    <w:unhideWhenUsed/>
    <w:pPr>
      <w:numPr>
        <w:ilvl w:val="3"/>
        <w:numId w:val="10"/>
      </w:numPr>
    </w:pPr>
  </w:style>
  <w:style w:type="paragraph" w:customStyle="1" w:styleId="ListNumberLevel3">
    <w:name w:val="List Number (Level 3)"/>
    <w:basedOn w:val="Normal"/>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9"/>
      </w:numPr>
    </w:pPr>
  </w:style>
  <w:style w:type="paragraph" w:customStyle="1" w:styleId="ListBullet4Level3">
    <w:name w:val="List Bullet 4 (Level 3)"/>
    <w:basedOn w:val="Text4"/>
    <w:semiHidden/>
    <w:unhideWhenUsed/>
    <w:pPr>
      <w:numPr>
        <w:ilvl w:val="2"/>
        <w:numId w:val="9"/>
      </w:numPr>
    </w:pPr>
  </w:style>
  <w:style w:type="paragraph" w:customStyle="1" w:styleId="ListBullet4Level2">
    <w:name w:val="List Bullet 4 (Level 2)"/>
    <w:basedOn w:val="Text4"/>
    <w:pPr>
      <w:numPr>
        <w:ilvl w:val="1"/>
        <w:numId w:val="9"/>
      </w:numPr>
    </w:pPr>
  </w:style>
  <w:style w:type="paragraph" w:styleId="ListBullet4">
    <w:name w:val="List Bullet 4"/>
    <w:basedOn w:val="Text4"/>
    <w:pPr>
      <w:numPr>
        <w:numId w:val="9"/>
      </w:numPr>
    </w:pPr>
  </w:style>
  <w:style w:type="paragraph" w:customStyle="1" w:styleId="ListBullet3Level4">
    <w:name w:val="List Bullet 3 (Level 4)"/>
    <w:basedOn w:val="Text3"/>
    <w:semiHidden/>
    <w:unhideWhenUsed/>
    <w:pPr>
      <w:numPr>
        <w:ilvl w:val="3"/>
        <w:numId w:val="8"/>
      </w:numPr>
    </w:pPr>
  </w:style>
  <w:style w:type="paragraph" w:customStyle="1" w:styleId="ListBullet3Level3">
    <w:name w:val="List Bullet 3 (Level 3)"/>
    <w:basedOn w:val="Text3"/>
    <w:semiHidden/>
    <w:unhideWhenUsed/>
    <w:pPr>
      <w:numPr>
        <w:ilvl w:val="2"/>
        <w:numId w:val="8"/>
      </w:numPr>
    </w:pPr>
  </w:style>
  <w:style w:type="paragraph" w:customStyle="1" w:styleId="ListBullet3Level2">
    <w:name w:val="List Bullet 3 (Level 2)"/>
    <w:basedOn w:val="Text3"/>
    <w:pPr>
      <w:numPr>
        <w:ilvl w:val="1"/>
        <w:numId w:val="8"/>
      </w:numPr>
    </w:pPr>
  </w:style>
  <w:style w:type="paragraph" w:styleId="ListBullet3">
    <w:name w:val="List Bullet 3"/>
    <w:basedOn w:val="Text3"/>
    <w:pPr>
      <w:numPr>
        <w:numId w:val="8"/>
      </w:numPr>
    </w:pPr>
  </w:style>
  <w:style w:type="paragraph" w:customStyle="1" w:styleId="ListBullet2Level4">
    <w:name w:val="List Bullet 2 (Level 4)"/>
    <w:basedOn w:val="Text2"/>
    <w:semiHidden/>
    <w:unhideWhenUsed/>
    <w:pPr>
      <w:numPr>
        <w:ilvl w:val="3"/>
        <w:numId w:val="7"/>
      </w:numPr>
    </w:pPr>
  </w:style>
  <w:style w:type="paragraph" w:customStyle="1" w:styleId="ListBullet2Level3">
    <w:name w:val="List Bullet 2 (Level 3)"/>
    <w:basedOn w:val="Text2"/>
    <w:semiHidden/>
    <w:unhideWhenUsed/>
    <w:pPr>
      <w:numPr>
        <w:ilvl w:val="2"/>
        <w:numId w:val="7"/>
      </w:numPr>
    </w:pPr>
  </w:style>
  <w:style w:type="paragraph" w:customStyle="1" w:styleId="ListBullet2Level2">
    <w:name w:val="List Bullet 2 (Level 2)"/>
    <w:basedOn w:val="Text2"/>
    <w:pPr>
      <w:numPr>
        <w:ilvl w:val="1"/>
        <w:numId w:val="7"/>
      </w:numPr>
    </w:pPr>
  </w:style>
  <w:style w:type="paragraph" w:styleId="ListBullet2">
    <w:name w:val="List Bullet 2"/>
    <w:basedOn w:val="Text2"/>
    <w:pPr>
      <w:numPr>
        <w:numId w:val="7"/>
      </w:numPr>
    </w:pPr>
  </w:style>
  <w:style w:type="paragraph" w:customStyle="1" w:styleId="ListBullet1Level4">
    <w:name w:val="List Bullet 1 (Level 4)"/>
    <w:basedOn w:val="Text1"/>
    <w:semiHidden/>
    <w:unhideWhenUsed/>
    <w:pPr>
      <w:numPr>
        <w:ilvl w:val="3"/>
        <w:numId w:val="6"/>
      </w:numPr>
    </w:pPr>
  </w:style>
  <w:style w:type="paragraph" w:customStyle="1" w:styleId="ListBullet1Level3">
    <w:name w:val="List Bullet 1 (Level 3)"/>
    <w:basedOn w:val="Text1"/>
    <w:semiHidden/>
    <w:unhideWhenUsed/>
    <w:pPr>
      <w:numPr>
        <w:ilvl w:val="2"/>
        <w:numId w:val="6"/>
      </w:numPr>
    </w:pPr>
  </w:style>
  <w:style w:type="paragraph" w:customStyle="1" w:styleId="ListBullet1Level2">
    <w:name w:val="List Bullet 1 (Level 2)"/>
    <w:basedOn w:val="Text1"/>
    <w:pPr>
      <w:numPr>
        <w:ilvl w:val="1"/>
        <w:numId w:val="6"/>
      </w:numPr>
    </w:pPr>
  </w:style>
  <w:style w:type="paragraph" w:customStyle="1" w:styleId="ListBullet1">
    <w:name w:val="List Bullet 1"/>
    <w:basedOn w:val="Text1"/>
    <w:pPr>
      <w:numPr>
        <w:numId w:val="6"/>
      </w:numPr>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numPr>
        <w:numId w:val="5"/>
      </w:numPr>
    </w:pPr>
  </w:style>
  <w:style w:type="paragraph" w:styleId="TOC9">
    <w:name w:val="toc 9"/>
    <w:basedOn w:val="Normal"/>
    <w:next w:val="Normal"/>
    <w:semiHidden/>
    <w:pPr>
      <w:spacing w:after="0"/>
      <w:ind w:left="1920"/>
      <w:jc w:val="left"/>
    </w:pPr>
    <w:rPr>
      <w:rFonts w:asciiTheme="minorHAnsi" w:hAnsiTheme="minorHAnsi" w:cstheme="minorHAnsi"/>
      <w:sz w:val="20"/>
    </w:rPr>
  </w:style>
  <w:style w:type="paragraph" w:styleId="TOC8">
    <w:name w:val="toc 8"/>
    <w:basedOn w:val="Normal"/>
    <w:next w:val="Normal"/>
    <w:semiHidden/>
    <w:pPr>
      <w:spacing w:after="0"/>
      <w:ind w:left="1680"/>
      <w:jc w:val="left"/>
    </w:pPr>
    <w:rPr>
      <w:rFonts w:asciiTheme="minorHAnsi" w:hAnsiTheme="minorHAnsi" w:cstheme="minorHAnsi"/>
      <w:sz w:val="20"/>
    </w:rPr>
  </w:style>
  <w:style w:type="paragraph" w:styleId="TOC7">
    <w:name w:val="toc 7"/>
    <w:basedOn w:val="Normal"/>
    <w:next w:val="Normal"/>
    <w:semiHidden/>
    <w:pPr>
      <w:spacing w:after="0"/>
      <w:ind w:left="1440"/>
      <w:jc w:val="left"/>
    </w:pPr>
    <w:rPr>
      <w:rFonts w:asciiTheme="minorHAnsi" w:hAnsiTheme="minorHAnsi" w:cstheme="minorHAnsi"/>
      <w:sz w:val="20"/>
    </w:rPr>
  </w:style>
  <w:style w:type="paragraph" w:styleId="TOC6">
    <w:name w:val="toc 6"/>
    <w:basedOn w:val="Normal"/>
    <w:next w:val="Normal"/>
    <w:semiHidden/>
    <w:pPr>
      <w:spacing w:after="0"/>
      <w:ind w:left="1200"/>
      <w:jc w:val="left"/>
    </w:pPr>
    <w:rPr>
      <w:rFonts w:asciiTheme="minorHAnsi" w:hAnsiTheme="minorHAnsi" w:cstheme="minorHAnsi"/>
      <w:sz w:val="20"/>
    </w:rPr>
  </w:style>
  <w:style w:type="paragraph" w:styleId="TOC5">
    <w:name w:val="toc 5"/>
    <w:basedOn w:val="Normal"/>
    <w:next w:val="Normal"/>
    <w:semiHidden/>
    <w:pPr>
      <w:spacing w:after="0"/>
      <w:ind w:left="960"/>
      <w:jc w:val="left"/>
    </w:pPr>
    <w:rPr>
      <w:rFonts w:asciiTheme="minorHAnsi" w:hAnsiTheme="minorHAnsi" w:cstheme="minorHAnsi"/>
      <w:sz w:val="20"/>
    </w:rPr>
  </w:style>
  <w:style w:type="paragraph" w:styleId="TOC4">
    <w:name w:val="toc 4"/>
    <w:basedOn w:val="Normal"/>
    <w:next w:val="Normal"/>
    <w:uiPriority w:val="99"/>
    <w:semiHidden/>
    <w:pPr>
      <w:spacing w:after="0"/>
      <w:ind w:left="720"/>
      <w:jc w:val="left"/>
    </w:pPr>
    <w:rPr>
      <w:rFonts w:asciiTheme="minorHAnsi" w:hAnsiTheme="minorHAnsi" w:cstheme="minorHAnsi"/>
      <w:sz w:val="20"/>
    </w:rPr>
  </w:style>
  <w:style w:type="paragraph" w:styleId="TOC3">
    <w:name w:val="toc 3"/>
    <w:basedOn w:val="Normal"/>
    <w:next w:val="Normal"/>
    <w:uiPriority w:val="99"/>
    <w:semiHidden/>
    <w:pPr>
      <w:spacing w:after="0"/>
      <w:ind w:left="480"/>
      <w:jc w:val="left"/>
    </w:pPr>
    <w:rPr>
      <w:rFonts w:asciiTheme="minorHAnsi" w:hAnsiTheme="minorHAnsi" w:cstheme="minorHAnsi"/>
      <w:sz w:val="20"/>
    </w:rPr>
  </w:style>
  <w:style w:type="paragraph" w:styleId="TOC2">
    <w:name w:val="toc 2"/>
    <w:basedOn w:val="Normal"/>
    <w:next w:val="Normal"/>
    <w:uiPriority w:val="39"/>
    <w:pPr>
      <w:spacing w:before="120" w:after="0"/>
      <w:ind w:left="240"/>
      <w:jc w:val="left"/>
    </w:pPr>
    <w:rPr>
      <w:rFonts w:asciiTheme="minorHAnsi" w:hAnsiTheme="minorHAnsi" w:cstheme="minorHAnsi"/>
      <w:i/>
      <w:iCs/>
      <w:sz w:val="20"/>
    </w:rPr>
  </w:style>
  <w:style w:type="paragraph" w:styleId="TOC1">
    <w:name w:val="toc 1"/>
    <w:basedOn w:val="Normal"/>
    <w:next w:val="Normal"/>
    <w:uiPriority w:val="39"/>
    <w:pPr>
      <w:spacing w:before="240" w:after="120"/>
      <w:jc w:val="left"/>
    </w:pPr>
    <w:rPr>
      <w:rFonts w:asciiTheme="minorHAnsi" w:hAnsiTheme="minorHAnsi" w:cstheme="minorHAnsi"/>
      <w:b/>
      <w:bCs/>
      <w:sz w:val="20"/>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qFormat/>
    <w:pPr>
      <w:keepNext w:val="0"/>
      <w:outlineLvl w:val="9"/>
    </w:pPr>
  </w:style>
  <w:style w:type="paragraph" w:customStyle="1" w:styleId="NumPar3">
    <w:name w:val="NumPar 3"/>
    <w:basedOn w:val="Heading3"/>
    <w:qFormat/>
    <w:pPr>
      <w:keepNext w:val="0"/>
      <w:outlineLvl w:val="9"/>
    </w:pPr>
    <w:rPr>
      <w:i w:val="0"/>
    </w:rPr>
  </w:style>
  <w:style w:type="paragraph" w:customStyle="1" w:styleId="NumPar2">
    <w:name w:val="NumPar 2"/>
    <w:basedOn w:val="Heading2"/>
    <w:qFormat/>
    <w:pPr>
      <w:keepNext w:val="0"/>
      <w:outlineLvl w:val="9"/>
    </w:pPr>
    <w:rPr>
      <w:b w:val="0"/>
    </w:rPr>
  </w:style>
  <w:style w:type="paragraph" w:customStyle="1" w:styleId="NumPar1">
    <w:name w:val="NumPar 1"/>
    <w:basedOn w:val="Heading1"/>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uiPriority w:val="99"/>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uiPriority w:val="99"/>
    <w:pPr>
      <w:ind w:left="5102" w:right="-567"/>
      <w:contextualSpacing/>
      <w:jc w:val="left"/>
    </w:pPr>
    <w:rPr>
      <w:sz w:val="20"/>
    </w:rPr>
  </w:style>
  <w:style w:type="paragraph" w:styleId="Date">
    <w:name w:val="Date"/>
    <w:basedOn w:val="Normal"/>
    <w:next w:val="References"/>
    <w:link w:val="DateChar"/>
    <w:uiPriority w:val="99"/>
    <w:pPr>
      <w:spacing w:after="0"/>
      <w:ind w:left="5102" w:right="-567"/>
      <w:jc w:val="left"/>
    </w:p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link w:val="Text1Char"/>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CommentReference">
    <w:name w:val="annotation reference"/>
    <w:basedOn w:val="DefaultParagraphFont"/>
    <w:uiPriority w:val="99"/>
    <w:locked/>
    <w:rsid w:val="00277293"/>
    <w:rPr>
      <w:sz w:val="16"/>
      <w:szCs w:val="16"/>
    </w:rPr>
  </w:style>
  <w:style w:type="paragraph" w:styleId="CommentText">
    <w:name w:val="annotation text"/>
    <w:basedOn w:val="Normal"/>
    <w:link w:val="CommentTextChar"/>
    <w:uiPriority w:val="99"/>
    <w:locked/>
    <w:rsid w:val="00277293"/>
    <w:rPr>
      <w:sz w:val="20"/>
    </w:rPr>
  </w:style>
  <w:style w:type="character" w:customStyle="1" w:styleId="CommentTextChar">
    <w:name w:val="Comment Text Char"/>
    <w:basedOn w:val="DefaultParagraphFont"/>
    <w:link w:val="CommentText"/>
    <w:uiPriority w:val="99"/>
    <w:rsid w:val="00277293"/>
    <w:rPr>
      <w:sz w:val="20"/>
    </w:rPr>
  </w:style>
  <w:style w:type="paragraph" w:styleId="CommentSubject">
    <w:name w:val="annotation subject"/>
    <w:basedOn w:val="CommentText"/>
    <w:next w:val="CommentText"/>
    <w:link w:val="CommentSubjectChar"/>
    <w:semiHidden/>
    <w:locked/>
    <w:rsid w:val="00277293"/>
    <w:rPr>
      <w:b/>
      <w:bCs/>
    </w:rPr>
  </w:style>
  <w:style w:type="character" w:customStyle="1" w:styleId="CommentSubjectChar">
    <w:name w:val="Comment Subject Char"/>
    <w:basedOn w:val="CommentTextChar"/>
    <w:link w:val="CommentSubject"/>
    <w:semiHidden/>
    <w:rsid w:val="00277293"/>
    <w:rPr>
      <w:b/>
      <w:bCs/>
      <w:sz w:val="20"/>
    </w:rPr>
  </w:style>
  <w:style w:type="character" w:styleId="Hyperlink">
    <w:name w:val="Hyperlink"/>
    <w:basedOn w:val="DefaultParagraphFont"/>
    <w:uiPriority w:val="99"/>
    <w:unhideWhenUsed/>
    <w:locked/>
    <w:rsid w:val="005F0A5F"/>
    <w:rPr>
      <w:color w:val="0563C1"/>
      <w:u w:val="single"/>
    </w:rPr>
  </w:style>
  <w:style w:type="table" w:styleId="TableGrid">
    <w:name w:val="Table Grid"/>
    <w:basedOn w:val="TableNormal"/>
    <w:uiPriority w:val="1"/>
    <w:locked/>
    <w:rsid w:val="00F74B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uiPriority w:val="99"/>
    <w:rsid w:val="002F62EC"/>
  </w:style>
  <w:style w:type="paragraph" w:styleId="Revision">
    <w:name w:val="Revision"/>
    <w:hidden/>
    <w:semiHidden/>
    <w:locked/>
    <w:rsid w:val="00E13A9D"/>
  </w:style>
  <w:style w:type="paragraph" w:customStyle="1" w:styleId="Briefingtext">
    <w:name w:val="Briefing text"/>
    <w:basedOn w:val="Normal"/>
    <w:link w:val="BriefingtextChar"/>
    <w:rsid w:val="00574085"/>
    <w:rPr>
      <w:rFonts w:ascii="Arial" w:hAnsi="Arial" w:cs="Arial"/>
      <w:sz w:val="22"/>
      <w:szCs w:val="24"/>
    </w:rPr>
  </w:style>
  <w:style w:type="character" w:customStyle="1" w:styleId="BriefingtextChar">
    <w:name w:val="Briefing text Char"/>
    <w:link w:val="Briefingtext"/>
    <w:rsid w:val="00574085"/>
    <w:rPr>
      <w:rFonts w:ascii="Arial" w:hAnsi="Arial" w:cs="Arial"/>
      <w:sz w:val="22"/>
      <w:szCs w:val="24"/>
    </w:rPr>
  </w:style>
  <w:style w:type="paragraph" w:customStyle="1" w:styleId="Briefingheading1">
    <w:name w:val="Briefing heading 1"/>
    <w:basedOn w:val="Briefingtext"/>
    <w:next w:val="Briefingtext"/>
    <w:rsid w:val="00574085"/>
    <w:pPr>
      <w:keepNext/>
      <w:spacing w:before="240"/>
    </w:pPr>
    <w:rPr>
      <w:b/>
      <w:sz w:val="24"/>
      <w:u w:val="single"/>
    </w:rPr>
  </w:style>
  <w:style w:type="paragraph" w:customStyle="1" w:styleId="Briefingcontact">
    <w:name w:val="Briefing contact"/>
    <w:basedOn w:val="Briefingtext"/>
    <w:next w:val="Briefingtext"/>
    <w:rsid w:val="00574085"/>
    <w:pPr>
      <w:tabs>
        <w:tab w:val="left" w:pos="1260"/>
      </w:tabs>
      <w:spacing w:before="240"/>
      <w:ind w:left="1259" w:hanging="1259"/>
      <w:jc w:val="left"/>
    </w:pPr>
    <w:rPr>
      <w:b/>
    </w:rPr>
  </w:style>
  <w:style w:type="character" w:customStyle="1" w:styleId="Text1Char">
    <w:name w:val="Text 1 Char"/>
    <w:basedOn w:val="DefaultParagraphFont"/>
    <w:link w:val="Text1"/>
    <w:locked/>
    <w:rsid w:val="00D87E3C"/>
  </w:style>
  <w:style w:type="character" w:customStyle="1" w:styleId="Heading2Char">
    <w:name w:val="Heading 2 Char"/>
    <w:basedOn w:val="DefaultParagraphFont"/>
    <w:link w:val="Heading2"/>
    <w:uiPriority w:val="90"/>
    <w:rsid w:val="00C51B0F"/>
    <w:rPr>
      <w:b/>
    </w:rPr>
  </w:style>
  <w:style w:type="character" w:customStyle="1" w:styleId="Heading1Char">
    <w:name w:val="Heading 1 Char"/>
    <w:basedOn w:val="DefaultParagraphFont"/>
    <w:link w:val="Heading1"/>
    <w:rsid w:val="009449E8"/>
    <w:rPr>
      <w:b/>
      <w:smallCaps/>
    </w:rPr>
  </w:style>
  <w:style w:type="character" w:customStyle="1" w:styleId="DeltaViewInsertion">
    <w:name w:val="DeltaView Insertion"/>
    <w:uiPriority w:val="99"/>
    <w:rsid w:val="00791AB9"/>
    <w:rPr>
      <w:b/>
      <w:bCs w:val="0"/>
      <w:i/>
      <w:iCs w:val="0"/>
      <w:color w:val="000000"/>
    </w:rPr>
  </w:style>
  <w:style w:type="paragraph" w:customStyle="1" w:styleId="P68B1DB1-Normalny13">
    <w:name w:val="P68B1DB1-Normalny13"/>
    <w:basedOn w:val="Normal"/>
    <w:rsid w:val="00197D90"/>
    <w:pPr>
      <w:spacing w:after="0" w:line="276" w:lineRule="auto"/>
      <w:jc w:val="left"/>
    </w:pPr>
    <w:rPr>
      <w:rFonts w:asciiTheme="minorHAnsi" w:eastAsiaTheme="minorEastAsia" w:hAnsiTheme="minorHAnsi" w:cstheme="minorBidi"/>
      <w:sz w:val="22"/>
    </w:rPr>
  </w:style>
  <w:style w:type="paragraph" w:customStyle="1" w:styleId="P68B1DB1-Akapitzlist16">
    <w:name w:val="P68B1DB1-Akapitzlist16"/>
    <w:basedOn w:val="ListParagraph"/>
    <w:rsid w:val="00197D90"/>
    <w:pPr>
      <w:spacing w:line="276" w:lineRule="auto"/>
      <w:contextualSpacing/>
    </w:pPr>
    <w:rPr>
      <w:rFonts w:asciiTheme="minorHAnsi" w:eastAsiaTheme="minorEastAsia" w:hAnsiTheme="minorHAnsi" w:cstheme="minorBidi"/>
      <w:szCs w:val="20"/>
    </w:rPr>
  </w:style>
  <w:style w:type="paragraph" w:customStyle="1" w:styleId="P68B1DB1-Legenda21">
    <w:name w:val="P68B1DB1-Legenda21"/>
    <w:basedOn w:val="Caption"/>
    <w:rsid w:val="00197D90"/>
    <w:pPr>
      <w:spacing w:before="0" w:after="200"/>
      <w:jc w:val="left"/>
    </w:pPr>
    <w:rPr>
      <w:rFonts w:asciiTheme="minorHAnsi" w:eastAsiaTheme="minorEastAsia" w:hAnsiTheme="minorHAnsi" w:cstheme="minorBidi"/>
    </w:rPr>
  </w:style>
  <w:style w:type="paragraph" w:customStyle="1" w:styleId="P68B1DB1-Akapitzlist44">
    <w:name w:val="P68B1DB1-Akapitzlist44"/>
    <w:basedOn w:val="ListParagraph"/>
    <w:rsid w:val="00197D90"/>
    <w:pPr>
      <w:spacing w:line="276" w:lineRule="auto"/>
      <w:contextualSpacing/>
    </w:pPr>
    <w:rPr>
      <w:rFonts w:asciiTheme="minorHAnsi" w:eastAsiaTheme="minorEastAsia" w:hAnsiTheme="minorHAnsi" w:cstheme="minorBidi"/>
      <w:color w:val="44546A" w:themeColor="text2"/>
      <w:szCs w:val="20"/>
    </w:rPr>
  </w:style>
  <w:style w:type="paragraph" w:customStyle="1" w:styleId="P68B1DB1-Normalny46">
    <w:name w:val="P68B1DB1-Normalny46"/>
    <w:basedOn w:val="Normal"/>
    <w:rsid w:val="00197D90"/>
    <w:pPr>
      <w:spacing w:after="0" w:line="276" w:lineRule="auto"/>
      <w:jc w:val="left"/>
    </w:pPr>
    <w:rPr>
      <w:rFonts w:ascii="Calibri" w:eastAsia="Calibri" w:hAnsi="Calibri"/>
      <w:sz w:val="22"/>
    </w:rPr>
  </w:style>
  <w:style w:type="paragraph" w:customStyle="1" w:styleId="P68B1DB1-Normalny52">
    <w:name w:val="P68B1DB1-Normalny52"/>
    <w:basedOn w:val="Normal"/>
    <w:rsid w:val="00197D90"/>
    <w:pPr>
      <w:spacing w:after="0" w:line="276" w:lineRule="auto"/>
      <w:jc w:val="left"/>
    </w:pPr>
    <w:rPr>
      <w:rFonts w:ascii="Calibri" w:eastAsia="Calibri" w:hAnsi="Calibri"/>
      <w:i/>
      <w:sz w:val="22"/>
    </w:rPr>
  </w:style>
  <w:style w:type="paragraph" w:customStyle="1" w:styleId="P68B1DB1-Normalny59">
    <w:name w:val="P68B1DB1-Normalny59"/>
    <w:basedOn w:val="Normal"/>
    <w:rsid w:val="00197D90"/>
    <w:pPr>
      <w:spacing w:after="0" w:line="276" w:lineRule="auto"/>
      <w:jc w:val="left"/>
    </w:pPr>
    <w:rPr>
      <w:rFonts w:ascii="Calibri" w:eastAsia="Calibri" w:hAnsi="Calibri"/>
      <w:b/>
      <w:i/>
      <w:sz w:val="22"/>
    </w:rPr>
  </w:style>
  <w:style w:type="paragraph" w:customStyle="1" w:styleId="P68B1DB1-Akapitzlist60">
    <w:name w:val="P68B1DB1-Akapitzlist60"/>
    <w:basedOn w:val="ListParagraph"/>
    <w:rsid w:val="00197D90"/>
    <w:pPr>
      <w:spacing w:line="276" w:lineRule="auto"/>
      <w:contextualSpacing/>
    </w:pPr>
    <w:rPr>
      <w:rFonts w:eastAsia="Calibri"/>
      <w:szCs w:val="20"/>
    </w:rPr>
  </w:style>
  <w:style w:type="paragraph" w:customStyle="1" w:styleId="Point1letter">
    <w:name w:val="Point 1 (letter)"/>
    <w:basedOn w:val="Normal"/>
    <w:rsid w:val="00197D90"/>
    <w:pPr>
      <w:tabs>
        <w:tab w:val="num" w:pos="1417"/>
      </w:tabs>
      <w:spacing w:before="120" w:after="120"/>
      <w:ind w:left="1417" w:hanging="567"/>
    </w:pPr>
    <w:rPr>
      <w:rFonts w:eastAsiaTheme="minorHAnsi"/>
    </w:rPr>
  </w:style>
  <w:style w:type="paragraph" w:customStyle="1" w:styleId="P68B1DB1-Normaallaad8">
    <w:name w:val="P68B1DB1-Normaallaad8"/>
    <w:basedOn w:val="Normal"/>
    <w:rsid w:val="00197D90"/>
    <w:pPr>
      <w:spacing w:after="160" w:line="259" w:lineRule="auto"/>
      <w:jc w:val="left"/>
    </w:pPr>
    <w:rPr>
      <w:rFonts w:ascii="Cambria" w:eastAsia="Calibri" w:hAnsi="Cambria"/>
      <w:b/>
      <w:sz w:val="22"/>
    </w:rPr>
  </w:style>
  <w:style w:type="paragraph" w:customStyle="1" w:styleId="P68B1DB1-Normaallaad9">
    <w:name w:val="P68B1DB1-Normaallaad9"/>
    <w:basedOn w:val="Normal"/>
    <w:rsid w:val="00197D90"/>
    <w:pPr>
      <w:spacing w:after="160" w:line="259" w:lineRule="auto"/>
      <w:jc w:val="left"/>
    </w:pPr>
    <w:rPr>
      <w:rFonts w:ascii="Cambria" w:eastAsia="Calibri" w:hAnsi="Cambria"/>
      <w:sz w:val="22"/>
    </w:rPr>
  </w:style>
  <w:style w:type="paragraph" w:customStyle="1" w:styleId="oj-normal">
    <w:name w:val="oj-normal"/>
    <w:basedOn w:val="Normal"/>
    <w:rsid w:val="00EB2C96"/>
    <w:pPr>
      <w:spacing w:before="100" w:beforeAutospacing="1" w:after="100" w:afterAutospacing="1"/>
      <w:jc w:val="left"/>
    </w:pPr>
    <w:rPr>
      <w:szCs w:val="24"/>
    </w:rPr>
  </w:style>
  <w:style w:type="character" w:customStyle="1" w:styleId="oj-super">
    <w:name w:val="oj-super"/>
    <w:basedOn w:val="DefaultParagraphFont"/>
    <w:rsid w:val="00697AE0"/>
  </w:style>
  <w:style w:type="paragraph" w:customStyle="1" w:styleId="title-bold">
    <w:name w:val="title-bold"/>
    <w:basedOn w:val="Normal"/>
    <w:rsid w:val="00F27E59"/>
    <w:pPr>
      <w:spacing w:before="100" w:beforeAutospacing="1" w:after="100" w:afterAutospacing="1"/>
      <w:jc w:val="left"/>
    </w:pPr>
    <w:rPr>
      <w:szCs w:val="24"/>
    </w:rPr>
  </w:style>
  <w:style w:type="paragraph" w:customStyle="1" w:styleId="Tiret1">
    <w:name w:val="Tiret 1"/>
    <w:basedOn w:val="Normal"/>
    <w:rsid w:val="00684757"/>
    <w:pPr>
      <w:numPr>
        <w:numId w:val="20"/>
      </w:numPr>
      <w:spacing w:before="120" w:after="120"/>
    </w:pPr>
    <w:rPr>
      <w:rFonts w:eastAsia="Calibri"/>
      <w:szCs w:val="22"/>
    </w:rPr>
  </w:style>
  <w:style w:type="paragraph" w:customStyle="1" w:styleId="Tiret2">
    <w:name w:val="Tiret 2"/>
    <w:basedOn w:val="Normal"/>
    <w:rsid w:val="00684757"/>
    <w:pPr>
      <w:numPr>
        <w:numId w:val="21"/>
      </w:numPr>
      <w:spacing w:before="120" w:after="120"/>
    </w:pPr>
    <w:rPr>
      <w:rFonts w:eastAsia="Calibri"/>
      <w:szCs w:val="22"/>
    </w:rPr>
  </w:style>
  <w:style w:type="paragraph" w:styleId="NormalWeb">
    <w:name w:val="Normal (Web)"/>
    <w:basedOn w:val="Normal"/>
    <w:uiPriority w:val="99"/>
    <w:unhideWhenUsed/>
    <w:locked/>
    <w:rsid w:val="00EF7804"/>
    <w:pPr>
      <w:spacing w:before="100" w:beforeAutospacing="1" w:after="100" w:afterAutospacing="1"/>
      <w:jc w:val="left"/>
    </w:pPr>
    <w:rPr>
      <w:szCs w:val="24"/>
      <w:lang w:eastAsia="en-IE"/>
    </w:rPr>
  </w:style>
  <w:style w:type="character" w:customStyle="1" w:styleId="UnresolvedMention1">
    <w:name w:val="Unresolved Mention1"/>
    <w:basedOn w:val="DefaultParagraphFont"/>
    <w:uiPriority w:val="99"/>
    <w:semiHidden/>
    <w:unhideWhenUsed/>
    <w:rsid w:val="00EF7804"/>
    <w:rPr>
      <w:color w:val="605E5C"/>
      <w:shd w:val="clear" w:color="auto" w:fill="E1DFDD"/>
    </w:rPr>
  </w:style>
  <w:style w:type="character" w:styleId="FollowedHyperlink">
    <w:name w:val="FollowedHyperlink"/>
    <w:basedOn w:val="DefaultParagraphFont"/>
    <w:semiHidden/>
    <w:locked/>
    <w:rsid w:val="00EF7804"/>
    <w:rPr>
      <w:color w:val="954F72" w:themeColor="followedHyperlink"/>
      <w:u w:val="single"/>
    </w:rPr>
  </w:style>
  <w:style w:type="paragraph" w:customStyle="1" w:styleId="oj-ti-section-1">
    <w:name w:val="oj-ti-section-1"/>
    <w:basedOn w:val="Normal"/>
    <w:rsid w:val="003D0690"/>
    <w:pPr>
      <w:spacing w:before="100" w:beforeAutospacing="1" w:after="100" w:afterAutospacing="1"/>
      <w:jc w:val="left"/>
    </w:pPr>
    <w:rPr>
      <w:szCs w:val="24"/>
    </w:rPr>
  </w:style>
  <w:style w:type="paragraph" w:customStyle="1" w:styleId="oj-ti-section-2">
    <w:name w:val="oj-ti-section-2"/>
    <w:basedOn w:val="Normal"/>
    <w:rsid w:val="003D0690"/>
    <w:pPr>
      <w:spacing w:before="100" w:beforeAutospacing="1" w:after="100" w:afterAutospacing="1"/>
      <w:jc w:val="left"/>
    </w:pPr>
    <w:rPr>
      <w:szCs w:val="24"/>
    </w:rPr>
  </w:style>
  <w:style w:type="character" w:customStyle="1" w:styleId="oj-bold">
    <w:name w:val="oj-bold"/>
    <w:basedOn w:val="DefaultParagraphFont"/>
    <w:rsid w:val="003D0690"/>
  </w:style>
  <w:style w:type="paragraph" w:customStyle="1" w:styleId="oj-ti-art">
    <w:name w:val="oj-ti-art"/>
    <w:basedOn w:val="Normal"/>
    <w:rsid w:val="003D0690"/>
    <w:pPr>
      <w:spacing w:before="100" w:beforeAutospacing="1" w:after="100" w:afterAutospacing="1"/>
      <w:jc w:val="left"/>
    </w:pPr>
    <w:rPr>
      <w:szCs w:val="24"/>
    </w:rPr>
  </w:style>
  <w:style w:type="paragraph" w:customStyle="1" w:styleId="oj-sti-art">
    <w:name w:val="oj-sti-art"/>
    <w:basedOn w:val="Normal"/>
    <w:rsid w:val="003D0690"/>
    <w:pPr>
      <w:spacing w:before="100" w:beforeAutospacing="1" w:after="100" w:afterAutospacing="1"/>
      <w:jc w:val="left"/>
    </w:pPr>
    <w:rPr>
      <w:szCs w:val="24"/>
    </w:rPr>
  </w:style>
  <w:style w:type="character" w:styleId="Strong">
    <w:name w:val="Strong"/>
    <w:basedOn w:val="DefaultParagraphFont"/>
    <w:uiPriority w:val="22"/>
    <w:qFormat/>
    <w:locked/>
    <w:rsid w:val="000E614F"/>
    <w:rPr>
      <w:b/>
      <w:bCs/>
    </w:rPr>
  </w:style>
  <w:style w:type="paragraph" w:customStyle="1" w:styleId="typedudocumentcp">
    <w:name w:val="typedudocument_cp"/>
    <w:basedOn w:val="Normal"/>
    <w:rsid w:val="00F670EF"/>
    <w:pPr>
      <w:spacing w:before="100" w:beforeAutospacing="1" w:after="100" w:afterAutospacing="1"/>
      <w:jc w:val="left"/>
    </w:pPr>
    <w:rPr>
      <w:szCs w:val="24"/>
    </w:rPr>
  </w:style>
  <w:style w:type="paragraph" w:customStyle="1" w:styleId="titreobjetcp">
    <w:name w:val="titreobjet_cp"/>
    <w:basedOn w:val="Normal"/>
    <w:rsid w:val="00F670EF"/>
    <w:pPr>
      <w:spacing w:before="100" w:beforeAutospacing="1" w:after="100" w:afterAutospacing="1"/>
      <w:jc w:val="left"/>
    </w:pPr>
    <w:rPr>
      <w:szCs w:val="24"/>
    </w:rPr>
  </w:style>
  <w:style w:type="character" w:customStyle="1" w:styleId="A71">
    <w:name w:val="A7+1"/>
    <w:uiPriority w:val="99"/>
    <w:rsid w:val="004B6688"/>
    <w:rPr>
      <w:rFonts w:cs="EC Square Sans Pro"/>
      <w:color w:val="000000"/>
      <w:sz w:val="11"/>
      <w:szCs w:val="11"/>
    </w:rPr>
  </w:style>
  <w:style w:type="character" w:styleId="EndnoteReference">
    <w:name w:val="endnote reference"/>
    <w:basedOn w:val="DefaultParagraphFont"/>
    <w:semiHidden/>
    <w:locked/>
    <w:rsid w:val="00B96E8B"/>
    <w:rPr>
      <w:vertAlign w:val="superscript"/>
    </w:rPr>
  </w:style>
  <w:style w:type="character" w:customStyle="1" w:styleId="Marker">
    <w:name w:val="Marker"/>
    <w:basedOn w:val="DefaultParagraphFont"/>
    <w:rsid w:val="00FF7AC2"/>
    <w:rPr>
      <w:color w:val="0000FF"/>
      <w:shd w:val="clear" w:color="auto" w:fill="auto"/>
    </w:rPr>
  </w:style>
  <w:style w:type="paragraph" w:customStyle="1" w:styleId="Pagedecouverture">
    <w:name w:val="Page de couverture"/>
    <w:basedOn w:val="Normal"/>
    <w:next w:val="Normal"/>
    <w:rsid w:val="00FF7AC2"/>
    <w:pPr>
      <w:spacing w:after="0"/>
    </w:pPr>
    <w:rPr>
      <w:rFonts w:eastAsiaTheme="minorHAnsi"/>
      <w:szCs w:val="22"/>
    </w:rPr>
  </w:style>
  <w:style w:type="paragraph" w:customStyle="1" w:styleId="Typedudocument">
    <w:name w:val="Type du document"/>
    <w:basedOn w:val="Normal"/>
    <w:next w:val="Normal"/>
    <w:link w:val="TypedudocumentChar"/>
    <w:rsid w:val="00FF7AC2"/>
    <w:pPr>
      <w:spacing w:before="360" w:after="0"/>
      <w:jc w:val="center"/>
    </w:pPr>
    <w:rPr>
      <w:rFonts w:eastAsiaTheme="minorHAnsi"/>
      <w:b/>
      <w:szCs w:val="22"/>
    </w:rPr>
  </w:style>
  <w:style w:type="paragraph" w:customStyle="1" w:styleId="Titreobjet">
    <w:name w:val="Titre objet"/>
    <w:basedOn w:val="Normal"/>
    <w:next w:val="Normal"/>
    <w:rsid w:val="00FF7AC2"/>
    <w:pPr>
      <w:spacing w:before="360" w:after="360"/>
      <w:jc w:val="center"/>
    </w:pPr>
    <w:rPr>
      <w:rFonts w:eastAsiaTheme="minorHAnsi"/>
      <w:b/>
      <w:szCs w:val="22"/>
    </w:rPr>
  </w:style>
  <w:style w:type="paragraph" w:customStyle="1" w:styleId="FooterCoverPage">
    <w:name w:val="Footer Cover Page"/>
    <w:basedOn w:val="Normal"/>
    <w:link w:val="FooterCoverPageChar"/>
    <w:rsid w:val="00FF7AC2"/>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FF7AC2"/>
    <w:rPr>
      <w:rFonts w:eastAsiaTheme="minorHAnsi"/>
      <w:b/>
      <w:szCs w:val="22"/>
    </w:rPr>
  </w:style>
  <w:style w:type="character" w:customStyle="1" w:styleId="FooterCoverPageChar">
    <w:name w:val="Footer Cover Page Char"/>
    <w:basedOn w:val="TypedudocumentChar"/>
    <w:link w:val="FooterCoverPage"/>
    <w:rsid w:val="00FF7AC2"/>
    <w:rPr>
      <w:rFonts w:eastAsiaTheme="minorHAnsi"/>
      <w:b w:val="0"/>
      <w:szCs w:val="22"/>
    </w:rPr>
  </w:style>
  <w:style w:type="paragraph" w:customStyle="1" w:styleId="FooterSensitivity">
    <w:name w:val="Footer Sensitivity"/>
    <w:basedOn w:val="Normal"/>
    <w:link w:val="FooterSensitivityChar"/>
    <w:rsid w:val="00FF7AC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sid w:val="00FF7AC2"/>
    <w:rPr>
      <w:rFonts w:eastAsiaTheme="minorHAnsi"/>
      <w:b/>
      <w:sz w:val="32"/>
      <w:szCs w:val="22"/>
    </w:rPr>
  </w:style>
  <w:style w:type="paragraph" w:customStyle="1" w:styleId="HeaderCoverPage">
    <w:name w:val="Header Cover Page"/>
    <w:basedOn w:val="Normal"/>
    <w:link w:val="HeaderCoverPageChar"/>
    <w:rsid w:val="00FF7AC2"/>
    <w:pPr>
      <w:tabs>
        <w:tab w:val="center" w:pos="4535"/>
        <w:tab w:val="right" w:pos="9071"/>
      </w:tabs>
      <w:spacing w:after="120"/>
    </w:pPr>
  </w:style>
  <w:style w:type="character" w:customStyle="1" w:styleId="HeaderCoverPageChar">
    <w:name w:val="Header Cover Page Char"/>
    <w:basedOn w:val="TypedudocumentChar"/>
    <w:link w:val="HeaderCoverPage"/>
    <w:rsid w:val="00FF7AC2"/>
    <w:rPr>
      <w:rFonts w:eastAsiaTheme="minorHAnsi"/>
      <w:b w:val="0"/>
      <w:szCs w:val="22"/>
    </w:rPr>
  </w:style>
  <w:style w:type="paragraph" w:customStyle="1" w:styleId="HeaderSensitivity">
    <w:name w:val="Header Sensitivity"/>
    <w:basedOn w:val="Normal"/>
    <w:link w:val="HeaderSensitivityChar"/>
    <w:rsid w:val="00FF7AC2"/>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FF7AC2"/>
    <w:rPr>
      <w:rFonts w:eastAsiaTheme="minorHAnsi"/>
      <w:b/>
      <w:sz w:val="32"/>
      <w:szCs w:val="22"/>
    </w:rPr>
  </w:style>
  <w:style w:type="paragraph" w:customStyle="1" w:styleId="HeaderSensitivityRight">
    <w:name w:val="Header Sensitivity Right"/>
    <w:basedOn w:val="Normal"/>
    <w:link w:val="HeaderSensitivityRightChar"/>
    <w:rsid w:val="00FF7AC2"/>
    <w:pPr>
      <w:spacing w:after="120"/>
      <w:jc w:val="right"/>
    </w:pPr>
    <w:rPr>
      <w:sz w:val="28"/>
    </w:rPr>
  </w:style>
  <w:style w:type="character" w:customStyle="1" w:styleId="HeaderSensitivityRightChar">
    <w:name w:val="Header Sensitivity Right Char"/>
    <w:basedOn w:val="TypedudocumentChar"/>
    <w:link w:val="HeaderSensitivityRight"/>
    <w:rsid w:val="00FF7AC2"/>
    <w:rPr>
      <w:rFonts w:eastAsiaTheme="minorHAnsi"/>
      <w:b w:val="0"/>
      <w:sz w:val="28"/>
      <w:szCs w:val="22"/>
    </w:rPr>
  </w:style>
  <w:style w:type="paragraph" w:customStyle="1" w:styleId="TitreobjetPagedecouverture">
    <w:name w:val="Titre objet (Page de couverture)"/>
    <w:basedOn w:val="Normal"/>
    <w:next w:val="Normal"/>
    <w:rsid w:val="000151E4"/>
    <w:pPr>
      <w:spacing w:before="360" w:after="360"/>
      <w:jc w:val="center"/>
    </w:pPr>
    <w:rPr>
      <w:rFonts w:eastAsia="Calibri"/>
      <w:b/>
      <w:szCs w:val="22"/>
    </w:rPr>
  </w:style>
  <w:style w:type="paragraph" w:customStyle="1" w:styleId="TypedudocumentPagedecouverture">
    <w:name w:val="Type du document (Page de couverture)"/>
    <w:basedOn w:val="Normal"/>
    <w:next w:val="TitreobjetPagedecouverture"/>
    <w:rsid w:val="000151E4"/>
    <w:pPr>
      <w:spacing w:before="360" w:after="0"/>
      <w:jc w:val="center"/>
    </w:pPr>
    <w:rPr>
      <w:rFonts w:eastAsia="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5471">
      <w:bodyDiv w:val="1"/>
      <w:marLeft w:val="0"/>
      <w:marRight w:val="0"/>
      <w:marTop w:val="0"/>
      <w:marBottom w:val="0"/>
      <w:divBdr>
        <w:top w:val="none" w:sz="0" w:space="0" w:color="auto"/>
        <w:left w:val="none" w:sz="0" w:space="0" w:color="auto"/>
        <w:bottom w:val="none" w:sz="0" w:space="0" w:color="auto"/>
        <w:right w:val="none" w:sz="0" w:space="0" w:color="auto"/>
      </w:divBdr>
    </w:div>
    <w:div w:id="29232123">
      <w:bodyDiv w:val="1"/>
      <w:marLeft w:val="0"/>
      <w:marRight w:val="0"/>
      <w:marTop w:val="0"/>
      <w:marBottom w:val="0"/>
      <w:divBdr>
        <w:top w:val="none" w:sz="0" w:space="0" w:color="auto"/>
        <w:left w:val="none" w:sz="0" w:space="0" w:color="auto"/>
        <w:bottom w:val="none" w:sz="0" w:space="0" w:color="auto"/>
        <w:right w:val="none" w:sz="0" w:space="0" w:color="auto"/>
      </w:divBdr>
      <w:divsChild>
        <w:div w:id="1508252535">
          <w:marLeft w:val="0"/>
          <w:marRight w:val="0"/>
          <w:marTop w:val="0"/>
          <w:marBottom w:val="0"/>
          <w:divBdr>
            <w:top w:val="none" w:sz="0" w:space="0" w:color="auto"/>
            <w:left w:val="none" w:sz="0" w:space="0" w:color="auto"/>
            <w:bottom w:val="none" w:sz="0" w:space="0" w:color="auto"/>
            <w:right w:val="none" w:sz="0" w:space="0" w:color="auto"/>
          </w:divBdr>
        </w:div>
        <w:div w:id="1188520229">
          <w:marLeft w:val="0"/>
          <w:marRight w:val="0"/>
          <w:marTop w:val="0"/>
          <w:marBottom w:val="0"/>
          <w:divBdr>
            <w:top w:val="none" w:sz="0" w:space="0" w:color="auto"/>
            <w:left w:val="none" w:sz="0" w:space="0" w:color="auto"/>
            <w:bottom w:val="none" w:sz="0" w:space="0" w:color="auto"/>
            <w:right w:val="none" w:sz="0" w:space="0" w:color="auto"/>
          </w:divBdr>
        </w:div>
        <w:div w:id="1909030273">
          <w:marLeft w:val="0"/>
          <w:marRight w:val="0"/>
          <w:marTop w:val="0"/>
          <w:marBottom w:val="0"/>
          <w:divBdr>
            <w:top w:val="none" w:sz="0" w:space="0" w:color="auto"/>
            <w:left w:val="none" w:sz="0" w:space="0" w:color="auto"/>
            <w:bottom w:val="none" w:sz="0" w:space="0" w:color="auto"/>
            <w:right w:val="none" w:sz="0" w:space="0" w:color="auto"/>
          </w:divBdr>
        </w:div>
        <w:div w:id="1811513256">
          <w:marLeft w:val="0"/>
          <w:marRight w:val="0"/>
          <w:marTop w:val="0"/>
          <w:marBottom w:val="0"/>
          <w:divBdr>
            <w:top w:val="none" w:sz="0" w:space="0" w:color="auto"/>
            <w:left w:val="none" w:sz="0" w:space="0" w:color="auto"/>
            <w:bottom w:val="none" w:sz="0" w:space="0" w:color="auto"/>
            <w:right w:val="none" w:sz="0" w:space="0" w:color="auto"/>
          </w:divBdr>
        </w:div>
      </w:divsChild>
    </w:div>
    <w:div w:id="36904260">
      <w:bodyDiv w:val="1"/>
      <w:marLeft w:val="0"/>
      <w:marRight w:val="0"/>
      <w:marTop w:val="0"/>
      <w:marBottom w:val="0"/>
      <w:divBdr>
        <w:top w:val="none" w:sz="0" w:space="0" w:color="auto"/>
        <w:left w:val="none" w:sz="0" w:space="0" w:color="auto"/>
        <w:bottom w:val="none" w:sz="0" w:space="0" w:color="auto"/>
        <w:right w:val="none" w:sz="0" w:space="0" w:color="auto"/>
      </w:divBdr>
      <w:divsChild>
        <w:div w:id="1695574704">
          <w:marLeft w:val="0"/>
          <w:marRight w:val="0"/>
          <w:marTop w:val="0"/>
          <w:marBottom w:val="0"/>
          <w:divBdr>
            <w:top w:val="none" w:sz="0" w:space="0" w:color="auto"/>
            <w:left w:val="none" w:sz="0" w:space="0" w:color="auto"/>
            <w:bottom w:val="none" w:sz="0" w:space="0" w:color="auto"/>
            <w:right w:val="none" w:sz="0" w:space="0" w:color="auto"/>
          </w:divBdr>
        </w:div>
        <w:div w:id="294802572">
          <w:marLeft w:val="0"/>
          <w:marRight w:val="0"/>
          <w:marTop w:val="0"/>
          <w:marBottom w:val="0"/>
          <w:divBdr>
            <w:top w:val="none" w:sz="0" w:space="0" w:color="auto"/>
            <w:left w:val="none" w:sz="0" w:space="0" w:color="auto"/>
            <w:bottom w:val="none" w:sz="0" w:space="0" w:color="auto"/>
            <w:right w:val="none" w:sz="0" w:space="0" w:color="auto"/>
          </w:divBdr>
        </w:div>
        <w:div w:id="765006516">
          <w:marLeft w:val="0"/>
          <w:marRight w:val="0"/>
          <w:marTop w:val="0"/>
          <w:marBottom w:val="0"/>
          <w:divBdr>
            <w:top w:val="none" w:sz="0" w:space="0" w:color="auto"/>
            <w:left w:val="none" w:sz="0" w:space="0" w:color="auto"/>
            <w:bottom w:val="none" w:sz="0" w:space="0" w:color="auto"/>
            <w:right w:val="none" w:sz="0" w:space="0" w:color="auto"/>
          </w:divBdr>
        </w:div>
      </w:divsChild>
    </w:div>
    <w:div w:id="37318715">
      <w:bodyDiv w:val="1"/>
      <w:marLeft w:val="0"/>
      <w:marRight w:val="0"/>
      <w:marTop w:val="0"/>
      <w:marBottom w:val="0"/>
      <w:divBdr>
        <w:top w:val="none" w:sz="0" w:space="0" w:color="auto"/>
        <w:left w:val="none" w:sz="0" w:space="0" w:color="auto"/>
        <w:bottom w:val="none" w:sz="0" w:space="0" w:color="auto"/>
        <w:right w:val="none" w:sz="0" w:space="0" w:color="auto"/>
      </w:divBdr>
    </w:div>
    <w:div w:id="59595100">
      <w:bodyDiv w:val="1"/>
      <w:marLeft w:val="0"/>
      <w:marRight w:val="0"/>
      <w:marTop w:val="0"/>
      <w:marBottom w:val="0"/>
      <w:divBdr>
        <w:top w:val="none" w:sz="0" w:space="0" w:color="auto"/>
        <w:left w:val="none" w:sz="0" w:space="0" w:color="auto"/>
        <w:bottom w:val="none" w:sz="0" w:space="0" w:color="auto"/>
        <w:right w:val="none" w:sz="0" w:space="0" w:color="auto"/>
      </w:divBdr>
    </w:div>
    <w:div w:id="76677983">
      <w:bodyDiv w:val="1"/>
      <w:marLeft w:val="0"/>
      <w:marRight w:val="0"/>
      <w:marTop w:val="0"/>
      <w:marBottom w:val="0"/>
      <w:divBdr>
        <w:top w:val="none" w:sz="0" w:space="0" w:color="auto"/>
        <w:left w:val="none" w:sz="0" w:space="0" w:color="auto"/>
        <w:bottom w:val="none" w:sz="0" w:space="0" w:color="auto"/>
        <w:right w:val="none" w:sz="0" w:space="0" w:color="auto"/>
      </w:divBdr>
      <w:divsChild>
        <w:div w:id="1759132203">
          <w:marLeft w:val="1080"/>
          <w:marRight w:val="0"/>
          <w:marTop w:val="0"/>
          <w:marBottom w:val="120"/>
          <w:divBdr>
            <w:top w:val="none" w:sz="0" w:space="0" w:color="auto"/>
            <w:left w:val="none" w:sz="0" w:space="0" w:color="auto"/>
            <w:bottom w:val="none" w:sz="0" w:space="0" w:color="auto"/>
            <w:right w:val="none" w:sz="0" w:space="0" w:color="auto"/>
          </w:divBdr>
        </w:div>
        <w:div w:id="1805660009">
          <w:marLeft w:val="1080"/>
          <w:marRight w:val="0"/>
          <w:marTop w:val="0"/>
          <w:marBottom w:val="120"/>
          <w:divBdr>
            <w:top w:val="none" w:sz="0" w:space="0" w:color="auto"/>
            <w:left w:val="none" w:sz="0" w:space="0" w:color="auto"/>
            <w:bottom w:val="none" w:sz="0" w:space="0" w:color="auto"/>
            <w:right w:val="none" w:sz="0" w:space="0" w:color="auto"/>
          </w:divBdr>
        </w:div>
        <w:div w:id="2060669552">
          <w:marLeft w:val="1080"/>
          <w:marRight w:val="0"/>
          <w:marTop w:val="0"/>
          <w:marBottom w:val="120"/>
          <w:divBdr>
            <w:top w:val="none" w:sz="0" w:space="0" w:color="auto"/>
            <w:left w:val="none" w:sz="0" w:space="0" w:color="auto"/>
            <w:bottom w:val="none" w:sz="0" w:space="0" w:color="auto"/>
            <w:right w:val="none" w:sz="0" w:space="0" w:color="auto"/>
          </w:divBdr>
        </w:div>
        <w:div w:id="883566018">
          <w:marLeft w:val="1080"/>
          <w:marRight w:val="0"/>
          <w:marTop w:val="0"/>
          <w:marBottom w:val="120"/>
          <w:divBdr>
            <w:top w:val="none" w:sz="0" w:space="0" w:color="auto"/>
            <w:left w:val="none" w:sz="0" w:space="0" w:color="auto"/>
            <w:bottom w:val="none" w:sz="0" w:space="0" w:color="auto"/>
            <w:right w:val="none" w:sz="0" w:space="0" w:color="auto"/>
          </w:divBdr>
        </w:div>
      </w:divsChild>
    </w:div>
    <w:div w:id="103234140">
      <w:bodyDiv w:val="1"/>
      <w:marLeft w:val="0"/>
      <w:marRight w:val="0"/>
      <w:marTop w:val="0"/>
      <w:marBottom w:val="0"/>
      <w:divBdr>
        <w:top w:val="none" w:sz="0" w:space="0" w:color="auto"/>
        <w:left w:val="none" w:sz="0" w:space="0" w:color="auto"/>
        <w:bottom w:val="none" w:sz="0" w:space="0" w:color="auto"/>
        <w:right w:val="none" w:sz="0" w:space="0" w:color="auto"/>
      </w:divBdr>
    </w:div>
    <w:div w:id="121851480">
      <w:bodyDiv w:val="1"/>
      <w:marLeft w:val="0"/>
      <w:marRight w:val="0"/>
      <w:marTop w:val="0"/>
      <w:marBottom w:val="0"/>
      <w:divBdr>
        <w:top w:val="none" w:sz="0" w:space="0" w:color="auto"/>
        <w:left w:val="none" w:sz="0" w:space="0" w:color="auto"/>
        <w:bottom w:val="none" w:sz="0" w:space="0" w:color="auto"/>
        <w:right w:val="none" w:sz="0" w:space="0" w:color="auto"/>
      </w:divBdr>
      <w:divsChild>
        <w:div w:id="296684311">
          <w:marLeft w:val="547"/>
          <w:marRight w:val="0"/>
          <w:marTop w:val="0"/>
          <w:marBottom w:val="360"/>
          <w:divBdr>
            <w:top w:val="none" w:sz="0" w:space="0" w:color="auto"/>
            <w:left w:val="none" w:sz="0" w:space="0" w:color="auto"/>
            <w:bottom w:val="none" w:sz="0" w:space="0" w:color="auto"/>
            <w:right w:val="none" w:sz="0" w:space="0" w:color="auto"/>
          </w:divBdr>
        </w:div>
        <w:div w:id="1938828222">
          <w:marLeft w:val="547"/>
          <w:marRight w:val="0"/>
          <w:marTop w:val="0"/>
          <w:marBottom w:val="360"/>
          <w:divBdr>
            <w:top w:val="none" w:sz="0" w:space="0" w:color="auto"/>
            <w:left w:val="none" w:sz="0" w:space="0" w:color="auto"/>
            <w:bottom w:val="none" w:sz="0" w:space="0" w:color="auto"/>
            <w:right w:val="none" w:sz="0" w:space="0" w:color="auto"/>
          </w:divBdr>
        </w:div>
        <w:div w:id="1354921556">
          <w:marLeft w:val="547"/>
          <w:marRight w:val="0"/>
          <w:marTop w:val="0"/>
          <w:marBottom w:val="360"/>
          <w:divBdr>
            <w:top w:val="none" w:sz="0" w:space="0" w:color="auto"/>
            <w:left w:val="none" w:sz="0" w:space="0" w:color="auto"/>
            <w:bottom w:val="none" w:sz="0" w:space="0" w:color="auto"/>
            <w:right w:val="none" w:sz="0" w:space="0" w:color="auto"/>
          </w:divBdr>
        </w:div>
        <w:div w:id="979460750">
          <w:marLeft w:val="547"/>
          <w:marRight w:val="0"/>
          <w:marTop w:val="0"/>
          <w:marBottom w:val="360"/>
          <w:divBdr>
            <w:top w:val="none" w:sz="0" w:space="0" w:color="auto"/>
            <w:left w:val="none" w:sz="0" w:space="0" w:color="auto"/>
            <w:bottom w:val="none" w:sz="0" w:space="0" w:color="auto"/>
            <w:right w:val="none" w:sz="0" w:space="0" w:color="auto"/>
          </w:divBdr>
        </w:div>
      </w:divsChild>
    </w:div>
    <w:div w:id="137917537">
      <w:bodyDiv w:val="1"/>
      <w:marLeft w:val="0"/>
      <w:marRight w:val="0"/>
      <w:marTop w:val="0"/>
      <w:marBottom w:val="0"/>
      <w:divBdr>
        <w:top w:val="none" w:sz="0" w:space="0" w:color="auto"/>
        <w:left w:val="none" w:sz="0" w:space="0" w:color="auto"/>
        <w:bottom w:val="none" w:sz="0" w:space="0" w:color="auto"/>
        <w:right w:val="none" w:sz="0" w:space="0" w:color="auto"/>
      </w:divBdr>
    </w:div>
    <w:div w:id="162667991">
      <w:bodyDiv w:val="1"/>
      <w:marLeft w:val="0"/>
      <w:marRight w:val="0"/>
      <w:marTop w:val="0"/>
      <w:marBottom w:val="0"/>
      <w:divBdr>
        <w:top w:val="none" w:sz="0" w:space="0" w:color="auto"/>
        <w:left w:val="none" w:sz="0" w:space="0" w:color="auto"/>
        <w:bottom w:val="none" w:sz="0" w:space="0" w:color="auto"/>
        <w:right w:val="none" w:sz="0" w:space="0" w:color="auto"/>
      </w:divBdr>
      <w:divsChild>
        <w:div w:id="1453213084">
          <w:marLeft w:val="0"/>
          <w:marRight w:val="0"/>
          <w:marTop w:val="0"/>
          <w:marBottom w:val="0"/>
          <w:divBdr>
            <w:top w:val="none" w:sz="0" w:space="0" w:color="auto"/>
            <w:left w:val="none" w:sz="0" w:space="0" w:color="auto"/>
            <w:bottom w:val="none" w:sz="0" w:space="0" w:color="auto"/>
            <w:right w:val="none" w:sz="0" w:space="0" w:color="auto"/>
          </w:divBdr>
        </w:div>
      </w:divsChild>
    </w:div>
    <w:div w:id="176620801">
      <w:bodyDiv w:val="1"/>
      <w:marLeft w:val="0"/>
      <w:marRight w:val="0"/>
      <w:marTop w:val="0"/>
      <w:marBottom w:val="0"/>
      <w:divBdr>
        <w:top w:val="none" w:sz="0" w:space="0" w:color="auto"/>
        <w:left w:val="none" w:sz="0" w:space="0" w:color="auto"/>
        <w:bottom w:val="none" w:sz="0" w:space="0" w:color="auto"/>
        <w:right w:val="none" w:sz="0" w:space="0" w:color="auto"/>
      </w:divBdr>
    </w:div>
    <w:div w:id="176621225">
      <w:bodyDiv w:val="1"/>
      <w:marLeft w:val="0"/>
      <w:marRight w:val="0"/>
      <w:marTop w:val="0"/>
      <w:marBottom w:val="0"/>
      <w:divBdr>
        <w:top w:val="none" w:sz="0" w:space="0" w:color="auto"/>
        <w:left w:val="none" w:sz="0" w:space="0" w:color="auto"/>
        <w:bottom w:val="none" w:sz="0" w:space="0" w:color="auto"/>
        <w:right w:val="none" w:sz="0" w:space="0" w:color="auto"/>
      </w:divBdr>
    </w:div>
    <w:div w:id="184443253">
      <w:bodyDiv w:val="1"/>
      <w:marLeft w:val="0"/>
      <w:marRight w:val="0"/>
      <w:marTop w:val="0"/>
      <w:marBottom w:val="0"/>
      <w:divBdr>
        <w:top w:val="none" w:sz="0" w:space="0" w:color="auto"/>
        <w:left w:val="none" w:sz="0" w:space="0" w:color="auto"/>
        <w:bottom w:val="none" w:sz="0" w:space="0" w:color="auto"/>
        <w:right w:val="none" w:sz="0" w:space="0" w:color="auto"/>
      </w:divBdr>
      <w:divsChild>
        <w:div w:id="1056974307">
          <w:marLeft w:val="0"/>
          <w:marRight w:val="0"/>
          <w:marTop w:val="0"/>
          <w:marBottom w:val="0"/>
          <w:divBdr>
            <w:top w:val="none" w:sz="0" w:space="0" w:color="auto"/>
            <w:left w:val="none" w:sz="0" w:space="0" w:color="auto"/>
            <w:bottom w:val="none" w:sz="0" w:space="0" w:color="auto"/>
            <w:right w:val="none" w:sz="0" w:space="0" w:color="auto"/>
          </w:divBdr>
        </w:div>
        <w:div w:id="414473350">
          <w:marLeft w:val="0"/>
          <w:marRight w:val="0"/>
          <w:marTop w:val="0"/>
          <w:marBottom w:val="0"/>
          <w:divBdr>
            <w:top w:val="none" w:sz="0" w:space="0" w:color="auto"/>
            <w:left w:val="none" w:sz="0" w:space="0" w:color="auto"/>
            <w:bottom w:val="none" w:sz="0" w:space="0" w:color="auto"/>
            <w:right w:val="none" w:sz="0" w:space="0" w:color="auto"/>
          </w:divBdr>
        </w:div>
        <w:div w:id="595944799">
          <w:marLeft w:val="0"/>
          <w:marRight w:val="0"/>
          <w:marTop w:val="0"/>
          <w:marBottom w:val="0"/>
          <w:divBdr>
            <w:top w:val="none" w:sz="0" w:space="0" w:color="auto"/>
            <w:left w:val="none" w:sz="0" w:space="0" w:color="auto"/>
            <w:bottom w:val="none" w:sz="0" w:space="0" w:color="auto"/>
            <w:right w:val="none" w:sz="0" w:space="0" w:color="auto"/>
          </w:divBdr>
        </w:div>
      </w:divsChild>
    </w:div>
    <w:div w:id="184828441">
      <w:bodyDiv w:val="1"/>
      <w:marLeft w:val="0"/>
      <w:marRight w:val="0"/>
      <w:marTop w:val="0"/>
      <w:marBottom w:val="0"/>
      <w:divBdr>
        <w:top w:val="none" w:sz="0" w:space="0" w:color="auto"/>
        <w:left w:val="none" w:sz="0" w:space="0" w:color="auto"/>
        <w:bottom w:val="none" w:sz="0" w:space="0" w:color="auto"/>
        <w:right w:val="none" w:sz="0" w:space="0" w:color="auto"/>
      </w:divBdr>
    </w:div>
    <w:div w:id="198859838">
      <w:bodyDiv w:val="1"/>
      <w:marLeft w:val="0"/>
      <w:marRight w:val="0"/>
      <w:marTop w:val="0"/>
      <w:marBottom w:val="0"/>
      <w:divBdr>
        <w:top w:val="none" w:sz="0" w:space="0" w:color="auto"/>
        <w:left w:val="none" w:sz="0" w:space="0" w:color="auto"/>
        <w:bottom w:val="none" w:sz="0" w:space="0" w:color="auto"/>
        <w:right w:val="none" w:sz="0" w:space="0" w:color="auto"/>
      </w:divBdr>
    </w:div>
    <w:div w:id="225847678">
      <w:bodyDiv w:val="1"/>
      <w:marLeft w:val="0"/>
      <w:marRight w:val="0"/>
      <w:marTop w:val="0"/>
      <w:marBottom w:val="0"/>
      <w:divBdr>
        <w:top w:val="none" w:sz="0" w:space="0" w:color="auto"/>
        <w:left w:val="none" w:sz="0" w:space="0" w:color="auto"/>
        <w:bottom w:val="none" w:sz="0" w:space="0" w:color="auto"/>
        <w:right w:val="none" w:sz="0" w:space="0" w:color="auto"/>
      </w:divBdr>
    </w:div>
    <w:div w:id="348683103">
      <w:bodyDiv w:val="1"/>
      <w:marLeft w:val="0"/>
      <w:marRight w:val="0"/>
      <w:marTop w:val="0"/>
      <w:marBottom w:val="0"/>
      <w:divBdr>
        <w:top w:val="none" w:sz="0" w:space="0" w:color="auto"/>
        <w:left w:val="none" w:sz="0" w:space="0" w:color="auto"/>
        <w:bottom w:val="none" w:sz="0" w:space="0" w:color="auto"/>
        <w:right w:val="none" w:sz="0" w:space="0" w:color="auto"/>
      </w:divBdr>
    </w:div>
    <w:div w:id="383142709">
      <w:bodyDiv w:val="1"/>
      <w:marLeft w:val="0"/>
      <w:marRight w:val="0"/>
      <w:marTop w:val="0"/>
      <w:marBottom w:val="0"/>
      <w:divBdr>
        <w:top w:val="none" w:sz="0" w:space="0" w:color="auto"/>
        <w:left w:val="none" w:sz="0" w:space="0" w:color="auto"/>
        <w:bottom w:val="none" w:sz="0" w:space="0" w:color="auto"/>
        <w:right w:val="none" w:sz="0" w:space="0" w:color="auto"/>
      </w:divBdr>
    </w:div>
    <w:div w:id="398021148">
      <w:bodyDiv w:val="1"/>
      <w:marLeft w:val="0"/>
      <w:marRight w:val="0"/>
      <w:marTop w:val="0"/>
      <w:marBottom w:val="0"/>
      <w:divBdr>
        <w:top w:val="none" w:sz="0" w:space="0" w:color="auto"/>
        <w:left w:val="none" w:sz="0" w:space="0" w:color="auto"/>
        <w:bottom w:val="none" w:sz="0" w:space="0" w:color="auto"/>
        <w:right w:val="none" w:sz="0" w:space="0" w:color="auto"/>
      </w:divBdr>
    </w:div>
    <w:div w:id="401097753">
      <w:bodyDiv w:val="1"/>
      <w:marLeft w:val="0"/>
      <w:marRight w:val="0"/>
      <w:marTop w:val="0"/>
      <w:marBottom w:val="0"/>
      <w:divBdr>
        <w:top w:val="none" w:sz="0" w:space="0" w:color="auto"/>
        <w:left w:val="none" w:sz="0" w:space="0" w:color="auto"/>
        <w:bottom w:val="none" w:sz="0" w:space="0" w:color="auto"/>
        <w:right w:val="none" w:sz="0" w:space="0" w:color="auto"/>
      </w:divBdr>
    </w:div>
    <w:div w:id="425420481">
      <w:bodyDiv w:val="1"/>
      <w:marLeft w:val="0"/>
      <w:marRight w:val="0"/>
      <w:marTop w:val="0"/>
      <w:marBottom w:val="0"/>
      <w:divBdr>
        <w:top w:val="none" w:sz="0" w:space="0" w:color="auto"/>
        <w:left w:val="none" w:sz="0" w:space="0" w:color="auto"/>
        <w:bottom w:val="none" w:sz="0" w:space="0" w:color="auto"/>
        <w:right w:val="none" w:sz="0" w:space="0" w:color="auto"/>
      </w:divBdr>
    </w:div>
    <w:div w:id="428549098">
      <w:bodyDiv w:val="1"/>
      <w:marLeft w:val="0"/>
      <w:marRight w:val="0"/>
      <w:marTop w:val="0"/>
      <w:marBottom w:val="0"/>
      <w:divBdr>
        <w:top w:val="none" w:sz="0" w:space="0" w:color="auto"/>
        <w:left w:val="none" w:sz="0" w:space="0" w:color="auto"/>
        <w:bottom w:val="none" w:sz="0" w:space="0" w:color="auto"/>
        <w:right w:val="none" w:sz="0" w:space="0" w:color="auto"/>
      </w:divBdr>
      <w:divsChild>
        <w:div w:id="1284389109">
          <w:marLeft w:val="1080"/>
          <w:marRight w:val="0"/>
          <w:marTop w:val="0"/>
          <w:marBottom w:val="120"/>
          <w:divBdr>
            <w:top w:val="none" w:sz="0" w:space="0" w:color="auto"/>
            <w:left w:val="none" w:sz="0" w:space="0" w:color="auto"/>
            <w:bottom w:val="none" w:sz="0" w:space="0" w:color="auto"/>
            <w:right w:val="none" w:sz="0" w:space="0" w:color="auto"/>
          </w:divBdr>
        </w:div>
        <w:div w:id="1681740326">
          <w:marLeft w:val="1080"/>
          <w:marRight w:val="0"/>
          <w:marTop w:val="0"/>
          <w:marBottom w:val="120"/>
          <w:divBdr>
            <w:top w:val="none" w:sz="0" w:space="0" w:color="auto"/>
            <w:left w:val="none" w:sz="0" w:space="0" w:color="auto"/>
            <w:bottom w:val="none" w:sz="0" w:space="0" w:color="auto"/>
            <w:right w:val="none" w:sz="0" w:space="0" w:color="auto"/>
          </w:divBdr>
        </w:div>
        <w:div w:id="494879813">
          <w:marLeft w:val="1080"/>
          <w:marRight w:val="0"/>
          <w:marTop w:val="0"/>
          <w:marBottom w:val="120"/>
          <w:divBdr>
            <w:top w:val="none" w:sz="0" w:space="0" w:color="auto"/>
            <w:left w:val="none" w:sz="0" w:space="0" w:color="auto"/>
            <w:bottom w:val="none" w:sz="0" w:space="0" w:color="auto"/>
            <w:right w:val="none" w:sz="0" w:space="0" w:color="auto"/>
          </w:divBdr>
        </w:div>
        <w:div w:id="292030287">
          <w:marLeft w:val="1080"/>
          <w:marRight w:val="0"/>
          <w:marTop w:val="0"/>
          <w:marBottom w:val="120"/>
          <w:divBdr>
            <w:top w:val="none" w:sz="0" w:space="0" w:color="auto"/>
            <w:left w:val="none" w:sz="0" w:space="0" w:color="auto"/>
            <w:bottom w:val="none" w:sz="0" w:space="0" w:color="auto"/>
            <w:right w:val="none" w:sz="0" w:space="0" w:color="auto"/>
          </w:divBdr>
        </w:div>
        <w:div w:id="995955127">
          <w:marLeft w:val="1080"/>
          <w:marRight w:val="0"/>
          <w:marTop w:val="0"/>
          <w:marBottom w:val="120"/>
          <w:divBdr>
            <w:top w:val="none" w:sz="0" w:space="0" w:color="auto"/>
            <w:left w:val="none" w:sz="0" w:space="0" w:color="auto"/>
            <w:bottom w:val="none" w:sz="0" w:space="0" w:color="auto"/>
            <w:right w:val="none" w:sz="0" w:space="0" w:color="auto"/>
          </w:divBdr>
        </w:div>
      </w:divsChild>
    </w:div>
    <w:div w:id="515116538">
      <w:bodyDiv w:val="1"/>
      <w:marLeft w:val="0"/>
      <w:marRight w:val="0"/>
      <w:marTop w:val="0"/>
      <w:marBottom w:val="0"/>
      <w:divBdr>
        <w:top w:val="none" w:sz="0" w:space="0" w:color="auto"/>
        <w:left w:val="none" w:sz="0" w:space="0" w:color="auto"/>
        <w:bottom w:val="none" w:sz="0" w:space="0" w:color="auto"/>
        <w:right w:val="none" w:sz="0" w:space="0" w:color="auto"/>
      </w:divBdr>
      <w:divsChild>
        <w:div w:id="402945381">
          <w:marLeft w:val="0"/>
          <w:marRight w:val="0"/>
          <w:marTop w:val="0"/>
          <w:marBottom w:val="0"/>
          <w:divBdr>
            <w:top w:val="none" w:sz="0" w:space="0" w:color="auto"/>
            <w:left w:val="none" w:sz="0" w:space="0" w:color="auto"/>
            <w:bottom w:val="none" w:sz="0" w:space="0" w:color="auto"/>
            <w:right w:val="none" w:sz="0" w:space="0" w:color="auto"/>
          </w:divBdr>
          <w:divsChild>
            <w:div w:id="332342212">
              <w:marLeft w:val="0"/>
              <w:marRight w:val="0"/>
              <w:marTop w:val="0"/>
              <w:marBottom w:val="0"/>
              <w:divBdr>
                <w:top w:val="none" w:sz="0" w:space="0" w:color="auto"/>
                <w:left w:val="none" w:sz="0" w:space="0" w:color="auto"/>
                <w:bottom w:val="none" w:sz="0" w:space="0" w:color="auto"/>
                <w:right w:val="none" w:sz="0" w:space="0" w:color="auto"/>
              </w:divBdr>
            </w:div>
            <w:div w:id="598484986">
              <w:marLeft w:val="0"/>
              <w:marRight w:val="0"/>
              <w:marTop w:val="0"/>
              <w:marBottom w:val="0"/>
              <w:divBdr>
                <w:top w:val="none" w:sz="0" w:space="0" w:color="auto"/>
                <w:left w:val="none" w:sz="0" w:space="0" w:color="auto"/>
                <w:bottom w:val="none" w:sz="0" w:space="0" w:color="auto"/>
                <w:right w:val="none" w:sz="0" w:space="0" w:color="auto"/>
              </w:divBdr>
            </w:div>
            <w:div w:id="1006595450">
              <w:marLeft w:val="0"/>
              <w:marRight w:val="0"/>
              <w:marTop w:val="0"/>
              <w:marBottom w:val="0"/>
              <w:divBdr>
                <w:top w:val="none" w:sz="0" w:space="0" w:color="auto"/>
                <w:left w:val="none" w:sz="0" w:space="0" w:color="auto"/>
                <w:bottom w:val="none" w:sz="0" w:space="0" w:color="auto"/>
                <w:right w:val="none" w:sz="0" w:space="0" w:color="auto"/>
              </w:divBdr>
            </w:div>
          </w:divsChild>
        </w:div>
        <w:div w:id="1772239220">
          <w:marLeft w:val="0"/>
          <w:marRight w:val="0"/>
          <w:marTop w:val="0"/>
          <w:marBottom w:val="0"/>
          <w:divBdr>
            <w:top w:val="none" w:sz="0" w:space="0" w:color="auto"/>
            <w:left w:val="none" w:sz="0" w:space="0" w:color="auto"/>
            <w:bottom w:val="none" w:sz="0" w:space="0" w:color="auto"/>
            <w:right w:val="none" w:sz="0" w:space="0" w:color="auto"/>
          </w:divBdr>
          <w:divsChild>
            <w:div w:id="1435052315">
              <w:marLeft w:val="0"/>
              <w:marRight w:val="0"/>
              <w:marTop w:val="0"/>
              <w:marBottom w:val="0"/>
              <w:divBdr>
                <w:top w:val="none" w:sz="0" w:space="0" w:color="auto"/>
                <w:left w:val="none" w:sz="0" w:space="0" w:color="auto"/>
                <w:bottom w:val="none" w:sz="0" w:space="0" w:color="auto"/>
                <w:right w:val="none" w:sz="0" w:space="0" w:color="auto"/>
              </w:divBdr>
            </w:div>
            <w:div w:id="281151431">
              <w:marLeft w:val="0"/>
              <w:marRight w:val="0"/>
              <w:marTop w:val="0"/>
              <w:marBottom w:val="0"/>
              <w:divBdr>
                <w:top w:val="none" w:sz="0" w:space="0" w:color="auto"/>
                <w:left w:val="none" w:sz="0" w:space="0" w:color="auto"/>
                <w:bottom w:val="none" w:sz="0" w:space="0" w:color="auto"/>
                <w:right w:val="none" w:sz="0" w:space="0" w:color="auto"/>
              </w:divBdr>
            </w:div>
            <w:div w:id="19408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456">
      <w:bodyDiv w:val="1"/>
      <w:marLeft w:val="0"/>
      <w:marRight w:val="0"/>
      <w:marTop w:val="0"/>
      <w:marBottom w:val="0"/>
      <w:divBdr>
        <w:top w:val="none" w:sz="0" w:space="0" w:color="auto"/>
        <w:left w:val="none" w:sz="0" w:space="0" w:color="auto"/>
        <w:bottom w:val="none" w:sz="0" w:space="0" w:color="auto"/>
        <w:right w:val="none" w:sz="0" w:space="0" w:color="auto"/>
      </w:divBdr>
    </w:div>
    <w:div w:id="577859604">
      <w:bodyDiv w:val="1"/>
      <w:marLeft w:val="0"/>
      <w:marRight w:val="0"/>
      <w:marTop w:val="0"/>
      <w:marBottom w:val="0"/>
      <w:divBdr>
        <w:top w:val="none" w:sz="0" w:space="0" w:color="auto"/>
        <w:left w:val="none" w:sz="0" w:space="0" w:color="auto"/>
        <w:bottom w:val="none" w:sz="0" w:space="0" w:color="auto"/>
        <w:right w:val="none" w:sz="0" w:space="0" w:color="auto"/>
      </w:divBdr>
    </w:div>
    <w:div w:id="590815182">
      <w:bodyDiv w:val="1"/>
      <w:marLeft w:val="0"/>
      <w:marRight w:val="0"/>
      <w:marTop w:val="0"/>
      <w:marBottom w:val="0"/>
      <w:divBdr>
        <w:top w:val="none" w:sz="0" w:space="0" w:color="auto"/>
        <w:left w:val="none" w:sz="0" w:space="0" w:color="auto"/>
        <w:bottom w:val="none" w:sz="0" w:space="0" w:color="auto"/>
        <w:right w:val="none" w:sz="0" w:space="0" w:color="auto"/>
      </w:divBdr>
    </w:div>
    <w:div w:id="602228309">
      <w:bodyDiv w:val="1"/>
      <w:marLeft w:val="0"/>
      <w:marRight w:val="0"/>
      <w:marTop w:val="0"/>
      <w:marBottom w:val="0"/>
      <w:divBdr>
        <w:top w:val="none" w:sz="0" w:space="0" w:color="auto"/>
        <w:left w:val="none" w:sz="0" w:space="0" w:color="auto"/>
        <w:bottom w:val="none" w:sz="0" w:space="0" w:color="auto"/>
        <w:right w:val="none" w:sz="0" w:space="0" w:color="auto"/>
      </w:divBdr>
    </w:div>
    <w:div w:id="616525182">
      <w:bodyDiv w:val="1"/>
      <w:marLeft w:val="0"/>
      <w:marRight w:val="0"/>
      <w:marTop w:val="0"/>
      <w:marBottom w:val="0"/>
      <w:divBdr>
        <w:top w:val="none" w:sz="0" w:space="0" w:color="auto"/>
        <w:left w:val="none" w:sz="0" w:space="0" w:color="auto"/>
        <w:bottom w:val="none" w:sz="0" w:space="0" w:color="auto"/>
        <w:right w:val="none" w:sz="0" w:space="0" w:color="auto"/>
      </w:divBdr>
    </w:div>
    <w:div w:id="654647407">
      <w:bodyDiv w:val="1"/>
      <w:marLeft w:val="0"/>
      <w:marRight w:val="0"/>
      <w:marTop w:val="0"/>
      <w:marBottom w:val="0"/>
      <w:divBdr>
        <w:top w:val="none" w:sz="0" w:space="0" w:color="auto"/>
        <w:left w:val="none" w:sz="0" w:space="0" w:color="auto"/>
        <w:bottom w:val="none" w:sz="0" w:space="0" w:color="auto"/>
        <w:right w:val="none" w:sz="0" w:space="0" w:color="auto"/>
      </w:divBdr>
    </w:div>
    <w:div w:id="668021921">
      <w:bodyDiv w:val="1"/>
      <w:marLeft w:val="0"/>
      <w:marRight w:val="0"/>
      <w:marTop w:val="0"/>
      <w:marBottom w:val="0"/>
      <w:divBdr>
        <w:top w:val="none" w:sz="0" w:space="0" w:color="auto"/>
        <w:left w:val="none" w:sz="0" w:space="0" w:color="auto"/>
        <w:bottom w:val="none" w:sz="0" w:space="0" w:color="auto"/>
        <w:right w:val="none" w:sz="0" w:space="0" w:color="auto"/>
      </w:divBdr>
    </w:div>
    <w:div w:id="743600934">
      <w:bodyDiv w:val="1"/>
      <w:marLeft w:val="0"/>
      <w:marRight w:val="0"/>
      <w:marTop w:val="0"/>
      <w:marBottom w:val="0"/>
      <w:divBdr>
        <w:top w:val="none" w:sz="0" w:space="0" w:color="auto"/>
        <w:left w:val="none" w:sz="0" w:space="0" w:color="auto"/>
        <w:bottom w:val="none" w:sz="0" w:space="0" w:color="auto"/>
        <w:right w:val="none" w:sz="0" w:space="0" w:color="auto"/>
      </w:divBdr>
    </w:div>
    <w:div w:id="747993367">
      <w:bodyDiv w:val="1"/>
      <w:marLeft w:val="0"/>
      <w:marRight w:val="0"/>
      <w:marTop w:val="0"/>
      <w:marBottom w:val="0"/>
      <w:divBdr>
        <w:top w:val="none" w:sz="0" w:space="0" w:color="auto"/>
        <w:left w:val="none" w:sz="0" w:space="0" w:color="auto"/>
        <w:bottom w:val="none" w:sz="0" w:space="0" w:color="auto"/>
        <w:right w:val="none" w:sz="0" w:space="0" w:color="auto"/>
      </w:divBdr>
    </w:div>
    <w:div w:id="766535552">
      <w:bodyDiv w:val="1"/>
      <w:marLeft w:val="0"/>
      <w:marRight w:val="0"/>
      <w:marTop w:val="0"/>
      <w:marBottom w:val="0"/>
      <w:divBdr>
        <w:top w:val="none" w:sz="0" w:space="0" w:color="auto"/>
        <w:left w:val="none" w:sz="0" w:space="0" w:color="auto"/>
        <w:bottom w:val="none" w:sz="0" w:space="0" w:color="auto"/>
        <w:right w:val="none" w:sz="0" w:space="0" w:color="auto"/>
      </w:divBdr>
    </w:div>
    <w:div w:id="795297204">
      <w:bodyDiv w:val="1"/>
      <w:marLeft w:val="0"/>
      <w:marRight w:val="0"/>
      <w:marTop w:val="0"/>
      <w:marBottom w:val="0"/>
      <w:divBdr>
        <w:top w:val="none" w:sz="0" w:space="0" w:color="auto"/>
        <w:left w:val="none" w:sz="0" w:space="0" w:color="auto"/>
        <w:bottom w:val="none" w:sz="0" w:space="0" w:color="auto"/>
        <w:right w:val="none" w:sz="0" w:space="0" w:color="auto"/>
      </w:divBdr>
    </w:div>
    <w:div w:id="795680645">
      <w:bodyDiv w:val="1"/>
      <w:marLeft w:val="0"/>
      <w:marRight w:val="0"/>
      <w:marTop w:val="0"/>
      <w:marBottom w:val="0"/>
      <w:divBdr>
        <w:top w:val="none" w:sz="0" w:space="0" w:color="auto"/>
        <w:left w:val="none" w:sz="0" w:space="0" w:color="auto"/>
        <w:bottom w:val="none" w:sz="0" w:space="0" w:color="auto"/>
        <w:right w:val="none" w:sz="0" w:space="0" w:color="auto"/>
      </w:divBdr>
    </w:div>
    <w:div w:id="808674284">
      <w:bodyDiv w:val="1"/>
      <w:marLeft w:val="0"/>
      <w:marRight w:val="0"/>
      <w:marTop w:val="0"/>
      <w:marBottom w:val="0"/>
      <w:divBdr>
        <w:top w:val="none" w:sz="0" w:space="0" w:color="auto"/>
        <w:left w:val="none" w:sz="0" w:space="0" w:color="auto"/>
        <w:bottom w:val="none" w:sz="0" w:space="0" w:color="auto"/>
        <w:right w:val="none" w:sz="0" w:space="0" w:color="auto"/>
      </w:divBdr>
    </w:div>
    <w:div w:id="816730491">
      <w:bodyDiv w:val="1"/>
      <w:marLeft w:val="0"/>
      <w:marRight w:val="0"/>
      <w:marTop w:val="0"/>
      <w:marBottom w:val="0"/>
      <w:divBdr>
        <w:top w:val="none" w:sz="0" w:space="0" w:color="auto"/>
        <w:left w:val="none" w:sz="0" w:space="0" w:color="auto"/>
        <w:bottom w:val="none" w:sz="0" w:space="0" w:color="auto"/>
        <w:right w:val="none" w:sz="0" w:space="0" w:color="auto"/>
      </w:divBdr>
    </w:div>
    <w:div w:id="837580010">
      <w:bodyDiv w:val="1"/>
      <w:marLeft w:val="0"/>
      <w:marRight w:val="0"/>
      <w:marTop w:val="0"/>
      <w:marBottom w:val="0"/>
      <w:divBdr>
        <w:top w:val="none" w:sz="0" w:space="0" w:color="auto"/>
        <w:left w:val="none" w:sz="0" w:space="0" w:color="auto"/>
        <w:bottom w:val="none" w:sz="0" w:space="0" w:color="auto"/>
        <w:right w:val="none" w:sz="0" w:space="0" w:color="auto"/>
      </w:divBdr>
    </w:div>
    <w:div w:id="894006854">
      <w:bodyDiv w:val="1"/>
      <w:marLeft w:val="0"/>
      <w:marRight w:val="0"/>
      <w:marTop w:val="0"/>
      <w:marBottom w:val="0"/>
      <w:divBdr>
        <w:top w:val="none" w:sz="0" w:space="0" w:color="auto"/>
        <w:left w:val="none" w:sz="0" w:space="0" w:color="auto"/>
        <w:bottom w:val="none" w:sz="0" w:space="0" w:color="auto"/>
        <w:right w:val="none" w:sz="0" w:space="0" w:color="auto"/>
      </w:divBdr>
      <w:divsChild>
        <w:div w:id="3097838">
          <w:marLeft w:val="0"/>
          <w:marRight w:val="0"/>
          <w:marTop w:val="0"/>
          <w:marBottom w:val="0"/>
          <w:divBdr>
            <w:top w:val="none" w:sz="0" w:space="0" w:color="auto"/>
            <w:left w:val="none" w:sz="0" w:space="0" w:color="auto"/>
            <w:bottom w:val="none" w:sz="0" w:space="0" w:color="auto"/>
            <w:right w:val="none" w:sz="0" w:space="0" w:color="auto"/>
          </w:divBdr>
        </w:div>
      </w:divsChild>
    </w:div>
    <w:div w:id="899559146">
      <w:bodyDiv w:val="1"/>
      <w:marLeft w:val="0"/>
      <w:marRight w:val="0"/>
      <w:marTop w:val="0"/>
      <w:marBottom w:val="0"/>
      <w:divBdr>
        <w:top w:val="none" w:sz="0" w:space="0" w:color="auto"/>
        <w:left w:val="none" w:sz="0" w:space="0" w:color="auto"/>
        <w:bottom w:val="none" w:sz="0" w:space="0" w:color="auto"/>
        <w:right w:val="none" w:sz="0" w:space="0" w:color="auto"/>
      </w:divBdr>
    </w:div>
    <w:div w:id="945039795">
      <w:bodyDiv w:val="1"/>
      <w:marLeft w:val="0"/>
      <w:marRight w:val="0"/>
      <w:marTop w:val="0"/>
      <w:marBottom w:val="0"/>
      <w:divBdr>
        <w:top w:val="none" w:sz="0" w:space="0" w:color="auto"/>
        <w:left w:val="none" w:sz="0" w:space="0" w:color="auto"/>
        <w:bottom w:val="none" w:sz="0" w:space="0" w:color="auto"/>
        <w:right w:val="none" w:sz="0" w:space="0" w:color="auto"/>
      </w:divBdr>
      <w:divsChild>
        <w:div w:id="22442831">
          <w:marLeft w:val="0"/>
          <w:marRight w:val="0"/>
          <w:marTop w:val="0"/>
          <w:marBottom w:val="0"/>
          <w:divBdr>
            <w:top w:val="none" w:sz="0" w:space="0" w:color="auto"/>
            <w:left w:val="none" w:sz="0" w:space="0" w:color="auto"/>
            <w:bottom w:val="none" w:sz="0" w:space="0" w:color="auto"/>
            <w:right w:val="none" w:sz="0" w:space="0" w:color="auto"/>
          </w:divBdr>
          <w:divsChild>
            <w:div w:id="827941003">
              <w:marLeft w:val="0"/>
              <w:marRight w:val="0"/>
              <w:marTop w:val="0"/>
              <w:marBottom w:val="0"/>
              <w:divBdr>
                <w:top w:val="none" w:sz="0" w:space="0" w:color="auto"/>
                <w:left w:val="none" w:sz="0" w:space="0" w:color="auto"/>
                <w:bottom w:val="none" w:sz="0" w:space="0" w:color="auto"/>
                <w:right w:val="none" w:sz="0" w:space="0" w:color="auto"/>
              </w:divBdr>
            </w:div>
            <w:div w:id="1344161662">
              <w:marLeft w:val="0"/>
              <w:marRight w:val="0"/>
              <w:marTop w:val="0"/>
              <w:marBottom w:val="0"/>
              <w:divBdr>
                <w:top w:val="none" w:sz="0" w:space="0" w:color="auto"/>
                <w:left w:val="none" w:sz="0" w:space="0" w:color="auto"/>
                <w:bottom w:val="none" w:sz="0" w:space="0" w:color="auto"/>
                <w:right w:val="none" w:sz="0" w:space="0" w:color="auto"/>
              </w:divBdr>
            </w:div>
            <w:div w:id="1334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6638">
      <w:bodyDiv w:val="1"/>
      <w:marLeft w:val="0"/>
      <w:marRight w:val="0"/>
      <w:marTop w:val="0"/>
      <w:marBottom w:val="0"/>
      <w:divBdr>
        <w:top w:val="none" w:sz="0" w:space="0" w:color="auto"/>
        <w:left w:val="none" w:sz="0" w:space="0" w:color="auto"/>
        <w:bottom w:val="none" w:sz="0" w:space="0" w:color="auto"/>
        <w:right w:val="none" w:sz="0" w:space="0" w:color="auto"/>
      </w:divBdr>
    </w:div>
    <w:div w:id="1020934540">
      <w:bodyDiv w:val="1"/>
      <w:marLeft w:val="0"/>
      <w:marRight w:val="0"/>
      <w:marTop w:val="0"/>
      <w:marBottom w:val="0"/>
      <w:divBdr>
        <w:top w:val="none" w:sz="0" w:space="0" w:color="auto"/>
        <w:left w:val="none" w:sz="0" w:space="0" w:color="auto"/>
        <w:bottom w:val="none" w:sz="0" w:space="0" w:color="auto"/>
        <w:right w:val="none" w:sz="0" w:space="0" w:color="auto"/>
      </w:divBdr>
    </w:div>
    <w:div w:id="1028094630">
      <w:bodyDiv w:val="1"/>
      <w:marLeft w:val="0"/>
      <w:marRight w:val="0"/>
      <w:marTop w:val="0"/>
      <w:marBottom w:val="0"/>
      <w:divBdr>
        <w:top w:val="none" w:sz="0" w:space="0" w:color="auto"/>
        <w:left w:val="none" w:sz="0" w:space="0" w:color="auto"/>
        <w:bottom w:val="none" w:sz="0" w:space="0" w:color="auto"/>
        <w:right w:val="none" w:sz="0" w:space="0" w:color="auto"/>
      </w:divBdr>
    </w:div>
    <w:div w:id="1043410500">
      <w:bodyDiv w:val="1"/>
      <w:marLeft w:val="0"/>
      <w:marRight w:val="0"/>
      <w:marTop w:val="0"/>
      <w:marBottom w:val="0"/>
      <w:divBdr>
        <w:top w:val="none" w:sz="0" w:space="0" w:color="auto"/>
        <w:left w:val="none" w:sz="0" w:space="0" w:color="auto"/>
        <w:bottom w:val="none" w:sz="0" w:space="0" w:color="auto"/>
        <w:right w:val="none" w:sz="0" w:space="0" w:color="auto"/>
      </w:divBdr>
      <w:divsChild>
        <w:div w:id="713846996">
          <w:marLeft w:val="0"/>
          <w:marRight w:val="0"/>
          <w:marTop w:val="0"/>
          <w:marBottom w:val="0"/>
          <w:divBdr>
            <w:top w:val="none" w:sz="0" w:space="0" w:color="auto"/>
            <w:left w:val="none" w:sz="0" w:space="0" w:color="auto"/>
            <w:bottom w:val="none" w:sz="0" w:space="0" w:color="auto"/>
            <w:right w:val="none" w:sz="0" w:space="0" w:color="auto"/>
          </w:divBdr>
        </w:div>
        <w:div w:id="478617831">
          <w:marLeft w:val="0"/>
          <w:marRight w:val="0"/>
          <w:marTop w:val="0"/>
          <w:marBottom w:val="0"/>
          <w:divBdr>
            <w:top w:val="none" w:sz="0" w:space="0" w:color="auto"/>
            <w:left w:val="none" w:sz="0" w:space="0" w:color="auto"/>
            <w:bottom w:val="none" w:sz="0" w:space="0" w:color="auto"/>
            <w:right w:val="none" w:sz="0" w:space="0" w:color="auto"/>
          </w:divBdr>
        </w:div>
      </w:divsChild>
    </w:div>
    <w:div w:id="1070343237">
      <w:bodyDiv w:val="1"/>
      <w:marLeft w:val="0"/>
      <w:marRight w:val="0"/>
      <w:marTop w:val="0"/>
      <w:marBottom w:val="0"/>
      <w:divBdr>
        <w:top w:val="none" w:sz="0" w:space="0" w:color="auto"/>
        <w:left w:val="none" w:sz="0" w:space="0" w:color="auto"/>
        <w:bottom w:val="none" w:sz="0" w:space="0" w:color="auto"/>
        <w:right w:val="none" w:sz="0" w:space="0" w:color="auto"/>
      </w:divBdr>
    </w:div>
    <w:div w:id="1075396543">
      <w:bodyDiv w:val="1"/>
      <w:marLeft w:val="0"/>
      <w:marRight w:val="0"/>
      <w:marTop w:val="0"/>
      <w:marBottom w:val="0"/>
      <w:divBdr>
        <w:top w:val="none" w:sz="0" w:space="0" w:color="auto"/>
        <w:left w:val="none" w:sz="0" w:space="0" w:color="auto"/>
        <w:bottom w:val="none" w:sz="0" w:space="0" w:color="auto"/>
        <w:right w:val="none" w:sz="0" w:space="0" w:color="auto"/>
      </w:divBdr>
    </w:div>
    <w:div w:id="1102385090">
      <w:bodyDiv w:val="1"/>
      <w:marLeft w:val="0"/>
      <w:marRight w:val="0"/>
      <w:marTop w:val="0"/>
      <w:marBottom w:val="0"/>
      <w:divBdr>
        <w:top w:val="none" w:sz="0" w:space="0" w:color="auto"/>
        <w:left w:val="none" w:sz="0" w:space="0" w:color="auto"/>
        <w:bottom w:val="none" w:sz="0" w:space="0" w:color="auto"/>
        <w:right w:val="none" w:sz="0" w:space="0" w:color="auto"/>
      </w:divBdr>
    </w:div>
    <w:div w:id="1113600281">
      <w:bodyDiv w:val="1"/>
      <w:marLeft w:val="0"/>
      <w:marRight w:val="0"/>
      <w:marTop w:val="0"/>
      <w:marBottom w:val="0"/>
      <w:divBdr>
        <w:top w:val="none" w:sz="0" w:space="0" w:color="auto"/>
        <w:left w:val="none" w:sz="0" w:space="0" w:color="auto"/>
        <w:bottom w:val="none" w:sz="0" w:space="0" w:color="auto"/>
        <w:right w:val="none" w:sz="0" w:space="0" w:color="auto"/>
      </w:divBdr>
      <w:divsChild>
        <w:div w:id="834806404">
          <w:marLeft w:val="0"/>
          <w:marRight w:val="0"/>
          <w:marTop w:val="0"/>
          <w:marBottom w:val="0"/>
          <w:divBdr>
            <w:top w:val="none" w:sz="0" w:space="0" w:color="auto"/>
            <w:left w:val="none" w:sz="0" w:space="0" w:color="auto"/>
            <w:bottom w:val="none" w:sz="0" w:space="0" w:color="auto"/>
            <w:right w:val="none" w:sz="0" w:space="0" w:color="auto"/>
          </w:divBdr>
        </w:div>
        <w:div w:id="1088964490">
          <w:marLeft w:val="0"/>
          <w:marRight w:val="0"/>
          <w:marTop w:val="0"/>
          <w:marBottom w:val="0"/>
          <w:divBdr>
            <w:top w:val="none" w:sz="0" w:space="0" w:color="auto"/>
            <w:left w:val="none" w:sz="0" w:space="0" w:color="auto"/>
            <w:bottom w:val="none" w:sz="0" w:space="0" w:color="auto"/>
            <w:right w:val="none" w:sz="0" w:space="0" w:color="auto"/>
          </w:divBdr>
        </w:div>
        <w:div w:id="521747675">
          <w:marLeft w:val="0"/>
          <w:marRight w:val="0"/>
          <w:marTop w:val="0"/>
          <w:marBottom w:val="0"/>
          <w:divBdr>
            <w:top w:val="none" w:sz="0" w:space="0" w:color="auto"/>
            <w:left w:val="none" w:sz="0" w:space="0" w:color="auto"/>
            <w:bottom w:val="none" w:sz="0" w:space="0" w:color="auto"/>
            <w:right w:val="none" w:sz="0" w:space="0" w:color="auto"/>
          </w:divBdr>
        </w:div>
      </w:divsChild>
    </w:div>
    <w:div w:id="1124032827">
      <w:bodyDiv w:val="1"/>
      <w:marLeft w:val="0"/>
      <w:marRight w:val="0"/>
      <w:marTop w:val="0"/>
      <w:marBottom w:val="0"/>
      <w:divBdr>
        <w:top w:val="none" w:sz="0" w:space="0" w:color="auto"/>
        <w:left w:val="none" w:sz="0" w:space="0" w:color="auto"/>
        <w:bottom w:val="none" w:sz="0" w:space="0" w:color="auto"/>
        <w:right w:val="none" w:sz="0" w:space="0" w:color="auto"/>
      </w:divBdr>
    </w:div>
    <w:div w:id="1152910176">
      <w:bodyDiv w:val="1"/>
      <w:marLeft w:val="0"/>
      <w:marRight w:val="0"/>
      <w:marTop w:val="0"/>
      <w:marBottom w:val="0"/>
      <w:divBdr>
        <w:top w:val="none" w:sz="0" w:space="0" w:color="auto"/>
        <w:left w:val="none" w:sz="0" w:space="0" w:color="auto"/>
        <w:bottom w:val="none" w:sz="0" w:space="0" w:color="auto"/>
        <w:right w:val="none" w:sz="0" w:space="0" w:color="auto"/>
      </w:divBdr>
      <w:divsChild>
        <w:div w:id="817065566">
          <w:marLeft w:val="360"/>
          <w:marRight w:val="0"/>
          <w:marTop w:val="0"/>
          <w:marBottom w:val="120"/>
          <w:divBdr>
            <w:top w:val="none" w:sz="0" w:space="0" w:color="auto"/>
            <w:left w:val="none" w:sz="0" w:space="0" w:color="auto"/>
            <w:bottom w:val="none" w:sz="0" w:space="0" w:color="auto"/>
            <w:right w:val="none" w:sz="0" w:space="0" w:color="auto"/>
          </w:divBdr>
        </w:div>
        <w:div w:id="1644846788">
          <w:marLeft w:val="360"/>
          <w:marRight w:val="0"/>
          <w:marTop w:val="0"/>
          <w:marBottom w:val="120"/>
          <w:divBdr>
            <w:top w:val="none" w:sz="0" w:space="0" w:color="auto"/>
            <w:left w:val="none" w:sz="0" w:space="0" w:color="auto"/>
            <w:bottom w:val="none" w:sz="0" w:space="0" w:color="auto"/>
            <w:right w:val="none" w:sz="0" w:space="0" w:color="auto"/>
          </w:divBdr>
        </w:div>
        <w:div w:id="28921898">
          <w:marLeft w:val="1080"/>
          <w:marRight w:val="0"/>
          <w:marTop w:val="100"/>
          <w:marBottom w:val="120"/>
          <w:divBdr>
            <w:top w:val="none" w:sz="0" w:space="0" w:color="auto"/>
            <w:left w:val="none" w:sz="0" w:space="0" w:color="auto"/>
            <w:bottom w:val="none" w:sz="0" w:space="0" w:color="auto"/>
            <w:right w:val="none" w:sz="0" w:space="0" w:color="auto"/>
          </w:divBdr>
        </w:div>
        <w:div w:id="396249603">
          <w:marLeft w:val="1080"/>
          <w:marRight w:val="0"/>
          <w:marTop w:val="100"/>
          <w:marBottom w:val="120"/>
          <w:divBdr>
            <w:top w:val="none" w:sz="0" w:space="0" w:color="auto"/>
            <w:left w:val="none" w:sz="0" w:space="0" w:color="auto"/>
            <w:bottom w:val="none" w:sz="0" w:space="0" w:color="auto"/>
            <w:right w:val="none" w:sz="0" w:space="0" w:color="auto"/>
          </w:divBdr>
        </w:div>
        <w:div w:id="568005985">
          <w:marLeft w:val="1080"/>
          <w:marRight w:val="0"/>
          <w:marTop w:val="100"/>
          <w:marBottom w:val="240"/>
          <w:divBdr>
            <w:top w:val="none" w:sz="0" w:space="0" w:color="auto"/>
            <w:left w:val="none" w:sz="0" w:space="0" w:color="auto"/>
            <w:bottom w:val="none" w:sz="0" w:space="0" w:color="auto"/>
            <w:right w:val="none" w:sz="0" w:space="0" w:color="auto"/>
          </w:divBdr>
        </w:div>
        <w:div w:id="953679967">
          <w:marLeft w:val="360"/>
          <w:marRight w:val="0"/>
          <w:marTop w:val="0"/>
          <w:marBottom w:val="360"/>
          <w:divBdr>
            <w:top w:val="none" w:sz="0" w:space="0" w:color="auto"/>
            <w:left w:val="none" w:sz="0" w:space="0" w:color="auto"/>
            <w:bottom w:val="none" w:sz="0" w:space="0" w:color="auto"/>
            <w:right w:val="none" w:sz="0" w:space="0" w:color="auto"/>
          </w:divBdr>
        </w:div>
      </w:divsChild>
    </w:div>
    <w:div w:id="1191723391">
      <w:bodyDiv w:val="1"/>
      <w:marLeft w:val="0"/>
      <w:marRight w:val="0"/>
      <w:marTop w:val="0"/>
      <w:marBottom w:val="0"/>
      <w:divBdr>
        <w:top w:val="none" w:sz="0" w:space="0" w:color="auto"/>
        <w:left w:val="none" w:sz="0" w:space="0" w:color="auto"/>
        <w:bottom w:val="none" w:sz="0" w:space="0" w:color="auto"/>
        <w:right w:val="none" w:sz="0" w:space="0" w:color="auto"/>
      </w:divBdr>
    </w:div>
    <w:div w:id="1203327915">
      <w:bodyDiv w:val="1"/>
      <w:marLeft w:val="0"/>
      <w:marRight w:val="0"/>
      <w:marTop w:val="0"/>
      <w:marBottom w:val="0"/>
      <w:divBdr>
        <w:top w:val="none" w:sz="0" w:space="0" w:color="auto"/>
        <w:left w:val="none" w:sz="0" w:space="0" w:color="auto"/>
        <w:bottom w:val="none" w:sz="0" w:space="0" w:color="auto"/>
        <w:right w:val="none" w:sz="0" w:space="0" w:color="auto"/>
      </w:divBdr>
      <w:divsChild>
        <w:div w:id="826284473">
          <w:marLeft w:val="547"/>
          <w:marRight w:val="0"/>
          <w:marTop w:val="0"/>
          <w:marBottom w:val="360"/>
          <w:divBdr>
            <w:top w:val="none" w:sz="0" w:space="0" w:color="auto"/>
            <w:left w:val="none" w:sz="0" w:space="0" w:color="auto"/>
            <w:bottom w:val="none" w:sz="0" w:space="0" w:color="auto"/>
            <w:right w:val="none" w:sz="0" w:space="0" w:color="auto"/>
          </w:divBdr>
        </w:div>
        <w:div w:id="1142651310">
          <w:marLeft w:val="1267"/>
          <w:marRight w:val="0"/>
          <w:marTop w:val="100"/>
          <w:marBottom w:val="360"/>
          <w:divBdr>
            <w:top w:val="none" w:sz="0" w:space="0" w:color="auto"/>
            <w:left w:val="none" w:sz="0" w:space="0" w:color="auto"/>
            <w:bottom w:val="none" w:sz="0" w:space="0" w:color="auto"/>
            <w:right w:val="none" w:sz="0" w:space="0" w:color="auto"/>
          </w:divBdr>
        </w:div>
        <w:div w:id="193544905">
          <w:marLeft w:val="1267"/>
          <w:marRight w:val="0"/>
          <w:marTop w:val="100"/>
          <w:marBottom w:val="360"/>
          <w:divBdr>
            <w:top w:val="none" w:sz="0" w:space="0" w:color="auto"/>
            <w:left w:val="none" w:sz="0" w:space="0" w:color="auto"/>
            <w:bottom w:val="none" w:sz="0" w:space="0" w:color="auto"/>
            <w:right w:val="none" w:sz="0" w:space="0" w:color="auto"/>
          </w:divBdr>
        </w:div>
        <w:div w:id="63917225">
          <w:marLeft w:val="576"/>
          <w:marRight w:val="0"/>
          <w:marTop w:val="100"/>
          <w:marBottom w:val="360"/>
          <w:divBdr>
            <w:top w:val="none" w:sz="0" w:space="0" w:color="auto"/>
            <w:left w:val="none" w:sz="0" w:space="0" w:color="auto"/>
            <w:bottom w:val="none" w:sz="0" w:space="0" w:color="auto"/>
            <w:right w:val="none" w:sz="0" w:space="0" w:color="auto"/>
          </w:divBdr>
        </w:div>
        <w:div w:id="1923830004">
          <w:marLeft w:val="576"/>
          <w:marRight w:val="0"/>
          <w:marTop w:val="100"/>
          <w:marBottom w:val="360"/>
          <w:divBdr>
            <w:top w:val="none" w:sz="0" w:space="0" w:color="auto"/>
            <w:left w:val="none" w:sz="0" w:space="0" w:color="auto"/>
            <w:bottom w:val="none" w:sz="0" w:space="0" w:color="auto"/>
            <w:right w:val="none" w:sz="0" w:space="0" w:color="auto"/>
          </w:divBdr>
        </w:div>
      </w:divsChild>
    </w:div>
    <w:div w:id="1340110939">
      <w:bodyDiv w:val="1"/>
      <w:marLeft w:val="0"/>
      <w:marRight w:val="0"/>
      <w:marTop w:val="0"/>
      <w:marBottom w:val="0"/>
      <w:divBdr>
        <w:top w:val="none" w:sz="0" w:space="0" w:color="auto"/>
        <w:left w:val="none" w:sz="0" w:space="0" w:color="auto"/>
        <w:bottom w:val="none" w:sz="0" w:space="0" w:color="auto"/>
        <w:right w:val="none" w:sz="0" w:space="0" w:color="auto"/>
      </w:divBdr>
      <w:divsChild>
        <w:div w:id="530727749">
          <w:marLeft w:val="1080"/>
          <w:marRight w:val="0"/>
          <w:marTop w:val="0"/>
          <w:marBottom w:val="120"/>
          <w:divBdr>
            <w:top w:val="none" w:sz="0" w:space="0" w:color="auto"/>
            <w:left w:val="none" w:sz="0" w:space="0" w:color="auto"/>
            <w:bottom w:val="none" w:sz="0" w:space="0" w:color="auto"/>
            <w:right w:val="none" w:sz="0" w:space="0" w:color="auto"/>
          </w:divBdr>
        </w:div>
        <w:div w:id="1814256103">
          <w:marLeft w:val="1080"/>
          <w:marRight w:val="0"/>
          <w:marTop w:val="0"/>
          <w:marBottom w:val="120"/>
          <w:divBdr>
            <w:top w:val="none" w:sz="0" w:space="0" w:color="auto"/>
            <w:left w:val="none" w:sz="0" w:space="0" w:color="auto"/>
            <w:bottom w:val="none" w:sz="0" w:space="0" w:color="auto"/>
            <w:right w:val="none" w:sz="0" w:space="0" w:color="auto"/>
          </w:divBdr>
        </w:div>
        <w:div w:id="931010497">
          <w:marLeft w:val="1080"/>
          <w:marRight w:val="0"/>
          <w:marTop w:val="0"/>
          <w:marBottom w:val="120"/>
          <w:divBdr>
            <w:top w:val="none" w:sz="0" w:space="0" w:color="auto"/>
            <w:left w:val="none" w:sz="0" w:space="0" w:color="auto"/>
            <w:bottom w:val="none" w:sz="0" w:space="0" w:color="auto"/>
            <w:right w:val="none" w:sz="0" w:space="0" w:color="auto"/>
          </w:divBdr>
        </w:div>
      </w:divsChild>
    </w:div>
    <w:div w:id="1447503397">
      <w:bodyDiv w:val="1"/>
      <w:marLeft w:val="0"/>
      <w:marRight w:val="0"/>
      <w:marTop w:val="0"/>
      <w:marBottom w:val="0"/>
      <w:divBdr>
        <w:top w:val="none" w:sz="0" w:space="0" w:color="auto"/>
        <w:left w:val="none" w:sz="0" w:space="0" w:color="auto"/>
        <w:bottom w:val="none" w:sz="0" w:space="0" w:color="auto"/>
        <w:right w:val="none" w:sz="0" w:space="0" w:color="auto"/>
      </w:divBdr>
    </w:div>
    <w:div w:id="1457794240">
      <w:bodyDiv w:val="1"/>
      <w:marLeft w:val="0"/>
      <w:marRight w:val="0"/>
      <w:marTop w:val="0"/>
      <w:marBottom w:val="0"/>
      <w:divBdr>
        <w:top w:val="none" w:sz="0" w:space="0" w:color="auto"/>
        <w:left w:val="none" w:sz="0" w:space="0" w:color="auto"/>
        <w:bottom w:val="none" w:sz="0" w:space="0" w:color="auto"/>
        <w:right w:val="none" w:sz="0" w:space="0" w:color="auto"/>
      </w:divBdr>
    </w:div>
    <w:div w:id="1468815924">
      <w:bodyDiv w:val="1"/>
      <w:marLeft w:val="0"/>
      <w:marRight w:val="0"/>
      <w:marTop w:val="0"/>
      <w:marBottom w:val="0"/>
      <w:divBdr>
        <w:top w:val="none" w:sz="0" w:space="0" w:color="auto"/>
        <w:left w:val="none" w:sz="0" w:space="0" w:color="auto"/>
        <w:bottom w:val="none" w:sz="0" w:space="0" w:color="auto"/>
        <w:right w:val="none" w:sz="0" w:space="0" w:color="auto"/>
      </w:divBdr>
    </w:div>
    <w:div w:id="1494104868">
      <w:bodyDiv w:val="1"/>
      <w:marLeft w:val="0"/>
      <w:marRight w:val="0"/>
      <w:marTop w:val="0"/>
      <w:marBottom w:val="0"/>
      <w:divBdr>
        <w:top w:val="none" w:sz="0" w:space="0" w:color="auto"/>
        <w:left w:val="none" w:sz="0" w:space="0" w:color="auto"/>
        <w:bottom w:val="none" w:sz="0" w:space="0" w:color="auto"/>
        <w:right w:val="none" w:sz="0" w:space="0" w:color="auto"/>
      </w:divBdr>
    </w:div>
    <w:div w:id="1518545351">
      <w:bodyDiv w:val="1"/>
      <w:marLeft w:val="0"/>
      <w:marRight w:val="0"/>
      <w:marTop w:val="0"/>
      <w:marBottom w:val="0"/>
      <w:divBdr>
        <w:top w:val="none" w:sz="0" w:space="0" w:color="auto"/>
        <w:left w:val="none" w:sz="0" w:space="0" w:color="auto"/>
        <w:bottom w:val="none" w:sz="0" w:space="0" w:color="auto"/>
        <w:right w:val="none" w:sz="0" w:space="0" w:color="auto"/>
      </w:divBdr>
      <w:divsChild>
        <w:div w:id="813641604">
          <w:marLeft w:val="0"/>
          <w:marRight w:val="0"/>
          <w:marTop w:val="0"/>
          <w:marBottom w:val="0"/>
          <w:divBdr>
            <w:top w:val="none" w:sz="0" w:space="0" w:color="auto"/>
            <w:left w:val="none" w:sz="0" w:space="0" w:color="auto"/>
            <w:bottom w:val="none" w:sz="0" w:space="0" w:color="auto"/>
            <w:right w:val="none" w:sz="0" w:space="0" w:color="auto"/>
          </w:divBdr>
        </w:div>
      </w:divsChild>
    </w:div>
    <w:div w:id="1538740474">
      <w:bodyDiv w:val="1"/>
      <w:marLeft w:val="0"/>
      <w:marRight w:val="0"/>
      <w:marTop w:val="0"/>
      <w:marBottom w:val="0"/>
      <w:divBdr>
        <w:top w:val="none" w:sz="0" w:space="0" w:color="auto"/>
        <w:left w:val="none" w:sz="0" w:space="0" w:color="auto"/>
        <w:bottom w:val="none" w:sz="0" w:space="0" w:color="auto"/>
        <w:right w:val="none" w:sz="0" w:space="0" w:color="auto"/>
      </w:divBdr>
    </w:div>
    <w:div w:id="1559970121">
      <w:bodyDiv w:val="1"/>
      <w:marLeft w:val="0"/>
      <w:marRight w:val="0"/>
      <w:marTop w:val="0"/>
      <w:marBottom w:val="0"/>
      <w:divBdr>
        <w:top w:val="none" w:sz="0" w:space="0" w:color="auto"/>
        <w:left w:val="none" w:sz="0" w:space="0" w:color="auto"/>
        <w:bottom w:val="none" w:sz="0" w:space="0" w:color="auto"/>
        <w:right w:val="none" w:sz="0" w:space="0" w:color="auto"/>
      </w:divBdr>
    </w:div>
    <w:div w:id="1560743212">
      <w:bodyDiv w:val="1"/>
      <w:marLeft w:val="0"/>
      <w:marRight w:val="0"/>
      <w:marTop w:val="0"/>
      <w:marBottom w:val="0"/>
      <w:divBdr>
        <w:top w:val="none" w:sz="0" w:space="0" w:color="auto"/>
        <w:left w:val="none" w:sz="0" w:space="0" w:color="auto"/>
        <w:bottom w:val="none" w:sz="0" w:space="0" w:color="auto"/>
        <w:right w:val="none" w:sz="0" w:space="0" w:color="auto"/>
      </w:divBdr>
    </w:div>
    <w:div w:id="1623028620">
      <w:bodyDiv w:val="1"/>
      <w:marLeft w:val="0"/>
      <w:marRight w:val="0"/>
      <w:marTop w:val="0"/>
      <w:marBottom w:val="0"/>
      <w:divBdr>
        <w:top w:val="none" w:sz="0" w:space="0" w:color="auto"/>
        <w:left w:val="none" w:sz="0" w:space="0" w:color="auto"/>
        <w:bottom w:val="none" w:sz="0" w:space="0" w:color="auto"/>
        <w:right w:val="none" w:sz="0" w:space="0" w:color="auto"/>
      </w:divBdr>
    </w:div>
    <w:div w:id="1664047127">
      <w:bodyDiv w:val="1"/>
      <w:marLeft w:val="0"/>
      <w:marRight w:val="0"/>
      <w:marTop w:val="0"/>
      <w:marBottom w:val="0"/>
      <w:divBdr>
        <w:top w:val="none" w:sz="0" w:space="0" w:color="auto"/>
        <w:left w:val="none" w:sz="0" w:space="0" w:color="auto"/>
        <w:bottom w:val="none" w:sz="0" w:space="0" w:color="auto"/>
        <w:right w:val="none" w:sz="0" w:space="0" w:color="auto"/>
      </w:divBdr>
    </w:div>
    <w:div w:id="1680159684">
      <w:bodyDiv w:val="1"/>
      <w:marLeft w:val="0"/>
      <w:marRight w:val="0"/>
      <w:marTop w:val="0"/>
      <w:marBottom w:val="0"/>
      <w:divBdr>
        <w:top w:val="none" w:sz="0" w:space="0" w:color="auto"/>
        <w:left w:val="none" w:sz="0" w:space="0" w:color="auto"/>
        <w:bottom w:val="none" w:sz="0" w:space="0" w:color="auto"/>
        <w:right w:val="none" w:sz="0" w:space="0" w:color="auto"/>
      </w:divBdr>
    </w:div>
    <w:div w:id="1694502766">
      <w:bodyDiv w:val="1"/>
      <w:marLeft w:val="0"/>
      <w:marRight w:val="0"/>
      <w:marTop w:val="0"/>
      <w:marBottom w:val="0"/>
      <w:divBdr>
        <w:top w:val="none" w:sz="0" w:space="0" w:color="auto"/>
        <w:left w:val="none" w:sz="0" w:space="0" w:color="auto"/>
        <w:bottom w:val="none" w:sz="0" w:space="0" w:color="auto"/>
        <w:right w:val="none" w:sz="0" w:space="0" w:color="auto"/>
      </w:divBdr>
    </w:div>
    <w:div w:id="1717194022">
      <w:bodyDiv w:val="1"/>
      <w:marLeft w:val="0"/>
      <w:marRight w:val="0"/>
      <w:marTop w:val="0"/>
      <w:marBottom w:val="0"/>
      <w:divBdr>
        <w:top w:val="none" w:sz="0" w:space="0" w:color="auto"/>
        <w:left w:val="none" w:sz="0" w:space="0" w:color="auto"/>
        <w:bottom w:val="none" w:sz="0" w:space="0" w:color="auto"/>
        <w:right w:val="none" w:sz="0" w:space="0" w:color="auto"/>
      </w:divBdr>
    </w:div>
    <w:div w:id="1719667728">
      <w:bodyDiv w:val="1"/>
      <w:marLeft w:val="0"/>
      <w:marRight w:val="0"/>
      <w:marTop w:val="0"/>
      <w:marBottom w:val="0"/>
      <w:divBdr>
        <w:top w:val="none" w:sz="0" w:space="0" w:color="auto"/>
        <w:left w:val="none" w:sz="0" w:space="0" w:color="auto"/>
        <w:bottom w:val="none" w:sz="0" w:space="0" w:color="auto"/>
        <w:right w:val="none" w:sz="0" w:space="0" w:color="auto"/>
      </w:divBdr>
    </w:div>
    <w:div w:id="1733195108">
      <w:bodyDiv w:val="1"/>
      <w:marLeft w:val="0"/>
      <w:marRight w:val="0"/>
      <w:marTop w:val="0"/>
      <w:marBottom w:val="0"/>
      <w:divBdr>
        <w:top w:val="none" w:sz="0" w:space="0" w:color="auto"/>
        <w:left w:val="none" w:sz="0" w:space="0" w:color="auto"/>
        <w:bottom w:val="none" w:sz="0" w:space="0" w:color="auto"/>
        <w:right w:val="none" w:sz="0" w:space="0" w:color="auto"/>
      </w:divBdr>
    </w:div>
    <w:div w:id="1740397141">
      <w:bodyDiv w:val="1"/>
      <w:marLeft w:val="0"/>
      <w:marRight w:val="0"/>
      <w:marTop w:val="0"/>
      <w:marBottom w:val="0"/>
      <w:divBdr>
        <w:top w:val="none" w:sz="0" w:space="0" w:color="auto"/>
        <w:left w:val="none" w:sz="0" w:space="0" w:color="auto"/>
        <w:bottom w:val="none" w:sz="0" w:space="0" w:color="auto"/>
        <w:right w:val="none" w:sz="0" w:space="0" w:color="auto"/>
      </w:divBdr>
      <w:divsChild>
        <w:div w:id="1889762942">
          <w:marLeft w:val="547"/>
          <w:marRight w:val="0"/>
          <w:marTop w:val="0"/>
          <w:marBottom w:val="360"/>
          <w:divBdr>
            <w:top w:val="none" w:sz="0" w:space="0" w:color="auto"/>
            <w:left w:val="none" w:sz="0" w:space="0" w:color="auto"/>
            <w:bottom w:val="none" w:sz="0" w:space="0" w:color="auto"/>
            <w:right w:val="none" w:sz="0" w:space="0" w:color="auto"/>
          </w:divBdr>
        </w:div>
        <w:div w:id="2140099298">
          <w:marLeft w:val="547"/>
          <w:marRight w:val="0"/>
          <w:marTop w:val="0"/>
          <w:marBottom w:val="360"/>
          <w:divBdr>
            <w:top w:val="none" w:sz="0" w:space="0" w:color="auto"/>
            <w:left w:val="none" w:sz="0" w:space="0" w:color="auto"/>
            <w:bottom w:val="none" w:sz="0" w:space="0" w:color="auto"/>
            <w:right w:val="none" w:sz="0" w:space="0" w:color="auto"/>
          </w:divBdr>
        </w:div>
        <w:div w:id="234820837">
          <w:marLeft w:val="547"/>
          <w:marRight w:val="0"/>
          <w:marTop w:val="0"/>
          <w:marBottom w:val="360"/>
          <w:divBdr>
            <w:top w:val="none" w:sz="0" w:space="0" w:color="auto"/>
            <w:left w:val="none" w:sz="0" w:space="0" w:color="auto"/>
            <w:bottom w:val="none" w:sz="0" w:space="0" w:color="auto"/>
            <w:right w:val="none" w:sz="0" w:space="0" w:color="auto"/>
          </w:divBdr>
        </w:div>
        <w:div w:id="1480343793">
          <w:marLeft w:val="547"/>
          <w:marRight w:val="0"/>
          <w:marTop w:val="0"/>
          <w:marBottom w:val="360"/>
          <w:divBdr>
            <w:top w:val="none" w:sz="0" w:space="0" w:color="auto"/>
            <w:left w:val="none" w:sz="0" w:space="0" w:color="auto"/>
            <w:bottom w:val="none" w:sz="0" w:space="0" w:color="auto"/>
            <w:right w:val="none" w:sz="0" w:space="0" w:color="auto"/>
          </w:divBdr>
        </w:div>
      </w:divsChild>
    </w:div>
    <w:div w:id="1751150221">
      <w:bodyDiv w:val="1"/>
      <w:marLeft w:val="0"/>
      <w:marRight w:val="0"/>
      <w:marTop w:val="0"/>
      <w:marBottom w:val="0"/>
      <w:divBdr>
        <w:top w:val="none" w:sz="0" w:space="0" w:color="auto"/>
        <w:left w:val="none" w:sz="0" w:space="0" w:color="auto"/>
        <w:bottom w:val="none" w:sz="0" w:space="0" w:color="auto"/>
        <w:right w:val="none" w:sz="0" w:space="0" w:color="auto"/>
      </w:divBdr>
    </w:div>
    <w:div w:id="1763136048">
      <w:bodyDiv w:val="1"/>
      <w:marLeft w:val="0"/>
      <w:marRight w:val="0"/>
      <w:marTop w:val="0"/>
      <w:marBottom w:val="0"/>
      <w:divBdr>
        <w:top w:val="none" w:sz="0" w:space="0" w:color="auto"/>
        <w:left w:val="none" w:sz="0" w:space="0" w:color="auto"/>
        <w:bottom w:val="none" w:sz="0" w:space="0" w:color="auto"/>
        <w:right w:val="none" w:sz="0" w:space="0" w:color="auto"/>
      </w:divBdr>
    </w:div>
    <w:div w:id="1779831592">
      <w:bodyDiv w:val="1"/>
      <w:marLeft w:val="0"/>
      <w:marRight w:val="0"/>
      <w:marTop w:val="0"/>
      <w:marBottom w:val="0"/>
      <w:divBdr>
        <w:top w:val="none" w:sz="0" w:space="0" w:color="auto"/>
        <w:left w:val="none" w:sz="0" w:space="0" w:color="auto"/>
        <w:bottom w:val="none" w:sz="0" w:space="0" w:color="auto"/>
        <w:right w:val="none" w:sz="0" w:space="0" w:color="auto"/>
      </w:divBdr>
    </w:div>
    <w:div w:id="1839151401">
      <w:bodyDiv w:val="1"/>
      <w:marLeft w:val="0"/>
      <w:marRight w:val="0"/>
      <w:marTop w:val="0"/>
      <w:marBottom w:val="0"/>
      <w:divBdr>
        <w:top w:val="none" w:sz="0" w:space="0" w:color="auto"/>
        <w:left w:val="none" w:sz="0" w:space="0" w:color="auto"/>
        <w:bottom w:val="none" w:sz="0" w:space="0" w:color="auto"/>
        <w:right w:val="none" w:sz="0" w:space="0" w:color="auto"/>
      </w:divBdr>
    </w:div>
    <w:div w:id="1858158933">
      <w:bodyDiv w:val="1"/>
      <w:marLeft w:val="0"/>
      <w:marRight w:val="0"/>
      <w:marTop w:val="0"/>
      <w:marBottom w:val="0"/>
      <w:divBdr>
        <w:top w:val="none" w:sz="0" w:space="0" w:color="auto"/>
        <w:left w:val="none" w:sz="0" w:space="0" w:color="auto"/>
        <w:bottom w:val="none" w:sz="0" w:space="0" w:color="auto"/>
        <w:right w:val="none" w:sz="0" w:space="0" w:color="auto"/>
      </w:divBdr>
    </w:div>
    <w:div w:id="1870685177">
      <w:bodyDiv w:val="1"/>
      <w:marLeft w:val="0"/>
      <w:marRight w:val="0"/>
      <w:marTop w:val="0"/>
      <w:marBottom w:val="0"/>
      <w:divBdr>
        <w:top w:val="none" w:sz="0" w:space="0" w:color="auto"/>
        <w:left w:val="none" w:sz="0" w:space="0" w:color="auto"/>
        <w:bottom w:val="none" w:sz="0" w:space="0" w:color="auto"/>
        <w:right w:val="none" w:sz="0" w:space="0" w:color="auto"/>
      </w:divBdr>
    </w:div>
    <w:div w:id="1900550433">
      <w:bodyDiv w:val="1"/>
      <w:marLeft w:val="0"/>
      <w:marRight w:val="0"/>
      <w:marTop w:val="0"/>
      <w:marBottom w:val="0"/>
      <w:divBdr>
        <w:top w:val="none" w:sz="0" w:space="0" w:color="auto"/>
        <w:left w:val="none" w:sz="0" w:space="0" w:color="auto"/>
        <w:bottom w:val="none" w:sz="0" w:space="0" w:color="auto"/>
        <w:right w:val="none" w:sz="0" w:space="0" w:color="auto"/>
      </w:divBdr>
    </w:div>
    <w:div w:id="1929649882">
      <w:bodyDiv w:val="1"/>
      <w:marLeft w:val="0"/>
      <w:marRight w:val="0"/>
      <w:marTop w:val="0"/>
      <w:marBottom w:val="0"/>
      <w:divBdr>
        <w:top w:val="none" w:sz="0" w:space="0" w:color="auto"/>
        <w:left w:val="none" w:sz="0" w:space="0" w:color="auto"/>
        <w:bottom w:val="none" w:sz="0" w:space="0" w:color="auto"/>
        <w:right w:val="none" w:sz="0" w:space="0" w:color="auto"/>
      </w:divBdr>
    </w:div>
    <w:div w:id="1943341550">
      <w:bodyDiv w:val="1"/>
      <w:marLeft w:val="0"/>
      <w:marRight w:val="0"/>
      <w:marTop w:val="0"/>
      <w:marBottom w:val="0"/>
      <w:divBdr>
        <w:top w:val="none" w:sz="0" w:space="0" w:color="auto"/>
        <w:left w:val="none" w:sz="0" w:space="0" w:color="auto"/>
        <w:bottom w:val="none" w:sz="0" w:space="0" w:color="auto"/>
        <w:right w:val="none" w:sz="0" w:space="0" w:color="auto"/>
      </w:divBdr>
    </w:div>
    <w:div w:id="1946769873">
      <w:bodyDiv w:val="1"/>
      <w:marLeft w:val="0"/>
      <w:marRight w:val="0"/>
      <w:marTop w:val="0"/>
      <w:marBottom w:val="0"/>
      <w:divBdr>
        <w:top w:val="none" w:sz="0" w:space="0" w:color="auto"/>
        <w:left w:val="none" w:sz="0" w:space="0" w:color="auto"/>
        <w:bottom w:val="none" w:sz="0" w:space="0" w:color="auto"/>
        <w:right w:val="none" w:sz="0" w:space="0" w:color="auto"/>
      </w:divBdr>
      <w:divsChild>
        <w:div w:id="621957410">
          <w:marLeft w:val="0"/>
          <w:marRight w:val="0"/>
          <w:marTop w:val="0"/>
          <w:marBottom w:val="0"/>
          <w:divBdr>
            <w:top w:val="none" w:sz="0" w:space="0" w:color="auto"/>
            <w:left w:val="none" w:sz="0" w:space="0" w:color="auto"/>
            <w:bottom w:val="none" w:sz="0" w:space="0" w:color="auto"/>
            <w:right w:val="none" w:sz="0" w:space="0" w:color="auto"/>
          </w:divBdr>
        </w:div>
        <w:div w:id="1503549231">
          <w:marLeft w:val="0"/>
          <w:marRight w:val="0"/>
          <w:marTop w:val="0"/>
          <w:marBottom w:val="0"/>
          <w:divBdr>
            <w:top w:val="none" w:sz="0" w:space="0" w:color="auto"/>
            <w:left w:val="none" w:sz="0" w:space="0" w:color="auto"/>
            <w:bottom w:val="none" w:sz="0" w:space="0" w:color="auto"/>
            <w:right w:val="none" w:sz="0" w:space="0" w:color="auto"/>
          </w:divBdr>
        </w:div>
        <w:div w:id="1190608199">
          <w:marLeft w:val="0"/>
          <w:marRight w:val="0"/>
          <w:marTop w:val="0"/>
          <w:marBottom w:val="0"/>
          <w:divBdr>
            <w:top w:val="none" w:sz="0" w:space="0" w:color="auto"/>
            <w:left w:val="none" w:sz="0" w:space="0" w:color="auto"/>
            <w:bottom w:val="none" w:sz="0" w:space="0" w:color="auto"/>
            <w:right w:val="none" w:sz="0" w:space="0" w:color="auto"/>
          </w:divBdr>
        </w:div>
      </w:divsChild>
    </w:div>
    <w:div w:id="1955942374">
      <w:bodyDiv w:val="1"/>
      <w:marLeft w:val="0"/>
      <w:marRight w:val="0"/>
      <w:marTop w:val="0"/>
      <w:marBottom w:val="0"/>
      <w:divBdr>
        <w:top w:val="none" w:sz="0" w:space="0" w:color="auto"/>
        <w:left w:val="none" w:sz="0" w:space="0" w:color="auto"/>
        <w:bottom w:val="none" w:sz="0" w:space="0" w:color="auto"/>
        <w:right w:val="none" w:sz="0" w:space="0" w:color="auto"/>
      </w:divBdr>
    </w:div>
    <w:div w:id="2031570146">
      <w:bodyDiv w:val="1"/>
      <w:marLeft w:val="0"/>
      <w:marRight w:val="0"/>
      <w:marTop w:val="0"/>
      <w:marBottom w:val="0"/>
      <w:divBdr>
        <w:top w:val="none" w:sz="0" w:space="0" w:color="auto"/>
        <w:left w:val="none" w:sz="0" w:space="0" w:color="auto"/>
        <w:bottom w:val="none" w:sz="0" w:space="0" w:color="auto"/>
        <w:right w:val="none" w:sz="0" w:space="0" w:color="auto"/>
      </w:divBdr>
    </w:div>
    <w:div w:id="2036231417">
      <w:bodyDiv w:val="1"/>
      <w:marLeft w:val="0"/>
      <w:marRight w:val="0"/>
      <w:marTop w:val="0"/>
      <w:marBottom w:val="0"/>
      <w:divBdr>
        <w:top w:val="none" w:sz="0" w:space="0" w:color="auto"/>
        <w:left w:val="none" w:sz="0" w:space="0" w:color="auto"/>
        <w:bottom w:val="none" w:sz="0" w:space="0" w:color="auto"/>
        <w:right w:val="none" w:sz="0" w:space="0" w:color="auto"/>
      </w:divBdr>
    </w:div>
    <w:div w:id="2110154517">
      <w:bodyDiv w:val="1"/>
      <w:marLeft w:val="0"/>
      <w:marRight w:val="0"/>
      <w:marTop w:val="0"/>
      <w:marBottom w:val="0"/>
      <w:divBdr>
        <w:top w:val="none" w:sz="0" w:space="0" w:color="auto"/>
        <w:left w:val="none" w:sz="0" w:space="0" w:color="auto"/>
        <w:bottom w:val="none" w:sz="0" w:space="0" w:color="auto"/>
        <w:right w:val="none" w:sz="0" w:space="0" w:color="auto"/>
      </w:divBdr>
    </w:div>
    <w:div w:id="2117092816">
      <w:bodyDiv w:val="1"/>
      <w:marLeft w:val="0"/>
      <w:marRight w:val="0"/>
      <w:marTop w:val="0"/>
      <w:marBottom w:val="0"/>
      <w:divBdr>
        <w:top w:val="none" w:sz="0" w:space="0" w:color="auto"/>
        <w:left w:val="none" w:sz="0" w:space="0" w:color="auto"/>
        <w:bottom w:val="none" w:sz="0" w:space="0" w:color="auto"/>
        <w:right w:val="none" w:sz="0" w:space="0" w:color="auto"/>
      </w:divBdr>
    </w:div>
    <w:div w:id="2125998335">
      <w:bodyDiv w:val="1"/>
      <w:marLeft w:val="0"/>
      <w:marRight w:val="0"/>
      <w:marTop w:val="0"/>
      <w:marBottom w:val="0"/>
      <w:divBdr>
        <w:top w:val="none" w:sz="0" w:space="0" w:color="auto"/>
        <w:left w:val="none" w:sz="0" w:space="0" w:color="auto"/>
        <w:bottom w:val="none" w:sz="0" w:space="0" w:color="auto"/>
        <w:right w:val="none" w:sz="0" w:space="0" w:color="auto"/>
      </w:divBdr>
      <w:divsChild>
        <w:div w:id="67964073">
          <w:marLeft w:val="547"/>
          <w:marRight w:val="0"/>
          <w:marTop w:val="360"/>
          <w:marBottom w:val="360"/>
          <w:divBdr>
            <w:top w:val="none" w:sz="0" w:space="0" w:color="auto"/>
            <w:left w:val="none" w:sz="0" w:space="0" w:color="auto"/>
            <w:bottom w:val="none" w:sz="0" w:space="0" w:color="auto"/>
            <w:right w:val="none" w:sz="0" w:space="0" w:color="auto"/>
          </w:divBdr>
        </w:div>
        <w:div w:id="1706441684">
          <w:marLeft w:val="547"/>
          <w:marRight w:val="0"/>
          <w:marTop w:val="0"/>
          <w:marBottom w:val="360"/>
          <w:divBdr>
            <w:top w:val="none" w:sz="0" w:space="0" w:color="auto"/>
            <w:left w:val="none" w:sz="0" w:space="0" w:color="auto"/>
            <w:bottom w:val="none" w:sz="0" w:space="0" w:color="auto"/>
            <w:right w:val="none" w:sz="0" w:space="0" w:color="auto"/>
          </w:divBdr>
        </w:div>
        <w:div w:id="1831797349">
          <w:marLeft w:val="547"/>
          <w:marRight w:val="0"/>
          <w:marTop w:val="0"/>
          <w:marBottom w:val="360"/>
          <w:divBdr>
            <w:top w:val="none" w:sz="0" w:space="0" w:color="auto"/>
            <w:left w:val="none" w:sz="0" w:space="0" w:color="auto"/>
            <w:bottom w:val="none" w:sz="0" w:space="0" w:color="auto"/>
            <w:right w:val="none" w:sz="0" w:space="0" w:color="auto"/>
          </w:divBdr>
        </w:div>
        <w:div w:id="1426346563">
          <w:marLeft w:val="547"/>
          <w:marRight w:val="0"/>
          <w:marTop w:val="0"/>
          <w:marBottom w:val="360"/>
          <w:divBdr>
            <w:top w:val="none" w:sz="0" w:space="0" w:color="auto"/>
            <w:left w:val="none" w:sz="0" w:space="0" w:color="auto"/>
            <w:bottom w:val="none" w:sz="0" w:space="0" w:color="auto"/>
            <w:right w:val="none" w:sz="0" w:space="0" w:color="auto"/>
          </w:divBdr>
        </w:div>
        <w:div w:id="1829902398">
          <w:marLeft w:val="547"/>
          <w:marRight w:val="0"/>
          <w:marTop w:val="0"/>
          <w:marBottom w:val="360"/>
          <w:divBdr>
            <w:top w:val="none" w:sz="0" w:space="0" w:color="auto"/>
            <w:left w:val="none" w:sz="0" w:space="0" w:color="auto"/>
            <w:bottom w:val="none" w:sz="0" w:space="0" w:color="auto"/>
            <w:right w:val="none" w:sz="0" w:space="0" w:color="auto"/>
          </w:divBdr>
        </w:div>
        <w:div w:id="1870140841">
          <w:marLeft w:val="547"/>
          <w:marRight w:val="0"/>
          <w:marTop w:val="0"/>
          <w:marBottom w:val="360"/>
          <w:divBdr>
            <w:top w:val="none" w:sz="0" w:space="0" w:color="auto"/>
            <w:left w:val="none" w:sz="0" w:space="0" w:color="auto"/>
            <w:bottom w:val="none" w:sz="0" w:space="0" w:color="auto"/>
            <w:right w:val="none" w:sz="0" w:space="0" w:color="auto"/>
          </w:divBdr>
        </w:div>
        <w:div w:id="1311249053">
          <w:marLeft w:val="547"/>
          <w:marRight w:val="0"/>
          <w:marTop w:val="0"/>
          <w:marBottom w:val="360"/>
          <w:divBdr>
            <w:top w:val="none" w:sz="0" w:space="0" w:color="auto"/>
            <w:left w:val="none" w:sz="0" w:space="0" w:color="auto"/>
            <w:bottom w:val="none" w:sz="0" w:space="0" w:color="auto"/>
            <w:right w:val="none" w:sz="0" w:space="0" w:color="auto"/>
          </w:divBdr>
        </w:div>
        <w:div w:id="1152481705">
          <w:marLeft w:val="547"/>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regional_policy/sources/tender/pdf/official/2022_public_loan_facility_annex.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ec.europa.eu/regional_policy/en/newsroom/funding-opportunities/financing-decis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gional_policy/funding/just-transition-fund/just-transition-platform_en" TargetMode="External"/><Relationship Id="rId13" Type="http://schemas.openxmlformats.org/officeDocument/2006/relationships/hyperlink" Target="https://ec.europa.eu/regional_policy/en/newsroom/news/2022/09/09-07-2022-commission-and-european-investment-bank-unlock-up-to-eur10-billion-to-support-public-investments-in-the-territories-in-transition-towards-a-climate-neutral-economy" TargetMode="External"/><Relationship Id="rId18" Type="http://schemas.openxmlformats.org/officeDocument/2006/relationships/hyperlink" Target="https://ec.europa.eu/commission/presscorner/detail/en/SPEECH_22_4621" TargetMode="External"/><Relationship Id="rId26" Type="http://schemas.openxmlformats.org/officeDocument/2006/relationships/hyperlink" Target="https://eu.app.swapcard.com/event/euregionsweek-2022/planning/UGxhbm5pbmdfOTYwNzI2" TargetMode="External"/><Relationship Id="rId3" Type="http://schemas.openxmlformats.org/officeDocument/2006/relationships/hyperlink" Target="https://ec.europa.eu/transparency/comitology-register/screen/documents/081366/1/consult?lang=en" TargetMode="External"/><Relationship Id="rId21" Type="http://schemas.openxmlformats.org/officeDocument/2006/relationships/hyperlink" Target="https://ec.europa.eu/regional_policy/en/funding/jtf/just-transition-platform/events/latest-events" TargetMode="External"/><Relationship Id="rId7" Type="http://schemas.openxmlformats.org/officeDocument/2006/relationships/hyperlink" Target="https://jaspers.eib.org/" TargetMode="External"/><Relationship Id="rId12" Type="http://schemas.openxmlformats.org/officeDocument/2006/relationships/hyperlink" Target="https://cinea.ec.europa.eu/news-events/events/2022-jtm-pslf-call-info-day-2022-09-14_en" TargetMode="External"/><Relationship Id="rId17" Type="http://schemas.openxmlformats.org/officeDocument/2006/relationships/hyperlink" Target="https://ec.europa.eu/commission/presscorner/detail/en/mex_22_4612" TargetMode="External"/><Relationship Id="rId25" Type="http://schemas.openxmlformats.org/officeDocument/2006/relationships/hyperlink" Target="https://eu.app.swapcard.com/event/euregionsweek-2022/planning/UGxhbm5pbmdfOTYwNzI2" TargetMode="External"/><Relationship Id="rId2" Type="http://schemas.openxmlformats.org/officeDocument/2006/relationships/hyperlink" Target="https://ec.europa.eu/regional_policy/en/newsroom/news/2022/06/16-06-2022-eu-cohesion-policy-eur1-63-billion-for-a-just-climate-and-energy-transition-in-greece" TargetMode="External"/><Relationship Id="rId16" Type="http://schemas.openxmlformats.org/officeDocument/2006/relationships/hyperlink" Target="https://cinea.ec.europa.eu/news-events/news/just-transition-mechanism-european-commission-publishes-first-calls-proposals-public-sector-loan-2022-07-19_en" TargetMode="External"/><Relationship Id="rId20" Type="http://schemas.openxmlformats.org/officeDocument/2006/relationships/hyperlink" Target="https://drive.google.com/file/d/1TR4M9jojHWmfw4BLIeTEqfEXAg46cmmP/view?usp=sharing" TargetMode="External"/><Relationship Id="rId1" Type="http://schemas.openxmlformats.org/officeDocument/2006/relationships/hyperlink" Target="https://ec.europa.eu/regional_policy/en/newsroom/news/2022/06/16-06-2022-eu-cohesion-policy-eur1-63-billion-for-a-just-climate-and-energy-transition-in-greece" TargetMode="External"/><Relationship Id="rId6" Type="http://schemas.openxmlformats.org/officeDocument/2006/relationships/hyperlink" Target="https://investeu.europa.eu/what-investeu-programme/investeu-advisory-hub_en" TargetMode="External"/><Relationship Id="rId11" Type="http://schemas.openxmlformats.org/officeDocument/2006/relationships/hyperlink" Target="https://cinea.ec.europa.eu/just-transition-mechanism/investment-areas_en" TargetMode="External"/><Relationship Id="rId24" Type="http://schemas.openxmlformats.org/officeDocument/2006/relationships/hyperlink" Target="https://cinea.ec.europa.eu/news-events/events/how-you-can-make-use-public-sector-loan-facility-under-just-transition-mechanism-2022-09-21_en" TargetMode="External"/><Relationship Id="rId5" Type="http://schemas.openxmlformats.org/officeDocument/2006/relationships/hyperlink" Target="https://www.eib.org/en/press/all/2022-118-european-commission-and-eib-group-sign-investeu-agreements-unlocking-billions-for-investment-across-the-european-union" TargetMode="External"/><Relationship Id="rId15" Type="http://schemas.openxmlformats.org/officeDocument/2006/relationships/hyperlink" Target="https://ec.europa.eu/regional_policy/en/newsroom/news/2022/07/19-07-2022-commission-publishes-the-first-call-for-proposals-for-a-public-sector-loan-facility" TargetMode="External"/><Relationship Id="rId23" Type="http://schemas.openxmlformats.org/officeDocument/2006/relationships/hyperlink" Target="https://cinea.ec.europa.eu/news-events/events/how-you-can-make-use-public-sector-loan-facility-under-just-transition-mechanism-2022-09-21_en" TargetMode="External"/><Relationship Id="rId10" Type="http://schemas.openxmlformats.org/officeDocument/2006/relationships/hyperlink" Target="https://ec.europa.eu/regional_policy/en/funding/jtf/just-transition-platform/" TargetMode="External"/><Relationship Id="rId19" Type="http://schemas.openxmlformats.org/officeDocument/2006/relationships/hyperlink" Target="https://audiovisual.ec.europa.eu/en/video/I-228334?lg=EN" TargetMode="External"/><Relationship Id="rId4" Type="http://schemas.openxmlformats.org/officeDocument/2006/relationships/hyperlink" Target="https://cinea.ec.europa.eu/just-transition-mechanism_en" TargetMode="External"/><Relationship Id="rId9" Type="http://schemas.openxmlformats.org/officeDocument/2006/relationships/hyperlink" Target="https://ec.europa.eu/info/funding-tenders/opportunities/portal/screen/programmes/jtm" TargetMode="External"/><Relationship Id="rId14" Type="http://schemas.openxmlformats.org/officeDocument/2006/relationships/hyperlink" Target="https://www.eib.org/en/press/all/2022-346-just-transition-eib-to-provide-up-to-eur10-billion-in-support-of-regions-most-affected-by-the-shift-away-from-fossil-fuels" TargetMode="External"/><Relationship Id="rId22" Type="http://schemas.openxmlformats.org/officeDocument/2006/relationships/hyperlink" Target="https://webcast.ec.europa.eu/2022-jtm-pslf-call-info-day" TargetMode="External"/><Relationship Id="rId27" Type="http://schemas.openxmlformats.org/officeDocument/2006/relationships/hyperlink" Target="https://en.ecomon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EurolookProperties>
  <ProductCustomizationId>EC</ProductCustomizationId>
  <Created>
    <Version>10.0.40769.0</Version>
    <Date>2020-09-03T09:54:34</Date>
    <Language>EN</Language>
    <Note/>
  </Created>
  <Edited>
    <Version>10.0.42447.0</Version>
    <Date>2022-02-17T09:23:42</Date>
  </Edited>
  <DocumentModel>
    <Id>0b054141-88b1-4efb-8c91-2905cb0bed6c</Id>
    <Name>Note</Name>
  </DocumentModel>
  <DocumentDate>2020-09-03T09:54:34</DocumentDate>
  <DocumentVersion>0.1</DocumentVersion>
  <CompatibilityMode>Eurolook10</CompatibilityMode>
</EurolookProperties>
</file>

<file path=customXml/item2.xml><?xml version="1.0" encoding="utf-8"?>
<Author Role="Creator" AuthorRoleName="Signatory" AuthorRoleId="dd422d74-d41f-4095-8cb8-8304a90a6b0c">
  <Id>c719b8ee-7eb8-4111-a9d9-f2b2571a127c</Id>
  <Names>
    <Latin>
      <FirstName>Clement</FirstName>
      <LastName>GERTHOFFERT</LastName>
    </Latin>
    <Greek>
      <FirstName/>
      <LastName/>
    </Greek>
    <Cyrillic>
      <FirstName/>
      <LastName/>
    </Cyrillic>
    <DocumentScript>
      <FirstName>Clement</FirstName>
      <LastName>GERTHOFFERT</LastName>
      <FullName>Clement GERTHOFFERT</FullName>
    </DocumentScript>
  </Names>
  <Initials>CG</Initials>
  <Gender>m</Gender>
  <Email>Clement.GERTHOFFERT@ec.europa.eu</Email>
  <Service>REGIO.DDG.F.1</Service>
  <Function ADCode="" ShowInSignature="true" ShowInHeader="false" HeaderText=""/>
  <WebAddress/>
  <InheritedWebAddress>WebAddress</InheritedWebAddress>
  <OrgaEntity1>
    <Id>4dc35747-c691-429e-8d45-7d224e35618c</Id>
    <LogicalLevel>1</LogicalLevel>
    <Name>REGIO</Name>
    <HeadLine1>DIRECTORATE-GENERAL</HeadLine1>
    <HeadLine2>REGIONAL AND URBAN POLICY</HeadLine2>
    <PrimaryAddressId>f03b5801-04c9-4931-aa17-c6d6c70bc579</PrimaryAddressId>
    <SecondaryAddressId/>
    <WebAddress>WebAddress</WebAddress>
    <InheritedWebAddress>WebAddress</InheritedWebAddress>
    <ShowInHeader>true</ShowInHeader>
  </OrgaEntity1>
  <OrgaEntity2>
    <Id>53f05142-d858-4e89-907a-cdf9a328c901</Id>
    <LogicalLevel>2</LogicalLevel>
    <Name>REGIO.DDG.F</Name>
    <HeadLine1>Closure, Major Projects and Programme Implementation III</HeadLine1>
    <HeadLine2/>
    <PrimaryAddressId>f03b5801-04c9-4931-aa17-c6d6c70bc579</PrimaryAddressId>
    <SecondaryAddressId/>
    <WebAddress/>
    <InheritedWebAddress>WebAddress</InheritedWebAddress>
    <ShowInHeader>true</ShowInHeader>
  </OrgaEntity2>
  <OrgaEntity3>
    <Id>6a295943-1fd0-4c03-b3e8-89df95fea12f</Id>
    <LogicalLevel>3</LogicalLevel>
    <Name>REGIO.DDG.F.1</Name>
    <HeadLine1>Closure and Major Projects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8db67e60-1e43-45e3-adb1-30a530a86d95</Id>
      <Name>Petten</Name>
      <PhoneNumberPrefix>+31 224 56 </PhoneNumberPrefix>
      <TranslatedName/>
      <Location>Petten,</Location>
      <Footer>Westerduinweg 3, Postbus Nr. 2, 1755 ZG Petten (N.-H.) - Netherlands. Telephone: +31 224 56 5656</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4301-54898</Phone>
    <Office>BU-1 01/105</Office>
  </MainWorkplace>
  <Workplaces>
    <Workplace IsMain="false">
      <AddressId>8db67e60-1e43-45e3-adb1-30a530a86d95</AddressId>
      <Fax/>
      <Phone/>
      <Office/>
    </Workplace>
    <Workplace IsMain="true">
      <AddressId>1264fb81-f6bb-475e-9f9d-a937d3be6ee2</AddressId>
      <Fax/>
      <Phone>+352 4301-54898</Phone>
      <Office>BU-1 01/105</Office>
    </Workplace>
  </Workplaces>
</Author>
</file>

<file path=customXml/item3.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|https://myintracomm.ec.europa.eu/corp/security/EN/newDS3/SensitiveInformation/Pages/SPECIAL-HANDLING-INFORMATION-DG-COMP.aspx?ln=en}</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|https://myintracomm.ec.europa.eu/corp/security/EN/newDS3/SensitiveInformation/Pages/SPECIAL-HANDLING-INFORMATION-DG-CLIMA.aspx?ln=en}</CLIMAfootnotetext>
  <SensitiveHandling>Distribution only on a 'Need to know' basis -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ecurityEtsSensitive>ETS</SecurityEtsSensitive>
  <NoteHead>Note for the attention of</NoteHead>
  <SecurityEtsCritical>ETS Critical</SecurityEtsCritical>
  <SecurityCompSpecial>COMP</SecurityCompSpecial>
  <EmbargoUnlimited>Embargo (Unlimited)</EmbargoUnlimited>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Year> ({field: DATE \@ "yyyy" })</Year>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4.xml><?xml version="1.0" encoding="utf-8"?>
<Author AuthorRoleName="Writer" AuthorRoleId="a4fbaff4-b07c-48b4-a21e-e7b9eedf3796">
  <Id>c719b8ee-7eb8-4111-a9d9-f2b2571a127c</Id>
  <Names>
    <Latin>
      <FirstName>Clement</FirstName>
      <LastName>GERTHOFFERT</LastName>
    </Latin>
    <Greek>
      <FirstName/>
      <LastName/>
    </Greek>
    <Cyrillic>
      <FirstName/>
      <LastName/>
    </Cyrillic>
    <DocumentScript>
      <FirstName>Clement</FirstName>
      <LastName>GERTHOFFERT</LastName>
      <FullName>Clement GERTHOFFERT</FullName>
    </DocumentScript>
  </Names>
  <Initials>CG</Initials>
  <Gender>m</Gender>
  <Email>Clement.GERTHOFFERT@ec.europa.eu</Email>
  <Service>REGIO.DDG.F</Service>
  <Function ADCode="" ShowInSignature="true" ShowInHeader="false" HeaderText=""/>
  <WebAddress/>
  <InheritedWebAddress>WebAddress</InheritedWebAddress>
  <OrgaEntity1>
    <Id>4dc35747-c691-429e-8d45-7d224e35618c</Id>
    <LogicalLevel>1</LogicalLevel>
    <Name>REGIO</Name>
    <HeadLine1>DIRECTORATE-GENERAL</HeadLine1>
    <HeadLine2>REGIONAL AND URBAN POLICY</HeadLine2>
    <PrimaryAddressId>f03b5801-04c9-4931-aa17-c6d6c70bc579</PrimaryAddressId>
    <SecondaryAddressId/>
    <WebAddress>WebAddress</WebAddress>
    <InheritedWebAddress>WebAddress</InheritedWebAddress>
    <ShowInHeader>true</ShowInHeader>
  </OrgaEntity1>
  <OrgaEntity2>
    <Id>53f05142-d858-4e89-907a-cdf9a328c901</Id>
    <LogicalLevel>2</LogicalLevel>
    <Name>REGIO.DDG.F</Name>
    <HeadLine1>Better Implementation, Closure and Programme Implementation III</HeadLine1>
    <HeadLine2/>
    <PrimaryAddressId>f03b5801-04c9-4931-aa17-c6d6c70bc579</PrimaryAddressId>
    <SecondaryAddressId/>
    <WebAddress/>
    <InheritedWebAddress>WebAddress</InheritedWebAddress>
    <ShowInHeader>true</ShowInHeader>
  </OrgaEntity2>
  <OrgaEntity3>
    <Id>6a295943-1fd0-4c03-b3e8-89df95fea12f</Id>
    <LogicalLevel>3</LogicalLevel>
    <Name>REGIO.DDG.F.1</Name>
    <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8db67e60-1e43-45e3-adb1-30a530a86d95</Id>
      <Name>Petten</Name>
      <PhoneNumberPrefix>+31 224 56 </PhoneNumberPrefix>
      <TranslatedName/>
      <Location>Petten,</Location>
      <Footer>Westerduinweg 3, Postbus Nr. 2, 1755 ZG Petten (N.-H.) - Netherlands. Telephone: +31 224 56 5656</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4301-54898</Phone>
    <Office>BU-1 01/105</Office>
  </MainWorkplace>
  <Workplaces>
    <Workplace IsMain="false">
      <AddressId>8db67e60-1e43-45e3-adb1-30a530a86d95</AddressId>
      <Fax/>
      <Phone/>
      <Office/>
    </Workplace>
    <Workplace IsMain="true">
      <AddressId>1264fb81-f6bb-475e-9f9d-a937d3be6ee2</AddressId>
      <Fax/>
      <Phone>+352 4301-54898</Phone>
      <Office>BU-1 01/105</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921F28C1-052D-4020-BDA7-1510DA8B0624}">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4CC14091-3C38-447B-8B25-C0922BCBD1A7}">
  <ds:schemaRefs/>
</ds:datastoreItem>
</file>

<file path=customXml/itemProps5.xml><?xml version="1.0" encoding="utf-8"?>
<ds:datastoreItem xmlns:ds="http://schemas.openxmlformats.org/officeDocument/2006/customXml" ds:itemID="{D5EB44FF-C1EA-415D-BD41-C7A2AAD6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2314</Words>
  <Characters>13681</Characters>
  <Application>Microsoft Office Word</Application>
  <DocSecurity>0</DocSecurity>
  <PresentationFormat>Microsoft Word 14.0</PresentationFormat>
  <Lines>213</Lines>
  <Paragraphs>98</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44</cp:revision>
  <cp:lastPrinted>2022-09-08T09:14:00Z</cp:lastPrinted>
  <dcterms:created xsi:type="dcterms:W3CDTF">2022-11-28T10:52:00Z</dcterms:created>
  <dcterms:modified xsi:type="dcterms:W3CDTF">2023-02-01T08:16:00Z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2022-08-30T17:59:17Z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99b93fc8-4b9b-4908-8001-f1e78ba38a6d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not.dot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8.1, Build 20220902</vt:lpwstr>
  </property>
  <property fmtid="{D5CDD505-2E9C-101B-9397-08002B2CF9AE}" pid="17" name="Created using">
    <vt:lpwstr>LW 8.1, Build 20220902</vt:lpwstr>
  </property>
  <property name="OP_sanitized" fmtid="{D5CDD505-2E9C-101B-9397-08002B2CF9AE}" pid="18">
    <vt:lpwstr>True</vt:lpwstr>
  </property>
</Properties>
</file>