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CA45A30F-2162-4B87-BF1D-446AB3D86528" style="width:450.8pt;height:351.8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OBRAZLOŽITVENI MEMORANDUM</w:t>
      </w:r>
    </w:p>
    <w:p>
      <w:pPr>
        <w:pStyle w:val="ManualHeading1"/>
        <w:rPr>
          <w:noProof/>
        </w:rPr>
      </w:pPr>
      <w:r>
        <w:rPr>
          <w:noProof/>
        </w:rPr>
        <w:t>OZADJE PREDLOGA</w:t>
      </w:r>
    </w:p>
    <w:p>
      <w:pPr>
        <w:pStyle w:val="ManualNumPar1"/>
        <w:rPr>
          <w:noProof/>
        </w:rPr>
      </w:pPr>
      <w:r>
        <w:t>1.</w:t>
      </w:r>
      <w:r>
        <w:tab/>
      </w:r>
      <w:r>
        <w:rPr>
          <w:noProof/>
        </w:rPr>
        <w:t>Pravila o finančnih prispevkih iz Evropskega sklada za prilagoditev globalizaciji (ESPG) so določena v Uredbi (EU) št. 1309/2013 Evropskega parlamenta in Sveta z dne 17. decembra 2013 o Evropskem skladu za prilagoditev globalizaciji (2014–2020) in razveljavitvi Uredbe (ES) št. 1927/2006</w:t>
      </w:r>
      <w:r>
        <w:rPr>
          <w:rStyle w:val="FootnoteReference"/>
          <w:noProof/>
        </w:rPr>
        <w:footnoteReference w:id="1"/>
      </w:r>
      <w:r>
        <w:rPr>
          <w:noProof/>
        </w:rPr>
        <w:t xml:space="preserve"> (v nadaljnjem besedilu: uredba o ESPG)</w:t>
      </w:r>
      <w:r>
        <w:rPr>
          <w:rStyle w:val="FootnoteReference"/>
          <w:noProof/>
        </w:rPr>
        <w:footnoteReference w:id="2"/>
      </w:r>
      <w:r>
        <w:rPr>
          <w:noProof/>
        </w:rPr>
        <w:t>.</w:t>
      </w:r>
    </w:p>
    <w:p>
      <w:pPr>
        <w:pStyle w:val="ManualNumPar1"/>
        <w:rPr>
          <w:noProof/>
        </w:rPr>
      </w:pPr>
      <w:r>
        <w:t>2.</w:t>
      </w:r>
      <w:r>
        <w:tab/>
      </w:r>
      <w:r>
        <w:rPr>
          <w:noProof/>
        </w:rPr>
        <w:t>Dne 30. decembra 2020 je Finska vložila vlogo /</w:t>
      </w:r>
      <w:bookmarkStart w:id="1" w:name="EGF_Ref_Year"/>
      <w:r>
        <w:rPr>
          <w:noProof/>
        </w:rPr>
        <w:t>2020</w:t>
      </w:r>
      <w:bookmarkEnd w:id="1"/>
      <w:r>
        <w:rPr>
          <w:noProof/>
        </w:rPr>
        <w:t>/</w:t>
      </w:r>
      <w:bookmarkStart w:id="2" w:name="EGF_Ref_CaseNumber"/>
      <w:r>
        <w:rPr>
          <w:noProof/>
        </w:rPr>
        <w:t>007</w:t>
      </w:r>
      <w:bookmarkEnd w:id="2"/>
      <w:r>
        <w:rPr>
          <w:noProof/>
        </w:rPr>
        <w:t> </w:t>
      </w:r>
      <w:bookmarkStart w:id="3" w:name="MS_Code"/>
      <w:r>
        <w:rPr>
          <w:noProof/>
        </w:rPr>
        <w:t>FI</w:t>
      </w:r>
      <w:bookmarkEnd w:id="3"/>
      <w:r>
        <w:rPr>
          <w:noProof/>
        </w:rPr>
        <w:t>/</w:t>
      </w:r>
      <w:bookmarkStart w:id="4" w:name="EGF_Ref_CaseName"/>
      <w:r>
        <w:rPr>
          <w:noProof/>
        </w:rPr>
        <w:t>Finnair</w:t>
      </w:r>
      <w:bookmarkEnd w:id="4"/>
      <w:r>
        <w:rPr>
          <w:noProof/>
        </w:rPr>
        <w:t xml:space="preserve"> za finančni prispevek iz ESPG zaradi odpuščanja presežnih delavcev</w:t>
      </w:r>
      <w:r>
        <w:rPr>
          <w:rStyle w:val="FootnoteReference"/>
          <w:noProof/>
        </w:rPr>
        <w:footnoteReference w:id="3"/>
      </w:r>
      <w:r>
        <w:rPr>
          <w:noProof/>
        </w:rPr>
        <w:t xml:space="preserve"> v podjetju </w:t>
      </w:r>
      <w:bookmarkStart w:id="5" w:name="PrimEnterprise_Name"/>
      <w:r>
        <w:rPr>
          <w:noProof/>
        </w:rPr>
        <w:t>Finnair Oyj</w:t>
      </w:r>
      <w:bookmarkEnd w:id="5"/>
      <w:r>
        <w:rPr>
          <w:noProof/>
        </w:rPr>
        <w:t xml:space="preserve"> in enem podizvajalcu</w:t>
      </w:r>
      <w:r>
        <w:rPr>
          <w:rStyle w:val="FootnoteReference"/>
          <w:noProof/>
        </w:rPr>
        <w:footnoteReference w:id="4"/>
      </w:r>
      <w:r>
        <w:rPr>
          <w:noProof/>
        </w:rPr>
        <w:t xml:space="preserve"> na </w:t>
      </w:r>
      <w:bookmarkStart w:id="6" w:name="MS_Name"/>
      <w:r>
        <w:rPr>
          <w:noProof/>
        </w:rPr>
        <w:t>Finskem</w:t>
      </w:r>
      <w:bookmarkEnd w:id="6"/>
      <w:r>
        <w:rPr>
          <w:noProof/>
        </w:rPr>
        <w:t>.</w:t>
      </w:r>
    </w:p>
    <w:p>
      <w:pPr>
        <w:pStyle w:val="ManualNumPar1"/>
        <w:rPr>
          <w:noProof/>
        </w:rPr>
      </w:pPr>
      <w:r>
        <w:t>3.</w:t>
      </w:r>
      <w:r>
        <w:tab/>
      </w:r>
      <w:r>
        <w:rPr>
          <w:noProof/>
        </w:rPr>
        <w:t>Po oceni vloge je Komisija v skladu z vsemi veljavnimi določbami uredbe o ESPG ugotovila, da so pogoji za finančni prispevek iz ESPG izpolnjeni.</w:t>
      </w:r>
    </w:p>
    <w:p>
      <w:pPr>
        <w:pStyle w:val="ManualHeading1"/>
        <w:rPr>
          <w:noProof/>
        </w:rPr>
      </w:pPr>
      <w:r>
        <w:rPr>
          <w:noProof/>
        </w:rPr>
        <w:t>POVZETEK VLOGE</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908"/>
        <w:gridCol w:w="4379"/>
      </w:tblGrid>
      <w:tr>
        <w:tc>
          <w:tcPr>
            <w:tcW w:w="4908" w:type="dxa"/>
            <w:shd w:val="clear" w:color="auto" w:fill="auto"/>
          </w:tcPr>
          <w:p>
            <w:pPr>
              <w:spacing w:before="60" w:after="60"/>
              <w:jc w:val="left"/>
              <w:rPr>
                <w:rFonts w:eastAsia="Calibri"/>
                <w:noProof/>
              </w:rPr>
            </w:pPr>
            <w:r>
              <w:rPr>
                <w:noProof/>
              </w:rPr>
              <w:t>Vloga za pomoč iz ESPG</w:t>
            </w:r>
          </w:p>
        </w:tc>
        <w:tc>
          <w:tcPr>
            <w:tcW w:w="4379" w:type="dxa"/>
            <w:shd w:val="clear" w:color="auto" w:fill="auto"/>
          </w:tcPr>
          <w:p>
            <w:pPr>
              <w:spacing w:before="60" w:after="60"/>
              <w:ind w:rightChars="192" w:right="461"/>
              <w:jc w:val="left"/>
              <w:rPr>
                <w:rFonts w:eastAsia="Calibri"/>
                <w:noProof/>
              </w:rPr>
            </w:pPr>
            <w:r>
              <w:rPr>
                <w:noProof/>
              </w:rPr>
              <w:t>EGF/2020/007 FI/Finnair</w:t>
            </w:r>
          </w:p>
        </w:tc>
      </w:tr>
      <w:tr>
        <w:tc>
          <w:tcPr>
            <w:tcW w:w="4908" w:type="dxa"/>
            <w:shd w:val="clear" w:color="auto" w:fill="auto"/>
          </w:tcPr>
          <w:p>
            <w:pPr>
              <w:spacing w:before="60" w:after="60"/>
              <w:jc w:val="left"/>
              <w:rPr>
                <w:rFonts w:eastAsia="Calibri"/>
                <w:noProof/>
              </w:rPr>
            </w:pPr>
            <w:r>
              <w:rPr>
                <w:noProof/>
              </w:rPr>
              <w:t>Država članica</w:t>
            </w:r>
          </w:p>
        </w:tc>
        <w:tc>
          <w:tcPr>
            <w:tcW w:w="4379" w:type="dxa"/>
            <w:shd w:val="clear" w:color="auto" w:fill="auto"/>
          </w:tcPr>
          <w:p>
            <w:pPr>
              <w:spacing w:before="60" w:after="60"/>
              <w:ind w:rightChars="192" w:right="461"/>
              <w:jc w:val="left"/>
              <w:rPr>
                <w:rFonts w:eastAsia="Calibri"/>
                <w:noProof/>
              </w:rPr>
            </w:pPr>
            <w:r>
              <w:rPr>
                <w:noProof/>
              </w:rPr>
              <w:t>Finska</w:t>
            </w:r>
          </w:p>
        </w:tc>
      </w:tr>
      <w:tr>
        <w:tc>
          <w:tcPr>
            <w:tcW w:w="4908" w:type="dxa"/>
            <w:tcBorders>
              <w:bottom w:val="single" w:sz="4" w:space="0" w:color="auto"/>
            </w:tcBorders>
            <w:shd w:val="clear" w:color="auto" w:fill="auto"/>
          </w:tcPr>
          <w:p>
            <w:pPr>
              <w:spacing w:before="60" w:after="60"/>
              <w:jc w:val="left"/>
              <w:rPr>
                <w:rFonts w:eastAsia="Calibri"/>
                <w:noProof/>
              </w:rPr>
            </w:pPr>
            <w:r>
              <w:rPr>
                <w:noProof/>
              </w:rPr>
              <w:t>Zadevne regije (na ravni NUTS 2</w:t>
            </w:r>
            <w:r>
              <w:rPr>
                <w:rStyle w:val="FootnoteReference"/>
                <w:noProof/>
              </w:rPr>
              <w:footnoteReference w:id="5"/>
            </w:r>
            <w:r>
              <w:rPr>
                <w:noProof/>
              </w:rPr>
              <w:t>)</w:t>
            </w:r>
          </w:p>
        </w:tc>
        <w:tc>
          <w:tcPr>
            <w:tcW w:w="4379" w:type="dxa"/>
            <w:tcBorders>
              <w:bottom w:val="single" w:sz="4" w:space="0" w:color="auto"/>
            </w:tcBorders>
            <w:shd w:val="clear" w:color="auto" w:fill="auto"/>
          </w:tcPr>
          <w:p>
            <w:pPr>
              <w:spacing w:before="0" w:after="0"/>
              <w:ind w:rightChars="192" w:right="461"/>
              <w:jc w:val="left"/>
              <w:rPr>
                <w:noProof/>
                <w:szCs w:val="24"/>
              </w:rPr>
            </w:pPr>
            <w:r>
              <w:rPr>
                <w:noProof/>
              </w:rPr>
              <w:t>Helsinki-Uusimaa (FI1B)</w:t>
            </w:r>
          </w:p>
        </w:tc>
      </w:tr>
      <w:tr>
        <w:tc>
          <w:tcPr>
            <w:tcW w:w="4908" w:type="dxa"/>
            <w:tcBorders>
              <w:bottom w:val="dotted" w:sz="4" w:space="0" w:color="auto"/>
            </w:tcBorders>
            <w:shd w:val="clear" w:color="auto" w:fill="auto"/>
          </w:tcPr>
          <w:p>
            <w:pPr>
              <w:spacing w:before="60" w:after="60"/>
              <w:jc w:val="left"/>
              <w:rPr>
                <w:rFonts w:eastAsia="Calibri"/>
                <w:noProof/>
              </w:rPr>
            </w:pPr>
            <w:r>
              <w:rPr>
                <w:noProof/>
              </w:rPr>
              <w:t>Datum vložitve vloge</w:t>
            </w:r>
          </w:p>
        </w:tc>
        <w:tc>
          <w:tcPr>
            <w:tcW w:w="4379" w:type="dxa"/>
            <w:tcBorders>
              <w:bottom w:val="dotted" w:sz="4" w:space="0" w:color="auto"/>
            </w:tcBorders>
            <w:shd w:val="clear" w:color="auto" w:fill="auto"/>
          </w:tcPr>
          <w:p>
            <w:pPr>
              <w:spacing w:before="60" w:after="60"/>
              <w:ind w:rightChars="192" w:right="461"/>
              <w:jc w:val="left"/>
              <w:rPr>
                <w:rFonts w:eastAsia="Calibri"/>
                <w:noProof/>
              </w:rPr>
            </w:pPr>
            <w:r>
              <w:rPr>
                <w:noProof/>
              </w:rPr>
              <w:t>30. december 2020</w:t>
            </w:r>
          </w:p>
        </w:tc>
      </w:tr>
      <w:tr>
        <w:tc>
          <w:tcPr>
            <w:tcW w:w="4908" w:type="dxa"/>
            <w:tcBorders>
              <w:top w:val="dotted" w:sz="4" w:space="0" w:color="auto"/>
              <w:bottom w:val="dotted" w:sz="4" w:space="0" w:color="auto"/>
            </w:tcBorders>
            <w:shd w:val="clear" w:color="auto" w:fill="auto"/>
          </w:tcPr>
          <w:p>
            <w:pPr>
              <w:spacing w:before="60" w:after="60"/>
              <w:jc w:val="left"/>
              <w:rPr>
                <w:rFonts w:eastAsia="Calibri"/>
                <w:noProof/>
              </w:rPr>
            </w:pPr>
            <w:r>
              <w:rPr>
                <w:noProof/>
              </w:rPr>
              <w:t>Datum potrdila o prejemu vloge</w:t>
            </w:r>
          </w:p>
        </w:tc>
        <w:tc>
          <w:tcPr>
            <w:tcW w:w="4379" w:type="dxa"/>
            <w:tcBorders>
              <w:top w:val="dotted" w:sz="4" w:space="0" w:color="auto"/>
              <w:bottom w:val="dotted" w:sz="4" w:space="0" w:color="auto"/>
            </w:tcBorders>
            <w:shd w:val="clear" w:color="auto" w:fill="auto"/>
          </w:tcPr>
          <w:p>
            <w:pPr>
              <w:spacing w:before="60" w:after="60"/>
              <w:ind w:rightChars="192" w:right="461"/>
              <w:jc w:val="left"/>
              <w:rPr>
                <w:rFonts w:eastAsia="Calibri"/>
                <w:noProof/>
              </w:rPr>
            </w:pPr>
            <w:r>
              <w:rPr>
                <w:noProof/>
              </w:rPr>
              <w:t>30. december 2020</w:t>
            </w:r>
          </w:p>
        </w:tc>
      </w:tr>
      <w:tr>
        <w:tc>
          <w:tcPr>
            <w:tcW w:w="4908" w:type="dxa"/>
            <w:tcBorders>
              <w:top w:val="dotted" w:sz="4" w:space="0" w:color="auto"/>
              <w:bottom w:val="dotted" w:sz="4" w:space="0" w:color="auto"/>
            </w:tcBorders>
            <w:shd w:val="clear" w:color="auto" w:fill="auto"/>
          </w:tcPr>
          <w:p>
            <w:pPr>
              <w:spacing w:before="60" w:after="60"/>
              <w:jc w:val="left"/>
              <w:rPr>
                <w:rFonts w:eastAsia="Calibri"/>
                <w:noProof/>
              </w:rPr>
            </w:pPr>
            <w:r>
              <w:rPr>
                <w:noProof/>
              </w:rPr>
              <w:t>Datum zahtevka za dodatne informacije</w:t>
            </w:r>
          </w:p>
        </w:tc>
        <w:tc>
          <w:tcPr>
            <w:tcW w:w="4379" w:type="dxa"/>
            <w:tcBorders>
              <w:top w:val="dotted" w:sz="4" w:space="0" w:color="auto"/>
              <w:bottom w:val="dotted" w:sz="4" w:space="0" w:color="auto"/>
            </w:tcBorders>
            <w:shd w:val="clear" w:color="auto" w:fill="auto"/>
          </w:tcPr>
          <w:p>
            <w:pPr>
              <w:spacing w:before="60" w:after="60"/>
              <w:ind w:rightChars="192" w:right="461"/>
              <w:jc w:val="left"/>
              <w:rPr>
                <w:rFonts w:eastAsia="Calibri"/>
                <w:noProof/>
              </w:rPr>
            </w:pPr>
            <w:r>
              <w:rPr>
                <w:noProof/>
              </w:rPr>
              <w:t>13. januar 2021</w:t>
            </w:r>
          </w:p>
        </w:tc>
      </w:tr>
      <w:tr>
        <w:tc>
          <w:tcPr>
            <w:tcW w:w="4908" w:type="dxa"/>
            <w:tcBorders>
              <w:top w:val="dotted" w:sz="4" w:space="0" w:color="auto"/>
              <w:bottom w:val="dotted" w:sz="4" w:space="0" w:color="auto"/>
            </w:tcBorders>
            <w:shd w:val="clear" w:color="auto" w:fill="auto"/>
          </w:tcPr>
          <w:p>
            <w:pPr>
              <w:spacing w:before="60" w:after="60"/>
              <w:jc w:val="left"/>
              <w:rPr>
                <w:rFonts w:eastAsia="Calibri"/>
                <w:noProof/>
              </w:rPr>
            </w:pPr>
            <w:r>
              <w:rPr>
                <w:noProof/>
              </w:rPr>
              <w:t>Rok za predložitev dodatnih informacij</w:t>
            </w:r>
          </w:p>
        </w:tc>
        <w:tc>
          <w:tcPr>
            <w:tcW w:w="4379" w:type="dxa"/>
            <w:tcBorders>
              <w:top w:val="dotted" w:sz="4" w:space="0" w:color="auto"/>
              <w:bottom w:val="dotted" w:sz="4" w:space="0" w:color="auto"/>
            </w:tcBorders>
            <w:shd w:val="clear" w:color="auto" w:fill="auto"/>
          </w:tcPr>
          <w:p>
            <w:pPr>
              <w:spacing w:before="60" w:after="60"/>
              <w:ind w:rightChars="192" w:right="461"/>
              <w:jc w:val="left"/>
              <w:rPr>
                <w:rFonts w:eastAsia="Calibri"/>
                <w:noProof/>
              </w:rPr>
            </w:pPr>
            <w:r>
              <w:rPr>
                <w:noProof/>
              </w:rPr>
              <w:t>24. februar 2021</w:t>
            </w:r>
          </w:p>
        </w:tc>
      </w:tr>
      <w:tr>
        <w:tc>
          <w:tcPr>
            <w:tcW w:w="4908" w:type="dxa"/>
            <w:tcBorders>
              <w:top w:val="dotted" w:sz="4" w:space="0" w:color="auto"/>
            </w:tcBorders>
            <w:shd w:val="clear" w:color="auto" w:fill="auto"/>
          </w:tcPr>
          <w:p>
            <w:pPr>
              <w:spacing w:before="60" w:after="60"/>
              <w:jc w:val="left"/>
              <w:rPr>
                <w:rFonts w:eastAsia="Calibri"/>
                <w:noProof/>
              </w:rPr>
            </w:pPr>
            <w:r>
              <w:rPr>
                <w:noProof/>
              </w:rPr>
              <w:t>Rok za zaključek ocene</w:t>
            </w:r>
          </w:p>
        </w:tc>
        <w:tc>
          <w:tcPr>
            <w:tcW w:w="4379" w:type="dxa"/>
            <w:tcBorders>
              <w:top w:val="dotted" w:sz="4" w:space="0" w:color="auto"/>
            </w:tcBorders>
            <w:shd w:val="clear" w:color="auto" w:fill="auto"/>
          </w:tcPr>
          <w:p>
            <w:pPr>
              <w:spacing w:before="60" w:after="60"/>
              <w:ind w:rightChars="192" w:right="461"/>
              <w:jc w:val="left"/>
              <w:rPr>
                <w:rFonts w:eastAsia="Calibri"/>
                <w:noProof/>
              </w:rPr>
            </w:pPr>
            <w:r>
              <w:rPr>
                <w:noProof/>
              </w:rPr>
              <w:t>19. maj 2021</w:t>
            </w:r>
          </w:p>
        </w:tc>
      </w:tr>
      <w:tr>
        <w:tc>
          <w:tcPr>
            <w:tcW w:w="4908" w:type="dxa"/>
            <w:shd w:val="clear" w:color="auto" w:fill="auto"/>
          </w:tcPr>
          <w:p>
            <w:pPr>
              <w:spacing w:before="60" w:after="60"/>
              <w:jc w:val="left"/>
              <w:rPr>
                <w:rFonts w:eastAsia="Calibri"/>
                <w:noProof/>
              </w:rPr>
            </w:pPr>
            <w:r>
              <w:rPr>
                <w:noProof/>
              </w:rPr>
              <w:t>Merilo za pomoč</w:t>
            </w:r>
          </w:p>
        </w:tc>
        <w:tc>
          <w:tcPr>
            <w:tcW w:w="4379" w:type="dxa"/>
            <w:shd w:val="clear" w:color="auto" w:fill="auto"/>
          </w:tcPr>
          <w:p>
            <w:pPr>
              <w:spacing w:before="60" w:after="60"/>
              <w:ind w:rightChars="192" w:right="461"/>
              <w:jc w:val="left"/>
              <w:rPr>
                <w:rFonts w:eastAsia="Calibri"/>
                <w:noProof/>
              </w:rPr>
            </w:pPr>
            <w:r>
              <w:rPr>
                <w:noProof/>
              </w:rPr>
              <w:t>Člen 4(1)(a) uredbe o ESPG</w:t>
            </w:r>
          </w:p>
        </w:tc>
      </w:tr>
      <w:tr>
        <w:tc>
          <w:tcPr>
            <w:tcW w:w="4908" w:type="dxa"/>
            <w:tcBorders>
              <w:top w:val="single" w:sz="4" w:space="0" w:color="auto"/>
              <w:bottom w:val="single" w:sz="4" w:space="0" w:color="auto"/>
              <w:right w:val="single" w:sz="4" w:space="0" w:color="auto"/>
            </w:tcBorders>
            <w:shd w:val="clear" w:color="auto" w:fill="auto"/>
          </w:tcPr>
          <w:p>
            <w:pPr>
              <w:spacing w:before="60" w:after="60"/>
              <w:jc w:val="left"/>
              <w:rPr>
                <w:rFonts w:eastAsia="Calibri"/>
                <w:noProof/>
              </w:rPr>
            </w:pPr>
            <w:r>
              <w:rPr>
                <w:noProof/>
              </w:rPr>
              <w:br w:type="page"/>
              <w:t>Glavno podjetje</w:t>
            </w:r>
          </w:p>
        </w:tc>
        <w:tc>
          <w:tcPr>
            <w:tcW w:w="4379" w:type="dxa"/>
            <w:tcBorders>
              <w:top w:val="single" w:sz="4" w:space="0" w:color="auto"/>
              <w:left w:val="single" w:sz="4" w:space="0" w:color="auto"/>
              <w:bottom w:val="single" w:sz="4" w:space="0" w:color="auto"/>
            </w:tcBorders>
            <w:shd w:val="clear" w:color="auto" w:fill="auto"/>
          </w:tcPr>
          <w:p>
            <w:pPr>
              <w:spacing w:before="60" w:after="60"/>
              <w:ind w:rightChars="192" w:right="461"/>
              <w:jc w:val="left"/>
              <w:rPr>
                <w:noProof/>
                <w:szCs w:val="24"/>
              </w:rPr>
            </w:pPr>
            <w:r>
              <w:rPr>
                <w:noProof/>
              </w:rPr>
              <w:t>Finnair Oyj</w:t>
            </w:r>
          </w:p>
        </w:tc>
      </w:tr>
      <w:tr>
        <w:tc>
          <w:tcPr>
            <w:tcW w:w="4908" w:type="dxa"/>
            <w:tcBorders>
              <w:top w:val="single" w:sz="4" w:space="0" w:color="auto"/>
              <w:bottom w:val="single" w:sz="4" w:space="0" w:color="auto"/>
              <w:right w:val="single" w:sz="4" w:space="0" w:color="auto"/>
            </w:tcBorders>
            <w:shd w:val="clear" w:color="auto" w:fill="auto"/>
          </w:tcPr>
          <w:p>
            <w:pPr>
              <w:spacing w:before="60" w:after="60"/>
              <w:jc w:val="left"/>
              <w:rPr>
                <w:rFonts w:eastAsia="Calibri"/>
                <w:noProof/>
              </w:rPr>
            </w:pPr>
            <w:r>
              <w:rPr>
                <w:noProof/>
              </w:rPr>
              <w:br w:type="page"/>
              <w:t>Število zadevnih podjetij</w:t>
            </w:r>
          </w:p>
        </w:tc>
        <w:tc>
          <w:tcPr>
            <w:tcW w:w="4379" w:type="dxa"/>
            <w:tcBorders>
              <w:top w:val="single" w:sz="4" w:space="0" w:color="auto"/>
              <w:left w:val="single" w:sz="4" w:space="0" w:color="auto"/>
              <w:bottom w:val="single" w:sz="4" w:space="0" w:color="auto"/>
            </w:tcBorders>
            <w:shd w:val="clear" w:color="auto" w:fill="auto"/>
          </w:tcPr>
          <w:p>
            <w:pPr>
              <w:spacing w:before="60" w:after="60"/>
              <w:ind w:rightChars="192" w:right="461"/>
              <w:jc w:val="left"/>
              <w:rPr>
                <w:noProof/>
                <w:szCs w:val="24"/>
              </w:rPr>
            </w:pPr>
            <w:r>
              <w:rPr>
                <w:noProof/>
              </w:rPr>
              <w:t>1</w:t>
            </w:r>
          </w:p>
        </w:tc>
      </w:tr>
      <w:tr>
        <w:tc>
          <w:tcPr>
            <w:tcW w:w="4908" w:type="dxa"/>
            <w:shd w:val="clear" w:color="auto" w:fill="auto"/>
          </w:tcPr>
          <w:p>
            <w:pPr>
              <w:spacing w:before="60" w:after="60"/>
              <w:jc w:val="left"/>
              <w:rPr>
                <w:rFonts w:eastAsia="Calibri"/>
                <w:noProof/>
              </w:rPr>
            </w:pPr>
            <w:r>
              <w:rPr>
                <w:noProof/>
              </w:rPr>
              <w:t>Sektorji gospodarske dejavnosti</w:t>
            </w:r>
          </w:p>
          <w:p>
            <w:pPr>
              <w:spacing w:before="60" w:after="60"/>
              <w:jc w:val="left"/>
              <w:rPr>
                <w:rFonts w:eastAsia="Calibri"/>
                <w:noProof/>
              </w:rPr>
            </w:pPr>
            <w:r>
              <w:rPr>
                <w:noProof/>
              </w:rPr>
              <w:t>(oddelek NACE Revizija 2)</w:t>
            </w:r>
            <w:r>
              <w:rPr>
                <w:rStyle w:val="FootnoteReference"/>
                <w:noProof/>
                <w:szCs w:val="24"/>
              </w:rPr>
              <w:footnoteReference w:id="6"/>
            </w:r>
          </w:p>
        </w:tc>
        <w:tc>
          <w:tcPr>
            <w:tcW w:w="4379" w:type="dxa"/>
            <w:shd w:val="clear" w:color="auto" w:fill="auto"/>
          </w:tcPr>
          <w:p>
            <w:pPr>
              <w:spacing w:before="60" w:after="60"/>
              <w:ind w:rightChars="192" w:right="461"/>
              <w:jc w:val="left"/>
              <w:rPr>
                <w:rFonts w:eastAsia="Calibri"/>
                <w:noProof/>
              </w:rPr>
            </w:pPr>
            <w:r>
              <w:rPr>
                <w:noProof/>
              </w:rPr>
              <w:t>oddelek 51 (Zračni promet)</w:t>
            </w:r>
          </w:p>
          <w:p>
            <w:pPr>
              <w:spacing w:before="60" w:after="60"/>
              <w:ind w:rightChars="192" w:right="461"/>
              <w:jc w:val="left"/>
              <w:rPr>
                <w:rFonts w:eastAsia="Calibri"/>
                <w:noProof/>
              </w:rPr>
            </w:pPr>
          </w:p>
        </w:tc>
      </w:tr>
      <w:tr>
        <w:tc>
          <w:tcPr>
            <w:tcW w:w="4908" w:type="dxa"/>
            <w:shd w:val="clear" w:color="auto" w:fill="auto"/>
          </w:tcPr>
          <w:p>
            <w:pPr>
              <w:spacing w:before="60" w:after="60"/>
              <w:jc w:val="left"/>
              <w:rPr>
                <w:rFonts w:eastAsia="Calibri"/>
                <w:noProof/>
              </w:rPr>
            </w:pPr>
            <w:r>
              <w:rPr>
                <w:noProof/>
              </w:rPr>
              <w:t>Število hčerinskih podjetij, dobaviteljev in proizvajalcev v poproizvodni fazi</w:t>
            </w:r>
          </w:p>
        </w:tc>
        <w:tc>
          <w:tcPr>
            <w:tcW w:w="4379" w:type="dxa"/>
            <w:shd w:val="clear" w:color="auto" w:fill="auto"/>
          </w:tcPr>
          <w:p>
            <w:pPr>
              <w:spacing w:before="60" w:after="60"/>
              <w:ind w:rightChars="192" w:right="461"/>
              <w:jc w:val="left"/>
              <w:rPr>
                <w:noProof/>
                <w:szCs w:val="24"/>
              </w:rPr>
            </w:pPr>
            <w:r>
              <w:rPr>
                <w:noProof/>
              </w:rPr>
              <w:t>1</w:t>
            </w:r>
          </w:p>
        </w:tc>
      </w:tr>
      <w:tr>
        <w:tc>
          <w:tcPr>
            <w:tcW w:w="4908" w:type="dxa"/>
            <w:tcBorders>
              <w:bottom w:val="single" w:sz="4" w:space="0" w:color="auto"/>
            </w:tcBorders>
            <w:shd w:val="clear" w:color="auto" w:fill="auto"/>
          </w:tcPr>
          <w:p>
            <w:pPr>
              <w:spacing w:before="60" w:after="60"/>
              <w:jc w:val="left"/>
              <w:rPr>
                <w:rFonts w:eastAsia="Calibri"/>
                <w:noProof/>
              </w:rPr>
            </w:pPr>
            <w:r>
              <w:rPr>
                <w:noProof/>
              </w:rPr>
              <w:t>Referenčno obdobje (štirje meseci):</w:t>
            </w:r>
          </w:p>
        </w:tc>
        <w:tc>
          <w:tcPr>
            <w:tcW w:w="4379" w:type="dxa"/>
            <w:tcBorders>
              <w:bottom w:val="single" w:sz="4" w:space="0" w:color="auto"/>
            </w:tcBorders>
            <w:shd w:val="clear" w:color="auto" w:fill="auto"/>
          </w:tcPr>
          <w:p>
            <w:pPr>
              <w:spacing w:before="60" w:after="60"/>
              <w:ind w:rightChars="192" w:right="461"/>
              <w:jc w:val="left"/>
              <w:rPr>
                <w:rFonts w:eastAsia="Calibri"/>
                <w:noProof/>
              </w:rPr>
            </w:pPr>
            <w:r>
              <w:rPr>
                <w:noProof/>
              </w:rPr>
              <w:t>25. avgust 2020–25. december 2020</w:t>
            </w:r>
          </w:p>
        </w:tc>
      </w:tr>
      <w:tr>
        <w:tc>
          <w:tcPr>
            <w:tcW w:w="4908" w:type="dxa"/>
            <w:tcBorders>
              <w:bottom w:val="dotted" w:sz="4" w:space="0" w:color="auto"/>
            </w:tcBorders>
            <w:shd w:val="clear" w:color="auto" w:fill="auto"/>
          </w:tcPr>
          <w:p>
            <w:pPr>
              <w:spacing w:before="60" w:after="60"/>
              <w:jc w:val="left"/>
              <w:rPr>
                <w:rFonts w:eastAsia="Calibri"/>
                <w:noProof/>
                <w:highlight w:val="magenta"/>
              </w:rPr>
            </w:pPr>
            <w:r>
              <w:rPr>
                <w:noProof/>
              </w:rPr>
              <w:t>Število odpustov v referenčnem obdobju (</w:t>
            </w:r>
            <w:r>
              <w:rPr>
                <w:i/>
                <w:noProof/>
              </w:rPr>
              <w:t>a</w:t>
            </w:r>
            <w:r>
              <w:rPr>
                <w:noProof/>
              </w:rPr>
              <w:t>)</w:t>
            </w:r>
          </w:p>
        </w:tc>
        <w:tc>
          <w:tcPr>
            <w:tcW w:w="4379" w:type="dxa"/>
            <w:tcBorders>
              <w:bottom w:val="dotted" w:sz="4" w:space="0" w:color="auto"/>
            </w:tcBorders>
            <w:shd w:val="clear" w:color="auto" w:fill="auto"/>
          </w:tcPr>
          <w:p>
            <w:pPr>
              <w:spacing w:before="60" w:after="60"/>
              <w:ind w:rightChars="192" w:right="461"/>
              <w:jc w:val="left"/>
              <w:rPr>
                <w:rFonts w:eastAsia="Calibri"/>
                <w:noProof/>
                <w:highlight w:val="magenta"/>
              </w:rPr>
            </w:pPr>
            <w:r>
              <w:rPr>
                <w:noProof/>
              </w:rPr>
              <w:t>508</w:t>
            </w:r>
          </w:p>
        </w:tc>
      </w:tr>
      <w:tr>
        <w:tc>
          <w:tcPr>
            <w:tcW w:w="4908" w:type="dxa"/>
            <w:tcBorders>
              <w:top w:val="dotted" w:sz="4" w:space="0" w:color="auto"/>
              <w:bottom w:val="dotted" w:sz="4" w:space="0" w:color="auto"/>
            </w:tcBorders>
            <w:shd w:val="clear" w:color="auto" w:fill="auto"/>
          </w:tcPr>
          <w:p>
            <w:pPr>
              <w:spacing w:before="60" w:after="60"/>
              <w:jc w:val="left"/>
              <w:rPr>
                <w:rFonts w:eastAsia="Calibri"/>
                <w:noProof/>
                <w:highlight w:val="magenta"/>
              </w:rPr>
            </w:pPr>
            <w:r>
              <w:rPr>
                <w:noProof/>
              </w:rPr>
              <w:t xml:space="preserve">Število odpustov pred referenčnim obdobjem ali </w:t>
            </w:r>
            <w:r>
              <w:rPr>
                <w:noProof/>
              </w:rPr>
              <w:lastRenderedPageBreak/>
              <w:t>po njem (</w:t>
            </w:r>
            <w:r>
              <w:rPr>
                <w:i/>
                <w:noProof/>
              </w:rPr>
              <w:t>b</w:t>
            </w:r>
            <w:r>
              <w:rPr>
                <w:noProof/>
              </w:rPr>
              <w:t>)</w:t>
            </w:r>
          </w:p>
        </w:tc>
        <w:tc>
          <w:tcPr>
            <w:tcW w:w="4379" w:type="dxa"/>
            <w:tcBorders>
              <w:top w:val="dotted" w:sz="4" w:space="0" w:color="auto"/>
              <w:bottom w:val="dotted" w:sz="4" w:space="0" w:color="auto"/>
            </w:tcBorders>
            <w:shd w:val="clear" w:color="auto" w:fill="auto"/>
          </w:tcPr>
          <w:p>
            <w:pPr>
              <w:spacing w:before="60" w:after="60"/>
              <w:ind w:rightChars="192" w:right="461"/>
              <w:jc w:val="left"/>
              <w:rPr>
                <w:rFonts w:eastAsia="Calibri"/>
                <w:noProof/>
              </w:rPr>
            </w:pPr>
            <w:r>
              <w:rPr>
                <w:noProof/>
              </w:rPr>
              <w:lastRenderedPageBreak/>
              <w:t>0</w:t>
            </w:r>
          </w:p>
        </w:tc>
      </w:tr>
      <w:tr>
        <w:tc>
          <w:tcPr>
            <w:tcW w:w="4908" w:type="dxa"/>
            <w:tcBorders>
              <w:top w:val="dotted" w:sz="4" w:space="0" w:color="auto"/>
              <w:bottom w:val="single" w:sz="4" w:space="0" w:color="auto"/>
            </w:tcBorders>
            <w:shd w:val="clear" w:color="auto" w:fill="auto"/>
          </w:tcPr>
          <w:p>
            <w:pPr>
              <w:spacing w:before="60" w:after="60"/>
              <w:jc w:val="left"/>
              <w:rPr>
                <w:rFonts w:eastAsia="Calibri"/>
                <w:noProof/>
              </w:rPr>
            </w:pPr>
            <w:r>
              <w:rPr>
                <w:noProof/>
              </w:rPr>
              <w:lastRenderedPageBreak/>
              <w:t>Skupno število odpustov (</w:t>
            </w:r>
            <w:r>
              <w:rPr>
                <w:i/>
                <w:noProof/>
              </w:rPr>
              <w:t>a</w:t>
            </w:r>
            <w:r>
              <w:rPr>
                <w:noProof/>
              </w:rPr>
              <w:t> + </w:t>
            </w:r>
            <w:r>
              <w:rPr>
                <w:i/>
                <w:noProof/>
              </w:rPr>
              <w:t>b</w:t>
            </w:r>
            <w:r>
              <w:rPr>
                <w:noProof/>
              </w:rPr>
              <w:t>)</w:t>
            </w:r>
          </w:p>
        </w:tc>
        <w:tc>
          <w:tcPr>
            <w:tcW w:w="4379" w:type="dxa"/>
            <w:tcBorders>
              <w:top w:val="dotted" w:sz="4" w:space="0" w:color="auto"/>
              <w:bottom w:val="single" w:sz="4" w:space="0" w:color="auto"/>
            </w:tcBorders>
            <w:shd w:val="clear" w:color="auto" w:fill="auto"/>
          </w:tcPr>
          <w:p>
            <w:pPr>
              <w:spacing w:before="60" w:after="60"/>
              <w:ind w:rightChars="192" w:right="461"/>
              <w:jc w:val="left"/>
              <w:rPr>
                <w:rFonts w:eastAsia="Calibri"/>
                <w:noProof/>
              </w:rPr>
            </w:pPr>
            <w:r>
              <w:rPr>
                <w:noProof/>
              </w:rPr>
              <w:t>508</w:t>
            </w:r>
          </w:p>
        </w:tc>
      </w:tr>
      <w:tr>
        <w:tc>
          <w:tcPr>
            <w:tcW w:w="4908" w:type="dxa"/>
            <w:tcBorders>
              <w:bottom w:val="dotted" w:sz="4" w:space="0" w:color="auto"/>
            </w:tcBorders>
            <w:shd w:val="clear" w:color="auto" w:fill="auto"/>
          </w:tcPr>
          <w:p>
            <w:pPr>
              <w:spacing w:before="60" w:after="60"/>
              <w:jc w:val="left"/>
              <w:rPr>
                <w:rFonts w:eastAsia="Calibri"/>
                <w:noProof/>
              </w:rPr>
            </w:pPr>
            <w:r>
              <w:rPr>
                <w:noProof/>
              </w:rPr>
              <w:t>Skupno število upravičenih prejemnikov</w:t>
            </w:r>
          </w:p>
        </w:tc>
        <w:tc>
          <w:tcPr>
            <w:tcW w:w="4379" w:type="dxa"/>
            <w:tcBorders>
              <w:bottom w:val="dotted" w:sz="4" w:space="0" w:color="auto"/>
            </w:tcBorders>
            <w:shd w:val="clear" w:color="auto" w:fill="auto"/>
          </w:tcPr>
          <w:p>
            <w:pPr>
              <w:spacing w:before="60" w:after="60"/>
              <w:ind w:rightChars="192" w:right="461"/>
              <w:jc w:val="left"/>
              <w:rPr>
                <w:rFonts w:eastAsia="Calibri"/>
                <w:noProof/>
              </w:rPr>
            </w:pPr>
            <w:r>
              <w:rPr>
                <w:noProof/>
              </w:rPr>
              <w:t>508</w:t>
            </w:r>
          </w:p>
        </w:tc>
      </w:tr>
      <w:tr>
        <w:tc>
          <w:tcPr>
            <w:tcW w:w="4908" w:type="dxa"/>
            <w:tcBorders>
              <w:top w:val="dotted" w:sz="4" w:space="0" w:color="auto"/>
              <w:bottom w:val="dotted" w:sz="4" w:space="0" w:color="auto"/>
            </w:tcBorders>
            <w:shd w:val="clear" w:color="auto" w:fill="auto"/>
          </w:tcPr>
          <w:p>
            <w:pPr>
              <w:spacing w:before="60" w:after="60"/>
              <w:jc w:val="left"/>
              <w:rPr>
                <w:rFonts w:eastAsia="Calibri"/>
                <w:noProof/>
              </w:rPr>
            </w:pPr>
            <w:r>
              <w:rPr>
                <w:noProof/>
              </w:rPr>
              <w:t>Skupno število ciljnih prejemnikov</w:t>
            </w:r>
          </w:p>
        </w:tc>
        <w:tc>
          <w:tcPr>
            <w:tcW w:w="4379" w:type="dxa"/>
            <w:tcBorders>
              <w:top w:val="dotted" w:sz="4" w:space="0" w:color="auto"/>
              <w:bottom w:val="dotted" w:sz="4" w:space="0" w:color="auto"/>
            </w:tcBorders>
            <w:shd w:val="clear" w:color="auto" w:fill="auto"/>
          </w:tcPr>
          <w:p>
            <w:pPr>
              <w:spacing w:before="60" w:after="60"/>
              <w:ind w:rightChars="192" w:right="461"/>
              <w:jc w:val="left"/>
              <w:rPr>
                <w:rFonts w:eastAsia="Calibri"/>
                <w:noProof/>
              </w:rPr>
            </w:pPr>
            <w:r>
              <w:rPr>
                <w:noProof/>
              </w:rPr>
              <w:t>500</w:t>
            </w:r>
          </w:p>
        </w:tc>
      </w:tr>
      <w:tr>
        <w:tc>
          <w:tcPr>
            <w:tcW w:w="4908" w:type="dxa"/>
            <w:tcBorders>
              <w:top w:val="dotted" w:sz="4" w:space="0" w:color="auto"/>
              <w:bottom w:val="dotted" w:sz="4" w:space="0" w:color="auto"/>
            </w:tcBorders>
            <w:shd w:val="clear" w:color="auto" w:fill="auto"/>
          </w:tcPr>
          <w:p>
            <w:pPr>
              <w:spacing w:before="60" w:after="60"/>
              <w:jc w:val="left"/>
              <w:rPr>
                <w:rFonts w:eastAsia="Calibri"/>
                <w:noProof/>
              </w:rPr>
            </w:pPr>
            <w:r>
              <w:rPr>
                <w:noProof/>
              </w:rPr>
              <w:t>Število ciljnih mladih, ki niso zaposleni, se ne izobražujejo ali usposabljajo (NEET)</w:t>
            </w:r>
          </w:p>
        </w:tc>
        <w:tc>
          <w:tcPr>
            <w:tcW w:w="4379" w:type="dxa"/>
            <w:tcBorders>
              <w:top w:val="dotted" w:sz="4" w:space="0" w:color="auto"/>
              <w:bottom w:val="dotted" w:sz="4" w:space="0" w:color="auto"/>
            </w:tcBorders>
            <w:shd w:val="clear" w:color="auto" w:fill="auto"/>
          </w:tcPr>
          <w:p>
            <w:pPr>
              <w:spacing w:before="60" w:after="60"/>
              <w:ind w:rightChars="192" w:right="461"/>
              <w:jc w:val="left"/>
              <w:rPr>
                <w:noProof/>
              </w:rPr>
            </w:pPr>
            <w:r>
              <w:rPr>
                <w:noProof/>
              </w:rPr>
              <w:t>0</w:t>
            </w:r>
          </w:p>
        </w:tc>
      </w:tr>
      <w:tr>
        <w:tc>
          <w:tcPr>
            <w:tcW w:w="4908" w:type="dxa"/>
            <w:tcBorders>
              <w:bottom w:val="dotted" w:sz="4" w:space="0" w:color="auto"/>
            </w:tcBorders>
            <w:shd w:val="clear" w:color="auto" w:fill="auto"/>
            <w:vAlign w:val="center"/>
          </w:tcPr>
          <w:p>
            <w:pPr>
              <w:spacing w:before="0" w:after="0"/>
              <w:jc w:val="left"/>
              <w:rPr>
                <w:noProof/>
              </w:rPr>
            </w:pPr>
            <w:r>
              <w:rPr>
                <w:noProof/>
              </w:rPr>
              <w:t>Proračun za prilagojene storitve (v EUR)</w:t>
            </w:r>
          </w:p>
        </w:tc>
        <w:tc>
          <w:tcPr>
            <w:tcW w:w="4379" w:type="dxa"/>
            <w:tcBorders>
              <w:bottom w:val="dotted" w:sz="4" w:space="0" w:color="auto"/>
            </w:tcBorders>
            <w:shd w:val="clear" w:color="auto" w:fill="auto"/>
            <w:vAlign w:val="center"/>
          </w:tcPr>
          <w:p>
            <w:pPr>
              <w:spacing w:before="0" w:after="0"/>
              <w:ind w:rightChars="192" w:right="461"/>
              <w:jc w:val="left"/>
              <w:rPr>
                <w:noProof/>
              </w:rPr>
            </w:pPr>
            <w:r>
              <w:rPr>
                <w:noProof/>
              </w:rPr>
              <w:t>2 730 600</w:t>
            </w:r>
          </w:p>
        </w:tc>
      </w:tr>
      <w:tr>
        <w:tc>
          <w:tcPr>
            <w:tcW w:w="4908" w:type="dxa"/>
            <w:tcBorders>
              <w:top w:val="dotted" w:sz="4" w:space="0" w:color="auto"/>
              <w:bottom w:val="dotted" w:sz="4" w:space="0" w:color="auto"/>
            </w:tcBorders>
            <w:shd w:val="clear" w:color="auto" w:fill="auto"/>
            <w:vAlign w:val="center"/>
          </w:tcPr>
          <w:p>
            <w:pPr>
              <w:spacing w:before="0" w:after="0"/>
              <w:jc w:val="left"/>
              <w:rPr>
                <w:noProof/>
              </w:rPr>
            </w:pPr>
            <w:r>
              <w:rPr>
                <w:noProof/>
              </w:rPr>
              <w:t>Proračun za izvajanje ESPG</w:t>
            </w:r>
            <w:r>
              <w:rPr>
                <w:rStyle w:val="FootnoteReference"/>
                <w:noProof/>
              </w:rPr>
              <w:footnoteReference w:id="7"/>
            </w:r>
            <w:r>
              <w:rPr>
                <w:noProof/>
              </w:rPr>
              <w:t xml:space="preserve"> (v EUR)</w:t>
            </w:r>
          </w:p>
        </w:tc>
        <w:tc>
          <w:tcPr>
            <w:tcW w:w="4379" w:type="dxa"/>
            <w:tcBorders>
              <w:top w:val="dotted" w:sz="4" w:space="0" w:color="auto"/>
              <w:bottom w:val="dotted" w:sz="4" w:space="0" w:color="auto"/>
            </w:tcBorders>
            <w:shd w:val="clear" w:color="auto" w:fill="auto"/>
            <w:vAlign w:val="center"/>
          </w:tcPr>
          <w:p>
            <w:pPr>
              <w:spacing w:before="0" w:after="0"/>
              <w:ind w:rightChars="192" w:right="461"/>
              <w:jc w:val="left"/>
              <w:rPr>
                <w:noProof/>
              </w:rPr>
            </w:pPr>
            <w:r>
              <w:rPr>
                <w:noProof/>
              </w:rPr>
              <w:t>190 000</w:t>
            </w:r>
          </w:p>
        </w:tc>
      </w:tr>
      <w:tr>
        <w:tc>
          <w:tcPr>
            <w:tcW w:w="4908" w:type="dxa"/>
            <w:tcBorders>
              <w:top w:val="dotted" w:sz="4" w:space="0" w:color="auto"/>
              <w:bottom w:val="dotted" w:sz="4" w:space="0" w:color="auto"/>
            </w:tcBorders>
            <w:shd w:val="clear" w:color="auto" w:fill="auto"/>
            <w:vAlign w:val="center"/>
          </w:tcPr>
          <w:p>
            <w:pPr>
              <w:spacing w:before="0" w:after="0"/>
              <w:jc w:val="left"/>
              <w:rPr>
                <w:noProof/>
              </w:rPr>
            </w:pPr>
            <w:r>
              <w:rPr>
                <w:noProof/>
              </w:rPr>
              <w:t>Skupni proračun (v EUR)</w:t>
            </w:r>
          </w:p>
        </w:tc>
        <w:tc>
          <w:tcPr>
            <w:tcW w:w="4379" w:type="dxa"/>
            <w:tcBorders>
              <w:top w:val="dotted" w:sz="4" w:space="0" w:color="auto"/>
              <w:bottom w:val="dotted" w:sz="4" w:space="0" w:color="auto"/>
            </w:tcBorders>
            <w:shd w:val="clear" w:color="auto" w:fill="auto"/>
            <w:vAlign w:val="center"/>
          </w:tcPr>
          <w:p>
            <w:pPr>
              <w:spacing w:before="0" w:after="0"/>
              <w:ind w:rightChars="192" w:right="461"/>
              <w:jc w:val="left"/>
              <w:rPr>
                <w:noProof/>
              </w:rPr>
            </w:pPr>
            <w:r>
              <w:rPr>
                <w:noProof/>
              </w:rPr>
              <w:t>2 920 600</w:t>
            </w:r>
          </w:p>
        </w:tc>
      </w:tr>
      <w:tr>
        <w:tc>
          <w:tcPr>
            <w:tcW w:w="4908" w:type="dxa"/>
            <w:tcBorders>
              <w:top w:val="dotted" w:sz="4" w:space="0" w:color="auto"/>
            </w:tcBorders>
            <w:shd w:val="clear" w:color="auto" w:fill="auto"/>
            <w:vAlign w:val="center"/>
          </w:tcPr>
          <w:p>
            <w:pPr>
              <w:spacing w:before="0" w:after="0"/>
              <w:jc w:val="left"/>
              <w:rPr>
                <w:noProof/>
              </w:rPr>
            </w:pPr>
            <w:r>
              <w:rPr>
                <w:noProof/>
              </w:rPr>
              <w:t>Prispevek ESPG (60 %) (v EUR)</w:t>
            </w:r>
          </w:p>
        </w:tc>
        <w:tc>
          <w:tcPr>
            <w:tcW w:w="4379" w:type="dxa"/>
            <w:tcBorders>
              <w:top w:val="dotted" w:sz="4" w:space="0" w:color="auto"/>
            </w:tcBorders>
            <w:shd w:val="clear" w:color="auto" w:fill="auto"/>
            <w:vAlign w:val="center"/>
          </w:tcPr>
          <w:p>
            <w:pPr>
              <w:spacing w:before="0" w:after="0"/>
              <w:ind w:rightChars="192" w:right="461"/>
              <w:jc w:val="left"/>
              <w:rPr>
                <w:noProof/>
              </w:rPr>
            </w:pPr>
            <w:r>
              <w:rPr>
                <w:noProof/>
              </w:rPr>
              <w:t>1 752 360</w:t>
            </w:r>
          </w:p>
        </w:tc>
      </w:tr>
    </w:tbl>
    <w:p>
      <w:pPr>
        <w:pStyle w:val="ManualHeading1"/>
        <w:rPr>
          <w:noProof/>
        </w:rPr>
      </w:pPr>
      <w:r>
        <w:rPr>
          <w:noProof/>
        </w:rPr>
        <w:t>OCENA VLOGE</w:t>
      </w:r>
    </w:p>
    <w:p>
      <w:pPr>
        <w:pStyle w:val="ManualHeading2"/>
        <w:rPr>
          <w:noProof/>
        </w:rPr>
      </w:pPr>
      <w:r>
        <w:rPr>
          <w:noProof/>
        </w:rPr>
        <w:t>Postopek</w:t>
      </w:r>
    </w:p>
    <w:p>
      <w:pPr>
        <w:pStyle w:val="ManualNumPar1"/>
        <w:rPr>
          <w:noProof/>
        </w:rPr>
      </w:pPr>
      <w:r>
        <w:t>4.</w:t>
      </w:r>
      <w:r>
        <w:tab/>
      </w:r>
      <w:r>
        <w:rPr>
          <w:noProof/>
        </w:rPr>
        <w:t>Finska je 30. decembra 2020 vložila vlogo EGF/2020/007 FI/Finnair, tj. v dvanajstih tednih od datuma, ko so bila izpolnjena merila za pomoč iz člena 4 uredbe o ESPG. Komisija je prejem vloge potrdila na isti datum in 13. januarja 2021 od Finske zahtevala dodatne informacije. Dodatne informacije so bile predložene v šestih tednih od datuma zahtevka. Komisija mora oceno skladnosti vloge s pogoji za finančni prispevek zaključiti v 12 tednih od prejema popolne vloge; ta rok se izteče 19. maja 2021.</w:t>
      </w:r>
    </w:p>
    <w:p>
      <w:pPr>
        <w:pStyle w:val="ManualHeading2"/>
        <w:rPr>
          <w:noProof/>
        </w:rPr>
      </w:pPr>
      <w:r>
        <w:rPr>
          <w:noProof/>
        </w:rPr>
        <w:t>Upravičenost vloge</w:t>
      </w:r>
    </w:p>
    <w:p>
      <w:pPr>
        <w:pStyle w:val="ManualHeading3"/>
        <w:rPr>
          <w:noProof/>
        </w:rPr>
      </w:pPr>
      <w:r>
        <w:rPr>
          <w:noProof/>
        </w:rPr>
        <w:t>Zadevna podjetja in prejemniki</w:t>
      </w:r>
    </w:p>
    <w:p>
      <w:pPr>
        <w:pStyle w:val="ManualNumPar1"/>
        <w:rPr>
          <w:noProof/>
        </w:rPr>
      </w:pPr>
      <w:r>
        <w:t>5.</w:t>
      </w:r>
      <w:r>
        <w:tab/>
      </w:r>
      <w:r>
        <w:rPr>
          <w:noProof/>
        </w:rPr>
        <w:t>Vloga se nanaša na 508 delavcev, ki so postali presežni v podjetju Finnair Oyj in enem podpogodbeniku. Finnair deluje v gospodarskem sektorju, razvrščenem v oddelek 51 NACE Revizija 2 (Zračni promet). Odpusti v podjetju so bili v regiji na ravni NUTS 2 Helsinki-Uusimaa (FI1B).</w:t>
      </w:r>
    </w:p>
    <w:tbl>
      <w:tblPr>
        <w:tblpPr w:leftFromText="180" w:rightFromText="180" w:vertAnchor="text" w:horzAnchor="margin" w:tblpXSpec="right" w:tblpY="191"/>
        <w:tblW w:w="8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4980"/>
      </w:tblGrid>
      <w:tr>
        <w:trPr>
          <w:trHeight w:val="284"/>
          <w:tblHeader/>
        </w:trPr>
        <w:tc>
          <w:tcPr>
            <w:tcW w:w="8340" w:type="dxa"/>
            <w:gridSpan w:val="2"/>
            <w:shd w:val="clear" w:color="auto" w:fill="D9D9D9" w:themeFill="background1" w:themeFillShade="D9"/>
          </w:tcPr>
          <w:p>
            <w:pPr>
              <w:spacing w:beforeLines="20" w:before="48" w:afterLines="20" w:after="48" w:line="276" w:lineRule="auto"/>
              <w:ind w:left="57"/>
              <w:jc w:val="center"/>
              <w:rPr>
                <w:rFonts w:eastAsia="Calibri"/>
                <w:noProof/>
                <w:szCs w:val="24"/>
              </w:rPr>
            </w:pPr>
            <w:r>
              <w:rPr>
                <w:b/>
                <w:noProof/>
                <w:szCs w:val="24"/>
              </w:rPr>
              <w:t xml:space="preserve">Podjetja in število odpustov </w:t>
            </w:r>
          </w:p>
        </w:tc>
      </w:tr>
      <w:tr>
        <w:tc>
          <w:tcPr>
            <w:tcW w:w="3360" w:type="dxa"/>
            <w:tcBorders>
              <w:bottom w:val="nil"/>
              <w:right w:val="nil"/>
            </w:tcBorders>
            <w:shd w:val="clear" w:color="auto" w:fill="auto"/>
            <w:vAlign w:val="center"/>
          </w:tcPr>
          <w:p>
            <w:pPr>
              <w:spacing w:before="0" w:after="0"/>
              <w:ind w:right="252"/>
              <w:jc w:val="left"/>
              <w:rPr>
                <w:noProof/>
                <w:sz w:val="20"/>
                <w:szCs w:val="20"/>
              </w:rPr>
            </w:pPr>
            <w:r>
              <w:rPr>
                <w:noProof/>
                <w:sz w:val="20"/>
                <w:szCs w:val="20"/>
              </w:rPr>
              <w:t>Finnair</w:t>
            </w:r>
          </w:p>
        </w:tc>
        <w:tc>
          <w:tcPr>
            <w:tcW w:w="4980" w:type="dxa"/>
            <w:tcBorders>
              <w:left w:val="nil"/>
              <w:bottom w:val="nil"/>
            </w:tcBorders>
            <w:shd w:val="clear" w:color="auto" w:fill="auto"/>
            <w:vAlign w:val="center"/>
          </w:tcPr>
          <w:p>
            <w:pPr>
              <w:spacing w:before="0" w:after="0"/>
              <w:ind w:left="-828"/>
              <w:jc w:val="right"/>
              <w:rPr>
                <w:noProof/>
                <w:sz w:val="20"/>
                <w:szCs w:val="20"/>
              </w:rPr>
            </w:pPr>
            <w:r>
              <w:rPr>
                <w:noProof/>
                <w:color w:val="000000" w:themeColor="text1"/>
                <w:sz w:val="20"/>
                <w:szCs w:val="20"/>
              </w:rPr>
              <w:t>504</w:t>
            </w:r>
          </w:p>
        </w:tc>
      </w:tr>
      <w:tr>
        <w:tc>
          <w:tcPr>
            <w:tcW w:w="3360" w:type="dxa"/>
            <w:tcBorders>
              <w:bottom w:val="single" w:sz="4" w:space="0" w:color="auto"/>
              <w:right w:val="nil"/>
            </w:tcBorders>
            <w:shd w:val="clear" w:color="auto" w:fill="auto"/>
            <w:vAlign w:val="center"/>
          </w:tcPr>
          <w:p>
            <w:pPr>
              <w:spacing w:before="0" w:after="0"/>
              <w:ind w:right="252"/>
              <w:jc w:val="left"/>
              <w:rPr>
                <w:noProof/>
                <w:sz w:val="20"/>
                <w:szCs w:val="20"/>
              </w:rPr>
            </w:pPr>
            <w:r>
              <w:rPr>
                <w:noProof/>
                <w:sz w:val="20"/>
                <w:szCs w:val="20"/>
              </w:rPr>
              <w:t>Hub Logistics Finland Oy</w:t>
            </w:r>
          </w:p>
        </w:tc>
        <w:tc>
          <w:tcPr>
            <w:tcW w:w="4980" w:type="dxa"/>
            <w:tcBorders>
              <w:left w:val="nil"/>
              <w:bottom w:val="single" w:sz="4" w:space="0" w:color="auto"/>
            </w:tcBorders>
            <w:shd w:val="clear" w:color="auto" w:fill="auto"/>
            <w:vAlign w:val="center"/>
          </w:tcPr>
          <w:p>
            <w:pPr>
              <w:spacing w:before="0" w:after="0"/>
              <w:ind w:left="-828"/>
              <w:jc w:val="right"/>
              <w:rPr>
                <w:noProof/>
                <w:sz w:val="20"/>
                <w:szCs w:val="20"/>
              </w:rPr>
            </w:pPr>
            <w:r>
              <w:rPr>
                <w:noProof/>
                <w:sz w:val="20"/>
                <w:szCs w:val="20"/>
              </w:rPr>
              <w:t>4</w:t>
            </w:r>
          </w:p>
        </w:tc>
      </w:tr>
      <w:tr>
        <w:tc>
          <w:tcPr>
            <w:tcW w:w="3360" w:type="dxa"/>
            <w:tcBorders>
              <w:top w:val="single" w:sz="4" w:space="0" w:color="auto"/>
              <w:bottom w:val="single" w:sz="4" w:space="0" w:color="auto"/>
              <w:right w:val="nil"/>
            </w:tcBorders>
            <w:shd w:val="pct10" w:color="auto" w:fill="auto"/>
            <w:vAlign w:val="center"/>
          </w:tcPr>
          <w:p>
            <w:pPr>
              <w:spacing w:before="0" w:after="0"/>
              <w:ind w:right="252"/>
              <w:jc w:val="left"/>
              <w:rPr>
                <w:noProof/>
                <w:sz w:val="20"/>
                <w:szCs w:val="20"/>
              </w:rPr>
            </w:pPr>
            <w:r>
              <w:rPr>
                <w:b/>
                <w:noProof/>
                <w:szCs w:val="24"/>
              </w:rPr>
              <w:t>Skupno število podjetij:</w:t>
            </w:r>
            <w:r>
              <w:rPr>
                <w:b/>
                <w:noProof/>
                <w:sz w:val="22"/>
              </w:rPr>
              <w:t xml:space="preserve"> 2</w:t>
            </w:r>
          </w:p>
        </w:tc>
        <w:tc>
          <w:tcPr>
            <w:tcW w:w="4980" w:type="dxa"/>
            <w:tcBorders>
              <w:top w:val="single" w:sz="4" w:space="0" w:color="auto"/>
              <w:left w:val="nil"/>
              <w:bottom w:val="single" w:sz="4" w:space="0" w:color="auto"/>
            </w:tcBorders>
            <w:shd w:val="pct10" w:color="auto" w:fill="auto"/>
            <w:vAlign w:val="center"/>
          </w:tcPr>
          <w:p>
            <w:pPr>
              <w:spacing w:before="0" w:after="0"/>
              <w:ind w:left="-828"/>
              <w:jc w:val="right"/>
              <w:rPr>
                <w:noProof/>
                <w:sz w:val="20"/>
                <w:szCs w:val="20"/>
              </w:rPr>
            </w:pPr>
            <w:r>
              <w:rPr>
                <w:b/>
                <w:noProof/>
                <w:szCs w:val="24"/>
              </w:rPr>
              <w:t>Skupno število odpustov:</w:t>
            </w:r>
            <w:r>
              <w:rPr>
                <w:b/>
                <w:noProof/>
                <w:sz w:val="22"/>
              </w:rPr>
              <w:t xml:space="preserve"> 508</w:t>
            </w:r>
          </w:p>
        </w:tc>
      </w:tr>
    </w:tbl>
    <w:p>
      <w:pPr>
        <w:pStyle w:val="Text1"/>
        <w:rPr>
          <w:noProof/>
        </w:rPr>
      </w:pPr>
    </w:p>
    <w:p>
      <w:pPr>
        <w:pStyle w:val="ManualHeading3"/>
        <w:ind w:left="0" w:firstLine="0"/>
        <w:rPr>
          <w:noProof/>
        </w:rPr>
      </w:pPr>
    </w:p>
    <w:p>
      <w:pPr>
        <w:pStyle w:val="ManualHeading3"/>
        <w:ind w:left="0" w:firstLine="0"/>
        <w:rPr>
          <w:noProof/>
        </w:rPr>
      </w:pPr>
    </w:p>
    <w:p>
      <w:pPr>
        <w:pStyle w:val="ManualHeading3"/>
        <w:ind w:left="0" w:firstLine="0"/>
        <w:rPr>
          <w:noProof/>
        </w:rPr>
      </w:pPr>
    </w:p>
    <w:p>
      <w:pPr>
        <w:pStyle w:val="ManualHeading3"/>
        <w:ind w:left="0" w:firstLine="0"/>
        <w:rPr>
          <w:noProof/>
        </w:rPr>
      </w:pPr>
      <w:r>
        <w:rPr>
          <w:noProof/>
        </w:rPr>
        <w:t>Merila za pomoč</w:t>
      </w:r>
    </w:p>
    <w:p>
      <w:pPr>
        <w:pStyle w:val="ManualNumPar1"/>
        <w:rPr>
          <w:noProof/>
        </w:rPr>
      </w:pPr>
      <w:r>
        <w:t>6.</w:t>
      </w:r>
      <w:r>
        <w:tab/>
      </w:r>
      <w:r>
        <w:rPr>
          <w:noProof/>
        </w:rPr>
        <w:t>Finska je vlogo vložila na podlagi merila za pomoč iz člena 4(1)(a) uredbe o ESPG, ki zahteva najmanj 500 odpuščenih presežnih delavcev v štirimesečnem referenčnem obdobju v podjetju v državi članici, vključno z delavci, ki so postali presežni pri njegovih dobaviteljih ali proizvajalcih v poproizvodni fazi, in/ali samozaposlenimi osebami, ki so prenehale opravljati dejavnost.</w:t>
      </w:r>
    </w:p>
    <w:p>
      <w:pPr>
        <w:pStyle w:val="ManualNumPar1"/>
        <w:rPr>
          <w:noProof/>
        </w:rPr>
      </w:pPr>
      <w:bookmarkStart w:id="7" w:name="_Ref372189348"/>
      <w:r>
        <w:t>7.</w:t>
      </w:r>
      <w:r>
        <w:tab/>
      </w:r>
      <w:r>
        <w:rPr>
          <w:noProof/>
        </w:rPr>
        <w:t xml:space="preserve">Štirimesečno referenčno obdobje za vlogo traja od 25. avgusta 2020 do </w:t>
      </w:r>
      <w:bookmarkEnd w:id="7"/>
      <w:r>
        <w:rPr>
          <w:noProof/>
        </w:rPr>
        <w:t>25. decembra 2020.</w:t>
      </w:r>
    </w:p>
    <w:p>
      <w:pPr>
        <w:pStyle w:val="ManualNumPar1"/>
        <w:rPr>
          <w:noProof/>
        </w:rPr>
      </w:pPr>
      <w:r>
        <w:t>8.</w:t>
      </w:r>
      <w:r>
        <w:tab/>
      </w:r>
      <w:r>
        <w:rPr>
          <w:noProof/>
        </w:rPr>
        <w:t>Odpusti v referenčnem obdobju:</w:t>
      </w:r>
    </w:p>
    <w:p>
      <w:pPr>
        <w:pStyle w:val="Tiret1"/>
        <w:numPr>
          <w:ilvl w:val="0"/>
          <w:numId w:val="12"/>
        </w:numPr>
        <w:rPr>
          <w:noProof/>
        </w:rPr>
      </w:pPr>
      <w:r>
        <w:rPr>
          <w:noProof/>
        </w:rPr>
        <w:t>504 delavci, ki so postali presežni v podjetju Finnair.</w:t>
      </w:r>
    </w:p>
    <w:p>
      <w:pPr>
        <w:pStyle w:val="Tiret1"/>
        <w:rPr>
          <w:noProof/>
        </w:rPr>
      </w:pPr>
      <w:r>
        <w:rPr>
          <w:noProof/>
        </w:rPr>
        <w:lastRenderedPageBreak/>
        <w:t>4 delavci, ki so postali presežni pri podizvajalcu Finnaira.</w:t>
      </w:r>
    </w:p>
    <w:p>
      <w:pPr>
        <w:pStyle w:val="ManualHeading3"/>
        <w:rPr>
          <w:noProof/>
        </w:rPr>
      </w:pPr>
      <w:r>
        <w:rPr>
          <w:noProof/>
        </w:rPr>
        <w:t>Izračun odpustov in prenehanj opravljanja dejavnosti</w:t>
      </w:r>
    </w:p>
    <w:p>
      <w:pPr>
        <w:pStyle w:val="ManualNumPar1"/>
        <w:rPr>
          <w:noProof/>
        </w:rPr>
      </w:pPr>
      <w:r>
        <w:t>9.</w:t>
      </w:r>
      <w:r>
        <w:tab/>
      </w:r>
      <w:r>
        <w:rPr>
          <w:noProof/>
        </w:rPr>
        <w:t>Število odpustov v referenčnem obdobju je bilo izračunano na naslednji način:</w:t>
      </w:r>
    </w:p>
    <w:p>
      <w:pPr>
        <w:pStyle w:val="Tiret1"/>
        <w:numPr>
          <w:ilvl w:val="0"/>
          <w:numId w:val="11"/>
        </w:numPr>
        <w:rPr>
          <w:noProof/>
        </w:rPr>
      </w:pPr>
      <w:r>
        <w:rPr>
          <w:noProof/>
        </w:rPr>
        <w:t>504 od datuma, ko je delodajalec v skladu s členom 3(1) Direktive Sveta 98/59/ES</w:t>
      </w:r>
      <w:r>
        <w:rPr>
          <w:rStyle w:val="FootnoteReference"/>
          <w:noProof/>
        </w:rPr>
        <w:footnoteReference w:id="8"/>
      </w:r>
      <w:r>
        <w:rPr>
          <w:noProof/>
        </w:rPr>
        <w:t xml:space="preserve"> uradno pisno obvestil pristojni javni organ o načrtovanih kolektivnih odpustih. Finska je pred datumom zaključka ocene s strani Komisije potrdila, da je bilo teh 504 delavcev dejansko odpuščenih.</w:t>
      </w:r>
    </w:p>
    <w:p>
      <w:pPr>
        <w:pStyle w:val="Tiret1"/>
        <w:rPr>
          <w:noProof/>
        </w:rPr>
      </w:pPr>
      <w:r>
        <w:rPr>
          <w:noProof/>
        </w:rPr>
        <w:t xml:space="preserve">4 od datuma, ko je delodajalec posamezne delavce obvestil o odpustu ali odpovedi pogodbe o zaposlitvi. </w:t>
      </w:r>
    </w:p>
    <w:p>
      <w:pPr>
        <w:pStyle w:val="ManualHeading3"/>
        <w:rPr>
          <w:noProof/>
        </w:rPr>
      </w:pPr>
      <w:r>
        <w:rPr>
          <w:noProof/>
        </w:rPr>
        <w:t>Upravičeni prejemniki</w:t>
      </w:r>
    </w:p>
    <w:p>
      <w:pPr>
        <w:pStyle w:val="ManualNumPar1"/>
        <w:rPr>
          <w:noProof/>
        </w:rPr>
      </w:pPr>
      <w:r>
        <w:t>10.</w:t>
      </w:r>
      <w:r>
        <w:tab/>
      </w:r>
      <w:r>
        <w:rPr>
          <w:noProof/>
        </w:rPr>
        <w:t>Skupno število upravičenih prejemnikov je torej 508.</w:t>
      </w:r>
    </w:p>
    <w:p>
      <w:pPr>
        <w:pStyle w:val="ManualHeading3"/>
        <w:tabs>
          <w:tab w:val="clear" w:pos="850"/>
          <w:tab w:val="left" w:pos="0"/>
        </w:tabs>
        <w:ind w:left="0" w:firstLine="0"/>
        <w:rPr>
          <w:noProof/>
        </w:rPr>
      </w:pPr>
      <w:r>
        <w:rPr>
          <w:noProof/>
        </w:rPr>
        <w:t>Povezava med odpusti ter svetovno finančno in gospodarsko krizo</w:t>
      </w:r>
    </w:p>
    <w:p>
      <w:pPr>
        <w:pStyle w:val="ManualNumPar1"/>
        <w:rPr>
          <w:noProof/>
        </w:rPr>
      </w:pPr>
      <w:r>
        <w:t>11.</w:t>
      </w:r>
      <w:r>
        <w:tab/>
      </w:r>
      <w:r>
        <w:rPr>
          <w:noProof/>
        </w:rPr>
        <w:t>Svetovna zdravstvena organizacija (SZO) je 11. marca 2020 razglasila svetovno pandemijo COVID-19. Evropska komisija je 27. maja 2020 v svojem sporočilu „Proračun Evropske unije (EU) kot gonilo načrta okrevanja za Evropo“</w:t>
      </w:r>
      <w:r>
        <w:rPr>
          <w:rStyle w:val="FootnoteReference"/>
          <w:noProof/>
        </w:rPr>
        <w:footnoteReference w:id="9"/>
      </w:r>
      <w:r>
        <w:rPr>
          <w:noProof/>
        </w:rPr>
        <w:t xml:space="preserve"> izjavila, da je zdravstvena kriza povzročila gospodarsko krizo, in določila načrt okrevanja gospodarstva. To je vključevalo ESPG kot orodje za uporabo v izrednih razmerah za pomoč osebam, ki so izgubile zaposlitev zaradi svetovne gospodarske krize.</w:t>
      </w:r>
    </w:p>
    <w:p>
      <w:pPr>
        <w:pStyle w:val="ManualNumPar1"/>
        <w:rPr>
          <w:noProof/>
        </w:rPr>
      </w:pPr>
      <w:r>
        <w:t>12.</w:t>
      </w:r>
      <w:r>
        <w:tab/>
      </w:r>
      <w:r>
        <w:rPr>
          <w:noProof/>
        </w:rPr>
        <w:t>Pandemija je povzročila najglobljo recesijo v zgodovini EU. Skladno z Zimsko gospodarsko napovedjo Komisije za leto 2021</w:t>
      </w:r>
      <w:r>
        <w:rPr>
          <w:rStyle w:val="FootnoteReference"/>
          <w:noProof/>
        </w:rPr>
        <w:footnoteReference w:id="10"/>
      </w:r>
      <w:r>
        <w:rPr>
          <w:noProof/>
        </w:rPr>
        <w:t xml:space="preserve"> se je BDP EU v letu 2020 skrčil za 6,3 %, predvidoma pa naj bi zrasel za 3,7 % v letu 2021 in za 3,9 % v letu 2022.</w:t>
      </w:r>
    </w:p>
    <w:p>
      <w:pPr>
        <w:pStyle w:val="ManualNumPar1"/>
        <w:rPr>
          <w:noProof/>
        </w:rPr>
      </w:pPr>
      <w:r>
        <w:t>13.</w:t>
      </w:r>
      <w:r>
        <w:tab/>
      </w:r>
      <w:r>
        <w:rPr>
          <w:noProof/>
        </w:rPr>
        <w:t>Pandemija COVID-19 je močno vplivala na letalsko industrijo zaradi omejitev potovanj in dramatičnega upada potniškega zračnega prometa. Upad števila potnikov je močno zmanjšal prihodke zračnih prevoznikov in mnoge med njimi prisilil k odpuščanju zaposlenih ali razglasitvi plačilne nesposobnosti. V aprilu 2020 se je mednarodni potniški promet zmanjšal za 98,9 % v primerjavi z aprilom 2019, 64 % svetovnih zračnih plovil pa je obstalo v skladiščih, kar je največje skrčenje v zgodovini letalstva</w:t>
      </w:r>
      <w:r>
        <w:rPr>
          <w:rStyle w:val="FootnoteReference"/>
          <w:noProof/>
        </w:rPr>
        <w:footnoteReference w:id="11"/>
      </w:r>
      <w:r>
        <w:rPr>
          <w:noProof/>
        </w:rPr>
        <w:t>.</w:t>
      </w:r>
    </w:p>
    <w:p>
      <w:pPr>
        <w:pStyle w:val="ManualNumPar1"/>
        <w:rPr>
          <w:noProof/>
        </w:rPr>
      </w:pPr>
      <w:r>
        <w:t>14.</w:t>
      </w:r>
      <w:r>
        <w:tab/>
      </w:r>
      <w:r>
        <w:rPr>
          <w:noProof/>
        </w:rPr>
        <w:t>V juniju 2020 se je povpraševanje potnikov rahlo izboljšalo, vendar je ostalo precej pod predkriznimi ravnmi. Dohodki od opravljenih potniških kilometrov so se v celotni panogi skrčili za 86,5 % v primerjavi z junijem 2019</w:t>
      </w:r>
      <w:r>
        <w:rPr>
          <w:rStyle w:val="FootnoteReference"/>
          <w:noProof/>
        </w:rPr>
        <w:footnoteReference w:id="12"/>
      </w:r>
      <w:r>
        <w:rPr>
          <w:noProof/>
        </w:rPr>
        <w:t xml:space="preserve">. </w:t>
      </w:r>
    </w:p>
    <w:p>
      <w:pPr>
        <w:jc w:val="center"/>
        <w:rPr>
          <w:noProof/>
        </w:rPr>
      </w:pPr>
      <w:r>
        <w:rPr>
          <w:b/>
          <w:noProof/>
        </w:rPr>
        <w:t>Obseg letalskega potniškega prometa</w:t>
      </w:r>
      <w:r>
        <w:rPr>
          <w:rStyle w:val="FootnoteReference"/>
          <w:b/>
          <w:noProof/>
        </w:rPr>
        <w:footnoteReference w:id="13"/>
      </w:r>
    </w:p>
    <w:p>
      <w:pPr>
        <w:spacing w:before="0" w:after="0"/>
        <w:ind w:left="851"/>
        <w:jc w:val="center"/>
        <w:rPr>
          <w:noProof/>
        </w:rPr>
      </w:pPr>
      <w:r>
        <w:rPr>
          <w:noProof/>
        </w:rPr>
        <w:t>Dohodki od opravljenih potniških kilometrov v celotni panogi (milijard na mesec)</w:t>
      </w:r>
    </w:p>
    <w:p>
      <w:pPr>
        <w:spacing w:before="0" w:after="0"/>
        <w:ind w:left="851"/>
        <w:jc w:val="center"/>
        <w:rPr>
          <w:noProof/>
        </w:rPr>
      </w:pPr>
      <w:r>
        <w:rPr>
          <w:noProof/>
          <w:lang w:val="en-GB" w:eastAsia="en-GB"/>
        </w:rPr>
        <w:lastRenderedPageBreak/>
        <w:drawing>
          <wp:inline distT="0" distB="0" distL="0" distR="0">
            <wp:extent cx="3450590" cy="2401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50590" cy="2401570"/>
                    </a:xfrm>
                    <a:prstGeom prst="rect">
                      <a:avLst/>
                    </a:prstGeom>
                    <a:noFill/>
                    <a:ln>
                      <a:noFill/>
                    </a:ln>
                  </pic:spPr>
                </pic:pic>
              </a:graphicData>
            </a:graphic>
          </wp:inline>
        </w:drawing>
      </w:r>
    </w:p>
    <w:tbl>
      <w:tblPr>
        <w:tblStyle w:val="TableGrid"/>
        <w:tblW w:w="0" w:type="auto"/>
        <w:tblInd w:w="3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
        <w:gridCol w:w="1807"/>
        <w:gridCol w:w="301"/>
        <w:gridCol w:w="1965"/>
      </w:tblGrid>
      <w:tr>
        <w:trPr>
          <w:trHeight w:val="276"/>
        </w:trPr>
        <w:tc>
          <w:tcPr>
            <w:tcW w:w="301" w:type="dxa"/>
            <w:shd w:val="clear" w:color="auto" w:fill="00B0F0"/>
          </w:tcPr>
          <w:p>
            <w:pPr>
              <w:spacing w:before="0" w:after="0"/>
              <w:jc w:val="center"/>
              <w:rPr>
                <w:i/>
                <w:noProof/>
                <w:sz w:val="20"/>
                <w:szCs w:val="20"/>
              </w:rPr>
            </w:pPr>
          </w:p>
        </w:tc>
        <w:tc>
          <w:tcPr>
            <w:tcW w:w="1807" w:type="dxa"/>
            <w:hideMark/>
          </w:tcPr>
          <w:p>
            <w:pPr>
              <w:spacing w:before="0" w:after="0"/>
              <w:jc w:val="left"/>
              <w:rPr>
                <w:i/>
                <w:noProof/>
                <w:sz w:val="20"/>
                <w:szCs w:val="20"/>
              </w:rPr>
            </w:pPr>
            <w:r>
              <w:rPr>
                <w:i/>
                <w:noProof/>
                <w:sz w:val="20"/>
                <w:szCs w:val="20"/>
              </w:rPr>
              <w:t>Dejanski podatki</w:t>
            </w:r>
          </w:p>
        </w:tc>
        <w:tc>
          <w:tcPr>
            <w:tcW w:w="301" w:type="dxa"/>
            <w:shd w:val="clear" w:color="auto" w:fill="C00000"/>
          </w:tcPr>
          <w:p>
            <w:pPr>
              <w:spacing w:before="0" w:after="0"/>
              <w:jc w:val="center"/>
              <w:rPr>
                <w:i/>
                <w:noProof/>
                <w:sz w:val="20"/>
                <w:szCs w:val="20"/>
              </w:rPr>
            </w:pPr>
          </w:p>
        </w:tc>
        <w:tc>
          <w:tcPr>
            <w:tcW w:w="1965" w:type="dxa"/>
            <w:hideMark/>
          </w:tcPr>
          <w:p>
            <w:pPr>
              <w:spacing w:before="0" w:after="0"/>
              <w:jc w:val="left"/>
              <w:rPr>
                <w:i/>
                <w:noProof/>
                <w:sz w:val="20"/>
                <w:szCs w:val="20"/>
              </w:rPr>
            </w:pPr>
            <w:r>
              <w:rPr>
                <w:i/>
                <w:noProof/>
                <w:sz w:val="20"/>
                <w:szCs w:val="20"/>
              </w:rPr>
              <w:t>Desezonirani podatki</w:t>
            </w:r>
          </w:p>
        </w:tc>
      </w:tr>
    </w:tbl>
    <w:p>
      <w:pPr>
        <w:pStyle w:val="ManualNumPar1"/>
        <w:rPr>
          <w:noProof/>
        </w:rPr>
      </w:pPr>
      <w:r>
        <w:t>15.</w:t>
      </w:r>
      <w:r>
        <w:tab/>
      </w:r>
      <w:r>
        <w:rPr>
          <w:noProof/>
        </w:rPr>
        <w:t>Mednarodno povpraševanje potnikov je v letu 2020 upadlo za 75,6 % v primerjavi z ravnmi iz leta 2019. Zmogljivost (merjena v razpoložljivih sedežnih kilometrih) se je zmanjšala za 68,1 %, koeficient zasedenost (ki meri odstotek razpoložljivega števila sedežev, zasedenega s potniki) pa je upadel za 19,2 odstotne točke na 62,8 %</w:t>
      </w:r>
      <w:r>
        <w:rPr>
          <w:rStyle w:val="FootnoteReference"/>
          <w:noProof/>
        </w:rPr>
        <w:footnoteReference w:id="14"/>
      </w:r>
      <w:r>
        <w:rPr>
          <w:noProof/>
        </w:rPr>
        <w:t>.</w:t>
      </w:r>
    </w:p>
    <w:p>
      <w:pPr>
        <w:pStyle w:val="ManualNumPar1"/>
        <w:rPr>
          <w:noProof/>
        </w:rPr>
      </w:pPr>
      <w:r>
        <w:t>16.</w:t>
      </w:r>
      <w:r>
        <w:tab/>
      </w:r>
      <w:r>
        <w:rPr>
          <w:noProof/>
        </w:rPr>
        <w:t>Skladno s svetovno napovedjo o potnikih Mednarodnega združenja letalskih prevoznikov bodo potrebna 3 do 4 leta, da bo panoga letalstva okrevala na ravni pred krizo</w:t>
      </w:r>
      <w:r>
        <w:rPr>
          <w:rStyle w:val="FootnoteReference"/>
          <w:noProof/>
        </w:rPr>
        <w:footnoteReference w:id="15"/>
      </w:r>
      <w:r>
        <w:rPr>
          <w:noProof/>
        </w:rPr>
        <w:t xml:space="preserve">. </w:t>
      </w:r>
    </w:p>
    <w:p>
      <w:pPr>
        <w:pStyle w:val="ManualNumPar1"/>
        <w:rPr>
          <w:noProof/>
        </w:rPr>
      </w:pPr>
      <w:r>
        <w:t>17.</w:t>
      </w:r>
      <w:r>
        <w:tab/>
      </w:r>
      <w:r>
        <w:rPr>
          <w:noProof/>
        </w:rPr>
        <w:t>Do zdaj so bile v zvezi s sektorjem zračnega prometa vložene štiri vloge za pomoč iz ESPG, od tega tri na podlagi sprememb v trgovinskih tokovih zaradi globalizacije</w:t>
      </w:r>
      <w:r>
        <w:rPr>
          <w:rStyle w:val="FootnoteReference"/>
          <w:noProof/>
        </w:rPr>
        <w:footnoteReference w:id="16"/>
      </w:r>
      <w:r>
        <w:rPr>
          <w:noProof/>
        </w:rPr>
        <w:t>, ena pa na podlagi gospodarske krize zaradi pandemije COVID-19</w:t>
      </w:r>
      <w:r>
        <w:rPr>
          <w:rStyle w:val="FootnoteReference"/>
          <w:noProof/>
        </w:rPr>
        <w:footnoteReference w:id="17"/>
      </w:r>
      <w:r>
        <w:rPr>
          <w:noProof/>
        </w:rPr>
        <w:t>.</w:t>
      </w:r>
    </w:p>
    <w:p>
      <w:pPr>
        <w:pStyle w:val="ManualHeading3"/>
        <w:rPr>
          <w:noProof/>
        </w:rPr>
      </w:pPr>
      <w:r>
        <w:rPr>
          <w:noProof/>
        </w:rPr>
        <w:t>Dogodki, ki so povzročili odpuste in prenehanje opravljanja dejavnosti</w:t>
      </w:r>
    </w:p>
    <w:p>
      <w:pPr>
        <w:pStyle w:val="ManualNumPar1"/>
        <w:rPr>
          <w:noProof/>
        </w:rPr>
      </w:pPr>
      <w:r>
        <w:t>18.</w:t>
      </w:r>
      <w:r>
        <w:tab/>
      </w:r>
      <w:r>
        <w:rPr>
          <w:noProof/>
        </w:rPr>
        <w:t xml:space="preserve">Dogodki, ki so povzročili te odpuste, so rezultat nepričakovane svetovne gospodarske krize zaradi pandemije COVID-19. </w:t>
      </w:r>
    </w:p>
    <w:p>
      <w:pPr>
        <w:pStyle w:val="ManualNumPar1"/>
        <w:rPr>
          <w:noProof/>
        </w:rPr>
      </w:pPr>
      <w:r>
        <w:t>19.</w:t>
      </w:r>
      <w:r>
        <w:tab/>
      </w:r>
      <w:r>
        <w:rPr>
          <w:noProof/>
        </w:rPr>
        <w:t xml:space="preserve">Podjetje Finnair je bilo po poročanju Finske močno prizadeto zaradi učinkov pandemije. Pred izbruhom COVID-19 je imelo podjetje Finnair močan finančni položaj. V letu 2019 se je prihodek podjetja Finnair povečal za 9,2 % in dosegel rekordno visokih 3 097 milijonov EUR v primerjavi z 2 836 milijoni EUR v letu 2018. Rezultat poslovanja je skupno znašal 162,8 milijona EUR v primerjavi z 256,3 milijona EUR v letu 2018, kar je 38-odstotni upad, ki ga je povzročilo povečanje stroškov goriva, materialov za zrakoplove in izdatkov za obnovo. </w:t>
      </w:r>
    </w:p>
    <w:p>
      <w:pPr>
        <w:pStyle w:val="ManualNumPar1"/>
        <w:rPr>
          <w:noProof/>
        </w:rPr>
      </w:pPr>
      <w:r>
        <w:t>20.</w:t>
      </w:r>
      <w:r>
        <w:tab/>
      </w:r>
      <w:r>
        <w:rPr>
          <w:noProof/>
        </w:rPr>
        <w:t>V zadnjem desetletju se je število potnikov na letališču Helsinki-Vantaa močno povečalo. Med letoma 2009 in 2019 se je število potnikov povečalo za 58 % z 12,6 milijona na 21,9 milijona. Večino potniškega prometa so predstavljali potniki na mednarodnih letih: leta 2009 jih je bilo 10,2 milijona, leta 2019 pa 18,9 milijona</w:t>
      </w:r>
      <w:r>
        <w:rPr>
          <w:rStyle w:val="FootnoteReference"/>
          <w:noProof/>
        </w:rPr>
        <w:footnoteReference w:id="18"/>
      </w:r>
      <w:r>
        <w:rPr>
          <w:noProof/>
        </w:rPr>
        <w:t xml:space="preserve">. V </w:t>
      </w:r>
      <w:r>
        <w:rPr>
          <w:noProof/>
        </w:rPr>
        <w:lastRenderedPageBreak/>
        <w:t>letu 2019 se je število potnikov, prepeljanih s Finnairom, povečalo za 10,3 % na 14 650 400 potnikov in doseglo nov letni rekord</w:t>
      </w:r>
      <w:r>
        <w:rPr>
          <w:rStyle w:val="FootnoteReference"/>
          <w:noProof/>
        </w:rPr>
        <w:footnoteReference w:id="19"/>
      </w:r>
      <w:r>
        <w:rPr>
          <w:noProof/>
        </w:rPr>
        <w:t>.</w:t>
      </w:r>
    </w:p>
    <w:p>
      <w:pPr>
        <w:pStyle w:val="ManualNumPar1"/>
        <w:rPr>
          <w:noProof/>
        </w:rPr>
      </w:pPr>
      <w:r>
        <w:t>21.</w:t>
      </w:r>
      <w:r>
        <w:tab/>
      </w:r>
      <w:r>
        <w:rPr>
          <w:noProof/>
        </w:rPr>
        <w:t>Na začetku leta 2020 je potniški promet Helsinki-Vantaa še vedno rasel. V januarju 2020 se je število potnikov na Kitajsko povečalo za 58 % v primerjavi za januarjem 2019. Toda v februarju 2020 se je število potnikov zaradi epidemije močno zmanjšalo za 73 %. Podjetje Finnair je moralo od 6. februarja 2020 odpovedati vse lete na celinsko Kitajsko, od 4. marca 2020 pa v druge azijske destinacije</w:t>
      </w:r>
      <w:r>
        <w:rPr>
          <w:rStyle w:val="FootnoteReference"/>
          <w:noProof/>
        </w:rPr>
        <w:footnoteReference w:id="20"/>
      </w:r>
      <w:r>
        <w:rPr>
          <w:noProof/>
        </w:rPr>
        <w:t>. 13. marca 2020 je vlada Združenih držav omejila vsa nenujna potovanja v ZDA, zato je moral Finnair odpovedati tudi vse lete v ZDA</w:t>
      </w:r>
      <w:r>
        <w:rPr>
          <w:rStyle w:val="FootnoteReference"/>
          <w:noProof/>
        </w:rPr>
        <w:footnoteReference w:id="21"/>
      </w:r>
      <w:r>
        <w:rPr>
          <w:noProof/>
        </w:rPr>
        <w:t xml:space="preserve">. </w:t>
      </w:r>
    </w:p>
    <w:p>
      <w:pPr>
        <w:pStyle w:val="ManualNumPar1"/>
        <w:rPr>
          <w:noProof/>
        </w:rPr>
      </w:pPr>
      <w:r>
        <w:t>22.</w:t>
      </w:r>
      <w:r>
        <w:tab/>
      </w:r>
      <w:r>
        <w:rPr>
          <w:noProof/>
        </w:rPr>
        <w:t>Omejitve, ki so veljale na Finskem in tudi v drugih ciljnih državah, so močno vplivale na poslovanje podjetja Finnair, zlasti kar zadeva mednarodne in medcelinske lete. V aprilu 2020 se je zračni promet na letališču Helsinki-Vantaa skoraj v celoti ustavil in dosegel samo 1 % v primerjavi z aprilom 2019 (21 000 potnikov v aprilu 2020 v primerjavi z 1,8 milijona v aprilu 2019). V drugem četrtletju leta 2020 se je v primerjavi z drugim četrtletjem leta 2019 število letov med azijskimi in evropskimi destinacijami podjetja Finnair zmanjšalo za 92,1 %. Število potnikov se je zmanjšalo za 97,5 % s 3,9 milijona na 98 000 potnikov, zmogljivost potniškega prometa (merjena v razpoložljivih sedežnih kilometrih) pa se je zmanjšala za 97,2 %</w:t>
      </w:r>
      <w:r>
        <w:rPr>
          <w:rStyle w:val="FootnoteReference"/>
          <w:noProof/>
        </w:rPr>
        <w:footnoteReference w:id="22"/>
      </w:r>
      <w:r>
        <w:rPr>
          <w:noProof/>
        </w:rPr>
        <w:t>.</w:t>
      </w:r>
    </w:p>
    <w:p>
      <w:pPr>
        <w:pStyle w:val="ManualNumPar1"/>
        <w:rPr>
          <w:noProof/>
        </w:rPr>
      </w:pPr>
      <w:r>
        <w:t>23.</w:t>
      </w:r>
      <w:r>
        <w:tab/>
      </w:r>
      <w:r>
        <w:rPr>
          <w:noProof/>
        </w:rPr>
        <w:t>Letno poročilo Finnair za leto 2020 je pokazalo strm upad prihodkov za 73,2 % (s 3 097,7 milijona EUR na 829,2 milijona EUR), število potnikov se je zmanjšalo za 76,2 % (s 14,7 milijona na 3,5 milijona), podjetje pa je ustvarilo poslovno izgubo v višini 464,5 milijona EUR</w:t>
      </w:r>
      <w:r>
        <w:rPr>
          <w:rStyle w:val="FootnoteReference"/>
          <w:noProof/>
        </w:rPr>
        <w:footnoteReference w:id="23"/>
      </w:r>
      <w:r>
        <w:rPr>
          <w:noProof/>
        </w:rPr>
        <w:t xml:space="preserve">. </w:t>
      </w:r>
    </w:p>
    <w:p>
      <w:pPr>
        <w:pStyle w:val="ManualNumPar1"/>
        <w:rPr>
          <w:noProof/>
        </w:rPr>
      </w:pPr>
      <w:r>
        <w:t>24.</w:t>
      </w:r>
      <w:r>
        <w:tab/>
      </w:r>
      <w:r>
        <w:rPr>
          <w:noProof/>
        </w:rPr>
        <w:t>Podjetje Finnair je moralo zmanjšati svoje stroške, da je lahko rešilo to krizo, prihranki pa so bili ustvarjeni v nepremičninah, z zakupi zrakoplovov, informacijsko tehnologijo (digitalizacijo in avtomatizacijo procesov s strankami), stroški prodaje in distribucije ter upravnimi stroški in strukturami nagrajevanja. S tem se je delovna sila zmanjšala za 1 000 delovnih mest</w:t>
      </w:r>
      <w:r>
        <w:rPr>
          <w:rStyle w:val="FootnoteReference"/>
          <w:noProof/>
        </w:rPr>
        <w:footnoteReference w:id="24"/>
      </w:r>
      <w:r>
        <w:rPr>
          <w:noProof/>
        </w:rPr>
        <w:t xml:space="preserve">. </w:t>
      </w:r>
    </w:p>
    <w:p>
      <w:pPr>
        <w:pStyle w:val="ManualHeading3"/>
        <w:tabs>
          <w:tab w:val="clear" w:pos="850"/>
          <w:tab w:val="left" w:pos="0"/>
        </w:tabs>
        <w:ind w:left="0" w:firstLine="0"/>
        <w:rPr>
          <w:noProof/>
        </w:rPr>
      </w:pPr>
      <w:r>
        <w:rPr>
          <w:noProof/>
        </w:rPr>
        <w:t>Pričakovani učinek odpustov na lokalno, regionalno ali nacionalno gospodarstvo in zaposlenost</w:t>
      </w:r>
    </w:p>
    <w:p>
      <w:pPr>
        <w:pStyle w:val="ManualNumPar1"/>
        <w:rPr>
          <w:noProof/>
        </w:rPr>
      </w:pPr>
      <w:r>
        <w:t>25.</w:t>
      </w:r>
      <w:r>
        <w:tab/>
      </w:r>
      <w:r>
        <w:rPr>
          <w:noProof/>
        </w:rPr>
        <w:t>Prispevek letalskega sektorja h gospodarstvu Finske je znaten. V letu 2020 je industrija zaposlovala 42 000 oseb (23 000 neposrednih in 19 000 posrednih delovnih mest) ter prispevala 8,8 milijarde EUR k finskemu BDP, s čimer je predstavljala 3,2 % skupnega BDP</w:t>
      </w:r>
      <w:r>
        <w:rPr>
          <w:rStyle w:val="FootnoteReference"/>
          <w:noProof/>
        </w:rPr>
        <w:footnoteReference w:id="25"/>
      </w:r>
      <w:r>
        <w:rPr>
          <w:noProof/>
        </w:rPr>
        <w:t xml:space="preserve">. Finnair je največji finski letalski prevoznik s </w:t>
      </w:r>
      <w:r>
        <w:rPr>
          <w:noProof/>
        </w:rPr>
        <w:lastRenderedPageBreak/>
        <w:t>središčem na letališču Helsinki-Vantaa. Konec leta 2019 je imel Finnair 6 788 zaposlenih in upravljal promet do 132 destinacij</w:t>
      </w:r>
      <w:r>
        <w:rPr>
          <w:rStyle w:val="FootnoteReference"/>
          <w:noProof/>
        </w:rPr>
        <w:footnoteReference w:id="26"/>
      </w:r>
      <w:r>
        <w:rPr>
          <w:noProof/>
        </w:rPr>
        <w:t>.</w:t>
      </w:r>
    </w:p>
    <w:p>
      <w:pPr>
        <w:pStyle w:val="ManualNumPar1"/>
        <w:rPr>
          <w:noProof/>
        </w:rPr>
      </w:pPr>
      <w:r>
        <w:t>26.</w:t>
      </w:r>
      <w:r>
        <w:tab/>
      </w:r>
      <w:r>
        <w:rPr>
          <w:noProof/>
        </w:rPr>
        <w:t>Odpusti v podjetju Finnair resno vplivajo na nacionalno gospodarstvo. Regija NUTS 2, ki jo je prizadelo odpuščanje delavcev, je Helsinki-Uusimaa, kjer ima Finnair svoje operativno središče. Med februarjem in aprilom 2020 se je število nezaposlenih iskalcev zaposlitve v regiji Helsinki-Uusimaa povečalo za 22,5 % s 68 016 na 83 340. Na letni ravni se je stopnja brezposelnosti v regiji Helsinki-Uusimaa kljub ukrepom za ohranitev zaposlenosti povečala za 0,8 odstotne točke, s 6,4 % v letu 2019 na 7,2 % v letu 2020</w:t>
      </w:r>
      <w:r>
        <w:rPr>
          <w:rStyle w:val="FootnoteReference"/>
          <w:noProof/>
        </w:rPr>
        <w:footnoteReference w:id="27"/>
      </w:r>
      <w:r>
        <w:rPr>
          <w:noProof/>
        </w:rPr>
        <w:t>.</w:t>
      </w:r>
    </w:p>
    <w:p>
      <w:pPr>
        <w:pStyle w:val="ManualNumPar1"/>
        <w:rPr>
          <w:noProof/>
        </w:rPr>
      </w:pPr>
      <w:r>
        <w:t>27.</w:t>
      </w:r>
      <w:r>
        <w:tab/>
      </w:r>
      <w:r>
        <w:rPr>
          <w:noProof/>
        </w:rPr>
        <w:t>V letu 2020 je bila nacionalna stopnja brezposelnosti 7,8 %, tj. 1,1 odstotne točke več kot v letu 2019</w:t>
      </w:r>
      <w:r>
        <w:rPr>
          <w:rStyle w:val="FootnoteReference"/>
          <w:noProof/>
        </w:rPr>
        <w:footnoteReference w:id="28"/>
      </w:r>
      <w:r>
        <w:rPr>
          <w:noProof/>
        </w:rPr>
        <w:t>. Finsko ministrstvo za finance je ocenilo, da se bo stopnja brezposelnosti v letu 2021 še naprej povečevala do 8,2 %, nato bo v letu 2022 upadla na 7,8 %</w:t>
      </w:r>
      <w:r>
        <w:rPr>
          <w:rStyle w:val="FootnoteReference"/>
          <w:noProof/>
        </w:rPr>
        <w:footnoteReference w:id="29"/>
      </w:r>
      <w:r>
        <w:rPr>
          <w:noProof/>
        </w:rPr>
        <w:t>.</w:t>
      </w:r>
    </w:p>
    <w:p>
      <w:pPr>
        <w:pStyle w:val="ManualNumPar1"/>
        <w:rPr>
          <w:noProof/>
        </w:rPr>
      </w:pPr>
      <w:r>
        <w:t>28.</w:t>
      </w:r>
      <w:r>
        <w:tab/>
      </w:r>
      <w:r>
        <w:rPr>
          <w:noProof/>
        </w:rPr>
        <w:t>Zaradi naraščajoče brezposelnosti, ki je posledica krize, bo ponovno zaposlovanje nekdanjih delavcev Finnaira težavno. Finski organi menijo, da odpuščeni potrebujejo prilagojeno usmerjanje in podporo pri iskanju zaposlitve ter prilagojeno izpopolnjevanje in preusposabljanje, da bi izboljšali svoje možnosti za ponovno zaposlitev.</w:t>
      </w:r>
    </w:p>
    <w:p>
      <w:pPr>
        <w:pStyle w:val="ManualHeading2"/>
        <w:ind w:left="0" w:firstLine="0"/>
        <w:rPr>
          <w:noProof/>
        </w:rPr>
      </w:pPr>
      <w:r>
        <w:rPr>
          <w:noProof/>
        </w:rPr>
        <w:t>Ciljni prejemniki in predlagani ukrepi</w:t>
      </w:r>
    </w:p>
    <w:p>
      <w:pPr>
        <w:pStyle w:val="ManualHeading3"/>
        <w:rPr>
          <w:noProof/>
        </w:rPr>
      </w:pPr>
      <w:r>
        <w:rPr>
          <w:noProof/>
        </w:rPr>
        <w:t>Ciljni prejemniki</w:t>
      </w:r>
    </w:p>
    <w:p>
      <w:pPr>
        <w:pStyle w:val="ManualNumPar1"/>
        <w:rPr>
          <w:noProof/>
        </w:rPr>
      </w:pPr>
      <w:r>
        <w:t>29.</w:t>
      </w:r>
      <w:r>
        <w:tab/>
      </w:r>
      <w:r>
        <w:rPr>
          <w:noProof/>
        </w:rPr>
        <w:t>Po oceni naj bi v ukrepih od 508 upravičenih oseb sodelovalo 500 presežnih delavcev. Razčlenitev teh presežnih delavcev po spolu, državljanstvu in starostni skupini:</w:t>
      </w:r>
    </w:p>
    <w:tbl>
      <w:tblPr>
        <w:tblW w:w="0" w:type="auto"/>
        <w:jc w:val="center"/>
        <w:tblLook w:val="04A0" w:firstRow="1" w:lastRow="0" w:firstColumn="1" w:lastColumn="0" w:noHBand="0" w:noVBand="1"/>
      </w:tblPr>
      <w:tblGrid>
        <w:gridCol w:w="1629"/>
        <w:gridCol w:w="2063"/>
        <w:gridCol w:w="1176"/>
        <w:gridCol w:w="1176"/>
      </w:tblGrid>
      <w:tr>
        <w:trPr>
          <w:jc w:val="center"/>
        </w:trPr>
        <w:tc>
          <w:tcPr>
            <w:tcW w:w="3559" w:type="dxa"/>
            <w:gridSpan w:val="2"/>
            <w:tcBorders>
              <w:top w:val="single" w:sz="4" w:space="0" w:color="auto"/>
              <w:left w:val="nil"/>
              <w:bottom w:val="single" w:sz="4" w:space="0" w:color="auto"/>
              <w:right w:val="nil"/>
            </w:tcBorders>
            <w:hideMark/>
          </w:tcPr>
          <w:p>
            <w:pPr>
              <w:spacing w:before="60" w:after="60"/>
              <w:jc w:val="center"/>
              <w:rPr>
                <w:noProof/>
              </w:rPr>
            </w:pPr>
            <w:r>
              <w:rPr>
                <w:noProof/>
              </w:rPr>
              <w:t>Kategorija</w:t>
            </w:r>
          </w:p>
        </w:tc>
        <w:tc>
          <w:tcPr>
            <w:tcW w:w="2352" w:type="dxa"/>
            <w:gridSpan w:val="2"/>
            <w:tcBorders>
              <w:top w:val="single" w:sz="4" w:space="0" w:color="auto"/>
              <w:left w:val="nil"/>
              <w:bottom w:val="single" w:sz="4" w:space="0" w:color="auto"/>
              <w:right w:val="nil"/>
            </w:tcBorders>
            <w:hideMark/>
          </w:tcPr>
          <w:p>
            <w:pPr>
              <w:spacing w:before="60" w:after="60"/>
              <w:jc w:val="center"/>
              <w:rPr>
                <w:noProof/>
              </w:rPr>
            </w:pPr>
            <w:r>
              <w:rPr>
                <w:noProof/>
              </w:rPr>
              <w:t xml:space="preserve">Število  </w:t>
            </w:r>
            <w:r>
              <w:rPr>
                <w:noProof/>
              </w:rPr>
              <w:br/>
              <w:t>ciljnih prejemnikov</w:t>
            </w:r>
          </w:p>
        </w:tc>
      </w:tr>
      <w:tr>
        <w:trPr>
          <w:jc w:val="center"/>
        </w:trPr>
        <w:tc>
          <w:tcPr>
            <w:tcW w:w="1496" w:type="dxa"/>
            <w:tcBorders>
              <w:top w:val="single" w:sz="4" w:space="0" w:color="auto"/>
              <w:left w:val="nil"/>
              <w:bottom w:val="nil"/>
              <w:right w:val="nil"/>
            </w:tcBorders>
            <w:hideMark/>
          </w:tcPr>
          <w:p>
            <w:pPr>
              <w:spacing w:before="60" w:after="60"/>
              <w:rPr>
                <w:noProof/>
              </w:rPr>
            </w:pPr>
            <w:r>
              <w:rPr>
                <w:noProof/>
              </w:rPr>
              <w:t>Spol:</w:t>
            </w:r>
          </w:p>
        </w:tc>
        <w:tc>
          <w:tcPr>
            <w:tcW w:w="2063" w:type="dxa"/>
            <w:tcBorders>
              <w:top w:val="single" w:sz="4" w:space="0" w:color="auto"/>
              <w:left w:val="nil"/>
              <w:right w:val="nil"/>
            </w:tcBorders>
            <w:hideMark/>
          </w:tcPr>
          <w:p>
            <w:pPr>
              <w:spacing w:before="60" w:after="60"/>
              <w:rPr>
                <w:noProof/>
              </w:rPr>
            </w:pPr>
            <w:r>
              <w:rPr>
                <w:noProof/>
              </w:rPr>
              <w:t>moški:</w:t>
            </w:r>
          </w:p>
        </w:tc>
        <w:tc>
          <w:tcPr>
            <w:tcW w:w="1176" w:type="dxa"/>
            <w:tcBorders>
              <w:top w:val="single" w:sz="4" w:space="0" w:color="auto"/>
              <w:left w:val="nil"/>
              <w:right w:val="nil"/>
            </w:tcBorders>
            <w:hideMark/>
          </w:tcPr>
          <w:p>
            <w:pPr>
              <w:spacing w:before="60" w:after="60"/>
              <w:jc w:val="right"/>
              <w:rPr>
                <w:noProof/>
              </w:rPr>
            </w:pPr>
            <w:r>
              <w:rPr>
                <w:noProof/>
              </w:rPr>
              <w:t>280</w:t>
            </w:r>
          </w:p>
        </w:tc>
        <w:tc>
          <w:tcPr>
            <w:tcW w:w="1176" w:type="dxa"/>
            <w:tcBorders>
              <w:top w:val="single" w:sz="4" w:space="0" w:color="auto"/>
              <w:left w:val="nil"/>
              <w:right w:val="nil"/>
            </w:tcBorders>
            <w:hideMark/>
          </w:tcPr>
          <w:p>
            <w:pPr>
              <w:spacing w:before="60" w:after="60"/>
              <w:jc w:val="right"/>
              <w:rPr>
                <w:noProof/>
              </w:rPr>
            </w:pPr>
            <w:r>
              <w:rPr>
                <w:noProof/>
              </w:rPr>
              <w:t>(56,00 %)</w:t>
            </w:r>
          </w:p>
        </w:tc>
      </w:tr>
      <w:tr>
        <w:trPr>
          <w:jc w:val="center"/>
        </w:trPr>
        <w:tc>
          <w:tcPr>
            <w:tcW w:w="1496" w:type="dxa"/>
            <w:tcBorders>
              <w:top w:val="nil"/>
              <w:left w:val="nil"/>
              <w:bottom w:val="single" w:sz="4" w:space="0" w:color="auto"/>
              <w:right w:val="nil"/>
            </w:tcBorders>
          </w:tcPr>
          <w:p>
            <w:pPr>
              <w:spacing w:before="60" w:after="60"/>
              <w:rPr>
                <w:noProof/>
              </w:rPr>
            </w:pPr>
          </w:p>
        </w:tc>
        <w:tc>
          <w:tcPr>
            <w:tcW w:w="2063" w:type="dxa"/>
            <w:tcBorders>
              <w:top w:val="nil"/>
              <w:left w:val="nil"/>
              <w:bottom w:val="single" w:sz="4" w:space="0" w:color="auto"/>
              <w:right w:val="nil"/>
            </w:tcBorders>
            <w:hideMark/>
          </w:tcPr>
          <w:p>
            <w:pPr>
              <w:spacing w:before="60" w:after="60"/>
              <w:rPr>
                <w:noProof/>
              </w:rPr>
            </w:pPr>
            <w:r>
              <w:rPr>
                <w:noProof/>
              </w:rPr>
              <w:t>ženski:</w:t>
            </w:r>
          </w:p>
        </w:tc>
        <w:tc>
          <w:tcPr>
            <w:tcW w:w="1176" w:type="dxa"/>
            <w:tcBorders>
              <w:bottom w:val="single" w:sz="4" w:space="0" w:color="auto"/>
            </w:tcBorders>
            <w:hideMark/>
          </w:tcPr>
          <w:p>
            <w:pPr>
              <w:spacing w:before="60" w:after="60"/>
              <w:jc w:val="right"/>
              <w:rPr>
                <w:noProof/>
              </w:rPr>
            </w:pPr>
            <w:r>
              <w:rPr>
                <w:noProof/>
              </w:rPr>
              <w:t>220</w:t>
            </w:r>
          </w:p>
        </w:tc>
        <w:tc>
          <w:tcPr>
            <w:tcW w:w="1176" w:type="dxa"/>
            <w:tcBorders>
              <w:bottom w:val="single" w:sz="4" w:space="0" w:color="auto"/>
            </w:tcBorders>
            <w:hideMark/>
          </w:tcPr>
          <w:p>
            <w:pPr>
              <w:spacing w:before="60" w:after="60"/>
              <w:jc w:val="right"/>
              <w:rPr>
                <w:noProof/>
              </w:rPr>
            </w:pPr>
            <w:r>
              <w:rPr>
                <w:noProof/>
              </w:rPr>
              <w:t>(44,00 %)</w:t>
            </w:r>
          </w:p>
        </w:tc>
      </w:tr>
      <w:tr>
        <w:trPr>
          <w:jc w:val="center"/>
        </w:trPr>
        <w:tc>
          <w:tcPr>
            <w:tcW w:w="1496" w:type="dxa"/>
            <w:tcBorders>
              <w:top w:val="single" w:sz="4" w:space="0" w:color="auto"/>
              <w:left w:val="nil"/>
              <w:bottom w:val="nil"/>
              <w:right w:val="nil"/>
            </w:tcBorders>
            <w:hideMark/>
          </w:tcPr>
          <w:p>
            <w:pPr>
              <w:spacing w:before="60" w:after="60"/>
              <w:rPr>
                <w:noProof/>
              </w:rPr>
            </w:pPr>
            <w:r>
              <w:rPr>
                <w:noProof/>
              </w:rPr>
              <w:t>Državljanstvo:</w:t>
            </w:r>
          </w:p>
        </w:tc>
        <w:tc>
          <w:tcPr>
            <w:tcW w:w="2063" w:type="dxa"/>
            <w:tcBorders>
              <w:top w:val="single" w:sz="4" w:space="0" w:color="auto"/>
              <w:left w:val="nil"/>
              <w:bottom w:val="nil"/>
              <w:right w:val="nil"/>
            </w:tcBorders>
            <w:hideMark/>
          </w:tcPr>
          <w:p>
            <w:pPr>
              <w:spacing w:before="60" w:after="60"/>
              <w:rPr>
                <w:noProof/>
              </w:rPr>
            </w:pPr>
            <w:r>
              <w:rPr>
                <w:noProof/>
              </w:rPr>
              <w:t>državljani EU:</w:t>
            </w:r>
          </w:p>
        </w:tc>
        <w:tc>
          <w:tcPr>
            <w:tcW w:w="1176" w:type="dxa"/>
            <w:tcBorders>
              <w:top w:val="single" w:sz="4" w:space="0" w:color="auto"/>
            </w:tcBorders>
            <w:hideMark/>
          </w:tcPr>
          <w:p>
            <w:pPr>
              <w:spacing w:before="60" w:after="60"/>
              <w:jc w:val="right"/>
              <w:rPr>
                <w:noProof/>
              </w:rPr>
            </w:pPr>
            <w:r>
              <w:rPr>
                <w:noProof/>
              </w:rPr>
              <w:t>493</w:t>
            </w:r>
          </w:p>
        </w:tc>
        <w:tc>
          <w:tcPr>
            <w:tcW w:w="1176" w:type="dxa"/>
            <w:tcBorders>
              <w:top w:val="single" w:sz="4" w:space="0" w:color="auto"/>
            </w:tcBorders>
            <w:hideMark/>
          </w:tcPr>
          <w:p>
            <w:pPr>
              <w:spacing w:before="60" w:after="60"/>
              <w:jc w:val="right"/>
              <w:rPr>
                <w:noProof/>
              </w:rPr>
            </w:pPr>
            <w:r>
              <w:rPr>
                <w:noProof/>
              </w:rPr>
              <w:t>(98,60 %)</w:t>
            </w:r>
          </w:p>
        </w:tc>
      </w:tr>
      <w:tr>
        <w:trPr>
          <w:jc w:val="center"/>
        </w:trPr>
        <w:tc>
          <w:tcPr>
            <w:tcW w:w="1496" w:type="dxa"/>
            <w:tcBorders>
              <w:top w:val="nil"/>
              <w:left w:val="nil"/>
              <w:bottom w:val="single" w:sz="4" w:space="0" w:color="auto"/>
              <w:right w:val="nil"/>
            </w:tcBorders>
          </w:tcPr>
          <w:p>
            <w:pPr>
              <w:spacing w:before="60" w:after="60"/>
              <w:rPr>
                <w:noProof/>
              </w:rPr>
            </w:pPr>
          </w:p>
        </w:tc>
        <w:tc>
          <w:tcPr>
            <w:tcW w:w="2063" w:type="dxa"/>
            <w:tcBorders>
              <w:top w:val="nil"/>
              <w:left w:val="nil"/>
              <w:bottom w:val="single" w:sz="4" w:space="0" w:color="auto"/>
              <w:right w:val="nil"/>
            </w:tcBorders>
            <w:hideMark/>
          </w:tcPr>
          <w:p>
            <w:pPr>
              <w:spacing w:before="60" w:after="60"/>
              <w:rPr>
                <w:noProof/>
              </w:rPr>
            </w:pPr>
            <w:r>
              <w:rPr>
                <w:noProof/>
              </w:rPr>
              <w:t>državljani nečlanic EU:</w:t>
            </w:r>
          </w:p>
        </w:tc>
        <w:tc>
          <w:tcPr>
            <w:tcW w:w="1176" w:type="dxa"/>
            <w:tcBorders>
              <w:bottom w:val="single" w:sz="4" w:space="0" w:color="auto"/>
            </w:tcBorders>
            <w:hideMark/>
          </w:tcPr>
          <w:p>
            <w:pPr>
              <w:spacing w:before="60" w:after="60"/>
              <w:jc w:val="right"/>
              <w:rPr>
                <w:noProof/>
              </w:rPr>
            </w:pPr>
            <w:r>
              <w:rPr>
                <w:noProof/>
              </w:rPr>
              <w:t>7</w:t>
            </w:r>
          </w:p>
        </w:tc>
        <w:tc>
          <w:tcPr>
            <w:tcW w:w="1176" w:type="dxa"/>
            <w:tcBorders>
              <w:bottom w:val="single" w:sz="4" w:space="0" w:color="auto"/>
            </w:tcBorders>
            <w:hideMark/>
          </w:tcPr>
          <w:p>
            <w:pPr>
              <w:spacing w:before="60" w:after="60"/>
              <w:jc w:val="right"/>
              <w:rPr>
                <w:noProof/>
              </w:rPr>
            </w:pPr>
            <w:r>
              <w:rPr>
                <w:noProof/>
              </w:rPr>
              <w:t>(1,40 %)</w:t>
            </w:r>
          </w:p>
        </w:tc>
      </w:tr>
      <w:tr>
        <w:trPr>
          <w:jc w:val="center"/>
        </w:trPr>
        <w:tc>
          <w:tcPr>
            <w:tcW w:w="1496" w:type="dxa"/>
            <w:tcBorders>
              <w:top w:val="single" w:sz="4" w:space="0" w:color="auto"/>
              <w:left w:val="nil"/>
              <w:bottom w:val="nil"/>
              <w:right w:val="nil"/>
            </w:tcBorders>
            <w:hideMark/>
          </w:tcPr>
          <w:p>
            <w:pPr>
              <w:spacing w:before="60" w:after="60"/>
              <w:rPr>
                <w:noProof/>
              </w:rPr>
            </w:pPr>
            <w:r>
              <w:rPr>
                <w:noProof/>
              </w:rPr>
              <w:t>Starostna skupina:</w:t>
            </w:r>
          </w:p>
        </w:tc>
        <w:tc>
          <w:tcPr>
            <w:tcW w:w="2063" w:type="dxa"/>
            <w:tcBorders>
              <w:top w:val="single" w:sz="4" w:space="0" w:color="auto"/>
              <w:left w:val="nil"/>
              <w:bottom w:val="nil"/>
              <w:right w:val="nil"/>
            </w:tcBorders>
            <w:hideMark/>
          </w:tcPr>
          <w:p>
            <w:pPr>
              <w:spacing w:before="60" w:after="60"/>
              <w:rPr>
                <w:noProof/>
              </w:rPr>
            </w:pPr>
            <w:r>
              <w:rPr>
                <w:noProof/>
              </w:rPr>
              <w:t>15–24 let:</w:t>
            </w:r>
          </w:p>
        </w:tc>
        <w:tc>
          <w:tcPr>
            <w:tcW w:w="1176" w:type="dxa"/>
            <w:tcBorders>
              <w:top w:val="single" w:sz="4" w:space="0" w:color="auto"/>
            </w:tcBorders>
            <w:hideMark/>
          </w:tcPr>
          <w:p>
            <w:pPr>
              <w:spacing w:before="60" w:after="60"/>
              <w:jc w:val="right"/>
              <w:rPr>
                <w:noProof/>
              </w:rPr>
            </w:pPr>
            <w:r>
              <w:rPr>
                <w:noProof/>
              </w:rPr>
              <w:t>19</w:t>
            </w:r>
          </w:p>
        </w:tc>
        <w:tc>
          <w:tcPr>
            <w:tcW w:w="1176" w:type="dxa"/>
            <w:tcBorders>
              <w:top w:val="single" w:sz="4" w:space="0" w:color="auto"/>
            </w:tcBorders>
            <w:hideMark/>
          </w:tcPr>
          <w:p>
            <w:pPr>
              <w:spacing w:before="60" w:after="60"/>
              <w:jc w:val="right"/>
              <w:rPr>
                <w:noProof/>
              </w:rPr>
            </w:pPr>
            <w:r>
              <w:rPr>
                <w:noProof/>
              </w:rPr>
              <w:t>(3,80 %)</w:t>
            </w:r>
          </w:p>
        </w:tc>
      </w:tr>
      <w:tr>
        <w:trPr>
          <w:jc w:val="center"/>
        </w:trPr>
        <w:tc>
          <w:tcPr>
            <w:tcW w:w="1496" w:type="dxa"/>
          </w:tcPr>
          <w:p>
            <w:pPr>
              <w:spacing w:before="60" w:after="60"/>
              <w:rPr>
                <w:noProof/>
              </w:rPr>
            </w:pPr>
          </w:p>
        </w:tc>
        <w:tc>
          <w:tcPr>
            <w:tcW w:w="2063" w:type="dxa"/>
            <w:hideMark/>
          </w:tcPr>
          <w:p>
            <w:pPr>
              <w:spacing w:before="60" w:after="60"/>
              <w:rPr>
                <w:noProof/>
              </w:rPr>
            </w:pPr>
            <w:r>
              <w:rPr>
                <w:noProof/>
              </w:rPr>
              <w:t>25–29 let:</w:t>
            </w:r>
          </w:p>
        </w:tc>
        <w:tc>
          <w:tcPr>
            <w:tcW w:w="1176" w:type="dxa"/>
            <w:hideMark/>
          </w:tcPr>
          <w:p>
            <w:pPr>
              <w:spacing w:before="60" w:after="60"/>
              <w:jc w:val="right"/>
              <w:rPr>
                <w:noProof/>
              </w:rPr>
            </w:pPr>
            <w:r>
              <w:rPr>
                <w:noProof/>
              </w:rPr>
              <w:t>28</w:t>
            </w:r>
          </w:p>
        </w:tc>
        <w:tc>
          <w:tcPr>
            <w:tcW w:w="1176" w:type="dxa"/>
            <w:hideMark/>
          </w:tcPr>
          <w:p>
            <w:pPr>
              <w:spacing w:before="60" w:after="60"/>
              <w:jc w:val="right"/>
              <w:rPr>
                <w:noProof/>
              </w:rPr>
            </w:pPr>
            <w:r>
              <w:rPr>
                <w:noProof/>
              </w:rPr>
              <w:t>(5,60 %)</w:t>
            </w:r>
          </w:p>
        </w:tc>
      </w:tr>
      <w:tr>
        <w:trPr>
          <w:jc w:val="center"/>
        </w:trPr>
        <w:tc>
          <w:tcPr>
            <w:tcW w:w="1496" w:type="dxa"/>
          </w:tcPr>
          <w:p>
            <w:pPr>
              <w:spacing w:before="60" w:after="60"/>
              <w:rPr>
                <w:noProof/>
              </w:rPr>
            </w:pPr>
          </w:p>
        </w:tc>
        <w:tc>
          <w:tcPr>
            <w:tcW w:w="2063" w:type="dxa"/>
            <w:hideMark/>
          </w:tcPr>
          <w:p>
            <w:pPr>
              <w:spacing w:before="60" w:after="60"/>
              <w:rPr>
                <w:noProof/>
              </w:rPr>
            </w:pPr>
            <w:r>
              <w:rPr>
                <w:noProof/>
              </w:rPr>
              <w:t>30–54 let:</w:t>
            </w:r>
          </w:p>
        </w:tc>
        <w:tc>
          <w:tcPr>
            <w:tcW w:w="1176" w:type="dxa"/>
            <w:hideMark/>
          </w:tcPr>
          <w:p>
            <w:pPr>
              <w:spacing w:before="60" w:after="60"/>
              <w:jc w:val="right"/>
              <w:rPr>
                <w:noProof/>
              </w:rPr>
            </w:pPr>
            <w:r>
              <w:rPr>
                <w:noProof/>
              </w:rPr>
              <w:t>312</w:t>
            </w:r>
          </w:p>
        </w:tc>
        <w:tc>
          <w:tcPr>
            <w:tcW w:w="1176" w:type="dxa"/>
            <w:hideMark/>
          </w:tcPr>
          <w:p>
            <w:pPr>
              <w:spacing w:before="60" w:after="60"/>
              <w:jc w:val="right"/>
              <w:rPr>
                <w:noProof/>
              </w:rPr>
            </w:pPr>
            <w:r>
              <w:rPr>
                <w:noProof/>
              </w:rPr>
              <w:t>(62,40 %)</w:t>
            </w:r>
          </w:p>
        </w:tc>
      </w:tr>
      <w:tr>
        <w:trPr>
          <w:jc w:val="center"/>
        </w:trPr>
        <w:tc>
          <w:tcPr>
            <w:tcW w:w="1496" w:type="dxa"/>
          </w:tcPr>
          <w:p>
            <w:pPr>
              <w:spacing w:before="60" w:after="60"/>
              <w:rPr>
                <w:noProof/>
              </w:rPr>
            </w:pPr>
          </w:p>
        </w:tc>
        <w:tc>
          <w:tcPr>
            <w:tcW w:w="2063" w:type="dxa"/>
            <w:hideMark/>
          </w:tcPr>
          <w:p>
            <w:pPr>
              <w:spacing w:before="60" w:after="60"/>
              <w:rPr>
                <w:noProof/>
              </w:rPr>
            </w:pPr>
            <w:r>
              <w:rPr>
                <w:noProof/>
              </w:rPr>
              <w:t>55–64 let:</w:t>
            </w:r>
          </w:p>
        </w:tc>
        <w:tc>
          <w:tcPr>
            <w:tcW w:w="1176" w:type="dxa"/>
            <w:hideMark/>
          </w:tcPr>
          <w:p>
            <w:pPr>
              <w:spacing w:before="60" w:after="60"/>
              <w:jc w:val="right"/>
              <w:rPr>
                <w:noProof/>
              </w:rPr>
            </w:pPr>
            <w:r>
              <w:rPr>
                <w:noProof/>
              </w:rPr>
              <w:t>141</w:t>
            </w:r>
          </w:p>
        </w:tc>
        <w:tc>
          <w:tcPr>
            <w:tcW w:w="1176" w:type="dxa"/>
            <w:hideMark/>
          </w:tcPr>
          <w:p>
            <w:pPr>
              <w:spacing w:before="60" w:after="60"/>
              <w:jc w:val="right"/>
              <w:rPr>
                <w:noProof/>
              </w:rPr>
            </w:pPr>
            <w:r>
              <w:rPr>
                <w:noProof/>
              </w:rPr>
              <w:t>(28,20 %)</w:t>
            </w:r>
          </w:p>
        </w:tc>
      </w:tr>
      <w:tr>
        <w:trPr>
          <w:jc w:val="center"/>
        </w:trPr>
        <w:tc>
          <w:tcPr>
            <w:tcW w:w="1496" w:type="dxa"/>
            <w:tcBorders>
              <w:top w:val="nil"/>
              <w:left w:val="nil"/>
              <w:bottom w:val="single" w:sz="4" w:space="0" w:color="auto"/>
              <w:right w:val="nil"/>
            </w:tcBorders>
          </w:tcPr>
          <w:p>
            <w:pPr>
              <w:spacing w:before="60" w:after="60"/>
              <w:rPr>
                <w:noProof/>
              </w:rPr>
            </w:pPr>
          </w:p>
        </w:tc>
        <w:tc>
          <w:tcPr>
            <w:tcW w:w="2063" w:type="dxa"/>
            <w:tcBorders>
              <w:top w:val="nil"/>
              <w:left w:val="nil"/>
              <w:bottom w:val="single" w:sz="4" w:space="0" w:color="auto"/>
              <w:right w:val="nil"/>
            </w:tcBorders>
            <w:hideMark/>
          </w:tcPr>
          <w:p>
            <w:pPr>
              <w:spacing w:before="60" w:after="60"/>
              <w:rPr>
                <w:noProof/>
              </w:rPr>
            </w:pPr>
            <w:r>
              <w:rPr>
                <w:noProof/>
              </w:rPr>
              <w:t>starejši od 64 let:</w:t>
            </w:r>
          </w:p>
        </w:tc>
        <w:tc>
          <w:tcPr>
            <w:tcW w:w="1176" w:type="dxa"/>
            <w:tcBorders>
              <w:top w:val="nil"/>
              <w:left w:val="nil"/>
              <w:bottom w:val="single" w:sz="4" w:space="0" w:color="auto"/>
              <w:right w:val="nil"/>
            </w:tcBorders>
            <w:hideMark/>
          </w:tcPr>
          <w:p>
            <w:pPr>
              <w:spacing w:before="60" w:after="60"/>
              <w:jc w:val="right"/>
              <w:rPr>
                <w:noProof/>
              </w:rPr>
            </w:pPr>
            <w:r>
              <w:rPr>
                <w:noProof/>
              </w:rPr>
              <w:t>0</w:t>
            </w:r>
          </w:p>
        </w:tc>
        <w:tc>
          <w:tcPr>
            <w:tcW w:w="1176" w:type="dxa"/>
            <w:tcBorders>
              <w:top w:val="nil"/>
              <w:left w:val="nil"/>
              <w:bottom w:val="single" w:sz="4" w:space="0" w:color="auto"/>
              <w:right w:val="nil"/>
            </w:tcBorders>
            <w:hideMark/>
          </w:tcPr>
          <w:p>
            <w:pPr>
              <w:spacing w:before="60" w:after="60"/>
              <w:jc w:val="right"/>
              <w:rPr>
                <w:noProof/>
              </w:rPr>
            </w:pPr>
            <w:r>
              <w:rPr>
                <w:noProof/>
              </w:rPr>
              <w:t>(0,00 %)</w:t>
            </w:r>
          </w:p>
        </w:tc>
      </w:tr>
    </w:tbl>
    <w:p>
      <w:pPr>
        <w:pStyle w:val="ManualHeading3"/>
        <w:rPr>
          <w:noProof/>
          <w:u w:val="single"/>
        </w:rPr>
      </w:pPr>
      <w:r>
        <w:rPr>
          <w:noProof/>
        </w:rPr>
        <w:t>Upravičenost predlaganih ukrepov</w:t>
      </w:r>
    </w:p>
    <w:p>
      <w:pPr>
        <w:pStyle w:val="ManualNumPar1"/>
        <w:rPr>
          <w:noProof/>
        </w:rPr>
      </w:pPr>
      <w:bookmarkStart w:id="8" w:name="_Ref372214239"/>
      <w:r>
        <w:t>30.</w:t>
      </w:r>
      <w:r>
        <w:tab/>
      </w:r>
      <w:r>
        <w:rPr>
          <w:noProof/>
        </w:rPr>
        <w:t xml:space="preserve">Prilagojene storitve, ki bodo zagotovljene presežnim delavcem, vključujejo naslednje ukrepe: </w:t>
      </w:r>
      <w:bookmarkEnd w:id="8"/>
    </w:p>
    <w:p>
      <w:pPr>
        <w:pStyle w:val="Tiret1"/>
        <w:rPr>
          <w:noProof/>
          <w:u w:val="single"/>
        </w:rPr>
      </w:pPr>
      <w:r>
        <w:rPr>
          <w:noProof/>
          <w:u w:val="single"/>
        </w:rPr>
        <w:t>Kovčing in drugi pripravljalni ukrepi</w:t>
      </w:r>
      <w:r>
        <w:rPr>
          <w:noProof/>
        </w:rPr>
        <w:t>. To vključuje: 1) strokovne ocene poklicnih kompetenc iskalcev zaposlitev in potreb po storitvah; 2) oceno kompetenc za evidentiranje udeležencev glede na njihovih kompetenc in zaposlitvenih perspektiv; 3) usposabljanje za iskanje zaposlitve in informacije o trgu dela; 4) karierni in individualni intenzivni kovčing za podporo in usmerjanje udeležencev pri iskanju zaposlitve.</w:t>
      </w:r>
    </w:p>
    <w:p>
      <w:pPr>
        <w:pStyle w:val="Tiret1"/>
        <w:rPr>
          <w:noProof/>
        </w:rPr>
      </w:pPr>
      <w:r>
        <w:rPr>
          <w:noProof/>
          <w:u w:val="single"/>
        </w:rPr>
        <w:t>Zaposlitvene in poslovne storitve</w:t>
      </w:r>
      <w:r>
        <w:rPr>
          <w:noProof/>
        </w:rPr>
        <w:t xml:space="preserve">. S tem ukrepom se bodo zagotavljali poklicno usmerjanje in usmerjanje pri iskanju zaposlitve, svetovanje, ocene delovne sposobnosti in poskusno delo. Organizirali se bodo tudi zaposlovanje in informativni dogodki. </w:t>
      </w:r>
    </w:p>
    <w:p>
      <w:pPr>
        <w:pStyle w:val="Tiret1"/>
        <w:rPr>
          <w:noProof/>
        </w:rPr>
      </w:pPr>
      <w:r>
        <w:rPr>
          <w:noProof/>
          <w:u w:val="single"/>
        </w:rPr>
        <w:t>Usposabljanje</w:t>
      </w:r>
      <w:r>
        <w:rPr>
          <w:noProof/>
        </w:rPr>
        <w:t>. Tu se bo zagotovil prilagojen program „Nadaljnje usposabljanje pri podjetjih“ (Further Educated with Companies (F.E.C.))</w:t>
      </w:r>
      <w:r>
        <w:rPr>
          <w:rStyle w:val="FootnoteReference"/>
          <w:noProof/>
        </w:rPr>
        <w:footnoteReference w:id="30"/>
      </w:r>
      <w:r>
        <w:rPr>
          <w:noProof/>
        </w:rPr>
        <w:t>, ki so ga razvili finski organi, njegov cilj pa je povezovati kandidate za delovna mesta in podjetja, ki želijo zaposlovati. Udeleženci bodo deležni tudi usposabljanj za poklicne kvalifikacije, vključno s programi, kot so razvoj podjetij, usposabljanje vodilnih delavcev, človeški viri, prodaja in trženje, umetna inteligenca, digitalna varnost, robotika, finančno upravljanje, projektno vodenje itd.</w:t>
      </w:r>
    </w:p>
    <w:p>
      <w:pPr>
        <w:pStyle w:val="Tiret1"/>
        <w:rPr>
          <w:noProof/>
        </w:rPr>
      </w:pPr>
      <w:r>
        <w:rPr>
          <w:noProof/>
          <w:u w:val="single"/>
        </w:rPr>
        <w:t>Subvencija plače.</w:t>
      </w:r>
      <w:r>
        <w:rPr>
          <w:noProof/>
        </w:rPr>
        <w:t xml:space="preserve"> Ta ukrep bo podpiral zaposlitev na novem delovnem mestu, in sicer z zmanjšanjem stroškov plač. Subvencija za plače bo znašala 30–50 % stroškov plač in jo bo prejel delodajalec. Znesek in trajanje subvencije sta odvisna od trajanja obdobja brezposelnosti. </w:t>
      </w:r>
    </w:p>
    <w:p>
      <w:pPr>
        <w:pStyle w:val="Tiret1"/>
        <w:rPr>
          <w:noProof/>
        </w:rPr>
      </w:pPr>
      <w:r>
        <w:rPr>
          <w:noProof/>
          <w:u w:val="single"/>
        </w:rPr>
        <w:t>Nepovratna sredstva za zagon podjetja.</w:t>
      </w:r>
      <w:r>
        <w:rPr>
          <w:noProof/>
        </w:rPr>
        <w:t xml:space="preserve"> Namen nepovratnih sredstev je spodbujati začetek poslovne dejavnosti in zaposlovanje posameznikov. Z nepovratnimi sredstvi za zagon podjetja se potencialnim podjetnikom zagotavlja dohodek v obdobju, predvidenem za začetek in vzpostavitev polnega poslovanja, ki traja največ 12 mesecev.</w:t>
      </w:r>
    </w:p>
    <w:p>
      <w:pPr>
        <w:pStyle w:val="Tiret1"/>
        <w:rPr>
          <w:noProof/>
        </w:rPr>
      </w:pPr>
      <w:r>
        <w:rPr>
          <w:noProof/>
          <w:u w:val="single"/>
        </w:rPr>
        <w:t>Nadomestila za potne stroške, nastanitve in selitve</w:t>
      </w:r>
      <w:r>
        <w:rPr>
          <w:noProof/>
        </w:rPr>
        <w:t xml:space="preserve"> se lahko zagotovijo za kritje povezanih izdatkov, nastalih med iskanjem zaposlitve ali usposabljanjem.</w:t>
      </w:r>
    </w:p>
    <w:p>
      <w:pPr>
        <w:pStyle w:val="ManualNumPar1"/>
        <w:rPr>
          <w:noProof/>
        </w:rPr>
      </w:pPr>
      <w:bookmarkStart w:id="9" w:name="_Ref372214242"/>
      <w:r>
        <w:t>31.</w:t>
      </w:r>
      <w:r>
        <w:tab/>
      </w:r>
      <w:r>
        <w:rPr>
          <w:noProof/>
        </w:rPr>
        <w:t>Tukaj opisani predlagani ukrepi so aktivni ukrepi trga dela v okviru upravičenih ukrepov iz člena 7 uredbe o ESPG. Ti ukrepi ne nadomeščajo pasivnih ukrepov socialne zaščite.</w:t>
      </w:r>
    </w:p>
    <w:p>
      <w:pPr>
        <w:pStyle w:val="ManualNumPar1"/>
        <w:rPr>
          <w:noProof/>
        </w:rPr>
      </w:pPr>
      <w:r>
        <w:t>32.</w:t>
      </w:r>
      <w:r>
        <w:tab/>
      </w:r>
      <w:r>
        <w:rPr>
          <w:noProof/>
        </w:rPr>
        <w:t>Finska je predložila zahtevane informacije o ukrepih, ki so za zadevno podjetje obvezni v skladu z nacionalno zakonodajo ali kolektivnimi pogodbami. Potrdila je, da finančni prispevek iz ESPG ne bo nadomestil takih ukrepov.</w:t>
      </w:r>
      <w:bookmarkEnd w:id="9"/>
    </w:p>
    <w:p>
      <w:pPr>
        <w:pStyle w:val="ManualHeading3"/>
        <w:rPr>
          <w:noProof/>
        </w:rPr>
      </w:pPr>
      <w:r>
        <w:rPr>
          <w:noProof/>
        </w:rPr>
        <w:lastRenderedPageBreak/>
        <w:t>Ocena proračuna</w:t>
      </w:r>
    </w:p>
    <w:p>
      <w:pPr>
        <w:pStyle w:val="ManualNumPar1"/>
        <w:rPr>
          <w:noProof/>
        </w:rPr>
      </w:pPr>
      <w:r>
        <w:t>33.</w:t>
      </w:r>
      <w:r>
        <w:tab/>
      </w:r>
      <w:r>
        <w:rPr>
          <w:noProof/>
        </w:rPr>
        <w:t>Predvideni skupni stroški znašajo 2 920 600 EUR, kar vključuje izdatke za prilagojene storitve v višini 2 730 600 EUR in izdatke za pripravo, upravljanje, širjenje informacij in obveščanje javnosti ter nadzor in poročanje v višini 190 000 EUR.</w:t>
      </w:r>
    </w:p>
    <w:p>
      <w:pPr>
        <w:pStyle w:val="ManualNumPar1"/>
        <w:rPr>
          <w:noProof/>
        </w:rPr>
      </w:pPr>
      <w:bookmarkStart w:id="10" w:name="_Ref372550770"/>
      <w:r>
        <w:t>34.</w:t>
      </w:r>
      <w:r>
        <w:tab/>
      </w:r>
      <w:r>
        <w:rPr>
          <w:noProof/>
        </w:rPr>
        <w:t>Skupni zaprošeni finančni prispevek iz ESPG znaša 1 752 360 EUR (60 % skupnih stroškov).</w:t>
      </w:r>
      <w:bookmarkEnd w:id="10"/>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4644"/>
        <w:gridCol w:w="1548"/>
        <w:gridCol w:w="1548"/>
        <w:gridCol w:w="1548"/>
      </w:tblGrid>
      <w:tr>
        <w:tc>
          <w:tcPr>
            <w:tcW w:w="4644" w:type="dxa"/>
            <w:shd w:val="clear" w:color="auto" w:fill="auto"/>
            <w:vAlign w:val="center"/>
          </w:tcPr>
          <w:p>
            <w:pPr>
              <w:spacing w:before="60" w:after="60"/>
              <w:jc w:val="center"/>
              <w:rPr>
                <w:rFonts w:eastAsia="Times New Roman"/>
                <w:noProof/>
                <w:sz w:val="22"/>
              </w:rPr>
            </w:pPr>
            <w:r>
              <w:rPr>
                <w:noProof/>
                <w:sz w:val="22"/>
              </w:rPr>
              <w:t>Ukrepi</w:t>
            </w:r>
          </w:p>
        </w:tc>
        <w:tc>
          <w:tcPr>
            <w:tcW w:w="1548" w:type="dxa"/>
            <w:shd w:val="clear" w:color="auto" w:fill="auto"/>
            <w:vAlign w:val="center"/>
          </w:tcPr>
          <w:p>
            <w:pPr>
              <w:spacing w:before="60" w:after="60"/>
              <w:jc w:val="center"/>
              <w:rPr>
                <w:rFonts w:eastAsia="Times New Roman"/>
                <w:noProof/>
                <w:sz w:val="22"/>
              </w:rPr>
            </w:pPr>
            <w:r>
              <w:rPr>
                <w:noProof/>
                <w:sz w:val="22"/>
              </w:rPr>
              <w:t>Predvideno število udeležencev</w:t>
            </w:r>
          </w:p>
        </w:tc>
        <w:tc>
          <w:tcPr>
            <w:tcW w:w="1548" w:type="dxa"/>
            <w:shd w:val="clear" w:color="auto" w:fill="auto"/>
            <w:vAlign w:val="center"/>
          </w:tcPr>
          <w:p>
            <w:pPr>
              <w:spacing w:before="60" w:after="60"/>
              <w:jc w:val="center"/>
              <w:rPr>
                <w:rFonts w:eastAsia="Times New Roman"/>
                <w:noProof/>
                <w:sz w:val="22"/>
              </w:rPr>
            </w:pPr>
            <w:r>
              <w:rPr>
                <w:noProof/>
                <w:sz w:val="22"/>
              </w:rPr>
              <w:t>Predvideni stroški na udeleženca</w:t>
            </w:r>
            <w:r>
              <w:rPr>
                <w:noProof/>
              </w:rPr>
              <w:t xml:space="preserve"> </w:t>
            </w:r>
            <w:r>
              <w:rPr>
                <w:noProof/>
              </w:rPr>
              <w:br/>
            </w:r>
            <w:r>
              <w:rPr>
                <w:i/>
                <w:noProof/>
                <w:sz w:val="22"/>
              </w:rPr>
              <w:t>(v EUR)</w:t>
            </w:r>
            <w:r>
              <w:rPr>
                <w:rStyle w:val="FootnoteReference"/>
                <w:rFonts w:eastAsia="Times New Roman"/>
                <w:i/>
                <w:noProof/>
                <w:sz w:val="22"/>
              </w:rPr>
              <w:footnoteReference w:id="31"/>
            </w:r>
          </w:p>
        </w:tc>
        <w:tc>
          <w:tcPr>
            <w:tcW w:w="1548" w:type="dxa"/>
            <w:shd w:val="clear" w:color="auto" w:fill="auto"/>
            <w:vAlign w:val="center"/>
          </w:tcPr>
          <w:p>
            <w:pPr>
              <w:spacing w:before="60" w:after="60"/>
              <w:jc w:val="center"/>
              <w:rPr>
                <w:rFonts w:eastAsia="Times New Roman"/>
                <w:noProof/>
                <w:sz w:val="22"/>
              </w:rPr>
            </w:pPr>
            <w:r>
              <w:rPr>
                <w:noProof/>
                <w:sz w:val="22"/>
              </w:rPr>
              <w:t>Predvideni skupni stroški</w:t>
            </w:r>
          </w:p>
          <w:p>
            <w:pPr>
              <w:spacing w:before="60" w:after="60"/>
              <w:jc w:val="center"/>
              <w:rPr>
                <w:rFonts w:eastAsia="Times New Roman"/>
                <w:noProof/>
                <w:sz w:val="22"/>
              </w:rPr>
            </w:pPr>
            <w:r>
              <w:rPr>
                <w:i/>
                <w:noProof/>
                <w:sz w:val="22"/>
              </w:rPr>
              <w:t>(v EUR)</w:t>
            </w:r>
            <w:r>
              <w:rPr>
                <w:rStyle w:val="FootnoteReference"/>
                <w:rFonts w:eastAsia="Times New Roman"/>
                <w:i/>
                <w:noProof/>
                <w:sz w:val="22"/>
              </w:rPr>
              <w:footnoteReference w:id="32"/>
            </w:r>
            <w:r>
              <w:rPr>
                <w:i/>
                <w:noProof/>
                <w:sz w:val="22"/>
              </w:rPr>
              <w:t xml:space="preserve"> </w:t>
            </w:r>
          </w:p>
        </w:tc>
      </w:tr>
      <w:tr>
        <w:tc>
          <w:tcPr>
            <w:tcW w:w="9288" w:type="dxa"/>
            <w:gridSpan w:val="4"/>
            <w:shd w:val="clear" w:color="auto" w:fill="auto"/>
          </w:tcPr>
          <w:p>
            <w:pPr>
              <w:spacing w:before="60" w:after="60"/>
              <w:jc w:val="left"/>
              <w:rPr>
                <w:rFonts w:eastAsia="Times New Roman"/>
                <w:noProof/>
                <w:sz w:val="22"/>
              </w:rPr>
            </w:pPr>
            <w:r>
              <w:rPr>
                <w:noProof/>
                <w:sz w:val="22"/>
              </w:rPr>
              <w:t>Prilagojene storitve (ukrepi na podlagi člena 7(1)(a) in (c) uredbe o ESPG)</w:t>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r>
              <w:rPr>
                <w:noProof/>
              </w:rPr>
              <w:t>Kovčing in drugi pripravljalni ukrepi</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450</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1 556</w:t>
            </w:r>
          </w:p>
        </w:tc>
        <w:tc>
          <w:tcPr>
            <w:tcW w:w="1548"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t>700 000</w:t>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r>
              <w:rPr>
                <w:noProof/>
              </w:rPr>
              <w:t>Zaposlitvene in poslovne storitve</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500</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400</w:t>
            </w:r>
          </w:p>
        </w:tc>
        <w:tc>
          <w:tcPr>
            <w:tcW w:w="1548"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t>200 000</w:t>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r>
              <w:rPr>
                <w:noProof/>
              </w:rPr>
              <w:t>Usposabljanje</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300</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4 333</w:t>
            </w:r>
          </w:p>
        </w:tc>
        <w:tc>
          <w:tcPr>
            <w:tcW w:w="1548"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t>1 300 000</w:t>
            </w:r>
          </w:p>
        </w:tc>
      </w:tr>
      <w:tr>
        <w:trPr>
          <w:trHeight w:val="398"/>
        </w:trPr>
        <w:tc>
          <w:tcPr>
            <w:tcW w:w="4644" w:type="dxa"/>
            <w:vMerge w:val="restart"/>
            <w:shd w:val="clear" w:color="auto" w:fill="auto"/>
            <w:vAlign w:val="center"/>
          </w:tcPr>
          <w:p>
            <w:pPr>
              <w:spacing w:before="60" w:after="60"/>
              <w:jc w:val="right"/>
              <w:rPr>
                <w:rFonts w:eastAsia="Times New Roman"/>
                <w:noProof/>
                <w:sz w:val="22"/>
              </w:rPr>
            </w:pPr>
            <w:r>
              <w:rPr>
                <w:noProof/>
                <w:sz w:val="22"/>
              </w:rPr>
              <w:t>Vmesni seštevek (a):</w:t>
            </w:r>
          </w:p>
          <w:p>
            <w:pPr>
              <w:spacing w:before="60" w:after="60"/>
              <w:jc w:val="right"/>
              <w:rPr>
                <w:rFonts w:eastAsia="Times New Roman"/>
                <w:noProof/>
                <w:sz w:val="22"/>
              </w:rPr>
            </w:pPr>
            <w:r>
              <w:rPr>
                <w:noProof/>
                <w:sz w:val="22"/>
              </w:rPr>
              <w:t xml:space="preserve">Delež svežnja prilagojenih storitev </w:t>
            </w:r>
          </w:p>
        </w:tc>
        <w:tc>
          <w:tcPr>
            <w:tcW w:w="3096" w:type="dxa"/>
            <w:gridSpan w:val="2"/>
            <w:vMerge w:val="restart"/>
            <w:shd w:val="clear" w:color="auto" w:fill="D9D9D9"/>
            <w:vAlign w:val="center"/>
          </w:tcPr>
          <w:p>
            <w:pPr>
              <w:spacing w:before="60" w:after="60"/>
              <w:jc w:val="center"/>
              <w:rPr>
                <w:rFonts w:eastAsia="Times New Roman"/>
                <w:noProof/>
                <w:sz w:val="22"/>
              </w:rPr>
            </w:pPr>
            <w:r>
              <w:rPr>
                <w:noProof/>
                <w:sz w:val="22"/>
              </w:rPr>
              <w:t>–</w:t>
            </w:r>
          </w:p>
        </w:tc>
        <w:tc>
          <w:tcPr>
            <w:tcW w:w="1548" w:type="dxa"/>
            <w:tcBorders>
              <w:bottom w:val="nil"/>
            </w:tcBorders>
            <w:shd w:val="clear" w:color="auto" w:fill="auto"/>
            <w:vAlign w:val="center"/>
          </w:tcPr>
          <w:p>
            <w:pPr>
              <w:spacing w:before="60" w:after="60"/>
              <w:jc w:val="center"/>
              <w:rPr>
                <w:rFonts w:eastAsia="Times New Roman"/>
                <w:noProof/>
                <w:sz w:val="22"/>
              </w:rPr>
            </w:pPr>
            <w:r>
              <w:rPr>
                <w:noProof/>
              </w:rPr>
              <w:t>2 200 000</w:t>
            </w:r>
          </w:p>
        </w:tc>
      </w:tr>
      <w:tr>
        <w:trPr>
          <w:trHeight w:val="397"/>
        </w:trPr>
        <w:tc>
          <w:tcPr>
            <w:tcW w:w="4644" w:type="dxa"/>
            <w:vMerge/>
            <w:shd w:val="clear" w:color="auto" w:fill="auto"/>
            <w:vAlign w:val="center"/>
          </w:tcPr>
          <w:p>
            <w:pPr>
              <w:spacing w:before="60" w:after="60"/>
              <w:jc w:val="right"/>
              <w:rPr>
                <w:rFonts w:eastAsia="Times New Roman"/>
                <w:noProof/>
                <w:sz w:val="22"/>
              </w:rPr>
            </w:pPr>
          </w:p>
        </w:tc>
        <w:tc>
          <w:tcPr>
            <w:tcW w:w="3096" w:type="dxa"/>
            <w:gridSpan w:val="2"/>
            <w:vMerge/>
            <w:shd w:val="clear" w:color="auto" w:fill="D9D9D9"/>
            <w:vAlign w:val="center"/>
          </w:tcPr>
          <w:p>
            <w:pPr>
              <w:spacing w:before="60" w:after="60"/>
              <w:jc w:val="center"/>
              <w:rPr>
                <w:rFonts w:eastAsia="Times New Roman"/>
                <w:noProof/>
                <w:sz w:val="22"/>
              </w:rPr>
            </w:pPr>
          </w:p>
        </w:tc>
        <w:tc>
          <w:tcPr>
            <w:tcW w:w="1548" w:type="dxa"/>
            <w:tcBorders>
              <w:top w:val="nil"/>
            </w:tcBorders>
            <w:shd w:val="clear" w:color="auto" w:fill="auto"/>
            <w:vAlign w:val="center"/>
          </w:tcPr>
          <w:p>
            <w:pPr>
              <w:spacing w:before="60" w:after="60"/>
              <w:jc w:val="center"/>
              <w:rPr>
                <w:rFonts w:eastAsia="Times New Roman"/>
                <w:noProof/>
                <w:sz w:val="22"/>
                <w:highlight w:val="yellow"/>
              </w:rPr>
            </w:pPr>
            <w:r>
              <w:rPr>
                <w:noProof/>
                <w:sz w:val="22"/>
              </w:rPr>
              <w:t>(</w:t>
            </w:r>
            <w:r>
              <w:rPr>
                <w:noProof/>
              </w:rPr>
              <w:t>80,57 </w:t>
            </w:r>
            <w:r>
              <w:rPr>
                <w:noProof/>
                <w:sz w:val="22"/>
              </w:rPr>
              <w:t>%)</w:t>
            </w:r>
          </w:p>
        </w:tc>
      </w:tr>
      <w:tr>
        <w:tc>
          <w:tcPr>
            <w:tcW w:w="9288" w:type="dxa"/>
            <w:gridSpan w:val="4"/>
            <w:shd w:val="clear" w:color="auto" w:fill="auto"/>
            <w:vAlign w:val="center"/>
          </w:tcPr>
          <w:p>
            <w:pPr>
              <w:spacing w:before="60" w:after="60"/>
              <w:jc w:val="left"/>
              <w:rPr>
                <w:noProof/>
                <w:sz w:val="22"/>
              </w:rPr>
            </w:pPr>
            <w:r>
              <w:rPr>
                <w:noProof/>
                <w:sz w:val="22"/>
              </w:rPr>
              <w:t>Pomoči in spodbude (ukrepi na podlagi člena 7(1)(b) uredbe o ESPG)</w:t>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r>
              <w:rPr>
                <w:noProof/>
              </w:rPr>
              <w:t>Subvencioniranje plač</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60</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6 000</w:t>
            </w:r>
          </w:p>
        </w:tc>
        <w:tc>
          <w:tcPr>
            <w:tcW w:w="1548"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t>360 000</w:t>
            </w:r>
          </w:p>
        </w:tc>
      </w:tr>
      <w:tr>
        <w:trPr>
          <w:trHeight w:val="802"/>
        </w:trPr>
        <w:tc>
          <w:tcPr>
            <w:tcW w:w="4644" w:type="dxa"/>
            <w:tcBorders>
              <w:top w:val="single" w:sz="4" w:space="0" w:color="auto"/>
              <w:left w:val="nil"/>
              <w:bottom w:val="single" w:sz="4" w:space="0" w:color="auto"/>
              <w:right w:val="single" w:sz="4" w:space="0" w:color="auto"/>
            </w:tcBorders>
            <w:vAlign w:val="center"/>
          </w:tcPr>
          <w:p>
            <w:pPr>
              <w:spacing w:before="60" w:after="60"/>
              <w:jc w:val="left"/>
              <w:rPr>
                <w:noProof/>
              </w:rPr>
            </w:pPr>
            <w:r>
              <w:rPr>
                <w:noProof/>
              </w:rPr>
              <w:t>Nadomestila za potne stroške, nastanitve in selitve</w:t>
            </w:r>
          </w:p>
        </w:tc>
        <w:tc>
          <w:tcPr>
            <w:tcW w:w="1548" w:type="dxa"/>
            <w:tcBorders>
              <w:top w:val="single" w:sz="4" w:space="0" w:color="auto"/>
              <w:left w:val="single" w:sz="4" w:space="0" w:color="auto"/>
              <w:bottom w:val="single" w:sz="4" w:space="0" w:color="auto"/>
              <w:right w:val="single" w:sz="4" w:space="0" w:color="auto"/>
            </w:tcBorders>
            <w:vAlign w:val="center"/>
          </w:tcPr>
          <w:p>
            <w:pPr>
              <w:spacing w:before="60" w:after="60"/>
              <w:jc w:val="center"/>
              <w:rPr>
                <w:noProof/>
              </w:rPr>
            </w:pPr>
            <w:r>
              <w:rPr>
                <w:noProof/>
              </w:rPr>
              <w:t>25</w:t>
            </w:r>
          </w:p>
        </w:tc>
        <w:tc>
          <w:tcPr>
            <w:tcW w:w="1548" w:type="dxa"/>
            <w:tcBorders>
              <w:top w:val="single" w:sz="4" w:space="0" w:color="auto"/>
              <w:left w:val="single" w:sz="4" w:space="0" w:color="auto"/>
              <w:bottom w:val="single" w:sz="4" w:space="0" w:color="auto"/>
              <w:right w:val="single" w:sz="4" w:space="0" w:color="auto"/>
            </w:tcBorders>
            <w:vAlign w:val="center"/>
          </w:tcPr>
          <w:p>
            <w:pPr>
              <w:spacing w:before="60" w:after="60"/>
              <w:jc w:val="center"/>
              <w:rPr>
                <w:noProof/>
              </w:rPr>
            </w:pPr>
            <w:r>
              <w:rPr>
                <w:noProof/>
              </w:rPr>
              <w:t>200</w:t>
            </w:r>
          </w:p>
        </w:tc>
        <w:tc>
          <w:tcPr>
            <w:tcW w:w="1548" w:type="dxa"/>
            <w:tcBorders>
              <w:top w:val="single" w:sz="4" w:space="0" w:color="auto"/>
              <w:left w:val="single" w:sz="4" w:space="0" w:color="auto"/>
              <w:bottom w:val="single" w:sz="4" w:space="0" w:color="auto"/>
              <w:right w:val="nil"/>
            </w:tcBorders>
            <w:vAlign w:val="center"/>
          </w:tcPr>
          <w:p>
            <w:pPr>
              <w:spacing w:before="60" w:after="60"/>
              <w:jc w:val="center"/>
              <w:rPr>
                <w:noProof/>
              </w:rPr>
            </w:pPr>
            <w:r>
              <w:rPr>
                <w:noProof/>
              </w:rPr>
              <w:t>5 000</w:t>
            </w:r>
          </w:p>
        </w:tc>
      </w:tr>
      <w:tr>
        <w:trPr>
          <w:trHeight w:val="802"/>
        </w:trPr>
        <w:tc>
          <w:tcPr>
            <w:tcW w:w="4644" w:type="dxa"/>
            <w:tcBorders>
              <w:top w:val="single" w:sz="4" w:space="0" w:color="auto"/>
              <w:left w:val="nil"/>
              <w:bottom w:val="single" w:sz="4" w:space="0" w:color="auto"/>
              <w:right w:val="single" w:sz="4" w:space="0" w:color="auto"/>
            </w:tcBorders>
            <w:vAlign w:val="center"/>
          </w:tcPr>
          <w:p>
            <w:pPr>
              <w:spacing w:before="60" w:after="60"/>
              <w:jc w:val="left"/>
              <w:rPr>
                <w:noProof/>
              </w:rPr>
            </w:pPr>
            <w:r>
              <w:rPr>
                <w:noProof/>
              </w:rPr>
              <w:t>Nepovratna sredstva za zagon podjetja</w:t>
            </w:r>
          </w:p>
        </w:tc>
        <w:tc>
          <w:tcPr>
            <w:tcW w:w="1548" w:type="dxa"/>
            <w:tcBorders>
              <w:top w:val="single" w:sz="4" w:space="0" w:color="auto"/>
              <w:left w:val="single" w:sz="4" w:space="0" w:color="auto"/>
              <w:bottom w:val="single" w:sz="4" w:space="0" w:color="auto"/>
              <w:right w:val="single" w:sz="4" w:space="0" w:color="auto"/>
            </w:tcBorders>
            <w:vAlign w:val="center"/>
          </w:tcPr>
          <w:p>
            <w:pPr>
              <w:spacing w:before="60" w:after="60"/>
              <w:jc w:val="center"/>
              <w:rPr>
                <w:noProof/>
              </w:rPr>
            </w:pPr>
            <w:r>
              <w:rPr>
                <w:noProof/>
              </w:rPr>
              <w:t>20</w:t>
            </w:r>
          </w:p>
        </w:tc>
        <w:tc>
          <w:tcPr>
            <w:tcW w:w="1548" w:type="dxa"/>
            <w:tcBorders>
              <w:top w:val="single" w:sz="4" w:space="0" w:color="auto"/>
              <w:left w:val="single" w:sz="4" w:space="0" w:color="auto"/>
              <w:bottom w:val="single" w:sz="4" w:space="0" w:color="auto"/>
              <w:right w:val="single" w:sz="4" w:space="0" w:color="auto"/>
            </w:tcBorders>
            <w:vAlign w:val="center"/>
          </w:tcPr>
          <w:p>
            <w:pPr>
              <w:spacing w:before="60" w:after="60"/>
              <w:jc w:val="center"/>
              <w:rPr>
                <w:noProof/>
              </w:rPr>
            </w:pPr>
            <w:r>
              <w:rPr>
                <w:noProof/>
              </w:rPr>
              <w:t>8 280</w:t>
            </w:r>
          </w:p>
        </w:tc>
        <w:tc>
          <w:tcPr>
            <w:tcW w:w="1548" w:type="dxa"/>
            <w:tcBorders>
              <w:top w:val="single" w:sz="4" w:space="0" w:color="auto"/>
              <w:left w:val="single" w:sz="4" w:space="0" w:color="auto"/>
              <w:bottom w:val="single" w:sz="4" w:space="0" w:color="auto"/>
              <w:right w:val="nil"/>
            </w:tcBorders>
            <w:vAlign w:val="center"/>
          </w:tcPr>
          <w:p>
            <w:pPr>
              <w:spacing w:before="60" w:after="60"/>
              <w:jc w:val="center"/>
              <w:rPr>
                <w:noProof/>
              </w:rPr>
            </w:pPr>
            <w:r>
              <w:rPr>
                <w:noProof/>
              </w:rPr>
              <w:t>165 600</w:t>
            </w:r>
          </w:p>
        </w:tc>
      </w:tr>
      <w:tr>
        <w:trPr>
          <w:trHeight w:val="203"/>
        </w:trPr>
        <w:tc>
          <w:tcPr>
            <w:tcW w:w="4644" w:type="dxa"/>
            <w:vMerge w:val="restart"/>
            <w:shd w:val="clear" w:color="auto" w:fill="auto"/>
            <w:vAlign w:val="center"/>
          </w:tcPr>
          <w:p>
            <w:pPr>
              <w:spacing w:before="60" w:after="60"/>
              <w:jc w:val="right"/>
              <w:rPr>
                <w:rFonts w:eastAsia="Times New Roman"/>
                <w:noProof/>
                <w:sz w:val="22"/>
              </w:rPr>
            </w:pPr>
            <w:r>
              <w:rPr>
                <w:noProof/>
                <w:sz w:val="22"/>
              </w:rPr>
              <w:t>Vmesni seštevek (b):</w:t>
            </w:r>
          </w:p>
          <w:p>
            <w:pPr>
              <w:spacing w:before="60" w:after="60"/>
              <w:jc w:val="right"/>
              <w:rPr>
                <w:rFonts w:eastAsia="Times New Roman"/>
                <w:noProof/>
                <w:sz w:val="22"/>
              </w:rPr>
            </w:pPr>
            <w:r>
              <w:rPr>
                <w:noProof/>
                <w:sz w:val="22"/>
              </w:rPr>
              <w:t>Delež svežnja prilagojenih storitev:</w:t>
            </w:r>
          </w:p>
        </w:tc>
        <w:tc>
          <w:tcPr>
            <w:tcW w:w="3096" w:type="dxa"/>
            <w:gridSpan w:val="2"/>
            <w:vMerge w:val="restart"/>
            <w:shd w:val="clear" w:color="auto" w:fill="D9D9D9"/>
            <w:vAlign w:val="center"/>
          </w:tcPr>
          <w:p>
            <w:pPr>
              <w:spacing w:before="60" w:after="60"/>
              <w:jc w:val="center"/>
              <w:rPr>
                <w:rFonts w:eastAsia="Times New Roman"/>
                <w:noProof/>
                <w:sz w:val="22"/>
              </w:rPr>
            </w:pPr>
            <w:r>
              <w:rPr>
                <w:noProof/>
                <w:sz w:val="22"/>
              </w:rPr>
              <w:t>–</w:t>
            </w:r>
          </w:p>
        </w:tc>
        <w:tc>
          <w:tcPr>
            <w:tcW w:w="1548" w:type="dxa"/>
            <w:tcBorders>
              <w:bottom w:val="nil"/>
            </w:tcBorders>
            <w:shd w:val="clear" w:color="auto" w:fill="auto"/>
            <w:vAlign w:val="center"/>
          </w:tcPr>
          <w:p>
            <w:pPr>
              <w:spacing w:before="60" w:after="60"/>
              <w:jc w:val="center"/>
              <w:rPr>
                <w:rFonts w:eastAsia="Times New Roman"/>
                <w:noProof/>
                <w:sz w:val="22"/>
                <w:highlight w:val="yellow"/>
              </w:rPr>
            </w:pPr>
            <w:r>
              <w:rPr>
                <w:noProof/>
              </w:rPr>
              <w:t>530 600</w:t>
            </w:r>
          </w:p>
        </w:tc>
      </w:tr>
      <w:tr>
        <w:trPr>
          <w:trHeight w:val="202"/>
        </w:trPr>
        <w:tc>
          <w:tcPr>
            <w:tcW w:w="4644" w:type="dxa"/>
            <w:vMerge/>
            <w:shd w:val="clear" w:color="auto" w:fill="auto"/>
            <w:vAlign w:val="center"/>
          </w:tcPr>
          <w:p>
            <w:pPr>
              <w:spacing w:before="60" w:after="60"/>
              <w:jc w:val="right"/>
              <w:rPr>
                <w:rFonts w:eastAsia="Times New Roman"/>
                <w:noProof/>
                <w:sz w:val="22"/>
              </w:rPr>
            </w:pPr>
          </w:p>
        </w:tc>
        <w:tc>
          <w:tcPr>
            <w:tcW w:w="3096" w:type="dxa"/>
            <w:gridSpan w:val="2"/>
            <w:vMerge/>
            <w:shd w:val="clear" w:color="auto" w:fill="D9D9D9"/>
            <w:vAlign w:val="center"/>
          </w:tcPr>
          <w:p>
            <w:pPr>
              <w:spacing w:before="60" w:after="60"/>
              <w:jc w:val="center"/>
              <w:rPr>
                <w:rFonts w:eastAsia="Times New Roman"/>
                <w:noProof/>
                <w:sz w:val="22"/>
              </w:rPr>
            </w:pPr>
          </w:p>
        </w:tc>
        <w:tc>
          <w:tcPr>
            <w:tcW w:w="1548" w:type="dxa"/>
            <w:tcBorders>
              <w:top w:val="nil"/>
            </w:tcBorders>
            <w:shd w:val="clear" w:color="auto" w:fill="auto"/>
            <w:vAlign w:val="center"/>
          </w:tcPr>
          <w:p>
            <w:pPr>
              <w:spacing w:before="60" w:after="60"/>
              <w:jc w:val="center"/>
              <w:rPr>
                <w:rFonts w:eastAsia="Times New Roman"/>
                <w:noProof/>
                <w:sz w:val="22"/>
                <w:highlight w:val="yellow"/>
              </w:rPr>
            </w:pPr>
            <w:r>
              <w:rPr>
                <w:noProof/>
                <w:sz w:val="22"/>
              </w:rPr>
              <w:t>(</w:t>
            </w:r>
            <w:r>
              <w:rPr>
                <w:noProof/>
              </w:rPr>
              <w:t>19,43 </w:t>
            </w:r>
            <w:r>
              <w:rPr>
                <w:noProof/>
                <w:sz w:val="22"/>
              </w:rPr>
              <w:t>%)</w:t>
            </w:r>
          </w:p>
        </w:tc>
      </w:tr>
      <w:tr>
        <w:tc>
          <w:tcPr>
            <w:tcW w:w="9288" w:type="dxa"/>
            <w:gridSpan w:val="4"/>
            <w:shd w:val="clear" w:color="auto" w:fill="auto"/>
            <w:vAlign w:val="center"/>
          </w:tcPr>
          <w:p>
            <w:pPr>
              <w:spacing w:before="60" w:after="60"/>
              <w:jc w:val="left"/>
              <w:rPr>
                <w:rFonts w:eastAsia="Times New Roman"/>
                <w:noProof/>
                <w:sz w:val="22"/>
              </w:rPr>
            </w:pPr>
            <w:r>
              <w:rPr>
                <w:noProof/>
                <w:sz w:val="22"/>
              </w:rPr>
              <w:t xml:space="preserve"> Ukrepi na podlagi člena 7(4) uredbe o ESPG</w:t>
            </w:r>
          </w:p>
        </w:tc>
      </w:tr>
      <w:tr>
        <w:tc>
          <w:tcPr>
            <w:tcW w:w="4644" w:type="dxa"/>
            <w:shd w:val="clear" w:color="auto" w:fill="auto"/>
          </w:tcPr>
          <w:p>
            <w:pPr>
              <w:spacing w:before="60" w:after="60"/>
              <w:ind w:left="284"/>
              <w:jc w:val="left"/>
              <w:rPr>
                <w:rFonts w:eastAsia="Times New Roman"/>
                <w:noProof/>
                <w:sz w:val="22"/>
              </w:rPr>
            </w:pPr>
            <w:r>
              <w:rPr>
                <w:noProof/>
                <w:sz w:val="22"/>
              </w:rPr>
              <w:t>1. Priprava</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shd w:val="clear" w:color="auto" w:fill="auto"/>
          </w:tcPr>
          <w:p>
            <w:pPr>
              <w:spacing w:before="60" w:after="60"/>
              <w:jc w:val="center"/>
              <w:rPr>
                <w:rFonts w:eastAsia="Times New Roman"/>
                <w:noProof/>
                <w:sz w:val="22"/>
              </w:rPr>
            </w:pPr>
            <w:r>
              <w:rPr>
                <w:noProof/>
              </w:rPr>
              <w:t>0</w:t>
            </w:r>
          </w:p>
        </w:tc>
      </w:tr>
      <w:tr>
        <w:tc>
          <w:tcPr>
            <w:tcW w:w="4644" w:type="dxa"/>
            <w:shd w:val="clear" w:color="auto" w:fill="auto"/>
          </w:tcPr>
          <w:p>
            <w:pPr>
              <w:spacing w:before="60" w:after="60"/>
              <w:ind w:left="284"/>
              <w:jc w:val="left"/>
              <w:rPr>
                <w:rFonts w:eastAsia="Times New Roman"/>
                <w:noProof/>
                <w:sz w:val="22"/>
              </w:rPr>
            </w:pPr>
            <w:r>
              <w:rPr>
                <w:noProof/>
                <w:sz w:val="22"/>
              </w:rPr>
              <w:t>2. Upravljanje</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shd w:val="clear" w:color="auto" w:fill="auto"/>
          </w:tcPr>
          <w:p>
            <w:pPr>
              <w:spacing w:before="60" w:after="60"/>
              <w:jc w:val="center"/>
              <w:rPr>
                <w:rFonts w:eastAsia="Times New Roman"/>
                <w:noProof/>
                <w:sz w:val="22"/>
              </w:rPr>
            </w:pPr>
            <w:r>
              <w:rPr>
                <w:noProof/>
              </w:rPr>
              <w:t>160 000</w:t>
            </w:r>
          </w:p>
        </w:tc>
      </w:tr>
      <w:tr>
        <w:tc>
          <w:tcPr>
            <w:tcW w:w="4644" w:type="dxa"/>
            <w:shd w:val="clear" w:color="auto" w:fill="auto"/>
          </w:tcPr>
          <w:p>
            <w:pPr>
              <w:spacing w:before="60" w:after="60"/>
              <w:ind w:left="284"/>
              <w:jc w:val="left"/>
              <w:rPr>
                <w:rFonts w:eastAsia="Times New Roman"/>
                <w:noProof/>
                <w:sz w:val="22"/>
              </w:rPr>
            </w:pPr>
            <w:r>
              <w:rPr>
                <w:noProof/>
                <w:sz w:val="22"/>
              </w:rPr>
              <w:t>3. Informiranje in obveščanje javnosti</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shd w:val="clear" w:color="auto" w:fill="auto"/>
          </w:tcPr>
          <w:p>
            <w:pPr>
              <w:spacing w:before="60" w:after="60"/>
              <w:jc w:val="center"/>
              <w:rPr>
                <w:rFonts w:eastAsia="Times New Roman"/>
                <w:noProof/>
                <w:sz w:val="22"/>
              </w:rPr>
            </w:pPr>
            <w:r>
              <w:rPr>
                <w:noProof/>
              </w:rPr>
              <w:t>15 000</w:t>
            </w:r>
          </w:p>
        </w:tc>
      </w:tr>
      <w:tr>
        <w:tc>
          <w:tcPr>
            <w:tcW w:w="4644" w:type="dxa"/>
            <w:shd w:val="clear" w:color="auto" w:fill="auto"/>
          </w:tcPr>
          <w:p>
            <w:pPr>
              <w:spacing w:before="60" w:after="60"/>
              <w:ind w:left="284"/>
              <w:jc w:val="left"/>
              <w:rPr>
                <w:rFonts w:eastAsia="Times New Roman"/>
                <w:noProof/>
                <w:sz w:val="22"/>
              </w:rPr>
            </w:pPr>
            <w:r>
              <w:rPr>
                <w:noProof/>
                <w:sz w:val="22"/>
              </w:rPr>
              <w:t>4. Nadzor in poročanje</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tcBorders>
              <w:bottom w:val="single" w:sz="4" w:space="0" w:color="auto"/>
            </w:tcBorders>
            <w:shd w:val="clear" w:color="auto" w:fill="auto"/>
          </w:tcPr>
          <w:p>
            <w:pPr>
              <w:spacing w:before="60" w:after="60"/>
              <w:jc w:val="center"/>
              <w:rPr>
                <w:rFonts w:eastAsia="Times New Roman"/>
                <w:noProof/>
                <w:sz w:val="22"/>
              </w:rPr>
            </w:pPr>
            <w:r>
              <w:rPr>
                <w:noProof/>
              </w:rPr>
              <w:t>15 000</w:t>
            </w:r>
          </w:p>
        </w:tc>
      </w:tr>
      <w:tr>
        <w:trPr>
          <w:trHeight w:val="203"/>
        </w:trPr>
        <w:tc>
          <w:tcPr>
            <w:tcW w:w="4644" w:type="dxa"/>
            <w:vMerge w:val="restart"/>
            <w:shd w:val="clear" w:color="auto" w:fill="auto"/>
            <w:vAlign w:val="center"/>
          </w:tcPr>
          <w:p>
            <w:pPr>
              <w:spacing w:before="60" w:after="60"/>
              <w:jc w:val="right"/>
              <w:rPr>
                <w:rFonts w:eastAsia="Times New Roman"/>
                <w:noProof/>
                <w:sz w:val="22"/>
              </w:rPr>
            </w:pPr>
            <w:r>
              <w:rPr>
                <w:noProof/>
                <w:sz w:val="22"/>
              </w:rPr>
              <w:lastRenderedPageBreak/>
              <w:t>Vmesni seštevek (c):</w:t>
            </w:r>
          </w:p>
          <w:p>
            <w:pPr>
              <w:spacing w:before="60" w:after="60"/>
              <w:jc w:val="right"/>
              <w:rPr>
                <w:rFonts w:eastAsia="Times New Roman"/>
                <w:noProof/>
                <w:sz w:val="22"/>
              </w:rPr>
            </w:pPr>
            <w:r>
              <w:rPr>
                <w:noProof/>
                <w:sz w:val="22"/>
              </w:rPr>
              <w:t>Delež skupnih stroškov:</w:t>
            </w:r>
          </w:p>
        </w:tc>
        <w:tc>
          <w:tcPr>
            <w:tcW w:w="3096" w:type="dxa"/>
            <w:gridSpan w:val="2"/>
            <w:vMerge w:val="restart"/>
            <w:shd w:val="clear" w:color="auto" w:fill="D9D9D9"/>
            <w:vAlign w:val="center"/>
          </w:tcPr>
          <w:p>
            <w:pPr>
              <w:spacing w:before="0" w:after="0"/>
              <w:jc w:val="center"/>
              <w:rPr>
                <w:rFonts w:eastAsia="Times New Roman"/>
                <w:noProof/>
                <w:sz w:val="22"/>
              </w:rPr>
            </w:pPr>
            <w:r>
              <w:rPr>
                <w:noProof/>
                <w:sz w:val="22"/>
              </w:rPr>
              <w:t>–</w:t>
            </w:r>
          </w:p>
        </w:tc>
        <w:tc>
          <w:tcPr>
            <w:tcW w:w="1548" w:type="dxa"/>
            <w:tcBorders>
              <w:bottom w:val="nil"/>
            </w:tcBorders>
            <w:shd w:val="clear" w:color="auto" w:fill="auto"/>
            <w:vAlign w:val="center"/>
          </w:tcPr>
          <w:p>
            <w:pPr>
              <w:spacing w:before="60" w:after="60"/>
              <w:jc w:val="center"/>
              <w:rPr>
                <w:rFonts w:eastAsia="Times New Roman"/>
                <w:noProof/>
                <w:sz w:val="22"/>
              </w:rPr>
            </w:pPr>
            <w:r>
              <w:rPr>
                <w:noProof/>
              </w:rPr>
              <w:t>190 000</w:t>
            </w:r>
          </w:p>
        </w:tc>
      </w:tr>
      <w:tr>
        <w:trPr>
          <w:trHeight w:val="202"/>
        </w:trPr>
        <w:tc>
          <w:tcPr>
            <w:tcW w:w="4644" w:type="dxa"/>
            <w:vMerge/>
            <w:shd w:val="clear" w:color="auto" w:fill="auto"/>
          </w:tcPr>
          <w:p>
            <w:pPr>
              <w:spacing w:before="0" w:after="0"/>
              <w:jc w:val="right"/>
              <w:rPr>
                <w:rFonts w:eastAsia="Times New Roman"/>
                <w:noProof/>
                <w:sz w:val="22"/>
              </w:rPr>
            </w:pPr>
          </w:p>
        </w:tc>
        <w:tc>
          <w:tcPr>
            <w:tcW w:w="3096" w:type="dxa"/>
            <w:gridSpan w:val="2"/>
            <w:vMerge/>
            <w:shd w:val="clear" w:color="auto" w:fill="D9D9D9"/>
            <w:vAlign w:val="center"/>
          </w:tcPr>
          <w:p>
            <w:pPr>
              <w:spacing w:before="0" w:after="0"/>
              <w:jc w:val="center"/>
              <w:rPr>
                <w:rFonts w:eastAsia="Times New Roman"/>
                <w:noProof/>
                <w:sz w:val="22"/>
              </w:rPr>
            </w:pPr>
          </w:p>
        </w:tc>
        <w:tc>
          <w:tcPr>
            <w:tcW w:w="1548" w:type="dxa"/>
            <w:tcBorders>
              <w:top w:val="nil"/>
            </w:tcBorders>
            <w:shd w:val="clear" w:color="auto" w:fill="auto"/>
            <w:vAlign w:val="center"/>
          </w:tcPr>
          <w:p>
            <w:pPr>
              <w:spacing w:before="60" w:after="60"/>
              <w:jc w:val="center"/>
              <w:rPr>
                <w:rFonts w:eastAsia="Times New Roman"/>
                <w:noProof/>
                <w:sz w:val="22"/>
              </w:rPr>
            </w:pPr>
            <w:r>
              <w:rPr>
                <w:noProof/>
                <w:sz w:val="22"/>
              </w:rPr>
              <w:t>(</w:t>
            </w:r>
            <w:r>
              <w:rPr>
                <w:noProof/>
              </w:rPr>
              <w:t>6,51 </w:t>
            </w:r>
            <w:r>
              <w:rPr>
                <w:noProof/>
                <w:sz w:val="22"/>
              </w:rPr>
              <w:t>%)</w:t>
            </w:r>
          </w:p>
        </w:tc>
      </w:tr>
      <w:tr>
        <w:tc>
          <w:tcPr>
            <w:tcW w:w="4644" w:type="dxa"/>
            <w:shd w:val="clear" w:color="auto" w:fill="auto"/>
          </w:tcPr>
          <w:p>
            <w:pPr>
              <w:spacing w:before="60" w:after="60"/>
              <w:jc w:val="left"/>
              <w:rPr>
                <w:rFonts w:eastAsia="Times New Roman"/>
                <w:noProof/>
                <w:sz w:val="22"/>
              </w:rPr>
            </w:pPr>
            <w:r>
              <w:rPr>
                <w:noProof/>
                <w:sz w:val="22"/>
              </w:rPr>
              <w:t>Skupni stroški (a + b + c):</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shd w:val="clear" w:color="auto" w:fill="auto"/>
          </w:tcPr>
          <w:p>
            <w:pPr>
              <w:spacing w:before="60" w:after="60"/>
              <w:jc w:val="center"/>
              <w:rPr>
                <w:noProof/>
                <w:sz w:val="22"/>
              </w:rPr>
            </w:pPr>
            <w:r>
              <w:rPr>
                <w:noProof/>
              </w:rPr>
              <w:t>2 920 600</w:t>
            </w:r>
          </w:p>
        </w:tc>
      </w:tr>
      <w:tr>
        <w:tc>
          <w:tcPr>
            <w:tcW w:w="4644" w:type="dxa"/>
            <w:shd w:val="clear" w:color="auto" w:fill="auto"/>
          </w:tcPr>
          <w:p>
            <w:pPr>
              <w:spacing w:before="60" w:after="60"/>
              <w:jc w:val="left"/>
              <w:rPr>
                <w:rFonts w:eastAsia="Times New Roman"/>
                <w:noProof/>
                <w:sz w:val="22"/>
              </w:rPr>
            </w:pPr>
            <w:r>
              <w:rPr>
                <w:noProof/>
                <w:sz w:val="22"/>
              </w:rPr>
              <w:t>Prispevek iz ESPG (60 % skupnih stroškov)</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shd w:val="clear" w:color="auto" w:fill="auto"/>
          </w:tcPr>
          <w:p>
            <w:pPr>
              <w:spacing w:before="60" w:after="60"/>
              <w:jc w:val="center"/>
              <w:rPr>
                <w:rFonts w:eastAsia="Times New Roman"/>
                <w:noProof/>
                <w:sz w:val="22"/>
              </w:rPr>
            </w:pPr>
            <w:r>
              <w:rPr>
                <w:noProof/>
              </w:rPr>
              <w:t>1 752 360</w:t>
            </w:r>
          </w:p>
        </w:tc>
      </w:tr>
    </w:tbl>
    <w:p>
      <w:pPr>
        <w:pStyle w:val="ManualNumPar1"/>
        <w:rPr>
          <w:noProof/>
        </w:rPr>
      </w:pPr>
      <w:r>
        <w:t>35.</w:t>
      </w:r>
      <w:r>
        <w:tab/>
      </w:r>
      <w:r>
        <w:rPr>
          <w:noProof/>
        </w:rPr>
        <w:t xml:space="preserve">Stroški ukrepov, ki so v zgornji preglednici opredeljeni kot ukrepi na podlagi člena 7(1)(b) uredbe o ESPG, ne presegajo 35 % skupnih stroškov usklajenega svežnja prilagojenih storitev. Finska je potrdila, da so ti ukrepi pogojeni z aktivno udeležbo ciljnih prejemnikov v dejavnostih iskanja zaposlitve ali usposabljanja. </w:t>
      </w:r>
    </w:p>
    <w:p>
      <w:pPr>
        <w:pStyle w:val="ManualNumPar1"/>
        <w:rPr>
          <w:noProof/>
        </w:rPr>
      </w:pPr>
      <w:r>
        <w:t>36.</w:t>
      </w:r>
      <w:r>
        <w:tab/>
      </w:r>
      <w:r>
        <w:rPr>
          <w:noProof/>
        </w:rPr>
        <w:t>Potrdila je tudi, da stroški naložb za samozaposlitev, ustanavljanje podjetij in delavske prevzeme ne bodo presegli 15 000 EUR na prejemnika.</w:t>
      </w:r>
    </w:p>
    <w:p>
      <w:pPr>
        <w:pStyle w:val="ManualHeading3"/>
        <w:rPr>
          <w:noProof/>
        </w:rPr>
      </w:pPr>
      <w:r>
        <w:rPr>
          <w:noProof/>
        </w:rPr>
        <w:t>Obdobje upravičenosti izdatkov</w:t>
      </w:r>
    </w:p>
    <w:p>
      <w:pPr>
        <w:pStyle w:val="ManualNumPar1"/>
        <w:rPr>
          <w:noProof/>
        </w:rPr>
      </w:pPr>
      <w:r>
        <w:t>37.</w:t>
      </w:r>
      <w:r>
        <w:tab/>
      </w:r>
      <w:r>
        <w:rPr>
          <w:noProof/>
        </w:rPr>
        <w:t>Finska je prilagojene storitve za ciljne prejemnike začela izvajati 21. oktobra 2020. Izdatki za ukrepe bodo torej upravičeni do finančnega prispevka iz ESPG od 21. oktobra 2020 do 30. decembra 2022.</w:t>
      </w:r>
    </w:p>
    <w:p>
      <w:pPr>
        <w:pStyle w:val="ManualNumPar1"/>
        <w:rPr>
          <w:noProof/>
        </w:rPr>
      </w:pPr>
      <w:r>
        <w:t>38.</w:t>
      </w:r>
      <w:r>
        <w:tab/>
      </w:r>
      <w:r>
        <w:rPr>
          <w:noProof/>
        </w:rPr>
        <w:t xml:space="preserve">Upravni izdatki Finske za izvajanje ESPG so se začeli 21. oktobra 2020. Izdatki za dejavnosti priprave, upravljanja, širjenja informacij in obveščanja javnosti, nadzora in poročanja so torej upravičeni za finančni prispevek iz ESPG od 21. oktobra 2020 do 30. junija 2023. </w:t>
      </w:r>
    </w:p>
    <w:p>
      <w:pPr>
        <w:pStyle w:val="ManualHeading3"/>
        <w:rPr>
          <w:noProof/>
        </w:rPr>
      </w:pPr>
      <w:r>
        <w:rPr>
          <w:noProof/>
        </w:rPr>
        <w:t>Dopolnjevanje ukrepov, ki se financirajo z nacionalnimi sredstvi ali sredstvi Unije</w:t>
      </w:r>
    </w:p>
    <w:p>
      <w:pPr>
        <w:pStyle w:val="ManualNumPar1"/>
        <w:rPr>
          <w:noProof/>
        </w:rPr>
      </w:pPr>
      <w:r>
        <w:t>39.</w:t>
      </w:r>
      <w:r>
        <w:tab/>
      </w:r>
      <w:r>
        <w:rPr>
          <w:noProof/>
        </w:rPr>
        <w:t>Viri nacionalnega vnaprejšnjega financiranja ali sofinanciranja so javna služba za zaposlovanje v upravni veji ministrstva za gospodarstvo in zaposlovanje (MEAE). Nekatere storitve se bodo financirale tudi iz odhodkov za poslovanje središč za gospodarski razvoj, promet in okolje (centri ELY) ter zavodov za zaposlovanje in gospodarski razvoj (zavodi TE).</w:t>
      </w:r>
    </w:p>
    <w:p>
      <w:pPr>
        <w:pStyle w:val="ManualNumPar1"/>
        <w:rPr>
          <w:noProof/>
        </w:rPr>
      </w:pPr>
      <w:r>
        <w:t>40.</w:t>
      </w:r>
      <w:r>
        <w:tab/>
      </w:r>
      <w:r>
        <w:rPr>
          <w:noProof/>
        </w:rPr>
        <w:t>Finska je potrdila, da opisani ukrepi, ki prejmejo finančni prispevek iz ESPG, ne bodo financirani iz drugih finančnih instrumentov Evropske unije</w:t>
      </w:r>
      <w:r>
        <w:rPr>
          <w:rStyle w:val="FootnoteReference"/>
          <w:noProof/>
        </w:rPr>
        <w:footnoteReference w:id="33"/>
      </w:r>
      <w:r>
        <w:rPr>
          <w:noProof/>
        </w:rPr>
        <w:t xml:space="preserve">. </w:t>
      </w:r>
    </w:p>
    <w:p>
      <w:pPr>
        <w:pStyle w:val="ManualHeading3"/>
        <w:tabs>
          <w:tab w:val="clear" w:pos="850"/>
          <w:tab w:val="left" w:pos="0"/>
        </w:tabs>
        <w:ind w:left="0" w:firstLine="0"/>
        <w:rPr>
          <w:noProof/>
          <w:u w:val="single"/>
        </w:rPr>
      </w:pPr>
      <w:r>
        <w:rPr>
          <w:noProof/>
        </w:rPr>
        <w:t>Postopki za posvetovanje s ciljnimi prejemniki ali njihovimi predstavniki ali socialnimi partnerji ter lokalnimi in regionalnimi organi</w:t>
      </w:r>
    </w:p>
    <w:p>
      <w:pPr>
        <w:pStyle w:val="ManualNumPar1"/>
        <w:rPr>
          <w:noProof/>
        </w:rPr>
      </w:pPr>
      <w:r>
        <w:t>41.</w:t>
      </w:r>
      <w:r>
        <w:tab/>
      </w:r>
      <w:r>
        <w:rPr>
          <w:noProof/>
        </w:rPr>
        <w:t>Finska je navedla, da je bil usklajeni sveženj prilagojenih storitev pripravljen v posvetovanju z delovno skupino. Pripravljalne dejavnosti so vključevale sestanke s predstavniki središč za gospodarski razvoj, promet in okolje ter zavodi TE regije Uusimaa, podjetja Finnair in sindikatov, in sicer Ilmailualan Unioni (IAU), Finnairin insinöörit ja ylemmät toimihenkilöt (FINTO), Auto ja Kuljetusalan Työntekijäliitto ry (AKT) in Trade Union Pro.</w:t>
      </w:r>
    </w:p>
    <w:p>
      <w:pPr>
        <w:pStyle w:val="ManualHeading2"/>
        <w:rPr>
          <w:noProof/>
        </w:rPr>
      </w:pPr>
      <w:r>
        <w:rPr>
          <w:noProof/>
        </w:rPr>
        <w:t>Sistemi upravljanja in nadzora</w:t>
      </w:r>
    </w:p>
    <w:p>
      <w:pPr>
        <w:pStyle w:val="ManualNumPar1"/>
        <w:rPr>
          <w:noProof/>
        </w:rPr>
      </w:pPr>
      <w:r>
        <w:t>42.</w:t>
      </w:r>
      <w:r>
        <w:tab/>
      </w:r>
      <w:r>
        <w:rPr>
          <w:noProof/>
        </w:rPr>
        <w:t xml:space="preserve">Vloga vsebuje opis sistema upravljanja in nadzora, ki opredeljuje odgovornosti vključenih organov. Finska je Komisijo obvestila, da bo finančni prispevek upravljalo Ministrstvo za gospodarske zadeve in zaposlovanje, ki deluje kot organ </w:t>
      </w:r>
      <w:r>
        <w:rPr>
          <w:noProof/>
        </w:rPr>
        <w:lastRenderedPageBreak/>
        <w:t>upravljanja in organ za potrjevanje za ESPG ter kot posredniški organ za porazdelitev sredstev ESPG. Funkcije upravljanja za ESPG so bile dodeljene Oddelku za regije in storitve rasti, ki deluje tudi kot organ upravljanja za Evropski socialni sklad. Središča za gospodarski razvoj, promet in okolje (ELY) so odgovorna za izvajanje ukrepov, financiranih iz ESPG.</w:t>
      </w:r>
    </w:p>
    <w:p>
      <w:pPr>
        <w:pStyle w:val="ManualNumPar1"/>
        <w:rPr>
          <w:noProof/>
        </w:rPr>
      </w:pPr>
      <w:r>
        <w:t>43.</w:t>
      </w:r>
      <w:r>
        <w:tab/>
      </w:r>
      <w:r>
        <w:rPr>
          <w:noProof/>
        </w:rPr>
        <w:t>Vlogo organa za potrjevanje je prevzela Enota za človeške vire in upravljanje. Za revizije je odgovorna neodvisna Enota za notranje revizije, ki deluje v okviru Stalnega sekretarja Ministrstva za gospodarske zadeve in zaposlovanje.</w:t>
      </w:r>
    </w:p>
    <w:p>
      <w:pPr>
        <w:pStyle w:val="ManualHeading2"/>
        <w:rPr>
          <w:noProof/>
        </w:rPr>
      </w:pPr>
      <w:r>
        <w:rPr>
          <w:noProof/>
        </w:rPr>
        <w:t>Zaveze zadevne države članice</w:t>
      </w:r>
    </w:p>
    <w:p>
      <w:pPr>
        <w:pStyle w:val="ManualNumPar1"/>
        <w:rPr>
          <w:noProof/>
        </w:rPr>
      </w:pPr>
      <w:r>
        <w:t>44.</w:t>
      </w:r>
      <w:r>
        <w:tab/>
      </w:r>
      <w:r>
        <w:rPr>
          <w:noProof/>
        </w:rPr>
        <w:t xml:space="preserve">Finska je predložila vsa potrebna zagotovila v zvezi z naslednjim: </w:t>
      </w:r>
    </w:p>
    <w:p>
      <w:pPr>
        <w:pStyle w:val="Tiret1"/>
        <w:rPr>
          <w:noProof/>
        </w:rPr>
      </w:pPr>
      <w:r>
        <w:rPr>
          <w:noProof/>
        </w:rPr>
        <w:t>pri dostopu do predlaganih ukrepov in njihovem izvajanju se bosta upoštevali načeli enake obravnave in nediskriminacije;</w:t>
      </w:r>
    </w:p>
    <w:p>
      <w:pPr>
        <w:pStyle w:val="Tiret1"/>
        <w:rPr>
          <w:noProof/>
        </w:rPr>
      </w:pPr>
      <w:r>
        <w:rPr>
          <w:noProof/>
        </w:rPr>
        <w:t>upoštevane so bile zahteve iz nacionalne zakonodaje in zakonodaje EU o kolektivnem odpuščanju;</w:t>
      </w:r>
    </w:p>
    <w:p>
      <w:pPr>
        <w:pStyle w:val="Tiret1"/>
        <w:rPr>
          <w:noProof/>
        </w:rPr>
      </w:pPr>
      <w:r>
        <w:rPr>
          <w:noProof/>
        </w:rPr>
        <w:t>Finnair, ki je po odpustih nadaljeval svoje dejavnosti, je izpolnil svoje pravne obveznosti v zvezi z odpusti in ustrezno poskrbel za svoje delavce;</w:t>
      </w:r>
    </w:p>
    <w:p>
      <w:pPr>
        <w:pStyle w:val="Tiret1"/>
        <w:rPr>
          <w:noProof/>
        </w:rPr>
      </w:pPr>
      <w:r>
        <w:rPr>
          <w:noProof/>
        </w:rPr>
        <w:t>predlagani ukrepi ne bodo prejeli finančne podpore iz drugih skladov ali finančnih instrumentov Unije in vse dvojno financiranje se bo preprečilo;</w:t>
      </w:r>
    </w:p>
    <w:p>
      <w:pPr>
        <w:pStyle w:val="Tiret1"/>
        <w:rPr>
          <w:noProof/>
        </w:rPr>
      </w:pPr>
      <w:r>
        <w:rPr>
          <w:noProof/>
        </w:rPr>
        <w:t>predlagani ukrepi bodo dopolnjevali ukrepe, financirane iz strukturnih skladov;</w:t>
      </w:r>
    </w:p>
    <w:p>
      <w:pPr>
        <w:pStyle w:val="Tiret1"/>
        <w:rPr>
          <w:noProof/>
        </w:rPr>
      </w:pPr>
      <w:r>
        <w:rPr>
          <w:noProof/>
        </w:rPr>
        <w:t>finančni prispevek iz ESPG bo v skladu s postopkovnimi in materialnopravnimi pravili Unije o državni pomoči.</w:t>
      </w:r>
    </w:p>
    <w:p>
      <w:pPr>
        <w:pStyle w:val="ManualHeading1"/>
        <w:rPr>
          <w:noProof/>
        </w:rPr>
      </w:pPr>
      <w:r>
        <w:rPr>
          <w:noProof/>
        </w:rPr>
        <w:t>PRORAČUNSKE POSLEDICE</w:t>
      </w:r>
    </w:p>
    <w:p>
      <w:pPr>
        <w:pStyle w:val="ManualHeading2"/>
        <w:rPr>
          <w:noProof/>
        </w:rPr>
      </w:pPr>
      <w:r>
        <w:rPr>
          <w:noProof/>
        </w:rPr>
        <w:t>Proračunski predlog</w:t>
      </w:r>
    </w:p>
    <w:p>
      <w:pPr>
        <w:pStyle w:val="ManualNumPar1"/>
        <w:rPr>
          <w:noProof/>
        </w:rPr>
      </w:pPr>
      <w:r>
        <w:t>45.</w:t>
      </w:r>
      <w:r>
        <w:tab/>
      </w:r>
      <w:r>
        <w:rPr>
          <w:noProof/>
        </w:rPr>
        <w:t>Sredstva ESPG ne presegajo najvišjega letnega zneska v višini 186 milijonov EUR (cene iz leta 2018), kot je določeno v členu 8(1) Uredbe Sveta (EU, Euratom) 2020/2093 z dne 17. decembra 2020 o večletnem finančnem okviru za obdobje 2021–2027</w:t>
      </w:r>
      <w:r>
        <w:rPr>
          <w:rStyle w:val="FootnoteReference"/>
          <w:noProof/>
        </w:rPr>
        <w:footnoteReference w:id="34"/>
      </w:r>
      <w:r>
        <w:rPr>
          <w:noProof/>
        </w:rPr>
        <w:t>.</w:t>
      </w:r>
    </w:p>
    <w:p>
      <w:pPr>
        <w:pStyle w:val="ManualNumPar1"/>
        <w:rPr>
          <w:rFonts w:eastAsia="Calibri"/>
          <w:noProof/>
        </w:rPr>
      </w:pPr>
      <w:r>
        <w:t>46.</w:t>
      </w:r>
      <w:r>
        <w:tab/>
      </w:r>
      <w:r>
        <w:rPr>
          <w:noProof/>
        </w:rPr>
        <w:t>Komisija po preučitvi vloge v zvezi s pogoji iz člena 13(1) uredbe o ESPG ter ob upoštevanju števila ciljnih prejemnikov pomoči, predlaganih ukrepov in ocenjenih stroškov predlaga uporabo sredstev ESPG v znesku 1 752 360 EUR, kar je 60 % skupnih stroškov predlaganih ukrepov, da se zagotovi finančni prispevek za vlogo.</w:t>
      </w:r>
    </w:p>
    <w:p>
      <w:pPr>
        <w:pStyle w:val="ManualNumPar1"/>
        <w:rPr>
          <w:rFonts w:eastAsia="Times New Roman"/>
          <w:noProof/>
        </w:rPr>
      </w:pPr>
      <w:r>
        <w:t>47.</w:t>
      </w:r>
      <w:r>
        <w:tab/>
      </w:r>
      <w:r>
        <w:rPr>
          <w:noProof/>
        </w:rPr>
        <w:t>Predlagani sklep o uporabi sredstev ESPG bosta skupaj sprejela Evropski parlament in Svet v skladu s točko 9 Medinstitucionalnega sporazuma z dne 16. decembra 2020 med Evropskim parlamentom, Svetom Evropske unije in Evropsko komisijo o proračunski disciplini, sodelovanju v proračunskih zadevah in dobrem finančnem poslovodenju ter novih virih lastnih sredstev, vključno s časovnim načrtom za njihovo uvedbo</w:t>
      </w:r>
      <w:r>
        <w:rPr>
          <w:rStyle w:val="FootnoteReference"/>
          <w:noProof/>
        </w:rPr>
        <w:footnoteReference w:id="35"/>
      </w:r>
      <w:r>
        <w:rPr>
          <w:noProof/>
        </w:rPr>
        <w:t>.</w:t>
      </w:r>
    </w:p>
    <w:p>
      <w:pPr>
        <w:pStyle w:val="ManualHeading2"/>
        <w:rPr>
          <w:noProof/>
        </w:rPr>
      </w:pPr>
      <w:r>
        <w:rPr>
          <w:noProof/>
        </w:rPr>
        <w:lastRenderedPageBreak/>
        <w:t>Povezani akti</w:t>
      </w:r>
    </w:p>
    <w:p>
      <w:pPr>
        <w:pStyle w:val="ManualNumPar1"/>
        <w:rPr>
          <w:noProof/>
        </w:rPr>
      </w:pPr>
      <w:r>
        <w:t>48.</w:t>
      </w:r>
      <w:r>
        <w:tab/>
      </w:r>
      <w:r>
        <w:rPr>
          <w:noProof/>
        </w:rPr>
        <w:t>Komisija bo s tem predlogom sklepa o uporabi sredstev ESPG Evropskemu parlamentu in Svetu hkrati predložila tudi predlog za prerazporeditev zneska v višini 1 752 360 EUR v ustrezno proračunsko vrstico.</w:t>
      </w:r>
    </w:p>
    <w:p>
      <w:pPr>
        <w:pStyle w:val="ManualNumPar1"/>
        <w:rPr>
          <w:noProof/>
        </w:rPr>
      </w:pPr>
      <w:r>
        <w:t>49.</w:t>
      </w:r>
      <w:r>
        <w:tab/>
      </w:r>
      <w:r>
        <w:rPr>
          <w:noProof/>
        </w:rPr>
        <w:t>Ko bo Komisija sprejela ta predlog sklepa o uporabi sredstev ESPG, bo hkrati z izvedbenim aktom sprejela sklep o finančnem prispevku, ki bo začel veljati na datum, ko bosta Evropski parlament in Svet sprejela predlagani sklep o uporabi sredstev ESPG.</w:t>
      </w:r>
    </w:p>
    <w:p>
      <w:pPr>
        <w:rPr>
          <w:noProof/>
        </w:rPr>
        <w:sectPr>
          <w:footerReference w:type="default" r:id="rId12"/>
          <w:footerReference w:type="first" r:id="rId13"/>
          <w:pgSz w:w="11907" w:h="16839"/>
          <w:pgMar w:top="1134" w:right="1417" w:bottom="1134" w:left="1417" w:header="709" w:footer="709" w:gutter="0"/>
          <w:pgNumType w:start="1"/>
          <w:cols w:space="708"/>
          <w:docGrid w:linePitch="360"/>
        </w:sectPr>
      </w:pPr>
    </w:p>
    <w:p>
      <w:pPr>
        <w:pStyle w:val="Rfrenceinterinstitutionnelle"/>
        <w:rPr>
          <w:noProof/>
        </w:rPr>
      </w:pPr>
      <w:r>
        <w:rPr>
          <w:noProof/>
        </w:rPr>
        <w:lastRenderedPageBreak/>
        <w:t>2021/0116 (BUD)</w:t>
      </w:r>
    </w:p>
    <w:p>
      <w:pPr>
        <w:pStyle w:val="Statut"/>
        <w:rPr>
          <w:noProof/>
        </w:rPr>
      </w:pPr>
      <w:r>
        <w:rPr>
          <w:noProof/>
        </w:rPr>
        <w:t>Predlog</w:t>
      </w:r>
    </w:p>
    <w:p>
      <w:pPr>
        <w:pStyle w:val="Typedudocument"/>
        <w:rPr>
          <w:noProof/>
        </w:rPr>
      </w:pPr>
      <w:r>
        <w:rPr>
          <w:noProof/>
        </w:rPr>
        <w:t>SKLEP EVROPSKEGA PARLAMENTA IN SVETA</w:t>
      </w:r>
    </w:p>
    <w:p>
      <w:pPr>
        <w:pStyle w:val="Titreobjet"/>
        <w:rPr>
          <w:noProof/>
        </w:rPr>
      </w:pPr>
      <w:r>
        <w:rPr>
          <w:noProof/>
        </w:rPr>
        <w:t xml:space="preserve">o uporabi sredstev Evropskega sklada za prilagoditev globalizaciji na podlagi </w:t>
      </w:r>
      <w:r>
        <w:rPr>
          <w:noProof/>
        </w:rPr>
        <w:br/>
        <w:t>vloge Finske – EGF/2020/007 FI/Finnair</w:t>
      </w:r>
    </w:p>
    <w:p>
      <w:pPr>
        <w:pStyle w:val="Institutionquiagit"/>
        <w:rPr>
          <w:noProof/>
        </w:rPr>
      </w:pPr>
      <w:r>
        <w:rPr>
          <w:noProof/>
        </w:rPr>
        <w:t>EVROPSKI PARLAMENT IN SVET EVROPSKE UNIJE STA –</w:t>
      </w:r>
    </w:p>
    <w:p>
      <w:pPr>
        <w:rPr>
          <w:noProof/>
        </w:rPr>
      </w:pPr>
      <w:r>
        <w:rPr>
          <w:noProof/>
        </w:rPr>
        <w:t>ob upoštevanju Pogodbe o delovanju Evropske unije,</w:t>
      </w:r>
    </w:p>
    <w:p>
      <w:pPr>
        <w:rPr>
          <w:noProof/>
        </w:rPr>
      </w:pPr>
      <w:r>
        <w:rPr>
          <w:noProof/>
        </w:rPr>
        <w:t>ob upoštevanju Uredbe (EU) št. 1309/2013 Evropskega parlamenta in Sveta z dne 17. decembra 2013 o Evropskem skladu za prilagoditev globalizaciji (2014–2020) in razveljavitvi Uredbe (ES) št. 1927/2006</w:t>
      </w:r>
      <w:r>
        <w:rPr>
          <w:rStyle w:val="FootnoteReference"/>
          <w:noProof/>
        </w:rPr>
        <w:footnoteReference w:id="36"/>
      </w:r>
      <w:r>
        <w:rPr>
          <w:noProof/>
        </w:rPr>
        <w:t xml:space="preserve"> ter zlasti člena 15(4) Uredbe,</w:t>
      </w:r>
    </w:p>
    <w:p>
      <w:pPr>
        <w:rPr>
          <w:noProof/>
        </w:rPr>
      </w:pPr>
      <w:r>
        <w:rPr>
          <w:noProof/>
        </w:rPr>
        <w:t>ob upoštevanju Medinstitucionalnega sporazuma z dne 16. decembra 2020 med Evropskim parlamentom, Svetom Evropske unije in Evropsko komisijo o proračunski disciplini, sodelovanju v proračunskih zadevah in dobrem finančnem poslovodenju ter novih virih lastnih sredstev, vključno s časovnim načrtom za njihovo uvedbo</w:t>
      </w:r>
      <w:r>
        <w:rPr>
          <w:rStyle w:val="FootnoteReference"/>
          <w:noProof/>
        </w:rPr>
        <w:footnoteReference w:id="37"/>
      </w:r>
      <w:r>
        <w:rPr>
          <w:noProof/>
        </w:rPr>
        <w:t>, ter zlasti točke 9 Sporazuma,</w:t>
      </w:r>
    </w:p>
    <w:p>
      <w:pPr>
        <w:rPr>
          <w:noProof/>
        </w:rPr>
      </w:pPr>
      <w:r>
        <w:rPr>
          <w:noProof/>
        </w:rPr>
        <w:t>ob upoštevanju predloga Evropske komisije,</w:t>
      </w:r>
    </w:p>
    <w:p>
      <w:pPr>
        <w:rPr>
          <w:noProof/>
        </w:rPr>
      </w:pPr>
      <w:r>
        <w:rPr>
          <w:noProof/>
        </w:rPr>
        <w:t>ob upoštevanju naslednjega:</w:t>
      </w:r>
    </w:p>
    <w:p>
      <w:pPr>
        <w:pStyle w:val="ManualConsidrant"/>
        <w:rPr>
          <w:noProof/>
        </w:rPr>
      </w:pPr>
      <w:r>
        <w:t>(1)</w:t>
      </w:r>
      <w:r>
        <w:tab/>
      </w:r>
      <w:r>
        <w:rPr>
          <w:noProof/>
        </w:rPr>
        <w:t>Namen Evropskega sklada za prilagoditev globalizaciji (ESPG) je zagotavljati podporo delavcem, ki so postali presežni zaradi velikih strukturnih sprememb v svetovnih trgovinskih tokovih zaradi globalizacije, zaradi še vedno trajajoče svetovne finančne in gospodarske krize ali nove svetovne finančne in gospodarske krize, in samozaposlenim osebam, ki so iz istih razlogov prenehale opravljati dejavnost, ter pomoč pri njihovi ponovni vključitvi na trg dela.</w:t>
      </w:r>
    </w:p>
    <w:p>
      <w:pPr>
        <w:pStyle w:val="ManualConsidrant"/>
        <w:rPr>
          <w:noProof/>
        </w:rPr>
      </w:pPr>
      <w:r>
        <w:t>(2)</w:t>
      </w:r>
      <w:r>
        <w:tab/>
      </w:r>
      <w:r>
        <w:rPr>
          <w:noProof/>
        </w:rPr>
        <w:t>Sredstva ESPG ne smejo presegati najvišjega letnega zneska 186 milijonov EUR (cene iz leta 2018), kot je določeno v členu 8(1) Uredbe Sveta (EU, Euratom) št. 2020/2093</w:t>
      </w:r>
      <w:r>
        <w:rPr>
          <w:rStyle w:val="FootnoteReference"/>
          <w:noProof/>
        </w:rPr>
        <w:footnoteReference w:id="38"/>
      </w:r>
      <w:r>
        <w:rPr>
          <w:noProof/>
        </w:rPr>
        <w:t>.</w:t>
      </w:r>
    </w:p>
    <w:p>
      <w:pPr>
        <w:pStyle w:val="ManualConsidrant"/>
        <w:rPr>
          <w:noProof/>
        </w:rPr>
      </w:pPr>
      <w:r>
        <w:t>(3)</w:t>
      </w:r>
      <w:r>
        <w:tab/>
      </w:r>
      <w:r>
        <w:rPr>
          <w:noProof/>
        </w:rPr>
        <w:t>Dne 30. decembra 2020 je Finska vložila vlogo za uporabo sredstev iz ESPG v zvezi z odpusti v podjetju Finnair Oyj in enem podizvajalcu na Finskem. Vloga je bila dopolnjena z dodatnimi informacijami, predloženimi v skladu s členom 8(3) Uredbe (EU) št. 1309/2013. Vloga izpolnjuje zahteve za določitev finančnega prispevka iz ESPG, kakor je določeno v členu 13 Uredbe (EU) št. 1309/2013.</w:t>
      </w:r>
    </w:p>
    <w:p>
      <w:pPr>
        <w:pStyle w:val="ManualConsidrant"/>
        <w:rPr>
          <w:noProof/>
        </w:rPr>
      </w:pPr>
      <w:r>
        <w:t>(4)</w:t>
      </w:r>
      <w:r>
        <w:tab/>
      </w:r>
      <w:r>
        <w:rPr>
          <w:noProof/>
        </w:rPr>
        <w:t>Zato bi bilo treba uporabiti sredstva ESPG, da se zagotovi finančni prispevek v višini 1 752 360 EUR za vlogo, ki jo je vložila Finska.</w:t>
      </w:r>
    </w:p>
    <w:p>
      <w:pPr>
        <w:pStyle w:val="ManualConsidrant"/>
        <w:rPr>
          <w:noProof/>
        </w:rPr>
      </w:pPr>
      <w:r>
        <w:t>(5)</w:t>
      </w:r>
      <w:r>
        <w:tab/>
      </w:r>
      <w:r>
        <w:rPr>
          <w:noProof/>
        </w:rPr>
        <w:t>Da bi čim bolj skrajšali čas, potreben za uporabo sredstev ESPG, bi bilo treba ta sklep uporabljati od datuma sprejetja –</w:t>
      </w:r>
    </w:p>
    <w:p>
      <w:pPr>
        <w:pStyle w:val="Formuledadoption"/>
        <w:rPr>
          <w:noProof/>
        </w:rPr>
      </w:pPr>
      <w:r>
        <w:rPr>
          <w:noProof/>
        </w:rPr>
        <w:lastRenderedPageBreak/>
        <w:t xml:space="preserve">SPREJELA NASLEDNJI SKLEP: </w:t>
      </w:r>
    </w:p>
    <w:p>
      <w:pPr>
        <w:pStyle w:val="Titrearticle"/>
        <w:rPr>
          <w:noProof/>
        </w:rPr>
      </w:pPr>
      <w:r>
        <w:rPr>
          <w:noProof/>
        </w:rPr>
        <w:t>Člen 1</w:t>
      </w:r>
    </w:p>
    <w:p>
      <w:pPr>
        <w:rPr>
          <w:noProof/>
        </w:rPr>
      </w:pPr>
      <w:r>
        <w:rPr>
          <w:noProof/>
        </w:rPr>
        <w:t>V okviru splošnega proračuna Unije za proračunsko leto 2021 se iz Evropskega sklada za prilagoditev globalizaciji uporabi znesek v višini 1 752 360 EUR v odobritvah za prevzem obveznosti in odobritvah plačil.</w:t>
      </w:r>
    </w:p>
    <w:p>
      <w:pPr>
        <w:pStyle w:val="Titrearticle"/>
        <w:rPr>
          <w:noProof/>
        </w:rPr>
      </w:pPr>
      <w:r>
        <w:rPr>
          <w:noProof/>
        </w:rPr>
        <w:t>Člen 2</w:t>
      </w:r>
    </w:p>
    <w:p>
      <w:pPr>
        <w:keepNext/>
        <w:keepLines/>
        <w:rPr>
          <w:noProof/>
        </w:rPr>
      </w:pPr>
      <w:r>
        <w:rPr>
          <w:noProof/>
        </w:rPr>
        <w:t xml:space="preserve">Ta sklep začne veljati na dan objave v </w:t>
      </w:r>
      <w:r>
        <w:rPr>
          <w:i/>
          <w:noProof/>
        </w:rPr>
        <w:t>Uradnem listu Evropske unije</w:t>
      </w:r>
      <w:r>
        <w:rPr>
          <w:noProof/>
        </w:rPr>
        <w:t xml:space="preserve">. Uporablja se od </w:t>
      </w:r>
      <w:r>
        <w:rPr>
          <w:noProof/>
          <w:color w:val="FF0000"/>
        </w:rPr>
        <w:t>[</w:t>
      </w:r>
      <w:r>
        <w:rPr>
          <w:i/>
          <w:noProof/>
          <w:color w:val="FF0000"/>
        </w:rPr>
        <w:t>datum sprejetja</w:t>
      </w:r>
      <w:r>
        <w:rPr>
          <w:noProof/>
          <w:color w:val="FF0000"/>
        </w:rPr>
        <w:t>]</w:t>
      </w:r>
      <w:r>
        <w:rPr>
          <w:rStyle w:val="FootnoteReference"/>
          <w:noProof/>
          <w:color w:val="FF0000"/>
        </w:rPr>
        <w:footnoteReference w:customMarkFollows="1" w:id="39"/>
        <w:sym w:font="Symbol" w:char="F02A"/>
      </w:r>
      <w:r>
        <w:rPr>
          <w:noProof/>
        </w:rPr>
        <w:t>.</w:t>
      </w:r>
    </w:p>
    <w:p>
      <w:pPr>
        <w:pStyle w:val="Fait"/>
        <w:rPr>
          <w:noProof/>
        </w:rPr>
      </w:pPr>
      <w:r>
        <w:t>V Bruslju,</w:t>
      </w:r>
    </w:p>
    <w:p>
      <w:pPr>
        <w:pStyle w:val="Institutionquisigne"/>
        <w:rPr>
          <w:noProof/>
        </w:rPr>
      </w:pPr>
      <w:r>
        <w:rPr>
          <w:noProof/>
        </w:rPr>
        <w:t>Za Evropski parlament</w:t>
      </w:r>
      <w:r>
        <w:rPr>
          <w:noProof/>
        </w:rPr>
        <w:tab/>
        <w:t>Za Svet</w:t>
      </w:r>
    </w:p>
    <w:p>
      <w:pPr>
        <w:pStyle w:val="Personnequisigne"/>
        <w:rPr>
          <w:noProof/>
        </w:rPr>
      </w:pPr>
      <w:r>
        <w:rPr>
          <w:noProof/>
        </w:rPr>
        <w:t>Predsednik</w:t>
      </w:r>
      <w:r>
        <w:rPr>
          <w:noProof/>
        </w:rPr>
        <w:tab/>
        <w:t>Predsednik</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p/>
    <w:p/>
  </w:endnote>
  <w:endnote w:type="continuationSeparator" w:id="0">
    <w:p>
      <w:pPr>
        <w:spacing w:before="0" w:after="0"/>
      </w:pPr>
      <w:r>
        <w:continuationSeparator/>
      </w:r>
    </w:p>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SL</w:t>
    </w:r>
    <w:r>
      <w:rPr>
        <w:rFonts w:ascii="Arial" w:hAnsi="Arial" w:cs="Arial"/>
        <w:b/>
        <w:sz w:val="48"/>
      </w:rPr>
      <w:tab/>
    </w:r>
    <w:r>
      <w:rPr>
        <w:rFonts w:ascii="Arial" w:hAnsi="Arial" w:cs="Arial"/>
        <w:b/>
        <w:sz w:val="48"/>
      </w:rPr>
      <w:tab/>
    </w:r>
    <w:r>
      <w:tab/>
    </w:r>
    <w:r>
      <w:rPr>
        <w:rFonts w:ascii="Arial" w:hAnsi="Arial" w:cs="Arial"/>
        <w:b/>
        <w:sz w:val="48"/>
      </w:rPr>
      <w:t>SL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SL</w:t>
    </w:r>
    <w:r>
      <w:rPr>
        <w:rFonts w:ascii="Arial" w:hAnsi="Arial" w:cs="Arial"/>
        <w:b/>
        <w:sz w:val="48"/>
      </w:rPr>
      <w:tab/>
    </w:r>
    <w:r>
      <w:fldChar w:fldCharType="begin"/>
    </w:r>
    <w:r>
      <w:instrText xml:space="preserve"> PAGE  \* MERGEFORMAT </w:instrText>
    </w:r>
    <w:r>
      <w:fldChar w:fldCharType="separate"/>
    </w:r>
    <w:r>
      <w:rPr>
        <w:noProof/>
      </w:rPr>
      <w:t>13</w:t>
    </w:r>
    <w:r>
      <w:fldChar w:fldCharType="end"/>
    </w:r>
    <w:r>
      <w:tab/>
    </w:r>
    <w:r>
      <w:tab/>
    </w:r>
    <w:r>
      <w:rPr>
        <w:rFonts w:ascii="Arial" w:hAnsi="Arial" w:cs="Arial"/>
        <w:b/>
        <w:sz w:val="48"/>
      </w:rPr>
      <w:t>SL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p/>
    <w:p/>
  </w:footnote>
  <w:footnote w:id="1">
    <w:p>
      <w:pPr>
        <w:pStyle w:val="FootnoteText"/>
      </w:pPr>
      <w:r>
        <w:rPr>
          <w:rStyle w:val="FootnoteReference"/>
        </w:rPr>
        <w:footnoteRef/>
      </w:r>
      <w:r>
        <w:tab/>
        <w:t>UL L 347, 20.12.2013, str. 855.</w:t>
      </w:r>
    </w:p>
  </w:footnote>
  <w:footnote w:id="2">
    <w:p>
      <w:pPr>
        <w:pStyle w:val="FootnoteText"/>
      </w:pPr>
      <w:r>
        <w:rPr>
          <w:rStyle w:val="FootnoteReference"/>
        </w:rPr>
        <w:footnoteRef/>
      </w:r>
      <w:r>
        <w:tab/>
        <w:t>Uredba (EU) št. 1309/2013 se uporablja za vse vloge, prejete do 31. decembra 2020.</w:t>
      </w:r>
    </w:p>
  </w:footnote>
  <w:footnote w:id="3">
    <w:p>
      <w:pPr>
        <w:pStyle w:val="FootnoteText"/>
      </w:pPr>
      <w:r>
        <w:rPr>
          <w:rStyle w:val="FootnoteReference"/>
        </w:rPr>
        <w:footnoteRef/>
      </w:r>
      <w:r>
        <w:tab/>
        <w:t>V smislu člena 3 uredbe o ESPG.</w:t>
      </w:r>
    </w:p>
  </w:footnote>
  <w:footnote w:id="4">
    <w:p>
      <w:pPr>
        <w:pStyle w:val="FootnoteText"/>
      </w:pPr>
      <w:r>
        <w:rPr>
          <w:rStyle w:val="FootnoteReference"/>
        </w:rPr>
        <w:footnoteRef/>
      </w:r>
      <w:r>
        <w:tab/>
        <w:t>Podizvajalec Hub Logistics Finland Oy se nahaja v regiji Helsinki-Uusimaa.</w:t>
      </w:r>
    </w:p>
  </w:footnote>
  <w:footnote w:id="5">
    <w:p>
      <w:pPr>
        <w:pStyle w:val="FootnoteText"/>
      </w:pPr>
      <w:r>
        <w:rPr>
          <w:rStyle w:val="FootnoteReference"/>
        </w:rPr>
        <w:footnoteRef/>
      </w:r>
      <w:r>
        <w:tab/>
        <w:t>Uredba Komisije (EU) št. 1046/2012 z dne 8. novembra 2012 o izvajanju Uredbe (ES) št. 1059/2003 Evropskega parlamenta in Sveta o oblikovanju skupne klasifikacije statističnih teritorialnih enot (NUTS) glede pošiljanja časovnih vrst za novo regionalno razčlenitev (UL L 310, 9.11.2012, str. 34).</w:t>
      </w:r>
    </w:p>
  </w:footnote>
  <w:footnote w:id="6">
    <w:p>
      <w:pPr>
        <w:pStyle w:val="FootnoteText"/>
      </w:pPr>
      <w:r>
        <w:rPr>
          <w:rStyle w:val="FootnoteReference"/>
        </w:rPr>
        <w:footnoteRef/>
      </w:r>
      <w:r>
        <w:tab/>
        <w:t>UL L 393, 30.12.2006, str. 1.</w:t>
      </w:r>
    </w:p>
  </w:footnote>
  <w:footnote w:id="7">
    <w:p>
      <w:pPr>
        <w:pStyle w:val="FootnoteText"/>
      </w:pPr>
      <w:r>
        <w:rPr>
          <w:rStyle w:val="FootnoteReference"/>
        </w:rPr>
        <w:footnoteRef/>
      </w:r>
      <w:r>
        <w:tab/>
        <w:t>V skladu s členom 7(4) Uredbe (EU) št. 1309/2013.</w:t>
      </w:r>
    </w:p>
  </w:footnote>
  <w:footnote w:id="8">
    <w:p>
      <w:pPr>
        <w:pStyle w:val="FootnoteText"/>
      </w:pPr>
      <w:r>
        <w:rPr>
          <w:rStyle w:val="FootnoteReference"/>
        </w:rPr>
        <w:footnoteRef/>
      </w:r>
      <w:r>
        <w:tab/>
        <w:t>Direktiva Sveta 98/59/ES z dne 20. julija 1998 o približevanju zakonodaj držav članic o kolektivnih odpustih (UL L 225, 12.8.1998, str. 16).</w:t>
      </w:r>
    </w:p>
  </w:footnote>
  <w:footnote w:id="9">
    <w:p>
      <w:pPr>
        <w:pStyle w:val="FootnoteText"/>
      </w:pPr>
      <w:r>
        <w:rPr>
          <w:rStyle w:val="FootnoteReference"/>
        </w:rPr>
        <w:footnoteRef/>
      </w:r>
      <w:r>
        <w:tab/>
        <w:t>COM(2020) 442 final.</w:t>
      </w:r>
    </w:p>
  </w:footnote>
  <w:footnote w:id="10">
    <w:p>
      <w:pPr>
        <w:pStyle w:val="FootnoteText"/>
        <w:jc w:val="left"/>
      </w:pPr>
      <w:r>
        <w:rPr>
          <w:rStyle w:val="FootnoteReference"/>
        </w:rPr>
        <w:footnoteRef/>
      </w:r>
      <w:r>
        <w:tab/>
        <w:t xml:space="preserve">Zimska gospodarska napoved za leto 2021 </w:t>
      </w:r>
      <w:hyperlink r:id="rId1" w:history="1">
        <w:r>
          <w:rPr>
            <w:rStyle w:val="Hyperlink"/>
          </w:rPr>
          <w:t>https://ec.europa.eu/info/business-economy-euro/economic-performance-and-forecasts/economic-forecasts/winter-2021-economic-forecast-challenging-winter-light-end-tunnel_sl</w:t>
        </w:r>
      </w:hyperlink>
      <w:r>
        <w:t xml:space="preserve">. </w:t>
      </w:r>
    </w:p>
  </w:footnote>
  <w:footnote w:id="11">
    <w:p>
      <w:pPr>
        <w:pStyle w:val="FootnoteText"/>
        <w:jc w:val="left"/>
      </w:pPr>
      <w:r>
        <w:rPr>
          <w:rStyle w:val="FootnoteReference"/>
        </w:rPr>
        <w:footnoteRef/>
      </w:r>
      <w:r>
        <w:tab/>
        <w:t xml:space="preserve">Air Transport Action Group (ATAG). Koristi letalstva, ki presegajo meje; poročilo za leto 2020: </w:t>
      </w:r>
      <w:hyperlink r:id="rId2" w:history="1">
        <w:r>
          <w:rPr>
            <w:rStyle w:val="Hyperlink"/>
          </w:rPr>
          <w:t>https://aviationbenefits.org/media/167186/abbb2020_full.pdf</w:t>
        </w:r>
      </w:hyperlink>
      <w:r>
        <w:t xml:space="preserve">. </w:t>
      </w:r>
    </w:p>
  </w:footnote>
  <w:footnote w:id="12">
    <w:p>
      <w:pPr>
        <w:pStyle w:val="FootnoteText"/>
        <w:jc w:val="left"/>
      </w:pPr>
      <w:r>
        <w:rPr>
          <w:rStyle w:val="FootnoteReference"/>
        </w:rPr>
        <w:footnoteRef/>
      </w:r>
      <w:r>
        <w:tab/>
        <w:t xml:space="preserve">IATA: Analiza trga letalskih potnikov za junij 2020: </w:t>
      </w:r>
      <w:hyperlink r:id="rId3" w:history="1">
        <w:r>
          <w:rPr>
            <w:rStyle w:val="Hyperlink"/>
          </w:rPr>
          <w:t>https://www.iata.org/en/iata-repository/publications/economic-reports/air-passenger-monthly-analysis---june-20202/</w:t>
        </w:r>
      </w:hyperlink>
      <w:r>
        <w:t xml:space="preserve">. </w:t>
      </w:r>
    </w:p>
  </w:footnote>
  <w:footnote w:id="13">
    <w:p>
      <w:pPr>
        <w:pStyle w:val="FootnoteText"/>
      </w:pPr>
      <w:r>
        <w:rPr>
          <w:rStyle w:val="FootnoteReference"/>
        </w:rPr>
        <w:footnoteRef/>
      </w:r>
      <w:r>
        <w:tab/>
        <w:t>Prav tam.</w:t>
      </w:r>
    </w:p>
  </w:footnote>
  <w:footnote w:id="14">
    <w:p>
      <w:pPr>
        <w:pStyle w:val="FootnoteText"/>
      </w:pPr>
      <w:r>
        <w:rPr>
          <w:rStyle w:val="FootnoteReference"/>
        </w:rPr>
        <w:footnoteRef/>
      </w:r>
      <w:r>
        <w:tab/>
        <w:t xml:space="preserve">IATA: </w:t>
      </w:r>
      <w:hyperlink r:id="rId4" w:history="1">
        <w:r>
          <w:rPr>
            <w:rStyle w:val="Hyperlink"/>
          </w:rPr>
          <w:t>https://www.iata.org/en/pressroom/pr/2021-02-03-02/</w:t>
        </w:r>
      </w:hyperlink>
      <w:r>
        <w:t xml:space="preserve">. </w:t>
      </w:r>
    </w:p>
  </w:footnote>
  <w:footnote w:id="15">
    <w:p>
      <w:pPr>
        <w:pStyle w:val="FootnoteText"/>
        <w:jc w:val="left"/>
        <w:rPr>
          <w:lang w:val="it-IT"/>
        </w:rPr>
      </w:pPr>
      <w:r>
        <w:rPr>
          <w:rStyle w:val="FootnoteReference"/>
        </w:rPr>
        <w:footnoteRef/>
      </w:r>
      <w:r>
        <w:rPr>
          <w:lang w:val="it-IT"/>
        </w:rPr>
        <w:tab/>
        <w:t xml:space="preserve">IATA: </w:t>
      </w:r>
      <w:hyperlink r:id="rId5" w:history="1">
        <w:r>
          <w:rPr>
            <w:rStyle w:val="Hyperlink"/>
            <w:lang w:val="it-IT"/>
          </w:rPr>
          <w:t>https://www.iata.org/en/pressroom/pr/2020-07-28-02/</w:t>
        </w:r>
      </w:hyperlink>
      <w:r>
        <w:rPr>
          <w:lang w:val="it-IT"/>
        </w:rPr>
        <w:t xml:space="preserve">. </w:t>
      </w:r>
    </w:p>
  </w:footnote>
  <w:footnote w:id="16">
    <w:p>
      <w:pPr>
        <w:pStyle w:val="FootnoteText"/>
      </w:pPr>
      <w:r>
        <w:rPr>
          <w:rStyle w:val="FootnoteReference"/>
        </w:rPr>
        <w:footnoteRef/>
      </w:r>
      <w:r>
        <w:tab/>
        <w:t>EGF/2017/009 FR/Air France, COM(2018) 230; EGF/2013/014 FR Air France, COM(2014) 701 in EGF/2015/004 IT Alitalia, COM(2015) 397.</w:t>
      </w:r>
    </w:p>
  </w:footnote>
  <w:footnote w:id="17">
    <w:p>
      <w:pPr>
        <w:pStyle w:val="FootnoteText"/>
      </w:pPr>
      <w:r>
        <w:rPr>
          <w:rStyle w:val="FootnoteReference"/>
        </w:rPr>
        <w:footnoteRef/>
      </w:r>
      <w:r>
        <w:tab/>
        <w:t>EGF/2020/004 NL/KLM, COM(2021) 226.</w:t>
      </w:r>
    </w:p>
  </w:footnote>
  <w:footnote w:id="18">
    <w:p>
      <w:pPr>
        <w:pStyle w:val="FootnoteText"/>
        <w:jc w:val="left"/>
      </w:pPr>
      <w:r>
        <w:rPr>
          <w:rStyle w:val="FootnoteReference"/>
        </w:rPr>
        <w:footnoteRef/>
      </w:r>
      <w:r>
        <w:tab/>
        <w:t xml:space="preserve">Letno poročilo Finnavia za leto 2019: </w:t>
      </w:r>
      <w:hyperlink r:id="rId6" w:history="1">
        <w:r>
          <w:rPr>
            <w:rStyle w:val="Hyperlink"/>
          </w:rPr>
          <w:t>https://www.finavia.fi/sites/default/files/documents/Tilinpäätös%202019.pdf</w:t>
        </w:r>
      </w:hyperlink>
      <w:r>
        <w:t xml:space="preserve">. </w:t>
      </w:r>
    </w:p>
  </w:footnote>
  <w:footnote w:id="19">
    <w:p>
      <w:pPr>
        <w:pStyle w:val="FootnoteText"/>
        <w:jc w:val="left"/>
      </w:pPr>
      <w:r>
        <w:rPr>
          <w:rStyle w:val="FootnoteReference"/>
        </w:rPr>
        <w:footnoteRef/>
      </w:r>
      <w:r>
        <w:tab/>
        <w:t xml:space="preserve">Letno poročilo Finnair za leto 2019: </w:t>
      </w:r>
      <w:hyperlink r:id="rId7" w:history="1">
        <w:r>
          <w:rPr>
            <w:rStyle w:val="Hyperlink"/>
          </w:rPr>
          <w:t>https://investors.finnair.com/~/media/Files/F/Finnair-IR/documents/en/reports-and-presentation/2020/annual-report-2019.pdf</w:t>
        </w:r>
      </w:hyperlink>
      <w:r>
        <w:t xml:space="preserve">. </w:t>
      </w:r>
    </w:p>
  </w:footnote>
  <w:footnote w:id="20">
    <w:p>
      <w:pPr>
        <w:pStyle w:val="FootnoteText"/>
      </w:pPr>
      <w:r>
        <w:rPr>
          <w:rStyle w:val="FootnoteReference"/>
        </w:rPr>
        <w:footnoteRef/>
      </w:r>
      <w:r>
        <w:tab/>
      </w:r>
      <w:hyperlink r:id="rId8" w:history="1">
        <w:r>
          <w:rPr>
            <w:rStyle w:val="Hyperlink"/>
          </w:rPr>
          <w:t>https://news.cision.com/finnair/r/finnair-cancels-all-flights-to-mainland-china-between-february-6-and-february-29--2020--customers-to,c3024652</w:t>
        </w:r>
      </w:hyperlink>
      <w:r>
        <w:t>.</w:t>
      </w:r>
    </w:p>
  </w:footnote>
  <w:footnote w:id="21">
    <w:p>
      <w:pPr>
        <w:pStyle w:val="FootnoteText"/>
      </w:pPr>
      <w:r>
        <w:rPr>
          <w:rStyle w:val="FootnoteReference"/>
        </w:rPr>
        <w:footnoteRef/>
      </w:r>
      <w:r>
        <w:tab/>
      </w:r>
      <w:hyperlink r:id="rId9" w:history="1">
        <w:r>
          <w:rPr>
            <w:rStyle w:val="Hyperlink"/>
          </w:rPr>
          <w:t>https://news.cision.com/finnair/r/finnair-cancels-flights-to-us-and-delhi,c3057949</w:t>
        </w:r>
      </w:hyperlink>
      <w:r>
        <w:t xml:space="preserve">. </w:t>
      </w:r>
    </w:p>
  </w:footnote>
  <w:footnote w:id="22">
    <w:p>
      <w:pPr>
        <w:pStyle w:val="FootnoteText"/>
        <w:jc w:val="left"/>
      </w:pPr>
      <w:r>
        <w:rPr>
          <w:rStyle w:val="FootnoteReference"/>
        </w:rPr>
        <w:footnoteRef/>
      </w:r>
      <w:r>
        <w:tab/>
        <w:t xml:space="preserve">Letno poročilo Finnair za leto 2020: </w:t>
      </w:r>
      <w:hyperlink r:id="rId10" w:history="1">
        <w:r>
          <w:rPr>
            <w:rStyle w:val="Hyperlink"/>
          </w:rPr>
          <w:t>https://investors.finnair.com/~/media/Files/F/Finnair-IR/documents/en/reports-and-presentation/2020/half-year-2020-report-en.pdf</w:t>
        </w:r>
      </w:hyperlink>
      <w:r>
        <w:t xml:space="preserve">. </w:t>
      </w:r>
    </w:p>
  </w:footnote>
  <w:footnote w:id="23">
    <w:p>
      <w:pPr>
        <w:pStyle w:val="FootnoteText"/>
      </w:pPr>
      <w:r>
        <w:rPr>
          <w:rStyle w:val="FootnoteReference"/>
        </w:rPr>
        <w:footnoteRef/>
      </w:r>
      <w:r>
        <w:tab/>
      </w:r>
      <w:hyperlink r:id="rId11" w:history="1">
        <w:r>
          <w:rPr>
            <w:rStyle w:val="Hyperlink"/>
          </w:rPr>
          <w:t>https://investors.finnair.com/~/media/Files/F/Finnair-IR/documents/en/reports-and-presentation/2021/annual-report-2020.pdf</w:t>
        </w:r>
      </w:hyperlink>
      <w:r>
        <w:t xml:space="preserve">. </w:t>
      </w:r>
    </w:p>
  </w:footnote>
  <w:footnote w:id="24">
    <w:p>
      <w:pPr>
        <w:pStyle w:val="FootnoteText"/>
        <w:jc w:val="left"/>
      </w:pPr>
      <w:r>
        <w:rPr>
          <w:rStyle w:val="FootnoteReference"/>
        </w:rPr>
        <w:footnoteRef/>
      </w:r>
      <w:r>
        <w:tab/>
      </w:r>
      <w:hyperlink r:id="rId12" w:history="1">
        <w:r>
          <w:rPr>
            <w:rStyle w:val="Hyperlink"/>
          </w:rPr>
          <w:t>https://company.finnair.com/en/media/all-releases/news?id=3751510</w:t>
        </w:r>
      </w:hyperlink>
      <w:r>
        <w:t xml:space="preserve"> in </w:t>
      </w:r>
      <w:hyperlink r:id="rId13" w:history="1">
        <w:r>
          <w:rPr>
            <w:rStyle w:val="Hyperlink"/>
          </w:rPr>
          <w:t>https://www.aviation24.be/airlines/finnair/finnair-targets-100-million-euros-cost-base-reductions-plans-to-reduce-1-000-jobs/</w:t>
        </w:r>
      </w:hyperlink>
      <w:r>
        <w:t xml:space="preserve">. </w:t>
      </w:r>
    </w:p>
  </w:footnote>
  <w:footnote w:id="25">
    <w:p>
      <w:pPr>
        <w:pStyle w:val="FootnoteText"/>
        <w:jc w:val="left"/>
      </w:pPr>
      <w:r>
        <w:rPr>
          <w:rStyle w:val="FootnoteReference"/>
        </w:rPr>
        <w:footnoteRef/>
      </w:r>
      <w:r>
        <w:tab/>
        <w:t xml:space="preserve">Air Transport Action Group (ATAG), Koristi letalstva, ki presegajo meje: </w:t>
      </w:r>
      <w:hyperlink r:id="rId14" w:history="1">
        <w:r>
          <w:rPr>
            <w:rStyle w:val="Hyperlink"/>
          </w:rPr>
          <w:t>https://aviationbenefits.org/downloads/aviation-benefits-beyond-borders-2020/</w:t>
        </w:r>
      </w:hyperlink>
      <w:r>
        <w:t xml:space="preserve">. </w:t>
      </w:r>
    </w:p>
  </w:footnote>
  <w:footnote w:id="26">
    <w:p>
      <w:pPr>
        <w:pStyle w:val="FootnoteText"/>
        <w:jc w:val="left"/>
      </w:pPr>
      <w:r>
        <w:rPr>
          <w:rStyle w:val="FootnoteReference"/>
        </w:rPr>
        <w:footnoteRef/>
      </w:r>
      <w:r>
        <w:tab/>
        <w:t xml:space="preserve">Letno poročilo Finnair za leto 2019: </w:t>
      </w:r>
      <w:hyperlink r:id="rId15" w:history="1">
        <w:r>
          <w:rPr>
            <w:rStyle w:val="Hyperlink"/>
          </w:rPr>
          <w:t>https://investors.finnair.com/~/media/Files/F/Finnair-IR/documents/en/reports-and-presentation/2020/annual-report-2019.pdf</w:t>
        </w:r>
      </w:hyperlink>
      <w:r>
        <w:t xml:space="preserve">. </w:t>
      </w:r>
    </w:p>
  </w:footnote>
  <w:footnote w:id="27">
    <w:p>
      <w:pPr>
        <w:pStyle w:val="FootnoteText"/>
      </w:pPr>
      <w:r>
        <w:rPr>
          <w:rStyle w:val="FootnoteReference"/>
        </w:rPr>
        <w:footnoteRef/>
      </w:r>
      <w:r>
        <w:tab/>
        <w:t xml:space="preserve">Finska statistična podatkovna zbirka </w:t>
      </w:r>
      <w:hyperlink r:id="rId16" w:history="1">
        <w:r>
          <w:rPr>
            <w:rStyle w:val="Hyperlink"/>
          </w:rPr>
          <w:t>https://pxnet2.stat.fi/PXWeb/pxweb/en/StatFin/</w:t>
        </w:r>
      </w:hyperlink>
      <w:r>
        <w:t xml:space="preserve">. </w:t>
      </w:r>
    </w:p>
  </w:footnote>
  <w:footnote w:id="28">
    <w:p>
      <w:pPr>
        <w:pStyle w:val="FootnoteText"/>
      </w:pPr>
      <w:r>
        <w:rPr>
          <w:rStyle w:val="FootnoteReference"/>
        </w:rPr>
        <w:footnoteRef/>
      </w:r>
      <w:r>
        <w:tab/>
      </w:r>
      <w:hyperlink r:id="rId17" w:history="1">
        <w:r>
          <w:rPr>
            <w:rStyle w:val="Hyperlink"/>
          </w:rPr>
          <w:t>https://www.stat.fi/til/tyti/2020/13/tyti_2020_13_2021-03-04_tie_001_en.html</w:t>
        </w:r>
      </w:hyperlink>
      <w:r>
        <w:t xml:space="preserve">. </w:t>
      </w:r>
    </w:p>
  </w:footnote>
  <w:footnote w:id="29">
    <w:p>
      <w:pPr>
        <w:pStyle w:val="FootnoteText"/>
      </w:pPr>
      <w:r>
        <w:rPr>
          <w:rStyle w:val="FootnoteReference"/>
        </w:rPr>
        <w:footnoteRef/>
      </w:r>
      <w:r>
        <w:tab/>
        <w:t xml:space="preserve">Statistics Finland </w:t>
      </w:r>
      <w:hyperlink r:id="rId18" w:history="1">
        <w:r>
          <w:rPr>
            <w:rStyle w:val="Hyperlink"/>
          </w:rPr>
          <w:t>https://www.stat.fi/til/tyti/2020/09/tyti_2020_09_2020-10-20_tie_001_en.html</w:t>
        </w:r>
      </w:hyperlink>
      <w:r>
        <w:t xml:space="preserve"> in </w:t>
      </w:r>
      <w:hyperlink r:id="rId19" w:history="1">
        <w:r>
          <w:rPr>
            <w:rStyle w:val="Hyperlink"/>
          </w:rPr>
          <w:t>https://julkaisut.valtioneuvosto.fi/bitstream/handle/10024/162542/TEM%20työmarkkinaennuste%20syksy%202020.pdf</w:t>
        </w:r>
      </w:hyperlink>
      <w:r>
        <w:t xml:space="preserve">. </w:t>
      </w:r>
    </w:p>
  </w:footnote>
  <w:footnote w:id="30">
    <w:p>
      <w:pPr>
        <w:pStyle w:val="FootnoteText"/>
      </w:pPr>
      <w:r>
        <w:rPr>
          <w:rStyle w:val="FootnoteReference"/>
        </w:rPr>
        <w:footnoteRef/>
      </w:r>
      <w:r>
        <w:tab/>
      </w:r>
      <w:hyperlink r:id="rId20" w:history="1">
        <w:r>
          <w:rPr>
            <w:rStyle w:val="Hyperlink"/>
          </w:rPr>
          <w:t>https://www.aaltopro.fi/en/services-in-change-situations/f.e.c.-programs-and-recruitment</w:t>
        </w:r>
      </w:hyperlink>
      <w:r>
        <w:t xml:space="preserve">. </w:t>
      </w:r>
    </w:p>
  </w:footnote>
  <w:footnote w:id="31">
    <w:p>
      <w:pPr>
        <w:pStyle w:val="FootnoteText"/>
      </w:pPr>
      <w:r>
        <w:rPr>
          <w:rStyle w:val="FootnoteReference"/>
        </w:rPr>
        <w:footnoteRef/>
      </w:r>
      <w:r>
        <w:tab/>
        <w:t>Da bi se izognili decimalkam, so bili predvideni stroški na delavca zaokroženi. Ta zaokrožitev pa ne vpliva na skupne stroške posameznega ukrepa, ki ostanejo taki, kot so navedeni v vlogi, ki jo je vložila Finska.</w:t>
      </w:r>
    </w:p>
  </w:footnote>
  <w:footnote w:id="32">
    <w:p>
      <w:pPr>
        <w:pStyle w:val="FootnoteText"/>
      </w:pPr>
      <w:r>
        <w:rPr>
          <w:rStyle w:val="FootnoteReference"/>
        </w:rPr>
        <w:footnoteRef/>
      </w:r>
      <w:r>
        <w:tab/>
        <w:t>Seštevek se zaradi zaokroževanja ne ujema.</w:t>
      </w:r>
    </w:p>
  </w:footnote>
  <w:footnote w:id="33">
    <w:p>
      <w:pPr>
        <w:pStyle w:val="FootnoteText"/>
      </w:pPr>
      <w:r>
        <w:rPr>
          <w:rStyle w:val="FootnoteReference"/>
        </w:rPr>
        <w:footnoteRef/>
      </w:r>
      <w:r>
        <w:tab/>
        <w:t xml:space="preserve">Evropska komisija je 18. maja 2020 odobrila finski ukrep pomoči, ki ga sestavlja državno jamstvo za posojilo podjetju Finnair v višini 600 milijonov EUR za ublažitev gospodarskih učinkov izbruha koronavirusa na gospodarstvo. </w:t>
      </w:r>
      <w:hyperlink r:id="rId21" w:history="1">
        <w:r>
          <w:rPr>
            <w:rStyle w:val="Hyperlink"/>
          </w:rPr>
          <w:t>https://ec.europa.eu/commission/presscorner/detail/sl/IP_20_1032</w:t>
        </w:r>
      </w:hyperlink>
      <w:r>
        <w:t xml:space="preserve">. </w:t>
      </w:r>
    </w:p>
    <w:p>
      <w:pPr>
        <w:pStyle w:val="FootnoteText"/>
      </w:pPr>
    </w:p>
  </w:footnote>
  <w:footnote w:id="34">
    <w:p>
      <w:pPr>
        <w:pStyle w:val="FootnoteText"/>
      </w:pPr>
      <w:r>
        <w:rPr>
          <w:rStyle w:val="FootnoteReference"/>
        </w:rPr>
        <w:footnoteRef/>
      </w:r>
      <w:r>
        <w:tab/>
        <w:t>UL L 433I, 22.12.2020, str. 15.</w:t>
      </w:r>
    </w:p>
  </w:footnote>
  <w:footnote w:id="35">
    <w:p>
      <w:pPr>
        <w:pStyle w:val="FootnoteText"/>
      </w:pPr>
      <w:r>
        <w:rPr>
          <w:rStyle w:val="FootnoteReference"/>
        </w:rPr>
        <w:footnoteRef/>
      </w:r>
      <w:r>
        <w:tab/>
        <w:t>UL L 433I, 22.12.2020, str. 29.</w:t>
      </w:r>
    </w:p>
  </w:footnote>
  <w:footnote w:id="36">
    <w:p>
      <w:pPr>
        <w:pStyle w:val="FootnoteText"/>
      </w:pPr>
      <w:r>
        <w:rPr>
          <w:rStyle w:val="FootnoteReference"/>
        </w:rPr>
        <w:footnoteRef/>
      </w:r>
      <w:r>
        <w:tab/>
        <w:t>UL L 347, 20.12.2013, str. 855.</w:t>
      </w:r>
    </w:p>
  </w:footnote>
  <w:footnote w:id="37">
    <w:p>
      <w:pPr>
        <w:pStyle w:val="FootnoteText"/>
      </w:pPr>
      <w:r>
        <w:rPr>
          <w:rStyle w:val="FootnoteReference"/>
        </w:rPr>
        <w:footnoteRef/>
      </w:r>
      <w:r>
        <w:tab/>
        <w:t>UL L 433I, 22.12.2020, str. 29.</w:t>
      </w:r>
    </w:p>
  </w:footnote>
  <w:footnote w:id="38">
    <w:p>
      <w:pPr>
        <w:pStyle w:val="FootnoteText"/>
      </w:pPr>
      <w:r>
        <w:rPr>
          <w:rStyle w:val="FootnoteReference"/>
        </w:rPr>
        <w:footnoteRef/>
      </w:r>
      <w:r>
        <w:tab/>
        <w:t>Uredba Sveta (EU, Euratom) 2020/2093 z dne 17. decembra 2020 o določitvi večletnega finančnega okvira za obdobje 2021–2027 (UL L 433I, 22.12.2020, str. 11).</w:t>
      </w:r>
    </w:p>
  </w:footnote>
  <w:footnote w:id="39">
    <w:p>
      <w:pPr>
        <w:pStyle w:val="FootnoteText"/>
        <w:rPr>
          <w:color w:val="FF0000"/>
        </w:rPr>
      </w:pPr>
      <w:r>
        <w:rPr>
          <w:rStyle w:val="FootnoteReference"/>
          <w:color w:val="FF0000"/>
        </w:rPr>
        <w:sym w:font="Symbol" w:char="F02A"/>
      </w:r>
      <w:r>
        <w:rPr>
          <w:color w:val="FF0000"/>
        </w:rPr>
        <w:t xml:space="preserve"> </w:t>
      </w:r>
      <w:r>
        <w:tab/>
      </w:r>
      <w:r>
        <w:rPr>
          <w:color w:val="FF0000"/>
        </w:rPr>
        <w:t>Datum vstavi Parlament pred objavo v Uradnem listu.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BB686B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9E463D0"/>
    <w:lvl w:ilvl="0">
      <w:start w:val="1"/>
      <w:numFmt w:val="decimal"/>
      <w:pStyle w:val="ListNumber3"/>
      <w:lvlText w:val="%1."/>
      <w:lvlJc w:val="left"/>
      <w:pPr>
        <w:tabs>
          <w:tab w:val="num" w:pos="926"/>
        </w:tabs>
        <w:ind w:left="926" w:hanging="360"/>
      </w:pPr>
    </w:lvl>
  </w:abstractNum>
  <w:abstractNum w:abstractNumId="2">
    <w:nsid w:val="FFFFFF7F"/>
    <w:multiLevelType w:val="singleLevel"/>
    <w:tmpl w:val="780CFFFA"/>
    <w:lvl w:ilvl="0">
      <w:start w:val="1"/>
      <w:numFmt w:val="decimal"/>
      <w:pStyle w:val="ListNumber2"/>
      <w:lvlText w:val="%1."/>
      <w:lvlJc w:val="left"/>
      <w:pPr>
        <w:tabs>
          <w:tab w:val="num" w:pos="643"/>
        </w:tabs>
        <w:ind w:left="643" w:hanging="360"/>
      </w:pPr>
    </w:lvl>
  </w:abstractNum>
  <w:abstractNum w:abstractNumId="3">
    <w:nsid w:val="FFFFFF81"/>
    <w:multiLevelType w:val="singleLevel"/>
    <w:tmpl w:val="4498EC5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332C75C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F90476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9C28232A"/>
    <w:lvl w:ilvl="0">
      <w:start w:val="1"/>
      <w:numFmt w:val="decimal"/>
      <w:pStyle w:val="ListNumber"/>
      <w:lvlText w:val="%1."/>
      <w:lvlJc w:val="left"/>
      <w:pPr>
        <w:tabs>
          <w:tab w:val="num" w:pos="360"/>
        </w:tabs>
        <w:ind w:left="360" w:hanging="360"/>
      </w:pPr>
    </w:lvl>
  </w:abstractNum>
  <w:abstractNum w:abstractNumId="7">
    <w:nsid w:val="FFFFFF89"/>
    <w:multiLevelType w:val="singleLevel"/>
    <w:tmpl w:val="45869BF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num>
  <w:num w:numId="7">
    <w:abstractNumId w:val="6"/>
  </w:num>
  <w:num w:numId="8">
    <w:abstractNumId w:val="2"/>
  </w:num>
  <w:num w:numId="9">
    <w:abstractNumId w:val="1"/>
  </w:num>
  <w:num w:numId="10">
    <w:abstractNumId w:val="0"/>
  </w:num>
  <w:num w:numId="11">
    <w:abstractNumId w:val="12"/>
    <w:lvlOverride w:ilvl="0">
      <w:startOverride w:val="1"/>
    </w:lvlOverride>
  </w:num>
  <w:num w:numId="12">
    <w:abstractNumId w:val="12"/>
    <w:lvlOverride w:ilvl="0">
      <w:startOverride w:val="1"/>
    </w:lvlOverride>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 w:numId="27">
    <w:abstractNumId w:val="18"/>
  </w:num>
  <w:num w:numId="28">
    <w:abstractNumId w:val="12"/>
  </w:num>
  <w:num w:numId="29">
    <w:abstractNumId w:val="20"/>
  </w:num>
  <w:num w:numId="30">
    <w:abstractNumId w:val="11"/>
  </w:num>
  <w:num w:numId="31">
    <w:abstractNumId w:val="13"/>
  </w:num>
  <w:num w:numId="32">
    <w:abstractNumId w:val="9"/>
  </w:num>
  <w:num w:numId="33">
    <w:abstractNumId w:val="19"/>
  </w:num>
  <w:num w:numId="34">
    <w:abstractNumId w:val="8"/>
  </w:num>
  <w:num w:numId="35">
    <w:abstractNumId w:val="14"/>
  </w:num>
  <w:num w:numId="36">
    <w:abstractNumId w:val="16"/>
  </w:num>
  <w:num w:numId="37">
    <w:abstractNumId w:val="17"/>
  </w:num>
  <w:num w:numId="38">
    <w:abstractNumId w:val="10"/>
  </w:num>
  <w:num w:numId="39">
    <w:abstractNumId w:val="15"/>
  </w:num>
  <w:num w:numId="40">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attachedTemplate r:id="rId1"/>
  <w:revisionView w:markup="0"/>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5-04 17:28:23"/>
    <w:docVar w:name="DQCResult_Distribution" w:val="0;0"/>
    <w:docVar w:name="DQCResult_DocumentContent" w:val="0;0"/>
    <w:docVar w:name="DQCResult_DocumentSize" w:val="0;0"/>
    <w:docVar w:name="DQCResult_DocumentVersions" w:val="0;0"/>
    <w:docVar w:name="DQCResult_InvalidFootnotes" w:val="0;1"/>
    <w:docVar w:name="DQCResult_LinkedStyles" w:val="0;0"/>
    <w:docVar w:name="DQCResult_ModifiedMargins" w:val="0;10"/>
    <w:docVar w:name="DQCResult_ModifiedMarkers" w:val="0;0"/>
    <w:docVar w:name="DQCResult_ModifiedNumbering" w:val="0;0"/>
    <w:docVar w:name="DQCResult_Objects" w:val="0;0"/>
    <w:docVar w:name="DQCResult_Sections" w:val="0;1"/>
    <w:docVar w:name="DQCResult_StructureCheck" w:val="0;0"/>
    <w:docVar w:name="DQCResult_SuperfluousWhitespace" w:val="0;6"/>
    <w:docVar w:name="DQCResult_UnknownFonts" w:val="0;0"/>
    <w:docVar w:name="DQCResult_UnknownStyles" w:val="0;0"/>
    <w:docVar w:name="DQCStatus" w:val="Green"/>
    <w:docVar w:name="DQCVersion" w:val="3"/>
    <w:docVar w:name="DQCWithWarnings" w:val="0"/>
    <w:docVar w:name="FigNum" w:val="1"/>
    <w:docVar w:name="LW_CORRIGENDUM" w:val="&lt;UNUSED&gt;"/>
    <w:docVar w:name="LW_COVERPAGE_EXISTS" w:val="True"/>
    <w:docVar w:name="LW_COVERPAGE_GUID" w:val="CA45A30F-2162-4B87-BF1D-446AB3D86528"/>
    <w:docVar w:name="LW_COVERPAGE_TYPE" w:val="1"/>
    <w:docVar w:name="LW_CROSSREFERENCE" w:val="&lt;UNUSED&gt;"/>
    <w:docVar w:name="LW_DocType" w:val="COM"/>
    <w:docVar w:name="LW_EMISSION" w:val="6.5.2021"/>
    <w:docVar w:name="LW_EMISSION_ISODATE" w:val="2021-05-06"/>
    <w:docVar w:name="LW_EMISSION_LOCATION" w:val="BRX"/>
    <w:docVar w:name="LW_EMISSION_PREFIX" w:val="Bruselj, "/>
    <w:docVar w:name="LW_EMISSION_SUFFIX" w:val="&lt;EMPTY&gt;"/>
    <w:docVar w:name="LW_ID_DOCMODEL" w:val="SJ-026"/>
    <w:docVar w:name="LW_ID_DOCSIGNATURE" w:val="SJ-026"/>
    <w:docVar w:name="LW_ID_DOCSTRUCTURE" w:val="COM/PL/ORG"/>
    <w:docVar w:name="LW_ID_DOCTYPE" w:val="SJ-026"/>
    <w:docVar w:name="LW_ID_EXP.MOTIFS.NEW" w:val="EM_PL_"/>
    <w:docVar w:name="LW_ID_STATUT" w:val="SJ-026"/>
    <w:docVar w:name="LW_INTERETEEE.CP" w:val="&lt;UNUSED&gt;"/>
    <w:docVar w:name="LW_LANGUE" w:val="SL"/>
    <w:docVar w:name="LW_LEVEL_OF_SENSITIVITY" w:val="Standard treatment"/>
    <w:docVar w:name="LW_NOM.INST" w:val="EVROPSKA KOMISIJA"/>
    <w:docVar w:name="LW_NOM.INST_JOINTDOC" w:val="&lt;EMPTY&gt;"/>
    <w:docVar w:name="LW_PART_NBR" w:val="1"/>
    <w:docVar w:name="LW_PART_NBR_TOTAL" w:val="1"/>
    <w:docVar w:name="LW_REF.II.NEW.CP" w:val="BUD"/>
    <w:docVar w:name="LW_REF.II.NEW.CP_NUMBER" w:val="0116"/>
    <w:docVar w:name="LW_REF.II.NEW.CP_YEAR" w:val="2021"/>
    <w:docVar w:name="LW_REF.INST.NEW" w:val="COM"/>
    <w:docVar w:name="LW_REF.INST.NEW_ADOPTED" w:val="final"/>
    <w:docVar w:name="LW_REF.INST.NEW_TEXT" w:val="(2021) 22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edlog"/>
    <w:docVar w:name="LW_SUPERTITRE" w:val="&lt;UNUSED&gt;"/>
    <w:docVar w:name="LW_TITRE.OBJ.CP" w:val="o uporabi sredstev Evropskega sklada za prilagoditev globalizaciji na podlagi _x000b_vloge Finske \u8211? EGF/2020/007 FI/Finnair"/>
    <w:docVar w:name="LW_TYPE.DOC.CP" w:val="SKLEP EVROPSKEGA PARLAMENTA IN SVETA"/>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sl-SI"/>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l-SI"/>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sl-S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l-SI"/>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Hyperlink">
    <w:name w:val="Hyperlink"/>
    <w:basedOn w:val="DefaultParagraphFont"/>
    <w:uiPriority w:val="99"/>
    <w:unhideWhenUsed/>
    <w:rPr>
      <w:color w:val="0000FF" w:themeColor="hyperlink"/>
      <w:u w:val="single"/>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Style1">
    <w:name w:val="Style1"/>
    <w:basedOn w:val="Normal"/>
    <w:qFormat/>
    <w:pPr>
      <w:ind w:left="850"/>
    </w:pPr>
  </w:style>
  <w:style w:type="character" w:styleId="FollowedHyperlink">
    <w:name w:val="FollowedHyperlink"/>
    <w:basedOn w:val="DefaultParagraphFont"/>
    <w:uiPriority w:val="99"/>
    <w:semiHidden/>
    <w:unhideWhenUsed/>
    <w:rPr>
      <w:color w:val="800080" w:themeColor="followedHyperlink"/>
      <w:u w:val="single"/>
    </w:rPr>
  </w:style>
  <w:style w:type="table" w:styleId="TableGrid">
    <w:name w:val="Table Grid"/>
    <w:basedOn w:val="TableNormal"/>
    <w:uiPriority w:val="39"/>
    <w:pPr>
      <w:spacing w:after="0" w:line="240" w:lineRule="auto"/>
    </w:pPr>
    <w:rPr>
      <w:rFonts w:ascii="Calibri" w:eastAsia="MS Gothic" w:hAnsi="MS Gothic"/>
      <w:sz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sl-SI"/>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sl-S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sl-SI"/>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l-SI"/>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sl-S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l-SI"/>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Hyperlink">
    <w:name w:val="Hyperlink"/>
    <w:basedOn w:val="DefaultParagraphFont"/>
    <w:uiPriority w:val="99"/>
    <w:unhideWhenUsed/>
    <w:rPr>
      <w:color w:val="0000FF" w:themeColor="hyperlink"/>
      <w:u w:val="single"/>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customStyle="1" w:styleId="Style1">
    <w:name w:val="Style1"/>
    <w:basedOn w:val="Normal"/>
    <w:qFormat/>
    <w:pPr>
      <w:ind w:left="850"/>
    </w:pPr>
  </w:style>
  <w:style w:type="character" w:styleId="FollowedHyperlink">
    <w:name w:val="FollowedHyperlink"/>
    <w:basedOn w:val="DefaultParagraphFont"/>
    <w:uiPriority w:val="99"/>
    <w:semiHidden/>
    <w:unhideWhenUsed/>
    <w:rPr>
      <w:color w:val="800080" w:themeColor="followedHyperlink"/>
      <w:u w:val="single"/>
    </w:rPr>
  </w:style>
  <w:style w:type="table" w:styleId="TableGrid">
    <w:name w:val="Table Grid"/>
    <w:basedOn w:val="TableNormal"/>
    <w:uiPriority w:val="39"/>
    <w:pPr>
      <w:spacing w:after="0" w:line="240" w:lineRule="auto"/>
    </w:pPr>
    <w:rPr>
      <w:rFonts w:ascii="Calibri" w:eastAsia="MS Gothic" w:hAnsi="MS Gothic"/>
      <w:sz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sl-SI"/>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sl-S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24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news.cision.com/finnair/r/finnair-cancels-all-flights-to-mainland-china-between-february-6-and-february-29--2020--customers-to,c3024652" TargetMode="External"/><Relationship Id="rId13" Type="http://schemas.openxmlformats.org/officeDocument/2006/relationships/hyperlink" Target="https://www.aviation24.be/airlines/finnair/finnair-targets-100-million-euros-cost-base-reductions-plans-to-reduce-1-000-jobs/" TargetMode="External"/><Relationship Id="rId18" Type="http://schemas.openxmlformats.org/officeDocument/2006/relationships/hyperlink" Target="https://www.stat.fi/til/tyti/2020/09/tyti_2020_09_2020-10-20_tie_001_en.html" TargetMode="External"/><Relationship Id="rId3" Type="http://schemas.openxmlformats.org/officeDocument/2006/relationships/hyperlink" Target="https://www.iata.org/en/iata-repository/publications/economic-reports/air-passenger-monthly-analysis---june-20202/" TargetMode="External"/><Relationship Id="rId21" Type="http://schemas.openxmlformats.org/officeDocument/2006/relationships/hyperlink" Target="https://ec.europa.eu/commission/presscorner/detail/sl/IP_20_1032" TargetMode="External"/><Relationship Id="rId7" Type="http://schemas.openxmlformats.org/officeDocument/2006/relationships/hyperlink" Target="https://investors.finnair.com/~/media/Files/F/Finnair-IR/documents/en/reports-and-presentation/2020/annual-report-2019.pdf" TargetMode="External"/><Relationship Id="rId12" Type="http://schemas.openxmlformats.org/officeDocument/2006/relationships/hyperlink" Target="https://company.finnair.com/en/media/all-releases/news?id=3751510" TargetMode="External"/><Relationship Id="rId17" Type="http://schemas.openxmlformats.org/officeDocument/2006/relationships/hyperlink" Target="https://www.stat.fi/til/tyti/2020/13/tyti_2020_13_2021-03-04_tie_001_en.html" TargetMode="External"/><Relationship Id="rId2" Type="http://schemas.openxmlformats.org/officeDocument/2006/relationships/hyperlink" Target="https://aviationbenefits.org/media/167186/abbb2020_full.pdf" TargetMode="External"/><Relationship Id="rId16" Type="http://schemas.openxmlformats.org/officeDocument/2006/relationships/hyperlink" Target="https://pxnet2.stat.fi/PXWeb/pxweb/en/StatFin/" TargetMode="External"/><Relationship Id="rId20" Type="http://schemas.openxmlformats.org/officeDocument/2006/relationships/hyperlink" Target="https://www.aaltopro.fi/en/services-in-change-situations/f.e.c.-programs-and-recruitment" TargetMode="External"/><Relationship Id="rId1" Type="http://schemas.openxmlformats.org/officeDocument/2006/relationships/hyperlink" Target="https://ec.europa.eu/info/business-economy-euro/economic-performance-and-forecasts/economic-forecasts/winter-2021-economic-forecast-challenging-winter-light-end-tunnel_sl" TargetMode="External"/><Relationship Id="rId6" Type="http://schemas.openxmlformats.org/officeDocument/2006/relationships/hyperlink" Target="https://www.finavia.fi/sites/default/files/documents/Tilinp&#228;&#228;t&#246;s%202019.pdf" TargetMode="External"/><Relationship Id="rId11" Type="http://schemas.openxmlformats.org/officeDocument/2006/relationships/hyperlink" Target="https://investors.finnair.com/~/media/Files/F/Finnair-IR/documents/en/reports-and-presentation/2021/annual-report-2020.pdf" TargetMode="External"/><Relationship Id="rId5" Type="http://schemas.openxmlformats.org/officeDocument/2006/relationships/hyperlink" Target="https://www.iata.org/en/pressroom/pr/2020-07-28-02/" TargetMode="External"/><Relationship Id="rId15" Type="http://schemas.openxmlformats.org/officeDocument/2006/relationships/hyperlink" Target="https://investors.finnair.com/~/media/Files/F/Finnair-IR/documents/en/reports-and-presentation/2020/annual-report-2019.pdf" TargetMode="External"/><Relationship Id="rId10" Type="http://schemas.openxmlformats.org/officeDocument/2006/relationships/hyperlink" Target="https://investors.finnair.com/~/media/Files/F/Finnair-IR/documents/en/reports-and-presentation/2020/half-year-2020-report-en.pdf" TargetMode="External"/><Relationship Id="rId19" Type="http://schemas.openxmlformats.org/officeDocument/2006/relationships/hyperlink" Target="https://julkaisut.valtioneuvosto.fi/bitstream/handle/10024/162542/TEM%20ty&#246;markkinaennuste%20syksy%202020.pdf" TargetMode="External"/><Relationship Id="rId4" Type="http://schemas.openxmlformats.org/officeDocument/2006/relationships/hyperlink" Target="https://www.iata.org/en/pressroom/pr/2021-02-03-02/" TargetMode="External"/><Relationship Id="rId9" Type="http://schemas.openxmlformats.org/officeDocument/2006/relationships/hyperlink" Target="https://news.cision.com/finnair/r/finnair-cancels-flights-to-us-and-delhi,c3057949" TargetMode="External"/><Relationship Id="rId14" Type="http://schemas.openxmlformats.org/officeDocument/2006/relationships/hyperlink" Target="https://aviationbenefits.org/downloads/aviation-benefits-beyond-borders-20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6A103-FB53-44DB-B3F9-7142738F2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14</Pages>
  <Words>3607</Words>
  <Characters>20241</Characters>
  <Application>Microsoft Office Word</Application>
  <DocSecurity>0</DocSecurity>
  <Lines>519</Lines>
  <Paragraphs>305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19</cp:revision>
  <cp:lastPrinted>2021-03-14T21:11:00Z</cp:lastPrinted>
  <dcterms:created xsi:type="dcterms:W3CDTF">2021-05-02T20:33:00Z</dcterms:created>
  <dcterms:modified xsi:type="dcterms:W3CDTF">2021-05-04T15:28:00Z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7.0.1, Build 20190916</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SJ-026</vt:lpwstr>
  </property>
  <property fmtid="{D5CDD505-2E9C-101B-9397-08002B2CF9AE}" pid="10" name="DQCStatus">
    <vt:lpwstr>Green (DQC version 03)</vt:lpwstr>
  </property>
  <property name="OP_sanitized" fmtid="{D5CDD505-2E9C-101B-9397-08002B2CF9AE}" pid="11">
    <vt:lpwstr>True</vt:lpwstr>
  </property>
</Properties>
</file>