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alt="C0473B04-6001-46F7-B942-EF0ACB7B8696" style="width:454.85pt;height:425pt">
            <v:imagedata r:id="rId13" o:title=""/>
          </v:shape>
        </w:pict>
      </w:r>
    </w:p>
    <w:bookmarkEnd w:id="0"/>
    <w:p>
      <w:pPr>
        <w:rPr>
          <w:noProof/>
        </w:rPr>
        <w:sectPr>
          <w:headerReference w:type="even" r:id="rId14"/>
          <w:headerReference w:type="default" r:id="rId15"/>
          <w:footerReference w:type="even" r:id="rId16"/>
          <w:footerReference w:type="default" r:id="rId17"/>
          <w:headerReference w:type="first" r:id="rId18"/>
          <w:footerReference w:type="first" r:id="rId19"/>
          <w:pgSz w:w="11906" w:h="16838"/>
          <w:pgMar w:top="1134" w:right="1417" w:bottom="1134" w:left="1417" w:header="709" w:footer="709" w:gutter="0"/>
          <w:pgNumType w:start="0"/>
          <w:cols w:space="720"/>
          <w:docGrid w:linePitch="360"/>
        </w:sectPr>
      </w:pPr>
    </w:p>
    <w:p>
      <w:pPr>
        <w:spacing w:after="0" w:line="240" w:lineRule="auto"/>
        <w:rPr>
          <w:rFonts w:ascii="Times New Roman" w:eastAsia="Times New Roman" w:hAnsi="Times New Roman" w:cs="Times New Roman"/>
          <w:noProof/>
          <w:sz w:val="24"/>
          <w:szCs w:val="24"/>
        </w:rPr>
      </w:pPr>
      <w:bookmarkStart w:id="1" w:name="_GoBack"/>
      <w:bookmarkEnd w:id="1"/>
      <w:r>
        <w:rPr>
          <w:rFonts w:ascii="Times New Roman" w:hAnsi="Times New Roman"/>
          <w:noProof/>
          <w:sz w:val="24"/>
          <w:szCs w:val="24"/>
        </w:rPr>
        <w:lastRenderedPageBreak/>
        <w:t>Evropska komisija ob upoštevanju:</w:t>
      </w:r>
    </w:p>
    <w:p>
      <w:pPr>
        <w:pStyle w:val="Tiret0"/>
        <w:tabs>
          <w:tab w:val="clear" w:pos="3119"/>
          <w:tab w:val="num" w:pos="851"/>
        </w:tabs>
        <w:ind w:left="851" w:hanging="851"/>
        <w:rPr>
          <w:noProof/>
        </w:rPr>
      </w:pPr>
      <w:r>
        <w:rPr>
          <w:noProof/>
        </w:rPr>
        <w:t>Pogodbe o delovanju Evropske unije (PDEU) in zlasti člena 314 PDEU v povezavi s Pogodbo o ustanovitvi Evropske skupnosti za atomsko energijo (Pogodba Euratom) in zlasti členom 106a Pogodbe Euratom,</w:t>
      </w:r>
    </w:p>
    <w:p>
      <w:pPr>
        <w:pStyle w:val="Tiret0"/>
        <w:tabs>
          <w:tab w:val="clear" w:pos="3119"/>
          <w:tab w:val="num" w:pos="850"/>
        </w:tabs>
        <w:ind w:left="850"/>
        <w:rPr>
          <w:noProof/>
        </w:rPr>
      </w:pPr>
      <w:r>
        <w:rPr>
          <w:noProof/>
        </w:rPr>
        <w:t>Sklepa Sveta (EU, Euratom) 2020/2053 z dne 14. decembra 2020 o sistemu virov lastnih sredstev Evropske unije</w:t>
      </w:r>
      <w:r>
        <w:rPr>
          <w:rStyle w:val="FootnoteReference"/>
          <w:noProof/>
        </w:rPr>
        <w:footnoteReference w:id="2"/>
      </w:r>
      <w:r>
        <w:rPr>
          <w:noProof/>
        </w:rPr>
        <w:t>, ki je začel veljati 1. junija 2021 (sklep o virih lastnih sredstev iz leta 2020),</w:t>
      </w:r>
    </w:p>
    <w:p>
      <w:pPr>
        <w:pStyle w:val="Tiret0"/>
        <w:tabs>
          <w:tab w:val="clear" w:pos="3119"/>
          <w:tab w:val="num" w:pos="927"/>
        </w:tabs>
        <w:ind w:left="850"/>
        <w:rPr>
          <w:noProof/>
        </w:rPr>
      </w:pPr>
      <w:r>
        <w:rPr>
          <w:noProof/>
        </w:rPr>
        <w:t>Uredbe (EU, Euratom) 2018/1046 Evropskega parlamenta in Sveta z dne 18. julija 2018 o finančnih pravilih, ki se uporabljajo za splošni proračun Unije (…)</w:t>
      </w:r>
      <w:r>
        <w:rPr>
          <w:rStyle w:val="FootnoteReference"/>
          <w:noProof/>
        </w:rPr>
        <w:footnoteReference w:id="3"/>
      </w:r>
      <w:r>
        <w:rPr>
          <w:noProof/>
        </w:rPr>
        <w:t>, in zlasti člena 44 Uredbe,</w:t>
      </w:r>
    </w:p>
    <w:p>
      <w:pPr>
        <w:pStyle w:val="Tiret0"/>
        <w:tabs>
          <w:tab w:val="clear" w:pos="3119"/>
          <w:tab w:val="num" w:pos="927"/>
        </w:tabs>
        <w:ind w:left="850"/>
        <w:rPr>
          <w:noProof/>
        </w:rPr>
      </w:pPr>
      <w:r>
        <w:rPr>
          <w:noProof/>
        </w:rPr>
        <w:t>splošnega proračuna Evropske unije za proračunsko leto 2021, sprejetega 18. decembra 2020</w:t>
      </w:r>
      <w:r>
        <w:rPr>
          <w:rStyle w:val="FootnoteReference"/>
          <w:noProof/>
        </w:rPr>
        <w:footnoteReference w:id="4"/>
      </w:r>
      <w:r>
        <w:rPr>
          <w:noProof/>
        </w:rPr>
        <w:t>,</w:t>
      </w:r>
    </w:p>
    <w:p>
      <w:pPr>
        <w:pStyle w:val="Tiret0"/>
        <w:tabs>
          <w:tab w:val="clear" w:pos="3119"/>
          <w:tab w:val="num" w:pos="927"/>
        </w:tabs>
        <w:ind w:left="850"/>
        <w:rPr>
          <w:noProof/>
        </w:rPr>
      </w:pPr>
      <w:r>
        <w:rPr>
          <w:noProof/>
        </w:rPr>
        <w:t>spremembe proračuna št. 1/2021</w:t>
      </w:r>
      <w:r>
        <w:rPr>
          <w:rStyle w:val="FootnoteReference"/>
          <w:noProof/>
        </w:rPr>
        <w:footnoteReference w:id="5"/>
      </w:r>
      <w:r>
        <w:rPr>
          <w:noProof/>
        </w:rPr>
        <w:t>, sprejete 18. maja 2021,</w:t>
      </w:r>
    </w:p>
    <w:p>
      <w:pPr>
        <w:pStyle w:val="Tiret0"/>
        <w:tabs>
          <w:tab w:val="clear" w:pos="3119"/>
          <w:tab w:val="num" w:pos="927"/>
        </w:tabs>
        <w:ind w:left="850"/>
        <w:rPr>
          <w:noProof/>
        </w:rPr>
      </w:pPr>
      <w:r>
        <w:rPr>
          <w:noProof/>
        </w:rPr>
        <w:t>spremembe proračuna št. 2/2021</w:t>
      </w:r>
      <w:r>
        <w:rPr>
          <w:rStyle w:val="FootnoteReference"/>
          <w:noProof/>
        </w:rPr>
        <w:footnoteReference w:id="6"/>
      </w:r>
      <w:r>
        <w:rPr>
          <w:noProof/>
        </w:rPr>
        <w:t>, sprejete 6. julija 2021,</w:t>
      </w:r>
    </w:p>
    <w:p>
      <w:pPr>
        <w:pStyle w:val="Tiret0"/>
        <w:tabs>
          <w:tab w:val="clear" w:pos="3119"/>
          <w:tab w:val="num" w:pos="850"/>
        </w:tabs>
        <w:ind w:left="850"/>
        <w:rPr>
          <w:noProof/>
        </w:rPr>
      </w:pPr>
      <w:r>
        <w:rPr>
          <w:noProof/>
        </w:rPr>
        <w:t>spremembe proračuna št. 3/2021</w:t>
      </w:r>
      <w:r>
        <w:rPr>
          <w:rStyle w:val="FootnoteReference"/>
          <w:noProof/>
        </w:rPr>
        <w:footnoteReference w:id="7"/>
      </w:r>
      <w:r>
        <w:rPr>
          <w:noProof/>
        </w:rPr>
        <w:t>, sprejete 15. septembra 2021,</w:t>
      </w:r>
    </w:p>
    <w:p>
      <w:pPr>
        <w:pStyle w:val="Tiret0"/>
        <w:tabs>
          <w:tab w:val="clear" w:pos="3119"/>
          <w:tab w:val="num" w:pos="850"/>
        </w:tabs>
        <w:ind w:left="850"/>
        <w:rPr>
          <w:noProof/>
        </w:rPr>
      </w:pPr>
      <w:r>
        <w:rPr>
          <w:noProof/>
        </w:rPr>
        <w:t>predloga spremembe proračuna št. 4/2021</w:t>
      </w:r>
      <w:r>
        <w:rPr>
          <w:rStyle w:val="FootnoteReference"/>
          <w:noProof/>
        </w:rPr>
        <w:footnoteReference w:id="8"/>
      </w:r>
      <w:r>
        <w:rPr>
          <w:noProof/>
        </w:rPr>
        <w:t>, sprejetega 2. julija 2021,</w:t>
      </w:r>
    </w:p>
    <w:p>
      <w:pPr>
        <w:pStyle w:val="Tiret0"/>
        <w:tabs>
          <w:tab w:val="clear" w:pos="3119"/>
          <w:tab w:val="num" w:pos="850"/>
        </w:tabs>
        <w:ind w:left="850"/>
        <w:rPr>
          <w:noProof/>
        </w:rPr>
      </w:pPr>
      <w:r>
        <w:rPr>
          <w:noProof/>
        </w:rPr>
        <w:t>predloga spremembe proračuna št. 5/2021</w:t>
      </w:r>
      <w:r>
        <w:rPr>
          <w:rStyle w:val="FootnoteReference"/>
          <w:noProof/>
        </w:rPr>
        <w:footnoteReference w:id="9"/>
      </w:r>
      <w:r>
        <w:rPr>
          <w:noProof/>
        </w:rPr>
        <w:t>, sprejetega 9. julija 2021</w:t>
      </w:r>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Evropskemu parlamentu in Svetu predlaga predlog spremembe proračuna št. 6/2021 k proračunu za leto 2021.</w:t>
      </w:r>
    </w:p>
    <w:p>
      <w:pPr>
        <w:spacing w:after="0" w:line="240" w:lineRule="auto"/>
        <w:rPr>
          <w:rFonts w:ascii="Times New Roman" w:eastAsia="Times New Roman" w:hAnsi="Times New Roman" w:cs="Times New Roman"/>
          <w:b/>
          <w:noProof/>
          <w:sz w:val="24"/>
          <w:szCs w:val="24"/>
          <w:u w:val="single"/>
          <w:lang w:eastAsia="en-GB"/>
        </w:rPr>
      </w:pPr>
    </w:p>
    <w:p>
      <w:pPr>
        <w:spacing w:after="0" w:line="240" w:lineRule="auto"/>
        <w:jc w:val="both"/>
        <w:rPr>
          <w:rFonts w:ascii="Times New Roman" w:eastAsia="Times New Roman" w:hAnsi="Times New Roman" w:cs="Times New Roman"/>
          <w:b/>
          <w:noProof/>
          <w:sz w:val="24"/>
          <w:szCs w:val="24"/>
          <w:u w:val="single"/>
        </w:rPr>
      </w:pPr>
      <w:r>
        <w:rPr>
          <w:rFonts w:ascii="Times New Roman" w:hAnsi="Times New Roman"/>
          <w:b/>
          <w:noProof/>
          <w:sz w:val="24"/>
          <w:szCs w:val="24"/>
          <w:u w:val="single"/>
        </w:rPr>
        <w:t>SPREMEMBE IZKAZA PRIHODKOV PO ODDELKIH</w:t>
      </w:r>
    </w:p>
    <w:p>
      <w:pPr>
        <w:spacing w:after="0" w:line="240" w:lineRule="auto"/>
        <w:rPr>
          <w:rFonts w:ascii="Times New Roman" w:eastAsia="Times New Roman" w:hAnsi="Times New Roman" w:cs="Times New Roman"/>
          <w:b/>
          <w:noProof/>
          <w:sz w:val="24"/>
          <w:szCs w:val="24"/>
          <w:u w:val="single"/>
          <w:lang w:eastAsia="ko-KR"/>
        </w:rPr>
      </w:pPr>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Spremembe splošnega izkaza prihodkov in oddelka III so na voljo na portalu EUR-Lex (</w:t>
      </w:r>
      <w:hyperlink r:id="rId20" w:history="1">
        <w:r>
          <w:rPr>
            <w:rFonts w:ascii="Times New Roman" w:hAnsi="Times New Roman"/>
            <w:noProof/>
            <w:sz w:val="24"/>
            <w:szCs w:val="24"/>
            <w:u w:val="single"/>
          </w:rPr>
          <w:t>https://eur-lex.europa.eu/budget/www/index-sl.htm</w:t>
        </w:r>
      </w:hyperlink>
      <w:r>
        <w:rPr>
          <w:rFonts w:ascii="Times New Roman" w:hAnsi="Times New Roman"/>
          <w:noProof/>
          <w:sz w:val="24"/>
          <w:szCs w:val="24"/>
        </w:rPr>
        <w:t>).</w:t>
      </w:r>
    </w:p>
    <w:p>
      <w:pPr>
        <w:rPr>
          <w:noProof/>
        </w:rPr>
      </w:pPr>
      <w:r>
        <w:rPr>
          <w:noProof/>
        </w:rPr>
        <w:br w:type="page"/>
      </w:r>
    </w:p>
    <w:bookmarkStart w:id="2" w:name="_Toc194220890" w:displacedByCustomXml="next"/>
    <w:bookmarkStart w:id="3" w:name="_Toc294675429" w:displacedByCustomXml="next"/>
    <w:bookmarkStart w:id="4" w:name="_Toc378575883" w:displacedByCustomXml="next"/>
    <w:sdt>
      <w:sdtPr>
        <w:rPr>
          <w:rFonts w:ascii="Times New Roman" w:eastAsia="Times New Roman" w:hAnsi="Times New Roman" w:cs="Times New Roman"/>
          <w:noProof/>
          <w:sz w:val="24"/>
          <w:szCs w:val="24"/>
        </w:rPr>
        <w:id w:val="-1342782297"/>
        <w:docPartObj>
          <w:docPartGallery w:val="Table of Contents"/>
          <w:docPartUnique/>
        </w:docPartObj>
      </w:sdtPr>
      <w:sdtEndPr>
        <w:rPr>
          <w:bCs/>
        </w:rPr>
      </w:sdtEndPr>
      <w:sdtContent>
        <w:p>
          <w:pPr>
            <w:spacing w:before="120" w:after="240" w:line="240" w:lineRule="auto"/>
            <w:jc w:val="center"/>
            <w:rPr>
              <w:rFonts w:ascii="Times New Roman" w:eastAsia="Times New Roman" w:hAnsi="Times New Roman" w:cs="Times New Roman"/>
              <w:b/>
              <w:noProof/>
              <w:sz w:val="24"/>
              <w:szCs w:val="24"/>
            </w:rPr>
          </w:pPr>
          <w:r>
            <w:rPr>
              <w:rFonts w:ascii="Times New Roman" w:hAnsi="Times New Roman"/>
              <w:b/>
              <w:noProof/>
              <w:sz w:val="24"/>
              <w:szCs w:val="24"/>
            </w:rPr>
            <w:t>Kazalo</w:t>
          </w:r>
        </w:p>
        <w:p>
          <w:pPr>
            <w:pStyle w:val="TOC1"/>
            <w:tabs>
              <w:tab w:val="left" w:pos="440"/>
              <w:tab w:val="right" w:leader="dot" w:pos="9855"/>
            </w:tabs>
            <w:rPr>
              <w:rFonts w:eastAsiaTheme="minorEastAsia"/>
              <w:noProof/>
              <w:lang w:val="en-US"/>
            </w:rPr>
          </w:pPr>
          <w:r>
            <w:rPr>
              <w:rFonts w:ascii="Times New Roman" w:eastAsia="Times New Roman" w:hAnsi="Times New Roman" w:cs="Times New Roman"/>
              <w:b/>
              <w:bCs/>
              <w:caps/>
              <w:noProof/>
              <w:sz w:val="24"/>
              <w:szCs w:val="24"/>
            </w:rPr>
            <w:fldChar w:fldCharType="begin"/>
          </w:r>
          <w:r>
            <w:rPr>
              <w:rFonts w:ascii="Times New Roman" w:eastAsia="Times New Roman" w:hAnsi="Times New Roman" w:cs="Times New Roman"/>
              <w:b/>
              <w:bCs/>
              <w:caps/>
              <w:noProof/>
              <w:sz w:val="24"/>
              <w:szCs w:val="24"/>
            </w:rPr>
            <w:instrText xml:space="preserve"> TOC \o "1-3" \h \z \u </w:instrText>
          </w:r>
          <w:r>
            <w:rPr>
              <w:rFonts w:ascii="Times New Roman" w:eastAsia="Times New Roman" w:hAnsi="Times New Roman" w:cs="Times New Roman"/>
              <w:b/>
              <w:bCs/>
              <w:caps/>
              <w:noProof/>
              <w:sz w:val="24"/>
              <w:szCs w:val="24"/>
            </w:rPr>
            <w:fldChar w:fldCharType="separate"/>
          </w:r>
          <w:hyperlink w:anchor="_Toc84587235" w:history="1">
            <w:r>
              <w:rPr>
                <w:rStyle w:val="Hyperlink"/>
                <w:rFonts w:ascii="Times New Roman" w:eastAsia="Times New Roman" w:hAnsi="Times New Roman" w:cs="Times New Roman"/>
                <w:b/>
                <w:smallCaps/>
                <w:noProof/>
              </w:rPr>
              <w:t>1.</w:t>
            </w:r>
            <w:r>
              <w:rPr>
                <w:rFonts w:eastAsiaTheme="minorEastAsia"/>
                <w:noProof/>
                <w:lang w:val="en-US"/>
              </w:rPr>
              <w:tab/>
            </w:r>
            <w:r>
              <w:rPr>
                <w:rStyle w:val="Hyperlink"/>
                <w:rFonts w:ascii="Times New Roman" w:hAnsi="Times New Roman"/>
                <w:b/>
                <w:smallCaps/>
                <w:noProof/>
              </w:rPr>
              <w:t>Uvod</w:t>
            </w:r>
            <w:r>
              <w:rPr>
                <w:noProof/>
                <w:webHidden/>
              </w:rPr>
              <w:tab/>
            </w:r>
            <w:r>
              <w:rPr>
                <w:noProof/>
                <w:webHidden/>
              </w:rPr>
              <w:fldChar w:fldCharType="begin"/>
            </w:r>
            <w:r>
              <w:rPr>
                <w:noProof/>
                <w:webHidden/>
              </w:rPr>
              <w:instrText xml:space="preserve"> PAGEREF _Toc84587235 \h </w:instrText>
            </w:r>
            <w:r>
              <w:rPr>
                <w:noProof/>
                <w:webHidden/>
              </w:rPr>
            </w:r>
            <w:r>
              <w:rPr>
                <w:noProof/>
                <w:webHidden/>
              </w:rPr>
              <w:fldChar w:fldCharType="separate"/>
            </w:r>
            <w:r>
              <w:rPr>
                <w:noProof/>
                <w:webHidden/>
              </w:rPr>
              <w:t>3</w:t>
            </w:r>
            <w:r>
              <w:rPr>
                <w:noProof/>
                <w:webHidden/>
              </w:rPr>
              <w:fldChar w:fldCharType="end"/>
            </w:r>
          </w:hyperlink>
        </w:p>
        <w:p>
          <w:pPr>
            <w:pStyle w:val="TOC1"/>
            <w:tabs>
              <w:tab w:val="left" w:pos="440"/>
              <w:tab w:val="right" w:leader="dot" w:pos="9855"/>
            </w:tabs>
            <w:rPr>
              <w:rFonts w:eastAsiaTheme="minorEastAsia"/>
              <w:noProof/>
              <w:lang w:val="en-US"/>
            </w:rPr>
          </w:pPr>
          <w:hyperlink w:anchor="_Toc84587236" w:history="1">
            <w:r>
              <w:rPr>
                <w:rStyle w:val="Hyperlink"/>
                <w:b/>
                <w:smallCaps/>
                <w:noProof/>
              </w:rPr>
              <w:t>2.</w:t>
            </w:r>
            <w:r>
              <w:rPr>
                <w:rFonts w:eastAsiaTheme="minorEastAsia"/>
                <w:noProof/>
                <w:lang w:val="en-US"/>
              </w:rPr>
              <w:tab/>
            </w:r>
            <w:r>
              <w:rPr>
                <w:rStyle w:val="Hyperlink"/>
                <w:rFonts w:ascii="Times New Roman" w:hAnsi="Times New Roman"/>
                <w:b/>
                <w:smallCaps/>
                <w:noProof/>
              </w:rPr>
              <w:t>Cepiva proti COVID-19 na svetovni ravni</w:t>
            </w:r>
            <w:r>
              <w:rPr>
                <w:noProof/>
                <w:webHidden/>
              </w:rPr>
              <w:tab/>
            </w:r>
            <w:r>
              <w:rPr>
                <w:noProof/>
                <w:webHidden/>
              </w:rPr>
              <w:fldChar w:fldCharType="begin"/>
            </w:r>
            <w:r>
              <w:rPr>
                <w:noProof/>
                <w:webHidden/>
              </w:rPr>
              <w:instrText xml:space="preserve"> PAGEREF _Toc84587236 \h </w:instrText>
            </w:r>
            <w:r>
              <w:rPr>
                <w:noProof/>
                <w:webHidden/>
              </w:rPr>
            </w:r>
            <w:r>
              <w:rPr>
                <w:noProof/>
                <w:webHidden/>
              </w:rPr>
              <w:fldChar w:fldCharType="separate"/>
            </w:r>
            <w:r>
              <w:rPr>
                <w:noProof/>
                <w:webHidden/>
              </w:rPr>
              <w:t>3</w:t>
            </w:r>
            <w:r>
              <w:rPr>
                <w:noProof/>
                <w:webHidden/>
              </w:rPr>
              <w:fldChar w:fldCharType="end"/>
            </w:r>
          </w:hyperlink>
        </w:p>
        <w:p>
          <w:pPr>
            <w:pStyle w:val="TOC1"/>
            <w:tabs>
              <w:tab w:val="left" w:pos="440"/>
              <w:tab w:val="right" w:leader="dot" w:pos="9855"/>
            </w:tabs>
            <w:rPr>
              <w:rFonts w:eastAsiaTheme="minorEastAsia"/>
              <w:noProof/>
              <w:lang w:val="en-US"/>
            </w:rPr>
          </w:pPr>
          <w:hyperlink w:anchor="_Toc84587237" w:history="1">
            <w:r>
              <w:rPr>
                <w:rStyle w:val="Hyperlink"/>
                <w:rFonts w:ascii="Times New Roman" w:eastAsia="Times New Roman" w:hAnsi="Times New Roman" w:cs="Times New Roman"/>
                <w:b/>
                <w:smallCaps/>
                <w:noProof/>
              </w:rPr>
              <w:t>3.</w:t>
            </w:r>
            <w:r>
              <w:rPr>
                <w:rFonts w:eastAsiaTheme="minorEastAsia"/>
                <w:noProof/>
                <w:lang w:val="en-US"/>
              </w:rPr>
              <w:tab/>
            </w:r>
            <w:r>
              <w:rPr>
                <w:rStyle w:val="Hyperlink"/>
                <w:rFonts w:ascii="Times New Roman" w:hAnsi="Times New Roman"/>
                <w:b/>
                <w:smallCaps/>
                <w:noProof/>
              </w:rPr>
              <w:t>Okrepitev mehanizma Unije na področju civilne zaščite (UCPM/rescEU)</w:t>
            </w:r>
            <w:r>
              <w:rPr>
                <w:noProof/>
                <w:webHidden/>
              </w:rPr>
              <w:tab/>
            </w:r>
            <w:r>
              <w:rPr>
                <w:noProof/>
                <w:webHidden/>
              </w:rPr>
              <w:fldChar w:fldCharType="begin"/>
            </w:r>
            <w:r>
              <w:rPr>
                <w:noProof/>
                <w:webHidden/>
              </w:rPr>
              <w:instrText xml:space="preserve"> PAGEREF _Toc84587237 \h </w:instrText>
            </w:r>
            <w:r>
              <w:rPr>
                <w:noProof/>
                <w:webHidden/>
              </w:rPr>
            </w:r>
            <w:r>
              <w:rPr>
                <w:noProof/>
                <w:webHidden/>
              </w:rPr>
              <w:fldChar w:fldCharType="separate"/>
            </w:r>
            <w:r>
              <w:rPr>
                <w:noProof/>
                <w:webHidden/>
              </w:rPr>
              <w:t>4</w:t>
            </w:r>
            <w:r>
              <w:rPr>
                <w:noProof/>
                <w:webHidden/>
              </w:rPr>
              <w:fldChar w:fldCharType="end"/>
            </w:r>
          </w:hyperlink>
        </w:p>
        <w:p>
          <w:pPr>
            <w:pStyle w:val="TOC1"/>
            <w:tabs>
              <w:tab w:val="left" w:pos="440"/>
              <w:tab w:val="right" w:leader="dot" w:pos="9855"/>
            </w:tabs>
            <w:rPr>
              <w:rFonts w:eastAsiaTheme="minorEastAsia"/>
              <w:noProof/>
              <w:lang w:val="en-US"/>
            </w:rPr>
          </w:pPr>
          <w:hyperlink w:anchor="_Toc84587238" w:history="1">
            <w:r>
              <w:rPr>
                <w:rStyle w:val="Hyperlink"/>
                <w:rFonts w:ascii="Times New Roman" w:eastAsia="Times New Roman" w:hAnsi="Times New Roman" w:cs="Times New Roman"/>
                <w:b/>
                <w:smallCaps/>
                <w:noProof/>
              </w:rPr>
              <w:t>4.</w:t>
            </w:r>
            <w:r>
              <w:rPr>
                <w:rFonts w:eastAsiaTheme="minorEastAsia"/>
                <w:noProof/>
                <w:lang w:val="en-US"/>
              </w:rPr>
              <w:tab/>
            </w:r>
            <w:r>
              <w:rPr>
                <w:rStyle w:val="Hyperlink"/>
                <w:rFonts w:ascii="Times New Roman" w:hAnsi="Times New Roman"/>
                <w:b/>
                <w:smallCaps/>
                <w:noProof/>
              </w:rPr>
              <w:t>Sporazumi o partnerstvu o trajnostnem ribištvu</w:t>
            </w:r>
            <w:r>
              <w:rPr>
                <w:noProof/>
                <w:webHidden/>
              </w:rPr>
              <w:tab/>
            </w:r>
            <w:r>
              <w:rPr>
                <w:noProof/>
                <w:webHidden/>
              </w:rPr>
              <w:fldChar w:fldCharType="begin"/>
            </w:r>
            <w:r>
              <w:rPr>
                <w:noProof/>
                <w:webHidden/>
              </w:rPr>
              <w:instrText xml:space="preserve"> PAGEREF _Toc84587238 \h </w:instrText>
            </w:r>
            <w:r>
              <w:rPr>
                <w:noProof/>
                <w:webHidden/>
              </w:rPr>
            </w:r>
            <w:r>
              <w:rPr>
                <w:noProof/>
                <w:webHidden/>
              </w:rPr>
              <w:fldChar w:fldCharType="separate"/>
            </w:r>
            <w:r>
              <w:rPr>
                <w:noProof/>
                <w:webHidden/>
              </w:rPr>
              <w:t>6</w:t>
            </w:r>
            <w:r>
              <w:rPr>
                <w:noProof/>
                <w:webHidden/>
              </w:rPr>
              <w:fldChar w:fldCharType="end"/>
            </w:r>
          </w:hyperlink>
        </w:p>
        <w:p>
          <w:pPr>
            <w:pStyle w:val="TOC1"/>
            <w:tabs>
              <w:tab w:val="left" w:pos="440"/>
              <w:tab w:val="right" w:leader="dot" w:pos="9855"/>
            </w:tabs>
            <w:rPr>
              <w:rFonts w:eastAsiaTheme="minorEastAsia"/>
              <w:noProof/>
              <w:lang w:val="en-US"/>
            </w:rPr>
          </w:pPr>
          <w:hyperlink w:anchor="_Toc84587239" w:history="1">
            <w:r>
              <w:rPr>
                <w:rStyle w:val="Hyperlink"/>
                <w:rFonts w:ascii="Times New Roman" w:eastAsia="Times New Roman" w:hAnsi="Times New Roman" w:cs="Times New Roman"/>
                <w:b/>
                <w:bCs/>
                <w:smallCaps/>
                <w:noProof/>
              </w:rPr>
              <w:t>5.</w:t>
            </w:r>
            <w:r>
              <w:rPr>
                <w:rFonts w:eastAsiaTheme="minorEastAsia"/>
                <w:noProof/>
                <w:lang w:val="en-US"/>
              </w:rPr>
              <w:tab/>
            </w:r>
            <w:r>
              <w:rPr>
                <w:rStyle w:val="Hyperlink"/>
                <w:rFonts w:ascii="Times New Roman" w:hAnsi="Times New Roman"/>
                <w:b/>
                <w:bCs/>
                <w:smallCaps/>
                <w:noProof/>
              </w:rPr>
              <w:t>Uporaba členov 14 in 26 uredbe o skupnih določbah ter vpliv na strukturo nomenklature</w:t>
            </w:r>
            <w:r>
              <w:rPr>
                <w:noProof/>
                <w:webHidden/>
              </w:rPr>
              <w:tab/>
            </w:r>
            <w:r>
              <w:rPr>
                <w:noProof/>
                <w:webHidden/>
              </w:rPr>
              <w:fldChar w:fldCharType="begin"/>
            </w:r>
            <w:r>
              <w:rPr>
                <w:noProof/>
                <w:webHidden/>
              </w:rPr>
              <w:instrText xml:space="preserve"> PAGEREF _Toc84587239 \h </w:instrText>
            </w:r>
            <w:r>
              <w:rPr>
                <w:noProof/>
                <w:webHidden/>
              </w:rPr>
            </w:r>
            <w:r>
              <w:rPr>
                <w:noProof/>
                <w:webHidden/>
              </w:rPr>
              <w:fldChar w:fldCharType="separate"/>
            </w:r>
            <w:r>
              <w:rPr>
                <w:noProof/>
                <w:webHidden/>
              </w:rPr>
              <w:t>6</w:t>
            </w:r>
            <w:r>
              <w:rPr>
                <w:noProof/>
                <w:webHidden/>
              </w:rPr>
              <w:fldChar w:fldCharType="end"/>
            </w:r>
          </w:hyperlink>
        </w:p>
        <w:p>
          <w:pPr>
            <w:pStyle w:val="TOC1"/>
            <w:tabs>
              <w:tab w:val="left" w:pos="440"/>
              <w:tab w:val="right" w:leader="dot" w:pos="9855"/>
            </w:tabs>
            <w:rPr>
              <w:rFonts w:eastAsiaTheme="minorEastAsia"/>
              <w:noProof/>
              <w:lang w:val="en-US"/>
            </w:rPr>
          </w:pPr>
          <w:hyperlink w:anchor="_Toc84587240" w:history="1">
            <w:r>
              <w:rPr>
                <w:rStyle w:val="Hyperlink"/>
                <w:rFonts w:ascii="Times New Roman" w:eastAsia="Times New Roman" w:hAnsi="Times New Roman" w:cs="Times New Roman"/>
                <w:b/>
                <w:bCs/>
                <w:smallCaps/>
                <w:noProof/>
              </w:rPr>
              <w:t>6.</w:t>
            </w:r>
            <w:r>
              <w:rPr>
                <w:rFonts w:eastAsiaTheme="minorEastAsia"/>
                <w:noProof/>
                <w:lang w:val="en-US"/>
              </w:rPr>
              <w:tab/>
            </w:r>
            <w:r>
              <w:rPr>
                <w:rStyle w:val="Hyperlink"/>
                <w:rFonts w:ascii="Times New Roman" w:hAnsi="Times New Roman"/>
                <w:b/>
                <w:bCs/>
                <w:smallCaps/>
                <w:noProof/>
              </w:rPr>
              <w:t>Posodobitev prihodkovne strani proračuna, da se vključi posodobljena napoved za lastna sredstva iz naslova odpadne plastične embalaže</w:t>
            </w:r>
            <w:r>
              <w:rPr>
                <w:noProof/>
                <w:webHidden/>
              </w:rPr>
              <w:tab/>
            </w:r>
            <w:r>
              <w:rPr>
                <w:noProof/>
                <w:webHidden/>
              </w:rPr>
              <w:fldChar w:fldCharType="begin"/>
            </w:r>
            <w:r>
              <w:rPr>
                <w:noProof/>
                <w:webHidden/>
              </w:rPr>
              <w:instrText xml:space="preserve"> PAGEREF _Toc84587240 \h </w:instrText>
            </w:r>
            <w:r>
              <w:rPr>
                <w:noProof/>
                <w:webHidden/>
              </w:rPr>
            </w:r>
            <w:r>
              <w:rPr>
                <w:noProof/>
                <w:webHidden/>
              </w:rPr>
              <w:fldChar w:fldCharType="separate"/>
            </w:r>
            <w:r>
              <w:rPr>
                <w:noProof/>
                <w:webHidden/>
              </w:rPr>
              <w:t>7</w:t>
            </w:r>
            <w:r>
              <w:rPr>
                <w:noProof/>
                <w:webHidden/>
              </w:rPr>
              <w:fldChar w:fldCharType="end"/>
            </w:r>
          </w:hyperlink>
        </w:p>
        <w:p>
          <w:pPr>
            <w:pStyle w:val="TOC1"/>
            <w:tabs>
              <w:tab w:val="left" w:pos="440"/>
              <w:tab w:val="right" w:leader="dot" w:pos="9855"/>
            </w:tabs>
            <w:rPr>
              <w:rFonts w:eastAsiaTheme="minorEastAsia"/>
              <w:noProof/>
              <w:lang w:val="en-US"/>
            </w:rPr>
          </w:pPr>
          <w:hyperlink w:anchor="_Toc84587241" w:history="1">
            <w:r>
              <w:rPr>
                <w:rStyle w:val="Hyperlink"/>
                <w:rFonts w:ascii="Times New Roman" w:eastAsia="Times New Roman" w:hAnsi="Times New Roman" w:cs="Times New Roman"/>
                <w:b/>
                <w:bCs/>
                <w:smallCaps/>
                <w:noProof/>
              </w:rPr>
              <w:t>7.</w:t>
            </w:r>
            <w:r>
              <w:rPr>
                <w:rFonts w:eastAsiaTheme="minorEastAsia"/>
                <w:noProof/>
                <w:lang w:val="en-US"/>
              </w:rPr>
              <w:tab/>
            </w:r>
            <w:r>
              <w:rPr>
                <w:rStyle w:val="Hyperlink"/>
                <w:rFonts w:ascii="Times New Roman" w:hAnsi="Times New Roman"/>
                <w:b/>
                <w:bCs/>
                <w:smallCaps/>
                <w:noProof/>
              </w:rPr>
              <w:t>Prilagoditev proračunskih opomb za Evropski razvojni sklad</w:t>
            </w:r>
            <w:r>
              <w:rPr>
                <w:noProof/>
                <w:webHidden/>
              </w:rPr>
              <w:tab/>
            </w:r>
            <w:r>
              <w:rPr>
                <w:noProof/>
                <w:webHidden/>
              </w:rPr>
              <w:fldChar w:fldCharType="begin"/>
            </w:r>
            <w:r>
              <w:rPr>
                <w:noProof/>
                <w:webHidden/>
              </w:rPr>
              <w:instrText xml:space="preserve"> PAGEREF _Toc84587241 \h </w:instrText>
            </w:r>
            <w:r>
              <w:rPr>
                <w:noProof/>
                <w:webHidden/>
              </w:rPr>
            </w:r>
            <w:r>
              <w:rPr>
                <w:noProof/>
                <w:webHidden/>
              </w:rPr>
              <w:fldChar w:fldCharType="separate"/>
            </w:r>
            <w:r>
              <w:rPr>
                <w:noProof/>
                <w:webHidden/>
              </w:rPr>
              <w:t>11</w:t>
            </w:r>
            <w:r>
              <w:rPr>
                <w:noProof/>
                <w:webHidden/>
              </w:rPr>
              <w:fldChar w:fldCharType="end"/>
            </w:r>
          </w:hyperlink>
        </w:p>
        <w:p>
          <w:pPr>
            <w:pStyle w:val="TOC1"/>
            <w:tabs>
              <w:tab w:val="left" w:pos="440"/>
              <w:tab w:val="right" w:leader="dot" w:pos="9855"/>
            </w:tabs>
            <w:rPr>
              <w:rFonts w:eastAsiaTheme="minorEastAsia"/>
              <w:noProof/>
              <w:lang w:val="en-US"/>
            </w:rPr>
          </w:pPr>
          <w:hyperlink w:anchor="_Toc84587242" w:history="1">
            <w:r>
              <w:rPr>
                <w:rStyle w:val="Hyperlink"/>
                <w:rFonts w:ascii="Times New Roman" w:eastAsia="Times New Roman" w:hAnsi="Times New Roman" w:cs="Times New Roman"/>
                <w:b/>
                <w:smallCaps/>
                <w:noProof/>
              </w:rPr>
              <w:t>8.</w:t>
            </w:r>
            <w:r>
              <w:rPr>
                <w:rFonts w:eastAsiaTheme="minorEastAsia"/>
                <w:noProof/>
                <w:lang w:val="en-US"/>
              </w:rPr>
              <w:tab/>
            </w:r>
            <w:r>
              <w:rPr>
                <w:rStyle w:val="Hyperlink"/>
                <w:rFonts w:ascii="Times New Roman" w:hAnsi="Times New Roman"/>
                <w:b/>
                <w:smallCaps/>
                <w:noProof/>
              </w:rPr>
              <w:t>Financiranje</w:t>
            </w:r>
            <w:r>
              <w:rPr>
                <w:noProof/>
                <w:webHidden/>
              </w:rPr>
              <w:tab/>
            </w:r>
            <w:r>
              <w:rPr>
                <w:noProof/>
                <w:webHidden/>
              </w:rPr>
              <w:fldChar w:fldCharType="begin"/>
            </w:r>
            <w:r>
              <w:rPr>
                <w:noProof/>
                <w:webHidden/>
              </w:rPr>
              <w:instrText xml:space="preserve"> PAGEREF _Toc84587242 \h </w:instrText>
            </w:r>
            <w:r>
              <w:rPr>
                <w:noProof/>
                <w:webHidden/>
              </w:rPr>
            </w:r>
            <w:r>
              <w:rPr>
                <w:noProof/>
                <w:webHidden/>
              </w:rPr>
              <w:fldChar w:fldCharType="separate"/>
            </w:r>
            <w:r>
              <w:rPr>
                <w:noProof/>
                <w:webHidden/>
              </w:rPr>
              <w:t>11</w:t>
            </w:r>
            <w:r>
              <w:rPr>
                <w:noProof/>
                <w:webHidden/>
              </w:rPr>
              <w:fldChar w:fldCharType="end"/>
            </w:r>
          </w:hyperlink>
        </w:p>
        <w:p>
          <w:pPr>
            <w:pStyle w:val="TOC1"/>
            <w:tabs>
              <w:tab w:val="left" w:pos="440"/>
              <w:tab w:val="right" w:leader="dot" w:pos="9855"/>
            </w:tabs>
            <w:rPr>
              <w:rFonts w:eastAsiaTheme="minorEastAsia"/>
              <w:noProof/>
              <w:lang w:val="en-US"/>
            </w:rPr>
          </w:pPr>
          <w:hyperlink w:anchor="_Toc84587243" w:history="1">
            <w:r>
              <w:rPr>
                <w:rStyle w:val="Hyperlink"/>
                <w:rFonts w:ascii="Times New Roman" w:eastAsia="Times New Roman" w:hAnsi="Times New Roman" w:cs="Times New Roman"/>
                <w:b/>
                <w:smallCaps/>
                <w:noProof/>
              </w:rPr>
              <w:t>9.</w:t>
            </w:r>
            <w:r>
              <w:rPr>
                <w:rFonts w:eastAsiaTheme="minorEastAsia"/>
                <w:noProof/>
                <w:lang w:val="en-US"/>
              </w:rPr>
              <w:tab/>
            </w:r>
            <w:r>
              <w:rPr>
                <w:rStyle w:val="Hyperlink"/>
                <w:rFonts w:ascii="Times New Roman" w:hAnsi="Times New Roman"/>
                <w:b/>
                <w:smallCaps/>
                <w:noProof/>
              </w:rPr>
              <w:t>Zbirna razpredelnica po razdelkih večletnega finančnega okvira</w:t>
            </w:r>
            <w:r>
              <w:rPr>
                <w:noProof/>
                <w:webHidden/>
              </w:rPr>
              <w:tab/>
            </w:r>
            <w:r>
              <w:rPr>
                <w:noProof/>
                <w:webHidden/>
              </w:rPr>
              <w:fldChar w:fldCharType="begin"/>
            </w:r>
            <w:r>
              <w:rPr>
                <w:noProof/>
                <w:webHidden/>
              </w:rPr>
              <w:instrText xml:space="preserve"> PAGEREF _Toc84587243 \h </w:instrText>
            </w:r>
            <w:r>
              <w:rPr>
                <w:noProof/>
                <w:webHidden/>
              </w:rPr>
            </w:r>
            <w:r>
              <w:rPr>
                <w:noProof/>
                <w:webHidden/>
              </w:rPr>
              <w:fldChar w:fldCharType="separate"/>
            </w:r>
            <w:r>
              <w:rPr>
                <w:noProof/>
                <w:webHidden/>
              </w:rPr>
              <w:t>12</w:t>
            </w:r>
            <w:r>
              <w:rPr>
                <w:noProof/>
                <w:webHidden/>
              </w:rPr>
              <w:fldChar w:fldCharType="end"/>
            </w:r>
          </w:hyperlink>
        </w:p>
        <w:p>
          <w:pPr>
            <w:rPr>
              <w:rFonts w:ascii="Times New Roman" w:eastAsia="Times New Roman" w:hAnsi="Times New Roman" w:cs="Times New Roman"/>
              <w:noProof/>
              <w:sz w:val="24"/>
              <w:szCs w:val="24"/>
            </w:rPr>
          </w:pPr>
          <w:r>
            <w:rPr>
              <w:rFonts w:ascii="Times New Roman" w:eastAsia="Times New Roman" w:hAnsi="Times New Roman" w:cs="Times New Roman"/>
              <w:b/>
              <w:bCs/>
              <w:noProof/>
              <w:sz w:val="24"/>
              <w:szCs w:val="24"/>
            </w:rPr>
            <w:fldChar w:fldCharType="end"/>
          </w:r>
        </w:p>
      </w:sdtContent>
    </w:sdt>
    <w:p>
      <w:pPr>
        <w:spacing w:after="0" w:line="240" w:lineRule="auto"/>
        <w:rPr>
          <w:rFonts w:ascii="Times New Roman" w:eastAsia="Times New Roman" w:hAnsi="Times New Roman" w:cs="Times New Roman"/>
          <w:b/>
          <w:noProof/>
          <w:sz w:val="24"/>
          <w:szCs w:val="24"/>
          <w:u w:val="single"/>
          <w:lang w:eastAsia="de-DE"/>
        </w:rPr>
        <w:sectPr>
          <w:headerReference w:type="even" r:id="rId21"/>
          <w:headerReference w:type="default" r:id="rId22"/>
          <w:footerReference w:type="even" r:id="rId23"/>
          <w:footerReference w:type="default" r:id="rId24"/>
          <w:headerReference w:type="first" r:id="rId25"/>
          <w:footerReference w:type="first" r:id="rId26"/>
          <w:pgSz w:w="11907" w:h="16839"/>
          <w:pgMar w:top="1021" w:right="1021" w:bottom="1021" w:left="1021" w:header="709" w:footer="709" w:gutter="0"/>
          <w:cols w:space="708"/>
          <w:docGrid w:linePitch="360"/>
        </w:sectPr>
      </w:pPr>
    </w:p>
    <w:p>
      <w:pPr>
        <w:spacing w:before="120" w:after="120" w:line="240" w:lineRule="auto"/>
        <w:jc w:val="both"/>
        <w:rPr>
          <w:rFonts w:ascii="Times New Roman" w:eastAsia="Times New Roman" w:hAnsi="Times New Roman" w:cs="Times New Roman"/>
          <w:b/>
          <w:noProof/>
          <w:sz w:val="24"/>
          <w:szCs w:val="24"/>
          <w:u w:val="single"/>
        </w:rPr>
      </w:pPr>
      <w:bookmarkStart w:id="5" w:name="_Toc351469332"/>
      <w:bookmarkStart w:id="6" w:name="_Toc361649879"/>
      <w:bookmarkEnd w:id="2"/>
      <w:r>
        <w:rPr>
          <w:rFonts w:ascii="Times New Roman" w:hAnsi="Times New Roman"/>
          <w:b/>
          <w:noProof/>
          <w:sz w:val="24"/>
          <w:szCs w:val="24"/>
          <w:u w:val="single"/>
        </w:rPr>
        <w:t>OBRAZLOŽITVENI MEMORANDUM</w:t>
      </w:r>
    </w:p>
    <w:p>
      <w:pPr>
        <w:pStyle w:val="ListParagraph"/>
        <w:keepNext/>
        <w:numPr>
          <w:ilvl w:val="0"/>
          <w:numId w:val="7"/>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bookmarkStart w:id="7" w:name="_Toc525202225"/>
      <w:bookmarkStart w:id="8" w:name="_Toc7167667"/>
      <w:bookmarkStart w:id="9" w:name="_Toc35506098"/>
      <w:bookmarkStart w:id="10" w:name="_Toc84587235"/>
      <w:r>
        <w:rPr>
          <w:rFonts w:ascii="Times New Roman" w:hAnsi="Times New Roman"/>
          <w:b/>
          <w:smallCaps/>
          <w:noProof/>
          <w:sz w:val="24"/>
          <w:szCs w:val="24"/>
        </w:rPr>
        <w:t>Uvod</w:t>
      </w:r>
      <w:bookmarkEnd w:id="7"/>
      <w:bookmarkEnd w:id="8"/>
      <w:bookmarkEnd w:id="9"/>
      <w:bookmarkEnd w:id="10"/>
    </w:p>
    <w:p>
      <w:pPr>
        <w:pStyle w:val="Text1"/>
        <w:ind w:left="0"/>
        <w:rPr>
          <w:noProof/>
        </w:rPr>
      </w:pPr>
      <w:bookmarkStart w:id="11" w:name="_Toc35506099"/>
      <w:bookmarkStart w:id="12" w:name="_Toc7167668"/>
      <w:r>
        <w:rPr>
          <w:noProof/>
        </w:rPr>
        <w:t>Namen predloga spremembe proračuna (PSP) št. 6 za leto 2021 je zagotoviti dodatne odobritve za pospešitev cepljenja po svetu, kritje aktivacij v okviru mehanizma Unije na področju civilne zaščite in odhodkov, ki izhajajo iz sporazumov o zunanjem ribolovu, ter nekatere prilagoditve odhodkov in prihodkov.</w:t>
      </w:r>
    </w:p>
    <w:p>
      <w:pPr>
        <w:pStyle w:val="Text1"/>
        <w:ind w:left="0"/>
        <w:rPr>
          <w:noProof/>
        </w:rPr>
      </w:pPr>
      <w:r>
        <w:rPr>
          <w:noProof/>
        </w:rPr>
        <w:t>Zajema zlasti naslednje elemente:</w:t>
      </w:r>
    </w:p>
    <w:p>
      <w:pPr>
        <w:pStyle w:val="Text1"/>
        <w:numPr>
          <w:ilvl w:val="0"/>
          <w:numId w:val="6"/>
        </w:numPr>
        <w:rPr>
          <w:noProof/>
        </w:rPr>
      </w:pPr>
      <w:r>
        <w:rPr>
          <w:noProof/>
        </w:rPr>
        <w:t>okrepitev Instrumenta za sosedstvo ter razvojno in mednarodno sodelovanje – Globalna Evropa – Globalna Evropa</w:t>
      </w:r>
      <w:r>
        <w:rPr>
          <w:rStyle w:val="FootnoteReference"/>
          <w:noProof/>
        </w:rPr>
        <w:footnoteReference w:id="10"/>
      </w:r>
      <w:r>
        <w:rPr>
          <w:noProof/>
        </w:rPr>
        <w:t xml:space="preserve"> v znesku 450 milijonov EUR v odobritvah za prevzem obveznosti in odobritvah plačil v okviru svetovnega zdravstvenega odziva na COVID-19, da bi do sredine naslednjega leta darovali 200 milijonov odmerkov cepiva proti COVID-19 državam z nizkim in nižjim srednjim dohodkom,</w:t>
      </w:r>
    </w:p>
    <w:p>
      <w:pPr>
        <w:pStyle w:val="ListParagraph"/>
        <w:numPr>
          <w:ilvl w:val="0"/>
          <w:numId w:val="6"/>
        </w:numPr>
        <w:jc w:val="both"/>
        <w:rPr>
          <w:rFonts w:ascii="Times New Roman" w:hAnsi="Times New Roman" w:cs="Times New Roman"/>
          <w:noProof/>
          <w:sz w:val="24"/>
          <w:szCs w:val="24"/>
        </w:rPr>
      </w:pPr>
      <w:r>
        <w:rPr>
          <w:rFonts w:ascii="Times New Roman" w:hAnsi="Times New Roman"/>
          <w:noProof/>
          <w:sz w:val="24"/>
          <w:szCs w:val="24"/>
        </w:rPr>
        <w:t>okrepitev mehanizma Unije na področju civilne zaščite (UCPM/rescEU)</w:t>
      </w:r>
      <w:r>
        <w:rPr>
          <w:rStyle w:val="FootnoteReference"/>
          <w:rFonts w:ascii="Times New Roman" w:hAnsi="Times New Roman" w:cs="Times New Roman"/>
          <w:noProof/>
          <w:sz w:val="24"/>
          <w:szCs w:val="24"/>
        </w:rPr>
        <w:footnoteReference w:id="11"/>
      </w:r>
      <w:r>
        <w:rPr>
          <w:rFonts w:ascii="Times New Roman" w:hAnsi="Times New Roman"/>
          <w:noProof/>
          <w:sz w:val="24"/>
          <w:szCs w:val="24"/>
        </w:rPr>
        <w:t xml:space="preserve"> v znesku 57,8 milijona EUR v odobritvah za prevzem obveznosti, da se zagotovi dodatno financiranje za kritje novih izrednih razmer, vključno z leti za repatriacijo iz Afganistana, odzivom na Haitiju po nedavnem potresu in neizvedenimi operacijami, vključno z gozdnimi požari, katerih stroški presegajo obstoječa razpoložljiva sredstva do konca leta,</w:t>
      </w:r>
    </w:p>
    <w:p>
      <w:pPr>
        <w:pStyle w:val="Text1"/>
        <w:numPr>
          <w:ilvl w:val="0"/>
          <w:numId w:val="6"/>
        </w:numPr>
        <w:rPr>
          <w:noProof/>
        </w:rPr>
      </w:pPr>
      <w:r>
        <w:rPr>
          <w:noProof/>
        </w:rPr>
        <w:t>povečanje ravni odobritev za prevzem obveznosti v proračunski vrstici sporazumov o partnerstvu o trajnostnem ribištvu v znesku 3,5 milijona EUR ob upoštevanju posodobljenih proračunskih potreb po zaključku pogajanj o novih protokolih s Cookovimi otoki in Mavretanijo,</w:t>
      </w:r>
    </w:p>
    <w:p>
      <w:pPr>
        <w:pStyle w:val="Text1"/>
        <w:numPr>
          <w:ilvl w:val="0"/>
          <w:numId w:val="6"/>
        </w:numPr>
        <w:rPr>
          <w:noProof/>
        </w:rPr>
      </w:pPr>
      <w:r>
        <w:rPr>
          <w:noProof/>
        </w:rPr>
        <w:t>prilagoditev proračunske nomenklature na podlagi posebnih zahtevkov držav članic za prerazporeditev sredstev v skladu s členom 26 uredbe o skupnih določbah</w:t>
      </w:r>
      <w:r>
        <w:rPr>
          <w:rStyle w:val="FootnoteReference"/>
          <w:noProof/>
        </w:rPr>
        <w:footnoteReference w:id="12"/>
      </w:r>
      <w:r>
        <w:rPr>
          <w:noProof/>
        </w:rPr>
        <w:t>,</w:t>
      </w:r>
    </w:p>
    <w:p>
      <w:pPr>
        <w:pStyle w:val="ListParagraph"/>
        <w:numPr>
          <w:ilvl w:val="0"/>
          <w:numId w:val="6"/>
        </w:numPr>
        <w:jc w:val="both"/>
        <w:rPr>
          <w:rFonts w:ascii="Times New Roman" w:eastAsia="Times New Roman" w:hAnsi="Times New Roman" w:cs="Times New Roman"/>
          <w:noProof/>
          <w:sz w:val="24"/>
          <w:szCs w:val="24"/>
        </w:rPr>
      </w:pPr>
      <w:r>
        <w:rPr>
          <w:rFonts w:ascii="Times New Roman" w:hAnsi="Times New Roman"/>
          <w:noProof/>
          <w:sz w:val="24"/>
          <w:szCs w:val="24"/>
        </w:rPr>
        <w:t>posodobitev prihodkovne strani proračuna, da se upoštevajo spremenjene ocene lastnih sredstev iz naslova nereciklirane odpadne plastične embalaže.</w:t>
      </w:r>
    </w:p>
    <w:p>
      <w:pPr>
        <w:pStyle w:val="Text1"/>
        <w:ind w:left="0"/>
        <w:rPr>
          <w:noProof/>
        </w:rPr>
      </w:pPr>
      <w:bookmarkStart w:id="13" w:name="_Toc35506109"/>
      <w:bookmarkStart w:id="14" w:name="_Toc514181802"/>
      <w:bookmarkStart w:id="15" w:name="_Toc12621018"/>
      <w:bookmarkEnd w:id="5"/>
      <w:bookmarkEnd w:id="6"/>
      <w:bookmarkEnd w:id="11"/>
      <w:bookmarkEnd w:id="12"/>
      <w:bookmarkEnd w:id="4"/>
      <w:bookmarkEnd w:id="3"/>
      <w:r>
        <w:rPr>
          <w:noProof/>
        </w:rPr>
        <w:t>Na splošno neto učinek tega PSP na odhodke pomeni povečanje v višini 473,5 milijona EUR v odobritvah za prevzem obveznosti. Dodatne odobritve plačil se ne zahtevajo.</w:t>
      </w:r>
    </w:p>
    <w:p>
      <w:pPr>
        <w:pStyle w:val="ListParagraph"/>
        <w:keepNext/>
        <w:numPr>
          <w:ilvl w:val="0"/>
          <w:numId w:val="7"/>
        </w:numPr>
        <w:tabs>
          <w:tab w:val="left" w:pos="850"/>
        </w:tabs>
        <w:spacing w:before="360" w:after="120" w:line="240" w:lineRule="auto"/>
        <w:jc w:val="both"/>
        <w:outlineLvl w:val="0"/>
        <w:rPr>
          <w:b/>
          <w:smallCaps/>
          <w:noProof/>
        </w:rPr>
      </w:pPr>
      <w:bookmarkStart w:id="16" w:name="_Toc84587236"/>
      <w:r>
        <w:rPr>
          <w:rFonts w:ascii="Times New Roman" w:hAnsi="Times New Roman"/>
          <w:b/>
          <w:smallCaps/>
          <w:noProof/>
          <w:sz w:val="24"/>
          <w:szCs w:val="24"/>
        </w:rPr>
        <w:t>Cepiva proti COVID-19 na svetovni ravni</w:t>
      </w:r>
      <w:bookmarkEnd w:id="16"/>
    </w:p>
    <w:p>
      <w:pPr>
        <w:pStyle w:val="Text1"/>
        <w:ind w:left="0"/>
        <w:rPr>
          <w:noProof/>
        </w:rPr>
      </w:pPr>
      <w:r>
        <w:rPr>
          <w:noProof/>
        </w:rPr>
        <w:t>Glede na to, da je bil v državah z nizkim in nižjim srednjim dohodkom na svetovni ravni porabljen manj kot 1 % odmerkov cepiva proti COVID-19, obstaja jasna in nujna potreba po pospešitvi cepljenja na svetovni ravni. EU se je že zavezala, da bo razdelila 250 milijonov odmerkov. Za zagotovitev dodatnih 200 milijonov odmerkov državam z nizkim in nižjim srednjim dohodkom bo treba zbrati 1,3 milijarde EUR. To naj bi se financiralo zlasti s preostalimi zneski v okviru instrumenta za nujno pomoč in prerazporeditvijo iz rezerve Instrumenta za sosedstvo ter razvojno in mednarodno sodelovanje – Globalna Evropa. Da bi dopolnili ta dva prispevka in dosegli 1,3 milijarde EUR ter glede na to, da v razdelku 6 ni nobene razlike do zgornje meje in niso bile opredeljene nobene dodatne možnosti za prerazporeditve, Komisija predlaga uporabo 450 milijonov EUR v odobritvah za prevzem obveznosti in odobritvah plačil iz instrumenta prilagodljivosti</w:t>
      </w:r>
      <w:r>
        <w:rPr>
          <w:rStyle w:val="FootnoteReference"/>
          <w:noProof/>
        </w:rPr>
        <w:footnoteReference w:id="13"/>
      </w:r>
      <w:r>
        <w:rPr>
          <w:noProof/>
        </w:rPr>
        <w:t>. To bo omogočilo takojšnje ukrepanje za zagotovitev dodatnih 200 milijonov odmerkov cepiva v prvi polovici leta 2022.</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rFonts w:ascii="Times New Roman" w:hAnsi="Times New Roman" w:cs="Times New Roman"/>
                <w:i/>
                <w:noProof/>
                <w:sz w:val="20"/>
                <w:szCs w:val="20"/>
              </w:rPr>
            </w:pPr>
            <w:r>
              <w:rPr>
                <w:rFonts w:ascii="Times New Roman" w:hAnsi="Times New Roman"/>
                <w:i/>
                <w:noProof/>
                <w:sz w:val="20"/>
                <w:szCs w:val="20"/>
              </w:rPr>
              <w:t>v EUR</w:t>
            </w:r>
          </w:p>
        </w:tc>
      </w:tr>
      <w:tr>
        <w:trPr>
          <w:jc w:val="center"/>
        </w:trPr>
        <w:tc>
          <w:tcPr>
            <w:tcW w:w="1276" w:type="dxa"/>
            <w:tcBorders>
              <w:top w:val="single" w:sz="4" w:space="0" w:color="auto"/>
            </w:tcBorders>
            <w:shd w:val="clear" w:color="auto" w:fill="D9D9D9" w:themeFill="background1" w:themeFillShade="D9"/>
            <w:vAlign w:val="center"/>
          </w:tcPr>
          <w:p>
            <w:pPr>
              <w:keepNext/>
              <w:spacing w:before="15" w:after="15"/>
              <w:jc w:val="center"/>
              <w:rPr>
                <w:rFonts w:ascii="Times New Roman" w:hAnsi="Times New Roman" w:cs="Times New Roman"/>
                <w:b/>
                <w:noProof/>
                <w:sz w:val="20"/>
                <w:szCs w:val="20"/>
              </w:rPr>
            </w:pPr>
            <w:r>
              <w:rPr>
                <w:rFonts w:ascii="Times New Roman" w:hAnsi="Times New Roman"/>
                <w:b/>
                <w:noProof/>
                <w:sz w:val="20"/>
                <w:szCs w:val="20"/>
              </w:rPr>
              <w:t>Proračunska vrstica</w:t>
            </w:r>
          </w:p>
        </w:tc>
        <w:tc>
          <w:tcPr>
            <w:tcW w:w="5132"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Naziv</w:t>
            </w:r>
          </w:p>
        </w:tc>
        <w:tc>
          <w:tcPr>
            <w:tcW w:w="1701"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za prevzem obveznosti</w:t>
            </w:r>
          </w:p>
        </w:tc>
        <w:tc>
          <w:tcPr>
            <w:tcW w:w="1701"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plačil</w:t>
            </w:r>
          </w:p>
        </w:tc>
      </w:tr>
      <w:tr>
        <w:trPr>
          <w:jc w:val="center"/>
        </w:trPr>
        <w:tc>
          <w:tcPr>
            <w:tcW w:w="9810" w:type="dxa"/>
            <w:gridSpan w:val="4"/>
            <w:shd w:val="clear" w:color="auto" w:fill="F2F2F2" w:themeFill="background1" w:themeFillShade="F2"/>
            <w:vAlign w:val="center"/>
          </w:tcPr>
          <w:p>
            <w:pPr>
              <w:widowControl w:val="0"/>
              <w:spacing w:before="15" w:after="15"/>
              <w:rPr>
                <w:rFonts w:ascii="Times New Roman" w:hAnsi="Times New Roman" w:cs="Times New Roman"/>
                <w:i/>
                <w:noProof/>
                <w:sz w:val="20"/>
                <w:szCs w:val="20"/>
              </w:rPr>
            </w:pPr>
            <w:r>
              <w:rPr>
                <w:rFonts w:ascii="Times New Roman" w:hAnsi="Times New Roman"/>
                <w:i/>
                <w:noProof/>
                <w:sz w:val="20"/>
                <w:szCs w:val="20"/>
              </w:rPr>
              <w:t>Oddelek III − Komisija</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14 02 02 40</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Ljudje – Globalni izzivi</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450 000 000</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450 000 000</w:t>
            </w:r>
          </w:p>
        </w:tc>
      </w:tr>
      <w:tr>
        <w:trPr>
          <w:jc w:val="center"/>
        </w:trPr>
        <w:tc>
          <w:tcPr>
            <w:tcW w:w="6408" w:type="dxa"/>
            <w:gridSpan w:val="2"/>
            <w:shd w:val="clear" w:color="auto" w:fill="D9D9D9" w:themeFill="background1" w:themeFillShade="D9"/>
          </w:tcPr>
          <w:p>
            <w:pPr>
              <w:widowControl w:val="0"/>
              <w:spacing w:before="15" w:after="15"/>
              <w:ind w:right="-113"/>
              <w:jc w:val="both"/>
              <w:rPr>
                <w:rFonts w:ascii="Times New Roman" w:hAnsi="Times New Roman" w:cs="Times New Roman"/>
                <w:noProof/>
                <w:sz w:val="20"/>
                <w:szCs w:val="20"/>
              </w:rPr>
            </w:pPr>
            <w:r>
              <w:rPr>
                <w:rFonts w:ascii="Times New Roman" w:hAnsi="Times New Roman"/>
                <w:b/>
                <w:noProof/>
                <w:sz w:val="20"/>
                <w:szCs w:val="20"/>
              </w:rPr>
              <w:t>Skupaj</w:t>
            </w:r>
            <w:r>
              <w:rPr>
                <w:rFonts w:ascii="Times New Roman" w:hAnsi="Times New Roman"/>
                <w:b/>
                <w:noProof/>
                <w:sz w:val="20"/>
                <w:szCs w:val="20"/>
              </w:rPr>
              <w:tab/>
            </w:r>
          </w:p>
        </w:tc>
        <w:tc>
          <w:tcPr>
            <w:tcW w:w="1701" w:type="dxa"/>
            <w:shd w:val="clear" w:color="auto" w:fill="D9D9D9" w:themeFill="background1" w:themeFillShade="D9"/>
          </w:tcPr>
          <w:p>
            <w:pPr>
              <w:widowControl w:val="0"/>
              <w:spacing w:before="15" w:after="15"/>
              <w:jc w:val="right"/>
              <w:rPr>
                <w:rFonts w:ascii="Times New Roman" w:hAnsi="Times New Roman" w:cs="Times New Roman"/>
                <w:b/>
                <w:bCs/>
                <w:noProof/>
                <w:sz w:val="20"/>
                <w:szCs w:val="20"/>
              </w:rPr>
            </w:pPr>
            <w:r>
              <w:rPr>
                <w:rFonts w:ascii="Times New Roman" w:hAnsi="Times New Roman"/>
                <w:b/>
                <w:bCs/>
                <w:noProof/>
                <w:sz w:val="20"/>
                <w:szCs w:val="20"/>
              </w:rPr>
              <w:t>450 000 000</w:t>
            </w:r>
          </w:p>
        </w:tc>
        <w:tc>
          <w:tcPr>
            <w:tcW w:w="1701" w:type="dxa"/>
            <w:shd w:val="clear" w:color="auto" w:fill="D9D9D9" w:themeFill="background1" w:themeFillShade="D9"/>
          </w:tcPr>
          <w:p>
            <w:pPr>
              <w:widowControl w:val="0"/>
              <w:spacing w:before="15" w:after="15"/>
              <w:jc w:val="right"/>
              <w:rPr>
                <w:rFonts w:ascii="Times New Roman" w:hAnsi="Times New Roman" w:cs="Times New Roman"/>
                <w:b/>
                <w:noProof/>
                <w:sz w:val="20"/>
                <w:szCs w:val="20"/>
              </w:rPr>
            </w:pPr>
            <w:r>
              <w:rPr>
                <w:rFonts w:ascii="Times New Roman" w:hAnsi="Times New Roman"/>
                <w:b/>
                <w:bCs/>
                <w:noProof/>
                <w:sz w:val="20"/>
                <w:szCs w:val="20"/>
              </w:rPr>
              <w:t>450 000 000</w:t>
            </w:r>
          </w:p>
        </w:tc>
      </w:tr>
    </w:tbl>
    <w:p>
      <w:pPr>
        <w:pStyle w:val="Text1"/>
        <w:ind w:left="0"/>
        <w:rPr>
          <w:noProof/>
        </w:rPr>
      </w:pPr>
      <w:r>
        <w:rPr>
          <w:noProof/>
        </w:rPr>
        <w:t>Odobritve plačil se lahko izravnajo z ustreznim zmanjšanjem odobritev na postavki „Vrste intervencij za razvoj podeželja – programi za obdobje 2014–2022“ v okviru EKSRP. To zmanjšanje je upravičeno s pavšalnimi plačili iz EKSRP zaradi COVID-19 kmetom in MSP iz živilskopredelovalnega sektorja, ki so pod najvišjim pragom 2 % dodelitev EKSRP za večino programov, v okviru katerih je bilo zaprošeno zanje. Poleg tega so bila zaradi poznega sprejetja podaljšanja programov za razvoj podeželja v okviru prehodne uredbe o skupni kmetijski politiki tudi plačila za dodelitve EKSRP za leto 2021 nižja. Na podlagi doslej prejetih izjav o odhodkih in analize najnovejših napovedi držav članic, predloženih do konca avgusta 2021, znaša ugotovljeni presežek 617 milijonov EUR. Del tega presežka, ki ni vključen v ta PSP (167 milijonov EUR), je vključen v globalno prerazporeditev (DEC 20/2021).</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rFonts w:ascii="Times New Roman" w:hAnsi="Times New Roman" w:cs="Times New Roman"/>
                <w:i/>
                <w:noProof/>
                <w:sz w:val="20"/>
                <w:szCs w:val="20"/>
              </w:rPr>
            </w:pPr>
            <w:r>
              <w:rPr>
                <w:rFonts w:ascii="Times New Roman" w:hAnsi="Times New Roman"/>
                <w:i/>
                <w:noProof/>
                <w:sz w:val="20"/>
                <w:szCs w:val="20"/>
              </w:rPr>
              <w:t>v EUR</w:t>
            </w:r>
          </w:p>
        </w:tc>
      </w:tr>
      <w:tr>
        <w:trPr>
          <w:jc w:val="center"/>
        </w:trPr>
        <w:tc>
          <w:tcPr>
            <w:tcW w:w="1276" w:type="dxa"/>
            <w:tcBorders>
              <w:top w:val="single" w:sz="4" w:space="0" w:color="auto"/>
            </w:tcBorders>
            <w:shd w:val="clear" w:color="auto" w:fill="D9D9D9" w:themeFill="background1" w:themeFillShade="D9"/>
            <w:vAlign w:val="center"/>
          </w:tcPr>
          <w:p>
            <w:pPr>
              <w:keepNext/>
              <w:spacing w:before="15" w:after="15"/>
              <w:jc w:val="center"/>
              <w:rPr>
                <w:rFonts w:ascii="Times New Roman" w:hAnsi="Times New Roman" w:cs="Times New Roman"/>
                <w:b/>
                <w:noProof/>
                <w:sz w:val="20"/>
                <w:szCs w:val="20"/>
              </w:rPr>
            </w:pPr>
            <w:r>
              <w:rPr>
                <w:rFonts w:ascii="Times New Roman" w:hAnsi="Times New Roman"/>
                <w:b/>
                <w:noProof/>
                <w:sz w:val="20"/>
                <w:szCs w:val="20"/>
              </w:rPr>
              <w:t>Proračunska vrstica</w:t>
            </w:r>
          </w:p>
        </w:tc>
        <w:tc>
          <w:tcPr>
            <w:tcW w:w="5132"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Naziv</w:t>
            </w:r>
          </w:p>
        </w:tc>
        <w:tc>
          <w:tcPr>
            <w:tcW w:w="1701"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za prevzem obveznosti</w:t>
            </w:r>
          </w:p>
        </w:tc>
        <w:tc>
          <w:tcPr>
            <w:tcW w:w="1701"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plačil</w:t>
            </w:r>
          </w:p>
        </w:tc>
      </w:tr>
      <w:tr>
        <w:trPr>
          <w:jc w:val="center"/>
        </w:trPr>
        <w:tc>
          <w:tcPr>
            <w:tcW w:w="9810" w:type="dxa"/>
            <w:gridSpan w:val="4"/>
            <w:shd w:val="clear" w:color="auto" w:fill="F2F2F2" w:themeFill="background1" w:themeFillShade="F2"/>
            <w:vAlign w:val="center"/>
          </w:tcPr>
          <w:p>
            <w:pPr>
              <w:widowControl w:val="0"/>
              <w:spacing w:before="15" w:after="15"/>
              <w:rPr>
                <w:rFonts w:ascii="Times New Roman" w:hAnsi="Times New Roman" w:cs="Times New Roman"/>
                <w:i/>
                <w:noProof/>
                <w:sz w:val="20"/>
                <w:szCs w:val="20"/>
              </w:rPr>
            </w:pPr>
            <w:r>
              <w:rPr>
                <w:rFonts w:ascii="Times New Roman" w:hAnsi="Times New Roman"/>
                <w:i/>
                <w:noProof/>
                <w:sz w:val="20"/>
                <w:szCs w:val="20"/>
              </w:rPr>
              <w:t>Oddelek III − Komisija</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08 03 01 02</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Vrste intervencij za razvoj podeželja – programi za obdobje 2014–2022</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0</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–450 000 000</w:t>
            </w:r>
          </w:p>
        </w:tc>
      </w:tr>
      <w:tr>
        <w:trPr>
          <w:jc w:val="center"/>
        </w:trPr>
        <w:tc>
          <w:tcPr>
            <w:tcW w:w="6408" w:type="dxa"/>
            <w:gridSpan w:val="2"/>
            <w:shd w:val="clear" w:color="auto" w:fill="D9D9D9" w:themeFill="background1" w:themeFillShade="D9"/>
          </w:tcPr>
          <w:p>
            <w:pPr>
              <w:widowControl w:val="0"/>
              <w:spacing w:before="15" w:after="15"/>
              <w:ind w:right="-113"/>
              <w:jc w:val="both"/>
              <w:rPr>
                <w:rFonts w:ascii="Times New Roman" w:hAnsi="Times New Roman" w:cs="Times New Roman"/>
                <w:noProof/>
                <w:sz w:val="20"/>
                <w:szCs w:val="20"/>
              </w:rPr>
            </w:pPr>
            <w:r>
              <w:rPr>
                <w:rFonts w:ascii="Times New Roman" w:hAnsi="Times New Roman"/>
                <w:b/>
                <w:noProof/>
                <w:sz w:val="20"/>
                <w:szCs w:val="20"/>
              </w:rPr>
              <w:t>Skupaj</w:t>
            </w:r>
            <w:r>
              <w:rPr>
                <w:rFonts w:ascii="Times New Roman" w:hAnsi="Times New Roman"/>
                <w:b/>
                <w:noProof/>
                <w:sz w:val="20"/>
                <w:szCs w:val="20"/>
              </w:rPr>
              <w:tab/>
            </w:r>
          </w:p>
        </w:tc>
        <w:tc>
          <w:tcPr>
            <w:tcW w:w="1701" w:type="dxa"/>
            <w:shd w:val="clear" w:color="auto" w:fill="D9D9D9" w:themeFill="background1" w:themeFillShade="D9"/>
          </w:tcPr>
          <w:p>
            <w:pPr>
              <w:widowControl w:val="0"/>
              <w:spacing w:before="15" w:after="15"/>
              <w:jc w:val="right"/>
              <w:rPr>
                <w:rFonts w:ascii="Times New Roman" w:hAnsi="Times New Roman" w:cs="Times New Roman"/>
                <w:b/>
                <w:bCs/>
                <w:noProof/>
                <w:sz w:val="20"/>
                <w:szCs w:val="20"/>
              </w:rPr>
            </w:pPr>
            <w:r>
              <w:rPr>
                <w:rFonts w:ascii="Times New Roman" w:hAnsi="Times New Roman"/>
                <w:b/>
                <w:bCs/>
                <w:noProof/>
                <w:sz w:val="20"/>
                <w:szCs w:val="20"/>
              </w:rPr>
              <w:t>0</w:t>
            </w:r>
          </w:p>
        </w:tc>
        <w:tc>
          <w:tcPr>
            <w:tcW w:w="1701" w:type="dxa"/>
            <w:shd w:val="clear" w:color="auto" w:fill="D9D9D9" w:themeFill="background1" w:themeFillShade="D9"/>
          </w:tcPr>
          <w:p>
            <w:pPr>
              <w:widowControl w:val="0"/>
              <w:spacing w:before="15" w:after="15"/>
              <w:jc w:val="right"/>
              <w:rPr>
                <w:rFonts w:ascii="Times New Roman" w:hAnsi="Times New Roman" w:cs="Times New Roman"/>
                <w:b/>
                <w:noProof/>
                <w:sz w:val="20"/>
                <w:szCs w:val="20"/>
              </w:rPr>
            </w:pPr>
            <w:r>
              <w:rPr>
                <w:rFonts w:ascii="Times New Roman" w:hAnsi="Times New Roman"/>
                <w:b/>
                <w:bCs/>
                <w:noProof/>
                <w:sz w:val="20"/>
                <w:szCs w:val="20"/>
              </w:rPr>
              <w:t>–450 000 000</w:t>
            </w:r>
          </w:p>
        </w:tc>
      </w:tr>
    </w:tbl>
    <w:p>
      <w:pPr>
        <w:pStyle w:val="ListParagraph"/>
        <w:keepNext/>
        <w:numPr>
          <w:ilvl w:val="0"/>
          <w:numId w:val="7"/>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bookmarkStart w:id="17" w:name="_Toc84587237"/>
      <w:r>
        <w:rPr>
          <w:rFonts w:ascii="Times New Roman" w:hAnsi="Times New Roman"/>
          <w:b/>
          <w:smallCaps/>
          <w:noProof/>
          <w:sz w:val="24"/>
          <w:szCs w:val="24"/>
        </w:rPr>
        <w:t>Okrepitev mehanizma Unije na področju civilne zaščite (UCPM/rescEU)</w:t>
      </w:r>
      <w:bookmarkEnd w:id="17"/>
    </w:p>
    <w:p>
      <w:pPr>
        <w:pStyle w:val="Text1"/>
        <w:ind w:left="0"/>
        <w:rPr>
          <w:noProof/>
        </w:rPr>
      </w:pPr>
      <w:r>
        <w:rPr>
          <w:noProof/>
        </w:rPr>
        <w:t>Po še enem polletju z izjemnim številom zahtevkov za pomoč v okviru mehanizma Unije na področju civilne zaščite zaradi COVID-19, vključno z eno največjih operacij v zgodovini mehanizma v korist Indije in Nepala, je bil poleti ta mehanizem aktiviran za evakuacije iz Afganistana, operacije na Haitiju po nedavnem potresu ter gašenje gozdnih požarov in odpravo posledic poplav v Evropi. Poleg tega se pričakujejo aktivacije mehanizma pred koncem leta po sezoni tropskih ciklonov v latinskoameriški in pacifiški regiji. Pričakuje se, da bo leta 2021 število zahtevkov za pomoč v okviru tega mehanizma preseglo izjemno raven iz leta 2020 (102 zahtevka). Do 29. septembra 2021 je bilo v okviru mehanizma Unije na področju civilne zaščite predloženih skupno 91 zahtevkov za pomoč. Na splošno bodo za zagotovitev ustreznega odziva v okviru tega mehanizma potrebne dodatne odobritve za prevzem obveznosti, ocenjene na 57,8 milijona EUR. Sedanja raven razpoložljivih odobritev plačil zadostuje za izpolnitev plačilnih obveznosti do konca leta.</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rFonts w:ascii="Times New Roman" w:hAnsi="Times New Roman" w:cs="Times New Roman"/>
                <w:i/>
                <w:noProof/>
                <w:sz w:val="20"/>
                <w:szCs w:val="20"/>
              </w:rPr>
            </w:pPr>
            <w:r>
              <w:rPr>
                <w:rFonts w:ascii="Times New Roman" w:hAnsi="Times New Roman"/>
                <w:i/>
                <w:noProof/>
                <w:sz w:val="20"/>
                <w:szCs w:val="20"/>
              </w:rPr>
              <w:t>v EUR</w:t>
            </w:r>
          </w:p>
        </w:tc>
      </w:tr>
      <w:tr>
        <w:trPr>
          <w:jc w:val="center"/>
        </w:trPr>
        <w:tc>
          <w:tcPr>
            <w:tcW w:w="1276" w:type="dxa"/>
            <w:tcBorders>
              <w:top w:val="single" w:sz="4" w:space="0" w:color="auto"/>
            </w:tcBorders>
            <w:shd w:val="clear" w:color="auto" w:fill="D9D9D9" w:themeFill="background1" w:themeFillShade="D9"/>
            <w:vAlign w:val="center"/>
          </w:tcPr>
          <w:p>
            <w:pPr>
              <w:keepNext/>
              <w:spacing w:before="15" w:after="15"/>
              <w:jc w:val="center"/>
              <w:rPr>
                <w:rFonts w:ascii="Times New Roman" w:hAnsi="Times New Roman" w:cs="Times New Roman"/>
                <w:b/>
                <w:noProof/>
                <w:sz w:val="20"/>
                <w:szCs w:val="20"/>
              </w:rPr>
            </w:pPr>
            <w:r>
              <w:rPr>
                <w:rFonts w:ascii="Times New Roman" w:hAnsi="Times New Roman"/>
                <w:b/>
                <w:noProof/>
                <w:sz w:val="20"/>
                <w:szCs w:val="20"/>
              </w:rPr>
              <w:t>Proračunska vrstica</w:t>
            </w:r>
          </w:p>
        </w:tc>
        <w:tc>
          <w:tcPr>
            <w:tcW w:w="5132"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Naziv</w:t>
            </w:r>
          </w:p>
        </w:tc>
        <w:tc>
          <w:tcPr>
            <w:tcW w:w="1701"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za prevzem obveznosti</w:t>
            </w:r>
          </w:p>
        </w:tc>
        <w:tc>
          <w:tcPr>
            <w:tcW w:w="1701"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plačil</w:t>
            </w:r>
          </w:p>
        </w:tc>
      </w:tr>
      <w:tr>
        <w:trPr>
          <w:jc w:val="center"/>
        </w:trPr>
        <w:tc>
          <w:tcPr>
            <w:tcW w:w="9810" w:type="dxa"/>
            <w:gridSpan w:val="4"/>
            <w:shd w:val="clear" w:color="auto" w:fill="F2F2F2" w:themeFill="background1" w:themeFillShade="F2"/>
            <w:vAlign w:val="center"/>
          </w:tcPr>
          <w:p>
            <w:pPr>
              <w:widowControl w:val="0"/>
              <w:spacing w:before="15" w:after="15"/>
              <w:rPr>
                <w:rFonts w:ascii="Times New Roman" w:hAnsi="Times New Roman" w:cs="Times New Roman"/>
                <w:i/>
                <w:noProof/>
                <w:sz w:val="20"/>
                <w:szCs w:val="20"/>
              </w:rPr>
            </w:pPr>
            <w:r>
              <w:rPr>
                <w:rFonts w:ascii="Times New Roman" w:hAnsi="Times New Roman"/>
                <w:i/>
                <w:noProof/>
                <w:sz w:val="20"/>
                <w:szCs w:val="20"/>
              </w:rPr>
              <w:t>Oddelek III − Komisija</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06 05 01</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Mehanizem Unije na področju civilne zaščite (rescEU)</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57 811 000</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0</w:t>
            </w:r>
          </w:p>
        </w:tc>
      </w:tr>
      <w:tr>
        <w:trPr>
          <w:jc w:val="center"/>
        </w:trPr>
        <w:tc>
          <w:tcPr>
            <w:tcW w:w="6408" w:type="dxa"/>
            <w:gridSpan w:val="2"/>
            <w:shd w:val="clear" w:color="auto" w:fill="D9D9D9" w:themeFill="background1" w:themeFillShade="D9"/>
          </w:tcPr>
          <w:p>
            <w:pPr>
              <w:widowControl w:val="0"/>
              <w:spacing w:before="15" w:after="15"/>
              <w:ind w:right="-113"/>
              <w:jc w:val="both"/>
              <w:rPr>
                <w:rFonts w:ascii="Times New Roman" w:hAnsi="Times New Roman" w:cs="Times New Roman"/>
                <w:noProof/>
                <w:sz w:val="20"/>
                <w:szCs w:val="20"/>
              </w:rPr>
            </w:pPr>
            <w:r>
              <w:rPr>
                <w:rFonts w:ascii="Times New Roman" w:hAnsi="Times New Roman"/>
                <w:b/>
                <w:noProof/>
                <w:sz w:val="20"/>
                <w:szCs w:val="20"/>
              </w:rPr>
              <w:t>Skupaj</w:t>
            </w:r>
            <w:r>
              <w:rPr>
                <w:rFonts w:ascii="Times New Roman" w:hAnsi="Times New Roman"/>
                <w:b/>
                <w:noProof/>
                <w:sz w:val="20"/>
                <w:szCs w:val="20"/>
              </w:rPr>
              <w:tab/>
            </w:r>
          </w:p>
        </w:tc>
        <w:tc>
          <w:tcPr>
            <w:tcW w:w="1701" w:type="dxa"/>
            <w:shd w:val="clear" w:color="auto" w:fill="D9D9D9" w:themeFill="background1" w:themeFillShade="D9"/>
          </w:tcPr>
          <w:p>
            <w:pPr>
              <w:widowControl w:val="0"/>
              <w:spacing w:before="15" w:after="15"/>
              <w:jc w:val="right"/>
              <w:rPr>
                <w:rFonts w:ascii="Times New Roman" w:hAnsi="Times New Roman" w:cs="Times New Roman"/>
                <w:b/>
                <w:bCs/>
                <w:noProof/>
                <w:sz w:val="20"/>
                <w:szCs w:val="20"/>
              </w:rPr>
            </w:pPr>
            <w:r>
              <w:rPr>
                <w:rFonts w:ascii="Times New Roman" w:hAnsi="Times New Roman"/>
                <w:b/>
                <w:bCs/>
                <w:noProof/>
                <w:sz w:val="20"/>
                <w:szCs w:val="20"/>
              </w:rPr>
              <w:t>57 811 000</w:t>
            </w:r>
          </w:p>
        </w:tc>
        <w:tc>
          <w:tcPr>
            <w:tcW w:w="1701" w:type="dxa"/>
            <w:shd w:val="clear" w:color="auto" w:fill="D9D9D9" w:themeFill="background1" w:themeFillShade="D9"/>
          </w:tcPr>
          <w:p>
            <w:pPr>
              <w:widowControl w:val="0"/>
              <w:spacing w:before="15" w:after="15"/>
              <w:jc w:val="right"/>
              <w:rPr>
                <w:rFonts w:ascii="Times New Roman" w:hAnsi="Times New Roman" w:cs="Times New Roman"/>
                <w:b/>
                <w:noProof/>
                <w:sz w:val="20"/>
                <w:szCs w:val="20"/>
              </w:rPr>
            </w:pPr>
            <w:r>
              <w:rPr>
                <w:rFonts w:ascii="Times New Roman" w:hAnsi="Times New Roman"/>
                <w:b/>
                <w:noProof/>
                <w:sz w:val="20"/>
                <w:szCs w:val="20"/>
              </w:rPr>
              <w:t>0</w:t>
            </w:r>
          </w:p>
        </w:tc>
      </w:tr>
    </w:tbl>
    <w:p>
      <w:pPr>
        <w:pStyle w:val="Text1"/>
        <w:ind w:left="0"/>
        <w:rPr>
          <w:noProof/>
        </w:rPr>
      </w:pPr>
      <w:r>
        <w:rPr>
          <w:noProof/>
        </w:rPr>
        <w:t>Glede na to, da sta bila v sedanjem proračunu opredeljena dva vira za prerazporeditev, se predlaga, da se dodatna potreba v višini 37,8 milijona EUR financira s prerazporeditvijo 20 milijonov EUR v odobritvah za prevzem obveznosti iz Evropskega centra za preprečevanje in obvladovanje bolezni (ECDC) oziroma 17,8 milijona EUR v odobritvah za prevzem obveznosti iz prispevka Unije Evropski agenciji za zdravila (EMA).</w:t>
      </w:r>
    </w:p>
    <w:p>
      <w:pPr>
        <w:pStyle w:val="Text1"/>
        <w:ind w:left="0"/>
        <w:rPr>
          <w:noProof/>
        </w:rPr>
      </w:pPr>
      <w:r>
        <w:rPr>
          <w:noProof/>
        </w:rPr>
        <w:t xml:space="preserve">ECDC je s spremembo proračuna št. 1/2021 prejel okrepitve v zvezi s tremi specifičnimi dejavnostmi, povezanimi z odzivanjem na COVID-19, v skupnem znesku 106 milijonov EUR v odobritvah za prevzem obveznosti in odobritvah plačil za leto 2021: </w:t>
      </w:r>
    </w:p>
    <w:p>
      <w:pPr>
        <w:pStyle w:val="Text1"/>
        <w:numPr>
          <w:ilvl w:val="0"/>
          <w:numId w:val="10"/>
        </w:numPr>
        <w:rPr>
          <w:noProof/>
        </w:rPr>
      </w:pPr>
      <w:r>
        <w:rPr>
          <w:noProof/>
        </w:rPr>
        <w:t xml:space="preserve">celotnim genomskim sekvenciranjem, oddanim zunanjim izvajalcem, za katerega agencija zdaj vrača 12 milijonov EUR zaradi nižje ravni sekvenciranja, </w:t>
      </w:r>
    </w:p>
    <w:p>
      <w:pPr>
        <w:pStyle w:val="Text1"/>
        <w:numPr>
          <w:ilvl w:val="0"/>
          <w:numId w:val="10"/>
        </w:numPr>
        <w:rPr>
          <w:noProof/>
        </w:rPr>
      </w:pPr>
      <w:r>
        <w:rPr>
          <w:noProof/>
        </w:rPr>
        <w:t xml:space="preserve">nacionalno infrastrukturno podporo, za katero se vrne 6 milijonov EUR zaradi manjšega zanimanja držav članic in držav EGP </w:t>
      </w:r>
    </w:p>
    <w:p>
      <w:pPr>
        <w:pStyle w:val="Text1"/>
        <w:numPr>
          <w:ilvl w:val="0"/>
          <w:numId w:val="10"/>
        </w:numPr>
        <w:rPr>
          <w:noProof/>
        </w:rPr>
      </w:pPr>
      <w:r>
        <w:rPr>
          <w:noProof/>
        </w:rPr>
        <w:t xml:space="preserve">ter čezmejno podporo za krepitev zmogljivosti, za katero se zaradi tekočega javnega naročanja vrneta 2 milijona EUR. </w:t>
      </w:r>
    </w:p>
    <w:p>
      <w:pPr>
        <w:pStyle w:val="Text1"/>
        <w:ind w:left="0"/>
        <w:rPr>
          <w:noProof/>
        </w:rPr>
      </w:pPr>
      <w:r>
        <w:rPr>
          <w:noProof/>
        </w:rPr>
        <w:t>ECDC je uspel izkoristiti 86 milijonov EUR v obveznostih in plačilih, v letu 2021 pa je zabeležil presežek v višini 20 milijonov EUR. Ustrezna plačila so dana na voljo v okviru globalne prerazporeditve. Še vedno bo potrebnih 10 milijonov EUR, za katere se predlaga, da se ponovno dajo na voljo leta 2022.</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rFonts w:ascii="Times New Roman" w:hAnsi="Times New Roman" w:cs="Times New Roman"/>
                <w:i/>
                <w:noProof/>
                <w:sz w:val="20"/>
                <w:szCs w:val="20"/>
              </w:rPr>
            </w:pPr>
            <w:r>
              <w:rPr>
                <w:rFonts w:ascii="Times New Roman" w:hAnsi="Times New Roman"/>
                <w:i/>
                <w:noProof/>
                <w:sz w:val="20"/>
                <w:szCs w:val="20"/>
              </w:rPr>
              <w:t>v EUR</w:t>
            </w:r>
          </w:p>
        </w:tc>
      </w:tr>
      <w:tr>
        <w:trPr>
          <w:jc w:val="center"/>
        </w:trPr>
        <w:tc>
          <w:tcPr>
            <w:tcW w:w="1276" w:type="dxa"/>
            <w:tcBorders>
              <w:top w:val="single" w:sz="4" w:space="0" w:color="auto"/>
            </w:tcBorders>
            <w:shd w:val="clear" w:color="auto" w:fill="D9D9D9" w:themeFill="background1" w:themeFillShade="D9"/>
            <w:vAlign w:val="center"/>
          </w:tcPr>
          <w:p>
            <w:pPr>
              <w:keepNext/>
              <w:spacing w:before="15" w:after="15"/>
              <w:jc w:val="center"/>
              <w:rPr>
                <w:rFonts w:ascii="Times New Roman" w:hAnsi="Times New Roman" w:cs="Times New Roman"/>
                <w:b/>
                <w:noProof/>
                <w:sz w:val="20"/>
                <w:szCs w:val="20"/>
              </w:rPr>
            </w:pPr>
            <w:r>
              <w:rPr>
                <w:rFonts w:ascii="Times New Roman" w:hAnsi="Times New Roman"/>
                <w:b/>
                <w:noProof/>
                <w:sz w:val="20"/>
                <w:szCs w:val="20"/>
              </w:rPr>
              <w:t>Proračunska vrstica</w:t>
            </w:r>
          </w:p>
        </w:tc>
        <w:tc>
          <w:tcPr>
            <w:tcW w:w="5132"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Naziv</w:t>
            </w:r>
          </w:p>
        </w:tc>
        <w:tc>
          <w:tcPr>
            <w:tcW w:w="1701"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za prevzem obveznosti</w:t>
            </w:r>
          </w:p>
        </w:tc>
        <w:tc>
          <w:tcPr>
            <w:tcW w:w="1701"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plačil</w:t>
            </w:r>
          </w:p>
        </w:tc>
      </w:tr>
      <w:tr>
        <w:trPr>
          <w:jc w:val="center"/>
        </w:trPr>
        <w:tc>
          <w:tcPr>
            <w:tcW w:w="9810" w:type="dxa"/>
            <w:gridSpan w:val="4"/>
            <w:shd w:val="clear" w:color="auto" w:fill="F2F2F2" w:themeFill="background1" w:themeFillShade="F2"/>
            <w:vAlign w:val="center"/>
          </w:tcPr>
          <w:p>
            <w:pPr>
              <w:widowControl w:val="0"/>
              <w:spacing w:before="15" w:after="15"/>
              <w:rPr>
                <w:rFonts w:ascii="Times New Roman" w:hAnsi="Times New Roman" w:cs="Times New Roman"/>
                <w:i/>
                <w:noProof/>
                <w:sz w:val="20"/>
                <w:szCs w:val="20"/>
              </w:rPr>
            </w:pPr>
            <w:r>
              <w:rPr>
                <w:rFonts w:ascii="Times New Roman" w:hAnsi="Times New Roman"/>
                <w:i/>
                <w:noProof/>
                <w:sz w:val="20"/>
                <w:szCs w:val="20"/>
              </w:rPr>
              <w:t>Oddelek III − Komisija</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06 10 01</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Evropski center za preprečevanje in obvladovanje bolezni</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–20 000 000</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0</w:t>
            </w:r>
          </w:p>
        </w:tc>
      </w:tr>
      <w:tr>
        <w:trPr>
          <w:jc w:val="center"/>
        </w:trPr>
        <w:tc>
          <w:tcPr>
            <w:tcW w:w="6408" w:type="dxa"/>
            <w:gridSpan w:val="2"/>
            <w:shd w:val="clear" w:color="auto" w:fill="D9D9D9" w:themeFill="background1" w:themeFillShade="D9"/>
          </w:tcPr>
          <w:p>
            <w:pPr>
              <w:widowControl w:val="0"/>
              <w:spacing w:before="15" w:after="15"/>
              <w:ind w:right="-113"/>
              <w:jc w:val="both"/>
              <w:rPr>
                <w:rFonts w:ascii="Times New Roman" w:hAnsi="Times New Roman" w:cs="Times New Roman"/>
                <w:noProof/>
                <w:sz w:val="20"/>
                <w:szCs w:val="20"/>
              </w:rPr>
            </w:pPr>
            <w:r>
              <w:rPr>
                <w:rFonts w:ascii="Times New Roman" w:hAnsi="Times New Roman"/>
                <w:b/>
                <w:noProof/>
                <w:sz w:val="20"/>
                <w:szCs w:val="20"/>
              </w:rPr>
              <w:t>Skupaj</w:t>
            </w:r>
            <w:r>
              <w:rPr>
                <w:rFonts w:ascii="Times New Roman" w:hAnsi="Times New Roman"/>
                <w:b/>
                <w:noProof/>
                <w:sz w:val="20"/>
                <w:szCs w:val="20"/>
              </w:rPr>
              <w:tab/>
            </w:r>
          </w:p>
        </w:tc>
        <w:tc>
          <w:tcPr>
            <w:tcW w:w="1701" w:type="dxa"/>
            <w:shd w:val="clear" w:color="auto" w:fill="D9D9D9" w:themeFill="background1" w:themeFillShade="D9"/>
          </w:tcPr>
          <w:p>
            <w:pPr>
              <w:widowControl w:val="0"/>
              <w:spacing w:before="15" w:after="15"/>
              <w:jc w:val="right"/>
              <w:rPr>
                <w:rFonts w:ascii="Times New Roman" w:hAnsi="Times New Roman" w:cs="Times New Roman"/>
                <w:b/>
                <w:bCs/>
                <w:noProof/>
                <w:sz w:val="20"/>
                <w:szCs w:val="20"/>
              </w:rPr>
            </w:pPr>
            <w:r>
              <w:rPr>
                <w:rFonts w:ascii="Times New Roman" w:hAnsi="Times New Roman"/>
                <w:b/>
                <w:bCs/>
                <w:noProof/>
                <w:sz w:val="20"/>
                <w:szCs w:val="20"/>
              </w:rPr>
              <w:t>–20 000 000</w:t>
            </w:r>
          </w:p>
        </w:tc>
        <w:tc>
          <w:tcPr>
            <w:tcW w:w="1701" w:type="dxa"/>
            <w:shd w:val="clear" w:color="auto" w:fill="D9D9D9" w:themeFill="background1" w:themeFillShade="D9"/>
          </w:tcPr>
          <w:p>
            <w:pPr>
              <w:widowControl w:val="0"/>
              <w:spacing w:before="15" w:after="15"/>
              <w:jc w:val="right"/>
              <w:rPr>
                <w:rFonts w:ascii="Times New Roman" w:hAnsi="Times New Roman" w:cs="Times New Roman"/>
                <w:b/>
                <w:noProof/>
                <w:sz w:val="20"/>
                <w:szCs w:val="20"/>
              </w:rPr>
            </w:pPr>
            <w:r>
              <w:rPr>
                <w:rFonts w:ascii="Times New Roman" w:hAnsi="Times New Roman"/>
                <w:b/>
                <w:noProof/>
                <w:sz w:val="20"/>
                <w:szCs w:val="20"/>
              </w:rPr>
              <w:t>0</w:t>
            </w:r>
          </w:p>
        </w:tc>
      </w:tr>
    </w:tbl>
    <w:p>
      <w:pPr>
        <w:pStyle w:val="Text1"/>
        <w:ind w:left="0"/>
        <w:rPr>
          <w:noProof/>
        </w:rPr>
      </w:pPr>
      <w:r>
        <w:rPr>
          <w:noProof/>
        </w:rPr>
        <w:t>EMA je ugotovila presežek v višini 17,8 milijona EUR v odobritvah za prevzem obveznosti in odobritvah plačil. To je posledica razvoja informacijske tehnologije in naložb, povezanih z novim mandatom agencije EMA. Agencija je začela izvajati dejavnosti v zvezi s podrobnimi specifikacijami za razvoj informacijske tehnologije, ki zadevajo nove naloge, in pri tem dobro napreduje, vendar vseh proračunskih obveznosti ne bo mogla prevzeti že v letu 2021. Zato bo predlagano, da se 17,8 milijona EUR spet da na voljo v obdobju 2022–2023.</w:t>
      </w:r>
    </w:p>
    <w:p>
      <w:pPr>
        <w:pStyle w:val="Text1"/>
        <w:ind w:left="0"/>
        <w:rPr>
          <w:noProof/>
        </w:rPr>
      </w:pPr>
      <w:r>
        <w:rPr>
          <w:noProof/>
        </w:rPr>
        <w:t>Ustrezna plačila so dana na voljo v okviru globalne prerazporeditve.</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rFonts w:ascii="Times New Roman" w:hAnsi="Times New Roman" w:cs="Times New Roman"/>
                <w:i/>
                <w:noProof/>
                <w:sz w:val="20"/>
                <w:szCs w:val="20"/>
              </w:rPr>
            </w:pPr>
            <w:r>
              <w:rPr>
                <w:rFonts w:ascii="Times New Roman" w:hAnsi="Times New Roman"/>
                <w:i/>
                <w:noProof/>
                <w:sz w:val="20"/>
                <w:szCs w:val="20"/>
              </w:rPr>
              <w:t>v EUR</w:t>
            </w:r>
          </w:p>
        </w:tc>
      </w:tr>
      <w:tr>
        <w:trPr>
          <w:jc w:val="center"/>
        </w:trPr>
        <w:tc>
          <w:tcPr>
            <w:tcW w:w="1276" w:type="dxa"/>
            <w:tcBorders>
              <w:top w:val="single" w:sz="4" w:space="0" w:color="auto"/>
            </w:tcBorders>
            <w:shd w:val="clear" w:color="auto" w:fill="D9D9D9" w:themeFill="background1" w:themeFillShade="D9"/>
            <w:vAlign w:val="center"/>
          </w:tcPr>
          <w:p>
            <w:pPr>
              <w:keepNext/>
              <w:spacing w:before="15" w:after="15"/>
              <w:jc w:val="center"/>
              <w:rPr>
                <w:rFonts w:ascii="Times New Roman" w:hAnsi="Times New Roman" w:cs="Times New Roman"/>
                <w:b/>
                <w:noProof/>
                <w:sz w:val="20"/>
                <w:szCs w:val="20"/>
              </w:rPr>
            </w:pPr>
            <w:r>
              <w:rPr>
                <w:rFonts w:ascii="Times New Roman" w:hAnsi="Times New Roman"/>
                <w:b/>
                <w:noProof/>
                <w:sz w:val="20"/>
                <w:szCs w:val="20"/>
              </w:rPr>
              <w:t>Proračunska vrstica</w:t>
            </w:r>
          </w:p>
        </w:tc>
        <w:tc>
          <w:tcPr>
            <w:tcW w:w="5132"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Naziv</w:t>
            </w:r>
          </w:p>
        </w:tc>
        <w:tc>
          <w:tcPr>
            <w:tcW w:w="1701"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za prevzem obveznosti</w:t>
            </w:r>
          </w:p>
        </w:tc>
        <w:tc>
          <w:tcPr>
            <w:tcW w:w="1701"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plačil</w:t>
            </w:r>
          </w:p>
        </w:tc>
      </w:tr>
      <w:tr>
        <w:trPr>
          <w:jc w:val="center"/>
        </w:trPr>
        <w:tc>
          <w:tcPr>
            <w:tcW w:w="9810" w:type="dxa"/>
            <w:gridSpan w:val="4"/>
            <w:shd w:val="clear" w:color="auto" w:fill="F2F2F2" w:themeFill="background1" w:themeFillShade="F2"/>
            <w:vAlign w:val="center"/>
          </w:tcPr>
          <w:p>
            <w:pPr>
              <w:widowControl w:val="0"/>
              <w:spacing w:before="15" w:after="15"/>
              <w:rPr>
                <w:rFonts w:ascii="Times New Roman" w:hAnsi="Times New Roman" w:cs="Times New Roman"/>
                <w:i/>
                <w:noProof/>
                <w:sz w:val="20"/>
                <w:szCs w:val="20"/>
              </w:rPr>
            </w:pPr>
            <w:r>
              <w:rPr>
                <w:rFonts w:ascii="Times New Roman" w:hAnsi="Times New Roman"/>
                <w:i/>
                <w:noProof/>
                <w:sz w:val="20"/>
                <w:szCs w:val="20"/>
              </w:rPr>
              <w:t>Oddelek III − Komisija</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06 10 03 01</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Prispevek Unije Evropski agenciji za zdravila (EMA)</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–17 811 000</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0</w:t>
            </w:r>
          </w:p>
        </w:tc>
      </w:tr>
      <w:tr>
        <w:trPr>
          <w:jc w:val="center"/>
        </w:trPr>
        <w:tc>
          <w:tcPr>
            <w:tcW w:w="6408" w:type="dxa"/>
            <w:gridSpan w:val="2"/>
            <w:shd w:val="clear" w:color="auto" w:fill="D9D9D9" w:themeFill="background1" w:themeFillShade="D9"/>
          </w:tcPr>
          <w:p>
            <w:pPr>
              <w:widowControl w:val="0"/>
              <w:spacing w:before="15" w:after="15"/>
              <w:ind w:right="-113"/>
              <w:jc w:val="both"/>
              <w:rPr>
                <w:rFonts w:ascii="Times New Roman" w:hAnsi="Times New Roman" w:cs="Times New Roman"/>
                <w:noProof/>
                <w:sz w:val="20"/>
                <w:szCs w:val="20"/>
              </w:rPr>
            </w:pPr>
            <w:r>
              <w:rPr>
                <w:rFonts w:ascii="Times New Roman" w:hAnsi="Times New Roman"/>
                <w:b/>
                <w:noProof/>
                <w:sz w:val="20"/>
                <w:szCs w:val="20"/>
              </w:rPr>
              <w:t>Skupaj</w:t>
            </w:r>
            <w:r>
              <w:rPr>
                <w:rFonts w:ascii="Times New Roman" w:hAnsi="Times New Roman"/>
                <w:b/>
                <w:noProof/>
                <w:sz w:val="20"/>
                <w:szCs w:val="20"/>
              </w:rPr>
              <w:tab/>
            </w:r>
          </w:p>
        </w:tc>
        <w:tc>
          <w:tcPr>
            <w:tcW w:w="1701" w:type="dxa"/>
            <w:shd w:val="clear" w:color="auto" w:fill="D9D9D9" w:themeFill="background1" w:themeFillShade="D9"/>
          </w:tcPr>
          <w:p>
            <w:pPr>
              <w:widowControl w:val="0"/>
              <w:spacing w:before="15" w:after="15"/>
              <w:jc w:val="right"/>
              <w:rPr>
                <w:rFonts w:ascii="Times New Roman" w:hAnsi="Times New Roman" w:cs="Times New Roman"/>
                <w:b/>
                <w:bCs/>
                <w:noProof/>
                <w:sz w:val="20"/>
                <w:szCs w:val="20"/>
              </w:rPr>
            </w:pPr>
            <w:r>
              <w:rPr>
                <w:rFonts w:ascii="Times New Roman" w:hAnsi="Times New Roman"/>
                <w:b/>
                <w:bCs/>
                <w:noProof/>
                <w:sz w:val="20"/>
                <w:szCs w:val="20"/>
              </w:rPr>
              <w:t>–17 811 000</w:t>
            </w:r>
          </w:p>
        </w:tc>
        <w:tc>
          <w:tcPr>
            <w:tcW w:w="1701" w:type="dxa"/>
            <w:shd w:val="clear" w:color="auto" w:fill="D9D9D9" w:themeFill="background1" w:themeFillShade="D9"/>
          </w:tcPr>
          <w:p>
            <w:pPr>
              <w:widowControl w:val="0"/>
              <w:spacing w:before="15" w:after="15"/>
              <w:jc w:val="right"/>
              <w:rPr>
                <w:rFonts w:ascii="Times New Roman" w:hAnsi="Times New Roman" w:cs="Times New Roman"/>
                <w:b/>
                <w:noProof/>
                <w:sz w:val="20"/>
                <w:szCs w:val="20"/>
              </w:rPr>
            </w:pPr>
            <w:r>
              <w:rPr>
                <w:rFonts w:ascii="Times New Roman" w:hAnsi="Times New Roman"/>
                <w:b/>
                <w:noProof/>
                <w:sz w:val="20"/>
                <w:szCs w:val="20"/>
              </w:rPr>
              <w:t>0</w:t>
            </w:r>
          </w:p>
        </w:tc>
      </w:tr>
    </w:tbl>
    <w:p>
      <w:pPr>
        <w:pStyle w:val="Text1"/>
        <w:ind w:left="0"/>
        <w:rPr>
          <w:noProof/>
        </w:rPr>
      </w:pPr>
    </w:p>
    <w:p>
      <w:pPr>
        <w:pStyle w:val="Text1"/>
        <w:ind w:left="0"/>
        <w:rPr>
          <w:noProof/>
        </w:rPr>
      </w:pPr>
      <w:r>
        <w:rPr>
          <w:noProof/>
        </w:rPr>
        <w:t>Glede na zgoraj navedene prerazporeditve obstaja dodatna potreba po financiranju v letu 2021 v višini 20 milijonov EUR. Ker v podrazdelku 2b ni razlike do zgornje meje, se za to okrepitev predlaga uporaba instrumenta prilagodljivosti.</w:t>
      </w:r>
    </w:p>
    <w:p>
      <w:pPr>
        <w:pStyle w:val="ListParagraph"/>
        <w:keepNext/>
        <w:keepLines/>
        <w:numPr>
          <w:ilvl w:val="0"/>
          <w:numId w:val="7"/>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bookmarkStart w:id="18" w:name="_Toc84587238"/>
      <w:r>
        <w:rPr>
          <w:rFonts w:ascii="Times New Roman" w:hAnsi="Times New Roman"/>
          <w:b/>
          <w:smallCaps/>
          <w:noProof/>
          <w:sz w:val="24"/>
          <w:szCs w:val="24"/>
        </w:rPr>
        <w:t>Sporazumi o partnerstvu o trajnostnem ribištvu</w:t>
      </w:r>
      <w:bookmarkEnd w:id="18"/>
    </w:p>
    <w:p>
      <w:pPr>
        <w:pStyle w:val="Text1"/>
        <w:ind w:left="0"/>
        <w:rPr>
          <w:noProof/>
        </w:rPr>
      </w:pPr>
      <w:r>
        <w:rPr>
          <w:noProof/>
        </w:rPr>
        <w:t>Komisija je pregledala skupne proračunske potrebe za leto 2021, pri čemer je upoštevala naslednje:</w:t>
      </w:r>
    </w:p>
    <w:p>
      <w:pPr>
        <w:pStyle w:val="Text1"/>
        <w:numPr>
          <w:ilvl w:val="0"/>
          <w:numId w:val="11"/>
        </w:numPr>
        <w:rPr>
          <w:noProof/>
        </w:rPr>
      </w:pPr>
      <w:r>
        <w:rPr>
          <w:noProof/>
        </w:rPr>
        <w:t xml:space="preserve">zaključek pogajanj s Cookovimi otoki in Mavretanijo o sporazumih o partnerstvu o trajnostnem ribištvu, </w:t>
      </w:r>
    </w:p>
    <w:p>
      <w:pPr>
        <w:pStyle w:val="Text1"/>
        <w:numPr>
          <w:ilvl w:val="0"/>
          <w:numId w:val="11"/>
        </w:numPr>
        <w:rPr>
          <w:noProof/>
        </w:rPr>
      </w:pPr>
      <w:r>
        <w:rPr>
          <w:noProof/>
        </w:rPr>
        <w:t xml:space="preserve">pričakuje se, da se bodo ustrezni sporazumi in protokoli začeli začasno uporabljati sredi novembra 2021, </w:t>
      </w:r>
    </w:p>
    <w:p>
      <w:pPr>
        <w:pStyle w:val="Text1"/>
        <w:numPr>
          <w:ilvl w:val="0"/>
          <w:numId w:val="11"/>
        </w:numPr>
        <w:rPr>
          <w:noProof/>
        </w:rPr>
      </w:pPr>
      <w:r>
        <w:rPr>
          <w:noProof/>
        </w:rPr>
        <w:t xml:space="preserve">zamude pri podpisu nekaterih protokolov (protokoli za Kiribati, Madagaskar in Liberijo so bili vsi preloženi na obdobje 2022–2023) ter </w:t>
      </w:r>
    </w:p>
    <w:p>
      <w:pPr>
        <w:pStyle w:val="Text1"/>
        <w:numPr>
          <w:ilvl w:val="0"/>
          <w:numId w:val="11"/>
        </w:numPr>
        <w:rPr>
          <w:noProof/>
        </w:rPr>
      </w:pPr>
      <w:r>
        <w:rPr>
          <w:noProof/>
        </w:rPr>
        <w:t xml:space="preserve">prihranke pri sporazumih z Grenlandijo in Gabonom, ki so bili podpisani za letno pristojbino, ki je nižja od prvotno napovedane. </w:t>
      </w:r>
    </w:p>
    <w:p>
      <w:pPr>
        <w:pStyle w:val="Text1"/>
        <w:ind w:left="0"/>
        <w:rPr>
          <w:noProof/>
        </w:rPr>
      </w:pPr>
      <w:r>
        <w:rPr>
          <w:noProof/>
        </w:rPr>
        <w:t>Skupni učinek pomeni dodatno potrebo po približno 3,5 milijona EUR v odobritvah za prevzem obveznosti, za katere se predlaga, da se zagotovijo iz razlike do zgornje meje v razdelku 3.</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rFonts w:ascii="Times New Roman" w:hAnsi="Times New Roman" w:cs="Times New Roman"/>
                <w:i/>
                <w:noProof/>
                <w:sz w:val="20"/>
                <w:szCs w:val="20"/>
              </w:rPr>
            </w:pPr>
            <w:r>
              <w:rPr>
                <w:rFonts w:ascii="Times New Roman" w:hAnsi="Times New Roman"/>
                <w:i/>
                <w:noProof/>
                <w:sz w:val="20"/>
                <w:szCs w:val="20"/>
              </w:rPr>
              <w:t>v EUR</w:t>
            </w:r>
          </w:p>
        </w:tc>
      </w:tr>
      <w:tr>
        <w:trPr>
          <w:jc w:val="center"/>
        </w:trPr>
        <w:tc>
          <w:tcPr>
            <w:tcW w:w="1276" w:type="dxa"/>
            <w:tcBorders>
              <w:top w:val="single" w:sz="4" w:space="0" w:color="auto"/>
            </w:tcBorders>
            <w:shd w:val="clear" w:color="auto" w:fill="D9D9D9"/>
            <w:vAlign w:val="center"/>
          </w:tcPr>
          <w:p>
            <w:pPr>
              <w:keepNext/>
              <w:spacing w:before="15" w:after="15"/>
              <w:jc w:val="center"/>
              <w:rPr>
                <w:rFonts w:ascii="Times New Roman" w:hAnsi="Times New Roman" w:cs="Times New Roman"/>
                <w:b/>
                <w:noProof/>
                <w:sz w:val="20"/>
                <w:szCs w:val="20"/>
              </w:rPr>
            </w:pPr>
            <w:r>
              <w:rPr>
                <w:rFonts w:ascii="Times New Roman" w:hAnsi="Times New Roman"/>
                <w:b/>
                <w:noProof/>
                <w:sz w:val="20"/>
                <w:szCs w:val="20"/>
              </w:rPr>
              <w:t>Proračunska vrstica</w:t>
            </w:r>
          </w:p>
        </w:tc>
        <w:tc>
          <w:tcPr>
            <w:tcW w:w="5132" w:type="dxa"/>
            <w:tcBorders>
              <w:top w:val="single" w:sz="4" w:space="0" w:color="auto"/>
            </w:tcBorders>
            <w:shd w:val="clear" w:color="auto" w:fill="D9D9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Naziv</w:t>
            </w:r>
          </w:p>
        </w:tc>
        <w:tc>
          <w:tcPr>
            <w:tcW w:w="1701" w:type="dxa"/>
            <w:tcBorders>
              <w:top w:val="single" w:sz="4" w:space="0" w:color="auto"/>
            </w:tcBorders>
            <w:shd w:val="clear" w:color="auto" w:fill="D9D9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za prevzem obveznosti</w:t>
            </w:r>
          </w:p>
        </w:tc>
        <w:tc>
          <w:tcPr>
            <w:tcW w:w="1701" w:type="dxa"/>
            <w:tcBorders>
              <w:top w:val="single" w:sz="4" w:space="0" w:color="auto"/>
            </w:tcBorders>
            <w:shd w:val="clear" w:color="auto" w:fill="D9D9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plačil</w:t>
            </w:r>
          </w:p>
        </w:tc>
      </w:tr>
      <w:tr>
        <w:trPr>
          <w:jc w:val="center"/>
        </w:trPr>
        <w:tc>
          <w:tcPr>
            <w:tcW w:w="9810" w:type="dxa"/>
            <w:gridSpan w:val="4"/>
            <w:shd w:val="clear" w:color="auto" w:fill="F2F2F2" w:themeFill="background1" w:themeFillShade="F2"/>
            <w:vAlign w:val="center"/>
          </w:tcPr>
          <w:p>
            <w:pPr>
              <w:widowControl w:val="0"/>
              <w:spacing w:before="15" w:after="15"/>
              <w:rPr>
                <w:rFonts w:ascii="Times New Roman" w:hAnsi="Times New Roman" w:cs="Times New Roman"/>
                <w:i/>
                <w:noProof/>
                <w:sz w:val="20"/>
                <w:szCs w:val="20"/>
              </w:rPr>
            </w:pPr>
            <w:r>
              <w:rPr>
                <w:rFonts w:ascii="Times New Roman" w:hAnsi="Times New Roman"/>
                <w:i/>
                <w:noProof/>
                <w:sz w:val="20"/>
                <w:szCs w:val="20"/>
              </w:rPr>
              <w:t>Oddelek III − Komisija</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08 05 01</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Vzpostavitev okvira za upravljanje ribolovnih dejavnosti, ki jih izvajajo ribiška plovila Unije v vodah tretjih držav</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3 487 290</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0</w:t>
            </w:r>
          </w:p>
        </w:tc>
      </w:tr>
      <w:tr>
        <w:trPr>
          <w:jc w:val="center"/>
        </w:trPr>
        <w:tc>
          <w:tcPr>
            <w:tcW w:w="6408" w:type="dxa"/>
            <w:gridSpan w:val="2"/>
            <w:shd w:val="clear" w:color="auto" w:fill="D9D9D9"/>
          </w:tcPr>
          <w:p>
            <w:pPr>
              <w:widowControl w:val="0"/>
              <w:spacing w:before="15" w:after="15"/>
              <w:ind w:right="-113"/>
              <w:jc w:val="both"/>
              <w:rPr>
                <w:rFonts w:ascii="Times New Roman" w:hAnsi="Times New Roman" w:cs="Times New Roman"/>
                <w:noProof/>
                <w:sz w:val="20"/>
                <w:szCs w:val="20"/>
              </w:rPr>
            </w:pPr>
            <w:r>
              <w:rPr>
                <w:rFonts w:ascii="Times New Roman" w:hAnsi="Times New Roman"/>
                <w:b/>
                <w:noProof/>
                <w:sz w:val="20"/>
                <w:szCs w:val="20"/>
              </w:rPr>
              <w:t>Skupaj</w:t>
            </w:r>
            <w:r>
              <w:rPr>
                <w:rFonts w:ascii="Times New Roman" w:hAnsi="Times New Roman"/>
                <w:b/>
                <w:noProof/>
                <w:sz w:val="20"/>
                <w:szCs w:val="20"/>
              </w:rPr>
              <w:tab/>
            </w:r>
          </w:p>
        </w:tc>
        <w:tc>
          <w:tcPr>
            <w:tcW w:w="1701" w:type="dxa"/>
            <w:shd w:val="clear" w:color="auto" w:fill="D9D9D9"/>
          </w:tcPr>
          <w:p>
            <w:pPr>
              <w:widowControl w:val="0"/>
              <w:spacing w:before="15" w:after="15"/>
              <w:jc w:val="right"/>
              <w:rPr>
                <w:rFonts w:ascii="Times New Roman" w:hAnsi="Times New Roman" w:cs="Times New Roman"/>
                <w:b/>
                <w:noProof/>
                <w:sz w:val="20"/>
                <w:szCs w:val="20"/>
              </w:rPr>
            </w:pPr>
            <w:r>
              <w:rPr>
                <w:rFonts w:ascii="Times New Roman" w:hAnsi="Times New Roman"/>
                <w:b/>
                <w:noProof/>
                <w:sz w:val="20"/>
                <w:szCs w:val="20"/>
              </w:rPr>
              <w:t>3 487 290</w:t>
            </w:r>
          </w:p>
        </w:tc>
        <w:tc>
          <w:tcPr>
            <w:tcW w:w="1701" w:type="dxa"/>
            <w:shd w:val="clear" w:color="auto" w:fill="D9D9D9"/>
          </w:tcPr>
          <w:p>
            <w:pPr>
              <w:widowControl w:val="0"/>
              <w:spacing w:before="15" w:after="15"/>
              <w:jc w:val="right"/>
              <w:rPr>
                <w:rFonts w:ascii="Times New Roman" w:hAnsi="Times New Roman" w:cs="Times New Roman"/>
                <w:b/>
                <w:noProof/>
                <w:sz w:val="20"/>
                <w:szCs w:val="20"/>
              </w:rPr>
            </w:pPr>
            <w:r>
              <w:rPr>
                <w:rFonts w:ascii="Times New Roman" w:hAnsi="Times New Roman"/>
                <w:b/>
                <w:noProof/>
                <w:sz w:val="20"/>
                <w:szCs w:val="20"/>
              </w:rPr>
              <w:t>0</w:t>
            </w:r>
          </w:p>
        </w:tc>
      </w:tr>
    </w:tbl>
    <w:p>
      <w:pPr>
        <w:pStyle w:val="Text1"/>
        <w:ind w:left="0"/>
        <w:rPr>
          <w:noProof/>
        </w:rPr>
      </w:pPr>
      <w:r>
        <w:rPr>
          <w:noProof/>
        </w:rPr>
        <w:t>Glede na to, da bo sklep Sveta za oba sporazuma sprejet oktobra in bo veljal v času sprejetja tega PSP, se predlaga, da se odobritve vpišejo neposredno v glavno operativno vrstico.</w:t>
      </w:r>
    </w:p>
    <w:p>
      <w:pPr>
        <w:pStyle w:val="ListParagraph"/>
        <w:keepNext/>
        <w:numPr>
          <w:ilvl w:val="0"/>
          <w:numId w:val="7"/>
        </w:numPr>
        <w:tabs>
          <w:tab w:val="left" w:pos="850"/>
        </w:tabs>
        <w:spacing w:before="360" w:after="120" w:line="240" w:lineRule="auto"/>
        <w:jc w:val="both"/>
        <w:outlineLvl w:val="0"/>
        <w:rPr>
          <w:rFonts w:ascii="Times New Roman" w:eastAsia="Times New Roman" w:hAnsi="Times New Roman" w:cs="Times New Roman"/>
          <w:b/>
          <w:bCs/>
          <w:smallCaps/>
          <w:noProof/>
          <w:sz w:val="24"/>
          <w:szCs w:val="24"/>
        </w:rPr>
      </w:pPr>
      <w:bookmarkStart w:id="19" w:name="_Toc84587239"/>
      <w:r>
        <w:rPr>
          <w:rFonts w:ascii="Times New Roman" w:hAnsi="Times New Roman"/>
          <w:b/>
          <w:bCs/>
          <w:smallCaps/>
          <w:noProof/>
          <w:sz w:val="24"/>
          <w:szCs w:val="24"/>
        </w:rPr>
        <w:t>Uporaba členov 14 in 26 uredbe o skupnih določbah ter vpliv na strukturo nomenklature</w:t>
      </w:r>
      <w:bookmarkEnd w:id="19"/>
    </w:p>
    <w:p>
      <w:pPr>
        <w:pStyle w:val="Text1"/>
        <w:ind w:left="0"/>
        <w:rPr>
          <w:noProof/>
        </w:rPr>
      </w:pPr>
      <w:r>
        <w:rPr>
          <w:noProof/>
        </w:rPr>
        <w:t>Člen 26 uredbe o skupnih določbah za obdobje 2021–2027 določa, da lahko države članice v partnerskem sporazumu ali zahtevku za spremembo programa zahtevajo prerazporeditev do 5 % začetnih nacionalnih dodelitev za vsak sklad v kateri koli drug instrument v okviru neposrednega ali posrednega upravljanja ali sklade v okviru deljenega upravljanja. Podobna možnost je predvidena v členu 14 v zvezi s prerazporeditvami v partnerskem sporazumu v višini do 2 % začetne dodelitve iz ESRR, ESS+, Kohezijskega sklada in ESPRA v program InvestEU.</w:t>
      </w:r>
    </w:p>
    <w:p>
      <w:pPr>
        <w:pStyle w:val="Text1"/>
        <w:ind w:left="0"/>
        <w:rPr>
          <w:noProof/>
        </w:rPr>
      </w:pPr>
      <w:r>
        <w:rPr>
          <w:noProof/>
        </w:rPr>
        <w:t>Načrtovanje programov poteka in več držav članic je že zaprosilo za uporabo določb členov 14 in 26 ter izvedbo take prerazporeditve sredstev ali izrazilo takšno namero. Za izvedbo teh zahtevkov in zaradi upoštevanja zgornje meje večletnega finančnega okvira ter v skladu s pristopom, sprejetim za prerazporeditve iz ESRR in ESS+ v SPP in iz Kohezijskega sklada v Instrument za povezovanje Evrope, Komisija predlaga oblikovanje 18 novih proračunskih vrstic v okviru ustreznih programov (brez odobritev), in sicer:</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132"/>
        <w:gridCol w:w="1701"/>
        <w:gridCol w:w="1701"/>
      </w:tblGrid>
      <w:tr>
        <w:trPr>
          <w:jc w:val="center"/>
        </w:trPr>
        <w:tc>
          <w:tcPr>
            <w:tcW w:w="9810" w:type="dxa"/>
            <w:gridSpan w:val="4"/>
            <w:tcBorders>
              <w:top w:val="nil"/>
              <w:left w:val="nil"/>
              <w:bottom w:val="single" w:sz="4" w:space="0" w:color="auto"/>
              <w:right w:val="nil"/>
            </w:tcBorders>
            <w:shd w:val="clear" w:color="auto" w:fill="auto"/>
            <w:vAlign w:val="center"/>
          </w:tcPr>
          <w:p>
            <w:pPr>
              <w:widowControl w:val="0"/>
              <w:spacing w:before="15" w:after="15"/>
              <w:jc w:val="right"/>
              <w:rPr>
                <w:rFonts w:ascii="Times New Roman" w:hAnsi="Times New Roman" w:cs="Times New Roman"/>
                <w:i/>
                <w:noProof/>
                <w:sz w:val="20"/>
                <w:szCs w:val="20"/>
              </w:rPr>
            </w:pPr>
            <w:r>
              <w:rPr>
                <w:noProof/>
              </w:rPr>
              <w:t xml:space="preserve"> </w:t>
            </w:r>
            <w:r>
              <w:rPr>
                <w:rFonts w:ascii="Times New Roman" w:hAnsi="Times New Roman"/>
                <w:i/>
                <w:noProof/>
                <w:sz w:val="20"/>
                <w:szCs w:val="20"/>
              </w:rPr>
              <w:t>v EUR</w:t>
            </w:r>
          </w:p>
        </w:tc>
      </w:tr>
      <w:tr>
        <w:trPr>
          <w:jc w:val="center"/>
        </w:trPr>
        <w:tc>
          <w:tcPr>
            <w:tcW w:w="1276" w:type="dxa"/>
            <w:tcBorders>
              <w:top w:val="single" w:sz="4" w:space="0" w:color="auto"/>
            </w:tcBorders>
            <w:shd w:val="clear" w:color="auto" w:fill="D9D9D9" w:themeFill="background1" w:themeFillShade="D9"/>
            <w:vAlign w:val="center"/>
          </w:tcPr>
          <w:p>
            <w:pPr>
              <w:keepNext/>
              <w:spacing w:before="15" w:after="15"/>
              <w:jc w:val="center"/>
              <w:rPr>
                <w:rFonts w:ascii="Times New Roman" w:hAnsi="Times New Roman" w:cs="Times New Roman"/>
                <w:b/>
                <w:noProof/>
                <w:sz w:val="20"/>
                <w:szCs w:val="20"/>
              </w:rPr>
            </w:pPr>
            <w:r>
              <w:rPr>
                <w:rFonts w:ascii="Times New Roman" w:hAnsi="Times New Roman"/>
                <w:b/>
                <w:noProof/>
                <w:sz w:val="20"/>
                <w:szCs w:val="20"/>
              </w:rPr>
              <w:t>Proračunska vrstica</w:t>
            </w:r>
          </w:p>
        </w:tc>
        <w:tc>
          <w:tcPr>
            <w:tcW w:w="5132"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Naziv</w:t>
            </w:r>
          </w:p>
        </w:tc>
        <w:tc>
          <w:tcPr>
            <w:tcW w:w="1701"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za prevzem obveznosti</w:t>
            </w:r>
          </w:p>
        </w:tc>
        <w:tc>
          <w:tcPr>
            <w:tcW w:w="1701" w:type="dxa"/>
            <w:tcBorders>
              <w:top w:val="single" w:sz="4" w:space="0" w:color="auto"/>
            </w:tcBorders>
            <w:shd w:val="clear" w:color="auto" w:fill="D9D9D9" w:themeFill="background1" w:themeFillShade="D9"/>
            <w:vAlign w:val="center"/>
          </w:tcPr>
          <w:p>
            <w:pPr>
              <w:widowControl w:val="0"/>
              <w:spacing w:before="15" w:after="15"/>
              <w:jc w:val="center"/>
              <w:rPr>
                <w:rFonts w:ascii="Times New Roman" w:hAnsi="Times New Roman" w:cs="Times New Roman"/>
                <w:b/>
                <w:noProof/>
                <w:sz w:val="20"/>
                <w:szCs w:val="20"/>
              </w:rPr>
            </w:pPr>
            <w:r>
              <w:rPr>
                <w:rFonts w:ascii="Times New Roman" w:hAnsi="Times New Roman"/>
                <w:b/>
                <w:noProof/>
                <w:sz w:val="20"/>
                <w:szCs w:val="20"/>
              </w:rPr>
              <w:t>Odobritve plačil</w:t>
            </w:r>
          </w:p>
        </w:tc>
      </w:tr>
      <w:tr>
        <w:trPr>
          <w:jc w:val="center"/>
        </w:trPr>
        <w:tc>
          <w:tcPr>
            <w:tcW w:w="9810" w:type="dxa"/>
            <w:gridSpan w:val="4"/>
            <w:shd w:val="clear" w:color="auto" w:fill="F2F2F2" w:themeFill="background1" w:themeFillShade="F2"/>
            <w:vAlign w:val="center"/>
          </w:tcPr>
          <w:p>
            <w:pPr>
              <w:widowControl w:val="0"/>
              <w:spacing w:before="15" w:after="15"/>
              <w:rPr>
                <w:rFonts w:ascii="Times New Roman" w:hAnsi="Times New Roman" w:cs="Times New Roman"/>
                <w:i/>
                <w:noProof/>
                <w:sz w:val="20"/>
                <w:szCs w:val="20"/>
              </w:rPr>
            </w:pPr>
            <w:r>
              <w:rPr>
                <w:rFonts w:ascii="Times New Roman" w:hAnsi="Times New Roman"/>
                <w:i/>
                <w:noProof/>
                <w:sz w:val="20"/>
                <w:szCs w:val="20"/>
              </w:rPr>
              <w:t>Oddelek III − Komisija</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05 02 06</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Sklad InvestEU – Prispevek iz ESRR</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05 02 07</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Instrument za upravljanje meja in vizume (BMVI) – Prispevek iz ESRR</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05 02 08</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ESPRA – Prispevek iz ESRR</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05 02 09</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Obzorje Evropa – Prispevek iz ESRR</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05 02 10</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Digitalna Evropa – Prispevek iz ESRR</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05 03 04</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Sklad InvestEU – Prispevek iz Kohezijskega sklada</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05 03 05</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Instrument za upravljanje meja in vizume (BMVI) – Prispevek iz Kohezijskega sklada</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05 03 06</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ESPRA – Prispevek iz Kohezijskega sklada</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05 03 07</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Obzorje Evropa – Prispevek iz Kohezijskega sklada</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05 03 08</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Digitalna Evropa – Prispevek iz Kohezijskega sklada</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07 02 08</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Sklad InvestEU – Prispevek iz ESS+</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07 02 09</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Instrument za upravljanje meja in vizume (BMVI) – Prispevek iz ESS+</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07 02 10</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ESPRA – Prispevek iz ESS+</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07 02 11</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Obzorje Evropa – Prispevek iz ESS+</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07 02 12</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Digitalna Evropa – Prispevek iz ESS+</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07 02 13</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Erasmus+ – Prispevek iz ESS+</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 xml:space="preserve">08 04 04 </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Sklad InvestEU – Prispevek iz ESPRA</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1276" w:type="dxa"/>
          </w:tcPr>
          <w:p>
            <w:pPr>
              <w:widowControl w:val="0"/>
              <w:spacing w:before="15" w:after="15"/>
              <w:ind w:right="-113"/>
              <w:jc w:val="both"/>
              <w:rPr>
                <w:rFonts w:ascii="Times New Roman" w:hAnsi="Times New Roman" w:cs="Times New Roman"/>
                <w:noProof/>
                <w:sz w:val="16"/>
                <w:szCs w:val="16"/>
              </w:rPr>
            </w:pPr>
            <w:r>
              <w:rPr>
                <w:rFonts w:ascii="Times New Roman" w:hAnsi="Times New Roman"/>
                <w:noProof/>
                <w:sz w:val="16"/>
                <w:szCs w:val="16"/>
              </w:rPr>
              <w:t>08 04 05</w:t>
            </w:r>
          </w:p>
        </w:tc>
        <w:tc>
          <w:tcPr>
            <w:tcW w:w="5132" w:type="dxa"/>
          </w:tcPr>
          <w:p>
            <w:pPr>
              <w:widowControl w:val="0"/>
              <w:tabs>
                <w:tab w:val="left" w:pos="1350"/>
              </w:tabs>
              <w:spacing w:before="15" w:after="15"/>
              <w:jc w:val="both"/>
              <w:rPr>
                <w:rFonts w:ascii="Times New Roman" w:hAnsi="Times New Roman" w:cs="Times New Roman"/>
                <w:noProof/>
                <w:sz w:val="16"/>
                <w:szCs w:val="16"/>
              </w:rPr>
            </w:pPr>
            <w:r>
              <w:rPr>
                <w:rFonts w:ascii="Times New Roman" w:hAnsi="Times New Roman"/>
                <w:noProof/>
                <w:sz w:val="16"/>
                <w:szCs w:val="16"/>
              </w:rPr>
              <w:t>Instrument za upravljanje meja in vizume (BMVI) – Prispevek iz ESPRA</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c>
          <w:tcPr>
            <w:tcW w:w="1701" w:type="dxa"/>
          </w:tcPr>
          <w:p>
            <w:pPr>
              <w:widowControl w:val="0"/>
              <w:spacing w:before="15" w:after="15"/>
              <w:jc w:val="right"/>
              <w:rPr>
                <w:rFonts w:ascii="Times New Roman" w:hAnsi="Times New Roman" w:cs="Times New Roman"/>
                <w:noProof/>
                <w:sz w:val="16"/>
                <w:szCs w:val="16"/>
              </w:rPr>
            </w:pPr>
            <w:r>
              <w:rPr>
                <w:rFonts w:ascii="Times New Roman" w:hAnsi="Times New Roman"/>
                <w:noProof/>
                <w:sz w:val="16"/>
                <w:szCs w:val="16"/>
              </w:rPr>
              <w:t>p.m.</w:t>
            </w:r>
          </w:p>
        </w:tc>
      </w:tr>
      <w:tr>
        <w:trPr>
          <w:jc w:val="center"/>
        </w:trPr>
        <w:tc>
          <w:tcPr>
            <w:tcW w:w="6408" w:type="dxa"/>
            <w:gridSpan w:val="2"/>
            <w:shd w:val="clear" w:color="auto" w:fill="D9D9D9" w:themeFill="background1" w:themeFillShade="D9"/>
          </w:tcPr>
          <w:p>
            <w:pPr>
              <w:widowControl w:val="0"/>
              <w:spacing w:before="15" w:after="15"/>
              <w:ind w:right="-113"/>
              <w:jc w:val="both"/>
              <w:rPr>
                <w:rFonts w:ascii="Times New Roman" w:hAnsi="Times New Roman" w:cs="Times New Roman"/>
                <w:noProof/>
                <w:sz w:val="20"/>
                <w:szCs w:val="20"/>
              </w:rPr>
            </w:pPr>
            <w:r>
              <w:rPr>
                <w:rFonts w:ascii="Times New Roman" w:hAnsi="Times New Roman"/>
                <w:b/>
                <w:noProof/>
                <w:sz w:val="20"/>
                <w:szCs w:val="20"/>
              </w:rPr>
              <w:t>Skupaj</w:t>
            </w:r>
            <w:r>
              <w:rPr>
                <w:rFonts w:ascii="Times New Roman" w:hAnsi="Times New Roman"/>
                <w:b/>
                <w:noProof/>
                <w:sz w:val="20"/>
                <w:szCs w:val="20"/>
              </w:rPr>
              <w:tab/>
            </w:r>
          </w:p>
        </w:tc>
        <w:tc>
          <w:tcPr>
            <w:tcW w:w="1701" w:type="dxa"/>
            <w:shd w:val="clear" w:color="auto" w:fill="D9D9D9" w:themeFill="background1" w:themeFillShade="D9"/>
          </w:tcPr>
          <w:p>
            <w:pPr>
              <w:widowControl w:val="0"/>
              <w:spacing w:before="15" w:after="15"/>
              <w:jc w:val="right"/>
              <w:rPr>
                <w:rFonts w:ascii="Times New Roman" w:hAnsi="Times New Roman" w:cs="Times New Roman"/>
                <w:b/>
                <w:noProof/>
                <w:sz w:val="20"/>
                <w:szCs w:val="20"/>
              </w:rPr>
            </w:pPr>
            <w:r>
              <w:rPr>
                <w:rFonts w:ascii="Times New Roman" w:hAnsi="Times New Roman"/>
                <w:b/>
                <w:noProof/>
                <w:sz w:val="20"/>
                <w:szCs w:val="20"/>
              </w:rPr>
              <w:t>0</w:t>
            </w:r>
          </w:p>
        </w:tc>
        <w:tc>
          <w:tcPr>
            <w:tcW w:w="1701" w:type="dxa"/>
            <w:shd w:val="clear" w:color="auto" w:fill="D9D9D9" w:themeFill="background1" w:themeFillShade="D9"/>
          </w:tcPr>
          <w:p>
            <w:pPr>
              <w:widowControl w:val="0"/>
              <w:spacing w:before="15" w:after="15"/>
              <w:jc w:val="right"/>
              <w:rPr>
                <w:rFonts w:ascii="Times New Roman" w:hAnsi="Times New Roman" w:cs="Times New Roman"/>
                <w:b/>
                <w:noProof/>
                <w:sz w:val="20"/>
                <w:szCs w:val="20"/>
              </w:rPr>
            </w:pPr>
            <w:r>
              <w:rPr>
                <w:rFonts w:ascii="Times New Roman" w:hAnsi="Times New Roman"/>
                <w:b/>
                <w:noProof/>
                <w:sz w:val="20"/>
                <w:szCs w:val="20"/>
              </w:rPr>
              <w:t>0</w:t>
            </w:r>
          </w:p>
        </w:tc>
      </w:tr>
    </w:tbl>
    <w:p>
      <w:pPr>
        <w:pStyle w:val="Text1"/>
        <w:ind w:left="0"/>
        <w:rPr>
          <w:noProof/>
        </w:rPr>
      </w:pPr>
      <w:r>
        <w:rPr>
          <w:noProof/>
        </w:rPr>
        <w:t xml:space="preserve">Odobritve bodo prerazporejene v te vrstice, ko bodo sprejeti partnerski sporazumi. </w:t>
      </w:r>
    </w:p>
    <w:p>
      <w:pPr>
        <w:pStyle w:val="Text1"/>
        <w:ind w:left="0"/>
        <w:rPr>
          <w:noProof/>
        </w:rPr>
      </w:pPr>
      <w:r>
        <w:rPr>
          <w:noProof/>
        </w:rPr>
        <w:t>Ustrezne proračunske opombe so navedene v prilogi v proračunskem formatu.</w:t>
      </w:r>
    </w:p>
    <w:p>
      <w:pPr>
        <w:pStyle w:val="ListParagraph"/>
        <w:keepNext/>
        <w:numPr>
          <w:ilvl w:val="0"/>
          <w:numId w:val="7"/>
        </w:numPr>
        <w:tabs>
          <w:tab w:val="left" w:pos="850"/>
        </w:tabs>
        <w:spacing w:before="360" w:after="120" w:line="240" w:lineRule="auto"/>
        <w:jc w:val="both"/>
        <w:outlineLvl w:val="0"/>
        <w:rPr>
          <w:rFonts w:ascii="Times New Roman" w:eastAsia="Times New Roman" w:hAnsi="Times New Roman" w:cs="Times New Roman"/>
          <w:b/>
          <w:bCs/>
          <w:smallCaps/>
          <w:noProof/>
          <w:sz w:val="24"/>
          <w:szCs w:val="24"/>
        </w:rPr>
      </w:pPr>
      <w:bookmarkStart w:id="20" w:name="_Toc84587240"/>
      <w:r>
        <w:rPr>
          <w:rFonts w:ascii="Times New Roman" w:hAnsi="Times New Roman"/>
          <w:b/>
          <w:bCs/>
          <w:smallCaps/>
          <w:noProof/>
          <w:sz w:val="24"/>
          <w:szCs w:val="24"/>
        </w:rPr>
        <w:t>Posodobitev prihodkovne strani proračuna, da se vključi posodobljena napoved za lastna sredstva iz naslova odpadne plastične embalaže</w:t>
      </w:r>
      <w:bookmarkEnd w:id="20"/>
    </w:p>
    <w:p>
      <w:p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Sklep o virih lastnih sredstev iz leta 2020 so 31. maja 2021 ratificirale vse države članice, zato je začel veljati 1. junija 2021. S sklepom o virih lastnih sredstev iz leta 2020 so bila določena nova lastna sredstva iz naslova nereciklirane odpadne plastične embalaže. Komisija je predlagala, da se učinek sklepa o virih lastnih sredstev iz leta 2020 zajame v PSP št. 4.</w:t>
      </w:r>
    </w:p>
    <w:p>
      <w:pPr>
        <w:pStyle w:val="Text1"/>
        <w:ind w:left="0"/>
        <w:rPr>
          <w:noProof/>
          <w:color w:val="000000"/>
        </w:rPr>
      </w:pPr>
      <w:r>
        <w:rPr>
          <w:noProof/>
          <w:color w:val="000000"/>
        </w:rPr>
        <w:t xml:space="preserve">Nereciklirana odpadna plastična embalaža je posledica razlike med odpadno plastično embalažo in njeno reciklirano količino. Napoved za odpadno plastično embalažo, ki jo uporablja Komisija, temelji na naslednji metodi: letne stopnje rasti BND v stalnih cenah za obdobje 2017/2018–2021 v skladu z zadnjo razpoložljivo gospodarsko napovedjo Komisije se uporabijo za najnovejše podatke o realizaciji za odpadno plastično embalažo. </w:t>
      </w:r>
    </w:p>
    <w:p>
      <w:pPr>
        <w:pStyle w:val="Text1"/>
        <w:ind w:left="0"/>
        <w:rPr>
          <w:noProof/>
          <w:color w:val="000000"/>
        </w:rPr>
      </w:pPr>
      <w:r>
        <w:rPr>
          <w:noProof/>
          <w:color w:val="000000"/>
        </w:rPr>
        <w:t>Predvideva se, da bodo stopnje recikliranja v državah članicah sledile linearni konvergenci med stopnjo recikliranja na podlagi najnovejših razpoložljivih podatkov o realizaciji (2017/2018) in ciljem EU glede recikliranja v višini 50 %, ki ga je treba doseči do leta 2025. Povišanje stopenj recikliranja je omejeno na 2 odstotni točki letno, da se zagotovi realistična konvergenca. Stopnja recikliranja v državah članicah, ki so v obdobju 2017/2018 že dosegle ali presegle cilj, ostaja nespremenjena.</w:t>
      </w:r>
    </w:p>
    <w:p>
      <w:p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Na podlagi te metode in vključno s posodobljenimi osnovami za napovedi, ki so jih predložili Luksemburg, Portugalska in Romunija, je bila napoved za vse države članice dogovorjena na 181. sestanku Svetovalnega odbora za lastna sredstva (ACOR) 26. maja 2021 in vključena v PSP št. 4.</w:t>
      </w:r>
    </w:p>
    <w:p>
      <w:pPr>
        <w:spacing w:after="240" w:line="240" w:lineRule="auto"/>
        <w:jc w:val="both"/>
        <w:rPr>
          <w:noProof/>
        </w:rPr>
      </w:pPr>
      <w:r>
        <w:rPr>
          <w:rFonts w:ascii="Times New Roman" w:hAnsi="Times New Roman"/>
          <w:noProof/>
          <w:sz w:val="24"/>
          <w:szCs w:val="24"/>
        </w:rPr>
        <w:t>Države članice so bile v skladu s členom 15 uredbe o dajanju lastnih sredstev iz naslova odpadne plastične embalaže na razpolago</w:t>
      </w:r>
      <w:r>
        <w:rPr>
          <w:rStyle w:val="FootnoteReference"/>
          <w:rFonts w:ascii="Times New Roman" w:eastAsia="Times New Roman" w:hAnsi="Times New Roman" w:cs="Times New Roman"/>
          <w:noProof/>
          <w:sz w:val="24"/>
          <w:szCs w:val="24"/>
        </w:rPr>
        <w:footnoteReference w:id="14"/>
      </w:r>
      <w:r>
        <w:rPr>
          <w:rFonts w:ascii="Times New Roman" w:hAnsi="Times New Roman"/>
          <w:noProof/>
          <w:sz w:val="24"/>
          <w:szCs w:val="24"/>
        </w:rPr>
        <w:t xml:space="preserve"> pozvane, naj Komisiji do 31. julija 2021 pošljejo posodobljene napovedi o količini nereciklirane odpadne plastične embalaže. </w:t>
      </w:r>
    </w:p>
    <w:p>
      <w:pPr>
        <w:spacing w:after="240" w:line="240" w:lineRule="auto"/>
        <w:jc w:val="both"/>
        <w:rPr>
          <w:noProof/>
        </w:rPr>
      </w:pPr>
      <w:r>
        <w:rPr>
          <w:rFonts w:ascii="Times New Roman" w:hAnsi="Times New Roman"/>
          <w:noProof/>
          <w:sz w:val="24"/>
          <w:szCs w:val="24"/>
        </w:rPr>
        <w:t>Češka, Nemčija, Španija, Hrvaška, Italija, Madžarska, Avstrija in Slovaška so poslale posodobljene napovedi glede nereciklirane odpadne plastične embalaže za leti 2021 in 2022. Belgija, Bolgarija, Poljska in Švedska so potrdile osnove za napovedi, dogovorjene na sestanku Svetovalnega odbora za lastna sredstva 26. maja 2021. Preostale države članice niso poslale posodobljenih napovedi glede nereciklirane odpadne plastične embalaže za leti 2021 in 2022.</w:t>
      </w:r>
    </w:p>
    <w:p>
      <w:pPr>
        <w:spacing w:after="240" w:line="240" w:lineRule="auto"/>
        <w:jc w:val="both"/>
        <w:rPr>
          <w:noProof/>
        </w:rPr>
      </w:pPr>
      <w:r>
        <w:rPr>
          <w:rFonts w:ascii="Times New Roman" w:hAnsi="Times New Roman"/>
          <w:noProof/>
          <w:sz w:val="24"/>
          <w:szCs w:val="24"/>
        </w:rPr>
        <w:t>V zvezi s tem in kot izjema od letnega postopka oddajanja napovedi Svetovalnega odbora za lastna sredstva, ki poteka enkrat letno v maju, se je Komisija septembra z vsemi državami članicami v Svetovalnem odboru za lastna sredstva dogovorila o posodobljenem nizu napovedi za leti 2021 in 2022 samo za lastna sredstva iz naslova nereciklirane odpadne plastične embalaže.</w:t>
      </w:r>
    </w:p>
    <w:p>
      <w:pPr>
        <w:spacing w:after="240" w:line="240" w:lineRule="auto"/>
        <w:jc w:val="both"/>
        <w:rPr>
          <w:rFonts w:ascii="Times New Roman" w:eastAsia="Times New Roman" w:hAnsi="Times New Roman" w:cs="Times New Roman"/>
          <w:noProof/>
          <w:sz w:val="24"/>
          <w:szCs w:val="24"/>
        </w:rPr>
        <w:sectPr>
          <w:headerReference w:type="even" r:id="rId27"/>
          <w:headerReference w:type="default" r:id="rId28"/>
          <w:footerReference w:type="even" r:id="rId29"/>
          <w:footerReference w:type="default" r:id="rId30"/>
          <w:headerReference w:type="first" r:id="rId31"/>
          <w:footerReference w:type="first" r:id="rId32"/>
          <w:pgSz w:w="11906" w:h="16838"/>
          <w:pgMar w:top="1440" w:right="1133" w:bottom="1440" w:left="1440" w:header="708" w:footer="708" w:gutter="0"/>
          <w:cols w:space="720"/>
          <w:docGrid w:linePitch="360"/>
        </w:sectPr>
      </w:pPr>
      <w:r>
        <w:rPr>
          <w:rFonts w:ascii="Times New Roman" w:hAnsi="Times New Roman"/>
          <w:noProof/>
          <w:sz w:val="24"/>
          <w:szCs w:val="24"/>
        </w:rPr>
        <w:t xml:space="preserve">V primerjavi z rezultati Svetovalnega odbora za lastna sredstva iz maja prinaša posodobljena napoved spremembe za več držav članic. To pomeni skupno povečanje lastnih sredstev iz naslova nereciklirane odpadne plastične embalaže za 20 milijonov EUR. Sredstva iz naslova BND bodo popravljena navzdol za enak znesek. </w:t>
      </w:r>
    </w:p>
    <w:tbl>
      <w:tblPr>
        <w:tblW w:w="13602" w:type="dxa"/>
        <w:jc w:val="center"/>
        <w:tblCellMar>
          <w:left w:w="70" w:type="dxa"/>
          <w:right w:w="70" w:type="dxa"/>
        </w:tblCellMar>
        <w:tblLook w:val="04A0" w:firstRow="1" w:lastRow="0" w:firstColumn="1" w:lastColumn="0" w:noHBand="0" w:noVBand="1"/>
      </w:tblPr>
      <w:tblGrid>
        <w:gridCol w:w="618"/>
        <w:gridCol w:w="904"/>
        <w:gridCol w:w="962"/>
        <w:gridCol w:w="224"/>
        <w:gridCol w:w="300"/>
        <w:gridCol w:w="540"/>
        <w:gridCol w:w="988"/>
        <w:gridCol w:w="1289"/>
        <w:gridCol w:w="1029"/>
        <w:gridCol w:w="1118"/>
        <w:gridCol w:w="1124"/>
        <w:gridCol w:w="1118"/>
        <w:gridCol w:w="1795"/>
        <w:gridCol w:w="1799"/>
      </w:tblGrid>
      <w:tr>
        <w:trPr>
          <w:trHeight w:val="340"/>
          <w:tblHeader/>
          <w:jc w:val="center"/>
        </w:trPr>
        <w:tc>
          <w:tcPr>
            <w:tcW w:w="618" w:type="dxa"/>
            <w:tcBorders>
              <w:top w:val="single" w:sz="8" w:space="0" w:color="auto"/>
              <w:left w:val="single" w:sz="8" w:space="0" w:color="auto"/>
            </w:tcBorders>
            <w:noWrap/>
            <w:vAlign w:val="bottom"/>
            <w:hideMark/>
          </w:tcPr>
          <w:p>
            <w:pPr>
              <w:rPr>
                <w:rFonts w:ascii="Times New Roman" w:hAnsi="Times New Roman" w:cs="Times New Roman"/>
                <w:noProof/>
              </w:rPr>
            </w:pPr>
          </w:p>
        </w:tc>
        <w:tc>
          <w:tcPr>
            <w:tcW w:w="12984" w:type="dxa"/>
            <w:gridSpan w:val="13"/>
            <w:tcBorders>
              <w:top w:val="single" w:sz="8" w:space="0" w:color="auto"/>
              <w:left w:val="single" w:sz="8" w:space="0" w:color="auto"/>
              <w:bottom w:val="single" w:sz="8" w:space="0" w:color="auto"/>
              <w:right w:val="single" w:sz="8" w:space="0" w:color="auto"/>
            </w:tcBorders>
            <w:noWrap/>
            <w:vAlign w:val="bottom"/>
            <w:hideMark/>
          </w:tcPr>
          <w:p>
            <w:pPr>
              <w:spacing w:after="0" w:line="240" w:lineRule="auto"/>
              <w:jc w:val="center"/>
              <w:rPr>
                <w:rFonts w:ascii="Times New Roman" w:eastAsia="Times New Roman" w:hAnsi="Times New Roman" w:cs="Times New Roman"/>
                <w:b/>
                <w:bCs/>
                <w:noProof/>
                <w:color w:val="000000"/>
                <w:sz w:val="20"/>
                <w:szCs w:val="20"/>
              </w:rPr>
            </w:pPr>
            <w:r>
              <w:rPr>
                <w:rFonts w:ascii="Times New Roman" w:hAnsi="Times New Roman"/>
                <w:b/>
                <w:bCs/>
                <w:noProof/>
                <w:color w:val="000000"/>
                <w:sz w:val="20"/>
                <w:szCs w:val="20"/>
              </w:rPr>
              <w:t xml:space="preserve">2021 – Lastna sredstva iz naslova odpadne plastične embalaže – učinek v primerjavi s prejšnjo napovedjo </w:t>
            </w:r>
          </w:p>
        </w:tc>
      </w:tr>
      <w:tr>
        <w:trPr>
          <w:trHeight w:val="604"/>
          <w:tblHeader/>
          <w:jc w:val="center"/>
        </w:trPr>
        <w:tc>
          <w:tcPr>
            <w:tcW w:w="618" w:type="dxa"/>
            <w:tcBorders>
              <w:top w:val="single" w:sz="8" w:space="0" w:color="auto"/>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color w:val="000000"/>
                <w:sz w:val="20"/>
                <w:szCs w:val="20"/>
                <w:lang w:eastAsia="fr-BE"/>
              </w:rPr>
            </w:pPr>
          </w:p>
        </w:tc>
        <w:tc>
          <w:tcPr>
            <w:tcW w:w="2648" w:type="dxa"/>
            <w:gridSpan w:val="5"/>
            <w:tcBorders>
              <w:top w:val="single" w:sz="8" w:space="0" w:color="auto"/>
              <w:left w:val="nil"/>
              <w:bottom w:val="nil"/>
              <w:right w:val="nil"/>
            </w:tcBorders>
            <w:noWrap/>
            <w:vAlign w:val="center"/>
            <w:hideMark/>
          </w:tcPr>
          <w:p>
            <w:pPr>
              <w:spacing w:after="0" w:line="240" w:lineRule="auto"/>
              <w:jc w:val="center"/>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Bruto prispevek lastnih sredstev iz naslova odpadne plastične embalaže</w:t>
            </w:r>
          </w:p>
        </w:tc>
        <w:tc>
          <w:tcPr>
            <w:tcW w:w="0" w:type="auto"/>
            <w:vMerge w:val="restart"/>
            <w:tcBorders>
              <w:top w:val="nil"/>
              <w:left w:val="nil"/>
              <w:bottom w:val="single" w:sz="8" w:space="0" w:color="000000" w:themeColor="text1"/>
              <w:right w:val="nil"/>
            </w:tcBorders>
            <w:vAlign w:val="center"/>
            <w:hideMark/>
          </w:tcPr>
          <w:p>
            <w:pPr>
              <w:spacing w:after="0" w:line="240" w:lineRule="auto"/>
              <w:jc w:val="center"/>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Pavšalni popravek lastnih sredstev iz naslova odpadne plastične embalaže</w:t>
            </w:r>
          </w:p>
        </w:tc>
        <w:tc>
          <w:tcPr>
            <w:tcW w:w="1289" w:type="dxa"/>
            <w:vMerge w:val="restart"/>
            <w:tcBorders>
              <w:top w:val="nil"/>
              <w:left w:val="nil"/>
              <w:bottom w:val="single" w:sz="8" w:space="0" w:color="000000" w:themeColor="text1"/>
              <w:right w:val="nil"/>
            </w:tcBorders>
            <w:vAlign w:val="center"/>
            <w:hideMark/>
          </w:tcPr>
          <w:p>
            <w:pPr>
              <w:spacing w:after="0" w:line="240" w:lineRule="auto"/>
              <w:jc w:val="center"/>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Neto prispevek lastnih sredstev iz naslova odpadne plastične embalaže (ACOR iz maja/PSP4)</w:t>
            </w:r>
          </w:p>
        </w:tc>
        <w:tc>
          <w:tcPr>
            <w:tcW w:w="1024" w:type="dxa"/>
            <w:vMerge w:val="restart"/>
            <w:tcBorders>
              <w:top w:val="nil"/>
              <w:left w:val="nil"/>
              <w:bottom w:val="single" w:sz="8" w:space="0" w:color="000000" w:themeColor="text1"/>
              <w:right w:val="nil"/>
            </w:tcBorders>
            <w:vAlign w:val="center"/>
            <w:hideMark/>
          </w:tcPr>
          <w:p>
            <w:pPr>
              <w:spacing w:after="0" w:line="240" w:lineRule="auto"/>
              <w:jc w:val="center"/>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Neto prispevek lastnih sredstev iz naslova odpadne plastične embalaže (ACOR iz septembra)</w:t>
            </w:r>
          </w:p>
        </w:tc>
        <w:tc>
          <w:tcPr>
            <w:tcW w:w="1118" w:type="dxa"/>
            <w:vMerge w:val="restart"/>
            <w:tcBorders>
              <w:top w:val="nil"/>
              <w:left w:val="nil"/>
              <w:bottom w:val="single" w:sz="8" w:space="0" w:color="000000" w:themeColor="text1"/>
              <w:right w:val="nil"/>
            </w:tcBorders>
            <w:shd w:val="clear" w:color="auto" w:fill="F2F2F2" w:themeFill="background1" w:themeFillShade="F2"/>
            <w:vAlign w:val="center"/>
            <w:hideMark/>
          </w:tcPr>
          <w:p>
            <w:pPr>
              <w:spacing w:after="0" w:line="240" w:lineRule="auto"/>
              <w:jc w:val="center"/>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Razlika v prispevku lastnih sredstev iz naslova odpadne plastične embalaže</w:t>
            </w:r>
          </w:p>
        </w:tc>
        <w:tc>
          <w:tcPr>
            <w:tcW w:w="0" w:type="auto"/>
            <w:vMerge w:val="restart"/>
            <w:tcBorders>
              <w:top w:val="nil"/>
              <w:left w:val="nil"/>
              <w:bottom w:val="single" w:sz="8" w:space="0" w:color="000000" w:themeColor="text1"/>
              <w:right w:val="nil"/>
            </w:tcBorders>
            <w:vAlign w:val="center"/>
            <w:hideMark/>
          </w:tcPr>
          <w:p>
            <w:pPr>
              <w:spacing w:after="0" w:line="240" w:lineRule="auto"/>
              <w:jc w:val="center"/>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Prispevek iz naslova BND (ACOR iz maja/PSP4)</w:t>
            </w:r>
          </w:p>
        </w:tc>
        <w:tc>
          <w:tcPr>
            <w:tcW w:w="1118" w:type="dxa"/>
            <w:vMerge w:val="restart"/>
            <w:tcBorders>
              <w:top w:val="nil"/>
              <w:left w:val="nil"/>
              <w:bottom w:val="single" w:sz="8" w:space="0" w:color="000000" w:themeColor="text1"/>
              <w:right w:val="nil"/>
            </w:tcBorders>
            <w:vAlign w:val="center"/>
            <w:hideMark/>
          </w:tcPr>
          <w:p>
            <w:pPr>
              <w:spacing w:after="0" w:line="240" w:lineRule="auto"/>
              <w:jc w:val="center"/>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Prispevek iz naslova BND (ACOR iz septembra)</w:t>
            </w:r>
          </w:p>
        </w:tc>
        <w:tc>
          <w:tcPr>
            <w:tcW w:w="1795" w:type="dxa"/>
            <w:vMerge w:val="restart"/>
            <w:tcBorders>
              <w:top w:val="nil"/>
              <w:left w:val="nil"/>
              <w:bottom w:val="single" w:sz="8" w:space="0" w:color="000000" w:themeColor="text1"/>
              <w:right w:val="nil"/>
            </w:tcBorders>
            <w:shd w:val="clear" w:color="auto" w:fill="F2F2F2" w:themeFill="background1" w:themeFillShade="F2"/>
            <w:vAlign w:val="center"/>
            <w:hideMark/>
          </w:tcPr>
          <w:p>
            <w:pPr>
              <w:spacing w:after="0" w:line="240" w:lineRule="auto"/>
              <w:jc w:val="center"/>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Razlika v prispevku iz naslova BND zaradi popravljene napovedi lastnih sredstev iz naslova odpadne plastične embalaže</w:t>
            </w:r>
            <w:r>
              <w:rPr>
                <w:rStyle w:val="FootnoteReference"/>
                <w:rFonts w:ascii="Times New Roman" w:eastAsia="Times New Roman" w:hAnsi="Times New Roman" w:cs="Times New Roman"/>
                <w:noProof/>
                <w:color w:val="000000"/>
                <w:sz w:val="20"/>
                <w:szCs w:val="20"/>
                <w:lang w:eastAsia="fr-BE"/>
              </w:rPr>
              <w:footnoteReference w:id="15"/>
            </w:r>
          </w:p>
        </w:tc>
        <w:tc>
          <w:tcPr>
            <w:tcW w:w="1799" w:type="dxa"/>
            <w:vMerge w:val="restart"/>
            <w:tcBorders>
              <w:top w:val="nil"/>
              <w:left w:val="single" w:sz="4" w:space="0" w:color="auto"/>
              <w:bottom w:val="single" w:sz="8" w:space="0" w:color="000000" w:themeColor="text1"/>
              <w:right w:val="single" w:sz="8" w:space="0" w:color="auto"/>
            </w:tcBorders>
            <w:shd w:val="clear" w:color="auto" w:fill="F2F2F2" w:themeFill="background1" w:themeFillShade="F2"/>
            <w:vAlign w:val="center"/>
            <w:hideMark/>
          </w:tcPr>
          <w:p>
            <w:pPr>
              <w:spacing w:after="0" w:line="240" w:lineRule="auto"/>
              <w:jc w:val="center"/>
              <w:rPr>
                <w:rFonts w:ascii="Times New Roman" w:eastAsia="Times New Roman" w:hAnsi="Times New Roman" w:cs="Times New Roman"/>
                <w:b/>
                <w:bCs/>
                <w:noProof/>
                <w:color w:val="000000"/>
                <w:sz w:val="20"/>
                <w:szCs w:val="20"/>
              </w:rPr>
            </w:pPr>
            <w:r>
              <w:rPr>
                <w:rFonts w:ascii="Times New Roman" w:hAnsi="Times New Roman"/>
                <w:b/>
                <w:bCs/>
                <w:noProof/>
                <w:color w:val="000000"/>
                <w:sz w:val="20"/>
                <w:szCs w:val="20"/>
              </w:rPr>
              <w:t>Razlika skupaj (lastna sredstva iz naslova odpadne plastične embalaže + prispevek iz naslova BND)</w:t>
            </w:r>
          </w:p>
        </w:tc>
      </w:tr>
      <w:tr>
        <w:trPr>
          <w:trHeight w:val="100"/>
          <w:tblHeader/>
          <w:jc w:val="center"/>
        </w:trPr>
        <w:tc>
          <w:tcPr>
            <w:tcW w:w="618" w:type="dxa"/>
            <w:tcBorders>
              <w:top w:val="nil"/>
              <w:left w:val="single" w:sz="8" w:space="0" w:color="auto"/>
              <w:bottom w:val="single" w:sz="8" w:space="0" w:color="auto"/>
              <w:right w:val="single" w:sz="8" w:space="0" w:color="auto"/>
            </w:tcBorders>
            <w:noWrap/>
            <w:vAlign w:val="bottom"/>
            <w:hideMark/>
          </w:tcPr>
          <w:p>
            <w:pPr>
              <w:spacing w:after="0" w:line="240" w:lineRule="auto"/>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 </w:t>
            </w:r>
          </w:p>
        </w:tc>
        <w:tc>
          <w:tcPr>
            <w:tcW w:w="904" w:type="dxa"/>
            <w:tcBorders>
              <w:top w:val="nil"/>
              <w:left w:val="nil"/>
              <w:bottom w:val="single" w:sz="8" w:space="0" w:color="auto"/>
              <w:right w:val="nil"/>
            </w:tcBorders>
            <w:noWrap/>
            <w:vAlign w:val="bottom"/>
            <w:hideMark/>
          </w:tcPr>
          <w:p>
            <w:pPr>
              <w:spacing w:after="0" w:line="240" w:lineRule="auto"/>
              <w:jc w:val="center"/>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ACOR iz maja</w:t>
            </w:r>
          </w:p>
        </w:tc>
        <w:tc>
          <w:tcPr>
            <w:tcW w:w="720" w:type="dxa"/>
            <w:tcBorders>
              <w:top w:val="nil"/>
              <w:left w:val="nil"/>
              <w:bottom w:val="single" w:sz="8" w:space="0" w:color="auto"/>
              <w:right w:val="nil"/>
            </w:tcBorders>
            <w:noWrap/>
            <w:vAlign w:val="bottom"/>
            <w:hideMark/>
          </w:tcPr>
          <w:p>
            <w:pPr>
              <w:spacing w:after="0" w:line="240" w:lineRule="auto"/>
              <w:jc w:val="center"/>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ACOR iz septembra</w:t>
            </w:r>
          </w:p>
        </w:tc>
        <w:tc>
          <w:tcPr>
            <w:tcW w:w="524" w:type="dxa"/>
            <w:gridSpan w:val="2"/>
            <w:tcBorders>
              <w:top w:val="nil"/>
              <w:left w:val="nil"/>
              <w:bottom w:val="single" w:sz="8" w:space="0" w:color="auto"/>
              <w:right w:val="nil"/>
            </w:tcBorders>
            <w:noWrap/>
            <w:vAlign w:val="bottom"/>
            <w:hideMark/>
          </w:tcPr>
          <w:p>
            <w:pPr>
              <w:spacing w:after="0" w:line="240" w:lineRule="auto"/>
              <w:jc w:val="center"/>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Δ</w:t>
            </w:r>
          </w:p>
        </w:tc>
        <w:tc>
          <w:tcPr>
            <w:tcW w:w="500" w:type="dxa"/>
            <w:tcBorders>
              <w:top w:val="nil"/>
              <w:left w:val="nil"/>
              <w:bottom w:val="single" w:sz="8" w:space="0" w:color="auto"/>
              <w:right w:val="nil"/>
            </w:tcBorders>
            <w:noWrap/>
            <w:vAlign w:val="bottom"/>
            <w:hideMark/>
          </w:tcPr>
          <w:p>
            <w:pPr>
              <w:spacing w:after="0" w:line="240" w:lineRule="auto"/>
              <w:jc w:val="center"/>
              <w:rPr>
                <w:rFonts w:ascii="Times New Roman" w:eastAsia="Times New Roman" w:hAnsi="Times New Roman" w:cs="Times New Roman"/>
                <w:noProof/>
                <w:color w:val="000000"/>
                <w:sz w:val="20"/>
                <w:szCs w:val="20"/>
              </w:rPr>
            </w:pPr>
            <w:r>
              <w:rPr>
                <w:rFonts w:ascii="Times New Roman" w:hAnsi="Times New Roman"/>
                <w:noProof/>
                <w:color w:val="000000"/>
                <w:sz w:val="20"/>
                <w:szCs w:val="20"/>
              </w:rPr>
              <w:t>%Δ</w:t>
            </w:r>
          </w:p>
        </w:tc>
        <w:tc>
          <w:tcPr>
            <w:tcW w:w="0" w:type="auto"/>
            <w:vMerge/>
            <w:tcBorders>
              <w:top w:val="nil"/>
              <w:left w:val="nil"/>
              <w:bottom w:val="single" w:sz="8" w:space="0" w:color="000000"/>
              <w:right w:val="nil"/>
            </w:tcBorders>
            <w:vAlign w:val="center"/>
            <w:hideMark/>
          </w:tcPr>
          <w:p>
            <w:pPr>
              <w:spacing w:after="0"/>
              <w:rPr>
                <w:rFonts w:ascii="Times New Roman" w:eastAsia="Times New Roman" w:hAnsi="Times New Roman" w:cs="Times New Roman"/>
                <w:noProof/>
                <w:color w:val="000000"/>
                <w:sz w:val="16"/>
                <w:szCs w:val="16"/>
                <w:lang w:val="fr-BE" w:eastAsia="fr-BE"/>
              </w:rPr>
            </w:pPr>
          </w:p>
        </w:tc>
        <w:tc>
          <w:tcPr>
            <w:tcW w:w="1289" w:type="dxa"/>
            <w:vMerge/>
            <w:tcBorders>
              <w:top w:val="nil"/>
              <w:left w:val="nil"/>
              <w:bottom w:val="single" w:sz="8" w:space="0" w:color="000000"/>
              <w:right w:val="nil"/>
            </w:tcBorders>
            <w:vAlign w:val="center"/>
            <w:hideMark/>
          </w:tcPr>
          <w:p>
            <w:pPr>
              <w:spacing w:after="0"/>
              <w:rPr>
                <w:rFonts w:ascii="Times New Roman" w:eastAsia="Times New Roman" w:hAnsi="Times New Roman" w:cs="Times New Roman"/>
                <w:noProof/>
                <w:color w:val="000000"/>
                <w:sz w:val="16"/>
                <w:szCs w:val="16"/>
                <w:lang w:eastAsia="fr-BE"/>
              </w:rPr>
            </w:pPr>
          </w:p>
        </w:tc>
        <w:tc>
          <w:tcPr>
            <w:tcW w:w="1024" w:type="dxa"/>
            <w:vMerge/>
            <w:tcBorders>
              <w:top w:val="nil"/>
              <w:left w:val="nil"/>
              <w:bottom w:val="single" w:sz="8" w:space="0" w:color="000000"/>
              <w:right w:val="nil"/>
            </w:tcBorders>
            <w:vAlign w:val="center"/>
            <w:hideMark/>
          </w:tcPr>
          <w:p>
            <w:pPr>
              <w:spacing w:after="0"/>
              <w:rPr>
                <w:rFonts w:ascii="Times New Roman" w:eastAsia="Times New Roman" w:hAnsi="Times New Roman" w:cs="Times New Roman"/>
                <w:noProof/>
                <w:color w:val="000000"/>
                <w:sz w:val="16"/>
                <w:szCs w:val="16"/>
                <w:lang w:val="fr-BE" w:eastAsia="fr-BE"/>
              </w:rPr>
            </w:pPr>
          </w:p>
        </w:tc>
        <w:tc>
          <w:tcPr>
            <w:tcW w:w="1118" w:type="dxa"/>
            <w:vMerge/>
            <w:tcBorders>
              <w:top w:val="nil"/>
              <w:left w:val="nil"/>
              <w:bottom w:val="single" w:sz="8" w:space="0" w:color="000000"/>
              <w:right w:val="nil"/>
            </w:tcBorders>
            <w:vAlign w:val="center"/>
            <w:hideMark/>
          </w:tcPr>
          <w:p>
            <w:pPr>
              <w:spacing w:after="0"/>
              <w:rPr>
                <w:rFonts w:ascii="Times New Roman" w:eastAsia="Times New Roman" w:hAnsi="Times New Roman" w:cs="Times New Roman"/>
                <w:noProof/>
                <w:color w:val="000000"/>
                <w:sz w:val="16"/>
                <w:szCs w:val="16"/>
                <w:lang w:val="fr-BE" w:eastAsia="fr-BE"/>
              </w:rPr>
            </w:pPr>
          </w:p>
        </w:tc>
        <w:tc>
          <w:tcPr>
            <w:tcW w:w="0" w:type="auto"/>
            <w:vMerge/>
            <w:tcBorders>
              <w:top w:val="nil"/>
              <w:left w:val="nil"/>
              <w:bottom w:val="single" w:sz="8" w:space="0" w:color="000000"/>
              <w:right w:val="nil"/>
            </w:tcBorders>
            <w:vAlign w:val="center"/>
            <w:hideMark/>
          </w:tcPr>
          <w:p>
            <w:pPr>
              <w:spacing w:after="0"/>
              <w:rPr>
                <w:rFonts w:ascii="Times New Roman" w:eastAsia="Times New Roman" w:hAnsi="Times New Roman" w:cs="Times New Roman"/>
                <w:noProof/>
                <w:color w:val="000000"/>
                <w:sz w:val="16"/>
                <w:szCs w:val="16"/>
                <w:lang w:eastAsia="fr-BE"/>
              </w:rPr>
            </w:pPr>
          </w:p>
        </w:tc>
        <w:tc>
          <w:tcPr>
            <w:tcW w:w="1118" w:type="dxa"/>
            <w:vMerge/>
            <w:tcBorders>
              <w:top w:val="nil"/>
              <w:left w:val="nil"/>
              <w:bottom w:val="single" w:sz="8" w:space="0" w:color="000000"/>
              <w:right w:val="nil"/>
            </w:tcBorders>
            <w:vAlign w:val="center"/>
            <w:hideMark/>
          </w:tcPr>
          <w:p>
            <w:pPr>
              <w:spacing w:after="0"/>
              <w:rPr>
                <w:rFonts w:ascii="Times New Roman" w:eastAsia="Times New Roman" w:hAnsi="Times New Roman" w:cs="Times New Roman"/>
                <w:noProof/>
                <w:color w:val="000000"/>
                <w:sz w:val="16"/>
                <w:szCs w:val="16"/>
                <w:lang w:val="fr-BE" w:eastAsia="fr-BE"/>
              </w:rPr>
            </w:pPr>
          </w:p>
        </w:tc>
        <w:tc>
          <w:tcPr>
            <w:tcW w:w="1795" w:type="dxa"/>
            <w:vMerge/>
            <w:tcBorders>
              <w:top w:val="nil"/>
              <w:left w:val="nil"/>
              <w:bottom w:val="single" w:sz="8" w:space="0" w:color="000000"/>
              <w:right w:val="nil"/>
            </w:tcBorders>
            <w:vAlign w:val="center"/>
            <w:hideMark/>
          </w:tcPr>
          <w:p>
            <w:pPr>
              <w:spacing w:after="0"/>
              <w:rPr>
                <w:rFonts w:ascii="Times New Roman" w:eastAsia="Times New Roman" w:hAnsi="Times New Roman" w:cs="Times New Roman"/>
                <w:noProof/>
                <w:color w:val="000000"/>
                <w:sz w:val="16"/>
                <w:szCs w:val="16"/>
                <w:lang w:eastAsia="fr-BE"/>
              </w:rPr>
            </w:pPr>
          </w:p>
        </w:tc>
        <w:tc>
          <w:tcPr>
            <w:tcW w:w="1799" w:type="dxa"/>
            <w:vMerge/>
            <w:tcBorders>
              <w:top w:val="nil"/>
              <w:left w:val="single" w:sz="4" w:space="0" w:color="auto"/>
              <w:bottom w:val="single" w:sz="8" w:space="0" w:color="000000"/>
              <w:right w:val="single" w:sz="8" w:space="0" w:color="auto"/>
            </w:tcBorders>
            <w:vAlign w:val="center"/>
            <w:hideMark/>
          </w:tcPr>
          <w:p>
            <w:pPr>
              <w:spacing w:after="0"/>
              <w:rPr>
                <w:rFonts w:ascii="Times New Roman" w:eastAsia="Times New Roman" w:hAnsi="Times New Roman" w:cs="Times New Roman"/>
                <w:b/>
                <w:bCs/>
                <w:noProof/>
                <w:color w:val="000000"/>
                <w:sz w:val="16"/>
                <w:szCs w:val="16"/>
                <w:lang w:eastAsia="fr-BE"/>
              </w:rPr>
            </w:pP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BE</w:t>
            </w:r>
          </w:p>
        </w:tc>
        <w:tc>
          <w:tcPr>
            <w:tcW w:w="90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151</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151</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151</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151</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4 049</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4 048</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–0,7</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–0,7</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BG</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44</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44</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22</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22</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22</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534</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534</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–0,1</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–0,1</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CZ</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91</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84</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–7</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–8,1 %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32</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59</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52</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–7</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1 816</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1 815</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–0,3</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–7,6</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DK</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125</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125</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125</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125</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2 803</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2 803</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–0,5</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–0,5</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DE</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1 323</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1 357</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34</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2,6 %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1 323</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1 357</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34</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30 221</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30 216</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–5,0</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29,1</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EE</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26</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26</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4</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22</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22</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237</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237</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0,0</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IE</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146</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146</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146</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146</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2 462</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2 462</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–0,4</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–0,4</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EL</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81</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81</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33</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48</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48</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1 444</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1 444</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–0,2</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–0,2</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ES</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628</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621</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–7</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–1,2 %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142</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486</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479</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–7</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10 143</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10 141</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–1,7</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–9,1</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FR</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1 247</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1 247</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1 247</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1 247</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20 795</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20 792</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–3,4</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–3,4</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HR</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29</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31</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2</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5,6 %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13</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16</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18</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2</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446</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446</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–0,1</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1,6</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IT</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933</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928</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–5</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–0,5 %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184</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749</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744</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–5</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14 771</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14 769</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–2,5</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–7,1</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CY</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6</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6</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3</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179</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179</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0,0</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LV</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21</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21</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6</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15</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15</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258</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258</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0,0</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LT</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20</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9</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11</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11</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415</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415</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–0,1</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–0,1</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LU</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14</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14</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14</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14</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362</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362</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–0,1</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–0,1</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HU</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185</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182</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–3</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–1,5 %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30</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155</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152</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–3</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1 180</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1 180</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–0,2</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–3,0</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MT</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9</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9</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1</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7</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7</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104</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104</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0,0</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NL</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205</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205</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205</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205</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6 985</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6 983</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–1,2</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–1,2</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AT</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148</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156</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8</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5,3 %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148</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156</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8</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3 287</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3 287</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–0,5</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7,4</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PL</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489</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489</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117</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372</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372</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4 404</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4 404</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–0,7</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–0,7</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PT</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199</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199</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31</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167</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167</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1 771</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1 771</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–0,3</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–0,3</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RO</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177</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177</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60</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117</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117</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1 941</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1 941</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–0,3</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–0,3</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SI</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17</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17</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6</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10</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10</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405</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405</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–0,1</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–0,1</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SK</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52</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51</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–2</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–3,2 %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17</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35</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34</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–2</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795</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795</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–0,1</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–1,8</w:t>
            </w:r>
          </w:p>
        </w:tc>
      </w:tr>
      <w:tr>
        <w:trPr>
          <w:trHeight w:val="300"/>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FI</w:t>
            </w:r>
          </w:p>
        </w:tc>
        <w:tc>
          <w:tcPr>
            <w:tcW w:w="904" w:type="dxa"/>
            <w:tcBorders>
              <w:top w:val="nil"/>
              <w:left w:val="single" w:sz="8" w:space="0" w:color="auto"/>
              <w:bottom w:val="nil"/>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69</w:t>
            </w:r>
          </w:p>
        </w:tc>
        <w:tc>
          <w:tcPr>
            <w:tcW w:w="944" w:type="dxa"/>
            <w:gridSpan w:val="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69</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1289"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69</w:t>
            </w:r>
          </w:p>
        </w:tc>
        <w:tc>
          <w:tcPr>
            <w:tcW w:w="1024"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69</w:t>
            </w:r>
          </w:p>
        </w:tc>
        <w:tc>
          <w:tcPr>
            <w:tcW w:w="1118"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2 106</w:t>
            </w:r>
          </w:p>
        </w:tc>
        <w:tc>
          <w:tcPr>
            <w:tcW w:w="1118" w:type="dxa"/>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2 106</w:t>
            </w:r>
          </w:p>
        </w:tc>
        <w:tc>
          <w:tcPr>
            <w:tcW w:w="1795" w:type="dxa"/>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–0,3</w:t>
            </w:r>
          </w:p>
        </w:tc>
        <w:tc>
          <w:tcPr>
            <w:tcW w:w="1799" w:type="dxa"/>
            <w:tcBorders>
              <w:top w:val="nil"/>
              <w:left w:val="single" w:sz="4" w:space="0" w:color="auto"/>
              <w:bottom w:val="nil"/>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–0,3</w:t>
            </w:r>
          </w:p>
        </w:tc>
      </w:tr>
      <w:tr>
        <w:trPr>
          <w:trHeight w:val="315"/>
          <w:jc w:val="center"/>
        </w:trPr>
        <w:tc>
          <w:tcPr>
            <w:tcW w:w="618" w:type="dxa"/>
            <w:tcBorders>
              <w:top w:val="nil"/>
              <w:left w:val="single" w:sz="8" w:space="0" w:color="auto"/>
              <w:bottom w:val="nil"/>
              <w:right w:val="single" w:sz="8" w:space="0" w:color="auto"/>
            </w:tcBorders>
            <w:noWrap/>
            <w:vAlign w:val="bottom"/>
            <w:hideMark/>
          </w:tcPr>
          <w:p>
            <w:pPr>
              <w:spacing w:after="0" w:line="240" w:lineRule="auto"/>
              <w:rPr>
                <w:rFonts w:ascii="Times New Roman" w:eastAsia="Times New Roman" w:hAnsi="Times New Roman" w:cs="Times New Roman"/>
                <w:noProof/>
                <w:sz w:val="20"/>
                <w:szCs w:val="20"/>
              </w:rPr>
            </w:pPr>
            <w:r>
              <w:rPr>
                <w:rFonts w:ascii="Times New Roman" w:hAnsi="Times New Roman"/>
                <w:noProof/>
                <w:sz w:val="20"/>
                <w:szCs w:val="20"/>
              </w:rPr>
              <w:t>SE</w:t>
            </w:r>
          </w:p>
        </w:tc>
        <w:tc>
          <w:tcPr>
            <w:tcW w:w="904" w:type="dxa"/>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102</w:t>
            </w:r>
          </w:p>
        </w:tc>
        <w:tc>
          <w:tcPr>
            <w:tcW w:w="944" w:type="dxa"/>
            <w:gridSpan w:val="2"/>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102</w:t>
            </w:r>
          </w:p>
        </w:tc>
        <w:tc>
          <w:tcPr>
            <w:tcW w:w="0" w:type="auto"/>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500" w:type="dxa"/>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0,0 %</w:t>
            </w:r>
          </w:p>
        </w:tc>
        <w:tc>
          <w:tcPr>
            <w:tcW w:w="0" w:type="auto"/>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1289" w:type="dxa"/>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102</w:t>
            </w:r>
          </w:p>
        </w:tc>
        <w:tc>
          <w:tcPr>
            <w:tcW w:w="1024" w:type="dxa"/>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102</w:t>
            </w:r>
          </w:p>
        </w:tc>
        <w:tc>
          <w:tcPr>
            <w:tcW w:w="1118" w:type="dxa"/>
            <w:tcBorders>
              <w:top w:val="nil"/>
              <w:left w:val="nil"/>
              <w:bottom w:val="single" w:sz="8" w:space="0" w:color="auto"/>
              <w:right w:val="nil"/>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w:t>
            </w:r>
          </w:p>
        </w:tc>
        <w:tc>
          <w:tcPr>
            <w:tcW w:w="0" w:type="auto"/>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4 510</w:t>
            </w:r>
          </w:p>
        </w:tc>
        <w:tc>
          <w:tcPr>
            <w:tcW w:w="1118" w:type="dxa"/>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xml:space="preserve"> 4 509</w:t>
            </w:r>
          </w:p>
        </w:tc>
        <w:tc>
          <w:tcPr>
            <w:tcW w:w="1795" w:type="dxa"/>
            <w:tcBorders>
              <w:top w:val="nil"/>
              <w:left w:val="nil"/>
              <w:bottom w:val="single" w:sz="8" w:space="0" w:color="auto"/>
              <w:right w:val="nil"/>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–0,7</w:t>
            </w:r>
          </w:p>
        </w:tc>
        <w:tc>
          <w:tcPr>
            <w:tcW w:w="1799" w:type="dxa"/>
            <w:tcBorders>
              <w:top w:val="nil"/>
              <w:left w:val="single" w:sz="4" w:space="0" w:color="auto"/>
              <w:bottom w:val="single" w:sz="8" w:space="0" w:color="auto"/>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–0,7</w:t>
            </w:r>
          </w:p>
        </w:tc>
      </w:tr>
      <w:tr>
        <w:trPr>
          <w:trHeight w:val="315"/>
          <w:jc w:val="center"/>
        </w:trPr>
        <w:tc>
          <w:tcPr>
            <w:tcW w:w="618" w:type="dxa"/>
            <w:tcBorders>
              <w:top w:val="nil"/>
              <w:left w:val="single" w:sz="8" w:space="0" w:color="auto"/>
              <w:bottom w:val="single" w:sz="8" w:space="0" w:color="auto"/>
              <w:right w:val="single" w:sz="8" w:space="0" w:color="auto"/>
            </w:tcBorders>
            <w:noWrap/>
            <w:vAlign w:val="bottom"/>
            <w:hideMark/>
          </w:tcPr>
          <w:p>
            <w:pPr>
              <w:spacing w:after="0" w:line="240" w:lineRule="auto"/>
              <w:rPr>
                <w:rFonts w:ascii="Times New Roman" w:eastAsia="Times New Roman" w:hAnsi="Times New Roman" w:cs="Times New Roman"/>
                <w:b/>
                <w:bCs/>
                <w:noProof/>
                <w:sz w:val="20"/>
                <w:szCs w:val="20"/>
              </w:rPr>
            </w:pPr>
            <w:r>
              <w:rPr>
                <w:rFonts w:ascii="Times New Roman" w:hAnsi="Times New Roman"/>
                <w:b/>
                <w:bCs/>
                <w:noProof/>
                <w:sz w:val="20"/>
                <w:szCs w:val="20"/>
              </w:rPr>
              <w:t>EU-27</w:t>
            </w:r>
          </w:p>
        </w:tc>
        <w:tc>
          <w:tcPr>
            <w:tcW w:w="904" w:type="dxa"/>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xml:space="preserve"> 6 538</w:t>
            </w:r>
          </w:p>
        </w:tc>
        <w:tc>
          <w:tcPr>
            <w:tcW w:w="944" w:type="dxa"/>
            <w:gridSpan w:val="2"/>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xml:space="preserve"> 6 558</w:t>
            </w:r>
          </w:p>
        </w:tc>
        <w:tc>
          <w:tcPr>
            <w:tcW w:w="0" w:type="auto"/>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20</w:t>
            </w:r>
          </w:p>
        </w:tc>
        <w:tc>
          <w:tcPr>
            <w:tcW w:w="500" w:type="dxa"/>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0,3 %</w:t>
            </w:r>
          </w:p>
        </w:tc>
        <w:tc>
          <w:tcPr>
            <w:tcW w:w="0" w:type="auto"/>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711</w:t>
            </w:r>
          </w:p>
        </w:tc>
        <w:tc>
          <w:tcPr>
            <w:tcW w:w="1289" w:type="dxa"/>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xml:space="preserve"> 5 827</w:t>
            </w:r>
          </w:p>
        </w:tc>
        <w:tc>
          <w:tcPr>
            <w:tcW w:w="1024" w:type="dxa"/>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xml:space="preserve"> 5 847</w:t>
            </w:r>
          </w:p>
        </w:tc>
        <w:tc>
          <w:tcPr>
            <w:tcW w:w="1118" w:type="dxa"/>
            <w:tcBorders>
              <w:top w:val="nil"/>
              <w:left w:val="nil"/>
              <w:bottom w:val="single" w:sz="8" w:space="0" w:color="auto"/>
              <w:right w:val="nil"/>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20</w:t>
            </w:r>
          </w:p>
        </w:tc>
        <w:tc>
          <w:tcPr>
            <w:tcW w:w="0" w:type="auto"/>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xml:space="preserve"> 118 424</w:t>
            </w:r>
          </w:p>
        </w:tc>
        <w:tc>
          <w:tcPr>
            <w:tcW w:w="1118" w:type="dxa"/>
            <w:tcBorders>
              <w:top w:val="nil"/>
              <w:left w:val="nil"/>
              <w:bottom w:val="single" w:sz="8" w:space="0" w:color="auto"/>
              <w:right w:val="nil"/>
            </w:tcBorders>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xml:space="preserve"> 118 405</w:t>
            </w:r>
          </w:p>
        </w:tc>
        <w:tc>
          <w:tcPr>
            <w:tcW w:w="1795" w:type="dxa"/>
            <w:tcBorders>
              <w:top w:val="nil"/>
              <w:left w:val="nil"/>
              <w:bottom w:val="single" w:sz="8" w:space="0" w:color="auto"/>
              <w:right w:val="nil"/>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–20</w:t>
            </w:r>
          </w:p>
        </w:tc>
        <w:tc>
          <w:tcPr>
            <w:tcW w:w="1799" w:type="dxa"/>
            <w:tcBorders>
              <w:top w:val="nil"/>
              <w:left w:val="single" w:sz="4" w:space="0" w:color="auto"/>
              <w:bottom w:val="single" w:sz="8" w:space="0" w:color="auto"/>
              <w:right w:val="single" w:sz="8" w:space="0" w:color="auto"/>
            </w:tcBorders>
            <w:shd w:val="clear" w:color="auto" w:fill="F2F2F2" w:themeFill="background1" w:themeFillShade="F2"/>
            <w:noWrap/>
            <w:vAlign w:val="bottom"/>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0,0</w:t>
            </w:r>
          </w:p>
        </w:tc>
      </w:tr>
    </w:tbl>
    <w:p>
      <w:pPr>
        <w:spacing w:after="240" w:line="240" w:lineRule="auto"/>
        <w:jc w:val="both"/>
        <w:rPr>
          <w:noProof/>
        </w:rPr>
        <w:sectPr>
          <w:headerReference w:type="even" r:id="rId33"/>
          <w:headerReference w:type="default" r:id="rId34"/>
          <w:footerReference w:type="even" r:id="rId35"/>
          <w:footerReference w:type="default" r:id="rId36"/>
          <w:headerReference w:type="first" r:id="rId37"/>
          <w:footerReference w:type="first" r:id="rId38"/>
          <w:pgSz w:w="16838" w:h="11906" w:orient="landscape"/>
          <w:pgMar w:top="1440" w:right="1440" w:bottom="1133" w:left="1440" w:header="708" w:footer="708" w:gutter="0"/>
          <w:cols w:space="720"/>
          <w:docGrid w:linePitch="360"/>
        </w:sectPr>
      </w:pPr>
    </w:p>
    <w:p>
      <w:pPr>
        <w:pStyle w:val="ListParagraph"/>
        <w:keepNext/>
        <w:numPr>
          <w:ilvl w:val="0"/>
          <w:numId w:val="7"/>
        </w:numPr>
        <w:tabs>
          <w:tab w:val="left" w:pos="850"/>
        </w:tabs>
        <w:spacing w:before="360" w:after="120" w:line="240" w:lineRule="auto"/>
        <w:jc w:val="both"/>
        <w:outlineLvl w:val="0"/>
        <w:rPr>
          <w:rFonts w:ascii="Times New Roman" w:eastAsia="Times New Roman" w:hAnsi="Times New Roman" w:cs="Times New Roman"/>
          <w:b/>
          <w:bCs/>
          <w:smallCaps/>
          <w:noProof/>
          <w:sz w:val="24"/>
          <w:szCs w:val="24"/>
        </w:rPr>
      </w:pPr>
      <w:bookmarkStart w:id="21" w:name="_Toc84587241"/>
      <w:r>
        <w:rPr>
          <w:rFonts w:ascii="Times New Roman" w:hAnsi="Times New Roman"/>
          <w:b/>
          <w:bCs/>
          <w:smallCaps/>
          <w:noProof/>
          <w:sz w:val="24"/>
          <w:szCs w:val="24"/>
        </w:rPr>
        <w:t>Prilagoditev proračunskih opomb za Evropski razvojni sklad</w:t>
      </w:r>
      <w:bookmarkEnd w:id="21"/>
    </w:p>
    <w:p>
      <w:pPr>
        <w:widowControl w:val="0"/>
        <w:spacing w:after="240"/>
        <w:jc w:val="both"/>
        <w:rPr>
          <w:rFonts w:ascii="Times New Roman" w:eastAsia="Times New Roman" w:hAnsi="Times New Roman" w:cs="Times New Roman"/>
          <w:bCs/>
          <w:noProof/>
          <w:sz w:val="24"/>
          <w:szCs w:val="24"/>
        </w:rPr>
      </w:pPr>
      <w:r>
        <w:rPr>
          <w:rFonts w:ascii="Times New Roman" w:hAnsi="Times New Roman"/>
          <w:bCs/>
          <w:noProof/>
          <w:sz w:val="24"/>
          <w:szCs w:val="24"/>
        </w:rPr>
        <w:t xml:space="preserve">Komisija predlaga spremembo proračunske opombe k proračunskemu členu 16 01 05 – Odhodki za podporo Evropskemu razvojnemu skladu. </w:t>
      </w:r>
    </w:p>
    <w:p>
      <w:pPr>
        <w:widowControl w:val="0"/>
        <w:spacing w:after="240"/>
        <w:jc w:val="both"/>
        <w:rPr>
          <w:rFonts w:ascii="Times New Roman" w:eastAsia="Times New Roman" w:hAnsi="Times New Roman" w:cs="Times New Roman"/>
          <w:noProof/>
          <w:sz w:val="24"/>
          <w:szCs w:val="24"/>
        </w:rPr>
      </w:pPr>
      <w:r>
        <w:rPr>
          <w:rFonts w:ascii="Times New Roman" w:hAnsi="Times New Roman"/>
          <w:noProof/>
          <w:sz w:val="24"/>
          <w:szCs w:val="24"/>
        </w:rPr>
        <w:t>Ta proračunska vrstica se uporablja za plačilo skupnih stroškov osebja Komisije v delegacijah EU. Poleg tega Komisija zaradi postopnega opuščanja dejavnosti v okviru prejšnje mirovne pomoči za Afriko, ki je del Evropskega razvojnega sklada (ERS), predlaga prilagoditev proračunskih opomb, da se zagotovi, da bo v tej vrstici za obdobje 2021–2024 zajeto tudi omejeno število uslužbencev na sedežu (ki se bo s 4 v letu 2021 postopno zmanjšalo na 0 v letu 2025), da se omogoči prehod na novi izvenproračunski evropski mirovni instrument. Posodobljena proračunska opomba je navedena v prilogi v proračunskem formatu.</w:t>
      </w:r>
    </w:p>
    <w:p>
      <w:pPr>
        <w:pStyle w:val="ListParagraph"/>
        <w:keepNext/>
        <w:numPr>
          <w:ilvl w:val="0"/>
          <w:numId w:val="7"/>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bookmarkStart w:id="22" w:name="_Toc84587242"/>
      <w:r>
        <w:rPr>
          <w:rFonts w:ascii="Times New Roman" w:hAnsi="Times New Roman"/>
          <w:b/>
          <w:smallCaps/>
          <w:noProof/>
          <w:sz w:val="24"/>
          <w:szCs w:val="24"/>
        </w:rPr>
        <w:t>Financiranje</w:t>
      </w:r>
      <w:bookmarkEnd w:id="22"/>
    </w:p>
    <w:p>
      <w:pPr>
        <w:pStyle w:val="Text1"/>
        <w:ind w:left="0"/>
        <w:rPr>
          <w:noProof/>
        </w:rPr>
      </w:pPr>
      <w:bookmarkStart w:id="23" w:name="_Toc35506112"/>
      <w:bookmarkEnd w:id="13"/>
      <w:r>
        <w:rPr>
          <w:noProof/>
        </w:rPr>
        <w:t>Na splošno neto učinek tega PSP na odhodke pomeni povečanje v višini 473,5 milijona EUR v odobritvah za prevzem obveznosti. Dodatne odobritve plačil se ne zahtevajo.</w:t>
      </w:r>
    </w:p>
    <w:p>
      <w:p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Ker v podrazdelku 2b in razdelku 6 večletnega finančnega okvira ni razlik do zgornje meje in manevrskega prostora za prerazporeditve, Komisija predlaga uporabo instrumenta prilagodljivosti v skladu s členom 12 uredbe o večletnem finančnem okviru v odobritvah za prevzem obveznosti v znesku 20 milijonov EUR za podrazdelek 2b Odpornost in vrednote, da se okrepi mehanizem Unije na področju civilne zaščite (UCPM/rescEU), in v znesku 450 milijonov EUR za razdelek 6 Sosedstvo in svet, da se okrepi Instrument za sosedstvo ter razvojno in mednarodno sodelovanje – Globalna Evropa in se tako zagotovi financiranje dodatnih cepiv za države z nizkim dohodkom. </w:t>
      </w:r>
    </w:p>
    <w:p>
      <w:p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Odobritve plačil za leto 2021, povezane z uporabo instrumenta prilagodljivosti v letih 2018, 2019, 2020 in 2021, znašajo 1 286,7 milijona EUR. Predvideni razpored plačil povezanih neporavnanih zneskov za ta leta je podrobno prikazan v naslednji razpredelnici:</w:t>
      </w:r>
    </w:p>
    <w:tbl>
      <w:tblPr>
        <w:tblW w:w="8008" w:type="dxa"/>
        <w:jc w:val="center"/>
        <w:tblLook w:val="04A0" w:firstRow="1" w:lastRow="0" w:firstColumn="1" w:lastColumn="0" w:noHBand="0" w:noVBand="1"/>
      </w:tblPr>
      <w:tblGrid>
        <w:gridCol w:w="2122"/>
        <w:gridCol w:w="1206"/>
        <w:gridCol w:w="1206"/>
        <w:gridCol w:w="1206"/>
        <w:gridCol w:w="992"/>
        <w:gridCol w:w="1276"/>
      </w:tblGrid>
      <w:tr>
        <w:trPr>
          <w:trHeight w:val="290"/>
          <w:jc w:val="center"/>
        </w:trPr>
        <w:tc>
          <w:tcPr>
            <w:tcW w:w="800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after="0" w:line="240" w:lineRule="auto"/>
              <w:jc w:val="center"/>
              <w:rPr>
                <w:rFonts w:ascii="Times New Roman" w:eastAsia="Times New Roman" w:hAnsi="Times New Roman" w:cs="Times New Roman"/>
                <w:b/>
                <w:bCs/>
                <w:noProof/>
                <w:color w:val="000000" w:themeColor="text1"/>
                <w:sz w:val="20"/>
                <w:szCs w:val="20"/>
              </w:rPr>
            </w:pPr>
            <w:r>
              <w:rPr>
                <w:rFonts w:ascii="Times New Roman" w:hAnsi="Times New Roman"/>
                <w:b/>
                <w:bCs/>
                <w:noProof/>
                <w:color w:val="000000" w:themeColor="text1"/>
                <w:sz w:val="20"/>
                <w:szCs w:val="20"/>
              </w:rPr>
              <w:t>Instrument prilagodljivosti – porazdelitev plačil</w:t>
            </w:r>
          </w:p>
        </w:tc>
      </w:tr>
      <w:tr>
        <w:trPr>
          <w:trHeight w:val="280"/>
          <w:jc w:val="center"/>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pPr>
              <w:spacing w:after="0" w:line="240" w:lineRule="auto"/>
              <w:rPr>
                <w:rFonts w:ascii="Times New Roman" w:eastAsia="Times New Roman" w:hAnsi="Times New Roman" w:cs="Times New Roman"/>
                <w:b/>
                <w:bCs/>
                <w:i/>
                <w:iCs/>
                <w:noProof/>
                <w:color w:val="000000" w:themeColor="text1"/>
              </w:rPr>
            </w:pPr>
            <w:r>
              <w:rPr>
                <w:rFonts w:ascii="Times New Roman" w:hAnsi="Times New Roman"/>
                <w:b/>
                <w:bCs/>
                <w:i/>
                <w:iCs/>
                <w:noProof/>
                <w:color w:val="000000" w:themeColor="text1"/>
              </w:rPr>
              <w:t>Leto uporabe</w:t>
            </w:r>
          </w:p>
        </w:tc>
        <w:tc>
          <w:tcPr>
            <w:tcW w:w="1206" w:type="dxa"/>
            <w:tcBorders>
              <w:top w:val="nil"/>
              <w:left w:val="nil"/>
              <w:bottom w:val="single" w:sz="4" w:space="0" w:color="auto"/>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b/>
                <w:bCs/>
                <w:noProof/>
                <w:color w:val="000000" w:themeColor="text1"/>
              </w:rPr>
              <w:t>2021</w:t>
            </w:r>
          </w:p>
        </w:tc>
        <w:tc>
          <w:tcPr>
            <w:tcW w:w="1206" w:type="dxa"/>
            <w:tcBorders>
              <w:top w:val="nil"/>
              <w:left w:val="nil"/>
              <w:bottom w:val="single" w:sz="4" w:space="0" w:color="auto"/>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b/>
                <w:bCs/>
                <w:noProof/>
                <w:color w:val="000000" w:themeColor="text1"/>
              </w:rPr>
              <w:t>2022</w:t>
            </w:r>
          </w:p>
        </w:tc>
        <w:tc>
          <w:tcPr>
            <w:tcW w:w="1206" w:type="dxa"/>
            <w:tcBorders>
              <w:top w:val="nil"/>
              <w:left w:val="nil"/>
              <w:bottom w:val="single" w:sz="4" w:space="0" w:color="auto"/>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b/>
                <w:bCs/>
                <w:noProof/>
                <w:color w:val="000000" w:themeColor="text1"/>
              </w:rPr>
              <w:t>2023</w:t>
            </w:r>
          </w:p>
        </w:tc>
        <w:tc>
          <w:tcPr>
            <w:tcW w:w="992" w:type="dxa"/>
            <w:tcBorders>
              <w:top w:val="nil"/>
              <w:left w:val="nil"/>
              <w:bottom w:val="single" w:sz="4" w:space="0" w:color="auto"/>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b/>
                <w:bCs/>
                <w:noProof/>
                <w:color w:val="000000" w:themeColor="text1"/>
              </w:rPr>
              <w:t>2024</w:t>
            </w:r>
          </w:p>
        </w:tc>
        <w:tc>
          <w:tcPr>
            <w:tcW w:w="1276" w:type="dxa"/>
            <w:tcBorders>
              <w:top w:val="nil"/>
              <w:left w:val="nil"/>
              <w:bottom w:val="single" w:sz="4" w:space="0" w:color="auto"/>
              <w:right w:val="single" w:sz="4" w:space="0" w:color="auto"/>
            </w:tcBorders>
            <w:shd w:val="clear" w:color="auto" w:fill="auto"/>
            <w:noWrap/>
            <w:vAlign w:val="bottom"/>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b/>
                <w:bCs/>
                <w:noProof/>
                <w:color w:val="000000" w:themeColor="text1"/>
              </w:rPr>
              <w:t>Skupaj</w:t>
            </w:r>
          </w:p>
        </w:tc>
      </w:tr>
      <w:tr>
        <w:trPr>
          <w:trHeight w:val="28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color w:val="000000" w:themeColor="text1"/>
              </w:rPr>
            </w:pPr>
            <w:r>
              <w:rPr>
                <w:rFonts w:ascii="Times New Roman" w:hAnsi="Times New Roman"/>
                <w:noProof/>
                <w:color w:val="000000" w:themeColor="text1"/>
              </w:rPr>
              <w:t>2018</w:t>
            </w:r>
          </w:p>
        </w:tc>
        <w:tc>
          <w:tcPr>
            <w:tcW w:w="120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34,2</w:t>
            </w:r>
          </w:p>
        </w:tc>
        <w:tc>
          <w:tcPr>
            <w:tcW w:w="120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0,0</w:t>
            </w:r>
          </w:p>
        </w:tc>
        <w:tc>
          <w:tcPr>
            <w:tcW w:w="120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0,0</w:t>
            </w:r>
          </w:p>
        </w:tc>
        <w:tc>
          <w:tcPr>
            <w:tcW w:w="992"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0,0</w:t>
            </w:r>
          </w:p>
        </w:tc>
        <w:tc>
          <w:tcPr>
            <w:tcW w:w="127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noProof/>
              </w:rPr>
              <w:t>34,2</w:t>
            </w:r>
          </w:p>
        </w:tc>
      </w:tr>
      <w:tr>
        <w:trPr>
          <w:trHeight w:val="28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color w:val="000000" w:themeColor="text1"/>
              </w:rPr>
            </w:pPr>
            <w:r>
              <w:rPr>
                <w:rFonts w:ascii="Times New Roman" w:hAnsi="Times New Roman"/>
                <w:noProof/>
                <w:color w:val="000000" w:themeColor="text1"/>
              </w:rPr>
              <w:t>2019</w:t>
            </w:r>
          </w:p>
        </w:tc>
        <w:tc>
          <w:tcPr>
            <w:tcW w:w="120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135,2</w:t>
            </w:r>
          </w:p>
        </w:tc>
        <w:tc>
          <w:tcPr>
            <w:tcW w:w="120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140,9</w:t>
            </w:r>
          </w:p>
        </w:tc>
        <w:tc>
          <w:tcPr>
            <w:tcW w:w="120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82,2</w:t>
            </w:r>
          </w:p>
        </w:tc>
        <w:tc>
          <w:tcPr>
            <w:tcW w:w="992"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0,0</w:t>
            </w:r>
          </w:p>
        </w:tc>
        <w:tc>
          <w:tcPr>
            <w:tcW w:w="127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noProof/>
              </w:rPr>
              <w:t>358,4</w:t>
            </w:r>
          </w:p>
        </w:tc>
      </w:tr>
      <w:tr>
        <w:trPr>
          <w:trHeight w:val="28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color w:val="000000" w:themeColor="text1"/>
              </w:rPr>
            </w:pPr>
            <w:r>
              <w:rPr>
                <w:rFonts w:ascii="Times New Roman" w:hAnsi="Times New Roman"/>
                <w:noProof/>
                <w:color w:val="000000" w:themeColor="text1"/>
              </w:rPr>
              <w:t>2020</w:t>
            </w:r>
          </w:p>
        </w:tc>
        <w:tc>
          <w:tcPr>
            <w:tcW w:w="120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413,7</w:t>
            </w:r>
          </w:p>
        </w:tc>
        <w:tc>
          <w:tcPr>
            <w:tcW w:w="120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66,2</w:t>
            </w:r>
          </w:p>
        </w:tc>
        <w:tc>
          <w:tcPr>
            <w:tcW w:w="120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39,9</w:t>
            </w:r>
          </w:p>
        </w:tc>
        <w:tc>
          <w:tcPr>
            <w:tcW w:w="992"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0,0</w:t>
            </w:r>
          </w:p>
        </w:tc>
        <w:tc>
          <w:tcPr>
            <w:tcW w:w="127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noProof/>
              </w:rPr>
              <w:t>519,8</w:t>
            </w:r>
          </w:p>
        </w:tc>
      </w:tr>
      <w:tr>
        <w:trPr>
          <w:trHeight w:val="28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noProof/>
                <w:color w:val="000000" w:themeColor="text1"/>
              </w:rPr>
            </w:pPr>
            <w:r>
              <w:rPr>
                <w:rFonts w:ascii="Times New Roman" w:hAnsi="Times New Roman"/>
                <w:noProof/>
                <w:color w:val="000000" w:themeColor="text1"/>
              </w:rPr>
              <w:t>2021</w:t>
            </w:r>
          </w:p>
        </w:tc>
        <w:tc>
          <w:tcPr>
            <w:tcW w:w="120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703,7</w:t>
            </w:r>
          </w:p>
        </w:tc>
        <w:tc>
          <w:tcPr>
            <w:tcW w:w="120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40,9</w:t>
            </w:r>
          </w:p>
        </w:tc>
        <w:tc>
          <w:tcPr>
            <w:tcW w:w="120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10,3</w:t>
            </w:r>
          </w:p>
        </w:tc>
        <w:tc>
          <w:tcPr>
            <w:tcW w:w="992"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noProof/>
                <w:color w:val="000000" w:themeColor="text1"/>
              </w:rPr>
            </w:pPr>
            <w:r>
              <w:rPr>
                <w:rFonts w:ascii="Times New Roman" w:hAnsi="Times New Roman"/>
                <w:noProof/>
              </w:rPr>
              <w:t>7,6</w:t>
            </w:r>
          </w:p>
        </w:tc>
        <w:tc>
          <w:tcPr>
            <w:tcW w:w="1276" w:type="dxa"/>
            <w:tcBorders>
              <w:top w:val="nil"/>
              <w:left w:val="nil"/>
              <w:bottom w:val="single" w:sz="4" w:space="0" w:color="auto"/>
              <w:right w:val="single" w:sz="4" w:space="0" w:color="auto"/>
            </w:tcBorders>
            <w:shd w:val="clear" w:color="auto" w:fill="auto"/>
            <w:noWrap/>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noProof/>
              </w:rPr>
              <w:t>762,6</w:t>
            </w:r>
          </w:p>
        </w:tc>
      </w:tr>
      <w:tr>
        <w:trPr>
          <w:trHeight w:val="280"/>
          <w:jc w:val="center"/>
        </w:trPr>
        <w:tc>
          <w:tcPr>
            <w:tcW w:w="212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pPr>
              <w:spacing w:after="0" w:line="240" w:lineRule="auto"/>
              <w:rPr>
                <w:rFonts w:ascii="Times New Roman" w:eastAsia="Times New Roman" w:hAnsi="Times New Roman" w:cs="Times New Roman"/>
                <w:b/>
                <w:bCs/>
                <w:noProof/>
                <w:color w:val="000000" w:themeColor="text1"/>
              </w:rPr>
            </w:pPr>
            <w:r>
              <w:rPr>
                <w:rFonts w:ascii="Times New Roman" w:hAnsi="Times New Roman"/>
                <w:b/>
                <w:bCs/>
                <w:noProof/>
                <w:color w:val="000000" w:themeColor="text1"/>
              </w:rPr>
              <w:t>Skupaj</w:t>
            </w:r>
          </w:p>
        </w:tc>
        <w:tc>
          <w:tcPr>
            <w:tcW w:w="1206" w:type="dxa"/>
            <w:tcBorders>
              <w:top w:val="nil"/>
              <w:left w:val="nil"/>
              <w:bottom w:val="single" w:sz="4" w:space="0" w:color="auto"/>
              <w:right w:val="single" w:sz="4" w:space="0" w:color="auto"/>
            </w:tcBorders>
            <w:shd w:val="clear" w:color="auto" w:fill="D9D9D9" w:themeFill="background1" w:themeFillShade="D9"/>
            <w:noWrap/>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b/>
                <w:noProof/>
              </w:rPr>
              <w:t>1 286,7</w:t>
            </w:r>
          </w:p>
        </w:tc>
        <w:tc>
          <w:tcPr>
            <w:tcW w:w="1206" w:type="dxa"/>
            <w:tcBorders>
              <w:top w:val="nil"/>
              <w:left w:val="nil"/>
              <w:bottom w:val="single" w:sz="4" w:space="0" w:color="auto"/>
              <w:right w:val="single" w:sz="4" w:space="0" w:color="auto"/>
            </w:tcBorders>
            <w:shd w:val="clear" w:color="auto" w:fill="D9D9D9" w:themeFill="background1" w:themeFillShade="D9"/>
            <w:noWrap/>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b/>
                <w:noProof/>
              </w:rPr>
              <w:t>248,0</w:t>
            </w:r>
          </w:p>
        </w:tc>
        <w:tc>
          <w:tcPr>
            <w:tcW w:w="1206" w:type="dxa"/>
            <w:tcBorders>
              <w:top w:val="nil"/>
              <w:left w:val="nil"/>
              <w:bottom w:val="single" w:sz="4" w:space="0" w:color="auto"/>
              <w:right w:val="single" w:sz="4" w:space="0" w:color="auto"/>
            </w:tcBorders>
            <w:shd w:val="clear" w:color="auto" w:fill="D9D9D9" w:themeFill="background1" w:themeFillShade="D9"/>
            <w:noWrap/>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b/>
                <w:noProof/>
              </w:rPr>
              <w:t>132,5</w:t>
            </w:r>
          </w:p>
        </w:tc>
        <w:tc>
          <w:tcPr>
            <w:tcW w:w="992" w:type="dxa"/>
            <w:tcBorders>
              <w:top w:val="nil"/>
              <w:left w:val="nil"/>
              <w:bottom w:val="single" w:sz="4" w:space="0" w:color="auto"/>
              <w:right w:val="single" w:sz="4" w:space="0" w:color="auto"/>
            </w:tcBorders>
            <w:shd w:val="clear" w:color="auto" w:fill="D9D9D9" w:themeFill="background1" w:themeFillShade="D9"/>
            <w:noWrap/>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b/>
                <w:noProof/>
              </w:rPr>
              <w:t>7,6</w:t>
            </w:r>
          </w:p>
        </w:tc>
        <w:tc>
          <w:tcPr>
            <w:tcW w:w="1276" w:type="dxa"/>
            <w:tcBorders>
              <w:top w:val="nil"/>
              <w:left w:val="nil"/>
              <w:bottom w:val="single" w:sz="4" w:space="0" w:color="auto"/>
              <w:right w:val="single" w:sz="4" w:space="0" w:color="auto"/>
            </w:tcBorders>
            <w:shd w:val="clear" w:color="auto" w:fill="D9D9D9" w:themeFill="background1" w:themeFillShade="D9"/>
            <w:noWrap/>
            <w:hideMark/>
          </w:tcPr>
          <w:p>
            <w:pPr>
              <w:spacing w:after="0" w:line="240" w:lineRule="auto"/>
              <w:jc w:val="right"/>
              <w:rPr>
                <w:rFonts w:ascii="Times New Roman" w:eastAsia="Times New Roman" w:hAnsi="Times New Roman" w:cs="Times New Roman"/>
                <w:b/>
                <w:bCs/>
                <w:noProof/>
                <w:color w:val="000000" w:themeColor="text1"/>
              </w:rPr>
            </w:pPr>
            <w:r>
              <w:rPr>
                <w:rFonts w:ascii="Times New Roman" w:hAnsi="Times New Roman"/>
                <w:b/>
                <w:noProof/>
              </w:rPr>
              <w:t>1 674,9</w:t>
            </w:r>
          </w:p>
        </w:tc>
      </w:tr>
    </w:tbl>
    <w:p>
      <w:pPr>
        <w:spacing w:after="240" w:line="240" w:lineRule="auto"/>
        <w:jc w:val="both"/>
        <w:rPr>
          <w:rFonts w:ascii="Times New Roman" w:eastAsia="Times New Roman" w:hAnsi="Times New Roman" w:cs="Times New Roman"/>
          <w:noProof/>
          <w:sz w:val="24"/>
          <w:szCs w:val="24"/>
          <w:lang w:eastAsia="en-GB"/>
        </w:rPr>
      </w:pPr>
    </w:p>
    <w:p>
      <w:pPr>
        <w:rPr>
          <w:rFonts w:ascii="Times New Roman" w:eastAsia="Times New Roman" w:hAnsi="Times New Roman" w:cs="Times New Roman"/>
          <w:b/>
          <w:smallCaps/>
          <w:noProof/>
          <w:sz w:val="24"/>
          <w:szCs w:val="24"/>
        </w:rPr>
      </w:pPr>
      <w:r>
        <w:rPr>
          <w:noProof/>
        </w:rPr>
        <w:br w:type="page"/>
      </w:r>
    </w:p>
    <w:p>
      <w:pPr>
        <w:pStyle w:val="ListParagraph"/>
        <w:keepNext/>
        <w:numPr>
          <w:ilvl w:val="0"/>
          <w:numId w:val="7"/>
        </w:numPr>
        <w:tabs>
          <w:tab w:val="left" w:pos="850"/>
        </w:tabs>
        <w:spacing w:before="360" w:after="120" w:line="240" w:lineRule="auto"/>
        <w:jc w:val="both"/>
        <w:outlineLvl w:val="0"/>
        <w:rPr>
          <w:rFonts w:ascii="Times New Roman" w:eastAsia="Times New Roman" w:hAnsi="Times New Roman" w:cs="Times New Roman"/>
          <w:b/>
          <w:smallCaps/>
          <w:noProof/>
          <w:sz w:val="24"/>
          <w:szCs w:val="24"/>
        </w:rPr>
      </w:pPr>
      <w:bookmarkStart w:id="24" w:name="_Toc84587243"/>
      <w:r>
        <w:rPr>
          <w:rFonts w:ascii="Times New Roman" w:hAnsi="Times New Roman"/>
          <w:b/>
          <w:smallCaps/>
          <w:noProof/>
          <w:sz w:val="24"/>
          <w:szCs w:val="24"/>
        </w:rPr>
        <w:t>Zbirna razpredelnica po razdelkih večletnega finančnega okvira</w:t>
      </w:r>
      <w:bookmarkEnd w:id="24"/>
    </w:p>
    <w:bookmarkEnd w:id="14"/>
    <w:bookmarkEnd w:id="15"/>
    <w:bookmarkEnd w:id="23"/>
    <w:p>
      <w:pPr>
        <w:spacing w:before="120" w:after="0" w:line="240" w:lineRule="auto"/>
        <w:jc w:val="right"/>
        <w:rPr>
          <w:rFonts w:ascii="Times New Roman" w:eastAsia="Times New Roman" w:hAnsi="Times New Roman" w:cs="Times New Roman"/>
          <w:i/>
          <w:iCs/>
          <w:noProof/>
          <w:sz w:val="16"/>
          <w:szCs w:val="16"/>
        </w:rPr>
      </w:pPr>
      <w:r>
        <w:rPr>
          <w:rFonts w:ascii="Times New Roman" w:hAnsi="Times New Roman"/>
          <w:i/>
          <w:iCs/>
          <w:noProof/>
          <w:sz w:val="16"/>
          <w:szCs w:val="16"/>
        </w:rPr>
        <w:t>V EUR</w:t>
      </w:r>
    </w:p>
    <w:tbl>
      <w:tblPr>
        <w:tblW w:w="9709" w:type="dxa"/>
        <w:jc w:val="center"/>
        <w:tblLook w:val="04A0" w:firstRow="1" w:lastRow="0" w:firstColumn="1" w:lastColumn="0" w:noHBand="0" w:noVBand="1"/>
      </w:tblPr>
      <w:tblGrid>
        <w:gridCol w:w="416"/>
        <w:gridCol w:w="1694"/>
        <w:gridCol w:w="1479"/>
        <w:gridCol w:w="1320"/>
        <w:gridCol w:w="1080"/>
        <w:gridCol w:w="1080"/>
        <w:gridCol w:w="1320"/>
        <w:gridCol w:w="1320"/>
      </w:tblGrid>
      <w:tr>
        <w:trPr>
          <w:trHeight w:val="290"/>
          <w:tblHeader/>
          <w:jc w:val="center"/>
        </w:trPr>
        <w:tc>
          <w:tcPr>
            <w:tcW w:w="2110" w:type="dxa"/>
            <w:gridSpan w:val="2"/>
            <w:vMerge w:val="restart"/>
            <w:tcBorders>
              <w:top w:val="single" w:sz="8" w:space="0" w:color="auto"/>
              <w:left w:val="single" w:sz="8" w:space="0" w:color="auto"/>
              <w:bottom w:val="single" w:sz="8" w:space="0" w:color="000000"/>
              <w:right w:val="single" w:sz="8" w:space="0" w:color="000000"/>
            </w:tcBorders>
            <w:shd w:val="clear" w:color="000000" w:fill="BFBFBF"/>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2799" w:type="dxa"/>
            <w:gridSpan w:val="2"/>
            <w:vMerge w:val="restart"/>
            <w:tcBorders>
              <w:top w:val="single" w:sz="8" w:space="0" w:color="auto"/>
              <w:left w:val="single" w:sz="8" w:space="0" w:color="000000"/>
              <w:bottom w:val="single" w:sz="8" w:space="0" w:color="000000"/>
              <w:right w:val="single" w:sz="8" w:space="0" w:color="000000"/>
            </w:tcBorders>
            <w:shd w:val="clear" w:color="000000" w:fill="BFBFBF"/>
            <w:vAlign w:val="center"/>
            <w:hideMark/>
          </w:tcPr>
          <w:p>
            <w:pPr>
              <w:spacing w:after="0" w:line="240" w:lineRule="auto"/>
              <w:jc w:val="center"/>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Proračun 2021 (vključno s SP št. 1–3/2021 ter PSP št. 4 in 5/2021)</w:t>
            </w:r>
          </w:p>
        </w:tc>
        <w:tc>
          <w:tcPr>
            <w:tcW w:w="2160" w:type="dxa"/>
            <w:gridSpan w:val="2"/>
            <w:vMerge w:val="restart"/>
            <w:tcBorders>
              <w:top w:val="single" w:sz="8" w:space="0" w:color="auto"/>
              <w:left w:val="single" w:sz="8" w:space="0" w:color="000000"/>
              <w:bottom w:val="single" w:sz="8" w:space="0" w:color="000000"/>
              <w:right w:val="single" w:sz="8" w:space="0" w:color="000000"/>
            </w:tcBorders>
            <w:shd w:val="clear" w:color="000000" w:fill="BFBFBF"/>
            <w:vAlign w:val="center"/>
            <w:hideMark/>
          </w:tcPr>
          <w:p>
            <w:pPr>
              <w:spacing w:after="0" w:line="240" w:lineRule="auto"/>
              <w:jc w:val="center"/>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Predlog spremembe proračuna št. 6/2021</w:t>
            </w:r>
          </w:p>
        </w:tc>
        <w:tc>
          <w:tcPr>
            <w:tcW w:w="2640" w:type="dxa"/>
            <w:gridSpan w:val="2"/>
            <w:vMerge w:val="restart"/>
            <w:tcBorders>
              <w:top w:val="single" w:sz="8" w:space="0" w:color="auto"/>
              <w:left w:val="single" w:sz="8" w:space="0" w:color="000000"/>
              <w:bottom w:val="single" w:sz="8" w:space="0" w:color="000000"/>
              <w:right w:val="single" w:sz="8" w:space="0" w:color="000000"/>
            </w:tcBorders>
            <w:shd w:val="clear" w:color="000000" w:fill="BFBFBF"/>
            <w:vAlign w:val="center"/>
            <w:hideMark/>
          </w:tcPr>
          <w:p>
            <w:pPr>
              <w:spacing w:after="0" w:line="240" w:lineRule="auto"/>
              <w:jc w:val="center"/>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Proračun 2021 (vključno s SP 1–3/2021 in PSP 4–6/2021)</w:t>
            </w:r>
          </w:p>
        </w:tc>
      </w:tr>
      <w:tr>
        <w:trPr>
          <w:trHeight w:val="408"/>
          <w:tblHeader/>
          <w:jc w:val="center"/>
        </w:trPr>
        <w:tc>
          <w:tcPr>
            <w:tcW w:w="2110" w:type="dxa"/>
            <w:gridSpan w:val="2"/>
            <w:vMerge/>
            <w:tcBorders>
              <w:top w:val="single" w:sz="8" w:space="0" w:color="auto"/>
              <w:left w:val="single" w:sz="8" w:space="0" w:color="auto"/>
              <w:bottom w:val="single" w:sz="8" w:space="0" w:color="000000"/>
              <w:right w:val="single" w:sz="8" w:space="0" w:color="000000"/>
            </w:tcBorders>
            <w:vAlign w:val="center"/>
            <w:hideMark/>
          </w:tcPr>
          <w:p>
            <w:pPr>
              <w:spacing w:after="0" w:line="240" w:lineRule="auto"/>
              <w:rPr>
                <w:rFonts w:ascii="Times New Roman" w:eastAsia="Times New Roman" w:hAnsi="Times New Roman" w:cs="Times New Roman"/>
                <w:noProof/>
                <w:color w:val="000000"/>
                <w:sz w:val="16"/>
                <w:szCs w:val="16"/>
                <w:lang w:eastAsia="en-GB"/>
              </w:rPr>
            </w:pPr>
          </w:p>
        </w:tc>
        <w:tc>
          <w:tcPr>
            <w:tcW w:w="2799" w:type="dxa"/>
            <w:gridSpan w:val="2"/>
            <w:vMerge/>
            <w:tcBorders>
              <w:top w:val="single" w:sz="8" w:space="0" w:color="auto"/>
              <w:left w:val="single" w:sz="8" w:space="0" w:color="000000"/>
              <w:bottom w:val="single" w:sz="8" w:space="0" w:color="000000"/>
              <w:right w:val="single" w:sz="8" w:space="0" w:color="000000"/>
            </w:tcBorders>
            <w:vAlign w:val="center"/>
            <w:hideMark/>
          </w:tcPr>
          <w:p>
            <w:pPr>
              <w:spacing w:after="0" w:line="240" w:lineRule="auto"/>
              <w:rPr>
                <w:rFonts w:ascii="Times New Roman" w:eastAsia="Times New Roman" w:hAnsi="Times New Roman" w:cs="Times New Roman"/>
                <w:b/>
                <w:bCs/>
                <w:noProof/>
                <w:color w:val="000000"/>
                <w:sz w:val="16"/>
                <w:szCs w:val="16"/>
                <w:lang w:eastAsia="en-GB"/>
              </w:rPr>
            </w:pPr>
          </w:p>
        </w:tc>
        <w:tc>
          <w:tcPr>
            <w:tcW w:w="2160" w:type="dxa"/>
            <w:gridSpan w:val="2"/>
            <w:vMerge/>
            <w:tcBorders>
              <w:top w:val="single" w:sz="8" w:space="0" w:color="auto"/>
              <w:left w:val="single" w:sz="8" w:space="0" w:color="000000"/>
              <w:bottom w:val="single" w:sz="8" w:space="0" w:color="000000"/>
              <w:right w:val="single" w:sz="8" w:space="0" w:color="000000"/>
            </w:tcBorders>
            <w:vAlign w:val="center"/>
            <w:hideMark/>
          </w:tcPr>
          <w:p>
            <w:pPr>
              <w:spacing w:after="0" w:line="240" w:lineRule="auto"/>
              <w:rPr>
                <w:rFonts w:ascii="Times New Roman" w:eastAsia="Times New Roman" w:hAnsi="Times New Roman" w:cs="Times New Roman"/>
                <w:b/>
                <w:bCs/>
                <w:noProof/>
                <w:color w:val="000000"/>
                <w:sz w:val="16"/>
                <w:szCs w:val="16"/>
                <w:lang w:eastAsia="en-GB"/>
              </w:rPr>
            </w:pPr>
          </w:p>
        </w:tc>
        <w:tc>
          <w:tcPr>
            <w:tcW w:w="2640" w:type="dxa"/>
            <w:gridSpan w:val="2"/>
            <w:vMerge/>
            <w:tcBorders>
              <w:top w:val="single" w:sz="8" w:space="0" w:color="auto"/>
              <w:left w:val="single" w:sz="8" w:space="0" w:color="000000"/>
              <w:bottom w:val="single" w:sz="8" w:space="0" w:color="000000"/>
              <w:right w:val="single" w:sz="8" w:space="0" w:color="000000"/>
            </w:tcBorders>
            <w:vAlign w:val="center"/>
            <w:hideMark/>
          </w:tcPr>
          <w:p>
            <w:pPr>
              <w:spacing w:after="0" w:line="240" w:lineRule="auto"/>
              <w:rPr>
                <w:rFonts w:ascii="Times New Roman" w:eastAsia="Times New Roman" w:hAnsi="Times New Roman" w:cs="Times New Roman"/>
                <w:b/>
                <w:bCs/>
                <w:noProof/>
                <w:color w:val="000000"/>
                <w:sz w:val="16"/>
                <w:szCs w:val="16"/>
                <w:lang w:eastAsia="en-GB"/>
              </w:rPr>
            </w:pPr>
          </w:p>
        </w:tc>
      </w:tr>
      <w:tr>
        <w:trPr>
          <w:trHeight w:val="300"/>
          <w:tblHeader/>
          <w:jc w:val="center"/>
        </w:trPr>
        <w:tc>
          <w:tcPr>
            <w:tcW w:w="2110" w:type="dxa"/>
            <w:gridSpan w:val="2"/>
            <w:vMerge/>
            <w:tcBorders>
              <w:top w:val="single" w:sz="8" w:space="0" w:color="auto"/>
              <w:left w:val="single" w:sz="8" w:space="0" w:color="auto"/>
              <w:bottom w:val="single" w:sz="8" w:space="0" w:color="000000"/>
              <w:right w:val="single" w:sz="8" w:space="0" w:color="000000"/>
            </w:tcBorders>
            <w:vAlign w:val="center"/>
            <w:hideMark/>
          </w:tcPr>
          <w:p>
            <w:pPr>
              <w:spacing w:after="0" w:line="240" w:lineRule="auto"/>
              <w:rPr>
                <w:rFonts w:ascii="Times New Roman" w:eastAsia="Times New Roman" w:hAnsi="Times New Roman" w:cs="Times New Roman"/>
                <w:noProof/>
                <w:color w:val="000000"/>
                <w:sz w:val="16"/>
                <w:szCs w:val="16"/>
                <w:lang w:eastAsia="en-GB"/>
              </w:rPr>
            </w:pPr>
          </w:p>
        </w:tc>
        <w:tc>
          <w:tcPr>
            <w:tcW w:w="1479" w:type="dxa"/>
            <w:tcBorders>
              <w:top w:val="nil"/>
              <w:left w:val="nil"/>
              <w:bottom w:val="single" w:sz="8" w:space="0" w:color="auto"/>
              <w:right w:val="single" w:sz="8" w:space="0" w:color="auto"/>
            </w:tcBorders>
            <w:shd w:val="clear" w:color="000000" w:fill="BFBFBF"/>
            <w:vAlign w:val="center"/>
            <w:hideMark/>
          </w:tcPr>
          <w:p>
            <w:pPr>
              <w:spacing w:after="0" w:line="240" w:lineRule="auto"/>
              <w:jc w:val="center"/>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OPO</w:t>
            </w:r>
          </w:p>
        </w:tc>
        <w:tc>
          <w:tcPr>
            <w:tcW w:w="1320" w:type="dxa"/>
            <w:tcBorders>
              <w:top w:val="nil"/>
              <w:left w:val="nil"/>
              <w:bottom w:val="single" w:sz="8" w:space="0" w:color="auto"/>
              <w:right w:val="single" w:sz="8" w:space="0" w:color="auto"/>
            </w:tcBorders>
            <w:shd w:val="clear" w:color="000000" w:fill="BFBFBF"/>
            <w:vAlign w:val="center"/>
            <w:hideMark/>
          </w:tcPr>
          <w:p>
            <w:pPr>
              <w:spacing w:after="0" w:line="240" w:lineRule="auto"/>
              <w:jc w:val="center"/>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OP</w:t>
            </w:r>
          </w:p>
        </w:tc>
        <w:tc>
          <w:tcPr>
            <w:tcW w:w="1080" w:type="dxa"/>
            <w:tcBorders>
              <w:top w:val="nil"/>
              <w:left w:val="nil"/>
              <w:bottom w:val="single" w:sz="8" w:space="0" w:color="auto"/>
              <w:right w:val="single" w:sz="8" w:space="0" w:color="auto"/>
            </w:tcBorders>
            <w:shd w:val="clear" w:color="000000" w:fill="BFBFBF"/>
            <w:vAlign w:val="center"/>
            <w:hideMark/>
          </w:tcPr>
          <w:p>
            <w:pPr>
              <w:spacing w:after="0" w:line="240" w:lineRule="auto"/>
              <w:jc w:val="center"/>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OPO</w:t>
            </w:r>
          </w:p>
        </w:tc>
        <w:tc>
          <w:tcPr>
            <w:tcW w:w="1080" w:type="dxa"/>
            <w:tcBorders>
              <w:top w:val="nil"/>
              <w:left w:val="nil"/>
              <w:bottom w:val="single" w:sz="8" w:space="0" w:color="auto"/>
              <w:right w:val="single" w:sz="8" w:space="0" w:color="auto"/>
            </w:tcBorders>
            <w:shd w:val="clear" w:color="000000" w:fill="BFBFBF"/>
            <w:vAlign w:val="center"/>
            <w:hideMark/>
          </w:tcPr>
          <w:p>
            <w:pPr>
              <w:spacing w:after="0" w:line="240" w:lineRule="auto"/>
              <w:jc w:val="center"/>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OP</w:t>
            </w:r>
          </w:p>
        </w:tc>
        <w:tc>
          <w:tcPr>
            <w:tcW w:w="1320" w:type="dxa"/>
            <w:tcBorders>
              <w:top w:val="nil"/>
              <w:left w:val="nil"/>
              <w:bottom w:val="single" w:sz="8" w:space="0" w:color="auto"/>
              <w:right w:val="single" w:sz="8" w:space="0" w:color="auto"/>
            </w:tcBorders>
            <w:shd w:val="clear" w:color="000000" w:fill="BFBFBF"/>
            <w:vAlign w:val="center"/>
            <w:hideMark/>
          </w:tcPr>
          <w:p>
            <w:pPr>
              <w:spacing w:after="0" w:line="240" w:lineRule="auto"/>
              <w:jc w:val="center"/>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OPO</w:t>
            </w:r>
          </w:p>
        </w:tc>
        <w:tc>
          <w:tcPr>
            <w:tcW w:w="1320" w:type="dxa"/>
            <w:tcBorders>
              <w:top w:val="nil"/>
              <w:left w:val="nil"/>
              <w:bottom w:val="single" w:sz="8" w:space="0" w:color="auto"/>
              <w:right w:val="single" w:sz="8" w:space="0" w:color="auto"/>
            </w:tcBorders>
            <w:shd w:val="clear" w:color="000000" w:fill="BFBFBF"/>
            <w:vAlign w:val="center"/>
            <w:hideMark/>
          </w:tcPr>
          <w:p>
            <w:pPr>
              <w:spacing w:after="0" w:line="240" w:lineRule="auto"/>
              <w:jc w:val="center"/>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OP</w:t>
            </w:r>
          </w:p>
        </w:tc>
      </w:tr>
      <w:tr>
        <w:trPr>
          <w:trHeight w:val="290"/>
          <w:jc w:val="center"/>
        </w:trPr>
        <w:tc>
          <w:tcPr>
            <w:tcW w:w="416" w:type="dxa"/>
            <w:tcBorders>
              <w:top w:val="nil"/>
              <w:left w:val="single" w:sz="8" w:space="0" w:color="auto"/>
              <w:bottom w:val="dotted" w:sz="4" w:space="0" w:color="auto"/>
              <w:right w:val="nil"/>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w:t>
            </w:r>
          </w:p>
        </w:tc>
        <w:tc>
          <w:tcPr>
            <w:tcW w:w="1694" w:type="dxa"/>
            <w:tcBorders>
              <w:top w:val="nil"/>
              <w:left w:val="nil"/>
              <w:bottom w:val="dotted" w:sz="4" w:space="0" w:color="auto"/>
              <w:right w:val="single" w:sz="8" w:space="0" w:color="auto"/>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Enotni trg, inovacije in digitalno</w:t>
            </w:r>
          </w:p>
        </w:tc>
        <w:tc>
          <w:tcPr>
            <w:tcW w:w="1479"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20 816 559 767</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17 191 887 232</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20 816 559 767</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17 191 887 232</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zgornja meja</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20 919 000 000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20 919 000 000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single" w:sz="8"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razlika do zgornje meje</w:t>
            </w:r>
          </w:p>
        </w:tc>
        <w:tc>
          <w:tcPr>
            <w:tcW w:w="1479"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102 440 233</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102 440 233</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2.</w:t>
            </w:r>
          </w:p>
        </w:tc>
        <w:tc>
          <w:tcPr>
            <w:tcW w:w="1694" w:type="dxa"/>
            <w:tcBorders>
              <w:top w:val="nil"/>
              <w:left w:val="nil"/>
              <w:bottom w:val="dotted" w:sz="4" w:space="0" w:color="auto"/>
              <w:right w:val="single" w:sz="8" w:space="0" w:color="auto"/>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Kohezija, odpornost in vrednote</w:t>
            </w:r>
          </w:p>
        </w:tc>
        <w:tc>
          <w:tcPr>
            <w:tcW w:w="1479"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53 077 938 534</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66 361 525 904</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20 000 000</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53 097 938 534</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66 361 525 904</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od tega v okviru instrumenta prilagodljivosti</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292 422 534</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20 000 000</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312 422 534</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zgornja meja</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52 786 000 000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52 786 000 000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razlika do zgornje meje</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484 000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484 000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000000" w:fill="D9D9D9"/>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2a.</w:t>
            </w:r>
          </w:p>
        </w:tc>
        <w:tc>
          <w:tcPr>
            <w:tcW w:w="1694" w:type="dxa"/>
            <w:tcBorders>
              <w:top w:val="nil"/>
              <w:left w:val="nil"/>
              <w:bottom w:val="dotted" w:sz="4" w:space="0" w:color="auto"/>
              <w:right w:val="single" w:sz="8" w:space="0" w:color="auto"/>
            </w:tcBorders>
            <w:shd w:val="clear" w:color="000000" w:fill="D9D9D9"/>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Ekonomska, socialna in teritorialna kohezija</w:t>
            </w:r>
          </w:p>
        </w:tc>
        <w:tc>
          <w:tcPr>
            <w:tcW w:w="1479"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48 190 516 000</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61 867 897 545</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48 190 516 000</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61 867 897 545</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zgornja meja</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48 191 000 000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48 191 000 000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razlika do zgornje meje</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484 000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484 000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000000" w:fill="D9D9D9"/>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2b.</w:t>
            </w:r>
          </w:p>
        </w:tc>
        <w:tc>
          <w:tcPr>
            <w:tcW w:w="1694" w:type="dxa"/>
            <w:tcBorders>
              <w:top w:val="nil"/>
              <w:left w:val="nil"/>
              <w:bottom w:val="dotted" w:sz="4" w:space="0" w:color="auto"/>
              <w:right w:val="single" w:sz="8" w:space="0" w:color="auto"/>
            </w:tcBorders>
            <w:shd w:val="clear" w:color="000000" w:fill="D9D9D9"/>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Odpornost in vrednote</w:t>
            </w:r>
          </w:p>
        </w:tc>
        <w:tc>
          <w:tcPr>
            <w:tcW w:w="1479"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4 887 422 534</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4 493 628 359</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20 000 000</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4 907 422 534</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4 493 628 359</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od tega v okviru instrumenta prilagodljivosti</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292 422 534</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20 000 000</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312 422 534</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zgornja meja</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4 595 000 000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4 595 000 000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single" w:sz="8"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razlika do zgornje meje</w:t>
            </w:r>
          </w:p>
        </w:tc>
        <w:tc>
          <w:tcPr>
            <w:tcW w:w="1479"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3.</w:t>
            </w:r>
          </w:p>
        </w:tc>
        <w:tc>
          <w:tcPr>
            <w:tcW w:w="1694" w:type="dxa"/>
            <w:tcBorders>
              <w:top w:val="nil"/>
              <w:left w:val="nil"/>
              <w:bottom w:val="dotted" w:sz="4" w:space="0" w:color="auto"/>
              <w:right w:val="single" w:sz="8" w:space="0" w:color="auto"/>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Naravni viri in okolje</w:t>
            </w:r>
          </w:p>
        </w:tc>
        <w:tc>
          <w:tcPr>
            <w:tcW w:w="1479"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58 570 566 908</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56 806 203 452</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3 487 290</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–450 000 000</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58 574 054 198</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56 356 203 452</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zgornja meja</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58 624 000 000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58 624 000 000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razlika do zgornje meje</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53 433 092</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49 945 802</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400"/>
          <w:jc w:val="center"/>
        </w:trPr>
        <w:tc>
          <w:tcPr>
            <w:tcW w:w="416" w:type="dxa"/>
            <w:tcBorders>
              <w:top w:val="nil"/>
              <w:left w:val="single" w:sz="8" w:space="0" w:color="auto"/>
              <w:bottom w:val="dotted" w:sz="4" w:space="0" w:color="auto"/>
              <w:right w:val="nil"/>
            </w:tcBorders>
            <w:shd w:val="clear" w:color="000000" w:fill="D9D9D9"/>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od tega: odhodki, povezani s trgom, in neposredna plačila</w:t>
            </w:r>
          </w:p>
        </w:tc>
        <w:tc>
          <w:tcPr>
            <w:tcW w:w="1479"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40 367 954 000</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40 353 742 883</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40 367 954 000</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40 353 742 883</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posebna zgornja meja za EKJS</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40 925 000 000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40 925 000 000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 xml:space="preserve"> razlika zaradi zaokroževanja, izključena pri izračunu razlike do posebne zgornje meje</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 xml:space="preserve"> neto prerazporeditve med EKJS in EKSRP</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557 046 000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557 046 000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403"/>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 xml:space="preserve"> neto zneski, ki so na voljo za odhodke EKJS (posebna zgornja meja, popravljena na podlagi prerazporeditev med EKJS in EKSRP)</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40 367 954 000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40 367 954 000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single" w:sz="8"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razlika do posebne zgornje meje za EKJS</w:t>
            </w:r>
          </w:p>
        </w:tc>
        <w:tc>
          <w:tcPr>
            <w:tcW w:w="1479"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4.</w:t>
            </w:r>
          </w:p>
        </w:tc>
        <w:tc>
          <w:tcPr>
            <w:tcW w:w="1694" w:type="dxa"/>
            <w:tcBorders>
              <w:top w:val="nil"/>
              <w:left w:val="nil"/>
              <w:bottom w:val="dotted" w:sz="4" w:space="0" w:color="auto"/>
              <w:right w:val="single" w:sz="8" w:space="0" w:color="auto"/>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Migracije in upravljanje meja</w:t>
            </w:r>
          </w:p>
        </w:tc>
        <w:tc>
          <w:tcPr>
            <w:tcW w:w="1479"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2 278 829 759</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2 686 245 978</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2 278 829 759</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2 686 245 978</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zgornja meja</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2 467 000 000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2 467 000 000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single" w:sz="8"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razlika do zgornje meje</w:t>
            </w:r>
          </w:p>
        </w:tc>
        <w:tc>
          <w:tcPr>
            <w:tcW w:w="1479"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188 170 241</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188 170 241</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5.</w:t>
            </w:r>
          </w:p>
        </w:tc>
        <w:tc>
          <w:tcPr>
            <w:tcW w:w="1694" w:type="dxa"/>
            <w:tcBorders>
              <w:top w:val="nil"/>
              <w:left w:val="nil"/>
              <w:bottom w:val="dotted" w:sz="4" w:space="0" w:color="auto"/>
              <w:right w:val="single" w:sz="8" w:space="0" w:color="auto"/>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Varnost in obramba</w:t>
            </w:r>
          </w:p>
        </w:tc>
        <w:tc>
          <w:tcPr>
            <w:tcW w:w="1479"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1 709 261 441</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670 628 243</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1 709 261 441</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670 628 243</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zgornja meja</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1 805 000 000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1 805 000 000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single" w:sz="8"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razlika do zgornje meje</w:t>
            </w:r>
          </w:p>
        </w:tc>
        <w:tc>
          <w:tcPr>
            <w:tcW w:w="1479"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95 738 559</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95 738 559</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6.</w:t>
            </w:r>
          </w:p>
        </w:tc>
        <w:tc>
          <w:tcPr>
            <w:tcW w:w="1694" w:type="dxa"/>
            <w:tcBorders>
              <w:top w:val="nil"/>
              <w:left w:val="nil"/>
              <w:bottom w:val="dotted" w:sz="4" w:space="0" w:color="auto"/>
              <w:right w:val="single" w:sz="8" w:space="0" w:color="auto"/>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Sosedstvo in svet</w:t>
            </w:r>
          </w:p>
        </w:tc>
        <w:tc>
          <w:tcPr>
            <w:tcW w:w="1479"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16 247 000 000</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10 811 039 356</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450 000 000</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450 000 000</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16 697 000 000</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11 261 039 356</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od tega v okviru instrumenta prilagodljivosti</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450 000 000</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450 000 000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zgornja meja</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16 247 000 000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16 247 000 000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single" w:sz="8"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razlika do zgornje meje</w:t>
            </w:r>
          </w:p>
        </w:tc>
        <w:tc>
          <w:tcPr>
            <w:tcW w:w="1479"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0</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0</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7.</w:t>
            </w:r>
          </w:p>
        </w:tc>
        <w:tc>
          <w:tcPr>
            <w:tcW w:w="1694" w:type="dxa"/>
            <w:tcBorders>
              <w:top w:val="nil"/>
              <w:left w:val="nil"/>
              <w:bottom w:val="dotted" w:sz="4" w:space="0" w:color="auto"/>
              <w:right w:val="single" w:sz="8" w:space="0" w:color="auto"/>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Evropska javna uprava</w:t>
            </w:r>
          </w:p>
        </w:tc>
        <w:tc>
          <w:tcPr>
            <w:tcW w:w="1479"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10 442 813 002</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10 444 088 091</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10 442 813 002</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10 444 088 091</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zgornja meja</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10 635 000 000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10 635 000 000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razlika do zgornje meje</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192 186 998</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192 186 998</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dotted" w:sz="4" w:space="0" w:color="auto"/>
              <w:right w:val="nil"/>
            </w:tcBorders>
            <w:shd w:val="clear" w:color="000000" w:fill="D9D9D9"/>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000000" w:fill="D9D9D9"/>
            <w:vAlign w:val="center"/>
            <w:hideMark/>
          </w:tcPr>
          <w:p>
            <w:pPr>
              <w:spacing w:after="0" w:line="240" w:lineRule="auto"/>
              <w:jc w:val="both"/>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od tega: upravni odhodki institucij</w:t>
            </w:r>
          </w:p>
        </w:tc>
        <w:tc>
          <w:tcPr>
            <w:tcW w:w="1479"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8 030 324 720</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8 031 599 809</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08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8 030 324 720</w:t>
            </w:r>
          </w:p>
        </w:tc>
        <w:tc>
          <w:tcPr>
            <w:tcW w:w="1320" w:type="dxa"/>
            <w:tcBorders>
              <w:top w:val="nil"/>
              <w:left w:val="nil"/>
              <w:bottom w:val="dotted" w:sz="4"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8 031 599 809</w:t>
            </w:r>
          </w:p>
        </w:tc>
      </w:tr>
      <w:tr>
        <w:trPr>
          <w:trHeight w:val="290"/>
          <w:jc w:val="center"/>
        </w:trPr>
        <w:tc>
          <w:tcPr>
            <w:tcW w:w="416" w:type="dxa"/>
            <w:tcBorders>
              <w:top w:val="nil"/>
              <w:left w:val="single" w:sz="8" w:space="0" w:color="auto"/>
              <w:bottom w:val="dotted" w:sz="4"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posebna zgornja meja</w:t>
            </w:r>
          </w:p>
        </w:tc>
        <w:tc>
          <w:tcPr>
            <w:tcW w:w="1479"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8 216 000 000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8 216 000 000</w:t>
            </w:r>
          </w:p>
        </w:tc>
        <w:tc>
          <w:tcPr>
            <w:tcW w:w="1320" w:type="dxa"/>
            <w:tcBorders>
              <w:top w:val="nil"/>
              <w:left w:val="nil"/>
              <w:bottom w:val="dotted" w:sz="4"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416" w:type="dxa"/>
            <w:tcBorders>
              <w:top w:val="nil"/>
              <w:left w:val="single" w:sz="8" w:space="0" w:color="auto"/>
              <w:bottom w:val="single" w:sz="8" w:space="0" w:color="auto"/>
              <w:right w:val="nil"/>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razlika do posebne zgornje meje</w:t>
            </w:r>
          </w:p>
        </w:tc>
        <w:tc>
          <w:tcPr>
            <w:tcW w:w="1479"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185 675 280</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cs="Times New Roman"/>
                <w:i/>
                <w:iCs/>
                <w:noProof/>
                <w:color w:val="000000"/>
                <w:sz w:val="16"/>
                <w:szCs w:val="16"/>
              </w:rPr>
            </w:pPr>
            <w:r>
              <w:rPr>
                <w:rFonts w:ascii="Times New Roman" w:hAnsi="Times New Roman"/>
                <w:i/>
                <w:iCs/>
                <w:noProof/>
                <w:color w:val="000000"/>
                <w:sz w:val="16"/>
                <w:szCs w:val="16"/>
              </w:rPr>
              <w:t>185 675 280</w:t>
            </w:r>
          </w:p>
        </w:tc>
        <w:tc>
          <w:tcPr>
            <w:tcW w:w="1320" w:type="dxa"/>
            <w:tcBorders>
              <w:top w:val="nil"/>
              <w:left w:val="nil"/>
              <w:bottom w:val="single" w:sz="8" w:space="0" w:color="auto"/>
              <w:right w:val="single" w:sz="8" w:space="0" w:color="auto"/>
            </w:tcBorders>
            <w:shd w:val="clear" w:color="auto" w:fill="auto"/>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r>
      <w:tr>
        <w:trPr>
          <w:trHeight w:val="290"/>
          <w:jc w:val="center"/>
        </w:trPr>
        <w:tc>
          <w:tcPr>
            <w:tcW w:w="2110" w:type="dxa"/>
            <w:gridSpan w:val="2"/>
            <w:tcBorders>
              <w:top w:val="single" w:sz="8" w:space="0" w:color="auto"/>
              <w:left w:val="single" w:sz="8" w:space="0" w:color="auto"/>
              <w:bottom w:val="single" w:sz="8" w:space="0" w:color="auto"/>
              <w:right w:val="single" w:sz="8" w:space="0" w:color="000000"/>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Odobritve za razdelke</w:t>
            </w:r>
          </w:p>
        </w:tc>
        <w:tc>
          <w:tcPr>
            <w:tcW w:w="1479" w:type="dxa"/>
            <w:tcBorders>
              <w:top w:val="nil"/>
              <w:left w:val="nil"/>
              <w:bottom w:val="single" w:sz="8" w:space="0" w:color="auto"/>
              <w:right w:val="single" w:sz="8" w:space="0" w:color="auto"/>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163 142 969 411</w:t>
            </w:r>
          </w:p>
        </w:tc>
        <w:tc>
          <w:tcPr>
            <w:tcW w:w="1320" w:type="dxa"/>
            <w:tcBorders>
              <w:top w:val="nil"/>
              <w:left w:val="nil"/>
              <w:bottom w:val="single" w:sz="8" w:space="0" w:color="auto"/>
              <w:right w:val="single" w:sz="8" w:space="0" w:color="auto"/>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164 971 618 256</w:t>
            </w:r>
          </w:p>
        </w:tc>
        <w:tc>
          <w:tcPr>
            <w:tcW w:w="1080" w:type="dxa"/>
            <w:tcBorders>
              <w:top w:val="nil"/>
              <w:left w:val="nil"/>
              <w:bottom w:val="single" w:sz="8" w:space="0" w:color="auto"/>
              <w:right w:val="single" w:sz="8" w:space="0" w:color="auto"/>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473 487 290</w:t>
            </w:r>
          </w:p>
        </w:tc>
        <w:tc>
          <w:tcPr>
            <w:tcW w:w="1080" w:type="dxa"/>
            <w:tcBorders>
              <w:top w:val="nil"/>
              <w:left w:val="nil"/>
              <w:bottom w:val="single" w:sz="8" w:space="0" w:color="auto"/>
              <w:right w:val="single" w:sz="8" w:space="0" w:color="auto"/>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320" w:type="dxa"/>
            <w:tcBorders>
              <w:top w:val="nil"/>
              <w:left w:val="nil"/>
              <w:bottom w:val="single" w:sz="8" w:space="0" w:color="auto"/>
              <w:right w:val="single" w:sz="8" w:space="0" w:color="auto"/>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163 616 456 701</w:t>
            </w:r>
          </w:p>
        </w:tc>
        <w:tc>
          <w:tcPr>
            <w:tcW w:w="1320" w:type="dxa"/>
            <w:tcBorders>
              <w:top w:val="nil"/>
              <w:left w:val="nil"/>
              <w:bottom w:val="single" w:sz="8" w:space="0" w:color="auto"/>
              <w:right w:val="single" w:sz="8" w:space="0" w:color="auto"/>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164 971 618 256</w:t>
            </w:r>
          </w:p>
        </w:tc>
      </w:tr>
      <w:tr>
        <w:trPr>
          <w:trHeight w:val="290"/>
          <w:jc w:val="center"/>
        </w:trPr>
        <w:tc>
          <w:tcPr>
            <w:tcW w:w="416" w:type="dxa"/>
            <w:tcBorders>
              <w:top w:val="nil"/>
              <w:left w:val="single" w:sz="8" w:space="0" w:color="auto"/>
              <w:bottom w:val="dotted" w:sz="4" w:space="0" w:color="auto"/>
              <w:right w:val="nil"/>
            </w:tcBorders>
            <w:shd w:val="clear" w:color="000000" w:fill="F2F2F2"/>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 xml:space="preserve">zgornja meja </w:t>
            </w:r>
          </w:p>
        </w:tc>
        <w:tc>
          <w:tcPr>
            <w:tcW w:w="1479" w:type="dxa"/>
            <w:tcBorders>
              <w:top w:val="nil"/>
              <w:left w:val="nil"/>
              <w:bottom w:val="dotted" w:sz="4"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163 483 000 000</w:t>
            </w:r>
          </w:p>
        </w:tc>
        <w:tc>
          <w:tcPr>
            <w:tcW w:w="1320" w:type="dxa"/>
            <w:tcBorders>
              <w:top w:val="nil"/>
              <w:left w:val="nil"/>
              <w:bottom w:val="dotted" w:sz="4"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166 140 000 000</w:t>
            </w:r>
          </w:p>
        </w:tc>
        <w:tc>
          <w:tcPr>
            <w:tcW w:w="1080" w:type="dxa"/>
            <w:tcBorders>
              <w:top w:val="nil"/>
              <w:left w:val="nil"/>
              <w:bottom w:val="dotted" w:sz="4" w:space="0" w:color="auto"/>
              <w:right w:val="single" w:sz="8" w:space="0" w:color="auto"/>
            </w:tcBorders>
            <w:shd w:val="clear" w:color="000000" w:fill="F2F2F2"/>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dotted" w:sz="4" w:space="0" w:color="auto"/>
              <w:right w:val="single" w:sz="8" w:space="0" w:color="auto"/>
            </w:tcBorders>
            <w:shd w:val="clear" w:color="000000" w:fill="F2F2F2"/>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dotted" w:sz="4"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163 483 000 000</w:t>
            </w:r>
          </w:p>
        </w:tc>
        <w:tc>
          <w:tcPr>
            <w:tcW w:w="1320" w:type="dxa"/>
            <w:tcBorders>
              <w:top w:val="nil"/>
              <w:left w:val="nil"/>
              <w:bottom w:val="dotted" w:sz="4"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166 140 000 000</w:t>
            </w:r>
          </w:p>
        </w:tc>
      </w:tr>
      <w:tr>
        <w:trPr>
          <w:trHeight w:val="290"/>
          <w:jc w:val="center"/>
        </w:trPr>
        <w:tc>
          <w:tcPr>
            <w:tcW w:w="416" w:type="dxa"/>
            <w:tcBorders>
              <w:top w:val="nil"/>
              <w:left w:val="single" w:sz="8" w:space="0" w:color="auto"/>
              <w:bottom w:val="dotted" w:sz="4" w:space="0" w:color="auto"/>
              <w:right w:val="nil"/>
            </w:tcBorders>
            <w:shd w:val="clear" w:color="000000" w:fill="F2F2F2"/>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dotted" w:sz="4"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od tega v okviru instrumenta prilagodljivosti</w:t>
            </w:r>
          </w:p>
        </w:tc>
        <w:tc>
          <w:tcPr>
            <w:tcW w:w="1479" w:type="dxa"/>
            <w:tcBorders>
              <w:top w:val="nil"/>
              <w:left w:val="nil"/>
              <w:bottom w:val="dotted" w:sz="4"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292 422 534</w:t>
            </w:r>
          </w:p>
        </w:tc>
        <w:tc>
          <w:tcPr>
            <w:tcW w:w="1320" w:type="dxa"/>
            <w:tcBorders>
              <w:top w:val="nil"/>
              <w:left w:val="nil"/>
              <w:bottom w:val="dotted" w:sz="4"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836 562 086</w:t>
            </w:r>
          </w:p>
        </w:tc>
        <w:tc>
          <w:tcPr>
            <w:tcW w:w="1080" w:type="dxa"/>
            <w:tcBorders>
              <w:top w:val="nil"/>
              <w:left w:val="nil"/>
              <w:bottom w:val="dotted" w:sz="4"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470 000 000</w:t>
            </w:r>
          </w:p>
        </w:tc>
        <w:tc>
          <w:tcPr>
            <w:tcW w:w="1080" w:type="dxa"/>
            <w:tcBorders>
              <w:top w:val="nil"/>
              <w:left w:val="nil"/>
              <w:bottom w:val="dotted" w:sz="4"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450 000 000</w:t>
            </w:r>
          </w:p>
        </w:tc>
        <w:tc>
          <w:tcPr>
            <w:tcW w:w="1320" w:type="dxa"/>
            <w:tcBorders>
              <w:top w:val="nil"/>
              <w:left w:val="nil"/>
              <w:bottom w:val="dotted" w:sz="4"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762 422 534</w:t>
            </w:r>
          </w:p>
        </w:tc>
        <w:tc>
          <w:tcPr>
            <w:tcW w:w="1320" w:type="dxa"/>
            <w:tcBorders>
              <w:top w:val="nil"/>
              <w:left w:val="nil"/>
              <w:bottom w:val="dotted" w:sz="4"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1 286 562 086</w:t>
            </w:r>
          </w:p>
        </w:tc>
      </w:tr>
      <w:tr>
        <w:trPr>
          <w:trHeight w:val="290"/>
          <w:jc w:val="center"/>
        </w:trPr>
        <w:tc>
          <w:tcPr>
            <w:tcW w:w="416" w:type="dxa"/>
            <w:tcBorders>
              <w:top w:val="nil"/>
              <w:left w:val="single" w:sz="8" w:space="0" w:color="auto"/>
              <w:bottom w:val="single" w:sz="8" w:space="0" w:color="auto"/>
              <w:right w:val="nil"/>
            </w:tcBorders>
            <w:shd w:val="clear" w:color="000000" w:fill="F2F2F2"/>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single" w:sz="8"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razlika do zgornje meje</w:t>
            </w:r>
          </w:p>
        </w:tc>
        <w:tc>
          <w:tcPr>
            <w:tcW w:w="1479" w:type="dxa"/>
            <w:tcBorders>
              <w:top w:val="nil"/>
              <w:left w:val="nil"/>
              <w:bottom w:val="single" w:sz="8"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632 453 123</w:t>
            </w:r>
          </w:p>
        </w:tc>
        <w:tc>
          <w:tcPr>
            <w:tcW w:w="1320" w:type="dxa"/>
            <w:tcBorders>
              <w:top w:val="nil"/>
              <w:left w:val="nil"/>
              <w:bottom w:val="single" w:sz="8"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2 004 943 830</w:t>
            </w:r>
          </w:p>
        </w:tc>
        <w:tc>
          <w:tcPr>
            <w:tcW w:w="1080" w:type="dxa"/>
            <w:tcBorders>
              <w:top w:val="nil"/>
              <w:left w:val="nil"/>
              <w:bottom w:val="single" w:sz="8" w:space="0" w:color="auto"/>
              <w:right w:val="single" w:sz="8" w:space="0" w:color="auto"/>
            </w:tcBorders>
            <w:shd w:val="clear" w:color="000000" w:fill="F2F2F2"/>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080" w:type="dxa"/>
            <w:tcBorders>
              <w:top w:val="nil"/>
              <w:left w:val="nil"/>
              <w:bottom w:val="single" w:sz="8" w:space="0" w:color="auto"/>
              <w:right w:val="single" w:sz="8" w:space="0" w:color="auto"/>
            </w:tcBorders>
            <w:shd w:val="clear" w:color="000000" w:fill="F2F2F2"/>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320" w:type="dxa"/>
            <w:tcBorders>
              <w:top w:val="nil"/>
              <w:left w:val="nil"/>
              <w:bottom w:val="single" w:sz="8"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628 965 833</w:t>
            </w:r>
          </w:p>
        </w:tc>
        <w:tc>
          <w:tcPr>
            <w:tcW w:w="1320" w:type="dxa"/>
            <w:tcBorders>
              <w:top w:val="nil"/>
              <w:left w:val="nil"/>
              <w:bottom w:val="single" w:sz="8" w:space="0" w:color="auto"/>
              <w:right w:val="single" w:sz="8" w:space="0" w:color="auto"/>
            </w:tcBorders>
            <w:shd w:val="clear" w:color="000000" w:fill="F2F2F2"/>
            <w:vAlign w:val="center"/>
            <w:hideMark/>
          </w:tcPr>
          <w:p>
            <w:pPr>
              <w:spacing w:after="0" w:line="240" w:lineRule="auto"/>
              <w:jc w:val="right"/>
              <w:rPr>
                <w:rFonts w:ascii="Times New Roman" w:eastAsia="Times New Roman" w:hAnsi="Times New Roman" w:cs="Times New Roman"/>
                <w:b/>
                <w:bCs/>
                <w:i/>
                <w:iCs/>
                <w:noProof/>
                <w:color w:val="000000"/>
                <w:sz w:val="16"/>
                <w:szCs w:val="16"/>
              </w:rPr>
            </w:pPr>
            <w:r>
              <w:rPr>
                <w:rFonts w:ascii="Times New Roman" w:hAnsi="Times New Roman"/>
                <w:b/>
                <w:bCs/>
                <w:i/>
                <w:iCs/>
                <w:noProof/>
                <w:color w:val="000000"/>
                <w:sz w:val="16"/>
                <w:szCs w:val="16"/>
              </w:rPr>
              <w:t>2 454 943 830</w:t>
            </w:r>
          </w:p>
        </w:tc>
      </w:tr>
      <w:tr>
        <w:trPr>
          <w:trHeight w:val="290"/>
          <w:jc w:val="center"/>
        </w:trPr>
        <w:tc>
          <w:tcPr>
            <w:tcW w:w="416" w:type="dxa"/>
            <w:tcBorders>
              <w:top w:val="nil"/>
              <w:left w:val="single" w:sz="8" w:space="0" w:color="auto"/>
              <w:bottom w:val="single" w:sz="8" w:space="0" w:color="auto"/>
              <w:right w:val="nil"/>
            </w:tcBorders>
            <w:shd w:val="clear" w:color="000000" w:fill="D9D9D9"/>
            <w:vAlign w:val="center"/>
            <w:hideMark/>
          </w:tcPr>
          <w:p>
            <w:pPr>
              <w:spacing w:after="0" w:line="240" w:lineRule="auto"/>
              <w:jc w:val="both"/>
              <w:rPr>
                <w:rFonts w:ascii="Times New Roman" w:eastAsia="Times New Roman" w:hAnsi="Times New Roman" w:cs="Times New Roman"/>
                <w:noProof/>
                <w:color w:val="000000"/>
                <w:sz w:val="16"/>
                <w:szCs w:val="16"/>
              </w:rPr>
            </w:pPr>
            <w:r>
              <w:rPr>
                <w:rFonts w:ascii="Times New Roman" w:hAnsi="Times New Roman"/>
                <w:noProof/>
                <w:color w:val="000000"/>
                <w:sz w:val="16"/>
                <w:szCs w:val="16"/>
              </w:rPr>
              <w:t> </w:t>
            </w:r>
          </w:p>
        </w:tc>
        <w:tc>
          <w:tcPr>
            <w:tcW w:w="1694" w:type="dxa"/>
            <w:tcBorders>
              <w:top w:val="nil"/>
              <w:left w:val="nil"/>
              <w:bottom w:val="single" w:sz="8"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Tematski posebni instrumenti</w:t>
            </w:r>
          </w:p>
        </w:tc>
        <w:tc>
          <w:tcPr>
            <w:tcW w:w="1479" w:type="dxa"/>
            <w:tcBorders>
              <w:top w:val="nil"/>
              <w:left w:val="nil"/>
              <w:bottom w:val="single" w:sz="8"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3 216 749 598</w:t>
            </w:r>
          </w:p>
        </w:tc>
        <w:tc>
          <w:tcPr>
            <w:tcW w:w="1320" w:type="dxa"/>
            <w:tcBorders>
              <w:top w:val="nil"/>
              <w:left w:val="nil"/>
              <w:bottom w:val="single" w:sz="8"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3 039 364 598</w:t>
            </w:r>
          </w:p>
        </w:tc>
        <w:tc>
          <w:tcPr>
            <w:tcW w:w="1080" w:type="dxa"/>
            <w:tcBorders>
              <w:top w:val="nil"/>
              <w:left w:val="nil"/>
              <w:bottom w:val="single" w:sz="8"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080" w:type="dxa"/>
            <w:tcBorders>
              <w:top w:val="nil"/>
              <w:left w:val="nil"/>
              <w:bottom w:val="single" w:sz="8"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w:t>
            </w:r>
          </w:p>
        </w:tc>
        <w:tc>
          <w:tcPr>
            <w:tcW w:w="1320" w:type="dxa"/>
            <w:tcBorders>
              <w:top w:val="nil"/>
              <w:left w:val="nil"/>
              <w:bottom w:val="single" w:sz="8"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3 216 749 598</w:t>
            </w:r>
          </w:p>
        </w:tc>
        <w:tc>
          <w:tcPr>
            <w:tcW w:w="1320" w:type="dxa"/>
            <w:tcBorders>
              <w:top w:val="nil"/>
              <w:left w:val="nil"/>
              <w:bottom w:val="single" w:sz="8" w:space="0" w:color="auto"/>
              <w:right w:val="single" w:sz="8" w:space="0" w:color="auto"/>
            </w:tcBorders>
            <w:shd w:val="clear" w:color="000000" w:fill="D9D9D9"/>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3 039 364 598</w:t>
            </w:r>
          </w:p>
        </w:tc>
      </w:tr>
      <w:tr>
        <w:trPr>
          <w:trHeight w:val="290"/>
          <w:jc w:val="center"/>
        </w:trPr>
        <w:tc>
          <w:tcPr>
            <w:tcW w:w="2110" w:type="dxa"/>
            <w:gridSpan w:val="2"/>
            <w:tcBorders>
              <w:top w:val="single" w:sz="8" w:space="0" w:color="auto"/>
              <w:left w:val="single" w:sz="8" w:space="0" w:color="auto"/>
              <w:bottom w:val="single" w:sz="8" w:space="0" w:color="auto"/>
              <w:right w:val="single" w:sz="8" w:space="0" w:color="000000"/>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 xml:space="preserve">Odobritve skupaj </w:t>
            </w:r>
          </w:p>
        </w:tc>
        <w:tc>
          <w:tcPr>
            <w:tcW w:w="1479" w:type="dxa"/>
            <w:tcBorders>
              <w:top w:val="nil"/>
              <w:left w:val="nil"/>
              <w:bottom w:val="single" w:sz="8" w:space="0" w:color="auto"/>
              <w:right w:val="single" w:sz="8" w:space="0" w:color="auto"/>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166 359 719 009</w:t>
            </w:r>
          </w:p>
        </w:tc>
        <w:tc>
          <w:tcPr>
            <w:tcW w:w="1320" w:type="dxa"/>
            <w:tcBorders>
              <w:top w:val="nil"/>
              <w:left w:val="nil"/>
              <w:bottom w:val="single" w:sz="8" w:space="0" w:color="auto"/>
              <w:right w:val="single" w:sz="8" w:space="0" w:color="auto"/>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168 010 982 854</w:t>
            </w:r>
          </w:p>
        </w:tc>
        <w:tc>
          <w:tcPr>
            <w:tcW w:w="1080" w:type="dxa"/>
            <w:tcBorders>
              <w:top w:val="nil"/>
              <w:left w:val="nil"/>
              <w:bottom w:val="single" w:sz="8" w:space="0" w:color="auto"/>
              <w:right w:val="single" w:sz="8" w:space="0" w:color="auto"/>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473 487 290</w:t>
            </w:r>
          </w:p>
        </w:tc>
        <w:tc>
          <w:tcPr>
            <w:tcW w:w="1080" w:type="dxa"/>
            <w:tcBorders>
              <w:top w:val="nil"/>
              <w:left w:val="nil"/>
              <w:bottom w:val="single" w:sz="8" w:space="0" w:color="auto"/>
              <w:right w:val="single" w:sz="8" w:space="0" w:color="auto"/>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0</w:t>
            </w:r>
          </w:p>
        </w:tc>
        <w:tc>
          <w:tcPr>
            <w:tcW w:w="1320" w:type="dxa"/>
            <w:tcBorders>
              <w:top w:val="nil"/>
              <w:left w:val="nil"/>
              <w:bottom w:val="single" w:sz="8" w:space="0" w:color="auto"/>
              <w:right w:val="single" w:sz="8" w:space="0" w:color="auto"/>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166 833 206 299</w:t>
            </w:r>
          </w:p>
        </w:tc>
        <w:tc>
          <w:tcPr>
            <w:tcW w:w="1320" w:type="dxa"/>
            <w:tcBorders>
              <w:top w:val="nil"/>
              <w:left w:val="nil"/>
              <w:bottom w:val="single" w:sz="8" w:space="0" w:color="auto"/>
              <w:right w:val="single" w:sz="8" w:space="0" w:color="auto"/>
            </w:tcBorders>
            <w:shd w:val="clear" w:color="000000" w:fill="BFBFBF"/>
            <w:vAlign w:val="center"/>
            <w:hideMark/>
          </w:tcPr>
          <w:p>
            <w:pPr>
              <w:spacing w:after="0" w:line="240" w:lineRule="auto"/>
              <w:jc w:val="right"/>
              <w:rPr>
                <w:rFonts w:ascii="Times New Roman" w:eastAsia="Times New Roman" w:hAnsi="Times New Roman" w:cs="Times New Roman"/>
                <w:b/>
                <w:bCs/>
                <w:noProof/>
                <w:color w:val="000000"/>
                <w:sz w:val="16"/>
                <w:szCs w:val="16"/>
              </w:rPr>
            </w:pPr>
            <w:r>
              <w:rPr>
                <w:rFonts w:ascii="Times New Roman" w:hAnsi="Times New Roman"/>
                <w:b/>
                <w:bCs/>
                <w:noProof/>
                <w:color w:val="000000"/>
                <w:sz w:val="16"/>
                <w:szCs w:val="16"/>
              </w:rPr>
              <w:t>168 010 982 854</w:t>
            </w:r>
          </w:p>
        </w:tc>
      </w:tr>
    </w:tbl>
    <w:p>
      <w:pPr>
        <w:rPr>
          <w:noProof/>
        </w:rPr>
      </w:pPr>
    </w:p>
    <w:sectPr>
      <w:headerReference w:type="even" r:id="rId39"/>
      <w:headerReference w:type="default" r:id="rId40"/>
      <w:footerReference w:type="even" r:id="rId41"/>
      <w:footerReference w:type="default" r:id="rId42"/>
      <w:headerReference w:type="first" r:id="rId43"/>
      <w:footerReference w:type="first" r:id="rId44"/>
      <w:pgSz w:w="11906" w:h="16838"/>
      <w:pgMar w:top="1440" w:right="1133"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305350"/>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9</w:t>
        </w:r>
        <w:r>
          <w:fldChar w:fldCharType="end"/>
        </w:r>
      </w:p>
    </w:sdtContent>
  </w:sdt>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069306"/>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13</w:t>
        </w:r>
        <w:r>
          <w:fldChar w:fldCharType="end"/>
        </w:r>
      </w:p>
    </w:sdtContent>
  </w:sdt>
  <w:p>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SL</w:t>
    </w:r>
    <w:r>
      <w:rPr>
        <w:rFonts w:ascii="Arial" w:hAnsi="Arial" w:cs="Arial"/>
        <w:b/>
        <w:sz w:val="48"/>
      </w:rPr>
      <w:tab/>
    </w:r>
    <w:r>
      <w:rPr>
        <w:rFonts w:ascii="Arial" w:hAnsi="Arial" w:cs="Arial"/>
        <w:b/>
        <w:sz w:val="48"/>
      </w:rPr>
      <w:tab/>
    </w:r>
    <w:r>
      <w:tab/>
    </w:r>
    <w:r>
      <w:rPr>
        <w:rFonts w:ascii="Arial" w:hAnsi="Arial" w:cs="Arial"/>
        <w:b/>
        <w:sz w:val="48"/>
      </w:rPr>
      <w:t>SL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ind w:left="-851" w:right="-851"/>
      <w:rPr>
        <w:rFonts w:ascii="Arial" w:hAnsi="Arial" w:cs="Arial"/>
        <w:b/>
        <w:sz w:val="48"/>
      </w:rPr>
    </w:pPr>
    <w:r>
      <w:rPr>
        <w:rFonts w:ascii="Arial" w:hAnsi="Arial"/>
        <w:b/>
        <w:sz w:val="48"/>
      </w:rPr>
      <w:tab/>
    </w:r>
    <w:r>
      <w:fldChar w:fldCharType="begin"/>
    </w:r>
    <w:r>
      <w:instrText xml:space="preserve"> PAGE  \* MERGEFORMAT </w:instrText>
    </w:r>
    <w:r>
      <w:fldChar w:fldCharType="separate"/>
    </w:r>
    <w:r>
      <w:rPr>
        <w:noProof/>
      </w:rPr>
      <w:t>1</w:t>
    </w:r>
    <w:r>
      <w:fldChar w:fldCharType="end"/>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0139724"/>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6</w:t>
        </w:r>
        <w:r>
          <w:fldChar w:fldCharType="end"/>
        </w:r>
      </w:p>
    </w:sdtContent>
  </w:sdt>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pPr>
      <w:r>
        <w:rPr>
          <w:rStyle w:val="FootnoteReference"/>
        </w:rPr>
        <w:footnoteRef/>
      </w:r>
      <w:r>
        <w:t xml:space="preserve"> </w:t>
      </w:r>
      <w:r>
        <w:tab/>
        <w:t>Sklep Sveta (EU, Euratom) 2020/2053 z dne 14. decembra 2020 o sistemu virov lastnih sredstev Evropske unije in razveljavitvi Sklepa 2014/335/EU, Euratom (UL L 424, 15.12.2020).</w:t>
      </w:r>
    </w:p>
  </w:footnote>
  <w:footnote w:id="3">
    <w:p>
      <w:pPr>
        <w:pStyle w:val="FootnoteText"/>
      </w:pPr>
      <w:r>
        <w:rPr>
          <w:rStyle w:val="FootnoteReference"/>
        </w:rPr>
        <w:footnoteRef/>
      </w:r>
      <w:r>
        <w:t xml:space="preserve"> </w:t>
      </w:r>
      <w:r>
        <w:tab/>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193, 30.7.2018)</w:t>
      </w:r>
      <w:r>
        <w:rPr>
          <w:sz w:val="18"/>
          <w:szCs w:val="18"/>
        </w:rPr>
        <w:t>.</w:t>
      </w:r>
    </w:p>
  </w:footnote>
  <w:footnote w:id="4">
    <w:p>
      <w:pPr>
        <w:pStyle w:val="FootnoteText"/>
      </w:pPr>
      <w:r>
        <w:rPr>
          <w:rStyle w:val="FootnoteReference"/>
        </w:rPr>
        <w:footnoteRef/>
      </w:r>
      <w:r>
        <w:t xml:space="preserve"> </w:t>
      </w:r>
      <w:r>
        <w:tab/>
        <w:t>UL L 93, 17.3.2021.</w:t>
      </w:r>
    </w:p>
  </w:footnote>
  <w:footnote w:id="5">
    <w:p>
      <w:pPr>
        <w:pStyle w:val="FootnoteText"/>
      </w:pPr>
      <w:r>
        <w:rPr>
          <w:rStyle w:val="FootnoteReference"/>
        </w:rPr>
        <w:footnoteRef/>
      </w:r>
      <w:r>
        <w:t xml:space="preserve"> </w:t>
      </w:r>
      <w:r>
        <w:tab/>
        <w:t>UL L 266, 26.7.2021.</w:t>
      </w:r>
    </w:p>
  </w:footnote>
  <w:footnote w:id="6">
    <w:p>
      <w:pPr>
        <w:pStyle w:val="FootnoteText"/>
      </w:pPr>
      <w:r>
        <w:rPr>
          <w:rStyle w:val="FootnoteReference"/>
        </w:rPr>
        <w:footnoteRef/>
      </w:r>
      <w:r>
        <w:t xml:space="preserve"> </w:t>
      </w:r>
      <w:r>
        <w:tab/>
        <w:t>UL L 322, 13.9.2021.</w:t>
      </w:r>
    </w:p>
  </w:footnote>
  <w:footnote w:id="7">
    <w:p>
      <w:pPr>
        <w:pStyle w:val="FootnoteText"/>
      </w:pPr>
      <w:r>
        <w:rPr>
          <w:rStyle w:val="FootnoteReference"/>
        </w:rPr>
        <w:footnoteRef/>
      </w:r>
      <w:r>
        <w:t xml:space="preserve"> </w:t>
      </w:r>
      <w:r>
        <w:tab/>
        <w:t>UL L XXX, XX.X.2021.</w:t>
      </w:r>
    </w:p>
  </w:footnote>
  <w:footnote w:id="8">
    <w:p>
      <w:pPr>
        <w:pStyle w:val="FootnoteText"/>
      </w:pPr>
      <w:r>
        <w:rPr>
          <w:rStyle w:val="FootnoteReference"/>
        </w:rPr>
        <w:footnoteRef/>
      </w:r>
      <w:r>
        <w:t xml:space="preserve"> </w:t>
      </w:r>
      <w:r>
        <w:tab/>
        <w:t>COM(2021) 444 final.</w:t>
      </w:r>
    </w:p>
  </w:footnote>
  <w:footnote w:id="9">
    <w:p>
      <w:pPr>
        <w:pStyle w:val="FootnoteText"/>
      </w:pPr>
      <w:r>
        <w:rPr>
          <w:rStyle w:val="FootnoteReference"/>
        </w:rPr>
        <w:footnoteRef/>
      </w:r>
      <w:r>
        <w:t xml:space="preserve"> </w:t>
      </w:r>
      <w:r>
        <w:tab/>
        <w:t>COM(2021) 460 final.</w:t>
      </w:r>
    </w:p>
  </w:footnote>
  <w:footnote w:id="10">
    <w:p>
      <w:pPr>
        <w:pStyle w:val="FootnoteText"/>
      </w:pPr>
      <w:r>
        <w:rPr>
          <w:rStyle w:val="FootnoteReference"/>
        </w:rPr>
        <w:footnoteRef/>
      </w:r>
      <w:r>
        <w:t xml:space="preserve"> </w:t>
      </w:r>
      <w:r>
        <w:tab/>
        <w:t>Uredba (EU) 2021/947 Evropskega parlamenta in Sveta z dne 9. junija 2021 o vzpostavitvi Instrumenta za sosedstvo ter razvojno in mednarodno sodelovanje – Globalna Evropa, spremembi in razveljavitvi Sklepa št. 466/2014/EU ter razveljavitvi Uredbe (EU) 2017/1601 in Uredbe Sveta (ES, Euratom) št. 480/2009 (UL L 209, 14.6.2021, str. 1).</w:t>
      </w:r>
    </w:p>
  </w:footnote>
  <w:footnote w:id="11">
    <w:p>
      <w:pPr>
        <w:pStyle w:val="FootnoteText"/>
      </w:pPr>
      <w:r>
        <w:rPr>
          <w:rStyle w:val="FootnoteReference"/>
        </w:rPr>
        <w:footnoteRef/>
      </w:r>
      <w:r>
        <w:t xml:space="preserve"> </w:t>
      </w:r>
      <w:r>
        <w:tab/>
        <w:t>Uredba (EU) 2021/836 Evropskega parlamenta in Sveta z dne 20. maja 2021 o spremembi Sklepa št. 1313/2013/EU o mehanizmu Unije na področju civilne zaščite (UL L 193, 30.7.2018, str. 1).</w:t>
      </w:r>
    </w:p>
  </w:footnote>
  <w:footnote w:id="12">
    <w:p>
      <w:pPr>
        <w:pStyle w:val="FootnoteText"/>
      </w:pPr>
      <w:r>
        <w:rPr>
          <w:rStyle w:val="FootnoteReference"/>
        </w:rPr>
        <w:footnoteRef/>
      </w:r>
      <w:r>
        <w:t xml:space="preserve"> </w:t>
      </w:r>
      <w:r>
        <w:tab/>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231, 30.6.2021, str. 159).</w:t>
      </w:r>
    </w:p>
  </w:footnote>
  <w:footnote w:id="13">
    <w:p>
      <w:pPr>
        <w:pStyle w:val="FootnoteText"/>
      </w:pPr>
      <w:r>
        <w:rPr>
          <w:rStyle w:val="FootnoteReference"/>
        </w:rPr>
        <w:footnoteRef/>
      </w:r>
      <w:r>
        <w:t xml:space="preserve"> </w:t>
      </w:r>
      <w:r>
        <w:tab/>
        <w:t>Člen 12 Uredbe Sveta (EU, Euratom) 2020/2093 z dne 17. decembra 2020 o določitvi večletnega finančnega okvira za obdobje 2021–2027 (UL L 433I, 22.12.2020, str. 11).</w:t>
      </w:r>
    </w:p>
  </w:footnote>
  <w:footnote w:id="14">
    <w:p>
      <w:pPr>
        <w:pStyle w:val="FootnoteText"/>
      </w:pPr>
      <w:r>
        <w:rPr>
          <w:rStyle w:val="FootnoteReference"/>
        </w:rPr>
        <w:footnoteRef/>
      </w:r>
      <w:r>
        <w:t xml:space="preserve"> </w:t>
      </w:r>
      <w:r>
        <w:tab/>
        <w:t>Uredba Sveta (EU, Euratom) 2021/770, UL L 165, 11.5.2021, str. 15.</w:t>
      </w:r>
    </w:p>
  </w:footnote>
  <w:footnote w:id="15">
    <w:p>
      <w:pPr>
        <w:pStyle w:val="FootnoteText"/>
        <w:ind w:left="284" w:hanging="284"/>
      </w:pPr>
      <w:r>
        <w:rPr>
          <w:rStyle w:val="FootnoteReference"/>
        </w:rPr>
        <w:footnoteRef/>
      </w:r>
      <w:r>
        <w:t xml:space="preserve"> </w:t>
      </w:r>
      <w:r>
        <w:tab/>
        <w:t>V primerjavi s prispevkom iz naslova BND iz PSP št. 4/2001, ki je vključeval prejšnjo napoved lastnih sredstev iz naslova odpadne plastične embalaže.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E8"/>
    <w:multiLevelType w:val="multilevel"/>
    <w:tmpl w:val="3B9ACA00"/>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700"/>
        </w:tabs>
        <w:ind w:left="1700" w:hanging="1700"/>
      </w:pPr>
    </w:lvl>
    <w:lvl w:ilvl="5">
      <w:start w:val="1"/>
      <w:numFmt w:val="decimal"/>
      <w:pStyle w:val="Heading6"/>
      <w:lvlText w:val="%1.%2.%3.%4.%5.%6."/>
      <w:lvlJc w:val="left"/>
      <w:pPr>
        <w:tabs>
          <w:tab w:val="num" w:pos="1700"/>
        </w:tabs>
        <w:ind w:left="1700" w:hanging="1700"/>
      </w:pPr>
    </w:lvl>
    <w:lvl w:ilvl="6">
      <w:start w:val="1"/>
      <w:numFmt w:val="decimal"/>
      <w:pStyle w:val="Heading7"/>
      <w:lvlText w:val="%1.%2.%3.%4.%5.%6.%7."/>
      <w:lvlJc w:val="left"/>
      <w:pPr>
        <w:tabs>
          <w:tab w:val="num" w:pos="1700"/>
        </w:tabs>
        <w:ind w:left="1700" w:hanging="1700"/>
      </w:pPr>
    </w:lvl>
    <w:lvl w:ilvl="7">
      <w:start w:val="1"/>
      <w:numFmt w:val="decimal"/>
      <w:pStyle w:val="Heading8"/>
      <w:lvlText w:val="%1.%2.%3.%4.%5.%6.%7.%8."/>
      <w:lvlJc w:val="left"/>
      <w:pPr>
        <w:tabs>
          <w:tab w:val="num" w:pos="1700"/>
        </w:tabs>
        <w:ind w:left="1700" w:hanging="1700"/>
      </w:pPr>
    </w:lvl>
    <w:lvl w:ilvl="8">
      <w:start w:val="1"/>
      <w:numFmt w:val="decimal"/>
      <w:pStyle w:val="Heading9"/>
      <w:lvlText w:val="%1.%2.%3.%4.%5.%6.%7.%8.%9."/>
      <w:lvlJc w:val="left"/>
      <w:pPr>
        <w:tabs>
          <w:tab w:val="num" w:pos="1700"/>
        </w:tabs>
        <w:ind w:left="1700" w:hanging="1700"/>
      </w:pPr>
    </w:lvl>
  </w:abstractNum>
  <w:abstractNum w:abstractNumId="1">
    <w:nsid w:val="096C28A9"/>
    <w:multiLevelType w:val="hybridMultilevel"/>
    <w:tmpl w:val="34A28232"/>
    <w:lvl w:ilvl="0" w:tplc="04050001">
      <w:start w:val="1"/>
      <w:numFmt w:val="bullet"/>
      <w:lvlText w:val=""/>
      <w:lvlJc w:val="left"/>
      <w:pPr>
        <w:ind w:left="776" w:hanging="360"/>
      </w:pPr>
      <w:rPr>
        <w:rFonts w:ascii="Symbol" w:hAnsi="Symbol" w:hint="default"/>
      </w:rPr>
    </w:lvl>
    <w:lvl w:ilvl="1" w:tplc="04050003" w:tentative="1">
      <w:start w:val="1"/>
      <w:numFmt w:val="bullet"/>
      <w:lvlText w:val="o"/>
      <w:lvlJc w:val="left"/>
      <w:pPr>
        <w:ind w:left="1496" w:hanging="360"/>
      </w:pPr>
      <w:rPr>
        <w:rFonts w:ascii="Courier New" w:hAnsi="Courier New" w:cs="Courier New" w:hint="default"/>
      </w:rPr>
    </w:lvl>
    <w:lvl w:ilvl="2" w:tplc="04050005" w:tentative="1">
      <w:start w:val="1"/>
      <w:numFmt w:val="bullet"/>
      <w:lvlText w:val=""/>
      <w:lvlJc w:val="left"/>
      <w:pPr>
        <w:ind w:left="2216" w:hanging="360"/>
      </w:pPr>
      <w:rPr>
        <w:rFonts w:ascii="Wingdings" w:hAnsi="Wingdings" w:hint="default"/>
      </w:rPr>
    </w:lvl>
    <w:lvl w:ilvl="3" w:tplc="04050001" w:tentative="1">
      <w:start w:val="1"/>
      <w:numFmt w:val="bullet"/>
      <w:lvlText w:val=""/>
      <w:lvlJc w:val="left"/>
      <w:pPr>
        <w:ind w:left="2936" w:hanging="360"/>
      </w:pPr>
      <w:rPr>
        <w:rFonts w:ascii="Symbol" w:hAnsi="Symbol" w:hint="default"/>
      </w:rPr>
    </w:lvl>
    <w:lvl w:ilvl="4" w:tplc="04050003" w:tentative="1">
      <w:start w:val="1"/>
      <w:numFmt w:val="bullet"/>
      <w:lvlText w:val="o"/>
      <w:lvlJc w:val="left"/>
      <w:pPr>
        <w:ind w:left="3656" w:hanging="360"/>
      </w:pPr>
      <w:rPr>
        <w:rFonts w:ascii="Courier New" w:hAnsi="Courier New" w:cs="Courier New" w:hint="default"/>
      </w:rPr>
    </w:lvl>
    <w:lvl w:ilvl="5" w:tplc="04050005" w:tentative="1">
      <w:start w:val="1"/>
      <w:numFmt w:val="bullet"/>
      <w:lvlText w:val=""/>
      <w:lvlJc w:val="left"/>
      <w:pPr>
        <w:ind w:left="4376" w:hanging="360"/>
      </w:pPr>
      <w:rPr>
        <w:rFonts w:ascii="Wingdings" w:hAnsi="Wingdings" w:hint="default"/>
      </w:rPr>
    </w:lvl>
    <w:lvl w:ilvl="6" w:tplc="04050001" w:tentative="1">
      <w:start w:val="1"/>
      <w:numFmt w:val="bullet"/>
      <w:lvlText w:val=""/>
      <w:lvlJc w:val="left"/>
      <w:pPr>
        <w:ind w:left="5096" w:hanging="360"/>
      </w:pPr>
      <w:rPr>
        <w:rFonts w:ascii="Symbol" w:hAnsi="Symbol" w:hint="default"/>
      </w:rPr>
    </w:lvl>
    <w:lvl w:ilvl="7" w:tplc="04050003" w:tentative="1">
      <w:start w:val="1"/>
      <w:numFmt w:val="bullet"/>
      <w:lvlText w:val="o"/>
      <w:lvlJc w:val="left"/>
      <w:pPr>
        <w:ind w:left="5816" w:hanging="360"/>
      </w:pPr>
      <w:rPr>
        <w:rFonts w:ascii="Courier New" w:hAnsi="Courier New" w:cs="Courier New" w:hint="default"/>
      </w:rPr>
    </w:lvl>
    <w:lvl w:ilvl="8" w:tplc="04050005" w:tentative="1">
      <w:start w:val="1"/>
      <w:numFmt w:val="bullet"/>
      <w:lvlText w:val=""/>
      <w:lvlJc w:val="left"/>
      <w:pPr>
        <w:ind w:left="6536" w:hanging="360"/>
      </w:pPr>
      <w:rPr>
        <w:rFonts w:ascii="Wingdings" w:hAnsi="Wingdings" w:hint="default"/>
      </w:rPr>
    </w:lvl>
  </w:abstractNum>
  <w:abstractNum w:abstractNumId="2">
    <w:nsid w:val="1F4D0AC4"/>
    <w:multiLevelType w:val="multilevel"/>
    <w:tmpl w:val="844E120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32A52C4F"/>
    <w:multiLevelType w:val="singleLevel"/>
    <w:tmpl w:val="8CAAE482"/>
    <w:lvl w:ilvl="0">
      <w:start w:val="1"/>
      <w:numFmt w:val="bullet"/>
      <w:lvlRestart w:val="0"/>
      <w:pStyle w:val="Tiret0"/>
      <w:lvlText w:val="—"/>
      <w:lvlJc w:val="left"/>
      <w:pPr>
        <w:tabs>
          <w:tab w:val="num" w:pos="3119"/>
        </w:tabs>
        <w:ind w:left="3119" w:hanging="850"/>
      </w:pPr>
      <w:rPr>
        <w:rFonts w:ascii="Times New Roman" w:hAnsi="Times New Roman" w:cs="Times New Roman" w:hint="default"/>
      </w:rPr>
    </w:lvl>
  </w:abstractNum>
  <w:abstractNum w:abstractNumId="4">
    <w:nsid w:val="431425F8"/>
    <w:multiLevelType w:val="hybridMultilevel"/>
    <w:tmpl w:val="B6F69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836568C"/>
    <w:multiLevelType w:val="hybridMultilevel"/>
    <w:tmpl w:val="FEE07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88A29CA"/>
    <w:multiLevelType w:val="hybridMultilevel"/>
    <w:tmpl w:val="E22C3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B3328FD"/>
    <w:multiLevelType w:val="hybridMultilevel"/>
    <w:tmpl w:val="77380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4"/>
  </w:num>
  <w:num w:numId="6">
    <w:abstractNumId w:val="6"/>
  </w:num>
  <w:num w:numId="7">
    <w:abstractNumId w:val="2"/>
  </w:num>
  <w:num w:numId="8">
    <w:abstractNumId w:val="7"/>
  </w:num>
  <w:num w:numId="9">
    <w:abstractNumId w:val="0"/>
  </w:num>
  <w:num w:numId="10">
    <w:abstractNumId w:val="5"/>
  </w:num>
  <w:num w:numId="11">
    <w:abstractNumId w:val="1"/>
  </w:num>
  <w:num w:numId="1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1126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C0473B04-6001-46F7-B942-EF0ACB7B8696"/>
    <w:docVar w:name="LW_COVERPAGE_TYPE" w:val="1"/>
    <w:docVar w:name="LW_CROSSREFERENCE" w:val="&lt;UNUSED&gt;"/>
    <w:docVar w:name="LW_DocType" w:val="NORMAL"/>
    <w:docVar w:name="LW_EMISSION" w:val="8.10.2021"/>
    <w:docVar w:name="LW_EMISSION_ISODATE" w:val="2021-10-08"/>
    <w:docVar w:name="LW_EMISSION_LOCATION" w:val="BRX"/>
    <w:docVar w:name="LW_EMISSION_PREFIX" w:val="Bruselj, "/>
    <w:docVar w:name="LW_EMISSION_SUFFIX" w:val=" "/>
    <w:docVar w:name="LW_ID_DOCTYPE_NONLW" w:val="CP-032"/>
    <w:docVar w:name="LW_INTERETEEE.CP" w:val="&lt;UNUSED&gt;"/>
    <w:docVar w:name="LW_LANGUE" w:val="SL"/>
    <w:docVar w:name="LW_LEVEL_OF_SENSITIVITY" w:val="Standard treatment"/>
    <w:docVar w:name="LW_NOM.INST" w:val="EVROPSKA KOMISIJA"/>
    <w:docVar w:name="LW_NOM.INST_JOINTDOC" w:val="&lt;EMPTY&gt;"/>
    <w:docVar w:name="LW_PART_NBR" w:val="1"/>
    <w:docVar w:name="LW_PART_NBR_TOTAL" w:val="1"/>
    <w:docVar w:name="LW_REF.II.NEW.CP" w:val="BUD"/>
    <w:docVar w:name="LW_REF.II.NEW.CP_NUMBER" w:val="0326"/>
    <w:docVar w:name="LW_REF.II.NEW.CP_YEAR" w:val="2021"/>
    <w:docVar w:name="LW_REF.INST.NEW" w:val="COM"/>
    <w:docVar w:name="LW_REF.INST.NEW_ADOPTED" w:val="final"/>
    <w:docVar w:name="LW_REF.INST.NEW_TEXT" w:val="(2021) 95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 w:val=" "/>
    <w:docVar w:name="LW_STATUT.CP" w:val=" "/>
    <w:docVar w:name="LW_SUPERTITRE" w:val="&lt;UNUSED&gt;"/>
    <w:docVar w:name="LW_TITRE.OBJ.CP" w:val="&lt;FMT:Italic&gt;Dodatni odmerki cepiva za dr\u382?ave z nizkim in ni\u382?jim srednjim dohodkom, okrepitev mehanizma Unije na podro\u269?ju civilne za\u353?\u269?ite in druge prilagoditve odhodkov in prihodkov&lt;/FMT&gt;_x000d__x000d__x000d__x000d__x000b__x000d__x000d__x000d__x000d__x000d__x000d__x000d__x000d__x000d__x000d__x000b__x000d__x000d__x000d__x000d__x000d__x000d__x000d__x000d__x000d__x000d__x000d__x000b_"/>
    <w:docVar w:name="LW_TYPE.DOC.CP" w:val="PREDLOG SPREMEMBE PRORA\u268?UNA \u353?t. 6_x000b_K SPLO\u352?NEMU PRORA\u268?UNU ZA LETO 2021_x000b_"/>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pPr>
      <w:keepNext/>
      <w:numPr>
        <w:numId w:val="9"/>
      </w:numPr>
      <w:tabs>
        <w:tab w:val="num" w:pos="432"/>
      </w:tabs>
      <w:spacing w:before="480" w:after="120" w:line="240" w:lineRule="auto"/>
      <w:ind w:left="432" w:hanging="432"/>
      <w:outlineLvl w:val="0"/>
    </w:pPr>
    <w:rPr>
      <w:rFonts w:ascii="Arial" w:eastAsia="Times New Roman" w:hAnsi="Arial" w:cs="Arial"/>
      <w:b/>
      <w:bCs/>
      <w:kern w:val="28"/>
      <w:sz w:val="28"/>
      <w:szCs w:val="28"/>
      <w:lang w:eastAsia="en-GB"/>
    </w:rPr>
  </w:style>
  <w:style w:type="paragraph" w:styleId="Heading2">
    <w:name w:val="heading 2"/>
    <w:basedOn w:val="Normal"/>
    <w:next w:val="Normal"/>
    <w:link w:val="Heading2Char"/>
    <w:uiPriority w:val="99"/>
    <w:qFormat/>
    <w:pPr>
      <w:keepNext/>
      <w:numPr>
        <w:ilvl w:val="1"/>
        <w:numId w:val="9"/>
      </w:numPr>
      <w:tabs>
        <w:tab w:val="num" w:pos="576"/>
      </w:tabs>
      <w:spacing w:before="480" w:after="120" w:line="240" w:lineRule="auto"/>
      <w:ind w:left="576" w:hanging="576"/>
      <w:outlineLvl w:val="1"/>
    </w:pPr>
    <w:rPr>
      <w:rFonts w:ascii="Arial" w:eastAsia="Times New Roman" w:hAnsi="Arial" w:cs="Arial"/>
      <w:b/>
      <w:bCs/>
      <w:i/>
      <w:iCs/>
      <w:sz w:val="24"/>
      <w:szCs w:val="24"/>
      <w:lang w:eastAsia="en-GB"/>
    </w:rPr>
  </w:style>
  <w:style w:type="paragraph" w:styleId="Heading3">
    <w:name w:val="heading 3"/>
    <w:basedOn w:val="Normal"/>
    <w:next w:val="Normal"/>
    <w:link w:val="Heading3Char"/>
    <w:uiPriority w:val="99"/>
    <w:qFormat/>
    <w:pPr>
      <w:keepNext/>
      <w:numPr>
        <w:ilvl w:val="2"/>
        <w:numId w:val="9"/>
      </w:numPr>
      <w:tabs>
        <w:tab w:val="num" w:pos="720"/>
      </w:tabs>
      <w:spacing w:before="480" w:after="120" w:line="240" w:lineRule="auto"/>
      <w:ind w:left="720" w:hanging="720"/>
      <w:outlineLvl w:val="2"/>
    </w:pPr>
    <w:rPr>
      <w:rFonts w:ascii="Arial" w:eastAsia="Times New Roman" w:hAnsi="Arial" w:cs="Arial"/>
      <w:sz w:val="24"/>
      <w:szCs w:val="24"/>
      <w:lang w:eastAsia="en-GB"/>
    </w:rPr>
  </w:style>
  <w:style w:type="paragraph" w:styleId="Heading4">
    <w:name w:val="heading 4"/>
    <w:basedOn w:val="Normal"/>
    <w:next w:val="Normal"/>
    <w:link w:val="Heading4Char"/>
    <w:uiPriority w:val="99"/>
    <w:qFormat/>
    <w:pPr>
      <w:keepNext/>
      <w:numPr>
        <w:ilvl w:val="3"/>
        <w:numId w:val="9"/>
      </w:numPr>
      <w:tabs>
        <w:tab w:val="clear" w:pos="850"/>
        <w:tab w:val="num" w:pos="864"/>
      </w:tabs>
      <w:spacing w:before="480" w:after="120" w:line="240" w:lineRule="auto"/>
      <w:ind w:left="864" w:hanging="864"/>
      <w:outlineLvl w:val="3"/>
    </w:pPr>
    <w:rPr>
      <w:rFonts w:ascii="Arial" w:eastAsia="Times New Roman" w:hAnsi="Arial" w:cs="Arial"/>
      <w:b/>
      <w:bCs/>
      <w:sz w:val="24"/>
      <w:szCs w:val="24"/>
      <w:lang w:eastAsia="en-GB"/>
    </w:rPr>
  </w:style>
  <w:style w:type="paragraph" w:styleId="Heading5">
    <w:name w:val="heading 5"/>
    <w:basedOn w:val="Normal"/>
    <w:next w:val="Normal"/>
    <w:link w:val="Heading5Char"/>
    <w:uiPriority w:val="99"/>
    <w:qFormat/>
    <w:pPr>
      <w:keepNext/>
      <w:numPr>
        <w:ilvl w:val="4"/>
        <w:numId w:val="9"/>
      </w:numPr>
      <w:tabs>
        <w:tab w:val="num" w:pos="1008"/>
      </w:tabs>
      <w:spacing w:before="480" w:after="120" w:line="240" w:lineRule="auto"/>
      <w:ind w:left="1008" w:hanging="1008"/>
      <w:outlineLvl w:val="4"/>
    </w:pPr>
    <w:rPr>
      <w:rFonts w:ascii="Arial" w:eastAsia="Times New Roman" w:hAnsi="Arial" w:cs="Arial"/>
      <w:lang w:eastAsia="en-GB"/>
    </w:rPr>
  </w:style>
  <w:style w:type="paragraph" w:styleId="Heading6">
    <w:name w:val="heading 6"/>
    <w:basedOn w:val="Normal"/>
    <w:next w:val="Normal"/>
    <w:link w:val="Heading6Char"/>
    <w:uiPriority w:val="99"/>
    <w:qFormat/>
    <w:pPr>
      <w:keepNext/>
      <w:numPr>
        <w:ilvl w:val="5"/>
        <w:numId w:val="9"/>
      </w:numPr>
      <w:tabs>
        <w:tab w:val="num" w:pos="1152"/>
      </w:tabs>
      <w:spacing w:before="120" w:after="80" w:line="240" w:lineRule="auto"/>
      <w:ind w:left="1152" w:hanging="1152"/>
      <w:outlineLvl w:val="5"/>
    </w:pPr>
    <w:rPr>
      <w:rFonts w:ascii="Arial" w:eastAsia="Times New Roman" w:hAnsi="Arial" w:cs="Arial"/>
      <w:lang w:eastAsia="en-GB"/>
    </w:rPr>
  </w:style>
  <w:style w:type="paragraph" w:styleId="Heading7">
    <w:name w:val="heading 7"/>
    <w:basedOn w:val="Normal"/>
    <w:next w:val="Normal"/>
    <w:link w:val="Heading7Char"/>
    <w:uiPriority w:val="99"/>
    <w:qFormat/>
    <w:pPr>
      <w:keepNext/>
      <w:numPr>
        <w:ilvl w:val="6"/>
        <w:numId w:val="9"/>
      </w:numPr>
      <w:tabs>
        <w:tab w:val="num" w:pos="1296"/>
      </w:tabs>
      <w:spacing w:before="80" w:after="60" w:line="240" w:lineRule="auto"/>
      <w:ind w:left="1296" w:hanging="1296"/>
      <w:outlineLvl w:val="6"/>
    </w:pPr>
    <w:rPr>
      <w:rFonts w:ascii="Arial" w:eastAsia="Times New Roman" w:hAnsi="Arial" w:cs="Arial"/>
      <w:lang w:eastAsia="en-GB"/>
    </w:rPr>
  </w:style>
  <w:style w:type="paragraph" w:styleId="Heading8">
    <w:name w:val="heading 8"/>
    <w:basedOn w:val="Normal"/>
    <w:next w:val="Normal"/>
    <w:link w:val="Heading8Char"/>
    <w:uiPriority w:val="99"/>
    <w:qFormat/>
    <w:pPr>
      <w:keepNext/>
      <w:numPr>
        <w:ilvl w:val="7"/>
        <w:numId w:val="9"/>
      </w:numPr>
      <w:tabs>
        <w:tab w:val="num" w:pos="1440"/>
      </w:tabs>
      <w:spacing w:after="0" w:line="240" w:lineRule="auto"/>
      <w:ind w:left="1440" w:hanging="1440"/>
      <w:outlineLvl w:val="7"/>
    </w:pPr>
    <w:rPr>
      <w:rFonts w:ascii="Arial" w:eastAsia="Times New Roman" w:hAnsi="Arial" w:cs="Arial"/>
      <w:spacing w:val="-2"/>
      <w:lang w:eastAsia="en-GB"/>
    </w:rPr>
  </w:style>
  <w:style w:type="paragraph" w:styleId="Heading9">
    <w:name w:val="heading 9"/>
    <w:basedOn w:val="Normal"/>
    <w:next w:val="Normal"/>
    <w:link w:val="Heading9Char"/>
    <w:uiPriority w:val="99"/>
    <w:qFormat/>
    <w:pPr>
      <w:keepNext/>
      <w:numPr>
        <w:ilvl w:val="8"/>
        <w:numId w:val="9"/>
      </w:numPr>
      <w:tabs>
        <w:tab w:val="num" w:pos="1584"/>
      </w:tabs>
      <w:spacing w:after="0" w:line="240" w:lineRule="auto"/>
      <w:ind w:left="1584" w:hanging="1584"/>
      <w:outlineLvl w:val="8"/>
    </w:pPr>
    <w:rPr>
      <w:rFonts w:ascii="Arial" w:eastAsia="Times New Roman" w:hAnsi="Arial" w:cs="Arial"/>
      <w:spacing w:val="-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Char Char Char Char Char Char,Char Char Char"/>
    <w:basedOn w:val="Normal"/>
    <w:link w:val="FootnoteTextChar"/>
    <w:uiPriority w:val="99"/>
    <w:qFormat/>
    <w:pPr>
      <w:spacing w:after="0" w:line="240" w:lineRule="auto"/>
      <w:ind w:left="720" w:hanging="720"/>
      <w:jc w:val="both"/>
    </w:pPr>
    <w:rPr>
      <w:rFonts w:ascii="Times New Roman" w:eastAsia="Times New Roman" w:hAnsi="Times New Roman" w:cs="Times New Roman"/>
      <w:sz w:val="20"/>
      <w:szCs w:val="20"/>
      <w:lang w:eastAsia="de-DE"/>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
    <w:basedOn w:val="DefaultParagraphFont"/>
    <w:link w:val="FootnoteText"/>
    <w:uiPriority w:val="99"/>
    <w:rPr>
      <w:rFonts w:ascii="Times New Roman" w:eastAsia="Times New Roman" w:hAnsi="Times New Roman" w:cs="Times New Roman"/>
      <w:sz w:val="20"/>
      <w:szCs w:val="20"/>
      <w:lang w:eastAsia="de-DE"/>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
    <w:qFormat/>
    <w:rPr>
      <w:vertAlign w:val="superscript"/>
    </w:rPr>
  </w:style>
  <w:style w:type="paragraph" w:customStyle="1" w:styleId="Tiret0">
    <w:name w:val="Tiret 0"/>
    <w:basedOn w:val="Normal"/>
    <w:uiPriority w:val="99"/>
    <w:pPr>
      <w:numPr>
        <w:numId w:val="1"/>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Text1">
    <w:name w:val="Text 1"/>
    <w:basedOn w:val="Normal"/>
    <w:qFormat/>
    <w:pPr>
      <w:spacing w:before="120" w:after="120" w:line="240" w:lineRule="auto"/>
      <w:ind w:left="850"/>
      <w:jc w:val="both"/>
    </w:pPr>
    <w:rPr>
      <w:rFonts w:ascii="Times New Roman" w:eastAsia="Times New Roman" w:hAnsi="Times New Roman" w:cs="Times New Roman"/>
      <w:sz w:val="24"/>
      <w:szCs w:val="24"/>
      <w:lang w:eastAsia="de-DE"/>
    </w:rPr>
  </w:style>
  <w:style w:type="character" w:styleId="CommentReference">
    <w:name w:val="annotation reference"/>
    <w:rPr>
      <w:sz w:val="16"/>
      <w:szCs w:val="16"/>
    </w:rPr>
  </w:style>
  <w:style w:type="paragraph" w:styleId="CommentText">
    <w:name w:val="annotation text"/>
    <w:basedOn w:val="Normal"/>
    <w:link w:val="CommentTextChar"/>
    <w:unhideWhenUsed/>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paragraph" w:styleId="TOC1">
    <w:name w:val="toc 1"/>
    <w:basedOn w:val="Normal"/>
    <w:next w:val="Normal"/>
    <w:autoRedefine/>
    <w:uiPriority w:val="39"/>
    <w:unhideWhenUsed/>
    <w:pPr>
      <w:spacing w:after="100"/>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pPr>
      <w:spacing w:after="0" w:line="240" w:lineRule="auto"/>
    </w:pPr>
  </w:style>
  <w:style w:type="character" w:customStyle="1" w:styleId="s2">
    <w:name w:val="s2"/>
    <w:basedOn w:val="DefaultParagraphFont"/>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9"/>
    <w:rPr>
      <w:rFonts w:ascii="Arial" w:eastAsia="Times New Roman" w:hAnsi="Arial" w:cs="Arial"/>
      <w:b/>
      <w:bCs/>
      <w:kern w:val="28"/>
      <w:sz w:val="28"/>
      <w:szCs w:val="28"/>
      <w:lang w:eastAsia="en-GB"/>
    </w:rPr>
  </w:style>
  <w:style w:type="character" w:customStyle="1" w:styleId="Heading2Char">
    <w:name w:val="Heading 2 Char"/>
    <w:basedOn w:val="DefaultParagraphFont"/>
    <w:link w:val="Heading2"/>
    <w:uiPriority w:val="99"/>
    <w:rPr>
      <w:rFonts w:ascii="Arial" w:eastAsia="Times New Roman" w:hAnsi="Arial" w:cs="Arial"/>
      <w:b/>
      <w:bCs/>
      <w:i/>
      <w:iCs/>
      <w:sz w:val="24"/>
      <w:szCs w:val="24"/>
      <w:lang w:eastAsia="en-GB"/>
    </w:rPr>
  </w:style>
  <w:style w:type="character" w:customStyle="1" w:styleId="Heading3Char">
    <w:name w:val="Heading 3 Char"/>
    <w:basedOn w:val="DefaultParagraphFont"/>
    <w:link w:val="Heading3"/>
    <w:uiPriority w:val="99"/>
    <w:rPr>
      <w:rFonts w:ascii="Arial" w:eastAsia="Times New Roman" w:hAnsi="Arial" w:cs="Arial"/>
      <w:sz w:val="24"/>
      <w:szCs w:val="24"/>
      <w:lang w:eastAsia="en-GB"/>
    </w:rPr>
  </w:style>
  <w:style w:type="character" w:customStyle="1" w:styleId="Heading4Char">
    <w:name w:val="Heading 4 Char"/>
    <w:basedOn w:val="DefaultParagraphFont"/>
    <w:link w:val="Heading4"/>
    <w:uiPriority w:val="99"/>
    <w:rPr>
      <w:rFonts w:ascii="Arial" w:eastAsia="Times New Roman" w:hAnsi="Arial" w:cs="Arial"/>
      <w:b/>
      <w:bCs/>
      <w:sz w:val="24"/>
      <w:szCs w:val="24"/>
      <w:lang w:eastAsia="en-GB"/>
    </w:rPr>
  </w:style>
  <w:style w:type="character" w:customStyle="1" w:styleId="Heading5Char">
    <w:name w:val="Heading 5 Char"/>
    <w:basedOn w:val="DefaultParagraphFont"/>
    <w:link w:val="Heading5"/>
    <w:uiPriority w:val="99"/>
    <w:rPr>
      <w:rFonts w:ascii="Arial" w:eastAsia="Times New Roman" w:hAnsi="Arial" w:cs="Arial"/>
      <w:lang w:eastAsia="en-GB"/>
    </w:rPr>
  </w:style>
  <w:style w:type="character" w:customStyle="1" w:styleId="Heading6Char">
    <w:name w:val="Heading 6 Char"/>
    <w:basedOn w:val="DefaultParagraphFont"/>
    <w:link w:val="Heading6"/>
    <w:uiPriority w:val="99"/>
    <w:rPr>
      <w:rFonts w:ascii="Arial" w:eastAsia="Times New Roman" w:hAnsi="Arial" w:cs="Arial"/>
      <w:lang w:eastAsia="en-GB"/>
    </w:rPr>
  </w:style>
  <w:style w:type="character" w:customStyle="1" w:styleId="Heading7Char">
    <w:name w:val="Heading 7 Char"/>
    <w:basedOn w:val="DefaultParagraphFont"/>
    <w:link w:val="Heading7"/>
    <w:uiPriority w:val="99"/>
    <w:rPr>
      <w:rFonts w:ascii="Arial" w:eastAsia="Times New Roman" w:hAnsi="Arial" w:cs="Arial"/>
      <w:lang w:eastAsia="en-GB"/>
    </w:rPr>
  </w:style>
  <w:style w:type="character" w:customStyle="1" w:styleId="Heading8Char">
    <w:name w:val="Heading 8 Char"/>
    <w:basedOn w:val="DefaultParagraphFont"/>
    <w:link w:val="Heading8"/>
    <w:uiPriority w:val="99"/>
    <w:rPr>
      <w:rFonts w:ascii="Arial" w:eastAsia="Times New Roman" w:hAnsi="Arial" w:cs="Arial"/>
      <w:spacing w:val="-2"/>
      <w:lang w:eastAsia="en-GB"/>
    </w:rPr>
  </w:style>
  <w:style w:type="character" w:customStyle="1" w:styleId="Heading9Char">
    <w:name w:val="Heading 9 Char"/>
    <w:basedOn w:val="DefaultParagraphFont"/>
    <w:link w:val="Heading9"/>
    <w:uiPriority w:val="99"/>
    <w:rPr>
      <w:rFonts w:ascii="Arial" w:eastAsia="Times New Roman" w:hAnsi="Arial" w:cs="Arial"/>
      <w:spacing w:val="-2"/>
      <w:lang w:eastAsia="en-GB"/>
    </w:rPr>
  </w:style>
  <w:style w:type="paragraph" w:customStyle="1" w:styleId="Article">
    <w:name w:val="Article"/>
    <w:basedOn w:val="Normal"/>
    <w:next w:val="Normal"/>
    <w:uiPriority w:val="99"/>
    <w:pPr>
      <w:keepNext/>
      <w:spacing w:before="480" w:after="120" w:line="240" w:lineRule="auto"/>
    </w:pPr>
    <w:rPr>
      <w:rFonts w:ascii="Times New Roman" w:eastAsia="Times New Roman" w:hAnsi="Times New Roman" w:cs="Times New Roman"/>
      <w:b/>
      <w:bCs/>
      <w:i/>
      <w:iCs/>
      <w:sz w:val="24"/>
      <w:szCs w:val="24"/>
      <w:lang w:eastAsia="en-GB"/>
    </w:rPr>
  </w:style>
  <w:style w:type="paragraph" w:customStyle="1" w:styleId="Figures">
    <w:name w:val="Figures"/>
    <w:basedOn w:val="Normal"/>
    <w:next w:val="Normal"/>
    <w:uiPriority w:val="99"/>
    <w:pPr>
      <w:keepNext/>
      <w:spacing w:before="120" w:after="120" w:line="240" w:lineRule="auto"/>
    </w:pPr>
    <w:rPr>
      <w:rFonts w:ascii="Times New Roman" w:eastAsia="Times New Roman" w:hAnsi="Times New Roman" w:cs="Times New Roman"/>
      <w:i/>
      <w:iCs/>
      <w:sz w:val="20"/>
      <w:szCs w:val="20"/>
      <w:lang w:eastAsia="en-GB"/>
    </w:rPr>
  </w:style>
  <w:style w:type="paragraph" w:customStyle="1" w:styleId="Remarks">
    <w:name w:val="Remarks"/>
    <w:basedOn w:val="Normal"/>
    <w:next w:val="Normal"/>
    <w:uiPriority w:val="99"/>
    <w:pPr>
      <w:keepNext/>
      <w:spacing w:before="120" w:after="120" w:line="240" w:lineRule="auto"/>
    </w:pPr>
    <w:rPr>
      <w:rFonts w:ascii="Times New Roman" w:eastAsia="Times New Roman" w:hAnsi="Times New Roman" w:cs="Times New Roman"/>
      <w:i/>
      <w:iCs/>
      <w:sz w:val="20"/>
      <w:szCs w:val="20"/>
      <w:lang w:eastAsia="en-GB"/>
    </w:rPr>
  </w:style>
  <w:style w:type="character" w:customStyle="1" w:styleId="ReusedInlineInfo">
    <w:name w:val="ReusedInlineInfo"/>
    <w:uiPriority w:val="99"/>
    <w:rPr>
      <w:sz w:val="16"/>
      <w:szCs w:val="16"/>
      <w:u w:val="dash"/>
      <w:shd w:val="clear" w:color="auto" w:fill="FF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pPr>
      <w:keepNext/>
      <w:numPr>
        <w:numId w:val="9"/>
      </w:numPr>
      <w:tabs>
        <w:tab w:val="num" w:pos="432"/>
      </w:tabs>
      <w:spacing w:before="480" w:after="120" w:line="240" w:lineRule="auto"/>
      <w:ind w:left="432" w:hanging="432"/>
      <w:outlineLvl w:val="0"/>
    </w:pPr>
    <w:rPr>
      <w:rFonts w:ascii="Arial" w:eastAsia="Times New Roman" w:hAnsi="Arial" w:cs="Arial"/>
      <w:b/>
      <w:bCs/>
      <w:kern w:val="28"/>
      <w:sz w:val="28"/>
      <w:szCs w:val="28"/>
      <w:lang w:eastAsia="en-GB"/>
    </w:rPr>
  </w:style>
  <w:style w:type="paragraph" w:styleId="Heading2">
    <w:name w:val="heading 2"/>
    <w:basedOn w:val="Normal"/>
    <w:next w:val="Normal"/>
    <w:link w:val="Heading2Char"/>
    <w:uiPriority w:val="99"/>
    <w:qFormat/>
    <w:pPr>
      <w:keepNext/>
      <w:numPr>
        <w:ilvl w:val="1"/>
        <w:numId w:val="9"/>
      </w:numPr>
      <w:tabs>
        <w:tab w:val="num" w:pos="576"/>
      </w:tabs>
      <w:spacing w:before="480" w:after="120" w:line="240" w:lineRule="auto"/>
      <w:ind w:left="576" w:hanging="576"/>
      <w:outlineLvl w:val="1"/>
    </w:pPr>
    <w:rPr>
      <w:rFonts w:ascii="Arial" w:eastAsia="Times New Roman" w:hAnsi="Arial" w:cs="Arial"/>
      <w:b/>
      <w:bCs/>
      <w:i/>
      <w:iCs/>
      <w:sz w:val="24"/>
      <w:szCs w:val="24"/>
      <w:lang w:eastAsia="en-GB"/>
    </w:rPr>
  </w:style>
  <w:style w:type="paragraph" w:styleId="Heading3">
    <w:name w:val="heading 3"/>
    <w:basedOn w:val="Normal"/>
    <w:next w:val="Normal"/>
    <w:link w:val="Heading3Char"/>
    <w:uiPriority w:val="99"/>
    <w:qFormat/>
    <w:pPr>
      <w:keepNext/>
      <w:numPr>
        <w:ilvl w:val="2"/>
        <w:numId w:val="9"/>
      </w:numPr>
      <w:tabs>
        <w:tab w:val="num" w:pos="720"/>
      </w:tabs>
      <w:spacing w:before="480" w:after="120" w:line="240" w:lineRule="auto"/>
      <w:ind w:left="720" w:hanging="720"/>
      <w:outlineLvl w:val="2"/>
    </w:pPr>
    <w:rPr>
      <w:rFonts w:ascii="Arial" w:eastAsia="Times New Roman" w:hAnsi="Arial" w:cs="Arial"/>
      <w:sz w:val="24"/>
      <w:szCs w:val="24"/>
      <w:lang w:eastAsia="en-GB"/>
    </w:rPr>
  </w:style>
  <w:style w:type="paragraph" w:styleId="Heading4">
    <w:name w:val="heading 4"/>
    <w:basedOn w:val="Normal"/>
    <w:next w:val="Normal"/>
    <w:link w:val="Heading4Char"/>
    <w:uiPriority w:val="99"/>
    <w:qFormat/>
    <w:pPr>
      <w:keepNext/>
      <w:numPr>
        <w:ilvl w:val="3"/>
        <w:numId w:val="9"/>
      </w:numPr>
      <w:tabs>
        <w:tab w:val="clear" w:pos="850"/>
        <w:tab w:val="num" w:pos="864"/>
      </w:tabs>
      <w:spacing w:before="480" w:after="120" w:line="240" w:lineRule="auto"/>
      <w:ind w:left="864" w:hanging="864"/>
      <w:outlineLvl w:val="3"/>
    </w:pPr>
    <w:rPr>
      <w:rFonts w:ascii="Arial" w:eastAsia="Times New Roman" w:hAnsi="Arial" w:cs="Arial"/>
      <w:b/>
      <w:bCs/>
      <w:sz w:val="24"/>
      <w:szCs w:val="24"/>
      <w:lang w:eastAsia="en-GB"/>
    </w:rPr>
  </w:style>
  <w:style w:type="paragraph" w:styleId="Heading5">
    <w:name w:val="heading 5"/>
    <w:basedOn w:val="Normal"/>
    <w:next w:val="Normal"/>
    <w:link w:val="Heading5Char"/>
    <w:uiPriority w:val="99"/>
    <w:qFormat/>
    <w:pPr>
      <w:keepNext/>
      <w:numPr>
        <w:ilvl w:val="4"/>
        <w:numId w:val="9"/>
      </w:numPr>
      <w:tabs>
        <w:tab w:val="num" w:pos="1008"/>
      </w:tabs>
      <w:spacing w:before="480" w:after="120" w:line="240" w:lineRule="auto"/>
      <w:ind w:left="1008" w:hanging="1008"/>
      <w:outlineLvl w:val="4"/>
    </w:pPr>
    <w:rPr>
      <w:rFonts w:ascii="Arial" w:eastAsia="Times New Roman" w:hAnsi="Arial" w:cs="Arial"/>
      <w:lang w:eastAsia="en-GB"/>
    </w:rPr>
  </w:style>
  <w:style w:type="paragraph" w:styleId="Heading6">
    <w:name w:val="heading 6"/>
    <w:basedOn w:val="Normal"/>
    <w:next w:val="Normal"/>
    <w:link w:val="Heading6Char"/>
    <w:uiPriority w:val="99"/>
    <w:qFormat/>
    <w:pPr>
      <w:keepNext/>
      <w:numPr>
        <w:ilvl w:val="5"/>
        <w:numId w:val="9"/>
      </w:numPr>
      <w:tabs>
        <w:tab w:val="num" w:pos="1152"/>
      </w:tabs>
      <w:spacing w:before="120" w:after="80" w:line="240" w:lineRule="auto"/>
      <w:ind w:left="1152" w:hanging="1152"/>
      <w:outlineLvl w:val="5"/>
    </w:pPr>
    <w:rPr>
      <w:rFonts w:ascii="Arial" w:eastAsia="Times New Roman" w:hAnsi="Arial" w:cs="Arial"/>
      <w:lang w:eastAsia="en-GB"/>
    </w:rPr>
  </w:style>
  <w:style w:type="paragraph" w:styleId="Heading7">
    <w:name w:val="heading 7"/>
    <w:basedOn w:val="Normal"/>
    <w:next w:val="Normal"/>
    <w:link w:val="Heading7Char"/>
    <w:uiPriority w:val="99"/>
    <w:qFormat/>
    <w:pPr>
      <w:keepNext/>
      <w:numPr>
        <w:ilvl w:val="6"/>
        <w:numId w:val="9"/>
      </w:numPr>
      <w:tabs>
        <w:tab w:val="num" w:pos="1296"/>
      </w:tabs>
      <w:spacing w:before="80" w:after="60" w:line="240" w:lineRule="auto"/>
      <w:ind w:left="1296" w:hanging="1296"/>
      <w:outlineLvl w:val="6"/>
    </w:pPr>
    <w:rPr>
      <w:rFonts w:ascii="Arial" w:eastAsia="Times New Roman" w:hAnsi="Arial" w:cs="Arial"/>
      <w:lang w:eastAsia="en-GB"/>
    </w:rPr>
  </w:style>
  <w:style w:type="paragraph" w:styleId="Heading8">
    <w:name w:val="heading 8"/>
    <w:basedOn w:val="Normal"/>
    <w:next w:val="Normal"/>
    <w:link w:val="Heading8Char"/>
    <w:uiPriority w:val="99"/>
    <w:qFormat/>
    <w:pPr>
      <w:keepNext/>
      <w:numPr>
        <w:ilvl w:val="7"/>
        <w:numId w:val="9"/>
      </w:numPr>
      <w:tabs>
        <w:tab w:val="num" w:pos="1440"/>
      </w:tabs>
      <w:spacing w:after="0" w:line="240" w:lineRule="auto"/>
      <w:ind w:left="1440" w:hanging="1440"/>
      <w:outlineLvl w:val="7"/>
    </w:pPr>
    <w:rPr>
      <w:rFonts w:ascii="Arial" w:eastAsia="Times New Roman" w:hAnsi="Arial" w:cs="Arial"/>
      <w:spacing w:val="-2"/>
      <w:lang w:eastAsia="en-GB"/>
    </w:rPr>
  </w:style>
  <w:style w:type="paragraph" w:styleId="Heading9">
    <w:name w:val="heading 9"/>
    <w:basedOn w:val="Normal"/>
    <w:next w:val="Normal"/>
    <w:link w:val="Heading9Char"/>
    <w:uiPriority w:val="99"/>
    <w:qFormat/>
    <w:pPr>
      <w:keepNext/>
      <w:numPr>
        <w:ilvl w:val="8"/>
        <w:numId w:val="9"/>
      </w:numPr>
      <w:tabs>
        <w:tab w:val="num" w:pos="1584"/>
      </w:tabs>
      <w:spacing w:after="0" w:line="240" w:lineRule="auto"/>
      <w:ind w:left="1584" w:hanging="1584"/>
      <w:outlineLvl w:val="8"/>
    </w:pPr>
    <w:rPr>
      <w:rFonts w:ascii="Arial" w:eastAsia="Times New Roman" w:hAnsi="Arial" w:cs="Arial"/>
      <w:spacing w:val="-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Char Char Char Char Char Char,Char Char Char"/>
    <w:basedOn w:val="Normal"/>
    <w:link w:val="FootnoteTextChar"/>
    <w:uiPriority w:val="99"/>
    <w:qFormat/>
    <w:pPr>
      <w:spacing w:after="0" w:line="240" w:lineRule="auto"/>
      <w:ind w:left="720" w:hanging="720"/>
      <w:jc w:val="both"/>
    </w:pPr>
    <w:rPr>
      <w:rFonts w:ascii="Times New Roman" w:eastAsia="Times New Roman" w:hAnsi="Times New Roman" w:cs="Times New Roman"/>
      <w:sz w:val="20"/>
      <w:szCs w:val="20"/>
      <w:lang w:eastAsia="de-DE"/>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
    <w:basedOn w:val="DefaultParagraphFont"/>
    <w:link w:val="FootnoteText"/>
    <w:uiPriority w:val="99"/>
    <w:rPr>
      <w:rFonts w:ascii="Times New Roman" w:eastAsia="Times New Roman" w:hAnsi="Times New Roman" w:cs="Times New Roman"/>
      <w:sz w:val="20"/>
      <w:szCs w:val="20"/>
      <w:lang w:eastAsia="de-DE"/>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
    <w:qFormat/>
    <w:rPr>
      <w:vertAlign w:val="superscript"/>
    </w:rPr>
  </w:style>
  <w:style w:type="paragraph" w:customStyle="1" w:styleId="Tiret0">
    <w:name w:val="Tiret 0"/>
    <w:basedOn w:val="Normal"/>
    <w:uiPriority w:val="99"/>
    <w:pPr>
      <w:numPr>
        <w:numId w:val="1"/>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Text1">
    <w:name w:val="Text 1"/>
    <w:basedOn w:val="Normal"/>
    <w:qFormat/>
    <w:pPr>
      <w:spacing w:before="120" w:after="120" w:line="240" w:lineRule="auto"/>
      <w:ind w:left="850"/>
      <w:jc w:val="both"/>
    </w:pPr>
    <w:rPr>
      <w:rFonts w:ascii="Times New Roman" w:eastAsia="Times New Roman" w:hAnsi="Times New Roman" w:cs="Times New Roman"/>
      <w:sz w:val="24"/>
      <w:szCs w:val="24"/>
      <w:lang w:eastAsia="de-DE"/>
    </w:rPr>
  </w:style>
  <w:style w:type="character" w:styleId="CommentReference">
    <w:name w:val="annotation reference"/>
    <w:rPr>
      <w:sz w:val="16"/>
      <w:szCs w:val="16"/>
    </w:rPr>
  </w:style>
  <w:style w:type="paragraph" w:styleId="CommentText">
    <w:name w:val="annotation text"/>
    <w:basedOn w:val="Normal"/>
    <w:link w:val="CommentTextChar"/>
    <w:unhideWhenUsed/>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paragraph" w:styleId="TOC1">
    <w:name w:val="toc 1"/>
    <w:basedOn w:val="Normal"/>
    <w:next w:val="Normal"/>
    <w:autoRedefine/>
    <w:uiPriority w:val="39"/>
    <w:unhideWhenUsed/>
    <w:pPr>
      <w:spacing w:after="100"/>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pPr>
      <w:spacing w:after="0" w:line="240" w:lineRule="auto"/>
    </w:pPr>
  </w:style>
  <w:style w:type="character" w:customStyle="1" w:styleId="s2">
    <w:name w:val="s2"/>
    <w:basedOn w:val="DefaultParagraphFont"/>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9"/>
    <w:rPr>
      <w:rFonts w:ascii="Arial" w:eastAsia="Times New Roman" w:hAnsi="Arial" w:cs="Arial"/>
      <w:b/>
      <w:bCs/>
      <w:kern w:val="28"/>
      <w:sz w:val="28"/>
      <w:szCs w:val="28"/>
      <w:lang w:eastAsia="en-GB"/>
    </w:rPr>
  </w:style>
  <w:style w:type="character" w:customStyle="1" w:styleId="Heading2Char">
    <w:name w:val="Heading 2 Char"/>
    <w:basedOn w:val="DefaultParagraphFont"/>
    <w:link w:val="Heading2"/>
    <w:uiPriority w:val="99"/>
    <w:rPr>
      <w:rFonts w:ascii="Arial" w:eastAsia="Times New Roman" w:hAnsi="Arial" w:cs="Arial"/>
      <w:b/>
      <w:bCs/>
      <w:i/>
      <w:iCs/>
      <w:sz w:val="24"/>
      <w:szCs w:val="24"/>
      <w:lang w:eastAsia="en-GB"/>
    </w:rPr>
  </w:style>
  <w:style w:type="character" w:customStyle="1" w:styleId="Heading3Char">
    <w:name w:val="Heading 3 Char"/>
    <w:basedOn w:val="DefaultParagraphFont"/>
    <w:link w:val="Heading3"/>
    <w:uiPriority w:val="99"/>
    <w:rPr>
      <w:rFonts w:ascii="Arial" w:eastAsia="Times New Roman" w:hAnsi="Arial" w:cs="Arial"/>
      <w:sz w:val="24"/>
      <w:szCs w:val="24"/>
      <w:lang w:eastAsia="en-GB"/>
    </w:rPr>
  </w:style>
  <w:style w:type="character" w:customStyle="1" w:styleId="Heading4Char">
    <w:name w:val="Heading 4 Char"/>
    <w:basedOn w:val="DefaultParagraphFont"/>
    <w:link w:val="Heading4"/>
    <w:uiPriority w:val="99"/>
    <w:rPr>
      <w:rFonts w:ascii="Arial" w:eastAsia="Times New Roman" w:hAnsi="Arial" w:cs="Arial"/>
      <w:b/>
      <w:bCs/>
      <w:sz w:val="24"/>
      <w:szCs w:val="24"/>
      <w:lang w:eastAsia="en-GB"/>
    </w:rPr>
  </w:style>
  <w:style w:type="character" w:customStyle="1" w:styleId="Heading5Char">
    <w:name w:val="Heading 5 Char"/>
    <w:basedOn w:val="DefaultParagraphFont"/>
    <w:link w:val="Heading5"/>
    <w:uiPriority w:val="99"/>
    <w:rPr>
      <w:rFonts w:ascii="Arial" w:eastAsia="Times New Roman" w:hAnsi="Arial" w:cs="Arial"/>
      <w:lang w:eastAsia="en-GB"/>
    </w:rPr>
  </w:style>
  <w:style w:type="character" w:customStyle="1" w:styleId="Heading6Char">
    <w:name w:val="Heading 6 Char"/>
    <w:basedOn w:val="DefaultParagraphFont"/>
    <w:link w:val="Heading6"/>
    <w:uiPriority w:val="99"/>
    <w:rPr>
      <w:rFonts w:ascii="Arial" w:eastAsia="Times New Roman" w:hAnsi="Arial" w:cs="Arial"/>
      <w:lang w:eastAsia="en-GB"/>
    </w:rPr>
  </w:style>
  <w:style w:type="character" w:customStyle="1" w:styleId="Heading7Char">
    <w:name w:val="Heading 7 Char"/>
    <w:basedOn w:val="DefaultParagraphFont"/>
    <w:link w:val="Heading7"/>
    <w:uiPriority w:val="99"/>
    <w:rPr>
      <w:rFonts w:ascii="Arial" w:eastAsia="Times New Roman" w:hAnsi="Arial" w:cs="Arial"/>
      <w:lang w:eastAsia="en-GB"/>
    </w:rPr>
  </w:style>
  <w:style w:type="character" w:customStyle="1" w:styleId="Heading8Char">
    <w:name w:val="Heading 8 Char"/>
    <w:basedOn w:val="DefaultParagraphFont"/>
    <w:link w:val="Heading8"/>
    <w:uiPriority w:val="99"/>
    <w:rPr>
      <w:rFonts w:ascii="Arial" w:eastAsia="Times New Roman" w:hAnsi="Arial" w:cs="Arial"/>
      <w:spacing w:val="-2"/>
      <w:lang w:eastAsia="en-GB"/>
    </w:rPr>
  </w:style>
  <w:style w:type="character" w:customStyle="1" w:styleId="Heading9Char">
    <w:name w:val="Heading 9 Char"/>
    <w:basedOn w:val="DefaultParagraphFont"/>
    <w:link w:val="Heading9"/>
    <w:uiPriority w:val="99"/>
    <w:rPr>
      <w:rFonts w:ascii="Arial" w:eastAsia="Times New Roman" w:hAnsi="Arial" w:cs="Arial"/>
      <w:spacing w:val="-2"/>
      <w:lang w:eastAsia="en-GB"/>
    </w:rPr>
  </w:style>
  <w:style w:type="paragraph" w:customStyle="1" w:styleId="Article">
    <w:name w:val="Article"/>
    <w:basedOn w:val="Normal"/>
    <w:next w:val="Normal"/>
    <w:uiPriority w:val="99"/>
    <w:pPr>
      <w:keepNext/>
      <w:spacing w:before="480" w:after="120" w:line="240" w:lineRule="auto"/>
    </w:pPr>
    <w:rPr>
      <w:rFonts w:ascii="Times New Roman" w:eastAsia="Times New Roman" w:hAnsi="Times New Roman" w:cs="Times New Roman"/>
      <w:b/>
      <w:bCs/>
      <w:i/>
      <w:iCs/>
      <w:sz w:val="24"/>
      <w:szCs w:val="24"/>
      <w:lang w:eastAsia="en-GB"/>
    </w:rPr>
  </w:style>
  <w:style w:type="paragraph" w:customStyle="1" w:styleId="Figures">
    <w:name w:val="Figures"/>
    <w:basedOn w:val="Normal"/>
    <w:next w:val="Normal"/>
    <w:uiPriority w:val="99"/>
    <w:pPr>
      <w:keepNext/>
      <w:spacing w:before="120" w:after="120" w:line="240" w:lineRule="auto"/>
    </w:pPr>
    <w:rPr>
      <w:rFonts w:ascii="Times New Roman" w:eastAsia="Times New Roman" w:hAnsi="Times New Roman" w:cs="Times New Roman"/>
      <w:i/>
      <w:iCs/>
      <w:sz w:val="20"/>
      <w:szCs w:val="20"/>
      <w:lang w:eastAsia="en-GB"/>
    </w:rPr>
  </w:style>
  <w:style w:type="paragraph" w:customStyle="1" w:styleId="Remarks">
    <w:name w:val="Remarks"/>
    <w:basedOn w:val="Normal"/>
    <w:next w:val="Normal"/>
    <w:uiPriority w:val="99"/>
    <w:pPr>
      <w:keepNext/>
      <w:spacing w:before="120" w:after="120" w:line="240" w:lineRule="auto"/>
    </w:pPr>
    <w:rPr>
      <w:rFonts w:ascii="Times New Roman" w:eastAsia="Times New Roman" w:hAnsi="Times New Roman" w:cs="Times New Roman"/>
      <w:i/>
      <w:iCs/>
      <w:sz w:val="20"/>
      <w:szCs w:val="20"/>
      <w:lang w:eastAsia="en-GB"/>
    </w:rPr>
  </w:style>
  <w:style w:type="character" w:customStyle="1" w:styleId="ReusedInlineInfo">
    <w:name w:val="ReusedInlineInfo"/>
    <w:uiPriority w:val="99"/>
    <w:rPr>
      <w:sz w:val="16"/>
      <w:szCs w:val="16"/>
      <w:u w:val="dash"/>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0773">
      <w:bodyDiv w:val="1"/>
      <w:marLeft w:val="0"/>
      <w:marRight w:val="0"/>
      <w:marTop w:val="0"/>
      <w:marBottom w:val="0"/>
      <w:divBdr>
        <w:top w:val="none" w:sz="0" w:space="0" w:color="auto"/>
        <w:left w:val="none" w:sz="0" w:space="0" w:color="auto"/>
        <w:bottom w:val="none" w:sz="0" w:space="0" w:color="auto"/>
        <w:right w:val="none" w:sz="0" w:space="0" w:color="auto"/>
      </w:divBdr>
    </w:div>
    <w:div w:id="293603373">
      <w:bodyDiv w:val="1"/>
      <w:marLeft w:val="0"/>
      <w:marRight w:val="0"/>
      <w:marTop w:val="0"/>
      <w:marBottom w:val="0"/>
      <w:divBdr>
        <w:top w:val="none" w:sz="0" w:space="0" w:color="auto"/>
        <w:left w:val="none" w:sz="0" w:space="0" w:color="auto"/>
        <w:bottom w:val="none" w:sz="0" w:space="0" w:color="auto"/>
        <w:right w:val="none" w:sz="0" w:space="0" w:color="auto"/>
      </w:divBdr>
    </w:div>
    <w:div w:id="421074732">
      <w:bodyDiv w:val="1"/>
      <w:marLeft w:val="0"/>
      <w:marRight w:val="0"/>
      <w:marTop w:val="0"/>
      <w:marBottom w:val="0"/>
      <w:divBdr>
        <w:top w:val="none" w:sz="0" w:space="0" w:color="auto"/>
        <w:left w:val="none" w:sz="0" w:space="0" w:color="auto"/>
        <w:bottom w:val="none" w:sz="0" w:space="0" w:color="auto"/>
        <w:right w:val="none" w:sz="0" w:space="0" w:color="auto"/>
      </w:divBdr>
    </w:div>
    <w:div w:id="512379009">
      <w:bodyDiv w:val="1"/>
      <w:marLeft w:val="0"/>
      <w:marRight w:val="0"/>
      <w:marTop w:val="0"/>
      <w:marBottom w:val="0"/>
      <w:divBdr>
        <w:top w:val="none" w:sz="0" w:space="0" w:color="auto"/>
        <w:left w:val="none" w:sz="0" w:space="0" w:color="auto"/>
        <w:bottom w:val="none" w:sz="0" w:space="0" w:color="auto"/>
        <w:right w:val="none" w:sz="0" w:space="0" w:color="auto"/>
      </w:divBdr>
    </w:div>
    <w:div w:id="620653317">
      <w:bodyDiv w:val="1"/>
      <w:marLeft w:val="0"/>
      <w:marRight w:val="0"/>
      <w:marTop w:val="0"/>
      <w:marBottom w:val="0"/>
      <w:divBdr>
        <w:top w:val="none" w:sz="0" w:space="0" w:color="auto"/>
        <w:left w:val="none" w:sz="0" w:space="0" w:color="auto"/>
        <w:bottom w:val="none" w:sz="0" w:space="0" w:color="auto"/>
        <w:right w:val="none" w:sz="0" w:space="0" w:color="auto"/>
      </w:divBdr>
    </w:div>
    <w:div w:id="748190431">
      <w:bodyDiv w:val="1"/>
      <w:marLeft w:val="0"/>
      <w:marRight w:val="0"/>
      <w:marTop w:val="0"/>
      <w:marBottom w:val="0"/>
      <w:divBdr>
        <w:top w:val="none" w:sz="0" w:space="0" w:color="auto"/>
        <w:left w:val="none" w:sz="0" w:space="0" w:color="auto"/>
        <w:bottom w:val="none" w:sz="0" w:space="0" w:color="auto"/>
        <w:right w:val="none" w:sz="0" w:space="0" w:color="auto"/>
      </w:divBdr>
    </w:div>
    <w:div w:id="834229672">
      <w:bodyDiv w:val="1"/>
      <w:marLeft w:val="0"/>
      <w:marRight w:val="0"/>
      <w:marTop w:val="0"/>
      <w:marBottom w:val="0"/>
      <w:divBdr>
        <w:top w:val="none" w:sz="0" w:space="0" w:color="auto"/>
        <w:left w:val="none" w:sz="0" w:space="0" w:color="auto"/>
        <w:bottom w:val="none" w:sz="0" w:space="0" w:color="auto"/>
        <w:right w:val="none" w:sz="0" w:space="0" w:color="auto"/>
      </w:divBdr>
    </w:div>
    <w:div w:id="908539872">
      <w:bodyDiv w:val="1"/>
      <w:marLeft w:val="0"/>
      <w:marRight w:val="0"/>
      <w:marTop w:val="0"/>
      <w:marBottom w:val="0"/>
      <w:divBdr>
        <w:top w:val="none" w:sz="0" w:space="0" w:color="auto"/>
        <w:left w:val="none" w:sz="0" w:space="0" w:color="auto"/>
        <w:bottom w:val="none" w:sz="0" w:space="0" w:color="auto"/>
        <w:right w:val="none" w:sz="0" w:space="0" w:color="auto"/>
      </w:divBdr>
    </w:div>
    <w:div w:id="1266380381">
      <w:bodyDiv w:val="1"/>
      <w:marLeft w:val="0"/>
      <w:marRight w:val="0"/>
      <w:marTop w:val="0"/>
      <w:marBottom w:val="0"/>
      <w:divBdr>
        <w:top w:val="none" w:sz="0" w:space="0" w:color="auto"/>
        <w:left w:val="none" w:sz="0" w:space="0" w:color="auto"/>
        <w:bottom w:val="none" w:sz="0" w:space="0" w:color="auto"/>
        <w:right w:val="none" w:sz="0" w:space="0" w:color="auto"/>
      </w:divBdr>
    </w:div>
    <w:div w:id="1670866045">
      <w:bodyDiv w:val="1"/>
      <w:marLeft w:val="0"/>
      <w:marRight w:val="0"/>
      <w:marTop w:val="0"/>
      <w:marBottom w:val="0"/>
      <w:divBdr>
        <w:top w:val="none" w:sz="0" w:space="0" w:color="auto"/>
        <w:left w:val="none" w:sz="0" w:space="0" w:color="auto"/>
        <w:bottom w:val="none" w:sz="0" w:space="0" w:color="auto"/>
        <w:right w:val="none" w:sz="0" w:space="0" w:color="auto"/>
      </w:divBdr>
    </w:div>
    <w:div w:id="1738045847">
      <w:bodyDiv w:val="1"/>
      <w:marLeft w:val="0"/>
      <w:marRight w:val="0"/>
      <w:marTop w:val="0"/>
      <w:marBottom w:val="0"/>
      <w:divBdr>
        <w:top w:val="none" w:sz="0" w:space="0" w:color="auto"/>
        <w:left w:val="none" w:sz="0" w:space="0" w:color="auto"/>
        <w:bottom w:val="none" w:sz="0" w:space="0" w:color="auto"/>
        <w:right w:val="none" w:sz="0" w:space="0" w:color="auto"/>
      </w:divBdr>
    </w:div>
    <w:div w:id="1796408582">
      <w:bodyDiv w:val="1"/>
      <w:marLeft w:val="0"/>
      <w:marRight w:val="0"/>
      <w:marTop w:val="0"/>
      <w:marBottom w:val="0"/>
      <w:divBdr>
        <w:top w:val="none" w:sz="0" w:space="0" w:color="auto"/>
        <w:left w:val="none" w:sz="0" w:space="0" w:color="auto"/>
        <w:bottom w:val="none" w:sz="0" w:space="0" w:color="auto"/>
        <w:right w:val="none" w:sz="0" w:space="0" w:color="auto"/>
      </w:divBdr>
    </w:div>
    <w:div w:id="1845901953">
      <w:bodyDiv w:val="1"/>
      <w:marLeft w:val="0"/>
      <w:marRight w:val="0"/>
      <w:marTop w:val="0"/>
      <w:marBottom w:val="0"/>
      <w:divBdr>
        <w:top w:val="none" w:sz="0" w:space="0" w:color="auto"/>
        <w:left w:val="none" w:sz="0" w:space="0" w:color="auto"/>
        <w:bottom w:val="none" w:sz="0" w:space="0" w:color="auto"/>
        <w:right w:val="none" w:sz="0" w:space="0" w:color="auto"/>
      </w:divBdr>
    </w:div>
    <w:div w:id="208012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eader" Target="header13.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eader" Target="header11.xml"/><Relationship Id="rId42" Type="http://schemas.openxmlformats.org/officeDocument/2006/relationships/footer" Target="footer1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2.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eur-lex.europa.eu/budget/www/index-sl.htm" TargetMode="External"/><Relationship Id="rId29" Type="http://schemas.openxmlformats.org/officeDocument/2006/relationships/footer" Target="footer7.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header" Target="header14.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footer" Target="footer11.xm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header" Target="header9.xml"/><Relationship Id="rId44"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0.xml"/><Relationship Id="rId43"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llaborative Document" ma:contentTypeID="0x010100258AA79CEB83498886A3A08681123250005B26C1F49889DF4FB58022634B30FA7100ED1E91EEBF4B8B45A53D14591E83EDB5" ma:contentTypeVersion="12" ma:contentTypeDescription="" ma:contentTypeScope="" ma:versionID="143435aff0b3f800f05082df0be03e32">
  <xsd:schema xmlns:xsd="http://www.w3.org/2001/XMLSchema" xmlns:xs="http://www.w3.org/2001/XMLSchema" xmlns:p="http://schemas.microsoft.com/office/2006/metadata/properties" xmlns:ns1="94b25300-4064-41ed-91a4-d5070ec118b5" xmlns:ns4="16720daa-94aa-442b-b2b3-a8447496a7c4" xmlns:ns5="b9a1bbf4-3872-40cb-a1a3-b88a292b9176" targetNamespace="http://schemas.microsoft.com/office/2006/metadata/properties" ma:root="true" ma:fieldsID="29896586c1c30e6e032f20dc8e295020" ns1:_="" ns4:_="" ns5:_="">
    <xsd:import namespace="94b25300-4064-41ed-91a4-d5070ec118b5"/>
    <xsd:import namespace="16720daa-94aa-442b-b2b3-a8447496a7c4"/>
    <xsd:import namespace="b9a1bbf4-3872-40cb-a1a3-b88a292b9176"/>
    <xsd:element name="properties">
      <xsd:complexType>
        <xsd:sequence>
          <xsd:element name="documentManagement">
            <xsd:complexType>
              <xsd:all>
                <xsd:element ref="ns1:Budgetary_x0020_Year"/>
                <xsd:element ref="ns1:Collaborative_x0020_Document_x0020_Type"/>
                <xsd:element ref="ns4:EC_Collab_Reference" minOccurs="0"/>
                <xsd:element ref="ns4:EC_Collab_DocumentLanguage"/>
                <xsd:element ref="ns4:EC_Collab_Status"/>
                <xsd:element ref="ns1:Collaborative_x0020_Document_x0020_Active" minOccurs="0"/>
                <xsd:element ref="ns1:Collaborative_x0020_Document_x0020_Message" minOccurs="0"/>
                <xsd:element ref="ns1:Collaborative_x0020_Document_x0020_Locke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25300-4064-41ed-91a4-d5070ec118b5" elementFormDefault="qualified">
    <xsd:import namespace="http://schemas.microsoft.com/office/2006/documentManagement/types"/>
    <xsd:import namespace="http://schemas.microsoft.com/office/infopath/2007/PartnerControls"/>
    <xsd:element name="Budgetary_x0020_Year" ma:index="0" ma:displayName="Budgetary Year" ma:format="Dropdown" ma:internalName="Budgetary_x0020_Year">
      <xsd:simpleType>
        <xsd:restriction base="dms:Choice">
          <xsd:enumeration value="2024"/>
          <xsd:enumeration value="2023"/>
          <xsd:enumeration value="2022"/>
          <xsd:enumeration value="2021"/>
          <xsd:enumeration value="2020"/>
          <xsd:enumeration value="2019"/>
          <xsd:enumeration value="2018"/>
        </xsd:restriction>
      </xsd:simpleType>
    </xsd:element>
    <xsd:element name="Collaborative_x0020_Document_x0020_Type" ma:index="1" ma:displayName="Collaborative Document Type" ma:format="Dropdown" ma:internalName="Collaborative_x0020_Document_x0020_Type">
      <xsd:simpleType>
        <xsd:restriction base="dms:Choice">
          <xsd:enumeration value="BBTF"/>
          <xsd:enumeration value="GUID"/>
          <xsd:enumeration value="REMARKS"/>
          <xsd:enumeration value="HEARING"/>
          <xsd:enumeration value="DOC I"/>
          <xsd:enumeration value="DOC II"/>
          <xsd:enumeration value="PROC"/>
          <xsd:enumeration value="ASSIST"/>
          <xsd:enumeration value="DEC"/>
          <xsd:enumeration value="TUFP"/>
          <xsd:enumeration value="MISC"/>
        </xsd:restriction>
      </xsd:simpleType>
    </xsd:element>
    <xsd:element name="Collaborative_x0020_Document_x0020_Active" ma:index="11" nillable="true" ma:displayName="Active" ma:default="1" ma:internalName="Collaborative_x0020_Document_x0020_Active">
      <xsd:simpleType>
        <xsd:restriction base="dms:Boolean"/>
      </xsd:simpleType>
    </xsd:element>
    <xsd:element name="Collaborative_x0020_Document_x0020_Message" ma:index="12" nillable="true" ma:displayName="Message" ma:internalName="Collaborative_x0020_Document_x0020_Message">
      <xsd:simpleType>
        <xsd:restriction base="dms:Text">
          <xsd:maxLength value="255"/>
        </xsd:restriction>
      </xsd:simpleType>
    </xsd:element>
    <xsd:element name="Collaborative_x0020_Document_x0020_Locked" ma:index="13" nillable="true" ma:displayName="Locked" ma:default="0" ma:internalName="Collaborative_x0020_Document_x0020_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720daa-94aa-442b-b2b3-a8447496a7c4" elementFormDefault="qualified">
    <xsd:import namespace="http://schemas.microsoft.com/office/2006/documentManagement/types"/>
    <xsd:import namespace="http://schemas.microsoft.com/office/infopath/2007/PartnerControls"/>
    <xsd:element name="EC_Collab_Reference" ma:index="8" nillable="true" ma:displayName="Reference" ma:internalName="EC_Collab_Reference">
      <xsd:simpleType>
        <xsd:restriction base="dms:Text"/>
      </xsd:simpleType>
    </xsd:element>
    <xsd:element name="EC_Collab_DocumentLanguage" ma:index="9"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0"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b9a1bbf4-3872-40cb-a1a3-b88a292b9176"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hor"/>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ma:index="4" ma:displayName="Subject"/>
        <xsd:element ref="dc:description" minOccurs="0" maxOccurs="1" ma:index="7" ma:displayName="Comments"/>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9a1bbf4-3872-40cb-a1a3-b88a292b9176">NHRUTF4F6DR2-724426890-415</_dlc_DocId>
    <_dlc_DocIdUrl xmlns="b9a1bbf4-3872-40cb-a1a3-b88a292b9176">
      <Url>https://myintracomm-collab.ec.europa.eu/dg/budg/unit-a1-site/AxCollaborativeSite/_layouts/15/DocIdRedir.aspx?ID=NHRUTF4F6DR2-724426890-415</Url>
      <Description>NHRUTF4F6DR2-724426890-415</Description>
    </_dlc_DocIdUrl>
    <EC_Collab_Reference xmlns="16720daa-94aa-442b-b2b3-a8447496a7c4" xsi:nil="true"/>
    <EC_Collab_DocumentLanguage xmlns="16720daa-94aa-442b-b2b3-a8447496a7c4">EN</EC_Collab_DocumentLanguage>
    <EC_Collab_Status xmlns="16720daa-94aa-442b-b2b3-a8447496a7c4">Not Started</EC_Collab_Status>
    <Budgetary_x0020_Year xmlns="94b25300-4064-41ed-91a4-d5070ec118b5">2022</Budgetary_x0020_Year>
    <Collaborative_x0020_Document_x0020_Type xmlns="94b25300-4064-41ed-91a4-d5070ec118b5">PROC</Collaborative_x0020_Document_x0020_Type>
    <Collaborative_x0020_Document_x0020_Active xmlns="94b25300-4064-41ed-91a4-d5070ec118b5">true</Collaborative_x0020_Document_x0020_Active>
    <Collaborative_x0020_Document_x0020_Message xmlns="94b25300-4064-41ed-91a4-d5070ec118b5" xsi:nil="true"/>
    <Collaborative_x0020_Document_x0020_Locked xmlns="94b25300-4064-41ed-91a4-d5070ec118b5">false</Collaborative_x0020_Document_x0020_Locked>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1463515-4532-4570-B96F-988BCD201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25300-4064-41ed-91a4-d5070ec118b5"/>
    <ds:schemaRef ds:uri="16720daa-94aa-442b-b2b3-a8447496a7c4"/>
    <ds:schemaRef ds:uri="b9a1bbf4-3872-40cb-a1a3-b88a292b9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7C33C5-153A-4B34-B33A-8BB53B58066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9a1bbf4-3872-40cb-a1a3-b88a292b9176"/>
    <ds:schemaRef ds:uri="94b25300-4064-41ed-91a4-d5070ec118b5"/>
    <ds:schemaRef ds:uri="http://purl.org/dc/terms/"/>
    <ds:schemaRef ds:uri="http://schemas.openxmlformats.org/package/2006/metadata/core-properties"/>
    <ds:schemaRef ds:uri="16720daa-94aa-442b-b2b3-a8447496a7c4"/>
    <ds:schemaRef ds:uri="http://www.w3.org/XML/1998/namespace"/>
    <ds:schemaRef ds:uri="http://purl.org/dc/dcmitype/"/>
  </ds:schemaRefs>
</ds:datastoreItem>
</file>

<file path=customXml/itemProps3.xml><?xml version="1.0" encoding="utf-8"?>
<ds:datastoreItem xmlns:ds="http://schemas.openxmlformats.org/officeDocument/2006/customXml" ds:itemID="{B659711C-0F4E-42A1-BCBD-51E2F4C9BEF1}">
  <ds:schemaRefs>
    <ds:schemaRef ds:uri="http://schemas.microsoft.com/sharepoint/v3/contenttype/forms"/>
  </ds:schemaRefs>
</ds:datastoreItem>
</file>

<file path=customXml/itemProps4.xml><?xml version="1.0" encoding="utf-8"?>
<ds:datastoreItem xmlns:ds="http://schemas.openxmlformats.org/officeDocument/2006/customXml" ds:itemID="{4C5F6DC2-07B3-4785-8616-4822A4B79C02}">
  <ds:schemaRefs>
    <ds:schemaRef ds:uri="http://schemas.microsoft.com/sharepoint/events"/>
  </ds:schemaRefs>
</ds:datastoreItem>
</file>

<file path=customXml/itemProps5.xml><?xml version="1.0" encoding="utf-8"?>
<ds:datastoreItem xmlns:ds="http://schemas.openxmlformats.org/officeDocument/2006/customXml" ds:itemID="{4F374B79-55FC-4340-A901-4D1A26B0E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8</Pages>
  <Words>4423</Words>
  <Characters>21852</Characters>
  <Application>Microsoft Office Word</Application>
  <DocSecurity>0</DocSecurity>
  <Lines>1456</Lines>
  <Paragraphs>1050</Paragraphs>
  <ScaleCrop>false</ScaleCrop>
  <HeadingPairs>
    <vt:vector size="2" baseType="variant">
      <vt:variant>
        <vt:lpstr>Title</vt:lpstr>
      </vt:variant>
      <vt:variant>
        <vt:i4>1</vt:i4>
      </vt:variant>
    </vt:vector>
  </HeadingPairs>
  <TitlesOfParts>
    <vt:vector size="1" baseType="lpstr">
      <vt:lpstr>DAB6 2021 Explanatory memorandum</vt:lpstr>
    </vt:vector>
  </TitlesOfParts>
  <Manager/>
  <Company/>
  <LinksUpToDate>false</LinksUpToDate>
  <CharactersWithSpaces>25225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DAB6 2021 Explanatory memorandum</dc:title>
  <dc:subject/>
  <dc:creator/>
  <cp:keywords>DAB6 2021 Explanatory memorandum</cp:keywords>
  <dc:description/>
  <cp:lastModifiedBy/>
  <cp:revision>70</cp:revision>
  <dcterms:created xsi:type="dcterms:W3CDTF">2021-09-30T09:18:00Z</dcterms:created>
  <dcterms:modified xsi:type="dcterms:W3CDTF">2021-10-11T07:50:00Z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CP-032</vt:lpwstr>
  </property>
  <property fmtid="{D5CDD505-2E9C-101B-9397-08002B2CF9AE}" pid="7" name="Last edited using">
    <vt:lpwstr>LW 7.0.1, Build 20200226</vt:lpwstr>
  </property>
  <property fmtid="{D5CDD505-2E9C-101B-9397-08002B2CF9AE}" pid="8" name="Created using">
    <vt:lpwstr>LW 7.0.1, Build 20200226</vt:lpwstr>
  </property>
  <property fmtid="{D5CDD505-2E9C-101B-9397-08002B2CF9AE}" pid="9" name="_dlc_DocIdItemGuid">
    <vt:lpwstr>b80b544b-1627-4f34-b0f7-fd71adc40881</vt:lpwstr>
  </property>
  <property fmtid="{D5CDD505-2E9C-101B-9397-08002B2CF9AE}" pid="10" name="_LW_INVALIDATED__LW_INVALIDATED__LW_INVALIDATED__LW_INVALIDATED__LW_INVALIDATED__LW_INVALIDATED__LW_INVALIDATED__LW_INVALIDATED__LW_INVALIDATED__LW_INVALIDATED__LW_INVALIDATED_ContentTypeId">
    <vt:lpwstr>0x010100258AA79CEB83498886A3A086811232500077D4DAE54BA4344F98A6B80325508A5D</vt:lpwstr>
  </property>
  <property fmtid="{D5CDD505-2E9C-101B-9397-08002B2CF9AE}" pid="11" name="_LW_INVALIDATED__LW_INVALIDATED__LW_INVALIDATED__LW_INVALIDATED__LW_INVALIDATED__LW_INVALIDATED_ContentTypeId">
    <vt:lpwstr>0x010100258AA79CEB83498886A3A08681123250005B26C1F49889DF4FB58022634B30FA7100ED1E91EEBF4B8B45A53D14591E83EDB5</vt:lpwstr>
  </property>
  <property name="OP_sanitized" fmtid="{D5CDD505-2E9C-101B-9397-08002B2CF9AE}" pid="12">
    <vt:lpwstr>True</vt:lpwstr>
  </property>
</Properties>
</file>