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905F670-6AD4-429C-BBD5-BD898CE73092" style="width:450.75pt;height:381.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OBRAZLOŽITVENI MEMORANDUM</w:t>
      </w:r>
    </w:p>
    <w:p>
      <w:pPr>
        <w:pStyle w:val="ManualHeading1"/>
        <w:rPr>
          <w:noProof/>
        </w:rPr>
      </w:pPr>
      <w:r>
        <w:rPr>
          <w:noProof/>
        </w:rPr>
        <w:t>1.</w:t>
      </w:r>
      <w:r>
        <w:rPr>
          <w:noProof/>
        </w:rPr>
        <w:tab/>
        <w:t>OZADJE PREDLOGA</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Razlogi za predlog in njegovi cilji</w:t>
      </w:r>
    </w:p>
    <w:p>
      <w:pPr>
        <w:pStyle w:val="Text1"/>
        <w:ind w:left="0"/>
        <w:rPr>
          <w:noProof/>
        </w:rPr>
      </w:pPr>
      <w:r>
        <w:rPr>
          <w:noProof/>
        </w:rPr>
        <w:t>Združeno kraljestvo je 29. marca 2017 predložilo uradno obvestilo o nameri o izstopu iz Unije v skladu s členom 50 Pogodbe o Evropski uniji. To pomeni, da bo od 30. marca 2019 (v nadaljnjem besedilu: datum izstopa) vsa primarna in sekundarna zakonodaja Unije prenehala veljati za Združeno kraljestvo, razen če se z ratificiranim sporazumom o izstopu določi drug datum. Združeno kraljestvo bo s tem postalo tretja država.</w:t>
      </w:r>
    </w:p>
    <w:p>
      <w:pPr>
        <w:pStyle w:val="Text1"/>
        <w:ind w:left="0"/>
        <w:rPr>
          <w:noProof/>
        </w:rPr>
      </w:pPr>
      <w:r>
        <w:rPr>
          <w:noProof/>
        </w:rPr>
        <w:t xml:space="preserve">Zakonodaja EU o pomorskem prometu se ne bo več uporabljala za Združeno kraljestvo, razen če bo sporazum o izstopu vseboval kakšno prehodno ureditev. Med področji prava Unije, ki jih to zadeva, je tudi priznavanje organizacij, ki opravljajo storitve tehničnega nadzora in pregleda ladij, ki plujejo pod zastavo držav članic (v nadaljnjem besedilu: priznane organizacije), na ravni Unije. </w:t>
      </w:r>
    </w:p>
    <w:p>
      <w:pPr>
        <w:pStyle w:val="Text1"/>
        <w:ind w:left="0"/>
        <w:rPr>
          <w:noProof/>
        </w:rPr>
      </w:pPr>
      <w:r>
        <w:rPr>
          <w:noProof/>
        </w:rPr>
        <w:t>Zlasti člen 8(1) Uredbe (ES) št. 391/2009</w:t>
      </w:r>
      <w:r>
        <w:rPr>
          <w:rStyle w:val="FootnoteReference"/>
          <w:noProof/>
        </w:rPr>
        <w:footnoteReference w:id="1"/>
      </w:r>
      <w:r>
        <w:rPr>
          <w:noProof/>
        </w:rPr>
        <w:t xml:space="preserve"> (v nadaljnjem besedilu: Uredba) zahteva, da Komisija vsaj vsaki dve leti skupaj z državo članico, ki je vložila prvotno zahtevo za priznanje organizacije, oceni organizacije za tehnični nadzor in pregled ladij, ki jih priznava na ravni EU (v nadaljnjem besedilu: priznane organizacije). Na enak način bi bilo treba oceniti organizacije, ki jih je prvotno priznala ustrezna država članica na podlagi prejšnje zakonodaje in ki jih EU zdaj priznava na podlagi člena 15(1) Uredbe. Zato bi bilo treba državo članico, ki je te organizacije prvotno priznala, v skladu s členom 15(1) šteti za „sponzorsko“ državo članico, ki sodeluje pri Komisijinem ocenjevanju na podlagi člena 8(1) Uredbe.</w:t>
      </w:r>
    </w:p>
    <w:p>
      <w:pPr>
        <w:pStyle w:val="Text1"/>
        <w:ind w:left="0"/>
        <w:rPr>
          <w:noProof/>
        </w:rPr>
      </w:pPr>
      <w:r>
        <w:rPr>
          <w:noProof/>
        </w:rPr>
        <w:t>Iz členov 7 in 8 Uredbe poleg tega izhaja, da EU priznane organizacije priznava še naprej le, če še naprej izpolnjujejo zahteve in minimalna merila iz Priloge I k Uredbi. To se potrjuje s stalnim ponovnim ocenjevanjem, ki ga v skladu s členom 8(1) izvajata Komisija in „sponzorska“ država članica.</w:t>
      </w:r>
    </w:p>
    <w:p>
      <w:pPr>
        <w:pStyle w:val="Text1"/>
        <w:ind w:left="0"/>
        <w:rPr>
          <w:noProof/>
        </w:rPr>
      </w:pPr>
      <w:r>
        <w:rPr>
          <w:noProof/>
        </w:rPr>
        <w:t>Združeno kraljestvo po izstopu ne bo moglo več sodelovati pri ocenjevanju, ki se opravlja v skladu s členom 8(1) Uredbe, za tiste organizacije, pri katerih je Združeno kraljestvo „sponzorska“ država članica. Zato bi bila neprekinjena veljavnost priznanja za te organizacije na ravni EU vprašljiva in je na podlagi obstoječih določb Uredbe ne bi bilo mogoče pojasniti z zadostno mero pravne varnosti.</w:t>
      </w:r>
    </w:p>
    <w:p>
      <w:pPr>
        <w:pStyle w:val="Text1"/>
        <w:ind w:left="0"/>
        <w:rPr>
          <w:noProof/>
        </w:rPr>
      </w:pPr>
      <w:r>
        <w:rPr>
          <w:noProof/>
        </w:rPr>
        <w:t>Morebitno prenehanje priznavanja s strani EU zaradi izstopa Združenega kraljestva bi lahko imelo za te organizacije škodljive posledice glede konkurenčnosti in privlačnosti zastav držav članic EU-27, ki so te priznane organizacije pooblastile za opravljanje zakonskih tehničnih nadzorov in pregledov ladij ter izdajanje spričeval v njihovem imenu. Zadevne priznane organizacije imajo zdaj sklenjene sporazume z večino držav članic EU-27, po izstopu Združenega kraljestva pa za države članice ne bi mogle več opravljati storitev za ladje, ki plujejo pod njihovo zastavo. Poleg tega bodo lastniki ladij, ki s temi organizacijami sodelujejo tudi za namene klasifikacije, v zadregi, saj bodo morali svoje ladje registrirati pod zastavo države, ki ni članica EU, ali pa tvegati, da bodo prekršili svoje sedanje zasebne pogodbe o klasifikaciji svojih ladij pri ustreznih organizacijah.</w:t>
      </w:r>
    </w:p>
    <w:p>
      <w:pPr>
        <w:pStyle w:val="Text1"/>
        <w:ind w:left="0"/>
        <w:rPr>
          <w:noProof/>
        </w:rPr>
      </w:pPr>
      <w:r>
        <w:rPr>
          <w:noProof/>
        </w:rPr>
        <w:t>Cilj tega predloga je doseči večjo pravno varnost, zagotoviti neprekinjeno poslovanje zadevnih lastnikov ladij in ohraniti konkurenčnost zastav držav članic EU-27.</w:t>
      </w:r>
    </w:p>
    <w:p>
      <w:pPr>
        <w:pStyle w:val="ManualHeading2"/>
        <w:rPr>
          <w:rFonts w:eastAsia="Arial Unicode MS"/>
          <w:noProof/>
          <w:color w:val="000000"/>
          <w:u w:color="000000"/>
          <w:bdr w:val="nil"/>
        </w:rPr>
      </w:pPr>
      <w:r>
        <w:rPr>
          <w:noProof/>
          <w:color w:val="000000"/>
          <w:u w:color="000000"/>
          <w:bdr w:val="nil"/>
        </w:rPr>
        <w:lastRenderedPageBreak/>
        <w:t>•</w:t>
      </w:r>
      <w:r>
        <w:rPr>
          <w:noProof/>
          <w:color w:val="000000"/>
          <w:u w:color="000000"/>
          <w:bdr w:val="nil"/>
        </w:rPr>
        <w:tab/>
      </w:r>
      <w:r>
        <w:rPr>
          <w:noProof/>
        </w:rPr>
        <w:t>Skladnost z veljavnimi predpisi s področja zadevne politike</w:t>
      </w:r>
    </w:p>
    <w:p>
      <w:pPr>
        <w:pBdr>
          <w:top w:val="nil"/>
          <w:left w:val="nil"/>
          <w:bottom w:val="nil"/>
          <w:right w:val="nil"/>
          <w:between w:val="nil"/>
          <w:bar w:val="nil"/>
        </w:pBdr>
        <w:spacing w:before="0" w:after="240"/>
        <w:rPr>
          <w:rFonts w:eastAsia="Arial Unicode MS"/>
          <w:noProof/>
        </w:rPr>
      </w:pPr>
      <w:r>
        <w:rPr>
          <w:noProof/>
        </w:rPr>
        <w:t>Ta predlog je potreben zaradi izstopa Združenega kraljestva iz Unije, njegovo področje uporabe pa je omejeno na reševanje zadevnih posledic. Glavni cilji politike Uredbe ostajajo nespremenjeni.</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Skladnost z drugimi politikami Unije</w:t>
      </w:r>
    </w:p>
    <w:p>
      <w:pPr>
        <w:pBdr>
          <w:top w:val="nil"/>
          <w:left w:val="nil"/>
          <w:bottom w:val="nil"/>
          <w:right w:val="nil"/>
          <w:between w:val="nil"/>
          <w:bar w:val="nil"/>
        </w:pBdr>
        <w:spacing w:before="0" w:after="240"/>
        <w:rPr>
          <w:rFonts w:eastAsia="Arial Unicode MS"/>
          <w:noProof/>
        </w:rPr>
      </w:pPr>
      <w:r>
        <w:rPr>
          <w:noProof/>
        </w:rPr>
        <w:t>Ta predlog je v celoti skladen s pooblastilom Sveta za pogajanja z Združenim kraljestvom o njegovem izstopu iz Unije.</w:t>
      </w:r>
    </w:p>
    <w:p>
      <w:pPr>
        <w:pStyle w:val="ManualHeading1"/>
        <w:rPr>
          <w:noProof/>
        </w:rPr>
      </w:pPr>
      <w:r>
        <w:rPr>
          <w:noProof/>
        </w:rPr>
        <w:t>2.</w:t>
      </w:r>
      <w:r>
        <w:rPr>
          <w:noProof/>
        </w:rPr>
        <w:tab/>
        <w:t>PRAVNA PODLAGA, SUBSIDIARNOST IN SORAZMERNOST</w:t>
      </w:r>
    </w:p>
    <w:p>
      <w:pPr>
        <w:pStyle w:val="ManualHeading2"/>
        <w:rPr>
          <w:rFonts w:eastAsia="Arial Unicode MS"/>
          <w:noProof/>
          <w:u w:color="000000"/>
          <w:bdr w:val="nil"/>
        </w:rPr>
      </w:pPr>
      <w:r>
        <w:rPr>
          <w:noProof/>
          <w:u w:color="000000"/>
          <w:bdr w:val="nil"/>
        </w:rPr>
        <w:t>•</w:t>
      </w:r>
      <w:r>
        <w:rPr>
          <w:noProof/>
          <w:u w:color="000000"/>
          <w:bdr w:val="nil"/>
        </w:rPr>
        <w:tab/>
        <w:t>Pravna podlaga</w:t>
      </w:r>
    </w:p>
    <w:p>
      <w:pPr>
        <w:pBdr>
          <w:top w:val="nil"/>
          <w:left w:val="nil"/>
          <w:bottom w:val="nil"/>
          <w:right w:val="nil"/>
          <w:between w:val="nil"/>
          <w:bar w:val="nil"/>
        </w:pBdr>
        <w:spacing w:before="0" w:after="240"/>
        <w:rPr>
          <w:rFonts w:eastAsia="Arial Unicode MS"/>
          <w:noProof/>
        </w:rPr>
      </w:pPr>
      <w:r>
        <w:rPr>
          <w:noProof/>
        </w:rPr>
        <w:t>Predlog temelji na členu 100(2) PDEU.</w:t>
      </w:r>
    </w:p>
    <w:p>
      <w:pPr>
        <w:pStyle w:val="ManualHeading2"/>
        <w:rPr>
          <w:rFonts w:eastAsia="Arial Unicode MS"/>
          <w:noProof/>
          <w:u w:color="000000"/>
          <w:bdr w:val="nil"/>
        </w:rPr>
      </w:pPr>
      <w:r>
        <w:rPr>
          <w:noProof/>
          <w:u w:color="000000"/>
          <w:bdr w:val="nil"/>
        </w:rPr>
        <w:t>•</w:t>
      </w:r>
      <w:r>
        <w:rPr>
          <w:noProof/>
          <w:u w:color="000000"/>
          <w:bdr w:val="nil"/>
        </w:rPr>
        <w:tab/>
        <w:t>Subsidiarnost (za neizključno pristojnost)</w:t>
      </w:r>
    </w:p>
    <w:p>
      <w:pPr>
        <w:pBdr>
          <w:top w:val="nil"/>
          <w:left w:val="nil"/>
          <w:bottom w:val="nil"/>
          <w:right w:val="nil"/>
          <w:between w:val="nil"/>
          <w:bar w:val="nil"/>
        </w:pBdr>
        <w:spacing w:before="0" w:after="240"/>
        <w:rPr>
          <w:rFonts w:eastAsia="Arial Unicode MS"/>
          <w:noProof/>
        </w:rPr>
      </w:pPr>
      <w:r>
        <w:rPr>
          <w:noProof/>
        </w:rPr>
        <w:t>S predlaganim aktom bi se spremenila vsebina obstoječega akta Unije, zato je to mogoče doseči samo z ukrepom na ravni Unije.</w:t>
      </w:r>
    </w:p>
    <w:p>
      <w:pPr>
        <w:pStyle w:val="ManualHeading2"/>
        <w:rPr>
          <w:rFonts w:eastAsia="Arial Unicode MS"/>
          <w:noProof/>
          <w:u w:color="000000"/>
          <w:bdr w:val="nil"/>
        </w:rPr>
      </w:pPr>
      <w:r>
        <w:rPr>
          <w:noProof/>
          <w:u w:color="000000"/>
          <w:bdr w:val="nil"/>
        </w:rPr>
        <w:t>•</w:t>
      </w:r>
      <w:r>
        <w:rPr>
          <w:noProof/>
          <w:u w:color="000000"/>
          <w:bdr w:val="nil"/>
        </w:rPr>
        <w:tab/>
        <w:t>Sorazmernost</w:t>
      </w:r>
    </w:p>
    <w:p>
      <w:pPr>
        <w:pBdr>
          <w:top w:val="nil"/>
          <w:left w:val="nil"/>
          <w:bottom w:val="nil"/>
          <w:right w:val="nil"/>
          <w:between w:val="nil"/>
          <w:bar w:val="nil"/>
        </w:pBdr>
        <w:spacing w:before="0" w:after="240"/>
        <w:rPr>
          <w:rFonts w:eastAsia="Arial Unicode MS"/>
          <w:noProof/>
        </w:rPr>
      </w:pPr>
      <w:r>
        <w:rPr>
          <w:noProof/>
        </w:rPr>
        <w:t>Predlog se šteje za sorazmernega, saj zagotavlja potrebne pravne spremembe in hkrati ne presega tistega, kar je potrebno za doseganje cilja, da se odstrani pravna negotovost, ki je nastala zaradi izstopa Združenega kraljestva iz Unije. Vsebuje spremembe zakonodaje, ki so potrebne za varovanje konkurenčnosti zastav držav članic EU-27.</w:t>
      </w:r>
    </w:p>
    <w:p>
      <w:pPr>
        <w:pStyle w:val="ManualHeading2"/>
        <w:rPr>
          <w:rFonts w:eastAsia="Arial Unicode MS"/>
          <w:noProof/>
          <w:u w:color="000000"/>
          <w:bdr w:val="nil"/>
        </w:rPr>
      </w:pPr>
      <w:r>
        <w:rPr>
          <w:noProof/>
          <w:u w:color="000000"/>
          <w:bdr w:val="nil"/>
        </w:rPr>
        <w:t>•</w:t>
      </w:r>
      <w:r>
        <w:rPr>
          <w:noProof/>
          <w:u w:color="000000"/>
          <w:bdr w:val="nil"/>
        </w:rPr>
        <w:tab/>
        <w:t>Izbira instrumenta</w:t>
      </w:r>
    </w:p>
    <w:p>
      <w:pPr>
        <w:pBdr>
          <w:top w:val="nil"/>
          <w:left w:val="nil"/>
          <w:bottom w:val="nil"/>
          <w:right w:val="nil"/>
          <w:between w:val="nil"/>
          <w:bar w:val="nil"/>
        </w:pBdr>
        <w:spacing w:before="0" w:after="240"/>
        <w:rPr>
          <w:rFonts w:eastAsia="Arial Unicode MS"/>
          <w:noProof/>
        </w:rPr>
      </w:pPr>
      <w:r>
        <w:rPr>
          <w:noProof/>
        </w:rPr>
        <w:t>Ker se s tem aktom spreminja uredba Evropskega parlamenta in Sveta, je edina primerna oblika predlog spremembe.</w:t>
      </w:r>
    </w:p>
    <w:p>
      <w:pPr>
        <w:pStyle w:val="ManualHeading1"/>
        <w:rPr>
          <w:noProof/>
        </w:rPr>
      </w:pPr>
      <w:r>
        <w:rPr>
          <w:noProof/>
        </w:rPr>
        <w:t>3.</w:t>
      </w:r>
      <w:r>
        <w:rPr>
          <w:noProof/>
        </w:rPr>
        <w:tab/>
        <w:t>REZULTATI NAKNADNIH OCEN, POSVETOVANJ Z ZAINTERESIRANIMI STRANMI IN OCEN UČINKA</w:t>
      </w:r>
    </w:p>
    <w:p>
      <w:pPr>
        <w:pStyle w:val="ManualHeading2"/>
        <w:rPr>
          <w:rFonts w:eastAsia="Arial Unicode MS"/>
          <w:noProof/>
          <w:u w:color="000000"/>
          <w:bdr w:val="nil"/>
        </w:rPr>
      </w:pPr>
      <w:r>
        <w:rPr>
          <w:noProof/>
          <w:u w:color="000000"/>
          <w:bdr w:val="nil"/>
        </w:rPr>
        <w:t>•</w:t>
      </w:r>
      <w:r>
        <w:rPr>
          <w:noProof/>
          <w:u w:color="000000"/>
          <w:bdr w:val="nil"/>
        </w:rPr>
        <w:tab/>
        <w:t>Naknadne ocene / preverjanja ustreznosti obstoječe zakonodaje</w:t>
      </w:r>
    </w:p>
    <w:p>
      <w:pPr>
        <w:pBdr>
          <w:top w:val="nil"/>
          <w:left w:val="nil"/>
          <w:bottom w:val="nil"/>
          <w:right w:val="nil"/>
          <w:between w:val="nil"/>
          <w:bar w:val="nil"/>
        </w:pBdr>
        <w:spacing w:before="0" w:after="240"/>
        <w:rPr>
          <w:rFonts w:eastAsia="Arial Unicode MS"/>
          <w:noProof/>
        </w:rPr>
      </w:pPr>
      <w:r>
        <w:rPr>
          <w:noProof/>
        </w:rPr>
        <w:t>Ni relevantno.</w:t>
      </w:r>
    </w:p>
    <w:p>
      <w:pPr>
        <w:pStyle w:val="ManualHeading2"/>
        <w:rPr>
          <w:rFonts w:eastAsia="Arial Unicode MS"/>
          <w:noProof/>
          <w:u w:color="000000"/>
          <w:bdr w:val="nil"/>
        </w:rPr>
      </w:pPr>
      <w:r>
        <w:rPr>
          <w:noProof/>
          <w:u w:color="000000"/>
          <w:bdr w:val="nil"/>
        </w:rPr>
        <w:t>•</w:t>
      </w:r>
      <w:r>
        <w:rPr>
          <w:noProof/>
          <w:u w:color="000000"/>
          <w:bdr w:val="nil"/>
        </w:rPr>
        <w:tab/>
        <w:t>Posvetovanja z zainteresiranimi stranmi</w:t>
      </w:r>
    </w:p>
    <w:p>
      <w:pPr>
        <w:pBdr>
          <w:top w:val="nil"/>
          <w:left w:val="nil"/>
          <w:bottom w:val="nil"/>
          <w:right w:val="nil"/>
          <w:between w:val="nil"/>
          <w:bar w:val="nil"/>
        </w:pBdr>
        <w:spacing w:before="0" w:after="240"/>
        <w:rPr>
          <w:noProof/>
        </w:rPr>
      </w:pPr>
      <w:r>
        <w:rPr>
          <w:noProof/>
        </w:rPr>
        <w:t>Na težave v zvezi s postopkom ponovnega ocenjevanja, povezane z izstopom Združenega kraljestva iz Unije, so bile zadevne zainteresirane strani opozorjene s sporočilom Komisije o pomorskem prometu</w:t>
      </w:r>
      <w:r>
        <w:rPr>
          <w:rStyle w:val="FootnoteReference"/>
          <w:noProof/>
        </w:rPr>
        <w:footnoteReference w:id="2"/>
      </w:r>
      <w:r>
        <w:rPr>
          <w:noProof/>
        </w:rPr>
        <w:t>.</w:t>
      </w:r>
    </w:p>
    <w:p>
      <w:pPr>
        <w:pBdr>
          <w:top w:val="nil"/>
          <w:left w:val="nil"/>
          <w:bottom w:val="nil"/>
          <w:right w:val="nil"/>
          <w:between w:val="nil"/>
          <w:bar w:val="nil"/>
        </w:pBdr>
        <w:spacing w:before="0" w:after="240"/>
        <w:rPr>
          <w:noProof/>
        </w:rPr>
      </w:pPr>
      <w:r>
        <w:rPr>
          <w:noProof/>
        </w:rPr>
        <w:t>Zadevne zainteresirane strani in države članice so imele možnost, da preko portala za boljše pravno urejanje („povejte svoje mnenje“) Evropske komisije v dveh tednih predložijo povratne informacije o predlagani pobudi.</w:t>
      </w:r>
    </w:p>
    <w:p>
      <w:pPr>
        <w:pBdr>
          <w:top w:val="nil"/>
          <w:left w:val="nil"/>
          <w:bottom w:val="nil"/>
          <w:right w:val="nil"/>
          <w:between w:val="nil"/>
          <w:bar w:val="nil"/>
        </w:pBdr>
        <w:spacing w:before="0" w:after="240"/>
        <w:rPr>
          <w:noProof/>
        </w:rPr>
      </w:pPr>
      <w:r>
        <w:rPr>
          <w:noProof/>
        </w:rPr>
        <w:lastRenderedPageBreak/>
        <w:t>V obdobju za predložitev povratnih informacij od 28. junija do 12. julija 2018 je predložila pripombe ena zainteresirana stran. Namen doseganja večje pravne varnosti in jasnosti s predlagano pobudo ter ohranjanja konkurenčnosti lastnikov ladij iz EU-27 je bil v splošnem pozitivno ocenjen. Povratne informacije so bile upoštevane pri pripravi predloga, kot je ustrezno.</w:t>
      </w:r>
    </w:p>
    <w:p>
      <w:pPr>
        <w:pStyle w:val="ManualHeading2"/>
        <w:rPr>
          <w:rFonts w:eastAsia="Arial Unicode MS"/>
          <w:noProof/>
          <w:u w:color="000000"/>
          <w:bdr w:val="nil"/>
        </w:rPr>
      </w:pPr>
      <w:r>
        <w:rPr>
          <w:noProof/>
          <w:u w:color="000000"/>
          <w:bdr w:val="nil"/>
        </w:rPr>
        <w:t>•</w:t>
      </w:r>
      <w:r>
        <w:rPr>
          <w:noProof/>
          <w:u w:color="000000"/>
          <w:bdr w:val="nil"/>
        </w:rPr>
        <w:tab/>
        <w:t>Zbiranje in uporaba strokovnih mnenj</w:t>
      </w:r>
    </w:p>
    <w:p>
      <w:pPr>
        <w:pBdr>
          <w:top w:val="nil"/>
          <w:left w:val="nil"/>
          <w:bottom w:val="nil"/>
          <w:right w:val="nil"/>
          <w:between w:val="nil"/>
          <w:bar w:val="nil"/>
        </w:pBdr>
        <w:spacing w:before="0" w:after="240"/>
        <w:rPr>
          <w:rFonts w:eastAsia="Arial Unicode MS"/>
          <w:noProof/>
        </w:rPr>
      </w:pPr>
      <w:r>
        <w:rPr>
          <w:noProof/>
        </w:rPr>
        <w:t>Povratne informacije ter tehnično znanje in izkušnje so prispevale zainteresirane strani, države članice in Evropska agencija za pomorsko varnost. Predlog je bil podprt tudi s pravno analizo posledic izstopa Združenega kraljestva na področju politike priznanih organizacij.</w:t>
      </w:r>
    </w:p>
    <w:p>
      <w:pPr>
        <w:pStyle w:val="ManualHeading2"/>
        <w:rPr>
          <w:rFonts w:eastAsia="Arial Unicode MS"/>
          <w:noProof/>
          <w:u w:color="000000"/>
          <w:bdr w:val="nil"/>
        </w:rPr>
      </w:pPr>
      <w:r>
        <w:rPr>
          <w:noProof/>
          <w:u w:color="000000"/>
          <w:bdr w:val="nil"/>
        </w:rPr>
        <w:t>•</w:t>
      </w:r>
      <w:r>
        <w:rPr>
          <w:noProof/>
          <w:u w:color="000000"/>
          <w:bdr w:val="nil"/>
        </w:rPr>
        <w:tab/>
        <w:t>Ocena učinka</w:t>
      </w:r>
    </w:p>
    <w:p>
      <w:pPr>
        <w:pBdr>
          <w:top w:val="nil"/>
          <w:left w:val="nil"/>
          <w:bottom w:val="nil"/>
          <w:right w:val="nil"/>
          <w:between w:val="nil"/>
          <w:bar w:val="nil"/>
        </w:pBdr>
        <w:spacing w:before="0" w:after="240"/>
        <w:rPr>
          <w:rFonts w:eastAsia="Arial Unicode MS"/>
          <w:noProof/>
        </w:rPr>
      </w:pPr>
      <w:r>
        <w:rPr>
          <w:noProof/>
        </w:rPr>
        <w:t>V skladu s smernicami za boljše pravno urejanje ocena učinka ni potrebna, ker se za nameravani ukrep ne pričakuje, da bi imel pomemben učinek, in ker razen predlagane možnosti politike ni na razpolago drugih bistveno drugačnih možnosti.</w:t>
      </w:r>
    </w:p>
    <w:p>
      <w:pPr>
        <w:pStyle w:val="ManualHeading2"/>
        <w:rPr>
          <w:rFonts w:eastAsia="Arial Unicode MS"/>
          <w:noProof/>
          <w:u w:color="000000"/>
          <w:bdr w:val="nil"/>
        </w:rPr>
      </w:pPr>
      <w:r>
        <w:rPr>
          <w:noProof/>
          <w:u w:color="000000"/>
          <w:bdr w:val="nil"/>
        </w:rPr>
        <w:t>•</w:t>
      </w:r>
      <w:r>
        <w:rPr>
          <w:noProof/>
          <w:u w:color="000000"/>
          <w:bdr w:val="nil"/>
        </w:rPr>
        <w:tab/>
        <w:t>Temeljne pravice</w:t>
      </w:r>
    </w:p>
    <w:p>
      <w:pPr>
        <w:pBdr>
          <w:top w:val="nil"/>
          <w:left w:val="nil"/>
          <w:bottom w:val="nil"/>
          <w:right w:val="nil"/>
          <w:between w:val="nil"/>
          <w:bar w:val="nil"/>
        </w:pBdr>
        <w:spacing w:before="0" w:after="240"/>
        <w:rPr>
          <w:rFonts w:eastAsia="Arial Unicode MS"/>
          <w:noProof/>
        </w:rPr>
      </w:pPr>
      <w:r>
        <w:rPr>
          <w:noProof/>
        </w:rPr>
        <w:t>Predlog nima posledic za varstvo temeljnih pravic.</w:t>
      </w:r>
    </w:p>
    <w:p>
      <w:pPr>
        <w:pStyle w:val="ManualHeading1"/>
        <w:rPr>
          <w:noProof/>
        </w:rPr>
      </w:pPr>
      <w:r>
        <w:rPr>
          <w:noProof/>
        </w:rPr>
        <w:t>4.</w:t>
      </w:r>
      <w:r>
        <w:rPr>
          <w:noProof/>
        </w:rPr>
        <w:tab/>
        <w:t>PRORAČUNSKE POSLEDICE</w:t>
      </w:r>
    </w:p>
    <w:p>
      <w:pPr>
        <w:pBdr>
          <w:top w:val="nil"/>
          <w:left w:val="nil"/>
          <w:bottom w:val="nil"/>
          <w:right w:val="nil"/>
          <w:between w:val="nil"/>
          <w:bar w:val="nil"/>
        </w:pBdr>
        <w:spacing w:before="0" w:after="240"/>
        <w:rPr>
          <w:rFonts w:eastAsia="Arial Unicode MS"/>
          <w:noProof/>
        </w:rPr>
      </w:pPr>
      <w:r>
        <w:rPr>
          <w:noProof/>
        </w:rPr>
        <w:t>Ni relevantno.</w:t>
      </w:r>
    </w:p>
    <w:p>
      <w:pPr>
        <w:pStyle w:val="ManualHeading1"/>
        <w:rPr>
          <w:noProof/>
        </w:rPr>
      </w:pPr>
      <w:r>
        <w:rPr>
          <w:noProof/>
        </w:rPr>
        <w:t>5.</w:t>
      </w:r>
      <w:r>
        <w:rPr>
          <w:noProof/>
        </w:rPr>
        <w:tab/>
        <w:t>DRUGI ELEMENTI</w:t>
      </w:r>
    </w:p>
    <w:p>
      <w:pPr>
        <w:pStyle w:val="ManualHeading2"/>
        <w:rPr>
          <w:rFonts w:eastAsia="Arial Unicode MS"/>
          <w:noProof/>
          <w:u w:color="000000"/>
          <w:bdr w:val="nil"/>
        </w:rPr>
      </w:pPr>
      <w:r>
        <w:rPr>
          <w:noProof/>
          <w:u w:color="000000"/>
          <w:bdr w:val="nil"/>
        </w:rPr>
        <w:t>•</w:t>
      </w:r>
      <w:r>
        <w:rPr>
          <w:noProof/>
          <w:u w:color="000000"/>
          <w:bdr w:val="nil"/>
        </w:rPr>
        <w:tab/>
        <w:t>Načrti za izvedbo ter ureditev spremljanja, ocenjevanja in poročanja</w:t>
      </w:r>
    </w:p>
    <w:p>
      <w:pPr>
        <w:pBdr>
          <w:top w:val="nil"/>
          <w:left w:val="nil"/>
          <w:bottom w:val="nil"/>
          <w:right w:val="nil"/>
          <w:between w:val="nil"/>
          <w:bar w:val="nil"/>
        </w:pBdr>
        <w:spacing w:before="0" w:after="240"/>
      </w:pPr>
      <w:r>
        <w:rPr>
          <w:noProof/>
        </w:rPr>
        <w:t>Da bi ocenili, ali je sedanja pobuda dosegla navedeni cilj brez neželenih posledic za konkurenčnost, je bila v člen 2 predloga vključena določba o pregledu.</w:t>
      </w:r>
    </w:p>
    <w:p>
      <w:pPr>
        <w:pStyle w:val="ManualHeading2"/>
        <w:rPr>
          <w:rFonts w:eastAsia="Arial Unicode MS"/>
          <w:noProof/>
          <w:u w:color="000000"/>
          <w:bdr w:val="nil"/>
        </w:rPr>
      </w:pPr>
      <w:r>
        <w:rPr>
          <w:noProof/>
          <w:u w:color="000000"/>
          <w:bdr w:val="nil"/>
        </w:rPr>
        <w:t>•</w:t>
      </w:r>
      <w:r>
        <w:rPr>
          <w:noProof/>
          <w:u w:color="000000"/>
          <w:bdr w:val="nil"/>
        </w:rPr>
        <w:tab/>
        <w:t>Natančnejša pojasnitev posameznih določb predloga</w:t>
      </w:r>
    </w:p>
    <w:p>
      <w:pPr>
        <w:pBdr>
          <w:top w:val="nil"/>
          <w:left w:val="nil"/>
          <w:bottom w:val="nil"/>
          <w:right w:val="nil"/>
          <w:between w:val="nil"/>
          <w:bar w:val="nil"/>
        </w:pBdr>
        <w:spacing w:before="0" w:after="240"/>
        <w:rPr>
          <w:noProof/>
        </w:rPr>
      </w:pPr>
      <w:r>
        <w:rPr>
          <w:noProof/>
        </w:rPr>
        <w:t>Cilj predloga je razrešiti pravno nejasnost, ki je zaradi izstopa Združenega kraljestva nastala v zvezi z neprekinjeno veljavnostjo priznavanja za organizacije, za katere je Združeno kraljestvo „sponzorska“ država članica, ki sodeluje pri Komisijini oceni. Tako bi bilo mogoče še naprej uporabljati obstoječe sporazume med temi organizacijami in državami članicami EU-27, ki so podpisale sporazume o pooblastitvi, tako da bi te organizacije lahko opravljale tehnični nadzor in preglede v imenu držav članic ter tako brez prekinitve ohranjale varnost.</w:t>
      </w:r>
    </w:p>
    <w:p>
      <w:pPr>
        <w:pBdr>
          <w:top w:val="nil"/>
          <w:left w:val="nil"/>
          <w:bottom w:val="nil"/>
          <w:right w:val="nil"/>
          <w:between w:val="nil"/>
          <w:bar w:val="nil"/>
        </w:pBdr>
        <w:spacing w:before="0" w:after="240"/>
        <w:rPr>
          <w:noProof/>
        </w:rPr>
      </w:pPr>
      <w:r>
        <w:rPr>
          <w:noProof/>
        </w:rPr>
        <w:t>S predlaganim zakonodajnim ukrepom bi se člen 8(1) Uredbe spremenil tako, da bi se sedanja zahteva, na podlagi katere pri rednem ocenjevanju, ki ga opravlja Komisija, sodeluje samo „sponzorska“ država članica, zamenjala z uvedbo sodelovanja katere koli države članice, ki je pooblastila eno od priznanih organizacij. Tako bi lahko Komisija opravljala ocenjevanje skupaj s katero koli državo članico, ki je zadevno priznano organizacijo pooblastila, da v njenem imenu deluje za namene iz člena 3(2) Direktive 2009/15/ES</w:t>
      </w:r>
      <w:r>
        <w:rPr>
          <w:rStyle w:val="FootnoteReference"/>
          <w:noProof/>
        </w:rPr>
        <w:footnoteReference w:id="3"/>
      </w:r>
      <w:r>
        <w:rPr>
          <w:noProof/>
        </w:rPr>
        <w:t>, in ne le s „sponzorsko“ državo članico.</w:t>
      </w:r>
    </w:p>
    <w:p>
      <w:pPr>
        <w:pBdr>
          <w:top w:val="nil"/>
          <w:left w:val="nil"/>
          <w:bottom w:val="nil"/>
          <w:right w:val="nil"/>
          <w:between w:val="nil"/>
          <w:bar w:val="nil"/>
        </w:pBdr>
        <w:spacing w:before="0" w:after="240"/>
        <w:rPr>
          <w:noProof/>
        </w:rPr>
      </w:pPr>
      <w:r>
        <w:rPr>
          <w:noProof/>
        </w:rPr>
        <w:lastRenderedPageBreak/>
        <w:t>Navedena rešitev je bila izbrana kot najuspešnejši in najučinkovitejši način za reševanje pravne negotovosti, ki je zaradi izstopa Združenega kraljestva nastala na področju priznanih organizacij. S predlaganim aktom bi se ta pravna negotovost odpravila na nediskriminatoren način za države članice, ki so pooblastile priznane organizacije, da delujejo v njihovem imenu.</w:t>
      </w:r>
    </w:p>
    <w:p>
      <w:pPr>
        <w:pBdr>
          <w:top w:val="nil"/>
          <w:left w:val="nil"/>
          <w:bottom w:val="nil"/>
          <w:right w:val="nil"/>
          <w:between w:val="nil"/>
          <w:bar w:val="nil"/>
        </w:pBdr>
        <w:spacing w:before="0" w:after="240"/>
        <w:rPr>
          <w:noProof/>
        </w:rPr>
      </w:pPr>
      <w:r>
        <w:rPr>
          <w:noProof/>
        </w:rPr>
        <w:t xml:space="preserve">Poleg tega predlog izpolnjuje cilj zaščite neprekinjenega poslovanja, dosežena pa bo tudi konkurenčnost zastav držav članic EU-27, ki sodelujejo z zadevnimi organizacijami. </w:t>
      </w:r>
    </w:p>
    <w:p>
      <w:pPr>
        <w:pBdr>
          <w:top w:val="nil"/>
          <w:left w:val="nil"/>
          <w:bottom w:val="nil"/>
          <w:right w:val="nil"/>
          <w:between w:val="nil"/>
          <w:bar w:val="nil"/>
        </w:pBdr>
        <w:spacing w:before="0" w:after="240"/>
      </w:pPr>
      <w:r>
        <w:rPr>
          <w:noProof/>
        </w:rPr>
        <w:t>Z uredbo bi se morale zgolj popraviti možne škodljive posledice, ki jih je izstop Združenega kraljestva povzročil/prinesel za zastave 27 držav članic. Komisija bi morala o njenih učinkih poročati po ustreznem / dovolj dolgem obdobju uporabe, zlasti da bi ugotovila posledice, ki bi lahko presegle področje uporabe te uredbe.</w:t>
      </w:r>
    </w:p>
    <w:p>
      <w:pPr>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2018/0298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o spremembi Uredbe (ES) št. 391/2009 v zvezi z izstopom Združenega kraljestva iz Unije</w:t>
      </w:r>
    </w:p>
    <w:p>
      <w:pPr>
        <w:pStyle w:val="IntrtEEE"/>
        <w:rPr>
          <w:noProof/>
        </w:rPr>
      </w:pPr>
      <w:r>
        <w:rPr>
          <w:noProof/>
        </w:rPr>
        <w:t>(Besedilo velja za EGP)</w:t>
      </w:r>
    </w:p>
    <w:p>
      <w:pPr>
        <w:pStyle w:val="Institutionquiagit"/>
        <w:rPr>
          <w:noProof/>
        </w:rPr>
      </w:pPr>
      <w:r>
        <w:rPr>
          <w:noProof/>
        </w:rPr>
        <w:t>EVROPSKI PARLAMENT IN SVET EVROPSKE UNIJE STA –</w:t>
      </w:r>
    </w:p>
    <w:p>
      <w:pPr>
        <w:rPr>
          <w:noProof/>
        </w:rPr>
      </w:pPr>
      <w:r>
        <w:rPr>
          <w:noProof/>
        </w:rPr>
        <w:t>ob upoštevanju Pogodbe o delovanju Evropske unije in zlasti člena 100(2)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ob upoštevanju mnenja Evropskega ekonomsko-socialnega odbora</w:t>
      </w:r>
      <w:r>
        <w:rPr>
          <w:rStyle w:val="FootnoteReference"/>
          <w:noProof/>
        </w:rPr>
        <w:footnoteReference w:id="4"/>
      </w:r>
      <w:r>
        <w:rPr>
          <w:noProof/>
        </w:rPr>
        <w:t>,</w:t>
      </w:r>
    </w:p>
    <w:p>
      <w:pPr>
        <w:rPr>
          <w:noProof/>
        </w:rPr>
      </w:pPr>
      <w:r>
        <w:rPr>
          <w:noProof/>
        </w:rPr>
        <w:t>ob upoštevanju mnenja Odbora regij</w:t>
      </w:r>
      <w:r>
        <w:rPr>
          <w:rStyle w:val="FootnoteReference"/>
          <w:noProof/>
        </w:rPr>
        <w:footnoteReference w:id="5"/>
      </w:r>
      <w:r>
        <w:rPr>
          <w:noProof/>
        </w:rPr>
        <w:t>,</w:t>
      </w:r>
    </w:p>
    <w:p>
      <w:pPr>
        <w:rPr>
          <w:noProof/>
        </w:rPr>
      </w:pPr>
      <w:r>
        <w:rPr>
          <w:noProof/>
        </w:rPr>
        <w:t>v skladu z rednim zakonodajnim postopkom,</w:t>
      </w:r>
    </w:p>
    <w:p>
      <w:pPr>
        <w:rPr>
          <w:noProof/>
        </w:rPr>
      </w:pPr>
      <w:r>
        <w:rPr>
          <w:noProof/>
        </w:rPr>
        <w:t>ob upoštevanju naslednjega:</w:t>
      </w:r>
    </w:p>
    <w:p>
      <w:pPr>
        <w:pStyle w:val="ManualConsidrant"/>
        <w:rPr>
          <w:noProof/>
        </w:rPr>
      </w:pPr>
      <w:r>
        <w:t>(1)</w:t>
      </w:r>
      <w:r>
        <w:tab/>
      </w:r>
      <w:r>
        <w:rPr>
          <w:noProof/>
        </w:rPr>
        <w:t>Združeno kraljestvo je 29. marca 2017 v skladu s členom 50 Pogodbe o Evropski uniji Evropski svet uradno obvestilo, da namerava izstopiti iz Unije. Zato se pravo Unije od 30. marca 2019 preneha uporabljati za Združeno kraljestvo, razen če sporazum o izstopu ali Evropski svet v soglasju z Združenim kraljestvom soglasno ne določi drugega datuma. Združeno kraljestvo bo s tem postalo tretja država.</w:t>
      </w:r>
    </w:p>
    <w:p>
      <w:pPr>
        <w:pStyle w:val="ManualConsidrant"/>
        <w:rPr>
          <w:noProof/>
        </w:rPr>
      </w:pPr>
      <w:r>
        <w:t>(2)</w:t>
      </w:r>
      <w:r>
        <w:tab/>
      </w:r>
      <w:r>
        <w:rPr>
          <w:noProof/>
        </w:rPr>
        <w:t>Uredba (ES) št. 391/2009</w:t>
      </w:r>
      <w:r>
        <w:rPr>
          <w:rStyle w:val="FootnoteReference"/>
          <w:noProof/>
        </w:rPr>
        <w:footnoteReference w:id="6"/>
      </w:r>
      <w:r>
        <w:rPr>
          <w:noProof/>
        </w:rPr>
        <w:t xml:space="preserve"> in Direktiva 2009/15/ES Evropskega parlamenta in Sveta</w:t>
      </w:r>
      <w:r>
        <w:rPr>
          <w:rStyle w:val="FootnoteReference"/>
          <w:noProof/>
        </w:rPr>
        <w:footnoteReference w:id="7"/>
      </w:r>
      <w:r>
        <w:rPr>
          <w:noProof/>
        </w:rPr>
        <w:t xml:space="preserve"> skupaj tvorita regulativni okvir za dejavnosti priznanih organizacij za dejavnosti tehničnega nadzora in pregleda ladij ter izdajanja spričeval.</w:t>
      </w:r>
    </w:p>
    <w:p>
      <w:pPr>
        <w:pStyle w:val="ManualConsidrant"/>
        <w:rPr>
          <w:noProof/>
        </w:rPr>
      </w:pPr>
      <w:r>
        <w:t>(3)</w:t>
      </w:r>
      <w:r>
        <w:tab/>
      </w:r>
      <w:r>
        <w:rPr>
          <w:noProof/>
        </w:rPr>
        <w:t>V skladu s členom 8(1) Uredbe (ES) št. 391/2009 Komisija skupaj z državo članico, ki je vložila ustrezno zahtevo za priznanje organizacije, redno in vsaj vsaki dve leti oceni organizacije za tehnični nadzor in pregled ladij, ki jih priznava na ravni EU (v nadaljnjem besedilu: priznane organizacije).</w:t>
      </w:r>
    </w:p>
    <w:p>
      <w:pPr>
        <w:pStyle w:val="ManualConsidrant"/>
        <w:rPr>
          <w:noProof/>
        </w:rPr>
      </w:pPr>
      <w:r>
        <w:t>(4)</w:t>
      </w:r>
      <w:r>
        <w:tab/>
      </w:r>
      <w:r>
        <w:rPr>
          <w:noProof/>
        </w:rPr>
        <w:t>Zaradi enake obravnave bi morala Komisija organizacije, ki jih je ustrezna država članica prvotno priznala v skladu z Direktivo Sveta 94/57/ES</w:t>
      </w:r>
      <w:r>
        <w:rPr>
          <w:rStyle w:val="FootnoteReference"/>
          <w:noProof/>
        </w:rPr>
        <w:footnoteReference w:id="8"/>
      </w:r>
      <w:r>
        <w:rPr>
          <w:noProof/>
        </w:rPr>
        <w:t xml:space="preserve"> in jih Unija zdaj priznava na podlagi člena 15(1) Uredbe (ES) št. 391/2009, oceniti skupaj z državo članico, ki je prvotno priznala te organizacije.</w:t>
      </w:r>
    </w:p>
    <w:p>
      <w:pPr>
        <w:pStyle w:val="ManualConsidrant"/>
        <w:rPr>
          <w:noProof/>
        </w:rPr>
      </w:pPr>
      <w:r>
        <w:lastRenderedPageBreak/>
        <w:t>(5)</w:t>
      </w:r>
      <w:r>
        <w:tab/>
      </w:r>
      <w:r>
        <w:rPr>
          <w:noProof/>
        </w:rPr>
        <w:t>V skladu s členoma 7 in 8 Uredbe (ES) št. 391/2009 Unija priznane organizacije priznava še naprej le, če še naprej izpolnjujejo zahteve in minimalna merila iz Priloge I k navedeni uredbi. To se potrjuje s stalnim ponovnim ocenjevanjem, ki ga v skladu s členom 8(1) Uredbe (ES) št. 391/2009 izvajata Komisija in ustrezna država članica. Zato ima redno ocenjevanje pomembno vlogo pri nadaljnjem priznavanju organizacij.</w:t>
      </w:r>
    </w:p>
    <w:p>
      <w:pPr>
        <w:pStyle w:val="ManualConsidrant"/>
        <w:rPr>
          <w:noProof/>
        </w:rPr>
      </w:pPr>
      <w:r>
        <w:t>(6)</w:t>
      </w:r>
      <w:r>
        <w:tab/>
      </w:r>
      <w:r>
        <w:rPr>
          <w:noProof/>
        </w:rPr>
        <w:t>Združeno kraljestvo po izstopu iz Unije ne bo moglo več sodelovati pri ocenjevanju v skladu s členom 8(1) Uredbe (ES) št. 391/2009.</w:t>
      </w:r>
    </w:p>
    <w:p>
      <w:pPr>
        <w:pStyle w:val="ManualConsidrant"/>
        <w:rPr>
          <w:noProof/>
        </w:rPr>
      </w:pPr>
      <w:r>
        <w:t>(7)</w:t>
      </w:r>
      <w:r>
        <w:tab/>
      </w:r>
      <w:r>
        <w:rPr>
          <w:noProof/>
        </w:rPr>
        <w:t>Priznane organizacije, ki jih je prvotno priznalo Združeno kraljestvo, zdaj priznava Unija in so jim druge države članice zaupale dolžnosti v zvezi s tehničnim nadzorom in pregledom ladij ter izdajanjem spričeval v skladu s členom 3(2) Direktive 2009/15/ES.</w:t>
      </w:r>
      <w:r>
        <w:rPr>
          <w:noProof/>
          <w:color w:val="FF0000"/>
        </w:rPr>
        <w:t xml:space="preserve"> </w:t>
      </w:r>
      <w:r>
        <w:rPr>
          <w:noProof/>
        </w:rPr>
        <w:t>Zato je treba člen 8(1) Uredbe (ES) št. 391/2009 spremeniti, da bo mogoče navedene organizacije še naprej ocenjevati v skladu z navedeno določbo.</w:t>
      </w:r>
    </w:p>
    <w:p>
      <w:pPr>
        <w:pStyle w:val="ManualConsidrant"/>
        <w:rPr>
          <w:noProof/>
        </w:rPr>
      </w:pPr>
      <w:r>
        <w:t>(8)</w:t>
      </w:r>
      <w:r>
        <w:tab/>
      </w:r>
      <w:r>
        <w:rPr>
          <w:noProof/>
        </w:rPr>
        <w:t>Upoštevati je treba tudi obveznosti spremljanja in nadzora, ki jih morajo države članice izpolnjevati v skladu s členom 9 Direktive 2009/15/ES. Glede na to bi morala Komisija izvajati ocenjevanje priznanih organizacij v skladu z Uredbo (ES) št. 391/2009 skupaj z državo članico ali državami članicami, ki so zadevno priznano organizacijo pooblastile v skladu s členom 3(2) Direktive 2009/15/ES.</w:t>
      </w:r>
    </w:p>
    <w:p>
      <w:pPr>
        <w:pStyle w:val="ManualConsidrant"/>
        <w:rPr>
          <w:noProof/>
        </w:rPr>
      </w:pPr>
      <w:r>
        <w:t>(9)</w:t>
      </w:r>
      <w:r>
        <w:tab/>
      </w:r>
      <w:r>
        <w:rPr>
          <w:noProof/>
        </w:rPr>
        <w:t>Ta uredba bi se morala začeti uporabljati od dne, ki sledi dnevu, na katerega se za Združeno kraljestvo preneha uporabljati zakonodaja Unije in zlasti Uredba (ES) št. 391/2009 –</w:t>
      </w:r>
    </w:p>
    <w:p>
      <w:pPr>
        <w:pStyle w:val="Formuledadoption"/>
        <w:rPr>
          <w:noProof/>
        </w:rPr>
      </w:pPr>
      <w:r>
        <w:rPr>
          <w:noProof/>
        </w:rPr>
        <w:t>SPREJELA NASLEDNJO UREDBO:</w:t>
      </w:r>
    </w:p>
    <w:p>
      <w:pPr>
        <w:pStyle w:val="Titrearticle"/>
        <w:rPr>
          <w:noProof/>
        </w:rPr>
      </w:pPr>
      <w:r>
        <w:rPr>
          <w:noProof/>
        </w:rPr>
        <w:t>Člen 1</w:t>
      </w:r>
    </w:p>
    <w:p>
      <w:pPr>
        <w:rPr>
          <w:noProof/>
        </w:rPr>
      </w:pPr>
      <w:r>
        <w:rPr>
          <w:noProof/>
        </w:rPr>
        <w:t>V členu 8 Uredbe (ES) št. 391/2009 se odstavek 1 nadomesti z naslednjim:</w:t>
      </w:r>
    </w:p>
    <w:p>
      <w:pPr>
        <w:rPr>
          <w:noProof/>
        </w:rPr>
      </w:pPr>
      <w:r>
        <w:rPr>
          <w:noProof/>
        </w:rPr>
        <w:t>„1. Komisija redno in vsaj vsaki dve leti oceni vse priznane organizacije skupaj z državami članicami, ki so jih pooblastile v skladu s členom 3(2) Direktive 2009/15/ES, da preveri, ali organizacije izpolnjujejo obveznosti iz te uredbe in minimalna merila iz Priloge I. Ocena se omeji na tiste dejavnosti priznane organizacije, ki spadajo na področje uporabe te uredbe.</w:t>
      </w:r>
    </w:p>
    <w:p>
      <w:pPr>
        <w:pStyle w:val="Titrearticle"/>
        <w:rPr>
          <w:noProof/>
        </w:rPr>
      </w:pPr>
      <w:r>
        <w:rPr>
          <w:noProof/>
        </w:rPr>
        <w:t>Člen 2</w:t>
      </w:r>
    </w:p>
    <w:p>
      <w:pPr>
        <w:rPr>
          <w:noProof/>
        </w:rPr>
      </w:pPr>
      <w:r>
        <w:rPr>
          <w:noProof/>
        </w:rPr>
        <w:t>Komisija najpozneje tri leta po datumu začetka uporabe te uredbe poroča Evropskemu parlamentu in Svetu o njenih učinkih.</w:t>
      </w:r>
    </w:p>
    <w:p>
      <w:pPr>
        <w:pStyle w:val="Titrearticle"/>
        <w:rPr>
          <w:noProof/>
        </w:rPr>
      </w:pPr>
      <w:r>
        <w:rPr>
          <w:noProof/>
        </w:rPr>
        <w:t>Člen 3</w:t>
      </w:r>
    </w:p>
    <w:p>
      <w:pPr>
        <w:rPr>
          <w:noProof/>
        </w:rPr>
      </w:pPr>
      <w:r>
        <w:rPr>
          <w:noProof/>
        </w:rPr>
        <w:t xml:space="preserve">Ta uredba začne veljati dvajseti dan po objavi v </w:t>
      </w:r>
      <w:r>
        <w:rPr>
          <w:i/>
          <w:noProof/>
        </w:rPr>
        <w:t>Uradnem listu Evropske unije</w:t>
      </w:r>
      <w:r>
        <w:rPr>
          <w:noProof/>
        </w:rPr>
        <w:t>.</w:t>
      </w:r>
    </w:p>
    <w:p>
      <w:pPr>
        <w:pStyle w:val="Applicationdirecte"/>
        <w:rPr>
          <w:noProof/>
        </w:rPr>
      </w:pPr>
      <w:r>
        <w:rPr>
          <w:noProof/>
        </w:rPr>
        <w:t>Uporablja se od dne, ki sledi dnevu, na katerega se za Združeno kraljestvo preneha uporabljati zakonodaja Unije.</w:t>
      </w:r>
    </w:p>
    <w:p>
      <w:pPr>
        <w:pStyle w:val="Applicationdirecte"/>
        <w:keepNext/>
        <w:keepLines/>
        <w:rPr>
          <w:noProof/>
        </w:rPr>
      </w:pPr>
      <w:r>
        <w:rPr>
          <w:noProof/>
        </w:rPr>
        <w:lastRenderedPageBreak/>
        <w:t>Ta uredba je v celoti zavezujoča in se neposredno uporablja v vseh državah članicah.</w:t>
      </w:r>
    </w:p>
    <w:p>
      <w:pPr>
        <w:pStyle w:val="Fait"/>
        <w:rPr>
          <w:noProof/>
        </w:rPr>
      </w:pPr>
      <w:r>
        <w:t>V Bruslju,</w:t>
      </w:r>
    </w:p>
    <w:p>
      <w:pPr>
        <w:pStyle w:val="Institutionquisigne"/>
        <w:rPr>
          <w:noProof/>
        </w:rPr>
      </w:pPr>
      <w:r>
        <w:rPr>
          <w:noProof/>
        </w:rPr>
        <w:t>Za Evropski parlament</w:t>
      </w:r>
      <w:r>
        <w:rPr>
          <w:noProof/>
        </w:rPr>
        <w:tab/>
        <w:t>Za Svet</w:t>
      </w:r>
    </w:p>
    <w:p>
      <w:pPr>
        <w:pStyle w:val="Personnequisigne"/>
        <w:rPr>
          <w:noProof/>
        </w:rPr>
      </w:pPr>
      <w:r>
        <w:rPr>
          <w:noProof/>
        </w:rPr>
        <w:t>Predsednik</w:t>
      </w:r>
      <w:r>
        <w:rPr>
          <w:noProof/>
        </w:rPr>
        <w:tab/>
        <w:t>Predsednik</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142" w:hanging="142"/>
      </w:pPr>
      <w:r>
        <w:rPr>
          <w:rStyle w:val="FootnoteReference"/>
        </w:rPr>
        <w:footnoteRef/>
      </w:r>
      <w:r>
        <w:tab/>
        <w:t>Uredba (ES) št. 391/2009 Evropskega parlamenta in Sveta z dne 23. aprila 2009 o skupnih pravilih in standardih za organizacije za tehnični nadzor in pregled ladij (UL L 131, 28.5.2009, str. 11).</w:t>
      </w:r>
    </w:p>
  </w:footnote>
  <w:footnote w:id="2">
    <w:p>
      <w:pPr>
        <w:pStyle w:val="FootnoteText"/>
      </w:pPr>
      <w:r>
        <w:rPr>
          <w:rStyle w:val="FootnoteReference"/>
        </w:rPr>
        <w:footnoteRef/>
      </w:r>
      <w:r>
        <w:tab/>
        <w:t>„Obvestilo deležnikom – Izstop Združenega kraljestva in pravila EU na področju pomorskega prometa“,</w:t>
      </w:r>
    </w:p>
    <w:p>
      <w:pPr>
        <w:pStyle w:val="FootnoteText"/>
      </w:pPr>
      <w:hyperlink r:id="rId1" w:history="1">
        <w:r>
          <w:rPr>
            <w:rStyle w:val="Hyperlink"/>
          </w:rPr>
          <w:t>https://ec.europa.eu/transport/sites/transport/files/legislation/brexit-notice-to-stakeholders-maritime-transport.pdf</w:t>
        </w:r>
      </w:hyperlink>
    </w:p>
  </w:footnote>
  <w:footnote w:id="3">
    <w:p>
      <w:pPr>
        <w:pStyle w:val="FootnoteText"/>
        <w:ind w:left="142" w:hanging="142"/>
      </w:pPr>
      <w:r>
        <w:rPr>
          <w:rStyle w:val="FootnoteReference"/>
        </w:rPr>
        <w:footnoteRef/>
      </w:r>
      <w:r>
        <w:tab/>
        <w:t>Direktiva 2009/15/ES Evropskega parlamenta in Sveta z dne 23. aprila 2009 o skupnih pravilih in standardih za organizacije, pooblaščene za tehnični nadzor in pregled ladij, ter za ustrezne ukrepe pomorskih uprav (UL L 131, 28.5.2009, str. 47).</w:t>
      </w:r>
    </w:p>
  </w:footnote>
  <w:footnote w:id="4">
    <w:p>
      <w:pPr>
        <w:pStyle w:val="FootnoteText"/>
      </w:pPr>
      <w:r>
        <w:rPr>
          <w:rStyle w:val="FootnoteReference"/>
        </w:rPr>
        <w:footnoteRef/>
      </w:r>
      <w:r>
        <w:tab/>
        <w:t>UL C , , str. .</w:t>
      </w:r>
    </w:p>
  </w:footnote>
  <w:footnote w:id="5">
    <w:p>
      <w:pPr>
        <w:pStyle w:val="FootnoteText"/>
      </w:pPr>
      <w:r>
        <w:rPr>
          <w:rStyle w:val="FootnoteReference"/>
        </w:rPr>
        <w:footnoteRef/>
      </w:r>
      <w:r>
        <w:tab/>
        <w:t>UL C , , str. .</w:t>
      </w:r>
    </w:p>
  </w:footnote>
  <w:footnote w:id="6">
    <w:p>
      <w:pPr>
        <w:pStyle w:val="FootnoteText"/>
        <w:ind w:left="142" w:hanging="142"/>
      </w:pPr>
      <w:r>
        <w:rPr>
          <w:rStyle w:val="FootnoteReference"/>
        </w:rPr>
        <w:footnoteRef/>
      </w:r>
      <w:r>
        <w:tab/>
        <w:t>Uredba (ES) št. 391/2009 Evropskega parlamenta in Sveta z dne 23. aprila 2009 o skupnih pravilih in standardih za organizacije za tehnični nadzor in pregled ladij (UL L 131, 28.5.2009, str. 11).</w:t>
      </w:r>
    </w:p>
  </w:footnote>
  <w:footnote w:id="7">
    <w:p>
      <w:pPr>
        <w:pStyle w:val="FootnoteText"/>
        <w:ind w:left="142" w:hanging="142"/>
      </w:pPr>
      <w:r>
        <w:rPr>
          <w:rStyle w:val="FootnoteReference"/>
        </w:rPr>
        <w:footnoteRef/>
      </w:r>
      <w:r>
        <w:tab/>
        <w:t>Direktiva 2009/15/ES Evropskega parlamenta in Sveta z dne 23. aprila 2009 o skupnih pravilih in standardih za organizacije, pooblaščene za tehnični nadzor in pregled ladij, ter za ustrezne ukrepe pomorskih uprav (UL L 131, 28.5.2009, str. 47).</w:t>
      </w:r>
    </w:p>
  </w:footnote>
  <w:footnote w:id="8">
    <w:p>
      <w:pPr>
        <w:pStyle w:val="FootnoteText"/>
      </w:pPr>
      <w:r>
        <w:rPr>
          <w:rStyle w:val="FootnoteReference"/>
        </w:rPr>
        <w:footnoteRef/>
      </w:r>
      <w:r>
        <w:tab/>
        <w:t>Direktiva Sveta 94/57/ES z dne 22. novembra 1994 o skupnih predpisih in standardih za organizacije, pooblaščene za inšpekcijski pregled in nadzor ladij ter za ustrezne ukrepe pomorskih uprav (UL L 319, 12.12.1994, str. 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95AA10F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69A6B64"/>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6F688"/>
    <w:lvl w:ilvl="0">
      <w:start w:val="1"/>
      <w:numFmt w:val="decimal"/>
      <w:pStyle w:val="ListNumber2"/>
      <w:lvlText w:val="%1."/>
      <w:lvlJc w:val="left"/>
      <w:pPr>
        <w:tabs>
          <w:tab w:val="num" w:pos="643"/>
        </w:tabs>
        <w:ind w:left="643" w:hanging="360"/>
      </w:pPr>
    </w:lvl>
  </w:abstractNum>
  <w:abstractNum w:abstractNumId="3">
    <w:nsid w:val="FFFFFF81"/>
    <w:multiLevelType w:val="singleLevel"/>
    <w:tmpl w:val="C26E781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9A0C52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50ABE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51EE214"/>
    <w:lvl w:ilvl="0">
      <w:start w:val="1"/>
      <w:numFmt w:val="decimal"/>
      <w:pStyle w:val="ListNumber"/>
      <w:lvlText w:val="%1."/>
      <w:lvlJc w:val="left"/>
      <w:pPr>
        <w:tabs>
          <w:tab w:val="num" w:pos="360"/>
        </w:tabs>
        <w:ind w:left="360" w:hanging="360"/>
      </w:pPr>
    </w:lvl>
  </w:abstractNum>
  <w:abstractNum w:abstractNumId="7">
    <w:nsid w:val="FFFFFF89"/>
    <w:multiLevelType w:val="singleLevel"/>
    <w:tmpl w:val="BBD8E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1"/>
    <w:lvlOverride w:ilvl="0">
      <w:startOverride w:val="1"/>
    </w:lvlOverride>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7-26 07:23:58"/>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905F670-6AD4-429C-BBD5-BD898CE73092"/>
    <w:docVar w:name="LW_COVERPAGE_TYPE" w:val="1"/>
    <w:docVar w:name="LW_CROSSREFERENCE" w:val="&lt;UNUSED&gt;"/>
    <w:docVar w:name="LW_DocType" w:val="COM"/>
    <w:docVar w:name="LW_EMISSION" w:val="1.8.2018"/>
    <w:docVar w:name="LW_EMISSION_ISODATE" w:val="2018-08-01"/>
    <w:docVar w:name="LW_EMISSION_LOCATION" w:val="BRX"/>
    <w:docVar w:name="LW_EMISSION_PREFIX" w:val="Bruselj,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Besedilo velja za EGP)"/>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COD"/>
    <w:docVar w:name="LW_REF.II.NEW.CP_NUMBER" w:val="0298"/>
    <w:docVar w:name="LW_REF.II.NEW.CP_YEAR" w:val="2018"/>
    <w:docVar w:name="LW_REF.INST.NEW" w:val="COM"/>
    <w:docVar w:name="LW_REF.INST.NEW_ADOPTED" w:val="final"/>
    <w:docVar w:name="LW_REF.INST.NEW_TEXT" w:val="(2018) 5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edlog"/>
    <w:docVar w:name="LW_SUPERTITRE" w:val="&lt;UNUSED&gt;"/>
    <w:docVar w:name="LW_TITRE.OBJ.CP" w:val="o spremembi Uredbe (ES) \u353?t. 391/2009 v zvezi z izstopom Zdru\u382?enega kraljestva iz Unije"/>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062506">
      <w:bodyDiv w:val="1"/>
      <w:marLeft w:val="0"/>
      <w:marRight w:val="0"/>
      <w:marTop w:val="0"/>
      <w:marBottom w:val="0"/>
      <w:divBdr>
        <w:top w:val="none" w:sz="0" w:space="0" w:color="auto"/>
        <w:left w:val="none" w:sz="0" w:space="0" w:color="auto"/>
        <w:bottom w:val="none" w:sz="0" w:space="0" w:color="auto"/>
        <w:right w:val="none" w:sz="0" w:space="0" w:color="auto"/>
      </w:divBdr>
    </w:div>
    <w:div w:id="1565723284">
      <w:bodyDiv w:val="1"/>
      <w:marLeft w:val="0"/>
      <w:marRight w:val="0"/>
      <w:marTop w:val="0"/>
      <w:marBottom w:val="0"/>
      <w:divBdr>
        <w:top w:val="none" w:sz="0" w:space="0" w:color="auto"/>
        <w:left w:val="none" w:sz="0" w:space="0" w:color="auto"/>
        <w:bottom w:val="none" w:sz="0" w:space="0" w:color="auto"/>
        <w:right w:val="none" w:sz="0" w:space="0" w:color="auto"/>
      </w:divBdr>
    </w:div>
    <w:div w:id="178287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transport/sites/transport/files/legislation/brexit-notice-to-stakeholders-maritime-transpor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D20BB-274D-4FC3-BDA6-EB6E54AFC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8</Pages>
  <Words>1882</Words>
  <Characters>10917</Characters>
  <Application>Microsoft Office Word</Application>
  <DocSecurity>0</DocSecurity>
  <Lines>191</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2018-07-05T08:30:00Z</cp:lastPrinted>
  <dcterms:created xsi:type="dcterms:W3CDTF">2018-07-24T09:51:00Z</dcterms:created>
  <dcterms:modified xsi:type="dcterms:W3CDTF">2018-07-26T05:23:00Z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