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FDFBA10E-C85F-4B00-8339-CC2419036DDA" style="width:451pt;height:396pt">
            <v:imagedata r:id="rId9" o:title=""/>
          </v:shape>
        </w:pict>
      </w:r>
    </w:p>
    <w:p>
      <w:pPr>
        <w:rPr>
          <w:noProof/>
        </w:rPr>
        <w:sectPr>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OBRAZLOŽITVENI MEMORANDUM</w:t>
      </w:r>
    </w:p>
    <w:p>
      <w:pPr>
        <w:pStyle w:val="ManualHeading1"/>
        <w:rPr>
          <w:noProof/>
        </w:rPr>
      </w:pPr>
      <w:r>
        <w:rPr>
          <w:noProof/>
        </w:rPr>
        <w:t>1.</w:t>
      </w:r>
      <w:r>
        <w:rPr>
          <w:noProof/>
        </w:rPr>
        <w:tab/>
        <w:t>OZADJE PREDLOGA</w:t>
      </w:r>
    </w:p>
    <w:p>
      <w:pPr>
        <w:keepNext/>
        <w:outlineLvl w:val="1"/>
        <w:rPr>
          <w:rFonts w:eastAsia="Arial Unicode MS"/>
          <w:b/>
          <w:noProof/>
        </w:rPr>
      </w:pPr>
      <w:r>
        <w:rPr>
          <w:b/>
          <w:noProof/>
          <w:color w:val="000000"/>
          <w:u w:color="000000"/>
          <w:bdr w:val="nil"/>
        </w:rPr>
        <w:t>•</w:t>
      </w:r>
      <w:r>
        <w:rPr>
          <w:noProof/>
        </w:rPr>
        <w:tab/>
      </w:r>
      <w:r>
        <w:rPr>
          <w:b/>
          <w:noProof/>
        </w:rPr>
        <w:t xml:space="preserve">Razlogi za predlog in njegovi cilji </w:t>
      </w:r>
    </w:p>
    <w:p>
      <w:pPr>
        <w:rPr>
          <w:noProof/>
        </w:rPr>
      </w:pPr>
      <w:r>
        <w:rPr>
          <w:noProof/>
        </w:rPr>
        <w:t xml:space="preserve">Ta predlog je del širše pobude Komisije za trajnostni razvoj. Določa temelj okvira EU, ki okoljske, socialne in upravljavske dejavnike postavlja v središče finančnega sistema, da bi podprl preoblikovanje evropskega gospodarstva v bolj zelen, odpornejši in krožen sistem. Da bi bile naložbe bolj trajnostne, je treba v procesu sprejemanja naložbenih odločitev upoštevati okoljske, socialne in upravljavske dejavnike ob upoštevanju dejavnikov, kot so emisije toplogrednih plinov, izčrpavanje virov ali delovni pogoji. Ta predlog je skupaj s drugimi hkrati predlaganimi zakonodajnimi akti namenjen doslednemu vključevanju okoljskih, socialnih in upravljavskih vidikov v naložbeni in svetovalni postopek po sektorjih. Na ta način se zagotovi, da udeleženci na finančnem trgu (družbe za upravljanje KNPVP, UAIS, zavarovalnice, institucije za poklicno pokojninsko zavarovanje, upravitelji EuVECA in upravitelji EuSEF), distributerji zavarovalnih produktov ali finančni svetovalci, ki jih njihove stranke ali upravičenci pooblastijo, da v njihovem imenu sprejemajo naložbene odločitve, vključijo okoljske, socialne in upravljavske dejavnike v svoje notranje postopke ter o tem obveščajo svoje stranke. Da bi vlagatelji lažje primerjali ogljične odtise naložb, predlogi poleg tega uvajajo nove kategorije referenčnih vrednosti za nizke emisije ogljika in za ugodno ogljično bilanco. Ti predlogi, ki se vzajemno krepijo, bi morali olajšati naložbe v trajnostne projekte in sredstva po vsej EU. </w:t>
      </w:r>
    </w:p>
    <w:p>
      <w:pPr>
        <w:rPr>
          <w:noProof/>
        </w:rPr>
      </w:pPr>
      <w:r>
        <w:rPr>
          <w:noProof/>
        </w:rPr>
        <w:t>Ta predlog še posebej opredeljuje enotna merila za določanje, ali je gospodarska dejavnost okoljsko trajnostna. Določa tudi postopek, ki vključuje platformo z več zainteresiranimi stranmi za vzpostavitev enotnega sistema klasifikacije EU na podlagi sklopa specifičnih meril, da bi lahko določili, katere gospodarske dejavnosti se štejejo kot trajnostne.</w:t>
      </w:r>
    </w:p>
    <w:p>
      <w:pPr>
        <w:rPr>
          <w:noProof/>
        </w:rPr>
      </w:pPr>
      <w:r>
        <w:rPr>
          <w:noProof/>
        </w:rPr>
        <w:t xml:space="preserve">To bi gospodarskim subjektom in vlagateljem pojasnilo, katere dejavnosti se štejejo kot trajnostne, kar bi jim pomagalo pri sprejemanju naložbenih odločitev. To bi pripomoglo k zagotavljanju, da so naložbene strategije usmerjene v gospodarske dejavnosti, ki resnično prispevajo k doseganju okoljskih ciljev, hkrati pa so tudi skladne z minimalnimi socialnimi standardi in standardi upravljanja. Večja jasnost glede tega, kaj se lahko šteje kot okoljsko trajnostna naložba, bo olajšala dostop do čezmejnega trga kapitala za okoljsko trajnostne naložbe. </w:t>
      </w:r>
    </w:p>
    <w:p>
      <w:pPr>
        <w:spacing w:before="0"/>
        <w:rPr>
          <w:noProof/>
        </w:rPr>
      </w:pPr>
      <w:r>
        <w:rPr>
          <w:noProof/>
        </w:rPr>
        <w:t xml:space="preserve">Sveženj Komisije upošteva svetovna prizadevanja za bolj trajnostno gospodarstvo. S sprejetjem </w:t>
      </w:r>
      <w:r>
        <w:rPr>
          <w:b/>
          <w:noProof/>
        </w:rPr>
        <w:t>Pariškega sporazuma o podnebnih spremembah 2016</w:t>
      </w:r>
      <w:r>
        <w:rPr>
          <w:noProof/>
        </w:rPr>
        <w:t xml:space="preserve"> in </w:t>
      </w:r>
      <w:r>
        <w:rPr>
          <w:b/>
          <w:noProof/>
        </w:rPr>
        <w:t>Agende Združenih narodov za trajnostni razvoj do leta 2030</w:t>
      </w:r>
      <w:r>
        <w:rPr>
          <w:noProof/>
        </w:rPr>
        <w:t xml:space="preserve"> so vlade z vsega sveta izbrale bolj trajnostno naravnano pot za naš planet in naše gospodarstvo. </w:t>
      </w:r>
    </w:p>
    <w:p>
      <w:pPr>
        <w:spacing w:before="0"/>
        <w:rPr>
          <w:noProof/>
        </w:rPr>
      </w:pPr>
      <w:r>
        <w:rPr>
          <w:noProof/>
        </w:rPr>
        <w:t>EU si prizadeva za razvoj, ki je skladen s potrebami sedanjosti in ne ogroža zmožnosti zadovoljevanja potreb prihodnjih generacij. Trajnost je že dolgo v središču evropskega projekta. V pogodbah EU so priznane njene socialne in okoljske razsežnosti, ki jih je treba obravnavati skupaj.</w:t>
      </w:r>
    </w:p>
    <w:p>
      <w:pPr>
        <w:spacing w:before="0" w:after="0"/>
        <w:rPr>
          <w:noProof/>
        </w:rPr>
      </w:pPr>
      <w:r>
        <w:rPr>
          <w:noProof/>
        </w:rPr>
        <w:t>Sporočilo Komisije iz leta 2016 o novih ukrepih za trajnostno prihodnost Evrope povezuje cilje trajnostnega razvoja</w:t>
      </w:r>
      <w:r>
        <w:rPr>
          <w:rStyle w:val="FootnoteReference"/>
          <w:noProof/>
        </w:rPr>
        <w:footnoteReference w:id="1"/>
      </w:r>
      <w:r>
        <w:rPr>
          <w:noProof/>
        </w:rPr>
        <w:t xml:space="preserve"> Agende Združenih narodov za trajnostni razvoj do leta 2030 z okvirom evropskih politik, da se zagotovi, da vsi ukrepi EU in politične pobude na ravni EU in svetovni ravni že na začetku upoštevajo cilje trajnostnega razvoja. EU se je prav tako v </w:t>
      </w:r>
      <w:r>
        <w:rPr>
          <w:noProof/>
        </w:rPr>
        <w:lastRenderedPageBreak/>
        <w:t xml:space="preserve">celoti zavezala, da bo dosegla svoje podnebne in energetske cilje do leta 2030 in vključila trajnostni razvoj v politike EU, kot je to napovedal Jean-Claude Juncker v </w:t>
      </w:r>
      <w:r>
        <w:rPr>
          <w:b/>
          <w:noProof/>
        </w:rPr>
        <w:t>političnih usmeritvah Evropske komisije</w:t>
      </w:r>
      <w:r>
        <w:rPr>
          <w:rStyle w:val="FootnoteReference"/>
          <w:noProof/>
        </w:rPr>
        <w:footnoteReference w:id="2"/>
      </w:r>
      <w:r>
        <w:rPr>
          <w:noProof/>
        </w:rPr>
        <w:t xml:space="preserve"> iz leta 2014. Zato številne prednostne naloge politike Evropske komisije za obdobje 2014–2020 prispevajo k doseganju okoljskih ciljev EU in izvajanju agende za trajnostni razvoj do leta 2030. Mednje spadajo </w:t>
      </w:r>
      <w:r>
        <w:rPr>
          <w:b/>
          <w:noProof/>
        </w:rPr>
        <w:t>naložbeni načrt za Evropo</w:t>
      </w:r>
      <w:r>
        <w:rPr>
          <w:rStyle w:val="FootnoteReference"/>
          <w:noProof/>
        </w:rPr>
        <w:footnoteReference w:id="3"/>
      </w:r>
      <w:r>
        <w:rPr>
          <w:b/>
          <w:noProof/>
        </w:rPr>
        <w:t>,</w:t>
      </w:r>
      <w:r>
        <w:rPr>
          <w:noProof/>
        </w:rPr>
        <w:t xml:space="preserve"> </w:t>
      </w:r>
      <w:r>
        <w:rPr>
          <w:b/>
          <w:noProof/>
        </w:rPr>
        <w:t>sveženj o krožnem gospodarstvu</w:t>
      </w:r>
      <w:r>
        <w:rPr>
          <w:rStyle w:val="FootnoteReference"/>
          <w:noProof/>
        </w:rPr>
        <w:footnoteReference w:id="4"/>
      </w:r>
      <w:r>
        <w:rPr>
          <w:b/>
          <w:noProof/>
        </w:rPr>
        <w:t>,</w:t>
      </w:r>
      <w:r>
        <w:rPr>
          <w:noProof/>
        </w:rPr>
        <w:t xml:space="preserve"> </w:t>
      </w:r>
      <w:r>
        <w:rPr>
          <w:b/>
          <w:noProof/>
        </w:rPr>
        <w:t>sveženj o energetski uniji</w:t>
      </w:r>
      <w:r>
        <w:rPr>
          <w:rStyle w:val="FootnoteReference"/>
          <w:noProof/>
        </w:rPr>
        <w:footnoteReference w:id="5"/>
      </w:r>
      <w:r>
        <w:rPr>
          <w:b/>
          <w:noProof/>
        </w:rPr>
        <w:t>,</w:t>
      </w:r>
      <w:r>
        <w:rPr>
          <w:noProof/>
        </w:rPr>
        <w:t xml:space="preserve"> </w:t>
      </w:r>
      <w:r>
        <w:rPr>
          <w:b/>
          <w:noProof/>
        </w:rPr>
        <w:t>posodobitev strategije EU za biogospodarstvo</w:t>
      </w:r>
      <w:r>
        <w:rPr>
          <w:rStyle w:val="FootnoteReference"/>
          <w:noProof/>
        </w:rPr>
        <w:footnoteReference w:id="6"/>
      </w:r>
      <w:r>
        <w:rPr>
          <w:b/>
          <w:noProof/>
        </w:rPr>
        <w:t>,</w:t>
      </w:r>
      <w:r>
        <w:rPr>
          <w:noProof/>
        </w:rPr>
        <w:t xml:space="preserve"> </w:t>
      </w:r>
      <w:r>
        <w:rPr>
          <w:b/>
          <w:noProof/>
        </w:rPr>
        <w:t>unijo kapitalskih trgov</w:t>
      </w:r>
      <w:r>
        <w:rPr>
          <w:rStyle w:val="FootnoteReference"/>
          <w:noProof/>
        </w:rPr>
        <w:footnoteReference w:id="7"/>
      </w:r>
      <w:r>
        <w:rPr>
          <w:noProof/>
          <w:vertAlign w:val="superscript"/>
        </w:rPr>
        <w:t xml:space="preserve"> </w:t>
      </w:r>
      <w:r>
        <w:rPr>
          <w:noProof/>
        </w:rPr>
        <w:t xml:space="preserve">in </w:t>
      </w:r>
      <w:r>
        <w:rPr>
          <w:b/>
          <w:noProof/>
        </w:rPr>
        <w:t>proračun EU za obdobje 2014–2020</w:t>
      </w:r>
      <w:r>
        <w:rPr>
          <w:noProof/>
        </w:rPr>
        <w:t xml:space="preserve">, vključno s </w:t>
      </w:r>
      <w:r>
        <w:rPr>
          <w:b/>
          <w:noProof/>
        </w:rPr>
        <w:t>Kohezijskim skladom</w:t>
      </w:r>
      <w:r>
        <w:rPr>
          <w:noProof/>
        </w:rPr>
        <w:t xml:space="preserve"> in raziskovalnimi projekti. Poleg tega je Komisija vzpostavila platformo z več zainteresiranimi stranmi za izmenjavo dobrih praks o izvajanju ciljev trajnostnega razvoja.</w:t>
      </w:r>
    </w:p>
    <w:p>
      <w:pPr>
        <w:pBdr>
          <w:top w:val="nil"/>
          <w:left w:val="nil"/>
          <w:bottom w:val="nil"/>
          <w:right w:val="nil"/>
          <w:between w:val="nil"/>
          <w:bar w:val="nil"/>
        </w:pBdr>
        <w:spacing w:before="0"/>
        <w:rPr>
          <w:noProof/>
        </w:rPr>
      </w:pPr>
      <w:r>
        <w:rPr>
          <w:noProof/>
        </w:rPr>
        <w:t>Za doseganje ciljev EU glede trajnosti so potrebne velike naložbe. Ocenjuje se, da so samo na področju podnebja in energetike potrebne dodatne letne naložbe v višini 180 milijard EUR za izpolnitev podnebnih in energetskih ciljev do leta 2030</w:t>
      </w:r>
      <w:r>
        <w:rPr>
          <w:rStyle w:val="FootnoteReference"/>
          <w:noProof/>
        </w:rPr>
        <w:footnoteReference w:id="8"/>
      </w:r>
      <w:r>
        <w:rPr>
          <w:noProof/>
        </w:rPr>
        <w:t>. Znaten del teh finančnih tokov bo moral prispevati zasebni sektor. Za zmanjšanje te naložbene vrzeli je treba tokove zasebnega kapitala v velikem obsegu preusmeriti v bolj trajnostne naložbe in ponovno razmisliti o evropskem finančnem okviru.</w:t>
      </w:r>
    </w:p>
    <w:p>
      <w:pPr>
        <w:pBdr>
          <w:top w:val="nil"/>
          <w:left w:val="nil"/>
          <w:bottom w:val="nil"/>
          <w:right w:val="nil"/>
          <w:between w:val="nil"/>
          <w:bar w:val="nil"/>
        </w:pBdr>
        <w:spacing w:before="0"/>
        <w:rPr>
          <w:noProof/>
        </w:rPr>
      </w:pPr>
      <w:r>
        <w:rPr>
          <w:noProof/>
        </w:rPr>
        <w:t xml:space="preserve">V zvezi s tem je Komisija decembra 2016 ustanovila </w:t>
      </w:r>
      <w:r>
        <w:rPr>
          <w:b/>
          <w:noProof/>
        </w:rPr>
        <w:t>strokovno skupino na visoki ravni</w:t>
      </w:r>
      <w:r>
        <w:rPr>
          <w:noProof/>
        </w:rPr>
        <w:t>, da razvije strategijo EU za financiranje trajnostne rasti. Skupina je svoje končno poročilo</w:t>
      </w:r>
      <w:r>
        <w:rPr>
          <w:rStyle w:val="FootnoteReference"/>
          <w:noProof/>
        </w:rPr>
        <w:footnoteReference w:id="9"/>
      </w:r>
      <w:r>
        <w:rPr>
          <w:noProof/>
        </w:rPr>
        <w:t xml:space="preserve"> objavila 31. januarja 2018. V njem je bila predstavljena celovita vizija o financiranju trajnostne rasti za Evropo in opredeljeni ključni zahtevi za evropski finančni sistem. Prva je izboljšati prispevek finančnega sektorja k trajnostni in vključujoči rasti. Druga je okrepiti finančno stabilnost z vključevanjem okoljskih, družbenih in upravljavskih dejavnikov v sprejemanje naložbenih odločitev. Skupina je izdala osem ključnih priporočil, za katere meni, da so ključni gradniki trajnostnega evropskega finančnega sistema. Med temi priporočili strokovna skupina na visoki ravni poziva k vzpostavitvi tehnično stabilnega sistema klasifikacije na ravni EU, da se zagotovi jasnost glede tega, kaj je „zeleno“ ali „trajnostno“; gre za t. i. taksonomijo za trajnostne dejavnosti. Mnenje strokovne skupine je bilo, da je treba začeti z ugotavljanjem, kdaj se lahko gospodarska dejavnosti šteje kot okoljsko trajnostna.</w:t>
      </w:r>
    </w:p>
    <w:p>
      <w:pPr>
        <w:autoSpaceDE w:val="0"/>
        <w:autoSpaceDN w:val="0"/>
        <w:adjustRightInd w:val="0"/>
        <w:spacing w:before="0" w:after="0"/>
        <w:rPr>
          <w:noProof/>
          <w:color w:val="000000"/>
          <w:sz w:val="23"/>
          <w:szCs w:val="23"/>
        </w:rPr>
      </w:pPr>
      <w:r>
        <w:rPr>
          <w:noProof/>
          <w:color w:val="000000"/>
          <w:sz w:val="23"/>
        </w:rPr>
        <w:t xml:space="preserve">Da bi nadaljevala delo strokovne skupine na visoki ravni, je Komisija 8. marca 2018 objavila </w:t>
      </w:r>
      <w:r>
        <w:rPr>
          <w:b/>
          <w:noProof/>
          <w:color w:val="000000"/>
          <w:sz w:val="23"/>
        </w:rPr>
        <w:t>Akcijski načrt za financiranje trajnostne rasti</w:t>
      </w:r>
      <w:r>
        <w:rPr>
          <w:rStyle w:val="FootnoteReference"/>
          <w:noProof/>
        </w:rPr>
        <w:footnoteReference w:id="10"/>
      </w:r>
      <w:r>
        <w:rPr>
          <w:b/>
          <w:noProof/>
          <w:color w:val="000000"/>
          <w:sz w:val="23"/>
        </w:rPr>
        <w:t>.</w:t>
      </w:r>
      <w:r>
        <w:rPr>
          <w:noProof/>
          <w:color w:val="000000"/>
          <w:sz w:val="23"/>
        </w:rPr>
        <w:t xml:space="preserve"> S tem načrtom se je Komisija obvezala, da bo v drugem četrtletju 2018 pripravila zakonodajni predlog, ki bo zagotovil postopen razvoj taksonomije EU za podnebne spremembe ter okoljske in socialne trajnostne dejavnosti, pri čemer bo izhajala iz obstoječega dela, kadar bo to primerno. Cilj je vključitev prihodnje taksonomije EU </w:t>
      </w:r>
      <w:r>
        <w:rPr>
          <w:noProof/>
          <w:color w:val="000000"/>
          <w:sz w:val="23"/>
        </w:rPr>
        <w:lastRenderedPageBreak/>
        <w:t>v pravo EU in zagotoviti podlago za uporabo takšnega sistema klasifikacije na različnih področjih (npr. standardi, znaki, referenčne vrednosti za trajnost).</w:t>
      </w:r>
    </w:p>
    <w:p>
      <w:pPr>
        <w:keepNext/>
        <w:outlineLvl w:val="1"/>
        <w:rPr>
          <w:rFonts w:eastAsia="Arial Unicode MS"/>
          <w:b/>
          <w:noProof/>
          <w:color w:val="000000"/>
          <w:u w:color="000000"/>
          <w:bdr w:val="nil"/>
        </w:rPr>
      </w:pPr>
      <w:r>
        <w:rPr>
          <w:b/>
          <w:noProof/>
          <w:color w:val="000000"/>
          <w:u w:color="000000"/>
          <w:bdr w:val="nil"/>
        </w:rPr>
        <w:t>•</w:t>
      </w:r>
      <w:r>
        <w:rPr>
          <w:noProof/>
        </w:rPr>
        <w:tab/>
      </w:r>
      <w:r>
        <w:rPr>
          <w:b/>
          <w:noProof/>
        </w:rPr>
        <w:t>Skladnost z veljavnimi predpisi s področja zadevne politike</w:t>
      </w:r>
    </w:p>
    <w:p>
      <w:pPr>
        <w:pBdr>
          <w:top w:val="nil"/>
          <w:left w:val="nil"/>
          <w:bottom w:val="nil"/>
          <w:right w:val="nil"/>
          <w:between w:val="nil"/>
          <w:bar w:val="nil"/>
        </w:pBdr>
        <w:spacing w:before="0" w:after="240"/>
        <w:rPr>
          <w:noProof/>
        </w:rPr>
      </w:pPr>
      <w:r>
        <w:rPr>
          <w:noProof/>
        </w:rPr>
        <w:t>Predlog določa merila in proces za prepoznavanje okoljsko trajnostnih naložb, da bi zagotovili, da enotni trg ni izkrivljen zaradi različnih razlag tega koncepta v državah članicah. Predlog je v skladu z drugimi določbami politike na področju enotnega trga in finančnih trgov, saj ne posega v obstoječe določbe, ampak omogoča, da se v prihodnosti pri obstoječih in prihodnjih pravnih določbah uporablja skupni koncept okoljsko trajnostnih naložb in da temeljijo na njem. Ni razlik ali neskladnosti z drugimi določbami o politiki enotnega trga.</w:t>
      </w:r>
    </w:p>
    <w:p>
      <w:pPr>
        <w:keepNext/>
        <w:outlineLvl w:val="1"/>
        <w:rPr>
          <w:rFonts w:eastAsia="Arial Unicode MS"/>
          <w:b/>
          <w:noProof/>
        </w:rPr>
      </w:pPr>
      <w:r>
        <w:rPr>
          <w:b/>
          <w:noProof/>
          <w:color w:val="000000"/>
          <w:u w:color="000000"/>
          <w:bdr w:val="nil"/>
        </w:rPr>
        <w:t>•</w:t>
      </w:r>
      <w:r>
        <w:rPr>
          <w:noProof/>
        </w:rPr>
        <w:tab/>
      </w:r>
      <w:r>
        <w:rPr>
          <w:b/>
          <w:noProof/>
        </w:rPr>
        <w:t>Skladnost z drugimi politikami Unije</w:t>
      </w:r>
    </w:p>
    <w:p>
      <w:pPr>
        <w:pBdr>
          <w:top w:val="nil"/>
          <w:left w:val="nil"/>
          <w:bottom w:val="nil"/>
          <w:right w:val="nil"/>
          <w:between w:val="nil"/>
          <w:bar w:val="nil"/>
        </w:pBdr>
        <w:spacing w:before="0" w:after="240"/>
        <w:rPr>
          <w:rFonts w:eastAsia="Arial Unicode MS"/>
          <w:noProof/>
        </w:rPr>
      </w:pPr>
      <w:r>
        <w:rPr>
          <w:noProof/>
        </w:rPr>
        <w:t>Ta predlog dopolnjuje obstoječe okoljske in podnebne politike EU. Skupno razumevanje tega, kaj predstavlja okoljsko trajnostne naložbe, bo dopolnilo obstoječe okoljske politike EU, in sicer z zagotavljanjem referenčne točke, ki se lahko uporablja v prihodnosti za bolj usklajen razvoj teh politik po vsej Uniji. Predlog temelji na obstoječih politikah in uporablja koncepte, razvite v okviru teh politik, da bi se zagotovila skladnost. Temelji na konceptih, razvitih v okviru sedmega okoljskega akcijskega programa</w:t>
      </w:r>
      <w:r>
        <w:rPr>
          <w:rStyle w:val="FootnoteReference"/>
          <w:noProof/>
        </w:rPr>
        <w:footnoteReference w:id="11"/>
      </w:r>
      <w:r>
        <w:rPr>
          <w:noProof/>
        </w:rPr>
        <w:t>, okvirne direktive o vodah</w:t>
      </w:r>
      <w:r>
        <w:rPr>
          <w:rStyle w:val="FootnoteReference"/>
          <w:noProof/>
        </w:rPr>
        <w:footnoteReference w:id="12"/>
      </w:r>
      <w:r>
        <w:rPr>
          <w:noProof/>
        </w:rPr>
        <w:t>, akcijskega načrta EU za krožno gospodarstvo</w:t>
      </w:r>
      <w:r>
        <w:rPr>
          <w:rStyle w:val="FootnoteReference"/>
          <w:noProof/>
        </w:rPr>
        <w:footnoteReference w:id="13"/>
      </w:r>
      <w:r>
        <w:rPr>
          <w:noProof/>
        </w:rPr>
        <w:t>, direktive o industrijskih emisijah</w:t>
      </w:r>
      <w:r>
        <w:rPr>
          <w:rStyle w:val="FootnoteReference"/>
          <w:noProof/>
        </w:rPr>
        <w:footnoteReference w:id="14"/>
      </w:r>
      <w:r>
        <w:rPr>
          <w:noProof/>
        </w:rPr>
        <w:t>, kadar se na primer sklicuje na agendo za trajnostni razvoj do leta 2030, uredbo o znaku za okolje</w:t>
      </w:r>
      <w:r>
        <w:rPr>
          <w:rStyle w:val="FootnoteReference"/>
          <w:noProof/>
        </w:rPr>
        <w:footnoteReference w:id="15"/>
      </w:r>
      <w:r>
        <w:rPr>
          <w:noProof/>
        </w:rPr>
        <w:t>, statistično klasifikacijo gospodarskih dejavnosti v Evropski skupnosti (NACE)</w:t>
      </w:r>
      <w:r>
        <w:rPr>
          <w:rStyle w:val="FootnoteReference"/>
          <w:noProof/>
        </w:rPr>
        <w:footnoteReference w:id="16"/>
      </w:r>
      <w:r>
        <w:rPr>
          <w:noProof/>
        </w:rPr>
        <w:t>, klasifikacijo aktivnosti in izdatkov za varovanje okolja (CEPA) ter klasifikacijo dejavnosti upravljanja virov (CReMA)</w:t>
      </w:r>
      <w:r>
        <w:rPr>
          <w:rStyle w:val="FootnoteReference"/>
          <w:noProof/>
        </w:rPr>
        <w:footnoteReference w:id="17"/>
      </w:r>
      <w:r>
        <w:rPr>
          <w:noProof/>
        </w:rPr>
        <w:t>.</w:t>
      </w:r>
    </w:p>
    <w:p>
      <w:pPr>
        <w:keepNext/>
        <w:spacing w:before="360"/>
        <w:outlineLvl w:val="0"/>
        <w:rPr>
          <w:b/>
          <w:smallCaps/>
          <w:noProof/>
        </w:rPr>
      </w:pPr>
      <w:r>
        <w:rPr>
          <w:b/>
          <w:smallCaps/>
          <w:noProof/>
        </w:rPr>
        <w:t>2.</w:t>
      </w:r>
      <w:r>
        <w:rPr>
          <w:noProof/>
        </w:rPr>
        <w:tab/>
      </w:r>
      <w:r>
        <w:rPr>
          <w:b/>
          <w:smallCaps/>
          <w:noProof/>
        </w:rPr>
        <w:t>PRAVNA PODLAGA, SUBSIDIARNOST IN SORAZMERNOST</w:t>
      </w:r>
    </w:p>
    <w:p>
      <w:pPr>
        <w:keepNext/>
        <w:outlineLvl w:val="1"/>
        <w:rPr>
          <w:rFonts w:eastAsia="Arial Unicode MS"/>
          <w:b/>
          <w:noProof/>
          <w:u w:color="000000"/>
          <w:bdr w:val="nil"/>
        </w:rPr>
      </w:pPr>
      <w:r>
        <w:rPr>
          <w:b/>
          <w:noProof/>
          <w:u w:color="000000"/>
          <w:bdr w:val="nil"/>
        </w:rPr>
        <w:t>•</w:t>
      </w:r>
      <w:r>
        <w:rPr>
          <w:noProof/>
        </w:rPr>
        <w:tab/>
      </w:r>
      <w:r>
        <w:rPr>
          <w:b/>
          <w:noProof/>
          <w:u w:color="000000"/>
          <w:bdr w:val="nil"/>
        </w:rPr>
        <w:t>Pravna podlaga</w:t>
      </w:r>
    </w:p>
    <w:p>
      <w:pPr>
        <w:spacing w:after="240"/>
        <w:rPr>
          <w:noProof/>
          <w:sz w:val="22"/>
        </w:rPr>
      </w:pPr>
      <w:r>
        <w:rPr>
          <w:noProof/>
        </w:rPr>
        <w:t xml:space="preserve">Člen 114 Pogodbe o delovanju Evropske unije (v nadaljnjem besedilu: PDEU) pooblašča Evropski parlament in Svet, da sprejmeta ukrepe za približevanje določb zakonov, predpisov ali upravnih ukrepov v državah članicah, katerih predmet je vzpostavitev in delovanje notranjega trga. Člen 114 PDEU EU omogoča, da sprejme ukrepe za odpravo sedanjih ovir pri uresničevanju temeljnih svoboščin, pa tudi za preprečevanje nastajanja takih ovir, vključno s tistimi, ki otežujejo položaj gospodarskih subjektov, vključno z vlagatelji, da bi v celoti izkoristili prednosti notranjega trga. </w:t>
      </w:r>
    </w:p>
    <w:p>
      <w:pPr>
        <w:spacing w:after="240"/>
        <w:rPr>
          <w:noProof/>
        </w:rPr>
      </w:pPr>
      <w:r>
        <w:rPr>
          <w:noProof/>
        </w:rPr>
        <w:t xml:space="preserve">Države članice trenutno različno razlagajo, kaj se šteje za trajnostne naložbe. Nekatere države članice imajo vzpostavljene sisteme označevanja ali pobude trga za določitev, kaj se šteje kot zeleno za naložbene namene, druge pa nimajo nobenih pravil, vendar pa bodo verjetno sprejemale predpise na tem področju na podlagi lastne opredelitve trajnostnih naložb. </w:t>
      </w:r>
      <w:r>
        <w:rPr>
          <w:noProof/>
        </w:rPr>
        <w:lastRenderedPageBreak/>
        <w:t xml:space="preserve">Nacionalne oznake, ki temeljijo na različnih merilih glede tega, katere gospodarske dejavnosti se štejejo za okoljsko trajnostne, vlagateljem otežujejo primerjavo zelenih naložb, kar jih odvrača od čezmejnih naložb. </w:t>
      </w:r>
    </w:p>
    <w:p>
      <w:pPr>
        <w:spacing w:after="240"/>
        <w:rPr>
          <w:noProof/>
        </w:rPr>
      </w:pPr>
      <w:r>
        <w:rPr>
          <w:noProof/>
        </w:rPr>
        <w:t xml:space="preserve">Obstoječa razhajanja prav tako predstavljajo breme za gospodarske subjekte, ki morajo izpolnjevati različne standarde v različnih državah članicah. Da bi odpravili obstoječe razlike in preprečili nastajanje nadaljnjih ovir za notranji trg, ta predlog vzpostavlja standardno opredelitev na ravni EU glede tega, kaj velja za okoljsko trajnostno gospodarsko dejavnost za naložbene namene. Namen tega predloga je standardizirati koncept okoljsko trajnostnih naložb po vsej Uniji, s čimer bi se olajšalo vlaganje v okoljsko trajnostne gospodarske dejavnosti, tako na nacionalni ravni kot v več državah EU. Standardiziran koncept bo gospodarskim subjektom omogočil tudi lažje privabljanje naložb iz tujine. </w:t>
      </w:r>
    </w:p>
    <w:p>
      <w:pPr>
        <w:spacing w:after="240"/>
        <w:rPr>
          <w:noProof/>
        </w:rPr>
      </w:pPr>
      <w:r>
        <w:rPr>
          <w:noProof/>
        </w:rPr>
        <w:t>Člen 114 PDEU določa pravno podlago, na podlagi katere lahko EU sprejme ta predlog, ker je cilj tega predloga olajšati naložbe v trajnostne gospodarske dejavnosti po vsej Uniji ne glede na nacionalne meje.</w:t>
      </w:r>
    </w:p>
    <w:p>
      <w:pPr>
        <w:keepNext/>
        <w:outlineLvl w:val="1"/>
        <w:rPr>
          <w:rFonts w:eastAsia="Arial Unicode MS"/>
          <w:b/>
          <w:noProof/>
          <w:u w:color="000000"/>
          <w:bdr w:val="nil"/>
        </w:rPr>
      </w:pPr>
      <w:r>
        <w:rPr>
          <w:b/>
          <w:noProof/>
          <w:u w:color="000000"/>
          <w:bdr w:val="nil"/>
        </w:rPr>
        <w:t>•</w:t>
      </w:r>
      <w:r>
        <w:rPr>
          <w:noProof/>
        </w:rPr>
        <w:tab/>
      </w:r>
      <w:r>
        <w:rPr>
          <w:b/>
          <w:noProof/>
          <w:u w:color="000000"/>
          <w:bdr w:val="nil"/>
        </w:rPr>
        <w:t xml:space="preserve">Subsidiarnost (za neizključno pristojnost) </w:t>
      </w:r>
    </w:p>
    <w:p>
      <w:pPr>
        <w:spacing w:after="240"/>
        <w:rPr>
          <w:noProof/>
        </w:rPr>
      </w:pPr>
      <w:r>
        <w:rPr>
          <w:noProof/>
        </w:rPr>
        <w:t>Ta predlog spoštuje načelo subsidiarnosti, kot je določeno v členu 5 Pogodbe o Evropski uniji (PEU). To načelo pravi, da je ukrepanje na ravni EU mogoče le, če predvidenih ciljev na nižji ravni ni mogoče doseči.</w:t>
      </w:r>
    </w:p>
    <w:p>
      <w:pPr>
        <w:spacing w:after="240"/>
        <w:rPr>
          <w:noProof/>
        </w:rPr>
      </w:pPr>
      <w:r>
        <w:rPr>
          <w:noProof/>
        </w:rPr>
        <w:t xml:space="preserve">Obstoječe pomanjkanje jasnosti glede tega, kaj predstavlja okoljsko trajnostno gospodarsko dejavnost, bi se lahko še poslabšalo, če bi države članice poskušale na tem področju ukrepati vzporedno in brez usklajevanja. Glede na zavezanost ciljem okoljske in podnebne politike na mednarodni ravni (npr. Pariški sporazum) in na ravni EU, bo verjetno vse več držav članic preučilo možnost uvedbe znakov za trajnostne finančne produkte z uporabo svojih prilagojenih taksonomij. To bi še povečalo nacionalne ovire za delovanje kapitalskih trgov za zbiranje sredstev za trajnostne projekte. Različni sistemi klasifikacije bi povečali razdrobljenost trga in povzročili težave na področju konkurence, zaradi česar bi bilo razumevanje vlagateljev, kaj je trajnostno in kaj ne, težje in dražje. </w:t>
      </w:r>
    </w:p>
    <w:p>
      <w:pPr>
        <w:spacing w:after="240"/>
        <w:rPr>
          <w:noProof/>
        </w:rPr>
      </w:pPr>
      <w:r>
        <w:rPr>
          <w:noProof/>
        </w:rPr>
        <w:t>Merila za določanje, kaj predstavlja trajnostno dejavnost za naložbene namene, bi torej bilo treba standardizirati na ravni EU. Posledično bi bilo treba razviti enoten sistem klasifikacije EU na podlagi postopka, v katerem bi sodelovale vse zadevne zainteresirane strani. To bo gospodarskim subjektom olajšalo privabljanje kapitala za trajnostne naložbe iz celotne EU. To bo prvi korak k obravnavanju lažnega oglaševanja prijaznosti do okolja in bo vlagateljem omogočalo, da bodo lažje določili merila, uporabljena za klasifikacijo finančnih produktov kot „zelenih“ ali trajnostnih. Zato je predlog oblikovan tako, da obravnava pomanjkljivosti obstoječega pravnega okvira z določanjem standardnih meril za ugotavljanje, kaj je okoljska trajnostna naložba. Ukrep na ravni EU je učinkovitejši pri zagotavljanju enotnosti in pravne varnosti v zvezi z izvajanjem svoboščin na podlagi pogodbe.</w:t>
      </w:r>
    </w:p>
    <w:p>
      <w:pPr>
        <w:keepNext/>
        <w:outlineLvl w:val="1"/>
        <w:rPr>
          <w:rFonts w:eastAsia="Arial Unicode MS"/>
          <w:b/>
          <w:noProof/>
          <w:u w:color="000000"/>
          <w:bdr w:val="nil"/>
        </w:rPr>
      </w:pPr>
      <w:r>
        <w:rPr>
          <w:b/>
          <w:noProof/>
          <w:u w:color="000000"/>
          <w:bdr w:val="nil"/>
        </w:rPr>
        <w:t>•</w:t>
      </w:r>
      <w:r>
        <w:rPr>
          <w:noProof/>
        </w:rPr>
        <w:tab/>
      </w:r>
      <w:r>
        <w:rPr>
          <w:b/>
          <w:noProof/>
          <w:u w:color="000000"/>
          <w:bdr w:val="nil"/>
        </w:rPr>
        <w:t>Sorazmernost</w:t>
      </w:r>
    </w:p>
    <w:p>
      <w:pPr>
        <w:pBdr>
          <w:top w:val="nil"/>
          <w:left w:val="nil"/>
          <w:bottom w:val="nil"/>
          <w:right w:val="nil"/>
          <w:between w:val="nil"/>
          <w:bar w:val="nil"/>
        </w:pBdr>
        <w:spacing w:before="0" w:after="240"/>
        <w:rPr>
          <w:rFonts w:eastAsia="Arial Unicode MS"/>
          <w:noProof/>
        </w:rPr>
      </w:pPr>
      <w:r>
        <w:rPr>
          <w:noProof/>
        </w:rPr>
        <w:t xml:space="preserve">Ta predlog je v skladu z načelom sorazmernosti iz člena 5 PEU. Predlagani ukrepi ustvarjajo spodbude za naložbe v zelene dejavnosti, vendar ne na škodo drugih naložb. Potrebni so zato, da poskrbijo za večjo jasnost za vlagatelje, in sicer s standardiziranjem meril, ki se uporabljajo za določanje stopnje okoljske trajnosti, na ravni EU. Z zagotavljanjem standardnih meril bodo vlagatelji lažje opredelili relativno okoljsko trajnost določene naložbe ter primerjali naložbe na nacionalni ravni in med državami članicami. </w:t>
      </w:r>
    </w:p>
    <w:p>
      <w:pPr>
        <w:pBdr>
          <w:top w:val="nil"/>
          <w:left w:val="nil"/>
          <w:bottom w:val="nil"/>
          <w:right w:val="nil"/>
          <w:between w:val="nil"/>
          <w:bar w:val="nil"/>
        </w:pBdr>
        <w:spacing w:before="0" w:after="240"/>
        <w:rPr>
          <w:rFonts w:eastAsia="Arial Unicode MS"/>
          <w:noProof/>
        </w:rPr>
      </w:pPr>
      <w:r>
        <w:rPr>
          <w:noProof/>
        </w:rPr>
        <w:lastRenderedPageBreak/>
        <w:t xml:space="preserve">Predlog je namenjen obravnavanju odstopanj obstoječih nacionalnih taksonomij in tržnih pobud na nacionalni ravni, da bi se odpravilo tveganje lažnega oglaševanja prijaznosti do okolja, gospodarskim subjektom omogočilo čezmejno zbiranje sredstev za okoljske trajnostne dejavnosti in poskušalo vzpostaviti enake konkurenčne pogoje za vse udeležence na trgu. </w:t>
      </w:r>
    </w:p>
    <w:p>
      <w:pPr>
        <w:pBdr>
          <w:top w:val="nil"/>
          <w:left w:val="nil"/>
          <w:bottom w:val="nil"/>
          <w:right w:val="nil"/>
          <w:between w:val="nil"/>
          <w:bar w:val="nil"/>
        </w:pBdr>
        <w:spacing w:before="0" w:after="240"/>
        <w:rPr>
          <w:rFonts w:eastAsia="Arial Unicode MS"/>
          <w:noProof/>
        </w:rPr>
      </w:pPr>
      <w:r>
        <w:rPr>
          <w:noProof/>
        </w:rPr>
        <w:t xml:space="preserve">Kar zadeva stroške takšne uskladitve za udeležence na finančnem trgu, predlog uvaja obveznost razkritja le za subjekte, ki ponujajo finančne produkte, za katere trdijo, da so okoljsko trajnostni. To se bo začelo uporabljati šele takrat, ko bo oblikovan sistem klasifikacije EU. Poleg tega pristop iz tega predloga zagotavlja dovolj prožnosti za države članice, da se lahko odločijo o posebnih podrobnostih nacionalnih oznak, kot so prožnost za udeležence na finančnem trgu glede stopnje, do katere ponujeni finančni produkt vsebuje sredstva, ki veljajo kot okoljsko trajnostna v skladu s sistemom klasifikacije EU. </w:t>
      </w:r>
    </w:p>
    <w:p>
      <w:pPr>
        <w:pBdr>
          <w:top w:val="nil"/>
          <w:left w:val="nil"/>
          <w:bottom w:val="nil"/>
          <w:right w:val="nil"/>
          <w:between w:val="nil"/>
          <w:bar w:val="nil"/>
        </w:pBdr>
        <w:spacing w:before="0" w:after="240"/>
        <w:rPr>
          <w:rFonts w:eastAsia="Arial Unicode MS"/>
          <w:noProof/>
        </w:rPr>
      </w:pPr>
      <w:r>
        <w:rPr>
          <w:noProof/>
        </w:rPr>
        <w:t>Zato predlog ne presega tega, kar je potrebno za reševanje težav na ravni EU.</w:t>
      </w:r>
    </w:p>
    <w:p>
      <w:pPr>
        <w:keepNext/>
        <w:outlineLvl w:val="1"/>
        <w:rPr>
          <w:rFonts w:eastAsia="Arial Unicode MS"/>
          <w:b/>
          <w:noProof/>
          <w:u w:color="000000"/>
          <w:bdr w:val="nil"/>
        </w:rPr>
      </w:pPr>
      <w:r>
        <w:rPr>
          <w:b/>
          <w:noProof/>
          <w:u w:color="000000"/>
          <w:bdr w:val="nil"/>
        </w:rPr>
        <w:t>•</w:t>
      </w:r>
      <w:r>
        <w:rPr>
          <w:noProof/>
        </w:rPr>
        <w:tab/>
      </w:r>
      <w:r>
        <w:rPr>
          <w:b/>
          <w:noProof/>
          <w:u w:color="000000"/>
          <w:bdr w:val="nil"/>
        </w:rPr>
        <w:t>Izbira instrumenta</w:t>
      </w:r>
    </w:p>
    <w:p>
      <w:pPr>
        <w:pBdr>
          <w:top w:val="nil"/>
          <w:left w:val="nil"/>
          <w:bottom w:val="nil"/>
          <w:right w:val="nil"/>
          <w:between w:val="nil"/>
          <w:bar w:val="nil"/>
        </w:pBdr>
        <w:spacing w:before="0" w:after="240"/>
        <w:rPr>
          <w:rFonts w:eastAsia="Arial Unicode MS"/>
          <w:noProof/>
        </w:rPr>
      </w:pPr>
      <w:r>
        <w:rPr>
          <w:noProof/>
        </w:rPr>
        <w:t xml:space="preserve">Ta predlog je namenjen standardizaciji načina določanja stopnje okoljske trajnosti naložbe, in sicer z določitvijo meril, ki jih mora takšna naložba izpolnjevati, da bi se izognili različnim nacionalnim pristopom. Drugačna izbira instrumenta, kot so nezakonodajni ukrep ali direktiva o minimalni uskladitvi, bi državam članicam pustila diskrecijsko pravico pri opredelitvi okoljsko trajnostnih naložb, ki bi temeljila na različnih klasifikacijah gospodarskih dejavnosti Taka diskrecijska pravica bi lahko povečala razdrobljenost enotnega trga in bi lahko pomenila, da bodo finančni produkti s slabo okoljsko učinkovitost še vedno označeni kot „okoljsko trajnostni“. Ta predlog zagotavlja, da udeleženci na finančnem trgu, ki ponujajo finančne produkte kot okoljsko trajnostne naložbe ali naložbe s podobnimi značilnostmi, vlagateljem pojasnijo, zakaj takšni produkti lahko štejejo kot okoljsko trajnostni, in sicer na podlagi enotnih meril, določenih na ravni EU. Za dosego teh ciljev politike je potrebna uredba, ki se uporablja neposredno, kar zagotavlja popolno uskladitev. Uredba je tako najboljši način za zagotovitev popolne uskladitve, preprečevanje razlik in s tem zagotavljanje večje jasnosti za vse udeležence na trgu </w:t>
      </w:r>
    </w:p>
    <w:p>
      <w:pPr>
        <w:keepNext/>
        <w:spacing w:before="360"/>
        <w:outlineLvl w:val="0"/>
        <w:rPr>
          <w:b/>
          <w:smallCaps/>
          <w:noProof/>
        </w:rPr>
      </w:pPr>
      <w:r>
        <w:rPr>
          <w:b/>
          <w:smallCaps/>
          <w:noProof/>
        </w:rPr>
        <w:t>3.</w:t>
      </w:r>
      <w:r>
        <w:rPr>
          <w:noProof/>
        </w:rPr>
        <w:tab/>
      </w:r>
      <w:r>
        <w:rPr>
          <w:b/>
          <w:smallCaps/>
          <w:noProof/>
        </w:rPr>
        <w:t>REZULTATI NAKNADNIH OCEN, POSVETOVANJ Z ZAINTERESIRANIMI STRANMI IN OCEN UČINKA</w:t>
      </w:r>
    </w:p>
    <w:p>
      <w:pPr>
        <w:keepNext/>
        <w:outlineLvl w:val="1"/>
        <w:rPr>
          <w:rFonts w:eastAsia="Arial Unicode MS"/>
          <w:b/>
          <w:noProof/>
          <w:u w:color="000000"/>
          <w:bdr w:val="nil"/>
        </w:rPr>
      </w:pPr>
      <w:r>
        <w:rPr>
          <w:b/>
          <w:noProof/>
          <w:u w:color="000000"/>
          <w:bdr w:val="nil"/>
        </w:rPr>
        <w:t>•</w:t>
      </w:r>
      <w:r>
        <w:rPr>
          <w:noProof/>
        </w:rPr>
        <w:tab/>
      </w:r>
      <w:r>
        <w:rPr>
          <w:b/>
          <w:noProof/>
          <w:u w:color="000000"/>
          <w:bdr w:val="nil"/>
        </w:rPr>
        <w:t>Posvetovanja z zainteresiranimi stranmi</w:t>
      </w:r>
    </w:p>
    <w:p>
      <w:pPr>
        <w:rPr>
          <w:rFonts w:eastAsia="Arial Unicode MS"/>
          <w:noProof/>
        </w:rPr>
      </w:pPr>
      <w:r>
        <w:rPr>
          <w:noProof/>
        </w:rPr>
        <w:t>Stališča zainteresiranih strani so bila zbrana prek javnega posvetovanja o vmesnem poročilu strokovne skupine na visoki ravni za financiranje trajnostne rasti in ciljno usmerjenih pogovorov, ki jih je Komisija vodila s finančnimi institucijami. Zainteresiranim stranem je bilo postavljeno vprašanje, kaj bi morala taksonomija EU zajemati, ali so zaznali potrebo po regulativnem posegu in kakšno naj bilo prvotno področje uporabe taksonomije EU. Zbrana mnenja o navedenih treh temah je mogoče povzeti, kot sledi:</w:t>
      </w:r>
    </w:p>
    <w:p>
      <w:pPr>
        <w:pStyle w:val="Bullet1"/>
        <w:numPr>
          <w:ilvl w:val="0"/>
          <w:numId w:val="50"/>
        </w:numPr>
        <w:rPr>
          <w:noProof/>
        </w:rPr>
      </w:pPr>
      <w:r>
        <w:rPr>
          <w:noProof/>
        </w:rPr>
        <w:t>regulativno posredovanje EU – večina anketirancev je podprla razvoj taksonomije (tj. klasifikacijo trajnostnih gospodarskih dejavnosti) na ravni EU. Mnogi so bili mnenja, da bi morala taksonomija temeljiti na obstoječih mednarodnih okvirih (npr. cilji trajnostnega razvoja Združenih narodov) in klasifikacijah (npr. delo pobude Climate Bonds Initiative, Eurosif, delovna skupina za finančna razkritja v zvezi s podnebjem itd.) ali jih vsaj upoštevati.</w:t>
      </w:r>
    </w:p>
    <w:p>
      <w:pPr>
        <w:pStyle w:val="Bullet1"/>
        <w:rPr>
          <w:noProof/>
        </w:rPr>
      </w:pPr>
      <w:r>
        <w:rPr>
          <w:noProof/>
        </w:rPr>
        <w:lastRenderedPageBreak/>
        <w:t>Področje uporabe – večina anketirancev je navedla, da bi morala taksonomija EU sčasoma zajeti vse cilje glede trajnosti (okoljske in socialne). Nekateri anketiranci so se zavzeli za postopen pristop, začenši z okoljem.</w:t>
      </w:r>
    </w:p>
    <w:p>
      <w:pPr>
        <w:pStyle w:val="Bullet1"/>
        <w:rPr>
          <w:noProof/>
        </w:rPr>
      </w:pPr>
      <w:r>
        <w:rPr>
          <w:noProof/>
        </w:rPr>
        <w:t>Raven podrobnosti – zainteresirane strani so izrazile različna mnenja glede ravni podrobnosti, ki bi jo morala imeti taksonomija EU. Čeprav je finančni sektor na splošno dal prednost neobvezujoči taksonomiji, pa so se druge zainteresirane strani (posamezniki in civilna družba) zavzele za natančnejšo taksonomijo, ki zagotavlja jasne opredelitve in (merljiva) merila.</w:t>
      </w:r>
    </w:p>
    <w:p>
      <w:pPr>
        <w:pBdr>
          <w:top w:val="nil"/>
          <w:left w:val="nil"/>
          <w:bottom w:val="nil"/>
          <w:right w:val="nil"/>
          <w:between w:val="nil"/>
          <w:bar w:val="nil"/>
        </w:pBdr>
        <w:spacing w:before="0" w:after="240"/>
        <w:rPr>
          <w:rFonts w:eastAsia="Arial Unicode MS"/>
          <w:noProof/>
        </w:rPr>
      </w:pPr>
      <w:r>
        <w:rPr>
          <w:noProof/>
        </w:rPr>
        <w:t>Predlog Komisije je na splošno skladen z mnenji zainteresiranih strani, v kolikor: i) določa enotna merila in jasen postopek za uvedbo taksonomije okoljsko trajnostnih dejavnosti v pravno zavezujočem aktu na podlagi okoljskih ciljev; ii) zagotavlja, da taksonomija EU temelji na obstoječih mednarodnih okvirih ter je dovolj razčlenjena in podrobna, da zagotavlja podlago za skupen in edinstven jezik v zvezi s trajnostjo; iii) zagotavlja klavzulo o pregledu, da bi lahko zajeli tudi socialne cilje. S tem bi morali rešiti sedanjo razdrobljenost in zagotoviti potrebno jasnost za vlagatelje glede tega, kaj so okoljsko trajnostne gospodarske dejavnosti.</w:t>
      </w:r>
    </w:p>
    <w:p>
      <w:pPr>
        <w:keepNext/>
        <w:outlineLvl w:val="1"/>
        <w:rPr>
          <w:rFonts w:eastAsia="Arial Unicode MS"/>
          <w:b/>
          <w:noProof/>
          <w:color w:val="0000FF"/>
        </w:rPr>
      </w:pPr>
      <w:r>
        <w:rPr>
          <w:b/>
          <w:noProof/>
          <w:u w:color="000000"/>
          <w:bdr w:val="nil"/>
        </w:rPr>
        <w:t>•</w:t>
      </w:r>
      <w:r>
        <w:rPr>
          <w:noProof/>
        </w:rPr>
        <w:tab/>
      </w:r>
      <w:r>
        <w:rPr>
          <w:b/>
          <w:noProof/>
          <w:u w:color="000000"/>
          <w:bdr w:val="nil"/>
        </w:rPr>
        <w:t>Zbiranje in uporaba strokovnih mnenj</w:t>
      </w:r>
    </w:p>
    <w:p>
      <w:pPr>
        <w:pBdr>
          <w:top w:val="nil"/>
          <w:left w:val="nil"/>
          <w:bottom w:val="nil"/>
          <w:right w:val="nil"/>
          <w:between w:val="nil"/>
          <w:bar w:val="nil"/>
        </w:pBdr>
        <w:spacing w:before="0" w:after="240"/>
        <w:rPr>
          <w:noProof/>
        </w:rPr>
      </w:pPr>
      <w:r>
        <w:rPr>
          <w:noProof/>
        </w:rPr>
        <w:t>Predlog temelji na končnem poročilu strokovne skupine na visoki ravni za financiranje trajnostne rasti, v katerem se priporoča oblikovanje in vzdrževanje skupne taksonomije za trajnost na ravni EU. V skladu s tem poročilom bi morala ta skupna klasifikacija EU za trajnostne dejavnosti:</w:t>
      </w:r>
    </w:p>
    <w:p>
      <w:pPr>
        <w:pStyle w:val="Bullet1"/>
        <w:rPr>
          <w:noProof/>
        </w:rPr>
      </w:pPr>
      <w:r>
        <w:rPr>
          <w:noProof/>
        </w:rPr>
        <w:t>biti usklajena z navedenimi javnimi cilji politik EU, vključno z izvajanjem Pariškega sporazuma in cilji trajnostnega razvoja;</w:t>
      </w:r>
    </w:p>
    <w:p>
      <w:pPr>
        <w:pStyle w:val="Bullet1"/>
        <w:rPr>
          <w:noProof/>
        </w:rPr>
      </w:pPr>
      <w:r>
        <w:rPr>
          <w:noProof/>
        </w:rPr>
        <w:t>zagotoviti smernice za udeležence na kapitalskem trgu glede pomena določenih dejavnosti ali njihovega prispevka;</w:t>
      </w:r>
    </w:p>
    <w:p>
      <w:pPr>
        <w:pStyle w:val="Bullet1"/>
        <w:rPr>
          <w:noProof/>
        </w:rPr>
      </w:pPr>
      <w:r>
        <w:rPr>
          <w:noProof/>
        </w:rPr>
        <w:t>parametri za taksonomijo in podatki, na katerih temeljijo, bi morali biti prosto dostopni, in treba bi jih bilo razviti v postopku z več zainteresiranim stranmi, da se zagotovi odkup na trgu;</w:t>
      </w:r>
    </w:p>
    <w:p>
      <w:pPr>
        <w:pStyle w:val="Bullet1"/>
        <w:rPr>
          <w:noProof/>
        </w:rPr>
      </w:pPr>
      <w:r>
        <w:rPr>
          <w:noProof/>
        </w:rPr>
        <w:t>biti orodje, ki se razvija. Znanost o trajnosti je dinamična in se še razvija, enako pa velja tudi za socialna pričakovanja ter potrebe vlagateljev in trga. Zato bi morala taksonomija predstavljati najboljše znanje, ki nam je trenutno na voljo, in jo bo treba stalno pregledovati.</w:t>
      </w:r>
    </w:p>
    <w:p>
      <w:pPr>
        <w:pBdr>
          <w:top w:val="nil"/>
          <w:left w:val="nil"/>
          <w:bottom w:val="nil"/>
          <w:right w:val="nil"/>
          <w:between w:val="nil"/>
          <w:bar w:val="nil"/>
        </w:pBdr>
        <w:spacing w:before="0" w:after="240"/>
        <w:rPr>
          <w:noProof/>
        </w:rPr>
      </w:pPr>
      <w:r>
        <w:rPr>
          <w:noProof/>
        </w:rPr>
        <w:t>Poleg tega predlog temelji na študiji „Opredelitev ‚zelenega‘ v okviru zelenega financiranja“, ki jo je Komisija naročila leta 2017 in predstavlja:</w:t>
      </w:r>
    </w:p>
    <w:p>
      <w:pPr>
        <w:pStyle w:val="Bullet1"/>
        <w:rPr>
          <w:noProof/>
        </w:rPr>
      </w:pPr>
      <w:r>
        <w:rPr>
          <w:noProof/>
        </w:rPr>
        <w:t>pregled in analizo svetovnih prizadevanj za opredelitev „zelenega“ v okviru zelenih obveznic, posojanja in lastniškega kapitala, ki kotira na borzi;</w:t>
      </w:r>
    </w:p>
    <w:p>
      <w:pPr>
        <w:pStyle w:val="Bullet1"/>
        <w:rPr>
          <w:noProof/>
        </w:rPr>
      </w:pPr>
      <w:r>
        <w:rPr>
          <w:noProof/>
        </w:rPr>
        <w:t>način in področje uporabe za opredelitev „zelenih“ sredstev in dejavnosti s konceptualnimi opredelitvami, taksonomijami, metodologijami ocenjevanja in drugimi mehanizmi;</w:t>
      </w:r>
    </w:p>
    <w:p>
      <w:pPr>
        <w:pStyle w:val="Bullet1"/>
        <w:rPr>
          <w:noProof/>
        </w:rPr>
      </w:pPr>
      <w:r>
        <w:rPr>
          <w:noProof/>
        </w:rPr>
        <w:t>seznam razpoložljivih „zelenih“ opredelitev, opisov in ocen izbranih opredelitev pojmov, pa tudi primerjavo razpoložljivih „zelenih“ sektorskih taksonomij.</w:t>
      </w:r>
    </w:p>
    <w:p>
      <w:pPr>
        <w:pBdr>
          <w:top w:val="nil"/>
          <w:left w:val="nil"/>
          <w:bottom w:val="nil"/>
          <w:right w:val="nil"/>
          <w:between w:val="nil"/>
          <w:bar w:val="nil"/>
        </w:pBdr>
        <w:spacing w:before="0" w:after="240"/>
        <w:rPr>
          <w:noProof/>
        </w:rPr>
      </w:pPr>
      <w:r>
        <w:rPr>
          <w:noProof/>
        </w:rPr>
        <w:t xml:space="preserve">S tem predlogom se začenja postopen proces za vzpostavitev sistema klasifikacije EU, ki vključuje široko paleto zainteresiranih strani z ustreznim znanjem in izkušnjami. Kot prvi </w:t>
      </w:r>
      <w:r>
        <w:rPr>
          <w:noProof/>
        </w:rPr>
        <w:lastRenderedPageBreak/>
        <w:t>korak ta predlog določa okvir za oblikovanje enotnih meril za prikaz, kdaj se ekonomska dejavnost lahko šteje kot okoljsko trajnostna. Komisija bo nato opredelila dejavnosti, ki se bodo štele za trajnostne, pri tem pa bo upoštevala tehnični nasvet platforme o financiranju trajnostne rasti, ki jo sestavljajo strokovnjaki.</w:t>
      </w:r>
    </w:p>
    <w:p>
      <w:pPr>
        <w:pBdr>
          <w:top w:val="nil"/>
          <w:left w:val="nil"/>
          <w:bottom w:val="nil"/>
          <w:right w:val="nil"/>
          <w:between w:val="nil"/>
          <w:bar w:val="nil"/>
        </w:pBdr>
        <w:spacing w:before="0" w:after="240"/>
        <w:rPr>
          <w:noProof/>
        </w:rPr>
      </w:pPr>
      <w:r>
        <w:rPr>
          <w:noProof/>
        </w:rPr>
        <w:t xml:space="preserve">Ta pristop odraža dejstvo, da se znanje o vplivih na okolje in strokovno znanje s tega področja hitro razvijata. Pravni okvir mora zato ostati dovolj prožen, da se lahko po potrebi posodobi glede na prihodnji znanstveni, tehnološki in tržni razvoj. Drugič, ta predlog upošteva visoko raven kompleksnosti, podrobnosti, razčlenjenosti in posledično potrebne vire, ki so takšni, da bo treba klasifikacijo EU oblikovati postopoma, začenši s tistimi okoljskimi področji, kjer je ukrepanje najnujnejše in je znanje bolj napredovalo. </w:t>
      </w:r>
    </w:p>
    <w:p>
      <w:pPr>
        <w:keepNext/>
        <w:outlineLvl w:val="1"/>
        <w:rPr>
          <w:rFonts w:eastAsia="Arial Unicode MS"/>
          <w:b/>
          <w:noProof/>
          <w:u w:color="000000"/>
          <w:bdr w:val="nil"/>
        </w:rPr>
      </w:pPr>
      <w:r>
        <w:rPr>
          <w:b/>
          <w:noProof/>
          <w:u w:color="000000"/>
          <w:bdr w:val="nil"/>
        </w:rPr>
        <w:t>•</w:t>
      </w:r>
      <w:r>
        <w:rPr>
          <w:noProof/>
        </w:rPr>
        <w:tab/>
      </w:r>
      <w:r>
        <w:rPr>
          <w:b/>
          <w:noProof/>
          <w:u w:color="000000"/>
          <w:bdr w:val="nil"/>
        </w:rPr>
        <w:t>Ocena učinka</w:t>
      </w:r>
    </w:p>
    <w:p>
      <w:pPr>
        <w:autoSpaceDE w:val="0"/>
        <w:autoSpaceDN w:val="0"/>
        <w:adjustRightInd w:val="0"/>
        <w:spacing w:before="0" w:after="0"/>
        <w:rPr>
          <w:rFonts w:eastAsia="Arial Unicode MS"/>
          <w:noProof/>
          <w:szCs w:val="24"/>
        </w:rPr>
      </w:pPr>
      <w:r>
        <w:rPr>
          <w:noProof/>
        </w:rPr>
        <w:t>Predlog upošteva mnenja (pozitivno mnenje s pridržki, izdano 14. maja 2018, in prejšnji dve negativni mnenji), ki jih je izdal Odbor za regulativni nadzor. Predlog in revidirana ocena učinka obravnavata pripombe Odbora za regulativni nadzor, ki je v svojih mnenjih zaključil, da so pred nadaljevanjem s to pobudo potrebne prilagoditve.</w:t>
      </w:r>
    </w:p>
    <w:p>
      <w:pPr>
        <w:autoSpaceDE w:val="0"/>
        <w:autoSpaceDN w:val="0"/>
        <w:adjustRightInd w:val="0"/>
        <w:spacing w:before="0" w:after="0"/>
        <w:rPr>
          <w:rFonts w:eastAsia="Arial Unicode MS"/>
          <w:noProof/>
          <w:szCs w:val="24"/>
        </w:rPr>
      </w:pPr>
      <w:r>
        <w:rPr>
          <w:noProof/>
        </w:rPr>
        <w:t>Pripombe, prejete v okviru pozitivnega tretjega mnenja, so se osredotočile na:</w:t>
      </w:r>
    </w:p>
    <w:p>
      <w:pPr>
        <w:pStyle w:val="Bullet1"/>
        <w:rPr>
          <w:noProof/>
        </w:rPr>
      </w:pPr>
      <w:r>
        <w:rPr>
          <w:noProof/>
        </w:rPr>
        <w:t>zagotavljanje jasnosti glede operacionalizacije pojmov „neškodovanja“ in „bistvenega prispevka k trajnosti“;</w:t>
      </w:r>
    </w:p>
    <w:p>
      <w:pPr>
        <w:pStyle w:val="Bullet1"/>
        <w:rPr>
          <w:noProof/>
        </w:rPr>
      </w:pPr>
      <w:r>
        <w:rPr>
          <w:noProof/>
        </w:rPr>
        <w:t>zagotavljanje, da okvir spremljanja in ocenjevanja vključuje vprašanja in tveganja, ki jih je treba upoštevati pri oblikovanju tehničnih meril za pregled;</w:t>
      </w:r>
    </w:p>
    <w:p>
      <w:pPr>
        <w:pStyle w:val="Bullet1"/>
        <w:rPr>
          <w:noProof/>
        </w:rPr>
      </w:pPr>
      <w:r>
        <w:rPr>
          <w:noProof/>
        </w:rPr>
        <w:t>večjo preglednost razmerja med stroški in učinki pri primerjavi možnosti.</w:t>
      </w:r>
    </w:p>
    <w:p>
      <w:pPr>
        <w:autoSpaceDE w:val="0"/>
        <w:autoSpaceDN w:val="0"/>
        <w:adjustRightInd w:val="0"/>
        <w:spacing w:before="0" w:after="0"/>
        <w:rPr>
          <w:rFonts w:eastAsia="Arial Unicode MS"/>
          <w:noProof/>
          <w:szCs w:val="24"/>
        </w:rPr>
      </w:pPr>
      <w:r>
        <w:rPr>
          <w:noProof/>
        </w:rPr>
        <w:t>Ta vprašanja so bila obravnavana v zadnji revidirani različici ocene učinka.</w:t>
      </w:r>
    </w:p>
    <w:p>
      <w:pPr>
        <w:autoSpaceDE w:val="0"/>
        <w:autoSpaceDN w:val="0"/>
        <w:adjustRightInd w:val="0"/>
        <w:spacing w:before="0" w:after="0"/>
        <w:rPr>
          <w:rFonts w:eastAsia="Arial Unicode MS"/>
          <w:noProof/>
          <w:szCs w:val="24"/>
        </w:rPr>
      </w:pPr>
      <w:r>
        <w:rPr>
          <w:noProof/>
        </w:rPr>
        <w:t>Pripombe, ki jih je prej posredoval Odbor za regulativni nadzor, so bile v celoti obravnavane v predlogu in priloženi revidirani oceni učinka in jih je mogoče združiti v tri širša področja:</w:t>
      </w:r>
    </w:p>
    <w:p>
      <w:pPr>
        <w:autoSpaceDE w:val="0"/>
        <w:autoSpaceDN w:val="0"/>
        <w:adjustRightInd w:val="0"/>
        <w:spacing w:before="0" w:after="0"/>
        <w:rPr>
          <w:rFonts w:eastAsia="Arial Unicode MS"/>
          <w:noProof/>
        </w:rPr>
      </w:pPr>
      <w:r>
        <w:rPr>
          <w:noProof/>
        </w:rPr>
        <w:t>Odbor za regulativni nadzor je najprej in bolj na splošno predlagal, da bi morala ocena učinka bolje pojasniti obseg uporabe, zaporedje in skladnost različnih ukrepov, vključno s taksonomijo in njenim razmerjem do drugih predlogov. V končno različico ocene učinka so bile tako vključene naslednje izboljšave:</w:t>
      </w:r>
    </w:p>
    <w:p>
      <w:pPr>
        <w:pStyle w:val="Bullet1"/>
        <w:rPr>
          <w:noProof/>
        </w:rPr>
      </w:pPr>
      <w:r>
        <w:rPr>
          <w:noProof/>
        </w:rPr>
        <w:t>takojšnje in morebitne prihodnje uporabe taksonomije so bile bolje opisane, prav tako pa tudi njihovo uresničevanje;</w:t>
      </w:r>
    </w:p>
    <w:p>
      <w:pPr>
        <w:pStyle w:val="Bullet1"/>
        <w:rPr>
          <w:noProof/>
        </w:rPr>
      </w:pPr>
      <w:r>
        <w:rPr>
          <w:noProof/>
        </w:rPr>
        <w:t xml:space="preserve">pojasnjeno je bilo, da bo pred sprejetjem vsakega delegiranega akta o oblikovanju tehničnih meril za pregled opravljena ocena učinka narave in obsega stroškov na zainteresirane strani; </w:t>
      </w:r>
    </w:p>
    <w:p>
      <w:pPr>
        <w:pStyle w:val="Bullet1"/>
        <w:rPr>
          <w:noProof/>
        </w:rPr>
      </w:pPr>
      <w:r>
        <w:rPr>
          <w:noProof/>
        </w:rPr>
        <w:t xml:space="preserve">pojasnjeni sta bili doslednost in dopolnjevanje z obstoječo zakonodajo in politikami EU na drugih področjih (npr. okolje in podnebje, energija, promet); </w:t>
      </w:r>
    </w:p>
    <w:p>
      <w:pPr>
        <w:pStyle w:val="Bullet1"/>
        <w:rPr>
          <w:noProof/>
        </w:rPr>
      </w:pPr>
      <w:r>
        <w:rPr>
          <w:noProof/>
        </w:rPr>
        <w:t>razloženo je bilo zaporedje in medsebojni vpliv med „okoljsko taksonomijo“ in „socialno taksonomijo“;</w:t>
      </w:r>
    </w:p>
    <w:p>
      <w:pPr>
        <w:pStyle w:val="Bullet1"/>
        <w:rPr>
          <w:noProof/>
        </w:rPr>
      </w:pPr>
      <w:r>
        <w:rPr>
          <w:noProof/>
        </w:rPr>
        <w:t xml:space="preserve">pojasnjeno je bilo, kako bi se taksonomija sčasoma razširila in posodabljala, ter s tem povezani ocenjeni upravni stroški; </w:t>
      </w:r>
    </w:p>
    <w:p>
      <w:pPr>
        <w:pStyle w:val="Bullet1"/>
        <w:rPr>
          <w:noProof/>
        </w:rPr>
      </w:pPr>
      <w:r>
        <w:rPr>
          <w:noProof/>
        </w:rPr>
        <w:t>pojasnjeno je bilo, kako bi se sozakonodajalca obveščala/vključila v oblikovanje tehničnih meril za pregled.</w:t>
      </w:r>
    </w:p>
    <w:p>
      <w:pPr>
        <w:autoSpaceDE w:val="0"/>
        <w:autoSpaceDN w:val="0"/>
        <w:adjustRightInd w:val="0"/>
        <w:spacing w:before="0" w:after="0"/>
        <w:rPr>
          <w:rFonts w:eastAsia="Arial Unicode MS"/>
          <w:noProof/>
          <w:szCs w:val="24"/>
        </w:rPr>
      </w:pPr>
      <w:r>
        <w:rPr>
          <w:noProof/>
        </w:rPr>
        <w:t xml:space="preserve">Poleg tega je Odbor za regulativni nadzor izrazil pomisleke glede takojšnje uporabe taksonomije in tveganj, povezanih s tem, da postane takšna uporaba obvezna za udeležence na </w:t>
      </w:r>
      <w:r>
        <w:rPr>
          <w:noProof/>
        </w:rPr>
        <w:lastRenderedPageBreak/>
        <w:t>finančnem trgu, preden je taksonomija dosegla zadostno stabilnost in zrelost. Predlagano pravno besedilo, ki temelji na končni in revidirani oceni učinka, te pomisleke obravnava, kot sledi:</w:t>
      </w:r>
    </w:p>
    <w:p>
      <w:pPr>
        <w:pStyle w:val="Bullet1"/>
        <w:rPr>
          <w:noProof/>
        </w:rPr>
      </w:pPr>
      <w:r>
        <w:rPr>
          <w:b/>
          <w:noProof/>
        </w:rPr>
        <w:t>številne določbe v tem predlogu zagotavljajo, da se bo taksonomija uporabljala šele takrat, ko bo ta stabilna in zrela</w:t>
      </w:r>
      <w:r>
        <w:rPr>
          <w:noProof/>
        </w:rPr>
        <w:t>, da se preprečijo nesorazmerni stroški za udeležence na finančnem trgu. Cilj teh zaščitnih ukrepov je, da bo uporaba taksonomije možna le ob koncu posvetovanja z zainteresiranimi stranmi, ki je omogočilo odkup in dobro razumevanje pojma:</w:t>
      </w:r>
    </w:p>
    <w:p>
      <w:pPr>
        <w:pStyle w:val="Tiret2"/>
        <w:numPr>
          <w:ilvl w:val="0"/>
          <w:numId w:val="51"/>
        </w:numPr>
        <w:rPr>
          <w:noProof/>
        </w:rPr>
      </w:pPr>
      <w:r>
        <w:rPr>
          <w:noProof/>
        </w:rPr>
        <w:t>člen 18 določa, da se operativni del te uredbe (členi od 3 do 12) začne uporabljati šest mesecev po začetku veljavnosti delegiranih aktov. To pomeni, da se od udeležencev na finančnem trgu ne zahteva, da uporabljajo merila za okoljsko trajnostne gospodarske dejavnosti, dokler ne bodo imeli dovolj časa za pripravo ter seznanitev s predpisi in njihovo uporabo;</w:t>
      </w:r>
    </w:p>
    <w:p>
      <w:pPr>
        <w:pStyle w:val="Tiret2"/>
        <w:rPr>
          <w:noProof/>
        </w:rPr>
      </w:pPr>
      <w:r>
        <w:rPr>
          <w:noProof/>
        </w:rPr>
        <w:t xml:space="preserve">udeleženci na finančnem trgu, ki finančne produkte tržijo kot okoljsko trajnostne, bodo morali zagotoviti ustrezno razkritje. Vendar ta predlog zagotavlja, da so zadevne obveznosti v zvezi z razkritjem takšne, da ne povzročajo nesorazmernega bremena za zadevne udeležence na finančnem trgu. Člen 4 zahteva, da razkrijejo, kako in v kakšnem obsegu so bila merila za določanje okoljske trajnosti naložbe, kot so določena v skladu s taksonomijo, upoštevana v procesu sprejemanja naložbenih odločitev. Delegirani akti bodo določili natančen obseg te obveznosti glede razkritja na podlagi temeljite ocene učinka; </w:t>
      </w:r>
    </w:p>
    <w:p>
      <w:pPr>
        <w:pStyle w:val="Tiret2"/>
        <w:rPr>
          <w:noProof/>
        </w:rPr>
      </w:pPr>
      <w:r>
        <w:rPr>
          <w:noProof/>
        </w:rPr>
        <w:t>upravljavci referenčnih vrednosti za nizke emisije ogljika in za ugodno ogljično bilanco bodo lahko oblikovali svoje metodologije in s tem povezane obveznosti razkritja, ne da bi morali uporabljati taksonomijo, ki bo predstavljala le referenco za izbiro temeljnih sredstev referenčne vrednosti.</w:t>
      </w:r>
    </w:p>
    <w:p>
      <w:pPr>
        <w:autoSpaceDE w:val="0"/>
        <w:autoSpaceDN w:val="0"/>
        <w:adjustRightInd w:val="0"/>
        <w:spacing w:before="0" w:after="0"/>
        <w:rPr>
          <w:rFonts w:eastAsia="Arial Unicode MS"/>
          <w:noProof/>
          <w:szCs w:val="24"/>
        </w:rPr>
      </w:pPr>
      <w:r>
        <w:rPr>
          <w:noProof/>
        </w:rPr>
        <w:t>Odbor za regulativni nadzor je bil zaskrbljen tudi zaradi načina, na katerega se bo uresničevalo šest okoljskih ciljev taksonomije, kot so določeni v členu 5, zlasti v zvezi s pojmom „neškodovanja“ in njegovim vzajemnim delovanjem z obstoječo zakonodajo Unije, ter pojmom „bistvenega prispevka k trajnosti“. S tem povezan pomislek se nanaša na vprašanje morebitnega izkrivljanja konkurence pri določanju heterogenih meril za različne podsektorje. Ti pomisleki so bili upoštevani v oceni učinka, v pravnem besedilu pa so obravnavani, kot sledi:</w:t>
      </w:r>
    </w:p>
    <w:p>
      <w:pPr>
        <w:pStyle w:val="Bullet1"/>
        <w:rPr>
          <w:noProof/>
        </w:rPr>
      </w:pPr>
      <w:r>
        <w:rPr>
          <w:noProof/>
        </w:rPr>
        <w:t xml:space="preserve">v uvodnih izjavah je poudarjeno, da bo v delegiranih aktih o določitvi tehničnih meril za pregled opravljena temeljita ocena učinka za vsakega od šestih okoljskih ciljev. Pooblastilo Komisiji določa, da se bosta oba sklopa meril – tista, ki izpolnjujejo zahtevo po načelu „neškodovanja“ in tista, ki določajo za „bistven prispevek k trajnosti“ dejavnosti – za vsakega od šestih ciljev obravnavala skupaj v posamičnih delegiranih aktih; </w:t>
      </w:r>
    </w:p>
    <w:p>
      <w:pPr>
        <w:pStyle w:val="Bullet1"/>
        <w:rPr>
          <w:noProof/>
        </w:rPr>
      </w:pPr>
      <w:r>
        <w:rPr>
          <w:noProof/>
        </w:rPr>
        <w:t xml:space="preserve">člen 14(1)(d) </w:t>
      </w:r>
      <w:r>
        <w:rPr>
          <w:noProof/>
          <w:color w:val="000000"/>
        </w:rPr>
        <w:t>zahteva, da razvoj tehničnih meril za pregled upošteva vso ustrezno obstoječo zakonodajo EU;</w:t>
      </w:r>
      <w:r>
        <w:rPr>
          <w:noProof/>
        </w:rPr>
        <w:t xml:space="preserve"> </w:t>
      </w:r>
    </w:p>
    <w:p>
      <w:pPr>
        <w:pStyle w:val="Bullet1"/>
        <w:rPr>
          <w:noProof/>
        </w:rPr>
      </w:pPr>
      <w:r>
        <w:rPr>
          <w:noProof/>
        </w:rPr>
        <w:t xml:space="preserve">člen 14(1)(h) določa, da tehnična merila za pregled priznavajo tveganje nasedlih naložb in morebitni učinek predlaganih ukrepov na likvidnost trga. Ta tveganja, pa tudi vsa možna tveganja za nastanek neskladnih spodbud, bo treba </w:t>
      </w:r>
      <w:r>
        <w:rPr>
          <w:noProof/>
        </w:rPr>
        <w:lastRenderedPageBreak/>
        <w:t>natančno oceniti pri oblikovanju tehničnih meril za pregled kot dela delegiranih aktov, opisanih v členu 14;</w:t>
      </w:r>
    </w:p>
    <w:p>
      <w:pPr>
        <w:pStyle w:val="Bullet1"/>
        <w:rPr>
          <w:noProof/>
        </w:rPr>
      </w:pPr>
      <w:r>
        <w:rPr>
          <w:noProof/>
        </w:rPr>
        <w:t>člen 14(1)(i) določa, da se bodo delegirani akti oblikovali za vsak cilj posebej, v vseh zadevnih sektorjih, da ne bi prišlo do izkrivljanja konkurence. Uvodna izjava 27 podpira to določbo;</w:t>
      </w:r>
    </w:p>
    <w:p>
      <w:pPr>
        <w:pStyle w:val="Bullet1"/>
        <w:rPr>
          <w:noProof/>
        </w:rPr>
      </w:pPr>
      <w:r>
        <w:rPr>
          <w:noProof/>
        </w:rPr>
        <w:t>člen 18 določa dodatne zaščitne ukrepe za uporabo taksonomije s strani udeležencev na finančnem trgu, ki odložijo uporabo operativnih določb iz te uredbe. To zagotavlja, da se za udeležence na finančnem trgu ne uvedejo dodatne obveznosti, dokler ni zagotovljena ustrezna jasnost glede vsebine taksonomije in skladnosti z njo.</w:t>
      </w:r>
    </w:p>
    <w:p>
      <w:pPr>
        <w:autoSpaceDE w:val="0"/>
        <w:autoSpaceDN w:val="0"/>
        <w:adjustRightInd w:val="0"/>
        <w:spacing w:before="0" w:after="0"/>
        <w:jc w:val="left"/>
        <w:rPr>
          <w:rFonts w:eastAsia="Arial Unicode MS"/>
          <w:noProof/>
        </w:rPr>
      </w:pPr>
      <w:r>
        <w:rPr>
          <w:noProof/>
        </w:rPr>
        <w:t>Predlog je v skladu z ugotovitvami iz ocene učinka o najprimernejši možnosti.</w:t>
      </w:r>
    </w:p>
    <w:p>
      <w:pPr>
        <w:autoSpaceDE w:val="0"/>
        <w:autoSpaceDN w:val="0"/>
        <w:adjustRightInd w:val="0"/>
        <w:spacing w:before="0" w:after="0"/>
        <w:jc w:val="left"/>
        <w:rPr>
          <w:rFonts w:eastAsia="Arial Unicode MS"/>
          <w:noProof/>
        </w:rPr>
      </w:pPr>
      <w:r>
        <w:rPr>
          <w:noProof/>
        </w:rPr>
        <w:t>Splošne alternativne možnosti politike, preučene v oceni učinka, so bile naslednje:</w:t>
      </w:r>
    </w:p>
    <w:p>
      <w:pPr>
        <w:pStyle w:val="Bullet1"/>
        <w:rPr>
          <w:noProof/>
        </w:rPr>
      </w:pPr>
      <w:r>
        <w:rPr>
          <w:noProof/>
        </w:rPr>
        <w:t>brez ukrepanja EU (možnost 1),</w:t>
      </w:r>
    </w:p>
    <w:p>
      <w:pPr>
        <w:pStyle w:val="Bullet1"/>
        <w:rPr>
          <w:noProof/>
        </w:rPr>
      </w:pPr>
      <w:r>
        <w:rPr>
          <w:noProof/>
        </w:rPr>
        <w:t>okoljska taksonomija EU s srednjo stopnjo razčlenjenosti (možnost 2),</w:t>
      </w:r>
    </w:p>
    <w:p>
      <w:pPr>
        <w:pStyle w:val="Bullet1"/>
        <w:rPr>
          <w:noProof/>
        </w:rPr>
      </w:pPr>
      <w:r>
        <w:rPr>
          <w:noProof/>
        </w:rPr>
        <w:t>okoljska taksonomija EU z visoko stopnjo razčlenjenosti (možnost 3).</w:t>
      </w:r>
    </w:p>
    <w:p>
      <w:pPr>
        <w:rPr>
          <w:noProof/>
        </w:rPr>
      </w:pPr>
      <w:r>
        <w:rPr>
          <w:noProof/>
        </w:rPr>
        <w:t xml:space="preserve">V skladu s prvo možnostjo se bodo tržno vodene pobude ali tržne spodbude z različnimi področji uporabe verjetno dodatno razvijale in konkurirale s klasifikacijami, ki jih bodo v prihodnosti razvili javni organi (na primer EIB), zato v srednjeročnem in dolgoročnem obdobju verjetno ne bo prišlo do pojava doslednega in enotnega sistema klasifikacije za trajnostne dejavnosti. To bi verjetno omejilo možnost preusmeritve kapitalskih tokov k ciljem glede trajnosti. Možnost 2 pa po drugi strani predvideva opredelitev šestih okoljskih ciljev EU ter opredelitev in klasifikacijo gospodarskih dejavnosti (razdeljenih po makro-sektorjih, sektorjih in podsektorjih), ki nedvoumno prispevajo h kateremu koli od teh ciljev. Vendar pa pomanjkanje bolj razčlenjenih tehničnih meril za pregled vzbuja dvome glede tega, (i) kako „zelena“ je v resnici taksonomija v skladu z možnostjo 2 (saj bi lahko dajala prednost gospodarskim dejavnostim v podsektorju, opredeljenim kot „zelene“, čeprav bi bila njihova okoljska učinkovitost slaba) in (ii) kakšen je prispevek k določenemu okoljskemu cilju EU (npr. zaradi pomanjkanja merljivih vplivov sta težja tudi zbiranje in spremljanje podatkov). </w:t>
      </w:r>
    </w:p>
    <w:p>
      <w:pPr>
        <w:rPr>
          <w:rFonts w:eastAsia="Arial Unicode MS"/>
          <w:noProof/>
        </w:rPr>
      </w:pPr>
      <w:r>
        <w:rPr>
          <w:noProof/>
        </w:rPr>
        <w:t>Možnost 3 – ki namesto tega predvideva oblikovanje tehničnih meril za pregled za posamezne podsektorje in okoljski cilj EU, h kateremu podsektorji prispevajo – je najprimernejša možnost, saj zagotavlja popolno jasnost, katere dejavnosti so okoljsko trajnostne, tudi z odpravo glavnih pomanjkljivosti, ugotovljenih v okviru manj razčlenjene taksonomije (možnost 2). Glede gospodarskih vplivov bi enotna klasifikacija na ravni EU pomagala pri določanju, katere dejavnosti se lahko štejejo za trajnostne, in pošiljanju ustreznih signalov gospodarskim subjektom, kar bi politične cilje EU „prevedlo“ v oprijemljive smernice za določanje ustreznih projektov ali naložb. To bi lahko pripomoglo k usmerjanju več tokov kapitala v trajnostne naložbe. Ta uredba je pomemben prvi korak k zagotavljanju jasnosti glede tega, kaj pomeni trajnostna naložba, medtem ko bi se sama taksonomija oblikovala prek delegiranih aktov. Učinki na zainteresirane strani so odvisni od končnih uporab taksonomije in njenih podrobnosti. Kar zadeva stroške, bodo za razvoj takšne taksonomije potrebni čas in viri, kar bo prav tako vplivalo na proračun EU (glej oddelek o proračunskih posledicah v nadaljevanju).</w:t>
      </w:r>
    </w:p>
    <w:p>
      <w:pPr>
        <w:rPr>
          <w:noProof/>
        </w:rPr>
      </w:pPr>
      <w:r>
        <w:rPr>
          <w:noProof/>
        </w:rPr>
        <w:t xml:space="preserve">Glede vplivov na okolje naj bi imela taksonomija EU potem, ko začne delovati, pozitiven posreden vpliv na okolje v EU. Z zagotavljanjem jasnosti glede tega, kaj je „zeleno“, bi se olajšale naložbe v trajnostne projekte in sredstva po vsej EU. To bi prispevalo k doseganju okoljskih ciljev v EU, na primer z zmanjšanjem emisij toplogrednih plinov v skladu s </w:t>
      </w:r>
      <w:r>
        <w:rPr>
          <w:noProof/>
        </w:rPr>
        <w:lastRenderedPageBreak/>
        <w:t>Pariškim sporazumom in s prehodom na krožno gospodarstvo, ki je gospodarno z viri. Dodatne naložbe, ki izhajajo iz večje preglednosti in uskladitve trga, bi lahko pomagale zagotoviti daljnosežno trajnostno preoblikovanje, ki ga predvidevajo okoljske politike, ki že obstajajo na ravni EU in držav članic. Naložbe v zelene sektorje (npr. obnovljivi viri energije, energetska učinkovitost, ravnanje z odpadki, obnova okolja) bi tako povzročile takojšnje in dolgoročne koristi za okolje, kot so nižje ravni onesnaženosti (npr. zraka, vode in zemlje) ter s tem povezane koristi za zdravje, zmanjšanje emisij toplogrednih plinov, blaženje nevarnih podnebnih sprememb ter ohranjanje in povečanje naravnega kapitala in ekosistemskih storitev.</w:t>
      </w:r>
    </w:p>
    <w:p>
      <w:pPr>
        <w:rPr>
          <w:noProof/>
        </w:rPr>
      </w:pPr>
      <w:r>
        <w:rPr>
          <w:noProof/>
        </w:rPr>
        <w:t>Glede socialnih učinkov predlog vsebuje minimalne zaščitne ukrepe, tudi glede socialnih vidikov, pričakujejo pa se tudi nekateri minimalni socialni učinki. Pomembnejše socialne učinke je mogoče pričakovati potem, ko bo predlagana pobuda pregledana ter bo končno zajela socialne cilje in socialno trajnostne dejavnosti v skladu s klavzulo o pregledu.</w:t>
      </w:r>
    </w:p>
    <w:p>
      <w:pPr>
        <w:pBdr>
          <w:top w:val="nil"/>
          <w:left w:val="nil"/>
          <w:bottom w:val="nil"/>
          <w:right w:val="nil"/>
          <w:between w:val="nil"/>
          <w:bar w:val="nil"/>
        </w:pBdr>
        <w:spacing w:before="0" w:after="240"/>
        <w:rPr>
          <w:rFonts w:eastAsia="Arial Unicode MS"/>
          <w:b/>
          <w:noProof/>
          <w:u w:color="000000"/>
          <w:bdr w:val="nil"/>
        </w:rPr>
      </w:pPr>
      <w:r>
        <w:rPr>
          <w:noProof/>
        </w:rPr>
        <w:t>•</w:t>
      </w:r>
      <w:r>
        <w:rPr>
          <w:noProof/>
        </w:rPr>
        <w:tab/>
      </w:r>
      <w:r>
        <w:rPr>
          <w:b/>
          <w:noProof/>
          <w:u w:color="000000"/>
          <w:bdr w:val="nil"/>
        </w:rPr>
        <w:t>Temeljne pravice</w:t>
      </w:r>
    </w:p>
    <w:p>
      <w:pPr>
        <w:rPr>
          <w:noProof/>
        </w:rPr>
      </w:pPr>
      <w:r>
        <w:rPr>
          <w:noProof/>
        </w:rPr>
        <w:t>Predlog spoštuje temeljne pravice in upošteva načela, ki jih priznava Listina Evropske unije o temeljnih pravicah, glede na obveznost, da je treba ugotovljeno okoljsko trajnostno gospodarsko dejavnost izvajati ob upoštevanju nekaterih minimalnih socialnih in vladnih zaščitnih ukrepov.</w:t>
      </w:r>
    </w:p>
    <w:p>
      <w:pPr>
        <w:keepNext/>
        <w:spacing w:before="360"/>
        <w:outlineLvl w:val="0"/>
        <w:rPr>
          <w:b/>
          <w:smallCaps/>
          <w:noProof/>
        </w:rPr>
      </w:pPr>
      <w:r>
        <w:rPr>
          <w:b/>
          <w:smallCaps/>
          <w:noProof/>
        </w:rPr>
        <w:t>4.</w:t>
      </w:r>
      <w:r>
        <w:rPr>
          <w:noProof/>
        </w:rPr>
        <w:tab/>
      </w:r>
      <w:r>
        <w:rPr>
          <w:b/>
          <w:smallCaps/>
          <w:noProof/>
        </w:rPr>
        <w:t xml:space="preserve">PRORAČUNSKE POSLEDICE </w:t>
      </w:r>
    </w:p>
    <w:p>
      <w:pPr>
        <w:rPr>
          <w:noProof/>
        </w:rPr>
      </w:pPr>
      <w:r>
        <w:rPr>
          <w:noProof/>
        </w:rPr>
        <w:t xml:space="preserve">Predlog vsebuje člen o ustanovitvi platforme o financiranju trajnostne rasti. Ta platforma bo Komisiji pomagala pri postopnem oblikovanju in posodabljanju sistema klasifikacije EU. Opravljala bo druge naloge, potrebne za doseganje ciljev akcijskega načrta za financiranje trajnostne rasti, in zlasti svetovala Komisiji glede potrebe po spremembi okvira, ki ga določa ta predlog. Naloga platforme bo tudi spremljanje in redno poročanje Komisiji o kapitalskih tokovih v trajnostne naložbe. </w:t>
      </w:r>
    </w:p>
    <w:p>
      <w:pPr>
        <w:rPr>
          <w:noProof/>
        </w:rPr>
      </w:pPr>
      <w:r>
        <w:rPr>
          <w:noProof/>
        </w:rPr>
        <w:t xml:space="preserve">Evropski nadzorni organi bodo imeli ključno vlogo pri razvoju taksonomije EU za trajnostne dejavnosti, da se zagotovi, da jih finančne institucije uporabljajo, da veljajo za finančne produkte ter da so združljive s finančno zakonodajo EU. Evropski nadzorni organi bodo imeli pomembno vlogo pri zagotavljanju, da je taksonomija EU za trajnostne dejavnosti oblikovana tako, da je uporabna za izvedbo analize podnebnih scenarijev in kasneje stresnih testov podnebja. Za izpolnitev teh in drugih nalog bi vsak pristojni organ potreboval enega dodatnega zaposlenega s polnim delovnim časom od leta 2020, ko naj bi se začele uporabljati različne določbe predloga. </w:t>
      </w:r>
    </w:p>
    <w:p>
      <w:pPr>
        <w:rPr>
          <w:noProof/>
        </w:rPr>
      </w:pPr>
      <w:r>
        <w:rPr>
          <w:noProof/>
        </w:rPr>
        <w:t xml:space="preserve">Opozoriti je treba, da bodo za vse proračunske zahteve evropskih nadzornih organov še naprej veljali vsi mehanizmi v zvezi z odgovornostjo in revizijo, vzpostavljeni v skladu z uredbami o evropskih nadzornih organih za pripravo, sprejetje in izvrševanje njihovih letnih proračunov. Poleg tega bosta letno odločitev o izravnalnem prispevku EU za evropske nadzorne organe in njihove kadrovske načrte (npr. odločitev o številu osebja) še vedno odobrila Evropski parlament in Svet ter bo predmet razrešnice Evropskega parlamenta na priporočilo Sveta. </w:t>
      </w:r>
    </w:p>
    <w:p>
      <w:pPr>
        <w:rPr>
          <w:noProof/>
        </w:rPr>
      </w:pPr>
      <w:r>
        <w:rPr>
          <w:noProof/>
        </w:rPr>
        <w:t xml:space="preserve">Evropska agencija za okolje (EEA) bo prav tako tesno sodelovala pri delu v zvezi s financiranjem trajnostne rasti, in sicer zlasti z zagotavljanjem svojega strokovnega znanja z različnih okoljskih področij za razvoj in vzdrževanje taksonomije EU za trajnostne dejavnosti za vse tipe podnebnih in okoljskih vprašanj. Agencija bo prav tako zbirala in zagotavljala podatke o naložbenih potrebah in tokovih v državah članicah EU v okviru opazovalnice za financiranje trajnostne rasti in državam članicam EU svetovala pri razvoju njihovih nizkoogljičnih in trajnostnih naložbenih strategij. Za izpolnitev teh in drugih nalog bi </w:t>
      </w:r>
      <w:r>
        <w:rPr>
          <w:noProof/>
        </w:rPr>
        <w:lastRenderedPageBreak/>
        <w:t xml:space="preserve">Evropska agencija za okolje (EEA) potrebovala dva dodatna zaposlena s polnim delovnim časom od leta 2020. </w:t>
      </w:r>
    </w:p>
    <w:p>
      <w:pPr>
        <w:rPr>
          <w:noProof/>
        </w:rPr>
      </w:pPr>
      <w:r>
        <w:rPr>
          <w:noProof/>
        </w:rPr>
        <w:t>Evropska komisija bo odgovorna za upravljanje platforme (npr. organizacija njenih sej in sej podskupin, poročanje o rezultatih, priprava zakonodajnih predlogov, povezovanje z evropskimi nadzornimi organi in EEA, vzdrževanje informacijskega orodja za sodelovanje, povračilo stroškov strokovnjakom, opravljanje drugih nalog sekretariata itd.). Za izpolnitev teh in drugih nalog bi Evropska komisija potrebovala deset zaposlenih za polni delovni čas od leta 2020 (osem AD in dva AST).</w:t>
      </w:r>
    </w:p>
    <w:p>
      <w:pPr>
        <w:rPr>
          <w:noProof/>
        </w:rPr>
      </w:pPr>
      <w:r>
        <w:rPr>
          <w:noProof/>
        </w:rPr>
        <w:t xml:space="preserve">Finančni in proračunski učinek tega predloga sta podrobno pojasnjena v oceni finančnih posledic zakonodajnega predloga, ki je priložena temu predlogu. </w:t>
      </w:r>
    </w:p>
    <w:p>
      <w:pPr>
        <w:rPr>
          <w:rFonts w:eastAsia="Arial Unicode MS"/>
          <w:noProof/>
        </w:rPr>
      </w:pPr>
      <w:r>
        <w:rPr>
          <w:noProof/>
        </w:rPr>
        <w:t xml:space="preserve">Treba je opozoriti, da so informacije, ki so na voljo v oceni finančnih posledic zakonodajnega predloga, združljive s predlogom večletnega finančnega okvira po letu 2020. </w:t>
      </w:r>
    </w:p>
    <w:p>
      <w:pPr>
        <w:keepNext/>
        <w:spacing w:before="360"/>
        <w:outlineLvl w:val="0"/>
        <w:rPr>
          <w:b/>
          <w:smallCaps/>
          <w:noProof/>
        </w:rPr>
      </w:pPr>
      <w:r>
        <w:rPr>
          <w:b/>
          <w:smallCaps/>
          <w:noProof/>
        </w:rPr>
        <w:t>5.</w:t>
      </w:r>
      <w:r>
        <w:rPr>
          <w:noProof/>
        </w:rPr>
        <w:tab/>
      </w:r>
      <w:r>
        <w:rPr>
          <w:b/>
          <w:smallCaps/>
          <w:noProof/>
        </w:rPr>
        <w:t>DRUGI ELEMENTI</w:t>
      </w:r>
    </w:p>
    <w:p>
      <w:pPr>
        <w:keepNext/>
        <w:outlineLvl w:val="1"/>
        <w:rPr>
          <w:rFonts w:eastAsia="Arial Unicode MS"/>
          <w:b/>
          <w:noProof/>
          <w:u w:color="000000"/>
          <w:bdr w:val="nil"/>
        </w:rPr>
      </w:pPr>
      <w:r>
        <w:rPr>
          <w:b/>
          <w:noProof/>
          <w:u w:color="000000"/>
          <w:bdr w:val="nil"/>
        </w:rPr>
        <w:t>•</w:t>
      </w:r>
      <w:r>
        <w:rPr>
          <w:noProof/>
        </w:rPr>
        <w:tab/>
      </w:r>
      <w:r>
        <w:rPr>
          <w:b/>
          <w:noProof/>
          <w:u w:color="000000"/>
          <w:bdr w:val="nil"/>
        </w:rPr>
        <w:t>Načrti za izvedbo ter ureditev spremljanja, ocenjevanja in poročanja</w:t>
      </w:r>
    </w:p>
    <w:p>
      <w:pPr>
        <w:tabs>
          <w:tab w:val="left" w:pos="567"/>
        </w:tabs>
        <w:rPr>
          <w:rFonts w:eastAsia="Arial Unicode MS"/>
          <w:noProof/>
        </w:rPr>
      </w:pPr>
      <w:r>
        <w:rPr>
          <w:noProof/>
        </w:rPr>
        <w:t xml:space="preserve">Enotna merila za določitev okoljsko trajnostnih gospodarskih dejavnosti se bodo oblikovala in uresničevala prek naknadnih delegiranih aktov, v katerih bodo opredeljena tehnična merila za pregled. Za te delegirane akte bo opravljena ustrezna ocena učinka. Pri oblikovanju tehničnih meril za pregled se bo upošteval zlasti njihov učinek na konkurenčnost znotraj sektorjev in med njimi, na obstoječe zelene finančne produkte in trge ter na likvidnost na finančnih trgih in potencialna tveganja zaradi nastanka neskladnih spodbud. </w:t>
      </w:r>
    </w:p>
    <w:p>
      <w:pPr>
        <w:tabs>
          <w:tab w:val="left" w:pos="567"/>
        </w:tabs>
        <w:rPr>
          <w:rFonts w:eastAsia="Arial Unicode MS"/>
          <w:noProof/>
        </w:rPr>
      </w:pPr>
      <w:r>
        <w:rPr>
          <w:noProof/>
        </w:rPr>
        <w:t>Ocenjevanje in poročanje je predvideno vsaka tri leta po začetku uporabe te uredbe. Komisija objavi poročilo o uporabi te uredbe, ki vsebuje oceno napredka njenega izvajanja za oblikovanje tehničnih meril za pregled za okoljsko trajnostne gospodarske dejavnosti in možno potrebo po spremembi meril, določenih s to uredbo, na podlagi katerih se gospodarska dejavnost šteje kot okoljsko trajnostna.</w:t>
      </w:r>
    </w:p>
    <w:p>
      <w:pPr>
        <w:tabs>
          <w:tab w:val="left" w:pos="567"/>
        </w:tabs>
        <w:rPr>
          <w:rFonts w:eastAsia="Arial Unicode MS"/>
          <w:noProof/>
        </w:rPr>
      </w:pPr>
      <w:r>
        <w:rPr>
          <w:noProof/>
        </w:rPr>
        <w:t xml:space="preserve">Komisija mora oceniti tudi, ali je primerno vzpostaviti mehanizem preverjanja, s katerim se preverja skladnost z uporabo meril za določanje okoljske trajnosti gospodarske dejavnosti. </w:t>
      </w:r>
    </w:p>
    <w:p>
      <w:pPr>
        <w:tabs>
          <w:tab w:val="left" w:pos="567"/>
        </w:tabs>
        <w:rPr>
          <w:rFonts w:eastAsia="Arial Unicode MS"/>
          <w:noProof/>
        </w:rPr>
      </w:pPr>
      <w:r>
        <w:rPr>
          <w:noProof/>
        </w:rPr>
        <w:t>Nazadnje mora Komisija oceniti, ali je primerno razširiti področje uporabe te uredbe na ostale cilje glede trajnosti, zlasti socialne, pa tudi uporabo skupnih opredelitev okoljsko trajnostne naložbe v pravu Unije in na ravni držav članic.</w:t>
      </w:r>
    </w:p>
    <w:p>
      <w:pPr>
        <w:tabs>
          <w:tab w:val="left" w:pos="567"/>
        </w:tabs>
        <w:rPr>
          <w:rFonts w:eastAsia="Arial Unicode MS"/>
          <w:noProof/>
        </w:rPr>
      </w:pPr>
      <w:r>
        <w:rPr>
          <w:noProof/>
        </w:rPr>
        <w:t xml:space="preserve">Vsi prihodnji zakonodajni predlogi Komisije, ki določajo zavezujočo uporabo klasifikacije okoljsko trajnostnih dejavnosti EU na drugih področjih, bodo predmet ocene učinka v skladu z načeli o boljšem pravnem urejanju. </w:t>
      </w:r>
    </w:p>
    <w:p>
      <w:pPr>
        <w:rPr>
          <w:rFonts w:eastAsia="Arial Unicode MS"/>
          <w:noProof/>
        </w:rPr>
      </w:pPr>
      <w:r>
        <w:rPr>
          <w:noProof/>
        </w:rPr>
        <w:t xml:space="preserve">Komisija mora to poročilo posredovati Evropskemu parlamentu in Svetu. Komisija mora predstaviti predloge za spremembo te uredbe, kot je primerno. </w:t>
      </w:r>
    </w:p>
    <w:p>
      <w:pPr>
        <w:keepNext/>
        <w:outlineLvl w:val="1"/>
        <w:rPr>
          <w:rFonts w:eastAsia="Arial Unicode MS"/>
          <w:b/>
          <w:noProof/>
          <w:u w:color="000000"/>
          <w:bdr w:val="nil"/>
        </w:rPr>
      </w:pPr>
      <w:r>
        <w:rPr>
          <w:b/>
          <w:noProof/>
          <w:u w:color="000000"/>
          <w:bdr w:val="nil"/>
        </w:rPr>
        <w:t>•</w:t>
      </w:r>
      <w:r>
        <w:rPr>
          <w:noProof/>
        </w:rPr>
        <w:tab/>
      </w:r>
      <w:r>
        <w:rPr>
          <w:b/>
          <w:noProof/>
          <w:u w:color="000000"/>
          <w:bdr w:val="nil"/>
        </w:rPr>
        <w:t>Natančnejša pojasnitev posameznih določb predloga</w:t>
      </w:r>
    </w:p>
    <w:p>
      <w:pPr>
        <w:pBdr>
          <w:top w:val="nil"/>
          <w:left w:val="nil"/>
          <w:bottom w:val="nil"/>
          <w:right w:val="nil"/>
          <w:between w:val="nil"/>
          <w:bar w:val="nil"/>
        </w:pBdr>
        <w:spacing w:before="0" w:after="240"/>
        <w:rPr>
          <w:rFonts w:eastAsia="Arial Unicode MS"/>
          <w:noProof/>
        </w:rPr>
      </w:pPr>
      <w:r>
        <w:rPr>
          <w:noProof/>
        </w:rPr>
        <w:t xml:space="preserve">Člen 1 določa predmet urejanja in področje uporabe te uredbe. </w:t>
      </w:r>
    </w:p>
    <w:p>
      <w:pPr>
        <w:pBdr>
          <w:top w:val="nil"/>
          <w:left w:val="nil"/>
          <w:bottom w:val="nil"/>
          <w:right w:val="nil"/>
          <w:between w:val="nil"/>
          <w:bar w:val="nil"/>
        </w:pBdr>
        <w:spacing w:before="0" w:after="240"/>
        <w:rPr>
          <w:rFonts w:eastAsia="Arial Unicode MS"/>
          <w:noProof/>
        </w:rPr>
      </w:pPr>
      <w:r>
        <w:rPr>
          <w:noProof/>
        </w:rPr>
        <w:t xml:space="preserve">Ta predlog vzpostavlja okvir za opredelitev enotnih meril za določitev okoljske trajnosti gospodarske dejavnosti, izključno za namene določitve stopnje trajnosti naložbe. </w:t>
      </w:r>
    </w:p>
    <w:p>
      <w:pPr>
        <w:pBdr>
          <w:top w:val="nil"/>
          <w:left w:val="nil"/>
          <w:bottom w:val="nil"/>
          <w:right w:val="nil"/>
          <w:between w:val="nil"/>
          <w:bar w:val="nil"/>
        </w:pBdr>
        <w:spacing w:before="0" w:after="240"/>
        <w:rPr>
          <w:rFonts w:eastAsia="Arial Unicode MS"/>
          <w:noProof/>
        </w:rPr>
      </w:pPr>
      <w:r>
        <w:rPr>
          <w:noProof/>
        </w:rPr>
        <w:t xml:space="preserve">Ta predlog zagotavlja podlago za določitev okoljske trajnosti gospodarskih dejavnosti, ne pa podjetij ali sredstev. Zato ne usklajuje metodologije za določitev okoljske trajnosti naložb v določena podjetja ali sredstva. Vendar pa bodo enotna merila za okoljsko trajnostne </w:t>
      </w:r>
      <w:r>
        <w:rPr>
          <w:noProof/>
        </w:rPr>
        <w:lastRenderedPageBreak/>
        <w:t xml:space="preserve">dejavnosti omogočala, da se določi stopnja okoljske trajnosti posameznega podjetja za namene naložb. Če podjetje izvaja le okoljsko trajnostne dejavnosti, se naložba v to podjetje šteje kot okoljsko trajnostna. Tako je delež v tem podjetju okoljsko trajnostno sredstvo. Tista podjetja, ki opravljajo več dejavnosti, od katerih so samo nekatere okoljsko trajnostne, lahko imajo različne stopnje okoljske trajnosti, ki se lahko določijo na primer na podlagi deleža prometa, ki izvira iz trajnostnih dejavnosti v primerjavi z drugimi dejavnostmi. Sredstva, ki se uporabljajo le za financiranje okoljsko trajnostnih dejavnosti podjetja (npr. določene vrste obveznic), se bodo zato štela kot okoljsko trajnostne naložbe, medtem ko imajo druga sredstva lahko drugačno stopnjo okoljske trajnosti. Stopnjo okoljske trajnosti je mogoče na podoben način določiti za naložbene portfelje, ki jih sestavlja več podjetij, kar bo spodbudilo naložbe v okoljsko trajnostne gospodarske dejavnosti, ne da bi s tem kaznovali ali ustvarili ovire za naložbe v druge gospodarske dejavnosti. </w:t>
      </w:r>
    </w:p>
    <w:p>
      <w:pPr>
        <w:pBdr>
          <w:top w:val="nil"/>
          <w:left w:val="nil"/>
          <w:bottom w:val="nil"/>
          <w:right w:val="nil"/>
          <w:between w:val="nil"/>
          <w:bar w:val="nil"/>
        </w:pBdr>
        <w:spacing w:before="0" w:after="240"/>
        <w:rPr>
          <w:rFonts w:eastAsia="Arial Unicode MS"/>
          <w:noProof/>
        </w:rPr>
      </w:pPr>
      <w:r>
        <w:rPr>
          <w:noProof/>
        </w:rPr>
        <w:t>Ta uredba se uporablja za države članice in Unijo v okviru zahtev glede trženja za akterje na trgu in za ponujanje finančnih produktov ali podjetniških obveznic, ki si prizadevajo za uresničevanje okoljskih ciljev, zlasti v povezavi z označevanjem.</w:t>
      </w:r>
    </w:p>
    <w:p>
      <w:pPr>
        <w:pBdr>
          <w:top w:val="nil"/>
          <w:left w:val="nil"/>
          <w:bottom w:val="nil"/>
          <w:right w:val="nil"/>
          <w:between w:val="nil"/>
          <w:bar w:val="nil"/>
        </w:pBdr>
        <w:spacing w:before="0" w:after="240"/>
        <w:rPr>
          <w:rFonts w:eastAsia="Arial Unicode MS"/>
          <w:noProof/>
        </w:rPr>
      </w:pPr>
      <w:r>
        <w:rPr>
          <w:noProof/>
        </w:rPr>
        <w:t>Ta uredba ne vzpostavlja znaka za trajnostne finančne produkte. Namesto tega zagotavlja okvir za določitev meril, ki jih je treba upoštevati pri vzpostavljanju takih znakov na nacionalni ravni ali ravni EU. Zato ta uredba državam članicam ne preprečuje ohranjanja ali nadaljnjega oblikovanja sistemov označevanja pod pogojem, da izpolnjujejo merila, določena v tej uredbi, za okoljsko trajnostne gospodarske dejavnosti.</w:t>
      </w:r>
    </w:p>
    <w:p>
      <w:pPr>
        <w:pBdr>
          <w:top w:val="nil"/>
          <w:left w:val="nil"/>
          <w:bottom w:val="nil"/>
          <w:right w:val="nil"/>
          <w:between w:val="nil"/>
          <w:bar w:val="nil"/>
        </w:pBdr>
        <w:spacing w:before="0" w:after="240"/>
        <w:rPr>
          <w:rFonts w:eastAsia="Arial Unicode MS"/>
          <w:noProof/>
        </w:rPr>
      </w:pPr>
      <w:r>
        <w:rPr>
          <w:noProof/>
        </w:rPr>
        <w:t>Če se bo v prihodnosti znak za finančne produkte oblikoval na podlagi uredbe o znaku za okolje, lahko že obstoječe nacionalne sheme označevanja obstajajo vzporedno s tem znakom za okolje pod pogojem, da izpolnjujejo pogoje iz člena 11 uredbe o znaku za okolje.</w:t>
      </w:r>
    </w:p>
    <w:p>
      <w:pPr>
        <w:pBdr>
          <w:top w:val="nil"/>
          <w:left w:val="nil"/>
          <w:bottom w:val="nil"/>
          <w:right w:val="nil"/>
          <w:between w:val="nil"/>
          <w:bar w:val="nil"/>
        </w:pBdr>
        <w:spacing w:before="0" w:after="240"/>
        <w:rPr>
          <w:rFonts w:eastAsia="Arial Unicode MS"/>
          <w:noProof/>
        </w:rPr>
      </w:pPr>
      <w:r>
        <w:rPr>
          <w:noProof/>
        </w:rPr>
        <w:t xml:space="preserve">Ta predlog je povezan s predlogom uredbe o izboljšanju razkrivanja informacij glede trajnosti [predlog Komisije za uredbo o razkrivanju informacij v zvezi s trajnostnimi naložbami in tveganjem glede trajnosti ter o spremembi Direktive (EU) 2016/2341]. </w:t>
      </w:r>
    </w:p>
    <w:p>
      <w:pPr>
        <w:pBdr>
          <w:top w:val="nil"/>
          <w:left w:val="nil"/>
          <w:bottom w:val="nil"/>
          <w:right w:val="nil"/>
          <w:between w:val="nil"/>
          <w:bar w:val="nil"/>
        </w:pBdr>
        <w:spacing w:before="0" w:after="240"/>
        <w:rPr>
          <w:rFonts w:eastAsia="Arial Unicode MS"/>
          <w:noProof/>
        </w:rPr>
      </w:pPr>
      <w:r>
        <w:rPr>
          <w:noProof/>
        </w:rPr>
        <w:t>Ta uredba od udeležencev na finančnem trgu, za katere veljajo obveznosti razkritja, določene v zgoraj navedenem predlogu uredbe o izboljšanju razkrivanja informacij glede trajnosti (npr. upravljavci skladov), zahteva, da razkrijejo stopnjo okoljske trajnosti tistih finančnih produktov, za katere trdijo, da si prizadevajo za uresničevanje okoljskih ciljev.</w:t>
      </w:r>
    </w:p>
    <w:p>
      <w:pPr>
        <w:pBdr>
          <w:top w:val="nil"/>
          <w:left w:val="nil"/>
          <w:bottom w:val="nil"/>
          <w:right w:val="nil"/>
          <w:between w:val="nil"/>
          <w:bar w:val="nil"/>
        </w:pBdr>
        <w:spacing w:before="0" w:after="240"/>
        <w:rPr>
          <w:rFonts w:eastAsia="Arial Unicode MS"/>
          <w:noProof/>
        </w:rPr>
      </w:pPr>
      <w:r>
        <w:rPr>
          <w:noProof/>
        </w:rPr>
        <w:t xml:space="preserve">Če upravitelj sklada ponuja sklad, za katerega trdi, da gre za „zeleni sklad“, bo moral upravitelj sklada v predpogodbenem dokumentu sklada o razkritju prav za ta sklad navesti, kako in v kakšnem obsegu so bila merila za okoljsko trajnostne gospodarske dejavnosti uporabljena za določitev okoljske trajnosti naložbe. </w:t>
      </w:r>
    </w:p>
    <w:p>
      <w:pPr>
        <w:pBdr>
          <w:top w:val="nil"/>
          <w:left w:val="nil"/>
          <w:bottom w:val="nil"/>
          <w:right w:val="nil"/>
          <w:between w:val="nil"/>
          <w:bar w:val="nil"/>
        </w:pBdr>
        <w:spacing w:before="0" w:after="240"/>
        <w:rPr>
          <w:rFonts w:eastAsia="Arial Unicode MS"/>
          <w:noProof/>
        </w:rPr>
      </w:pPr>
      <w:r>
        <w:rPr>
          <w:noProof/>
        </w:rPr>
        <w:t xml:space="preserve">Področje uporabe te obveznosti bo določeno z delegiranimi akti, potem ko bodo oblikovana tehnična merila za pregled za okoljsko trajnostne dejavnosti. </w:t>
      </w:r>
    </w:p>
    <w:p>
      <w:pPr>
        <w:pBdr>
          <w:top w:val="nil"/>
          <w:left w:val="nil"/>
          <w:bottom w:val="nil"/>
          <w:right w:val="nil"/>
          <w:between w:val="nil"/>
          <w:bar w:val="nil"/>
        </w:pBdr>
        <w:spacing w:before="0" w:after="240"/>
        <w:rPr>
          <w:rFonts w:eastAsia="Arial Unicode MS"/>
          <w:noProof/>
        </w:rPr>
      </w:pPr>
      <w:r>
        <w:rPr>
          <w:noProof/>
        </w:rPr>
        <w:t>Ta obveznost razkritja bo vlagateljem pomagala bolje razumeti stopnjo okoljske trajnosti finančnega produkta in jih bolje primerjati, preden sprejmejo svoje naložbene odločitve.</w:t>
      </w:r>
    </w:p>
    <w:p>
      <w:pPr>
        <w:pBdr>
          <w:top w:val="nil"/>
          <w:left w:val="nil"/>
          <w:bottom w:val="nil"/>
          <w:right w:val="nil"/>
          <w:between w:val="nil"/>
          <w:bar w:val="nil"/>
        </w:pBdr>
        <w:spacing w:before="0" w:after="240"/>
        <w:rPr>
          <w:rFonts w:eastAsia="Arial Unicode MS"/>
          <w:noProof/>
        </w:rPr>
      </w:pPr>
      <w:r>
        <w:rPr>
          <w:noProof/>
        </w:rPr>
        <w:t xml:space="preserve">Ta uredba vsebuje določbe, ki določajo postopek za razvoj tehničnih meril za pregled, na katerih temelji vzpostavitev klasifikacije EU za okoljsko trajnostne gospodarske dejavnosti. </w:t>
      </w:r>
    </w:p>
    <w:p>
      <w:pPr>
        <w:pBdr>
          <w:top w:val="nil"/>
          <w:left w:val="nil"/>
          <w:bottom w:val="nil"/>
          <w:right w:val="nil"/>
          <w:between w:val="nil"/>
          <w:bar w:val="nil"/>
        </w:pBdr>
        <w:spacing w:before="0" w:after="240"/>
        <w:rPr>
          <w:rFonts w:eastAsia="Arial Unicode MS"/>
          <w:noProof/>
        </w:rPr>
      </w:pPr>
      <w:r>
        <w:rPr>
          <w:noProof/>
        </w:rPr>
        <w:t xml:space="preserve">Določa postopen začetek uporabe uredbe šele potem, ko bodo merila za klasifikacijo za vsak okoljski cilj dovolj zrela in stabilna, da se omogočili postopek posvetovanja z zainteresiranimi </w:t>
      </w:r>
      <w:r>
        <w:rPr>
          <w:noProof/>
        </w:rPr>
        <w:lastRenderedPageBreak/>
        <w:t xml:space="preserve">stranmi za vključevanje zadevnih udeležencev na finančnem trgu in dobro razumevanje pojma med njimi. </w:t>
      </w:r>
    </w:p>
    <w:p>
      <w:pPr>
        <w:pBdr>
          <w:top w:val="nil"/>
          <w:left w:val="nil"/>
          <w:bottom w:val="nil"/>
          <w:right w:val="nil"/>
          <w:between w:val="nil"/>
          <w:bar w:val="nil"/>
        </w:pBdr>
        <w:spacing w:before="0" w:after="240"/>
        <w:rPr>
          <w:rFonts w:eastAsia="Arial Unicode MS"/>
          <w:noProof/>
        </w:rPr>
      </w:pPr>
      <w:r>
        <w:rPr>
          <w:noProof/>
        </w:rPr>
        <w:t xml:space="preserve">Člen 2 vsebuje opredelitve pojmov, ki se uporabljajo v tej uredbi. </w:t>
      </w:r>
    </w:p>
    <w:p>
      <w:pPr>
        <w:pBdr>
          <w:top w:val="nil"/>
          <w:left w:val="nil"/>
          <w:bottom w:val="nil"/>
          <w:right w:val="nil"/>
          <w:between w:val="nil"/>
          <w:bar w:val="nil"/>
        </w:pBdr>
        <w:spacing w:before="0" w:after="240"/>
        <w:rPr>
          <w:rFonts w:eastAsia="Arial Unicode MS"/>
          <w:noProof/>
        </w:rPr>
      </w:pPr>
      <w:r>
        <w:rPr>
          <w:noProof/>
        </w:rPr>
        <w:t xml:space="preserve">Opredelitve udeležencev na finančnem trgu in finančnih produktov so enake opredelitvam v predlogu uredbe o izboljšanju razkrivanja informacij glede trajnosti. </w:t>
      </w:r>
    </w:p>
    <w:p>
      <w:pPr>
        <w:pBdr>
          <w:top w:val="nil"/>
          <w:left w:val="nil"/>
          <w:bottom w:val="nil"/>
          <w:right w:val="nil"/>
          <w:between w:val="nil"/>
          <w:bar w:val="nil"/>
        </w:pBdr>
        <w:spacing w:before="0" w:after="240"/>
        <w:rPr>
          <w:rFonts w:eastAsia="Arial Unicode MS"/>
          <w:noProof/>
        </w:rPr>
      </w:pPr>
      <w:r>
        <w:rPr>
          <w:noProof/>
        </w:rPr>
        <w:t>Člen 3 določa merila za določitev okoljske trajnosti gospodarske dejavnosti za namene določitve stopnje okoljske trajnosti naložbe. Ta merila zahtevajo, da mora gospodarska dejavnost bistveno prispevati k enemu ali več okoljskim ciljem in da ne povzroča znatne škode drugim ciljem. Ob upoštevanju načel iz evropskega stebra socialnih pravic, ta merila prav tako zahtevajo, da se gospodarska dejavnost izvaja v skladu z minimalnimi mednarodnimi socialnimi standardi in standardi dela.</w:t>
      </w:r>
    </w:p>
    <w:p>
      <w:pPr>
        <w:pBdr>
          <w:top w:val="nil"/>
          <w:left w:val="nil"/>
          <w:bottom w:val="nil"/>
          <w:right w:val="nil"/>
          <w:between w:val="nil"/>
          <w:bar w:val="nil"/>
        </w:pBdr>
        <w:spacing w:before="0" w:after="240"/>
        <w:rPr>
          <w:rFonts w:eastAsia="Arial Unicode MS"/>
          <w:noProof/>
        </w:rPr>
      </w:pPr>
      <w:r>
        <w:rPr>
          <w:noProof/>
        </w:rPr>
        <w:t xml:space="preserve">Ko bo Komisija z delegiranimi akti določila tehnična merila za pregled za določitev, kaj pomeni bistven prispevek k okoljskemu cilju in kaj pomeni znatna škoda za druge cilje, se bodo uporabljala tudi ta merila. </w:t>
      </w:r>
    </w:p>
    <w:p>
      <w:pPr>
        <w:pBdr>
          <w:top w:val="nil"/>
          <w:left w:val="nil"/>
          <w:bottom w:val="nil"/>
          <w:right w:val="nil"/>
          <w:between w:val="nil"/>
          <w:bar w:val="nil"/>
        </w:pBdr>
        <w:spacing w:before="0" w:after="240"/>
        <w:rPr>
          <w:rFonts w:eastAsia="Arial Unicode MS"/>
          <w:noProof/>
        </w:rPr>
      </w:pPr>
      <w:r>
        <w:rPr>
          <w:noProof/>
        </w:rPr>
        <w:t xml:space="preserve">Člen 4 določa obveznosti držav članic in udeležencev na finančnem trgu, da v posebnih primerih uporabljajo merila iz člena 3. </w:t>
      </w:r>
    </w:p>
    <w:p>
      <w:pPr>
        <w:pBdr>
          <w:top w:val="nil"/>
          <w:left w:val="nil"/>
          <w:bottom w:val="nil"/>
          <w:right w:val="nil"/>
          <w:between w:val="nil"/>
          <w:bar w:val="nil"/>
        </w:pBdr>
        <w:spacing w:before="0" w:after="240"/>
        <w:rPr>
          <w:rFonts w:eastAsia="Arial Unicode MS"/>
          <w:noProof/>
        </w:rPr>
      </w:pPr>
      <w:r>
        <w:rPr>
          <w:noProof/>
        </w:rPr>
        <w:t xml:space="preserve">Določa, da morajo države članice in Unija pri določanju zahtev za trženje finančnih produktov ali podjetniških obveznic kot okoljsko trajnostnih, zlasti v okviru sistemov označevanja (npr. za zelene obveznice), uporabljati enotna merila za okoljsko trajnostne gospodarske dejavnosti. Določa obveznost razkritja za upravitelje premoženja in institucionalne vlagatelje, ki ponujajo finančne produkte, ki se tržijo kot okoljsko trajnostni ali kot naložbe s podobnimi značilnostmi, področje uporabe obveznosti razkritja pa bo natančneje opredeljeno v delegiranih aktih Komisije. </w:t>
      </w:r>
    </w:p>
    <w:p>
      <w:pPr>
        <w:pBdr>
          <w:top w:val="nil"/>
          <w:left w:val="nil"/>
          <w:bottom w:val="nil"/>
          <w:right w:val="nil"/>
          <w:between w:val="nil"/>
          <w:bar w:val="nil"/>
        </w:pBdr>
        <w:spacing w:before="0" w:after="240"/>
        <w:rPr>
          <w:rFonts w:eastAsia="Arial Unicode MS"/>
          <w:noProof/>
        </w:rPr>
      </w:pPr>
      <w:r>
        <w:rPr>
          <w:noProof/>
        </w:rPr>
        <w:t>V skladu s členom 18 se bodo te obveznosti začele uporabljati šele potem, ko bo Komisija določila tehnična merila, ki naj se uporabijo za določitev, kdaj dejavnost bistveno prispeva k določenemu okoljskemu cilju in ne povzroča znatne škode drugim ciljem.</w:t>
      </w:r>
    </w:p>
    <w:p>
      <w:pPr>
        <w:pBdr>
          <w:top w:val="nil"/>
          <w:left w:val="nil"/>
          <w:bottom w:val="nil"/>
          <w:right w:val="nil"/>
          <w:between w:val="nil"/>
          <w:bar w:val="nil"/>
        </w:pBdr>
        <w:spacing w:before="0" w:after="240"/>
        <w:rPr>
          <w:rFonts w:eastAsia="Arial Unicode MS"/>
          <w:noProof/>
        </w:rPr>
      </w:pPr>
      <w:r>
        <w:rPr>
          <w:noProof/>
        </w:rPr>
        <w:t xml:space="preserve">V členu 5 je določeno, da so za namene te uredbe okoljski cilji naslednji: 1) blažitev podnebnih sprememb; 2) prilagajanje podnebnim spremembam; 3) trajnostna raba ter varstvo vodnih in morskih virov; 4) prehod na krožno gospodarstvo, preprečevanje nastajanja odpadkov in njihovo recikliranje; 5) preprečevanje in nadzorovanje onesnaževanja; 6) varovanje zdravih ekosistemov. </w:t>
      </w:r>
    </w:p>
    <w:p>
      <w:pPr>
        <w:pBdr>
          <w:top w:val="nil"/>
          <w:left w:val="nil"/>
          <w:bottom w:val="nil"/>
          <w:right w:val="nil"/>
          <w:between w:val="nil"/>
          <w:bar w:val="nil"/>
        </w:pBdr>
        <w:spacing w:before="0" w:after="240"/>
        <w:rPr>
          <w:rFonts w:eastAsia="Arial Unicode MS"/>
          <w:noProof/>
        </w:rPr>
      </w:pPr>
      <w:r>
        <w:rPr>
          <w:noProof/>
        </w:rPr>
        <w:t>Členi 6 do 11 podrobneje opredeljujejo merila za bistven prispevek k vsakemu okoljskemu cilju.</w:t>
      </w:r>
    </w:p>
    <w:p>
      <w:pPr>
        <w:pBdr>
          <w:top w:val="nil"/>
          <w:left w:val="nil"/>
          <w:bottom w:val="nil"/>
          <w:right w:val="nil"/>
          <w:between w:val="nil"/>
          <w:bar w:val="nil"/>
        </w:pBdr>
        <w:spacing w:before="0" w:after="240"/>
        <w:rPr>
          <w:rFonts w:eastAsia="Arial Unicode MS"/>
          <w:noProof/>
        </w:rPr>
      </w:pPr>
      <w:r>
        <w:rPr>
          <w:noProof/>
        </w:rPr>
        <w:t>Na Komisijo se prenese pooblastilo za sprejemanje delegiranih aktov za opredelitev tehničnih meril za pregled za to, kaj se šteje kot bistven prispevek k določenemu okoljskemu cilju za dano gospodarsko dejavnost, in za kaj se šteje, da povzroča znatno škodo za druge cilje.</w:t>
      </w:r>
    </w:p>
    <w:p>
      <w:pPr>
        <w:pBdr>
          <w:top w:val="nil"/>
          <w:left w:val="nil"/>
          <w:bottom w:val="nil"/>
          <w:right w:val="nil"/>
          <w:between w:val="nil"/>
          <w:bar w:val="nil"/>
        </w:pBdr>
        <w:spacing w:before="0" w:after="240"/>
        <w:rPr>
          <w:rFonts w:eastAsia="Arial Unicode MS"/>
          <w:noProof/>
        </w:rPr>
      </w:pPr>
      <w:r>
        <w:rPr>
          <w:noProof/>
        </w:rPr>
        <w:t xml:space="preserve">V vsakem členu je naveden datum sprejetja ustreznega delegiranega akta, da se zagotovi postopni razvoj klasifikacije EU na podlagi tehničnih meril za pregled. Tista merila, ki se nanašajo na blažitev podnebnih sprememb in prilagajanje nanje, bodo sprejeta najprej (decembra 2019). Merila, ki so povezana z drugimi cilji, se bodo postopoma določala in se začela uporabljati do decembra 2021 (prehod na krožno gospodarstvo, preprečevanje </w:t>
      </w:r>
      <w:r>
        <w:rPr>
          <w:noProof/>
        </w:rPr>
        <w:lastRenderedPageBreak/>
        <w:t>nastajanja odpadkov in njihovo recikliranje ter preprečevanje in nadzorovanje onesnaževanja) in do decembra 2022 (trajnostna raba ter varstvo vodnih in morskih virov in zaščita zdravih ekosistemov).</w:t>
      </w:r>
    </w:p>
    <w:p>
      <w:pPr>
        <w:pBdr>
          <w:top w:val="nil"/>
          <w:left w:val="nil"/>
          <w:bottom w:val="nil"/>
          <w:right w:val="nil"/>
          <w:between w:val="nil"/>
          <w:bar w:val="nil"/>
        </w:pBdr>
        <w:spacing w:before="0" w:after="240"/>
        <w:rPr>
          <w:rFonts w:eastAsia="Arial Unicode MS"/>
          <w:noProof/>
        </w:rPr>
      </w:pPr>
      <w:r>
        <w:rPr>
          <w:noProof/>
        </w:rPr>
        <w:t>Člen 12 opredeljuje podrobnosti glede meril za določanje, kdaj gospodarska dejavnost znatno škoduje okoljskemu cilju.</w:t>
      </w:r>
    </w:p>
    <w:p>
      <w:pPr>
        <w:pBdr>
          <w:top w:val="nil"/>
          <w:left w:val="nil"/>
          <w:bottom w:val="nil"/>
          <w:right w:val="nil"/>
          <w:between w:val="nil"/>
          <w:bar w:val="nil"/>
        </w:pBdr>
        <w:spacing w:before="0" w:after="240"/>
        <w:rPr>
          <w:rFonts w:eastAsia="Arial Unicode MS"/>
          <w:noProof/>
        </w:rPr>
      </w:pPr>
      <w:r>
        <w:rPr>
          <w:noProof/>
        </w:rPr>
        <w:t>Člen 13 določa minimalne zaščitne ukrepe s sklicevanjem na načela in pravice, opredeljene v osmih temeljnih konvencijah iz Deklaracije Mednarodne organizacije dela o temeljnih pravicah in načelih pri delu.</w:t>
      </w:r>
    </w:p>
    <w:p>
      <w:pPr>
        <w:pBdr>
          <w:top w:val="nil"/>
          <w:left w:val="nil"/>
          <w:bottom w:val="nil"/>
          <w:right w:val="nil"/>
          <w:between w:val="nil"/>
          <w:bar w:val="nil"/>
        </w:pBdr>
        <w:spacing w:before="0" w:after="240"/>
        <w:rPr>
          <w:rFonts w:eastAsia="Arial Unicode MS"/>
          <w:noProof/>
        </w:rPr>
      </w:pPr>
      <w:r>
        <w:rPr>
          <w:noProof/>
        </w:rPr>
        <w:t xml:space="preserve">Člen 14 podrobneje določa okvir za krepitev vloge Komisije s tem, da opredeljuje zahteve za tehnična merila za pregled, določena z delegiranimi akti. </w:t>
      </w:r>
    </w:p>
    <w:p>
      <w:pPr>
        <w:pBdr>
          <w:top w:val="nil"/>
          <w:left w:val="nil"/>
          <w:bottom w:val="nil"/>
          <w:right w:val="nil"/>
          <w:between w:val="nil"/>
          <w:bar w:val="nil"/>
        </w:pBdr>
        <w:spacing w:before="0" w:after="240"/>
        <w:rPr>
          <w:rFonts w:eastAsia="Arial Unicode MS"/>
          <w:noProof/>
        </w:rPr>
      </w:pPr>
      <w:r>
        <w:rPr>
          <w:noProof/>
        </w:rPr>
        <w:t xml:space="preserve">Zahteva zlasti, da ta merila temeljijo na standardih in znakih, ki že obstajajo na ravni Unije, in določa merila za okoljsko trajnost v drugih okvirih (kot so označevanje izdelkov, varstvo okolja itd.). Ker se ti standardi ne prenesejo samodejno v sredstva, ki so primerna za vlaganje, bi jih tehnična merila morala uveljaviti za namene izvajanja naložb. </w:t>
      </w:r>
    </w:p>
    <w:p>
      <w:pPr>
        <w:pBdr>
          <w:top w:val="nil"/>
          <w:left w:val="nil"/>
          <w:bottom w:val="nil"/>
          <w:right w:val="nil"/>
          <w:between w:val="nil"/>
          <w:bar w:val="nil"/>
        </w:pBdr>
        <w:spacing w:before="0" w:after="240"/>
        <w:rPr>
          <w:rFonts w:eastAsia="Arial Unicode MS"/>
          <w:noProof/>
        </w:rPr>
      </w:pPr>
      <w:r>
        <w:rPr>
          <w:noProof/>
        </w:rPr>
        <w:t xml:space="preserve">Ta merila bi morala upoštevati tudi zahteve, določene v obstoječi zakonodaji EU, zlasti za določitev minimalnih zahtev, ki jih je treba izpolnjevati, da se prepreči znatna škoda za okoljski cilj. To pomeni oceno, ali obstoječe zahteve zadoščajo za ta namen ali ne. </w:t>
      </w:r>
    </w:p>
    <w:p>
      <w:pPr>
        <w:pBdr>
          <w:top w:val="nil"/>
          <w:left w:val="nil"/>
          <w:bottom w:val="nil"/>
          <w:right w:val="nil"/>
          <w:between w:val="nil"/>
          <w:bar w:val="nil"/>
        </w:pBdr>
        <w:spacing w:before="0" w:after="240"/>
        <w:rPr>
          <w:rFonts w:eastAsia="Arial Unicode MS"/>
          <w:noProof/>
        </w:rPr>
      </w:pPr>
      <w:r>
        <w:rPr>
          <w:noProof/>
        </w:rPr>
        <w:t xml:space="preserve">Tehnična merila za pregled bi morala biti praktična, enostavna za uporabo in preverljiva v okviru razumnih meja stroškov skladnosti ter zagotavljati zadostno pravno jasnost. </w:t>
      </w:r>
    </w:p>
    <w:p>
      <w:pPr>
        <w:pBdr>
          <w:top w:val="nil"/>
          <w:left w:val="nil"/>
          <w:bottom w:val="nil"/>
          <w:right w:val="nil"/>
          <w:between w:val="nil"/>
          <w:bar w:val="nil"/>
        </w:pBdr>
        <w:spacing w:before="0" w:after="240"/>
        <w:rPr>
          <w:rFonts w:eastAsia="Arial Unicode MS"/>
          <w:noProof/>
        </w:rPr>
      </w:pPr>
      <w:r>
        <w:rPr>
          <w:noProof/>
        </w:rPr>
        <w:t xml:space="preserve">Pri določanju tehničnih meril za pregled bi morala Komisija oceniti uporabo različnih meril za upravičenost za zadevni gospodarski sektor in podsektor ter si prizadevati zagotoviti, da je enostavnost, s katero gospodarski subjekt izvaja dejavnost, ki bi se lahko štela kot trajnostna, v glavnem enaka za posamezni sektor. </w:t>
      </w:r>
    </w:p>
    <w:p>
      <w:pPr>
        <w:pBdr>
          <w:top w:val="nil"/>
          <w:left w:val="nil"/>
          <w:bottom w:val="nil"/>
          <w:right w:val="nil"/>
          <w:between w:val="nil"/>
          <w:bar w:val="nil"/>
        </w:pBdr>
        <w:spacing w:before="0" w:after="240"/>
        <w:rPr>
          <w:rFonts w:eastAsia="Arial Unicode MS"/>
          <w:noProof/>
        </w:rPr>
      </w:pPr>
      <w:r>
        <w:rPr>
          <w:noProof/>
        </w:rPr>
        <w:t xml:space="preserve">Komisija bi morala upoštevati tudi morebiten vpliv zgoraj navedenih meril na vrednotenje tistih sredstev, ki so se do sprejetja tehničnih meril za pregled štela kot „zelena“ sredstva v skladu z obstoječimi tržnimi praksami. Oceniti bi morala, ali bi lahko ta merila za trajnostne dejavnosti privedla do nasedlih sredstev in tveganja, da nekatera sredstva izgubijo vrednost zaradi prehoda v bolj trajnostno gospodarstvo, pa tudi tveganja za nastanek neskladnih spodbud. </w:t>
      </w:r>
    </w:p>
    <w:p>
      <w:pPr>
        <w:pBdr>
          <w:top w:val="nil"/>
          <w:left w:val="nil"/>
          <w:bottom w:val="nil"/>
          <w:right w:val="nil"/>
          <w:between w:val="nil"/>
          <w:bar w:val="nil"/>
        </w:pBdr>
        <w:spacing w:before="0" w:after="240"/>
        <w:rPr>
          <w:rFonts w:eastAsia="Arial Unicode MS"/>
          <w:noProof/>
        </w:rPr>
      </w:pPr>
      <w:r>
        <w:rPr>
          <w:noProof/>
        </w:rPr>
        <w:t>Tehnična merila za pregled bi morala upoštevati tudi učinke na likvidnost trga in konkurenco.</w:t>
      </w:r>
    </w:p>
    <w:p>
      <w:pPr>
        <w:pBdr>
          <w:top w:val="nil"/>
          <w:left w:val="nil"/>
          <w:bottom w:val="nil"/>
          <w:right w:val="nil"/>
          <w:between w:val="nil"/>
          <w:bar w:val="nil"/>
        </w:pBdr>
        <w:spacing w:before="0" w:after="240"/>
        <w:rPr>
          <w:rFonts w:eastAsia="Arial Unicode MS"/>
          <w:noProof/>
        </w:rPr>
      </w:pPr>
      <w:r>
        <w:rPr>
          <w:noProof/>
        </w:rPr>
        <w:t>Člen 15 zahteva, da Komisija vzpostavi platformo o financiranju trajnostne rasti, ki jo sestavljajo strokovnjaki, ki Komisiji svetujejo glede tehničnih meril za pregled. Platforma bo imela obliko strokovne skupine Komisije, ustanovljene v skladu s horizontalnimi pravili o strokovnih skupinah, in bo nadomestila strokovno skupino, ki je bila predhodno vzpostavljena s podobnimi nalogami.</w:t>
      </w:r>
    </w:p>
    <w:p>
      <w:pPr>
        <w:pBdr>
          <w:top w:val="nil"/>
          <w:left w:val="nil"/>
          <w:bottom w:val="nil"/>
          <w:right w:val="nil"/>
          <w:between w:val="nil"/>
          <w:bar w:val="nil"/>
        </w:pBdr>
        <w:spacing w:before="0" w:after="240"/>
        <w:rPr>
          <w:rFonts w:eastAsia="Arial Unicode MS"/>
          <w:noProof/>
        </w:rPr>
      </w:pPr>
      <w:r>
        <w:rPr>
          <w:noProof/>
        </w:rPr>
        <w:t>Člen 16 ureja izvajanje prenosa pooblastila.</w:t>
      </w:r>
    </w:p>
    <w:p>
      <w:pPr>
        <w:pBdr>
          <w:top w:val="nil"/>
          <w:left w:val="nil"/>
          <w:bottom w:val="nil"/>
          <w:right w:val="nil"/>
          <w:between w:val="nil"/>
          <w:bar w:val="nil"/>
        </w:pBdr>
        <w:spacing w:before="0" w:after="240"/>
        <w:rPr>
          <w:rFonts w:eastAsia="Arial Unicode MS"/>
          <w:noProof/>
        </w:rPr>
      </w:pPr>
      <w:r>
        <w:rPr>
          <w:noProof/>
        </w:rPr>
        <w:t>Člen 17 vsebuje klavzulo o pregledu, ki od Komisije zahteva, da objavi poročilo, v katerem oceni izvajanje te uredbe ter morebitno potrebo po njeni spremembi, do 31. decembra 2021 in nato vsaka tri leta.</w:t>
      </w:r>
    </w:p>
    <w:p>
      <w:pPr>
        <w:pBdr>
          <w:top w:val="nil"/>
          <w:left w:val="nil"/>
          <w:bottom w:val="nil"/>
          <w:right w:val="nil"/>
          <w:between w:val="nil"/>
          <w:bar w:val="nil"/>
        </w:pBdr>
        <w:spacing w:before="0" w:after="240"/>
        <w:rPr>
          <w:rFonts w:eastAsia="Arial Unicode MS"/>
          <w:noProof/>
        </w:rPr>
      </w:pPr>
      <w:r>
        <w:rPr>
          <w:noProof/>
        </w:rPr>
        <w:lastRenderedPageBreak/>
        <w:t>Člen 18 določa datum začetka veljavnosti in neposredne uporabe te uredbe.</w:t>
      </w:r>
    </w:p>
    <w:p>
      <w:pPr>
        <w:pStyle w:val="Text4"/>
        <w:ind w:left="0"/>
        <w:rPr>
          <w:rFonts w:eastAsia="Arial Unicode MS"/>
          <w:noProof/>
        </w:rPr>
      </w:pPr>
      <w:r>
        <w:rPr>
          <w:noProof/>
        </w:rPr>
        <w:t>Z njo je veljavnost uredbe preložena do datuma po sprejetju delegiranih aktov o vzpostavitvi tehničnih meril za pregled za vsak okoljski cilj. Tako se bodo določbe, ki se nanašajo na posamezne okoljske cilje, za vsak posamezni okoljski cilj začele uporabljati šele šest mesecev po vzpostavitvi tehničnih meril za pregled, tako da bodo imeli zadevni subjekti na trgu dovolj časa, da se pripravijo.</w:t>
      </w:r>
    </w:p>
    <w:p>
      <w:pPr>
        <w:rPr>
          <w:noProof/>
        </w:rPr>
        <w:sectPr>
          <w:footerReference w:type="default" r:id="rId16"/>
          <w:footerReference w:type="first" r:id="rId17"/>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2018/0178 (COD)</w:t>
      </w:r>
    </w:p>
    <w:p>
      <w:pPr>
        <w:pStyle w:val="Statut"/>
        <w:rPr>
          <w:noProof/>
        </w:rPr>
      </w:pPr>
      <w:r>
        <w:rPr>
          <w:noProof/>
        </w:rPr>
        <w:t>Predlog</w:t>
      </w:r>
    </w:p>
    <w:p>
      <w:pPr>
        <w:pStyle w:val="Typedudocument"/>
        <w:rPr>
          <w:noProof/>
        </w:rPr>
      </w:pPr>
      <w:r>
        <w:rPr>
          <w:noProof/>
        </w:rPr>
        <w:t>UREDBA EVROPSKEGA PARLAMENTA IN SVETA</w:t>
      </w:r>
    </w:p>
    <w:p>
      <w:pPr>
        <w:pStyle w:val="Titreobjet"/>
        <w:rPr>
          <w:noProof/>
        </w:rPr>
      </w:pPr>
      <w:r>
        <w:rPr>
          <w:noProof/>
        </w:rPr>
        <w:t>o vzpostavitvi okvira za spodbujanje trajnostnih naložb</w:t>
      </w:r>
    </w:p>
    <w:p>
      <w:pPr>
        <w:pStyle w:val="IntrtEEE"/>
        <w:rPr>
          <w:noProof/>
        </w:rPr>
      </w:pPr>
      <w:r>
        <w:rPr>
          <w:noProof/>
        </w:rPr>
        <w:t>(Besedilo velja za EGP)</w:t>
      </w:r>
    </w:p>
    <w:p>
      <w:pPr>
        <w:pStyle w:val="Institutionquiagit"/>
        <w:rPr>
          <w:noProof/>
        </w:rPr>
      </w:pPr>
      <w:r>
        <w:rPr>
          <w:noProof/>
        </w:rPr>
        <w:t>EVROPSKI PARLAMENT IN SVET EVROPSKE UNIJE STA –</w:t>
      </w:r>
    </w:p>
    <w:p>
      <w:pPr>
        <w:rPr>
          <w:noProof/>
        </w:rPr>
      </w:pPr>
      <w:r>
        <w:rPr>
          <w:noProof/>
        </w:rPr>
        <w:t>ob upoštevanju Pogodbe o delovanju Evropske unije in zlasti člena 114 Pogodbe,</w:t>
      </w:r>
    </w:p>
    <w:p>
      <w:pPr>
        <w:rPr>
          <w:noProof/>
        </w:rPr>
      </w:pPr>
      <w:r>
        <w:rPr>
          <w:noProof/>
        </w:rPr>
        <w:t>ob upoštevanju predloga Evropske komisije,</w:t>
      </w:r>
    </w:p>
    <w:p>
      <w:pPr>
        <w:rPr>
          <w:noProof/>
        </w:rPr>
      </w:pPr>
      <w:r>
        <w:rPr>
          <w:noProof/>
        </w:rPr>
        <w:t>po posredovanju osnutka zakonodajnega akta nacionalnim parlamentom,</w:t>
      </w:r>
    </w:p>
    <w:p>
      <w:pPr>
        <w:rPr>
          <w:noProof/>
        </w:rPr>
      </w:pPr>
      <w:r>
        <w:rPr>
          <w:noProof/>
        </w:rPr>
        <w:t>ob upoštevanju mnenja Evropske centralne banke</w:t>
      </w:r>
      <w:r>
        <w:rPr>
          <w:rStyle w:val="FootnoteReference"/>
          <w:noProof/>
        </w:rPr>
        <w:footnoteReference w:id="18"/>
      </w:r>
      <w:r>
        <w:rPr>
          <w:noProof/>
        </w:rPr>
        <w:t>,</w:t>
      </w:r>
    </w:p>
    <w:p>
      <w:pPr>
        <w:rPr>
          <w:noProof/>
        </w:rPr>
      </w:pPr>
      <w:r>
        <w:rPr>
          <w:noProof/>
        </w:rPr>
        <w:t>ob upoštevanju mnenja Evropskega ekonomsko-socialnega odbora</w:t>
      </w:r>
      <w:r>
        <w:rPr>
          <w:rStyle w:val="FootnoteReference"/>
          <w:noProof/>
        </w:rPr>
        <w:footnoteReference w:id="19"/>
      </w:r>
      <w:r>
        <w:rPr>
          <w:noProof/>
        </w:rPr>
        <w:t>,</w:t>
      </w:r>
    </w:p>
    <w:p>
      <w:pPr>
        <w:rPr>
          <w:noProof/>
        </w:rPr>
      </w:pPr>
      <w:r>
        <w:rPr>
          <w:noProof/>
        </w:rPr>
        <w:t>v skladu z rednim zakonodajnim postopkom,</w:t>
      </w:r>
    </w:p>
    <w:p>
      <w:pPr>
        <w:rPr>
          <w:noProof/>
        </w:rPr>
      </w:pPr>
      <w:r>
        <w:rPr>
          <w:noProof/>
        </w:rPr>
        <w:t>ob upoštevanju naslednjega:</w:t>
      </w:r>
    </w:p>
    <w:p>
      <w:pPr>
        <w:pStyle w:val="ManualConsidrant"/>
        <w:rPr>
          <w:noProof/>
        </w:rPr>
      </w:pPr>
      <w:r>
        <w:t>(1)</w:t>
      </w:r>
      <w:r>
        <w:tab/>
      </w:r>
      <w:r>
        <w:rPr>
          <w:noProof/>
        </w:rPr>
        <w:t xml:space="preserve">Cilj člena 3(3) Pogodbe o Evropski uniji je vzpostavitev notranjega trga, ki deluje za trajnostni razvoj Evrope in med drugim temelji na uravnoteženi gospodarski rasti ter visoki ravni varstva in izboljšanju kakovosti okolja. </w:t>
      </w:r>
    </w:p>
    <w:p>
      <w:pPr>
        <w:pStyle w:val="ManualConsidrant"/>
        <w:rPr>
          <w:noProof/>
        </w:rPr>
      </w:pPr>
      <w:r>
        <w:t>(2)</w:t>
      </w:r>
      <w:r>
        <w:tab/>
      </w:r>
      <w:r>
        <w:rPr>
          <w:noProof/>
        </w:rPr>
        <w:t>Generalna skupščina Združenih narodov je 25. septembra 2015 sprejela nov okvir za svetovni trajnostni razvoj: Agendo za trajnostni razvoj do leta 2030</w:t>
      </w:r>
      <w:r>
        <w:rPr>
          <w:rStyle w:val="FootnoteReference"/>
          <w:noProof/>
        </w:rPr>
        <w:footnoteReference w:id="20"/>
      </w:r>
      <w:r>
        <w:rPr>
          <w:noProof/>
        </w:rPr>
        <w:t>, osredotočeno na cilje trajnostnega razvoja, ki zajema tri stebre trajnosti: okoljskega, socialnega in gospodarskega/upravljavskega. Sporočilo Komisije iz leta 2016 o novih ukrepih za trajnostno prihodnost Evrope</w:t>
      </w:r>
      <w:r>
        <w:rPr>
          <w:rStyle w:val="FootnoteReference"/>
          <w:noProof/>
        </w:rPr>
        <w:footnoteReference w:id="21"/>
      </w:r>
      <w:r>
        <w:rPr>
          <w:noProof/>
        </w:rPr>
        <w:t xml:space="preserve"> povezuje cilje trajnostnega razvoja z okvirom politike Unije, da se zagotovi, da vsi ukrepi in politične pobude Unije na ravni EU in svetovni ravni že na začetku upoštevajo cilje trajnostnega razvoja. Evropski svet je v sklepih z dne 20. junija 2017</w:t>
      </w:r>
      <w:r>
        <w:rPr>
          <w:rStyle w:val="FootnoteReference"/>
          <w:noProof/>
        </w:rPr>
        <w:footnoteReference w:id="22"/>
      </w:r>
      <w:r>
        <w:rPr>
          <w:noProof/>
        </w:rPr>
        <w:t xml:space="preserve"> potrdil, da so Unija in države članice zavezane celovitemu, doslednemu, obsežnemu, integriranemu in učinkovitemu izvajanju Agende 2030, tudi v tesnem sodelovanju s partnerji in drugimi deležniki.</w:t>
      </w:r>
    </w:p>
    <w:p>
      <w:pPr>
        <w:pStyle w:val="ManualConsidrant"/>
        <w:rPr>
          <w:noProof/>
        </w:rPr>
      </w:pPr>
      <w:r>
        <w:t>(3)</w:t>
      </w:r>
      <w:r>
        <w:tab/>
      </w:r>
      <w:r>
        <w:rPr>
          <w:noProof/>
        </w:rPr>
        <w:t>Leta 2016 je Svet v imenu Unije sklenil Pariški sporazum o podnebnih spremembah</w:t>
      </w:r>
      <w:r>
        <w:rPr>
          <w:rStyle w:val="FootnoteReference"/>
          <w:noProof/>
        </w:rPr>
        <w:footnoteReference w:id="23"/>
      </w:r>
      <w:r>
        <w:rPr>
          <w:noProof/>
        </w:rPr>
        <w:t>. Člen 2(1)(c) Pariškega sporazuma o podnebnih spremembah določa cilj okrepitve odziva na podnebne spremembe, med drugim z zagotavljanjem, da se bodo finančni tokovi ujemali z usmerjenostjo v zmanjšanje emisij toplogrednih plinov in k razvoju, odpornemu na podnebne spremembe.</w:t>
      </w:r>
    </w:p>
    <w:p>
      <w:pPr>
        <w:pStyle w:val="ManualConsidrant"/>
        <w:rPr>
          <w:noProof/>
        </w:rPr>
      </w:pPr>
      <w:r>
        <w:lastRenderedPageBreak/>
        <w:t>(4)</w:t>
      </w:r>
      <w:r>
        <w:tab/>
      </w:r>
      <w:r>
        <w:rPr>
          <w:noProof/>
        </w:rPr>
        <w:t>Trajnost in prehod v nizkoogljično gospodarstvo, ki je odporno na podnebne spremembe, bolj gospodarno z viri in krožno, so ključnega pomena za zagotavljanje dolgoročne konkurenčnosti gospodarstva Unije. Trajnost je že dolgo v središču projekta Evropske unije, njene socialne in okoljske razsežnosti pa so priznane v pogodbah EU.</w:t>
      </w:r>
    </w:p>
    <w:p>
      <w:pPr>
        <w:pStyle w:val="ManualConsidrant"/>
        <w:rPr>
          <w:noProof/>
        </w:rPr>
      </w:pPr>
      <w:r>
        <w:t>(5)</w:t>
      </w:r>
      <w:r>
        <w:tab/>
      </w:r>
      <w:r>
        <w:rPr>
          <w:noProof/>
        </w:rPr>
        <w:t>Decembra 2016 je Komisija pooblastila strokovno skupino na visoki ravni, da oblikuje vsesplošno in celovito strategijo Unije za financiranje trajnostne rasti. Poročilo strokovne skupine na visoki ravni, ki je bilo objavljeno 31. januarja 2018</w:t>
      </w:r>
      <w:r>
        <w:rPr>
          <w:rStyle w:val="FootnoteReference"/>
          <w:noProof/>
        </w:rPr>
        <w:footnoteReference w:id="24"/>
      </w:r>
      <w:r>
        <w:rPr>
          <w:noProof/>
        </w:rPr>
        <w:t xml:space="preserve">, poziva k vzpostavitvi tehnično stabilnega sistema klasifikacije na ravni Unije, da se zagotovi jasnost glede tega, katere dejavnosti so „zelene“ ali „trajnostne“, začenši z blaženjem podnebnih sprememb. </w:t>
      </w:r>
    </w:p>
    <w:p>
      <w:pPr>
        <w:pStyle w:val="ManualConsidrant"/>
        <w:rPr>
          <w:noProof/>
        </w:rPr>
      </w:pPr>
      <w:r>
        <w:t>(6)</w:t>
      </w:r>
      <w:r>
        <w:tab/>
      </w:r>
      <w:r>
        <w:rPr>
          <w:noProof/>
        </w:rPr>
        <w:t>Komisija je marca 2018 objavila svoj akcijski načrt „Financiranje trajnostne rasti“</w:t>
      </w:r>
      <w:r>
        <w:rPr>
          <w:rStyle w:val="FootnoteReference"/>
          <w:noProof/>
        </w:rPr>
        <w:footnoteReference w:id="25"/>
      </w:r>
      <w:r>
        <w:rPr>
          <w:noProof/>
        </w:rPr>
        <w:t xml:space="preserve"> o vzpostavitvi ambiciozne in celovite strategije za financiranje trajnostne rasti. Eden od ciljev, navedenih v akcijskem načrtu, je namenjen preusmeritvi kapitalskih tokov v trajnostne naložbe, da bi dosegli trajnostno in vključujočo rast. Vzpostavitev enotnega sistema klasifikacije trajnostnih dejavnosti je najpomembnejši in najnujnejši ukrep, predviden v akcijskem načrtu. Akcijski načrt priznava, da mora premik kapitalskih tokov k bolj trajnostnim dejavnostim temeljiti na skupnem razumevanju, kaj pomeni „trajnostna naravnanost“. Kot prvi korak bi morala jasna navodila glede dejavnosti, ki prispevajo k okoljskim ciljem, prispevati k obveščanju vlagateljev o naložbah, ki financirajo okoljsko trajnostne gospodarske dejavnosti. Dodatne smernice o dejavnostih, ki prispevajo k drugim ciljem glede trajnosti, vključno s socialnimi cilji, se lahko pripravijo pozneje.</w:t>
      </w:r>
    </w:p>
    <w:p>
      <w:pPr>
        <w:pStyle w:val="ManualConsidrant"/>
        <w:rPr>
          <w:noProof/>
        </w:rPr>
      </w:pPr>
      <w:r>
        <w:t>(7)</w:t>
      </w:r>
      <w:r>
        <w:tab/>
      </w:r>
      <w:r>
        <w:rPr>
          <w:noProof/>
        </w:rPr>
        <w:t>Sklep št. 1386/2013/EU Evropskega parlamenta in Sveta</w:t>
      </w:r>
      <w:r>
        <w:rPr>
          <w:rStyle w:val="FootnoteReference"/>
          <w:noProof/>
        </w:rPr>
        <w:footnoteReference w:id="26"/>
      </w:r>
      <w:r>
        <w:rPr>
          <w:noProof/>
        </w:rPr>
        <w:t xml:space="preserve"> je pozval k povečanju zasebnega financiranja odhodkov, povezanih z okoljem in podnebjem, zlasti z uvedbo spodbud in metodologij za podjetja, da bodo merila okoljske stroške poslovanja in dobiček zaradi uporabe okoljskih storitev.</w:t>
      </w:r>
    </w:p>
    <w:p>
      <w:pPr>
        <w:pStyle w:val="ManualConsidrant"/>
        <w:rPr>
          <w:noProof/>
        </w:rPr>
      </w:pPr>
      <w:r>
        <w:t>(8)</w:t>
      </w:r>
      <w:r>
        <w:tab/>
      </w:r>
      <w:r>
        <w:rPr>
          <w:noProof/>
        </w:rPr>
        <w:t xml:space="preserve">Doseganje ciljev trajnostnega razvoja v Uniji zahteva usmerjanje kapitalskih tokov v trajnostne naložbe. Pomembno je, da se za doseganje navedenih ciljev v celoti izkoristi potencial notranjega trga. Treba je tudi zagotoviti, da na notranjem trgu ne pride do motenj kapitalskih tokov, usmerjenih v trajnostne naložbe. </w:t>
      </w:r>
    </w:p>
    <w:p>
      <w:pPr>
        <w:pStyle w:val="ManualConsidrant"/>
        <w:rPr>
          <w:noProof/>
        </w:rPr>
      </w:pPr>
      <w:r>
        <w:t>(9)</w:t>
      </w:r>
      <w:r>
        <w:tab/>
      </w:r>
      <w:r>
        <w:rPr>
          <w:noProof/>
        </w:rPr>
        <w:t xml:space="preserve">Ponujanje finančnih produktov, ki sledijo okoljsko trajnostnim ciljem, je učinkovit način za usmerjanje zasebnih naložb v trajnostne dejavnosti. Cilj nacionalnih zahtev za trženje finančnih produktov in podjetniških obveznic kot trajnostnih naložb, zlasti tistih zahtev, ki zadevnim akterjem na trgu omogočajo, da uporabljajo nacionalne oznake, je okrepitev zaupanja vlagateljev, ustvarjanje prepoznavnosti ter obravnavanje pomislekov glede lažnega oglaševanja prijaznosti do okolja („greenwashing“). Lažno oglaševanje prijaznosti do okolja se nanaša na prakso pridobivanja nepoštene konkurenčne prednosti s trženjem finančnega produkta kot okolju prijaznega, čeprav v resnici ne izpolnjuje osnovnih okoljskih standardov. Trenutno ima le nekaj držav članic vzpostavljene sisteme označevanja. Ti sistemi temeljijo na različnih taksonomijah za klasifikacijo okoljsko trajnostnih gospodarskih dejavnosti. Ob upoštevanju političnih zavez iz Pariškega sporazuma in na ravni Unije je verjetno, da bo vse več držav članic vzpostavilo sheme označevanja ali druge zahteve za akterje na trgu v zvezi s finančnimi produkti ali podjetniškimi obveznicami, ki se tržijo kot okoljsko trajnostne. Pri tem bi države članice uporabile nacionalne taksonomije za določanje, katere naložbe se štejejo kot trajnostne. Če take nacionalne zahteve temeljijo na </w:t>
      </w:r>
      <w:r>
        <w:rPr>
          <w:noProof/>
        </w:rPr>
        <w:lastRenderedPageBreak/>
        <w:t xml:space="preserve">različnih merilih glede tega, katere gospodarske dejavnosti se štejejo kot okoljsko trajnostne, bo to vlagatelje odvrnilo od čezmejnih naložb zaradi težav pri primerjanju različnih naložbenih priložnosti. Poleg tega bi morali gospodarski subjekti, ki želijo pritegniti naložbe iz celotne Unije, v različnih državah članicah izpolnjevati različna merila, da bi se njihove dejavnosti za namene različnih oznak štele kot okoljsko trajnostne. Odsotnost enotnih meril bo tako povečala stroške in močno odvračala gospodarske subjekte, kar ovira dostop do čezmejnih kapitalskih trgov za trajnostne naložbe. Ovire za dostop do čezmejnih kapitalskih trgov za namene zbiranja sredstev za trajnostne projekte naj bi se še naprej povečevale. Merila za ugotavljanje, ali je gospodarska dejavnost okoljsko trajnostna, je zato treba uskladiti na ravni Unije, da bi odpravili ovire za delovanje notranjega trga in preprečili njihov nastanek v prihodnosti. S takšnim usklajevanjem bodo gospodarski subjekti lažje čezmejno zbirali sredstva za svoje zelene dejavnosti, saj bi bilo njihove gospodarske dejavnosti mogoče primerjati na podlagi enotnih meril, da bi se izbrale kot osnovno sredstvo za okoljsko trajnostne naložbe. To bo olajšalo privabljanje čezmejnih naložb znotraj Unije. </w:t>
      </w:r>
    </w:p>
    <w:p>
      <w:pPr>
        <w:pStyle w:val="ManualConsidrant"/>
        <w:rPr>
          <w:noProof/>
        </w:rPr>
      </w:pPr>
      <w:r>
        <w:t>(10)</w:t>
      </w:r>
      <w:r>
        <w:tab/>
      </w:r>
      <w:r>
        <w:rPr>
          <w:noProof/>
        </w:rPr>
        <w:t xml:space="preserve">A če udeleženci na trgu vlagateljem ne zagotovijo nobenega pojasnila o tem, kako dejavnosti, v katere vlagajo, prispevajo k okoljskim ciljem, ali če uporabljajo različne pojme za razlago, kaj je „trajnostna“ gospodarska dejavnost, preverjanje in primerjava teh različnih finančnih produktov za vlagatelje predstavljata nesorazmerno večje breme. Ugotovljeno je bilo, da to odvrača vlagatelje od naložb v zelene finančne produkte. Poleg tega ima pomanjkanje zaupanja vlagateljev pomembne škodljive učinke na trg za trajnostne naložbe. Prav tako je bilo ugotovljeno, da bodo nacionalni predpisi ali tržne pobude za reševanje tega vprašanja znotraj nacionalnih meja povzročili razdrobitev notranjega trga. Če udeleženci na finančnem trgu razkrijejo, kako finančni produkti, za katere trdijo, da so okolju prijazni, izpolnjujejo okoljske cilje, in za takšno razkritje uporabljajo skupna merila po vsej Uniji glede tega, kaj je okoljsko trajnostna gospodarska dejavnost, bo to vlagateljem pomagalo primerjati okolju prijazne naložbene priložnosti prek meja. Vlagatelji bodo imeli več zaupanja pri vlaganju v zelene finančne produkte v Uniji, kar bo izboljšalo delovanje notranjega trga. </w:t>
      </w:r>
    </w:p>
    <w:p>
      <w:pPr>
        <w:pStyle w:val="ManualConsidrant"/>
        <w:rPr>
          <w:noProof/>
        </w:rPr>
      </w:pPr>
      <w:r>
        <w:t>(11)</w:t>
      </w:r>
      <w:r>
        <w:tab/>
      </w:r>
      <w:r>
        <w:rPr>
          <w:noProof/>
        </w:rPr>
        <w:t>Za odpravo obstoječih ovir za delovanje notranjega trga in preprečitev nastanka takih ovir v prihodnosti bi morale države članice uporabiti enoten koncept okoljsko trajnostnih naložb pri določanju zahtev za akterje na trgu za namene označevanja finančnih produktov ali podjetniških obveznic, ki se na nacionalni ravni tržijo kot okoljsko trajnostni. Iz istih razlogov bi morali upravitelji skladov in institucionalni vlagatelji, ki trdijo, da si prizadevajo za doseganje okoljskih ciljev, uporabljati isti koncept okoljsko trajnostne naložbe pri razkrivanju, kako uresničujejo te cilje.</w:t>
      </w:r>
    </w:p>
    <w:p>
      <w:pPr>
        <w:pStyle w:val="ManualConsidrant"/>
        <w:rPr>
          <w:noProof/>
        </w:rPr>
      </w:pPr>
      <w:r>
        <w:t>(12)</w:t>
      </w:r>
      <w:r>
        <w:tab/>
      </w:r>
      <w:r>
        <w:rPr>
          <w:noProof/>
        </w:rPr>
        <w:t>Določitev meril za okoljsko trajnostne gospodarske dejavnosti bi lahko podjetja spodbudila, da na svojih spletnih straneh prostovoljno razkrijejo informacije o okoljsko trajnostnih dejavnostih, ki jih izvajajo. Te informacije ne bodo samo pomagale zadevnim subjektom na finančnih trgih pri lažjem ugotavljanju, katera podjetja izvajajo okoljsko trajnostne gospodarske dejavnosti, ampak bodo ta podjetja tudi lažje zbirala sredstva za svoje zelene dejavnosti.</w:t>
      </w:r>
    </w:p>
    <w:p>
      <w:pPr>
        <w:pStyle w:val="ManualConsidrant"/>
        <w:rPr>
          <w:noProof/>
        </w:rPr>
      </w:pPr>
      <w:r>
        <w:t>(13)</w:t>
      </w:r>
      <w:r>
        <w:tab/>
      </w:r>
      <w:r>
        <w:rPr>
          <w:noProof/>
        </w:rPr>
        <w:t xml:space="preserve">Evropska klasifikacija okoljsko trajnostnih gospodarskih dejavnosti bi morala omogočiti razvoj prihodnjih politik Unije, vključno z vseevropskimi standardi za okoljsko trajnostne finančne produkte in navsezadnje oblikovanjem oznak, s katerimi bo uradno priznano izpolnjevanje teh standardov po vsej Uniji. Enotne pravne zahteve za obravnavanje naložb kot okoljsko trajnostnih naložb na podlagi enotnih meril za okoljsko trajnostne gospodarske dejavnosti so potrebne kot referenca za prihodnjo zakonodajo Unije, katere namen je omogočanje navedenih naložb. </w:t>
      </w:r>
    </w:p>
    <w:p>
      <w:pPr>
        <w:pStyle w:val="ManualConsidrant"/>
        <w:rPr>
          <w:noProof/>
        </w:rPr>
      </w:pPr>
      <w:r>
        <w:t>(14)</w:t>
      </w:r>
      <w:r>
        <w:tab/>
      </w:r>
      <w:r>
        <w:rPr>
          <w:noProof/>
        </w:rPr>
        <w:t xml:space="preserve">V okviru doseganja ciljev trajnostnega razvoja v Uniji so se odločitve politike, kot je ustanovitev Evropskega sklada za strateške naložbe, izkazale za učinkovite pri usmerjanju </w:t>
      </w:r>
      <w:r>
        <w:rPr>
          <w:noProof/>
        </w:rPr>
        <w:lastRenderedPageBreak/>
        <w:t>zasebnih naložb poleg javnih sredstev v trajnostne naložbe. Uredba (EU) 2015/1017 Evropskega parlamenta in Sveta</w:t>
      </w:r>
      <w:r>
        <w:rPr>
          <w:rStyle w:val="FootnoteReference"/>
          <w:noProof/>
        </w:rPr>
        <w:footnoteReference w:id="27"/>
      </w:r>
      <w:r>
        <w:rPr>
          <w:noProof/>
        </w:rPr>
        <w:t xml:space="preserve"> določa cilj vsaj 40 % investiranja v podnebje za infrastrukturne in inovacijske projekte v okviru Evropskega sklada za strateške naložbe. Skupna merila za trajnost gospodarskih dejavnosti bi lahko bila podlaga za prihodnje podobne pobude Unije za spodbujanje naložb, povezanih s podnebnimi spremembami ali drugimi okoljskimi cilji. </w:t>
      </w:r>
    </w:p>
    <w:p>
      <w:pPr>
        <w:pStyle w:val="ManualConsidrant"/>
        <w:rPr>
          <w:noProof/>
        </w:rPr>
      </w:pPr>
      <w:r>
        <w:t>(15)</w:t>
      </w:r>
      <w:r>
        <w:tab/>
      </w:r>
      <w:r>
        <w:rPr>
          <w:noProof/>
        </w:rPr>
        <w:t xml:space="preserve">Da bi se izognili razdrobljenosti trga in škodi za interese potrošnikov zaradi različnih pojmov okoljsko trajnostnih gospodarskih dejavnosti, bi morale nacionalne zahteve, ki bi jih morali akterji na trgu upoštevati pri trženju finančnih produktov ali podjetniških obveznic kot okoljsko trajnostnih, temeljiti na enotnih merilih za okoljsko trajnostne gospodarske dejavnosti. Ti akterji na trgu vključujejo udeležence na finančnem trgu, ki ponujajo „zelene“ finančne produkte, in nefinančne družbe, ki izdajajo „zelene“ podjetniške obveznice. </w:t>
      </w:r>
    </w:p>
    <w:p>
      <w:pPr>
        <w:pStyle w:val="ManualConsidrant"/>
        <w:rPr>
          <w:noProof/>
        </w:rPr>
      </w:pPr>
      <w:r>
        <w:t>(16)</w:t>
      </w:r>
      <w:r>
        <w:tab/>
      </w:r>
      <w:r>
        <w:rPr>
          <w:noProof/>
        </w:rPr>
        <w:t xml:space="preserve">Da bi preprečili poseganje v interese potrošnikov, morajo upravitelji skladov in institucionalni vlagatelji, ki ponujajo finančne produkte kot okoljsko trajnostne, razkriti, kako in v kakšnem obsegu se merila za okoljsko trajnostne gospodarske dejavnosti uporabljajo za določitev okoljske trajnosti naložb. Razkrite informacije bi morale vlagateljem omogočiti razumevanje deleža naložb, ki financirajo okoljsko trajnostne gospodarske dejavnosti, kot odstotka vseh gospodarskih dejavnosti in s tem stopnjo okoljske trajnosti naložbe. Komisija bi morala opredeliti informacije, ki jih je treba razkriti za te namene. Te informacije bi morale pristojnim nacionalnim organom omogočati, da brez težav preverijo izpolnjevanje obveznosti razkritja in da te obveznosti izvajajo v skladu z veljavno nacionalno zakonodajo. </w:t>
      </w:r>
    </w:p>
    <w:p>
      <w:pPr>
        <w:pStyle w:val="ManualConsidrant"/>
        <w:rPr>
          <w:noProof/>
        </w:rPr>
      </w:pPr>
      <w:r>
        <w:t>(17)</w:t>
      </w:r>
      <w:r>
        <w:tab/>
      </w:r>
      <w:r>
        <w:rPr>
          <w:noProof/>
        </w:rPr>
        <w:t xml:space="preserve">Da se prepreči izogibanje obveznosti razkritja, bi morala ta obveznost veljati tudi, kadar se finančni produkti ponujajo kot produkti s podobnimi lastnostmi kot okoljsko trajnostne naložbe, vključno s tistimi, katerih cilj je varstvo okolja v širšem smislu. Od udeležencev na finančnem trgu se ne bi smelo zahtevati, da vlagajo le v okoljsko trajnostne gospodarske dejavnosti, določene v skladu s tehničnimi merili za pregled iz te uredbe. Treba bi jih bilo spodbujati, da Komisijo obvestijo, kadar menijo, da bi bilo treba gospodarsko dejavnost, ki ne izpolnjuje tehničnih meril za pregled ali za katero takšna merila še niso bila določena, obravnavati kot okoljsko trajnostno, da bi Komisiji pomagali oceniti primernost dopolnitve ali posodobitve tehničnih meril za pregled. </w:t>
      </w:r>
    </w:p>
    <w:p>
      <w:pPr>
        <w:pStyle w:val="ManualConsidrant"/>
        <w:rPr>
          <w:noProof/>
        </w:rPr>
      </w:pPr>
      <w:r>
        <w:t>(18)</w:t>
      </w:r>
      <w:r>
        <w:tab/>
      </w:r>
      <w:r>
        <w:rPr>
          <w:noProof/>
        </w:rPr>
        <w:t xml:space="preserve">Za namene določitve, ali je gospodarska dejavnost okoljsko trajnostna, je treba pripraviti izčrpen seznam okoljskih ciljev. </w:t>
      </w:r>
    </w:p>
    <w:p>
      <w:pPr>
        <w:pStyle w:val="ManualConsidrant"/>
        <w:rPr>
          <w:noProof/>
        </w:rPr>
      </w:pPr>
      <w:r>
        <w:t>(19)</w:t>
      </w:r>
      <w:r>
        <w:tab/>
      </w:r>
      <w:r>
        <w:rPr>
          <w:noProof/>
        </w:rPr>
        <w:t>Okoljski cilj varstva zdravih ekosistemov bi bilo treba razlagati ob upoštevanju ustreznih zakonodajnih in nezakonodajnih instrumentov Unije, vključno z Direktivo 2009/147/ES Evropskega parlamenta in Sveta</w:t>
      </w:r>
      <w:r>
        <w:rPr>
          <w:rStyle w:val="FootnoteReference"/>
          <w:noProof/>
        </w:rPr>
        <w:footnoteReference w:id="28"/>
      </w:r>
      <w:r>
        <w:rPr>
          <w:noProof/>
        </w:rPr>
        <w:t>, Direktivo Sveta 92/43/EGS</w:t>
      </w:r>
      <w:r>
        <w:rPr>
          <w:rStyle w:val="FootnoteReference"/>
          <w:noProof/>
        </w:rPr>
        <w:footnoteReference w:id="29"/>
      </w:r>
      <w:r>
        <w:rPr>
          <w:noProof/>
        </w:rPr>
        <w:t>, Uredbo (EU) št. 1143/2014 Evropskega parlamenta in Sveta</w:t>
      </w:r>
      <w:r>
        <w:rPr>
          <w:rStyle w:val="FootnoteReference"/>
          <w:noProof/>
        </w:rPr>
        <w:footnoteReference w:id="30"/>
      </w:r>
      <w:r>
        <w:rPr>
          <w:noProof/>
        </w:rPr>
        <w:t>, strategijo EU za biotsko raznovrstnost do leta 2020</w:t>
      </w:r>
      <w:r>
        <w:rPr>
          <w:rStyle w:val="FootnoteReference"/>
          <w:noProof/>
        </w:rPr>
        <w:footnoteReference w:id="31"/>
      </w:r>
      <w:r>
        <w:rPr>
          <w:noProof/>
        </w:rPr>
        <w:t xml:space="preserve">, </w:t>
      </w:r>
      <w:r>
        <w:rPr>
          <w:noProof/>
        </w:rPr>
        <w:lastRenderedPageBreak/>
        <w:t>strategijo EU za zeleno infrastrukturo, Direktivo Sveta 91/676</w:t>
      </w:r>
      <w:r>
        <w:rPr>
          <w:rStyle w:val="FootnoteReference"/>
          <w:noProof/>
        </w:rPr>
        <w:footnoteReference w:id="32"/>
      </w:r>
      <w:r>
        <w:rPr>
          <w:noProof/>
        </w:rPr>
        <w:t>, Uredbo (EU) št. 511/2014 Evropskega parlamenta in Sveta</w:t>
      </w:r>
      <w:r>
        <w:rPr>
          <w:rStyle w:val="FootnoteReference"/>
          <w:noProof/>
        </w:rPr>
        <w:footnoteReference w:id="33"/>
      </w:r>
      <w:r>
        <w:rPr>
          <w:noProof/>
        </w:rPr>
        <w:t>, Uredbo (EU) št. 995/2010 Evropskega parlamenta in Sveta</w:t>
      </w:r>
      <w:r>
        <w:rPr>
          <w:rStyle w:val="FootnoteReference"/>
          <w:noProof/>
        </w:rPr>
        <w:footnoteReference w:id="34"/>
      </w:r>
      <w:r>
        <w:rPr>
          <w:noProof/>
        </w:rPr>
        <w:t>, akcijskim načrtom EU za uveljavljanje zakonodaje, upravljanje in trgovanje na področju gozdov</w:t>
      </w:r>
      <w:r>
        <w:rPr>
          <w:rStyle w:val="FootnoteReference"/>
          <w:noProof/>
        </w:rPr>
        <w:footnoteReference w:id="35"/>
      </w:r>
      <w:r>
        <w:rPr>
          <w:noProof/>
        </w:rPr>
        <w:t xml:space="preserve"> in akcijskim načrtom EU za boj proti nezakoniti trgovini s prostoživečimi vrstami</w:t>
      </w:r>
      <w:r>
        <w:rPr>
          <w:rStyle w:val="FootnoteReference"/>
          <w:noProof/>
        </w:rPr>
        <w:footnoteReference w:id="36"/>
      </w:r>
      <w:r>
        <w:rPr>
          <w:noProof/>
        </w:rPr>
        <w:t>.</w:t>
      </w:r>
    </w:p>
    <w:p>
      <w:pPr>
        <w:pStyle w:val="ManualConsidrant"/>
        <w:rPr>
          <w:noProof/>
        </w:rPr>
      </w:pPr>
      <w:r>
        <w:t>(20)</w:t>
      </w:r>
      <w:r>
        <w:tab/>
      </w:r>
      <w:r>
        <w:rPr>
          <w:noProof/>
        </w:rPr>
        <w:t>Za vsak okoljski cilj bi bilo treba določiti enotna merila, na podlagi katerih se preverja, ali gospodarska dejavnost bistveno prispeva k temu cilju. En element enotnih meril bi moral biti izogibanje znatni škodi za kateri koli okoljski cilj iz te uredbe. To je potrebno, da se prepreči, da se naložbe obravnavajo kot okoljsko trajnostne, čeprav gospodarske dejavnosti, ki imajo korist od teh naložb, škodujejo okolju v obsegu, ki presega njihov prispevek k okoljskemu cilju. Pogoji za bistven prispevek in za nepovzročanje znatne škode bi morali omogočiti naložbe v okoljsko trajnostne gospodarske dejavnosti, da bi resnično prispevali k okoljskim ciljem.</w:t>
      </w:r>
    </w:p>
    <w:p>
      <w:pPr>
        <w:pStyle w:val="ManualConsidrant"/>
        <w:rPr>
          <w:noProof/>
        </w:rPr>
      </w:pPr>
      <w:r>
        <w:t>(21)</w:t>
      </w:r>
      <w:r>
        <w:tab/>
      </w:r>
      <w:r>
        <w:rPr>
          <w:noProof/>
        </w:rPr>
        <w:t>Ob sklicevanju na skupne zaveze Evropskega parlamenta, Sveta in Komisije k upoštevanju načel, zapisanih v evropskem stebru socialnih pravic v podporo trajnostni in vključujoči rasti, ter ob priznavanju pomena mednarodnih minimalnih standardov ter človekovih pravic in pravic delavcev, bi moralo izpolnjevanje minimalnih zaščitnih ukrepov predstavljati pogoj za gospodarske dejavnosti, da se štejejo kot okoljsko trajnostne. Zato se gospodarske dejavnosti štejejo kot okoljsko trajnostne le, če se izvajajo ob upoštevanju Deklaracije Mednarodne organizacije dela (MOD) o temeljnih pravicah in načelih pri delu ter osmih temeljnih konvenciji MOD. Temeljne konvencije MOD opredeljujejo človekove pravice in pravice delavcev, ki jih morajo spoštovati podjetja. Več teh mednarodnih standardov je prav tako zapisanih v Listini Evropske unije o temeljnih pravicah, zlasti prepoved suženjstva in prisilnega dela ter načelo nediskriminacije. Ti minimalni zaščitni ukrepi ne posegajo v uporabo strožjih zahtev glede okolja, zdravja in varnosti ter socialne trajnosti, določenih v pravu Unije, kadar je ustrezno.</w:t>
      </w:r>
    </w:p>
    <w:p>
      <w:pPr>
        <w:pStyle w:val="ManualConsidrant"/>
        <w:rPr>
          <w:noProof/>
        </w:rPr>
      </w:pPr>
      <w:r>
        <w:t>(22)</w:t>
      </w:r>
      <w:r>
        <w:tab/>
      </w:r>
      <w:r>
        <w:rPr>
          <w:noProof/>
        </w:rPr>
        <w:t xml:space="preserve">Glede na posebne tehnične podrobnosti, potrebne za presojo okoljskih vplivov gospodarske dejavnosti, in glede na hitro spreminjajočo se naravo znanosti in tehnologije, bi bilo treba merila za okoljsko trajnostne gospodarske dejavnosti redno prilagajati tem spremembam. Da bi bila merila posodobljena ter temeljila na znanstvenih dokazih in prispevkih strokovnjakov ter zadevnih zainteresiranih strani, bi bilo treba določiti pogoje za bistven prispevek in znatno škodo, ki bi bila bolj razčlenjena za različne gospodarske dejavnosti, in jih redno posodabljati. V ta namen bi morala Komisija določiti razčlenjena in natančna tehnična merila za pregled za različne gospodarske dejavnosti na podlagi tehničnega prispevka platforme z več zainteresiranimi stranmi o financiranju trajnostne rasti. </w:t>
      </w:r>
    </w:p>
    <w:p>
      <w:pPr>
        <w:pStyle w:val="ManualConsidrant"/>
        <w:rPr>
          <w:noProof/>
        </w:rPr>
      </w:pPr>
      <w:r>
        <w:t>(23)</w:t>
      </w:r>
      <w:r>
        <w:tab/>
      </w:r>
      <w:r>
        <w:rPr>
          <w:noProof/>
        </w:rPr>
        <w:t xml:space="preserve">Nekatere gospodarske dejavnosti negativno vplivajo na okolje, z zmanjšanjem tega negativnega vpliva pa bi bilo mogoče znatno prispevati k enemu ali več okoljskim ciljem. Za te gospodarske dejavnosti je ustrezno določiti tehnična merila za pregled, ki zahtevajo bistveno izboljšanje okoljske učinkovitosti, med drugim v primerjavi s povprečjem v </w:t>
      </w:r>
      <w:r>
        <w:rPr>
          <w:noProof/>
        </w:rPr>
        <w:lastRenderedPageBreak/>
        <w:t xml:space="preserve">industriji. Ta merila bi morala upoštevati tudi dolgoročni učinek določene gospodarske dejavnosti. </w:t>
      </w:r>
    </w:p>
    <w:p>
      <w:pPr>
        <w:pStyle w:val="ManualConsidrant"/>
        <w:rPr>
          <w:noProof/>
        </w:rPr>
      </w:pPr>
      <w:r>
        <w:t>(24)</w:t>
      </w:r>
      <w:r>
        <w:tab/>
      </w:r>
      <w:r>
        <w:rPr>
          <w:noProof/>
        </w:rPr>
        <w:t>Gospodarske dejavnosti ne bi smeli šteti kot okoljsko trajnostno, če povzroči več škode za okolje kot koristi. Tehnična merila za pregled bi morala opredeliti minimalne zahteve, potrebne za preprečevanje znatne škode za druge cilje. Pri določitvi in posodabljanju tehničnih meril za pregled bi morala Komisija zagotoviti, da ta merila temeljijo na razpoložljivih znanstvenih dokazih in se redno posodabljajo. Če na podlagi znanstvene ocene ni mogoče dovolj zanesljivo določiti tveganja, bi moralo veljati previdnostno načelo v skladu s členom 191 PDEU.</w:t>
      </w:r>
    </w:p>
    <w:p>
      <w:pPr>
        <w:pStyle w:val="ManualConsidrant"/>
        <w:rPr>
          <w:noProof/>
        </w:rPr>
      </w:pPr>
      <w:r>
        <w:t>(25)</w:t>
      </w:r>
      <w:r>
        <w:tab/>
      </w:r>
      <w:r>
        <w:rPr>
          <w:noProof/>
        </w:rPr>
        <w:t>Pri določitvi in posodabljanju tehničnih meril za pregled bi Komisija morala upoštevati ustrezno pravo Unije pa tudi nezakonodajne instrumente Unije, ki že obstajajo, vključno z Uredbo (ES) št. 66/2010 Evropskega parlamenta in Sveta</w:t>
      </w:r>
      <w:r>
        <w:rPr>
          <w:rStyle w:val="FootnoteReference"/>
          <w:noProof/>
        </w:rPr>
        <w:footnoteReference w:id="37"/>
      </w:r>
      <w:r>
        <w:rPr>
          <w:noProof/>
        </w:rPr>
        <w:t>, sistemom za okoljsko ravnanje in presojo</w:t>
      </w:r>
      <w:r>
        <w:rPr>
          <w:rStyle w:val="FootnoteReference"/>
          <w:noProof/>
        </w:rPr>
        <w:footnoteReference w:id="38"/>
      </w:r>
      <w:r>
        <w:rPr>
          <w:noProof/>
        </w:rPr>
        <w:t>, merili EU za zelena javna naročila</w:t>
      </w:r>
      <w:r>
        <w:rPr>
          <w:rStyle w:val="FootnoteReference"/>
          <w:noProof/>
        </w:rPr>
        <w:footnoteReference w:id="39"/>
      </w:r>
      <w:r>
        <w:rPr>
          <w:noProof/>
        </w:rPr>
        <w:t xml:space="preserve"> ter tekočim delom v zvezi s pravili o ekološkem odtisu izdelkov in organizacij</w:t>
      </w:r>
      <w:r>
        <w:rPr>
          <w:rStyle w:val="FootnoteReference"/>
          <w:noProof/>
        </w:rPr>
        <w:footnoteReference w:id="40"/>
      </w:r>
      <w:r>
        <w:rPr>
          <w:noProof/>
        </w:rPr>
        <w:t>. Da bi preprečili nepotrebne nedoslednosti s klasifikacijo gospodarskih dejavnosti, ki že obstaja za druge namene, bi morala Komisija upoštevati tudi statistične klasifikacije v zvezi s sektorjem okoljskega blaga in storitev, in sicer klasifikacijo aktivnosti in izdatkov za varovanje okolja (CEPA) ter klasifikacijo dejavnosti upravljanja virov (CReMA)</w:t>
      </w:r>
      <w:r>
        <w:rPr>
          <w:rStyle w:val="FootnoteReference"/>
          <w:noProof/>
        </w:rPr>
        <w:footnoteReference w:id="41"/>
      </w:r>
      <w:r>
        <w:rPr>
          <w:noProof/>
        </w:rPr>
        <w:t>.</w:t>
      </w:r>
    </w:p>
    <w:p>
      <w:pPr>
        <w:pStyle w:val="ManualConsidrant"/>
        <w:rPr>
          <w:noProof/>
        </w:rPr>
      </w:pPr>
      <w:r>
        <w:t>(26)</w:t>
      </w:r>
      <w:r>
        <w:tab/>
      </w:r>
      <w:r>
        <w:rPr>
          <w:noProof/>
        </w:rPr>
        <w:t>Pri določitvi in posodabljanju tehničnih meril za pregled bi Komisija morala upoštevati tudi posebnosti infrastrukturnega sektorja, v okviru analize stroškov in koristi pa tudi okoljske, socialne in ekonomske zunanje učinke. S tem v zvezi bi Komisija morala upoštevati delo mednarodnih organizacij, kot je OECD, zadevno zakonodajo in standarde Unije, vključno z Direktivo 2001/42/ES Evropskega parlamenta in Sveta</w:t>
      </w:r>
      <w:r>
        <w:rPr>
          <w:rStyle w:val="FootnoteReference"/>
          <w:noProof/>
        </w:rPr>
        <w:footnoteReference w:id="42"/>
      </w:r>
      <w:r>
        <w:rPr>
          <w:noProof/>
        </w:rPr>
        <w:t>, Direktivo 2011/92/EU Evropskega parlamenta in Sveta</w:t>
      </w:r>
      <w:r>
        <w:rPr>
          <w:rStyle w:val="FootnoteReference"/>
          <w:noProof/>
        </w:rPr>
        <w:footnoteReference w:id="43"/>
      </w:r>
      <w:r>
        <w:rPr>
          <w:noProof/>
        </w:rPr>
        <w:t xml:space="preserve"> Direktivo 2014/23/EU Evropskega parlamenta in Sveta</w:t>
      </w:r>
      <w:r>
        <w:rPr>
          <w:rStyle w:val="FootnoteReference"/>
          <w:noProof/>
        </w:rPr>
        <w:footnoteReference w:id="44"/>
      </w:r>
      <w:r>
        <w:rPr>
          <w:noProof/>
        </w:rPr>
        <w:t>, Direktivo 2014/24/EU Evropskega parlamenta in Sveta</w:t>
      </w:r>
      <w:r>
        <w:rPr>
          <w:rStyle w:val="FootnoteReference"/>
          <w:noProof/>
        </w:rPr>
        <w:footnoteReference w:id="45"/>
      </w:r>
      <w:r>
        <w:rPr>
          <w:noProof/>
        </w:rPr>
        <w:t>, Direktivo 2014/25/EU Evropskega parlamenta in Sveta</w:t>
      </w:r>
      <w:r>
        <w:rPr>
          <w:rStyle w:val="FootnoteReference"/>
          <w:noProof/>
        </w:rPr>
        <w:footnoteReference w:id="46"/>
      </w:r>
      <w:r>
        <w:rPr>
          <w:noProof/>
        </w:rPr>
        <w:t xml:space="preserve"> in trenutno metodologijo. V tem okviru bi morala tehnična merila za pregled spodbujati ustrezne okvire upravljanja, ki vključujejo okoljske, socialne in upravljavske dejavnike, kot je navedeno v načelih za odgovorno vlaganje, ki jih podpirajo Združeni narodi</w:t>
      </w:r>
      <w:r>
        <w:rPr>
          <w:rStyle w:val="FootnoteReference"/>
          <w:noProof/>
        </w:rPr>
        <w:footnoteReference w:id="47"/>
      </w:r>
      <w:r>
        <w:rPr>
          <w:noProof/>
        </w:rPr>
        <w:t>, na vseh stopnjah življenjskega cikla projekta.</w:t>
      </w:r>
    </w:p>
    <w:p>
      <w:pPr>
        <w:pStyle w:val="ManualConsidrant"/>
        <w:rPr>
          <w:noProof/>
        </w:rPr>
      </w:pPr>
      <w:r>
        <w:lastRenderedPageBreak/>
        <w:t>(27)</w:t>
      </w:r>
      <w:r>
        <w:tab/>
      </w:r>
      <w:r>
        <w:rPr>
          <w:noProof/>
        </w:rPr>
        <w:t xml:space="preserve">Da se prepreči izkrivljanje konkurence pri zbiranju sredstev za okoljsko trajnostne gospodarske dejavnosti, bi morala tehnična merila za pregled zagotoviti, da se lahko vse zadevne gospodarske dejavnosti v določenem sektorju štejejo kot okoljsko trajnostne in da se obravnavajo enako, če enako prispevajo k enemu ali več okoljskim ciljem iz te uredbe. Potencialne zmogljivosti za prispevek k tem ciljem pa se lahko razlikujejo med sektorji, kar bi se moralo odražati v merilih. Vendar v vsakem sektorju ta merila ne bi smela neupravičeno prikrajšati nekaterih gospodarskih dejavnosti na račun drugih, če prve prispevajo k okoljskim ciljem v enaki meri kot slednje. </w:t>
      </w:r>
    </w:p>
    <w:p>
      <w:pPr>
        <w:pStyle w:val="ManualConsidrant"/>
        <w:rPr>
          <w:noProof/>
        </w:rPr>
      </w:pPr>
      <w:r>
        <w:t>(28)</w:t>
      </w:r>
      <w:r>
        <w:tab/>
      </w:r>
      <w:r>
        <w:rPr>
          <w:noProof/>
        </w:rPr>
        <w:t xml:space="preserve">Pri določanju tehničnih meril za pregled bi morala Komisija oceniti, ali bi sprejetje teh meril za okoljsko trajnostne dejavnosti privedlo do nasedlih sredstev ali nastanka nedoslednih spodbud in ali bi negativno vplivalo na likvidnost na finančnih trgih. </w:t>
      </w:r>
    </w:p>
    <w:p>
      <w:pPr>
        <w:pStyle w:val="ManualConsidrant"/>
        <w:rPr>
          <w:noProof/>
        </w:rPr>
      </w:pPr>
      <w:r>
        <w:t>(29)</w:t>
      </w:r>
      <w:r>
        <w:tab/>
      </w:r>
      <w:r>
        <w:rPr>
          <w:noProof/>
        </w:rPr>
        <w:t>Da bi preprečili čezmerno obremenjujoče stroške izpolnjevanja obveznosti za gospodarske subjekte, bi morala Komisija določiti tehnična merila za pregled, ki zagotavljajo zadostno pravno jasnost, so izvedljiva, enostavna za uporabo ter katerih izpolnjevanje se lahko preveri v razumnih mejah stroškov skladnosti.</w:t>
      </w:r>
    </w:p>
    <w:p>
      <w:pPr>
        <w:pStyle w:val="ManualConsidrant"/>
        <w:rPr>
          <w:noProof/>
        </w:rPr>
      </w:pPr>
      <w:r>
        <w:t>(30)</w:t>
      </w:r>
      <w:r>
        <w:tab/>
      </w:r>
      <w:r>
        <w:rPr>
          <w:noProof/>
        </w:rPr>
        <w:t xml:space="preserve">Za zagotovitev, da so naložbe usmerjene v gospodarske dejavnosti, ki imajo največji pozitiven vpliv na okoljske cilje, bi Komisija morala dati prednost določitvi tehničnih meril za pregled za gospodarske dejavnosti, ki lahko najbolj prispevajo k okoljskim ciljem. </w:t>
      </w:r>
    </w:p>
    <w:p>
      <w:pPr>
        <w:pStyle w:val="ManualConsidrant"/>
        <w:rPr>
          <w:noProof/>
        </w:rPr>
      </w:pPr>
      <w:r>
        <w:t>(31)</w:t>
      </w:r>
      <w:r>
        <w:tab/>
      </w:r>
      <w:r>
        <w:rPr>
          <w:noProof/>
        </w:rPr>
        <w:t>Ustrezna tehnična merila za pregled bi bilo treba določiti za prometni sektor, med drugim za mobilna sredstva, pri čemer bi bilo treba upoštevati, da prometni sektor, vključno z mednarodnim ladijskim prometom, prispeva skoraj 26 % vseh emisij toplogrednih plinov v Uniji. Kot je razvidno iz akcijskega načrta za financiranje trajnostne rasti</w:t>
      </w:r>
      <w:r>
        <w:rPr>
          <w:rStyle w:val="FootnoteReference"/>
          <w:noProof/>
        </w:rPr>
        <w:footnoteReference w:id="48"/>
      </w:r>
      <w:r>
        <w:rPr>
          <w:noProof/>
        </w:rPr>
        <w:t>, prometni sektor predstavlja okoli 30 % dodatnih potrebnih letnih naložb za trajnostni razvoj v Uniji, vključno s povečanjem elektrifikacije ali prehodom na čistejše vrste prevoza s spodbujanjem prehoda na modalne oblike prevoza in upravljanjem prometa.</w:t>
      </w:r>
    </w:p>
    <w:p>
      <w:pPr>
        <w:pStyle w:val="ManualConsidrant"/>
        <w:rPr>
          <w:noProof/>
        </w:rPr>
      </w:pPr>
      <w:r>
        <w:t>(32)</w:t>
      </w:r>
      <w:r>
        <w:tab/>
      </w:r>
      <w:r>
        <w:rPr>
          <w:noProof/>
        </w:rPr>
        <w:t xml:space="preserve">Zlasti je pomembno, da Komisija pri pripravi razvoja tehničnih meril za pregled opravi ustrezna posvetovanja v skladu z zahtevami za boljše pravno urejanje. Postopek za določitev in posodabljanje tehničnih meril za pregled bi moral vključevati tudi ustrezne zainteresirane strani in temeljiti na svetovanju strokovnjakov z dokazanim znanjem in izkušnjami z ustreznih področij. V ta namen bi morala Komisija vzpostaviti platformo o financiranju trajnostne rasti. Platforma bi morala biti sestavljena iz strokovnjakov, ki predstavljajo tako javni kot zasebni sektor. Predstavniki javnega sektorja bi morali vključevati strokovnjake Evropske agencije za okolje, evropskih nadzornih organov in Evropske investicijske banke. Strokovnjaki iz zasebnega sektorja bi morali vključevati predstavnike zadevnih zainteresiranih strani, vključno z akterji na finančnem trgu, univerzami in raziskovalnimi ustanovami ter združenji in organizacijami. Platforma bi morala svetovati Komisiji glede razvoja, analize in pregleda tehničnih meril za pregled, vključno z njihovim morebitnim vplivom na vrednotenje sredstev, ki so se do sprejetja tehničnih meril za pregled štela kot zelena sredstva v skladu z obstoječimi tržnimi praksami. Platforma bi morala tudi svetovati Komisiji ali so tehnična merila za pregled ustrezna za nadaljnje uporabe v prihodnjih političnih pobudah Unije, katerih cilj je spodbujanje trajnostnih naložb. </w:t>
      </w:r>
    </w:p>
    <w:p>
      <w:pPr>
        <w:pStyle w:val="ManualConsidrant"/>
        <w:rPr>
          <w:noProof/>
        </w:rPr>
      </w:pPr>
      <w:r>
        <w:t>(33)</w:t>
      </w:r>
      <w:r>
        <w:tab/>
      </w:r>
      <w:r>
        <w:rPr>
          <w:noProof/>
        </w:rPr>
        <w:t xml:space="preserve">Za podrobno določitev zahtev iz te uredbe ter zlasti za določitev in posodabljanje razčlenjenih in natančno kalibriranih tehničnih meril za pregled za različne gospodarske dejavnosti glede tega, kaj predstavlja bistven prispevek in znatno škodo za okoljske cilje, je treba pooblastilo za sprejemanje aktov v skladu s členom 290 Pogodbe o delovanju Evropske unije prenesti na Komisijo v zvezi s podatki, potrebnimi za izpolnjevanje obveznosti razkritja iz člena 4(3), in tehničnimi merili za pregled iz člena 6(2), člena 7(2), člena 8(2), člena 9(2), člena 10(2) in člena 11(2). Zlasti je pomembno, da se Komisija pri </w:t>
      </w:r>
      <w:r>
        <w:rPr>
          <w:noProof/>
        </w:rPr>
        <w:lastRenderedPageBreak/>
        <w:t>svojem pripravljalnem delu ustrezno posvetuje, vključno na ravni strokovnjakov, in da se ta posvetovanja izvedejo v skladu z načeli, določenimi v Medinstitucionalnem sporazumu o boljši pripravi zakonodaje z dne 13. aprila 2016. Da bi zlasti zagotovili enakopravno sodelovanje pri pripravi delegiranih aktov, bi morala Evropski parlament in Svet vse dokumente prejeti istočasno s strokovnjaki iz držav članic, njuni strokovnjaki pa bi se morali sistematično udeleževati sestankov strokovnih skupin Komisije, ki zadevajo pripravo delegiranih aktov.</w:t>
      </w:r>
    </w:p>
    <w:p>
      <w:pPr>
        <w:pStyle w:val="ManualConsidrant"/>
        <w:rPr>
          <w:noProof/>
        </w:rPr>
      </w:pPr>
      <w:r>
        <w:t>(34)</w:t>
      </w:r>
      <w:r>
        <w:tab/>
      </w:r>
      <w:r>
        <w:rPr>
          <w:noProof/>
        </w:rPr>
        <w:t>Da bi dali zadevnim subjektom na voljo dovolj časa, da se seznanijo z merili za okoljsko trajnostne gospodarske dejavnosti iz te Uredbe in da se pripravijo na njihovo uporabo, bi se morale obveznosti, določene v tej Uredbi, za vsak okoljski cilj začeti uporabljati šest mesecev po sprejemu ustreznih tehničnih meril za pregled.</w:t>
      </w:r>
    </w:p>
    <w:p>
      <w:pPr>
        <w:pStyle w:val="ManualConsidrant"/>
        <w:rPr>
          <w:noProof/>
        </w:rPr>
      </w:pPr>
      <w:r>
        <w:t>(35)</w:t>
      </w:r>
      <w:r>
        <w:tab/>
      </w:r>
      <w:r>
        <w:rPr>
          <w:noProof/>
        </w:rPr>
        <w:t xml:space="preserve">Uporabo te uredbe bi bilo treba redno pregledovati, da se oceni napredek v zvezi z razvojem tehničnih meril za pregled za okoljsko trajnostne dejavnosti, uporabo opredelitve za okoljsko trajnostno naložbo in tem, ali izpolnjevanje obveznosti zahteva vzpostavitev mehanizma za preverjanje. Pregled bi moral vključevati tudi oceno, ali je treba področje uporabe te uredbe razširiti na cilje glede socialne trajnosti. </w:t>
      </w:r>
    </w:p>
    <w:p>
      <w:pPr>
        <w:pStyle w:val="ManualConsidrant"/>
        <w:rPr>
          <w:noProof/>
        </w:rPr>
      </w:pPr>
      <w:r>
        <w:t>(36)</w:t>
      </w:r>
      <w:r>
        <w:tab/>
      </w:r>
      <w:r>
        <w:rPr>
          <w:noProof/>
        </w:rPr>
        <w:t>Ker ciljev te direktive države članice ne morejo zadovoljivo doseči, temveč se lažje dosežejo na ravni Unije, lahko Unija zaradi potrebe po uvedbi enotnih meril za okoljsko trajnostne gospodarske dejavnosti na ravni Unije sprejme ukrepe v skladu z načelom subsidiarnosti iz člena 5 Pogodbe o Evropski uniji. V skladu z načelom sorazmernosti iz navedenega člena ta uredba ne presega tistega, kar je potrebno za doseganje navedenih ciljev –</w:t>
      </w:r>
    </w:p>
    <w:p>
      <w:pPr>
        <w:pStyle w:val="Formuledadoption"/>
        <w:rPr>
          <w:noProof/>
        </w:rPr>
      </w:pPr>
      <w:r>
        <w:rPr>
          <w:noProof/>
        </w:rPr>
        <w:t>SPREJELA NASLEDNJO UREDBO:</w:t>
      </w:r>
    </w:p>
    <w:p>
      <w:pPr>
        <w:pStyle w:val="ChapterTitle"/>
        <w:spacing w:before="360" w:after="120"/>
        <w:rPr>
          <w:noProof/>
        </w:rPr>
      </w:pPr>
      <w:r>
        <w:rPr>
          <w:noProof/>
        </w:rPr>
        <w:t>Poglavje I</w:t>
      </w:r>
    </w:p>
    <w:p>
      <w:pPr>
        <w:pStyle w:val="ChapterTitle"/>
        <w:rPr>
          <w:noProof/>
        </w:rPr>
      </w:pPr>
      <w:r>
        <w:rPr>
          <w:noProof/>
        </w:rPr>
        <w:t>Vsebina, področje uporabe in opredelitve pojmov</w:t>
      </w:r>
    </w:p>
    <w:p>
      <w:pPr>
        <w:pStyle w:val="Titrearticle"/>
        <w:rPr>
          <w:noProof/>
        </w:rPr>
      </w:pPr>
      <w:r>
        <w:rPr>
          <w:noProof/>
        </w:rPr>
        <w:t>Člen 1</w:t>
      </w:r>
      <w:r>
        <w:rPr>
          <w:noProof/>
        </w:rPr>
        <w:br/>
        <w:t>Predmet urejanja in področje uporabe</w:t>
      </w:r>
    </w:p>
    <w:p>
      <w:pPr>
        <w:pStyle w:val="ManualNumPar1"/>
        <w:rPr>
          <w:noProof/>
        </w:rPr>
      </w:pPr>
      <w:r>
        <w:t>1.</w:t>
      </w:r>
      <w:r>
        <w:tab/>
      </w:r>
      <w:r>
        <w:rPr>
          <w:noProof/>
        </w:rPr>
        <w:t>Ta uredba vzpostavlja merila za določanje, ali je gospodarska dejavnost okoljsko trajna, za namene določitve stopnje okoljske trajnosti naložbe.</w:t>
      </w:r>
    </w:p>
    <w:p>
      <w:pPr>
        <w:pStyle w:val="ManualNumPar1"/>
        <w:rPr>
          <w:noProof/>
        </w:rPr>
      </w:pPr>
      <w:r>
        <w:t>2.</w:t>
      </w:r>
      <w:r>
        <w:tab/>
      </w:r>
      <w:r>
        <w:rPr>
          <w:noProof/>
        </w:rPr>
        <w:t xml:space="preserve">Ta uredba se uporablja za: </w:t>
      </w:r>
    </w:p>
    <w:p>
      <w:pPr>
        <w:pStyle w:val="Point1letter"/>
        <w:numPr>
          <w:ilvl w:val="3"/>
          <w:numId w:val="8"/>
        </w:numPr>
        <w:rPr>
          <w:noProof/>
        </w:rPr>
      </w:pPr>
      <w:r>
        <w:rPr>
          <w:noProof/>
        </w:rPr>
        <w:t>ukrepe, ki jih sprejmejo države članice ali Unija, o določitvi zahtev za akterje na trgu v zvezi s finančnimi produkti ali podjetniškimi obveznicami, ki se tržijo kot okoljsko trajnostne;</w:t>
      </w:r>
    </w:p>
    <w:p>
      <w:pPr>
        <w:pStyle w:val="Point1letter"/>
        <w:rPr>
          <w:noProof/>
        </w:rPr>
      </w:pPr>
      <w:r>
        <w:rPr>
          <w:noProof/>
        </w:rPr>
        <w:t>udeležence na finančnem trgu, ki ponujajo finančne produkte kot okoljsko trajnostne naložbe ali naložbe, ki imajo podobne značilnosti.</w:t>
      </w:r>
    </w:p>
    <w:p>
      <w:pPr>
        <w:pStyle w:val="Titrearticle"/>
        <w:rPr>
          <w:noProof/>
        </w:rPr>
      </w:pPr>
      <w:r>
        <w:rPr>
          <w:noProof/>
        </w:rPr>
        <w:t>Člen 2</w:t>
      </w:r>
      <w:r>
        <w:rPr>
          <w:noProof/>
        </w:rPr>
        <w:br/>
        <w:t xml:space="preserve">Opredelitve pojmov </w:t>
      </w:r>
    </w:p>
    <w:p>
      <w:pPr>
        <w:pStyle w:val="ManualNumPar1"/>
        <w:rPr>
          <w:noProof/>
        </w:rPr>
      </w:pPr>
      <w:r>
        <w:t>1.</w:t>
      </w:r>
      <w:r>
        <w:tab/>
      </w:r>
      <w:r>
        <w:rPr>
          <w:noProof/>
        </w:rPr>
        <w:t>V tej uredbi se uporabljajo naslednje opredelitve pojmov:</w:t>
      </w:r>
    </w:p>
    <w:p>
      <w:pPr>
        <w:pStyle w:val="Point0letter"/>
        <w:numPr>
          <w:ilvl w:val="1"/>
          <w:numId w:val="47"/>
        </w:numPr>
        <w:rPr>
          <w:noProof/>
        </w:rPr>
      </w:pPr>
      <w:r>
        <w:rPr>
          <w:noProof/>
        </w:rPr>
        <w:t xml:space="preserve">„okoljsko trajnostna naložba“ pomeni naložbo, ki financira eno ali več gospodarskih dejavnosti, ki se v skladu s to uredbo štejejo kot okoljsko trajnostne; </w:t>
      </w:r>
    </w:p>
    <w:p>
      <w:pPr>
        <w:pStyle w:val="Point0letter"/>
        <w:numPr>
          <w:ilvl w:val="1"/>
          <w:numId w:val="8"/>
        </w:numPr>
        <w:rPr>
          <w:noProof/>
        </w:rPr>
      </w:pPr>
      <w:r>
        <w:rPr>
          <w:noProof/>
        </w:rPr>
        <w:t xml:space="preserve">„udeleženci na finančnem trgu“ pomenijo udeležence na finančnem trgu, kakor je opredeljeno v členu 2(a) [predloga Komisije za Uredbo o razkrivanju informacij v zvezi s </w:t>
      </w:r>
      <w:r>
        <w:rPr>
          <w:noProof/>
        </w:rPr>
        <w:lastRenderedPageBreak/>
        <w:t>trajnostnimi naložbami in tveganji glede trajnosti ter o spremembi Direktive (EU) 2016/2341];</w:t>
      </w:r>
    </w:p>
    <w:p>
      <w:pPr>
        <w:pStyle w:val="Point0letter"/>
        <w:numPr>
          <w:ilvl w:val="1"/>
          <w:numId w:val="8"/>
        </w:numPr>
        <w:rPr>
          <w:noProof/>
        </w:rPr>
      </w:pPr>
      <w:r>
        <w:rPr>
          <w:noProof/>
        </w:rPr>
        <w:t xml:space="preserve">„finančni produkti“ pomenijo finančne produkte, kot so opredeljeni v členu 2(j) [predloga Komisije za Uredbo o razkrivanju informacij v zvezi s trajnostnimi naložbami in tveganji glede trajnosti ter o spremembi Direktive (EU) 2016/2341]; </w:t>
      </w:r>
    </w:p>
    <w:p>
      <w:pPr>
        <w:pStyle w:val="Point0letter"/>
        <w:numPr>
          <w:ilvl w:val="1"/>
          <w:numId w:val="8"/>
        </w:numPr>
        <w:rPr>
          <w:noProof/>
        </w:rPr>
      </w:pPr>
      <w:r>
        <w:rPr>
          <w:noProof/>
        </w:rPr>
        <w:t>„blažitev podnebnih sprememb“ pomeni postopek zadržanja povečanja povprečne svetovne temperature občutno pod 2 °C nad predindustrijskimi ravnmi in prizadevanja za omejitev porasta temperature na 1,5 °C nad predindustrijskimi ravnmi;</w:t>
      </w:r>
    </w:p>
    <w:p>
      <w:pPr>
        <w:pStyle w:val="Point0letter"/>
        <w:numPr>
          <w:ilvl w:val="1"/>
          <w:numId w:val="8"/>
        </w:numPr>
        <w:rPr>
          <w:noProof/>
        </w:rPr>
      </w:pPr>
      <w:r>
        <w:rPr>
          <w:noProof/>
        </w:rPr>
        <w:t>„prilagajanje podnebnim spremembam“ pomeni proces prilagajanja dejanskim in pričakovanim podnebnim razmeram in njihovim učinkom;</w:t>
      </w:r>
    </w:p>
    <w:p>
      <w:pPr>
        <w:pStyle w:val="Point0letter"/>
        <w:numPr>
          <w:ilvl w:val="1"/>
          <w:numId w:val="8"/>
        </w:numPr>
        <w:rPr>
          <w:noProof/>
        </w:rPr>
      </w:pPr>
      <w:r>
        <w:rPr>
          <w:noProof/>
        </w:rPr>
        <w:t>„toplogredni plin“ pomeni toplogredni plin iz Priloge I k Uredbi (EU) št. 525/2013 Evropskega parlamenta in Sveta</w:t>
      </w:r>
      <w:r>
        <w:rPr>
          <w:rStyle w:val="FootnoteReference"/>
          <w:noProof/>
        </w:rPr>
        <w:footnoteReference w:id="49"/>
      </w:r>
      <w:r>
        <w:rPr>
          <w:noProof/>
        </w:rPr>
        <w:t xml:space="preserve">; </w:t>
      </w:r>
    </w:p>
    <w:p>
      <w:pPr>
        <w:pStyle w:val="Point0letter"/>
        <w:numPr>
          <w:ilvl w:val="1"/>
          <w:numId w:val="8"/>
        </w:numPr>
        <w:rPr>
          <w:noProof/>
        </w:rPr>
      </w:pPr>
      <w:r>
        <w:rPr>
          <w:noProof/>
        </w:rPr>
        <w:t>„krožno gospodarstvo“ pomeni čim daljše ohranjanje vrednosti izdelkov, surovin in virov v gospodarstvu ter zmanjševanje količine odpadkov, tudi z uporabo hierarhije ravnanja z odpadki, določene v členu 4 Direktive 2008/98/ES Evropskega parlamenta in Sveta</w:t>
      </w:r>
      <w:r>
        <w:rPr>
          <w:rStyle w:val="FootnoteReference"/>
          <w:noProof/>
        </w:rPr>
        <w:footnoteReference w:id="50"/>
      </w:r>
      <w:r>
        <w:rPr>
          <w:noProof/>
        </w:rPr>
        <w:t>;</w:t>
      </w:r>
    </w:p>
    <w:p>
      <w:pPr>
        <w:pStyle w:val="Point0letter"/>
        <w:numPr>
          <w:ilvl w:val="1"/>
          <w:numId w:val="8"/>
        </w:numPr>
        <w:rPr>
          <w:noProof/>
        </w:rPr>
      </w:pPr>
      <w:r>
        <w:rPr>
          <w:noProof/>
        </w:rPr>
        <w:t>„onesnaževanje“ pomeni:</w:t>
      </w:r>
    </w:p>
    <w:p>
      <w:pPr>
        <w:pStyle w:val="Point2"/>
        <w:rPr>
          <w:noProof/>
        </w:rPr>
      </w:pPr>
      <w:r>
        <w:rPr>
          <w:noProof/>
        </w:rPr>
        <w:t>(i)</w:t>
      </w:r>
      <w:r>
        <w:rPr>
          <w:noProof/>
        </w:rPr>
        <w:tab/>
        <w:t>neposredno ali posredno vnašanje snovi, vibracij, toplote, hrupa ali drugih onesnaževal v zrak, vodo ali tla, ki je posledica človekove dejavnosti in lahko škoduje zdravju ljudi ali kakovosti okolja, poškoduje materialno lastnino ali škoduje ali posega v uživanje in druge dovoljene rabe okolja;</w:t>
      </w:r>
    </w:p>
    <w:p>
      <w:pPr>
        <w:pStyle w:val="Point2"/>
        <w:rPr>
          <w:noProof/>
        </w:rPr>
      </w:pPr>
      <w:r>
        <w:rPr>
          <w:noProof/>
        </w:rPr>
        <w:t>(ii)</w:t>
      </w:r>
      <w:r>
        <w:rPr>
          <w:noProof/>
        </w:rPr>
        <w:tab/>
        <w:t>v okviru morskega okolja, onesnaženje, kot je opredeljeno v členu 3(8) Direktive 2008/56/ES Evropskega parlamenta in Sveta</w:t>
      </w:r>
      <w:r>
        <w:rPr>
          <w:rStyle w:val="FootnoteReference"/>
          <w:noProof/>
        </w:rPr>
        <w:footnoteReference w:id="51"/>
      </w:r>
      <w:r>
        <w:rPr>
          <w:noProof/>
        </w:rPr>
        <w:t>;</w:t>
      </w:r>
    </w:p>
    <w:p>
      <w:pPr>
        <w:pStyle w:val="Point0letter"/>
        <w:numPr>
          <w:ilvl w:val="1"/>
          <w:numId w:val="8"/>
        </w:numPr>
        <w:rPr>
          <w:noProof/>
        </w:rPr>
      </w:pPr>
      <w:r>
        <w:rPr>
          <w:noProof/>
        </w:rPr>
        <w:t xml:space="preserve">„zdrav ekosistem“ pomeni ekosistem, ki je v dobrem fizičnem, kemijskem in biološkem stanju ali dobre fizične, kemijske in biološke kakovosti; </w:t>
      </w:r>
    </w:p>
    <w:p>
      <w:pPr>
        <w:pStyle w:val="Point0letter"/>
        <w:numPr>
          <w:ilvl w:val="1"/>
          <w:numId w:val="8"/>
        </w:numPr>
        <w:rPr>
          <w:noProof/>
        </w:rPr>
      </w:pPr>
      <w:r>
        <w:rPr>
          <w:noProof/>
        </w:rPr>
        <w:t>„energijska učinkovitost“ pomeni učinkovitejšo rabo energije na vseh stopnjah energetske verige, od proizvodnje do končne porabe;</w:t>
      </w:r>
    </w:p>
    <w:p>
      <w:pPr>
        <w:pStyle w:val="Point0letter"/>
        <w:numPr>
          <w:ilvl w:val="1"/>
          <w:numId w:val="8"/>
        </w:numPr>
        <w:rPr>
          <w:noProof/>
        </w:rPr>
      </w:pPr>
      <w:r>
        <w:rPr>
          <w:noProof/>
        </w:rPr>
        <w:t>„dobro okoljsko stanje“ pomeni dobro okoljsko stanje, kot je opredeljeno v členu 3(5) Direktive 2008/56/ES;</w:t>
      </w:r>
    </w:p>
    <w:p>
      <w:pPr>
        <w:pStyle w:val="Point0letter"/>
        <w:numPr>
          <w:ilvl w:val="1"/>
          <w:numId w:val="8"/>
        </w:numPr>
        <w:rPr>
          <w:noProof/>
        </w:rPr>
      </w:pPr>
      <w:r>
        <w:rPr>
          <w:noProof/>
        </w:rPr>
        <w:t xml:space="preserve">„morske vode“ pomenijo morske vode, kot so opredeljene v členu 3(1) Direktive 2008/56/ES; </w:t>
      </w:r>
    </w:p>
    <w:p>
      <w:pPr>
        <w:pStyle w:val="Point0letter"/>
        <w:numPr>
          <w:ilvl w:val="1"/>
          <w:numId w:val="8"/>
        </w:numPr>
        <w:rPr>
          <w:noProof/>
        </w:rPr>
      </w:pPr>
      <w:r>
        <w:rPr>
          <w:noProof/>
        </w:rPr>
        <w:t>„površinska voda“, „celinska voda“, „somornice“ in „obalno morje“ pomenijo isto kot v točkah (1), (3), (6) in (7) člena 2 Direktive 2000/60/ES</w:t>
      </w:r>
      <w:r>
        <w:rPr>
          <w:rStyle w:val="FootnoteReference"/>
          <w:noProof/>
        </w:rPr>
        <w:footnoteReference w:id="52"/>
      </w:r>
      <w:r>
        <w:rPr>
          <w:noProof/>
        </w:rPr>
        <w:t>.</w:t>
      </w:r>
    </w:p>
    <w:p>
      <w:pPr>
        <w:pStyle w:val="Point0letter"/>
        <w:numPr>
          <w:ilvl w:val="1"/>
          <w:numId w:val="8"/>
        </w:numPr>
        <w:rPr>
          <w:noProof/>
          <w:sz w:val="22"/>
        </w:rPr>
      </w:pPr>
      <w:r>
        <w:rPr>
          <w:noProof/>
        </w:rPr>
        <w:t>„trajnostno gospodarjenje z gozdovi“ pomeni rabo gozdov in gozdnih območij na način in v obsegu, ki ohranjata njihovo biotsko raznovrstnost, produktivnost, sposobnost obnavljanja, vitalnost in sposobnost, da v sedanjosti in prihodnosti izpolnjujejo ustrezne ekološke, gospodarske in socialne funkcije na lokalni, nacionalni in svetovni ravni, brez povzročanja škode na drugih ekosistemih.</w:t>
      </w:r>
    </w:p>
    <w:p>
      <w:pPr>
        <w:pStyle w:val="ChapterTitle"/>
        <w:spacing w:before="360" w:after="120"/>
        <w:rPr>
          <w:noProof/>
        </w:rPr>
      </w:pPr>
      <w:r>
        <w:rPr>
          <w:noProof/>
        </w:rPr>
        <w:lastRenderedPageBreak/>
        <w:t>Poglavje II</w:t>
      </w:r>
    </w:p>
    <w:p>
      <w:pPr>
        <w:pStyle w:val="ChapterTitle"/>
        <w:rPr>
          <w:noProof/>
        </w:rPr>
      </w:pPr>
      <w:r>
        <w:rPr>
          <w:noProof/>
        </w:rPr>
        <w:t>Okoljsko trajnostne gospodarske dejavnosti</w:t>
      </w:r>
    </w:p>
    <w:p>
      <w:pPr>
        <w:pStyle w:val="Titrearticle"/>
        <w:spacing w:after="0"/>
        <w:rPr>
          <w:noProof/>
        </w:rPr>
      </w:pPr>
      <w:r>
        <w:rPr>
          <w:noProof/>
        </w:rPr>
        <w:t>Člen 3</w:t>
      </w:r>
      <w:r>
        <w:rPr>
          <w:noProof/>
        </w:rPr>
        <w:br/>
        <w:t>Merila za okoljsko trajnostne gospodarske dejavnosti</w:t>
      </w:r>
    </w:p>
    <w:p>
      <w:pPr>
        <w:rPr>
          <w:noProof/>
        </w:rPr>
      </w:pPr>
      <w:r>
        <w:rPr>
          <w:noProof/>
        </w:rPr>
        <w:t>Za namene določitve stopnje okoljske trajnosti naložbe je gospodarska dejavnost okoljsko trajnostna, če ta dejavnost izpolnjuje vse naslednje pogoje:</w:t>
      </w:r>
    </w:p>
    <w:p>
      <w:pPr>
        <w:pStyle w:val="Point1letter"/>
        <w:rPr>
          <w:noProof/>
        </w:rPr>
      </w:pPr>
      <w:r>
        <w:rPr>
          <w:noProof/>
        </w:rPr>
        <w:t>gospodarska dejavnost bistveno prispeva k enemu ali več okoljskim ciljem, opredeljenim v členu 5, v skladu s členi 6 do 11;</w:t>
      </w:r>
    </w:p>
    <w:p>
      <w:pPr>
        <w:pStyle w:val="Point1letter"/>
        <w:rPr>
          <w:noProof/>
        </w:rPr>
      </w:pPr>
      <w:r>
        <w:rPr>
          <w:noProof/>
        </w:rPr>
        <w:t>gospodarska dejavnost ne povzroča znatne škode za kateri koli okoljski cilj, opredeljen v členu 5, v skladu s členom 12;</w:t>
      </w:r>
    </w:p>
    <w:p>
      <w:pPr>
        <w:pStyle w:val="Point1letter"/>
        <w:rPr>
          <w:noProof/>
        </w:rPr>
      </w:pPr>
      <w:r>
        <w:rPr>
          <w:noProof/>
        </w:rPr>
        <w:t>gospodarska dejavnost se izvaja v skladu z minimalnimi zaščitnimi ukrepi, določenimi v členu 13;</w:t>
      </w:r>
    </w:p>
    <w:p>
      <w:pPr>
        <w:pStyle w:val="Point1letter"/>
        <w:rPr>
          <w:noProof/>
        </w:rPr>
      </w:pPr>
      <w:r>
        <w:rPr>
          <w:noProof/>
        </w:rPr>
        <w:t xml:space="preserve">gospodarska dejavnost izpolnjuje tehnična merila za pregled, če je Komisija ta merila opredelila v skladu s členi 6(2), 7(2), 8(2), 9(2), 10(2) in 11(2). </w:t>
      </w:r>
    </w:p>
    <w:p>
      <w:pPr>
        <w:pStyle w:val="Titrearticle"/>
        <w:spacing w:after="0"/>
        <w:rPr>
          <w:noProof/>
        </w:rPr>
      </w:pPr>
      <w:r>
        <w:rPr>
          <w:noProof/>
        </w:rPr>
        <w:t>Člen 4</w:t>
      </w:r>
      <w:r>
        <w:rPr>
          <w:noProof/>
        </w:rPr>
        <w:br/>
        <w:t>Uporaba meril za okoljsko trajnostne gospodarske dejavnosti</w:t>
      </w:r>
    </w:p>
    <w:p>
      <w:pPr>
        <w:pStyle w:val="ManualNumPar1"/>
        <w:rPr>
          <w:noProof/>
        </w:rPr>
      </w:pPr>
      <w:r>
        <w:t>1.</w:t>
      </w:r>
      <w:r>
        <w:tab/>
      </w:r>
      <w:r>
        <w:rPr>
          <w:noProof/>
        </w:rPr>
        <w:t xml:space="preserve">Države članice uporabijo merila za določanje okoljsko trajnostnih gospodarskih dejavnosti, opredeljenih v členu 3, za namene vseh ukrepov, ki določajo zahteve za akterje na trgu v zvezi s finančnimi produkti ali podjetniškimi obveznicami, ki se tržijo kot „okoljsko trajnostne“. </w:t>
      </w:r>
    </w:p>
    <w:p>
      <w:pPr>
        <w:pStyle w:val="ManualNumPar1"/>
        <w:rPr>
          <w:noProof/>
        </w:rPr>
      </w:pPr>
      <w:r>
        <w:t>2.</w:t>
      </w:r>
      <w:r>
        <w:tab/>
      </w:r>
      <w:r>
        <w:rPr>
          <w:noProof/>
        </w:rPr>
        <w:t xml:space="preserve">Udeleženci na finančnem trgu, ki ponujajo finančne produkte kot okoljsko trajnostne naložbe ali kot naložbe, ki imajo podobne značilnosti, razkrijejo informacije o tem, kako in v kakšnem obsegu se merila za okoljsko trajnostne gospodarske dejavnosti iz člena 3 uporabljajo za določitev okoljske trajnosti naložbe. Kadar udeleženci na finančnem trgu menijo, da bi bilo treba gospodarsko dejavnost, ki ne izpolnjuje tehničnih meril za pregled, določenih v skladu s to uredbo, ali za katero ta tehnična merila za pregled še niso bila določena, upoštevati kot okoljsko trajnostno, lahko o tem obvestijo Komisijo. </w:t>
      </w:r>
    </w:p>
    <w:p>
      <w:pPr>
        <w:pStyle w:val="ManualNumPar1"/>
        <w:rPr>
          <w:noProof/>
        </w:rPr>
      </w:pPr>
      <w:r>
        <w:t>3.</w:t>
      </w:r>
      <w:r>
        <w:tab/>
      </w:r>
      <w:r>
        <w:rPr>
          <w:noProof/>
        </w:rPr>
        <w:t>Komisija sprejme delegirane akte v skladu s členom 16, da dopolni odstavek 2 in tako opredeli informacije, ki se zahtevajo v skladu z navedenim odstavkom, ob upoštevanju tehničnih meril za pregled, določenih v skladu s to uredbo. Te informacije vlagateljem omogočajo opredelitev:</w:t>
      </w:r>
    </w:p>
    <w:p>
      <w:pPr>
        <w:pStyle w:val="Point1letter"/>
        <w:numPr>
          <w:ilvl w:val="3"/>
          <w:numId w:val="23"/>
        </w:numPr>
        <w:rPr>
          <w:noProof/>
        </w:rPr>
      </w:pPr>
      <w:r>
        <w:rPr>
          <w:noProof/>
        </w:rPr>
        <w:t xml:space="preserve">odstotka deležev v družbah, ki opravljajo okoljsko trajnostne gospodarske dejavnosti; </w:t>
      </w:r>
    </w:p>
    <w:p>
      <w:pPr>
        <w:pStyle w:val="Point1letter"/>
        <w:numPr>
          <w:ilvl w:val="3"/>
          <w:numId w:val="8"/>
        </w:numPr>
        <w:rPr>
          <w:noProof/>
        </w:rPr>
      </w:pPr>
      <w:r>
        <w:rPr>
          <w:noProof/>
        </w:rPr>
        <w:t>deleža naložb, ki financirajo okoljsko trajnostne gospodarske dejavnosti, kot odstotnega deleža vseh gospodarskih dejavnosti</w:t>
      </w:r>
      <w:r>
        <w:rPr>
          <w:i/>
          <w:noProof/>
        </w:rPr>
        <w:t>.</w:t>
      </w:r>
      <w:r>
        <w:rPr>
          <w:noProof/>
        </w:rPr>
        <w:t xml:space="preserve"> </w:t>
      </w:r>
    </w:p>
    <w:p>
      <w:pPr>
        <w:pStyle w:val="ManualNumPar1"/>
        <w:rPr>
          <w:noProof/>
        </w:rPr>
      </w:pPr>
      <w:r>
        <w:t>4.</w:t>
      </w:r>
      <w:r>
        <w:tab/>
      </w:r>
      <w:r>
        <w:rPr>
          <w:noProof/>
        </w:rPr>
        <w:t>Komisija sprejme delegirani akt iz odstavka 3 do 31. decembra 2019 za zagotovitev, da se začne uporabljati 1. julija 2020. Komisija lahko spremeni navedeni delegirani akt, zlasti glede na spremembe delegiranih aktov, sprejetih v skladu s členom 6(2), členom 7(2), členom 8(2), členom 9(2), členom 10(2) in členom 11(2).</w:t>
      </w:r>
    </w:p>
    <w:p>
      <w:pPr>
        <w:pStyle w:val="Titrearticle"/>
        <w:rPr>
          <w:noProof/>
        </w:rPr>
      </w:pPr>
      <w:r>
        <w:rPr>
          <w:noProof/>
        </w:rPr>
        <w:lastRenderedPageBreak/>
        <w:t>Člen 5</w:t>
      </w:r>
      <w:r>
        <w:rPr>
          <w:noProof/>
        </w:rPr>
        <w:br/>
        <w:t>Okoljski cilji</w:t>
      </w:r>
    </w:p>
    <w:p>
      <w:pPr>
        <w:keepNext/>
        <w:rPr>
          <w:noProof/>
        </w:rPr>
      </w:pPr>
      <w:r>
        <w:rPr>
          <w:noProof/>
        </w:rPr>
        <w:t>Za namene te uredbe so okoljski cilji:</w:t>
      </w:r>
    </w:p>
    <w:p>
      <w:pPr>
        <w:pStyle w:val="Point0number"/>
        <w:numPr>
          <w:ilvl w:val="0"/>
          <w:numId w:val="20"/>
        </w:numPr>
        <w:rPr>
          <w:noProof/>
        </w:rPr>
      </w:pPr>
      <w:r>
        <w:rPr>
          <w:noProof/>
        </w:rPr>
        <w:t>blažitev podnebnih sprememb;</w:t>
      </w:r>
    </w:p>
    <w:p>
      <w:pPr>
        <w:pStyle w:val="Point0number"/>
        <w:numPr>
          <w:ilvl w:val="0"/>
          <w:numId w:val="8"/>
        </w:numPr>
        <w:rPr>
          <w:noProof/>
        </w:rPr>
      </w:pPr>
      <w:r>
        <w:rPr>
          <w:noProof/>
        </w:rPr>
        <w:t>prilagajanje podnebnim spremembam;</w:t>
      </w:r>
    </w:p>
    <w:p>
      <w:pPr>
        <w:pStyle w:val="Point0number"/>
        <w:numPr>
          <w:ilvl w:val="0"/>
          <w:numId w:val="8"/>
        </w:numPr>
        <w:rPr>
          <w:noProof/>
        </w:rPr>
      </w:pPr>
      <w:r>
        <w:rPr>
          <w:noProof/>
        </w:rPr>
        <w:t>trajnostna raba ter varstvo vodnih in morskih virov;</w:t>
      </w:r>
    </w:p>
    <w:p>
      <w:pPr>
        <w:pStyle w:val="Point0number"/>
        <w:numPr>
          <w:ilvl w:val="0"/>
          <w:numId w:val="8"/>
        </w:numPr>
        <w:rPr>
          <w:noProof/>
        </w:rPr>
      </w:pPr>
      <w:r>
        <w:rPr>
          <w:noProof/>
        </w:rPr>
        <w:t>prehod na krožno gospodarstvo, preprečevanje nastajanja odpadkov in njihovo recikliranje;</w:t>
      </w:r>
    </w:p>
    <w:p>
      <w:pPr>
        <w:pStyle w:val="Point0number"/>
        <w:numPr>
          <w:ilvl w:val="0"/>
          <w:numId w:val="8"/>
        </w:numPr>
        <w:rPr>
          <w:noProof/>
        </w:rPr>
      </w:pPr>
      <w:r>
        <w:rPr>
          <w:noProof/>
        </w:rPr>
        <w:t>preprečevanje in nadzorovanje onesnaževanja;</w:t>
      </w:r>
    </w:p>
    <w:p>
      <w:pPr>
        <w:pStyle w:val="Point0number"/>
        <w:numPr>
          <w:ilvl w:val="0"/>
          <w:numId w:val="8"/>
        </w:numPr>
        <w:rPr>
          <w:noProof/>
        </w:rPr>
      </w:pPr>
      <w:r>
        <w:rPr>
          <w:noProof/>
        </w:rPr>
        <w:t>varovanje zdravih ekosistemov.</w:t>
      </w:r>
    </w:p>
    <w:p>
      <w:pPr>
        <w:pStyle w:val="Titrearticle"/>
        <w:rPr>
          <w:noProof/>
        </w:rPr>
      </w:pPr>
      <w:r>
        <w:rPr>
          <w:noProof/>
        </w:rPr>
        <w:t>Člen 6</w:t>
      </w:r>
      <w:r>
        <w:rPr>
          <w:noProof/>
        </w:rPr>
        <w:br/>
        <w:t>Bistven prispevek k blaženju podnebnih sprememb</w:t>
      </w:r>
    </w:p>
    <w:p>
      <w:pPr>
        <w:pStyle w:val="ManualNumPar1"/>
        <w:rPr>
          <w:noProof/>
        </w:rPr>
      </w:pPr>
      <w:r>
        <w:t>1.</w:t>
      </w:r>
      <w:r>
        <w:tab/>
      </w:r>
      <w:r>
        <w:rPr>
          <w:noProof/>
        </w:rPr>
        <w:t>Za gospodarsko dejavnost se šteje, da bistveno prispeva k blaženju podnebnih sprememb, če ta dejavnost bistveno prispeva k stabilizaciji koncentracije toplogrednih plinov v ozračju na ravni, ki preprečuje nevarno antropogeno poseganje v podnebni sistem, in sicer s preprečevanjem ali zmanjševanjem emisij toplogrednih plinov ali povečevanjem odvzemov toplogrednih plinov na enega od naslednjih načinov, tudi z inovativnimi procesi ali produkti:</w:t>
      </w:r>
    </w:p>
    <w:p>
      <w:pPr>
        <w:pStyle w:val="Point1letter"/>
        <w:rPr>
          <w:noProof/>
        </w:rPr>
      </w:pPr>
      <w:r>
        <w:rPr>
          <w:noProof/>
        </w:rPr>
        <w:t>z ustvarjanjem, shranjevanjem ali uporabo energije iz obnovljivih virov ali podnebno nevtralne energije (vključno z ogljično nevtralno energijo), vključno z uporabo inovativne tehnologije z možnostjo znatnih prihrankov v prihodnosti ali s potrebno okrepitvijo omrežja;</w:t>
      </w:r>
    </w:p>
    <w:p>
      <w:pPr>
        <w:pStyle w:val="Point1letter"/>
        <w:rPr>
          <w:noProof/>
        </w:rPr>
      </w:pPr>
      <w:r>
        <w:rPr>
          <w:noProof/>
        </w:rPr>
        <w:t>z izboljšanjem energetske učinkovitosti;</w:t>
      </w:r>
    </w:p>
    <w:p>
      <w:pPr>
        <w:pStyle w:val="Point1letter"/>
        <w:rPr>
          <w:noProof/>
        </w:rPr>
      </w:pPr>
      <w:r>
        <w:rPr>
          <w:noProof/>
        </w:rPr>
        <w:t>s povečanjem čiste ali podnebno nevtralne mobilnosti;</w:t>
      </w:r>
    </w:p>
    <w:p>
      <w:pPr>
        <w:pStyle w:val="Point1letter"/>
        <w:rPr>
          <w:noProof/>
        </w:rPr>
      </w:pPr>
      <w:r>
        <w:rPr>
          <w:noProof/>
        </w:rPr>
        <w:t>s prehodom na uporabo obnovljivih materialov;</w:t>
      </w:r>
    </w:p>
    <w:p>
      <w:pPr>
        <w:pStyle w:val="Point1letter"/>
        <w:rPr>
          <w:noProof/>
        </w:rPr>
      </w:pPr>
      <w:r>
        <w:rPr>
          <w:noProof/>
        </w:rPr>
        <w:t>s povečanim zajemanjem, shranjevanjem in uporabo ogljika;</w:t>
      </w:r>
    </w:p>
    <w:p>
      <w:pPr>
        <w:pStyle w:val="Point1letter"/>
        <w:rPr>
          <w:noProof/>
        </w:rPr>
      </w:pPr>
      <w:r>
        <w:rPr>
          <w:noProof/>
        </w:rPr>
        <w:t>s postopnim opuščanjem antropogenih emisij toplogrednih plinov, tudi od fosilnih goriv;</w:t>
      </w:r>
    </w:p>
    <w:p>
      <w:pPr>
        <w:pStyle w:val="Point1letter"/>
        <w:rPr>
          <w:noProof/>
        </w:rPr>
      </w:pPr>
      <w:r>
        <w:rPr>
          <w:noProof/>
        </w:rPr>
        <w:t>z vzpostavitvijo energetske infrastrukture, ki je potrebna za omogočanje dekarbonizacije energetskih sistemov;</w:t>
      </w:r>
    </w:p>
    <w:p>
      <w:pPr>
        <w:pStyle w:val="Point1letter"/>
        <w:rPr>
          <w:noProof/>
        </w:rPr>
      </w:pPr>
      <w:r>
        <w:rPr>
          <w:noProof/>
        </w:rPr>
        <w:t>s proizvodnjo čistih in učinkovitih goriv iz obnovljivih ali ogljično nevtralnih virov.</w:t>
      </w:r>
    </w:p>
    <w:p>
      <w:pPr>
        <w:pStyle w:val="ManualNumPar1"/>
        <w:rPr>
          <w:noProof/>
        </w:rPr>
      </w:pPr>
      <w:r>
        <w:t>2.</w:t>
      </w:r>
      <w:r>
        <w:tab/>
      </w:r>
      <w:r>
        <w:rPr>
          <w:noProof/>
        </w:rPr>
        <w:t>Komisija sprejme delegirane akte v skladu s členom 16, da:</w:t>
      </w:r>
    </w:p>
    <w:p>
      <w:pPr>
        <w:pStyle w:val="Point1letter"/>
        <w:numPr>
          <w:ilvl w:val="3"/>
          <w:numId w:val="48"/>
        </w:numPr>
        <w:rPr>
          <w:noProof/>
        </w:rPr>
      </w:pPr>
      <w:r>
        <w:rPr>
          <w:noProof/>
        </w:rPr>
        <w:tab/>
        <w:t>dopolni odstavek 1, da določi tehnična merila za pregled za določitev, pod kakšnimi pogoji se šteje, da določena gospodarska dejavnost za namene te uredbe bistveno prispeva k blaženju podnebnih sprememb;</w:t>
      </w:r>
    </w:p>
    <w:p>
      <w:pPr>
        <w:pStyle w:val="Point1letter"/>
        <w:rPr>
          <w:noProof/>
        </w:rPr>
      </w:pPr>
      <w:r>
        <w:rPr>
          <w:noProof/>
        </w:rPr>
        <w:tab/>
        <w:t xml:space="preserve">dopolni člen 12, da določi tehnična merila za pregled za vsak zadevni okoljski cilj, da se ugotovi, ali se za gospodarsko dejavnost, za katero so merila za pregled določena v skladu s točko (a) tega odstavka, za namene te uredbe šteje, da lahko znatno škoduje enemu ali več navedenim ciljem. </w:t>
      </w:r>
    </w:p>
    <w:p>
      <w:pPr>
        <w:pStyle w:val="ManualNumPar1"/>
        <w:rPr>
          <w:noProof/>
        </w:rPr>
      </w:pPr>
      <w:r>
        <w:t>3.</w:t>
      </w:r>
      <w:r>
        <w:tab/>
      </w:r>
      <w:r>
        <w:rPr>
          <w:noProof/>
        </w:rPr>
        <w:t xml:space="preserve">Komisija določi tehnična merila za pregled iz odstavka 2 v enem delegiranem aktu ob upoštevanju zahtev, določenih v členu 14. </w:t>
      </w:r>
    </w:p>
    <w:p>
      <w:pPr>
        <w:pStyle w:val="ManualNumPar1"/>
        <w:rPr>
          <w:noProof/>
        </w:rPr>
      </w:pPr>
      <w:r>
        <w:t>4.</w:t>
      </w:r>
      <w:r>
        <w:tab/>
      </w:r>
      <w:r>
        <w:rPr>
          <w:noProof/>
        </w:rPr>
        <w:t xml:space="preserve">Komisija sprejme delegirani akt iz odstavka 2 do 31. decembra 2019 za zagotovitev, da se začne uporabljati 1. julija 2020. </w:t>
      </w:r>
    </w:p>
    <w:p>
      <w:pPr>
        <w:pStyle w:val="Titrearticle"/>
        <w:rPr>
          <w:noProof/>
        </w:rPr>
      </w:pPr>
      <w:r>
        <w:rPr>
          <w:noProof/>
        </w:rPr>
        <w:lastRenderedPageBreak/>
        <w:t>Člen 7</w:t>
      </w:r>
      <w:r>
        <w:rPr>
          <w:noProof/>
        </w:rPr>
        <w:br/>
        <w:t>Bistven prispevek k prilagajanju podnebnim spremembam</w:t>
      </w:r>
    </w:p>
    <w:p>
      <w:pPr>
        <w:pStyle w:val="ManualNumPar1"/>
        <w:rPr>
          <w:noProof/>
        </w:rPr>
      </w:pPr>
      <w:r>
        <w:t>1.</w:t>
      </w:r>
      <w:r>
        <w:tab/>
      </w:r>
      <w:r>
        <w:rPr>
          <w:noProof/>
        </w:rPr>
        <w:t>Za gospodarsko dejavnost se šteje, da bistveno prispeva k prilagajanju podnebnim spremembam, kadar ta dejavnost močno prispeva k zmanjševanju negativnih učinkov sedanjega in pričakovanega prihodnjega podnebja ali preprečevanju povečanja ali preusmeritvi negativnih učinkov podnebnih sprememb na enega od naslednjih načinov:</w:t>
      </w:r>
    </w:p>
    <w:p>
      <w:pPr>
        <w:pStyle w:val="Point1letter"/>
        <w:numPr>
          <w:ilvl w:val="3"/>
          <w:numId w:val="24"/>
        </w:numPr>
        <w:rPr>
          <w:noProof/>
        </w:rPr>
      </w:pPr>
      <w:r>
        <w:rPr>
          <w:noProof/>
        </w:rPr>
        <w:t>s preprečevanjem ali zmanjševanjem negativnih posledic podnebnih sprememb, značilnih za posamezno lokacijo in razmere, ki se ocenijo in prednostno razvrstijo z uporabo razpoložljivih podnebnih napovedi, na gospodarsko dejavnost;</w:t>
      </w:r>
    </w:p>
    <w:p>
      <w:pPr>
        <w:pStyle w:val="Point1letter"/>
        <w:numPr>
          <w:ilvl w:val="3"/>
          <w:numId w:val="8"/>
        </w:numPr>
        <w:rPr>
          <w:noProof/>
        </w:rPr>
      </w:pPr>
      <w:r>
        <w:rPr>
          <w:noProof/>
        </w:rPr>
        <w:t>s preprečevanjem ali zmanjševanjem negativnih vplivov, ki jih podnebne spremembe lahko predstavljajo za naravno in grajeno okolje, v katerem poteka gospodarska dejavnost, ki se ocenijo in prednostno razvrstijo z uporabo razpoložljivih podnebnih napovedi.</w:t>
      </w:r>
    </w:p>
    <w:p>
      <w:pPr>
        <w:pStyle w:val="ManualNumPar1"/>
        <w:rPr>
          <w:noProof/>
        </w:rPr>
      </w:pPr>
      <w:r>
        <w:t>2.</w:t>
      </w:r>
      <w:r>
        <w:tab/>
      </w:r>
      <w:r>
        <w:rPr>
          <w:noProof/>
        </w:rPr>
        <w:t>Komisija sprejme delegirani akt v skladu s členom 16, da:</w:t>
      </w:r>
    </w:p>
    <w:p>
      <w:pPr>
        <w:pStyle w:val="Point1letter"/>
        <w:numPr>
          <w:ilvl w:val="3"/>
          <w:numId w:val="25"/>
        </w:numPr>
        <w:rPr>
          <w:noProof/>
        </w:rPr>
      </w:pPr>
      <w:r>
        <w:rPr>
          <w:noProof/>
        </w:rPr>
        <w:t>dopolni odstavek 1, da določi tehnična merila za pregled za določitev, pod katerimi pogoji se šteje, da določena gospodarska dejavnost za namene te uredbe bistveno prispeva k prilagajanju podnebnim spremembam;</w:t>
      </w:r>
    </w:p>
    <w:p>
      <w:pPr>
        <w:pStyle w:val="Point1letter"/>
        <w:rPr>
          <w:noProof/>
        </w:rPr>
      </w:pPr>
      <w:r>
        <w:rPr>
          <w:noProof/>
        </w:rPr>
        <w:t xml:space="preserve">dopolni člen 12, da določi tehnična merila za pregled za vsak zadevni okoljski cilj, da se ugotovi, ali se za gospodarsko dejavnost, za katero so merila za pregled določena v skladu s točko (a) tega odstavka, za namene te uredbe šteje, da lahko znatno škoduje enemu ali več navedenim ciljem. </w:t>
      </w:r>
    </w:p>
    <w:p>
      <w:pPr>
        <w:pStyle w:val="ManualNumPar1"/>
        <w:rPr>
          <w:noProof/>
        </w:rPr>
      </w:pPr>
      <w:r>
        <w:t>3.</w:t>
      </w:r>
      <w:r>
        <w:tab/>
      </w:r>
      <w:r>
        <w:rPr>
          <w:noProof/>
        </w:rPr>
        <w:t>Komisija določi tehnična merila za pregled iz odstavka 2 v enem delegiranem aktu ob upoštevanju zahtev, določenih v členu 14.</w:t>
      </w:r>
    </w:p>
    <w:p>
      <w:pPr>
        <w:pStyle w:val="ManualNumPar1"/>
        <w:rPr>
          <w:noProof/>
        </w:rPr>
      </w:pPr>
      <w:r>
        <w:t>4.</w:t>
      </w:r>
      <w:r>
        <w:tab/>
      </w:r>
      <w:r>
        <w:rPr>
          <w:noProof/>
        </w:rPr>
        <w:t xml:space="preserve">Komisija sprejme delegirani akt iz odstavka 2 do 31. decembra 2019 za zagotovitev, da se začne uporabljati 1. julija 2020. </w:t>
      </w:r>
    </w:p>
    <w:p>
      <w:pPr>
        <w:pStyle w:val="Titrearticle"/>
        <w:rPr>
          <w:noProof/>
        </w:rPr>
      </w:pPr>
      <w:r>
        <w:rPr>
          <w:noProof/>
        </w:rPr>
        <w:t>Člen 8</w:t>
      </w:r>
      <w:r>
        <w:rPr>
          <w:noProof/>
        </w:rPr>
        <w:br/>
        <w:t>Bistven prispevek k trajnostni rabi ter varstvu vodnih in morskih virov</w:t>
      </w:r>
    </w:p>
    <w:p>
      <w:pPr>
        <w:pStyle w:val="ManualNumPar1"/>
        <w:rPr>
          <w:noProof/>
        </w:rPr>
      </w:pPr>
      <w:r>
        <w:t>1.</w:t>
      </w:r>
      <w:r>
        <w:tab/>
      </w:r>
      <w:r>
        <w:rPr>
          <w:noProof/>
        </w:rPr>
        <w:t>Za gospodarsko dejavnost se šteje, da bistveno prispeva k trajnostni rabi ter varstvu vodnih in morskih virov, če ta dejavnost bistveno prispeva k dobremu stanju voda, vključno s sladko vodo, somornicami in obalnim morjem, ali k dobremu okoljskemu stanju morskih voda na enega od naslednjih načinov:</w:t>
      </w:r>
    </w:p>
    <w:p>
      <w:pPr>
        <w:pStyle w:val="Point1letter"/>
        <w:numPr>
          <w:ilvl w:val="3"/>
          <w:numId w:val="27"/>
        </w:numPr>
        <w:rPr>
          <w:noProof/>
        </w:rPr>
      </w:pPr>
      <w:r>
        <w:rPr>
          <w:noProof/>
        </w:rPr>
        <w:t>z varovanjem vodnega okolja pred škodljivimi vplivi odvajanja komunalne in industrijske odpadne vode z zagotavljanjem ustreznega zbiranja in čiščenja komunalne in industrijske odpadne vode v skladu s členi 3, 4, 5 in 11 Direktive Sveta 91/271/EGS</w:t>
      </w:r>
      <w:r>
        <w:rPr>
          <w:rStyle w:val="FootnoteReference"/>
          <w:noProof/>
        </w:rPr>
        <w:footnoteReference w:id="53"/>
      </w:r>
      <w:r>
        <w:rPr>
          <w:noProof/>
        </w:rPr>
        <w:t>;</w:t>
      </w:r>
    </w:p>
    <w:p>
      <w:pPr>
        <w:pStyle w:val="Point1letter"/>
        <w:rPr>
          <w:noProof/>
        </w:rPr>
      </w:pPr>
      <w:r>
        <w:rPr>
          <w:noProof/>
        </w:rPr>
        <w:t>z varovanjem zdravja ljudi pred škodljivimi vplivi vsakršnega onesnaženja pitne vode z zagotavljanjem, da je brez mikroorganizmov, parazitov in snovi, ki predstavljajo morebitno nevarnost za zdravje ljudi, in da izpolnjuje minimalne zahteve iz delov A in B Priloge I k Direktivi Sveta 98/83/ES</w:t>
      </w:r>
      <w:r>
        <w:rPr>
          <w:rStyle w:val="FootnoteReference"/>
          <w:noProof/>
        </w:rPr>
        <w:footnoteReference w:id="54"/>
      </w:r>
      <w:r>
        <w:rPr>
          <w:noProof/>
        </w:rPr>
        <w:t>, ter povečuje dostop državljanov do čiste pitne vode;</w:t>
      </w:r>
    </w:p>
    <w:p>
      <w:pPr>
        <w:pStyle w:val="Point1letter"/>
        <w:rPr>
          <w:noProof/>
        </w:rPr>
      </w:pPr>
      <w:r>
        <w:rPr>
          <w:noProof/>
        </w:rPr>
        <w:lastRenderedPageBreak/>
        <w:t>s črpanjem vode v skladu s ciljem dobrega količinskega stanja iz tabele 2.1.2 v Prilogi V k Direktivi 2000/60/ES;</w:t>
      </w:r>
    </w:p>
    <w:p>
      <w:pPr>
        <w:pStyle w:val="Point1letter"/>
        <w:rPr>
          <w:noProof/>
        </w:rPr>
      </w:pPr>
      <w:r>
        <w:rPr>
          <w:noProof/>
        </w:rPr>
        <w:t>z izboljšanjem učinkovitosti rabe vode, omogočanjem lažje ponovne uporabe vode ali kakršno koli drugo dejavnostjo, ki ohranja ali izboljšuje kakovost vodnih teles Unije v skladu z Direktivo 2000/60/ES;</w:t>
      </w:r>
    </w:p>
    <w:p>
      <w:pPr>
        <w:pStyle w:val="Point1letter"/>
        <w:rPr>
          <w:noProof/>
        </w:rPr>
      </w:pPr>
      <w:r>
        <w:rPr>
          <w:noProof/>
        </w:rPr>
        <w:t>z zagotavljanjem trajnostne rabe morskih ekosistemskih storitev ali s prispevanjem k dobremu okoljskemu stanju morskih voda, kot je določeno na podlagi kakovostnih deskriptorjev iz Priloge I k Direktivi 2008/56/ES ter kot je podrobneje določeno v Sklepu Komisije (EU) 2017/848</w:t>
      </w:r>
      <w:r>
        <w:rPr>
          <w:rStyle w:val="FootnoteReference"/>
          <w:noProof/>
        </w:rPr>
        <w:footnoteReference w:id="55"/>
      </w:r>
      <w:r>
        <w:rPr>
          <w:noProof/>
        </w:rPr>
        <w:t>.</w:t>
      </w:r>
    </w:p>
    <w:p>
      <w:pPr>
        <w:pStyle w:val="ManualNumPar1"/>
        <w:rPr>
          <w:noProof/>
        </w:rPr>
      </w:pPr>
      <w:r>
        <w:t>2.</w:t>
      </w:r>
      <w:r>
        <w:tab/>
      </w:r>
      <w:r>
        <w:rPr>
          <w:noProof/>
        </w:rPr>
        <w:t>Komisija sprejme delegirani akt v skladu s členom 16, da:</w:t>
      </w:r>
    </w:p>
    <w:p>
      <w:pPr>
        <w:pStyle w:val="Point1letter"/>
        <w:numPr>
          <w:ilvl w:val="3"/>
          <w:numId w:val="49"/>
        </w:numPr>
        <w:rPr>
          <w:noProof/>
        </w:rPr>
      </w:pPr>
      <w:r>
        <w:rPr>
          <w:noProof/>
        </w:rPr>
        <w:t>dopolni odstavek 1, da določi tehnična merila za pregled za določitev, pod kakšnimi pogoji se šteje, da določena gospodarska dejavnost za namene te uredbe bistveno prispeva k trajnostni rabi ter varstvu vodnih in morskih virov;</w:t>
      </w:r>
    </w:p>
    <w:p>
      <w:pPr>
        <w:pStyle w:val="Point1letter"/>
        <w:rPr>
          <w:noProof/>
        </w:rPr>
      </w:pPr>
      <w:r>
        <w:rPr>
          <w:noProof/>
        </w:rPr>
        <w:t xml:space="preserve">dopolni člen 12, da določi tehnična merila za pregled za vsak zadevni okoljski cilj, da se ugotovi, ali se za gospodarsko dejavnost, za katero so merila za pregled določena v skladu s točko (a) tega odstavka, za namene te uredbe šteje, da lahko znatno škoduje enemu ali več navedenim ciljem. </w:t>
      </w:r>
    </w:p>
    <w:p>
      <w:pPr>
        <w:pStyle w:val="ManualNumPar1"/>
        <w:rPr>
          <w:noProof/>
        </w:rPr>
      </w:pPr>
      <w:r>
        <w:t>3.</w:t>
      </w:r>
      <w:r>
        <w:tab/>
      </w:r>
      <w:r>
        <w:rPr>
          <w:noProof/>
        </w:rPr>
        <w:t>Komisija določi tehnična merila za pregled iz odstavka 2 v enem delegiranem aktu ob upoštevanju zahtev, določenih v členu 14.</w:t>
      </w:r>
    </w:p>
    <w:p>
      <w:pPr>
        <w:pStyle w:val="ManualNumPar1"/>
        <w:rPr>
          <w:noProof/>
        </w:rPr>
      </w:pPr>
      <w:r>
        <w:t>4.</w:t>
      </w:r>
      <w:r>
        <w:tab/>
      </w:r>
      <w:r>
        <w:rPr>
          <w:noProof/>
        </w:rPr>
        <w:t xml:space="preserve">Komisija sprejme delegirani akt iz odstavka 2 do 1. julija 2022 za zagotovitev, da se začne uporabljati 31. decembra 2022. </w:t>
      </w:r>
    </w:p>
    <w:p>
      <w:pPr>
        <w:pStyle w:val="Titrearticle"/>
        <w:rPr>
          <w:noProof/>
        </w:rPr>
      </w:pPr>
      <w:r>
        <w:rPr>
          <w:noProof/>
        </w:rPr>
        <w:t>Člen 9</w:t>
      </w:r>
      <w:r>
        <w:rPr>
          <w:noProof/>
        </w:rPr>
        <w:br/>
        <w:t>Bistven prispevek h krožnemu gospodarstvu ter preprečevanju nastajanja odpadkov in njihovemu recikliranju</w:t>
      </w:r>
    </w:p>
    <w:p>
      <w:pPr>
        <w:pStyle w:val="ManualNumPar1"/>
        <w:rPr>
          <w:noProof/>
        </w:rPr>
      </w:pPr>
      <w:r>
        <w:t>1.</w:t>
      </w:r>
      <w:r>
        <w:tab/>
      </w:r>
      <w:r>
        <w:rPr>
          <w:noProof/>
        </w:rPr>
        <w:t>Za gospodarsko dejavnost se šteje, da bistveno prispeva k prehodu na krožno gospodarstvo ter preprečevanju nastajanja odpadkov in njihovem recikliranju, če ta dejavnost bistveno prispeva k okoljskim ciljem na enega od naslednjih načinov:</w:t>
      </w:r>
    </w:p>
    <w:p>
      <w:pPr>
        <w:pStyle w:val="Point1letter"/>
        <w:numPr>
          <w:ilvl w:val="3"/>
          <w:numId w:val="29"/>
        </w:numPr>
        <w:rPr>
          <w:noProof/>
        </w:rPr>
      </w:pPr>
      <w:r>
        <w:rPr>
          <w:noProof/>
        </w:rPr>
        <w:t>z izboljšanjem učinkovite rabe surovin v proizvodnji, vključno z zmanjšanjem porabe primarnih surovin in večjo uporabo stranskih proizvodov in odpadkov;</w:t>
      </w:r>
    </w:p>
    <w:p>
      <w:pPr>
        <w:pStyle w:val="Point1letter"/>
        <w:numPr>
          <w:ilvl w:val="3"/>
          <w:numId w:val="8"/>
        </w:numPr>
        <w:rPr>
          <w:noProof/>
        </w:rPr>
      </w:pPr>
      <w:r>
        <w:rPr>
          <w:noProof/>
        </w:rPr>
        <w:t>z večjo trajnostjo, popravljivostjo, nadgradljivostjo ali ponovno uporabo izdelkov;</w:t>
      </w:r>
    </w:p>
    <w:p>
      <w:pPr>
        <w:pStyle w:val="Point1letter"/>
        <w:numPr>
          <w:ilvl w:val="3"/>
          <w:numId w:val="8"/>
        </w:numPr>
        <w:rPr>
          <w:noProof/>
        </w:rPr>
      </w:pPr>
      <w:r>
        <w:rPr>
          <w:noProof/>
        </w:rPr>
        <w:t>s povečanjem možnosti recikliranja izdelkov, vključno s posameznimi materiali, ki jih vsebujejo izdelki, med drugim z nadomestitvijo ali zmanjšano uporabo izdelkov in materialov, ki jih ni mogoče reciklirati;</w:t>
      </w:r>
    </w:p>
    <w:p>
      <w:pPr>
        <w:pStyle w:val="Point1letter"/>
        <w:numPr>
          <w:ilvl w:val="3"/>
          <w:numId w:val="8"/>
        </w:numPr>
        <w:rPr>
          <w:noProof/>
        </w:rPr>
      </w:pPr>
      <w:r>
        <w:rPr>
          <w:noProof/>
        </w:rPr>
        <w:t>z zmanjšanjem vsebnosti nevarnih kemičnih snovi v materialih in izdelkih;</w:t>
      </w:r>
    </w:p>
    <w:p>
      <w:pPr>
        <w:pStyle w:val="Point1letter"/>
        <w:numPr>
          <w:ilvl w:val="3"/>
          <w:numId w:val="8"/>
        </w:numPr>
        <w:rPr>
          <w:noProof/>
        </w:rPr>
      </w:pPr>
      <w:r>
        <w:rPr>
          <w:noProof/>
        </w:rPr>
        <w:t>s podaljšanjem uporabe proizvodov, vključno s povečanjem ponovne uporabe, ponovne izdelave, posodabljanja, popravila in izmenjave izdelkov s strani potrošnikov;</w:t>
      </w:r>
    </w:p>
    <w:p>
      <w:pPr>
        <w:pStyle w:val="Point1letter"/>
        <w:numPr>
          <w:ilvl w:val="3"/>
          <w:numId w:val="8"/>
        </w:numPr>
        <w:rPr>
          <w:noProof/>
        </w:rPr>
      </w:pPr>
      <w:r>
        <w:rPr>
          <w:noProof/>
        </w:rPr>
        <w:t>s povečanjem uporabe sekundarnih surovin in njihove kakovosti, vključno z visokokakovostnim recikliranjem odpadkov;</w:t>
      </w:r>
    </w:p>
    <w:p>
      <w:pPr>
        <w:pStyle w:val="Point1letter"/>
        <w:numPr>
          <w:ilvl w:val="3"/>
          <w:numId w:val="8"/>
        </w:numPr>
        <w:rPr>
          <w:noProof/>
        </w:rPr>
      </w:pPr>
      <w:r>
        <w:rPr>
          <w:noProof/>
        </w:rPr>
        <w:t>z zmanjšanjem nastajanja odpadkov;</w:t>
      </w:r>
    </w:p>
    <w:p>
      <w:pPr>
        <w:pStyle w:val="Point1letter"/>
        <w:numPr>
          <w:ilvl w:val="3"/>
          <w:numId w:val="8"/>
        </w:numPr>
        <w:rPr>
          <w:noProof/>
        </w:rPr>
      </w:pPr>
      <w:r>
        <w:rPr>
          <w:noProof/>
        </w:rPr>
        <w:t>s povečanjem priprave na ponovno uporabo in recikliranje odpadkov;</w:t>
      </w:r>
    </w:p>
    <w:p>
      <w:pPr>
        <w:pStyle w:val="Point1letter"/>
        <w:numPr>
          <w:ilvl w:val="3"/>
          <w:numId w:val="8"/>
        </w:numPr>
        <w:rPr>
          <w:noProof/>
        </w:rPr>
      </w:pPr>
      <w:r>
        <w:rPr>
          <w:noProof/>
        </w:rPr>
        <w:lastRenderedPageBreak/>
        <w:t>s preprečevanjem sežiganja in odlaganja odpadkov;</w:t>
      </w:r>
    </w:p>
    <w:p>
      <w:pPr>
        <w:pStyle w:val="Point1letter"/>
        <w:numPr>
          <w:ilvl w:val="3"/>
          <w:numId w:val="8"/>
        </w:numPr>
        <w:rPr>
          <w:noProof/>
        </w:rPr>
      </w:pPr>
      <w:r>
        <w:rPr>
          <w:noProof/>
        </w:rPr>
        <w:t>s preprečevanjem in čiščenjem drugih odpadkov in onesnaževanja zaradi neustreznega ravnanja z odpadki;</w:t>
      </w:r>
    </w:p>
    <w:p>
      <w:pPr>
        <w:pStyle w:val="Point1letter"/>
        <w:numPr>
          <w:ilvl w:val="3"/>
          <w:numId w:val="8"/>
        </w:numPr>
        <w:rPr>
          <w:noProof/>
        </w:rPr>
      </w:pPr>
      <w:r>
        <w:rPr>
          <w:noProof/>
        </w:rPr>
        <w:t>z učinkovito uporabo naravnih energetskih virov.</w:t>
      </w:r>
    </w:p>
    <w:p>
      <w:pPr>
        <w:pStyle w:val="ManualNumPar1"/>
        <w:rPr>
          <w:noProof/>
        </w:rPr>
      </w:pPr>
      <w:r>
        <w:t>2.</w:t>
      </w:r>
      <w:r>
        <w:tab/>
      </w:r>
      <w:r>
        <w:rPr>
          <w:noProof/>
        </w:rPr>
        <w:t>Komisija sprejme delegirani akt v skladu s členom 16, da:</w:t>
      </w:r>
    </w:p>
    <w:p>
      <w:pPr>
        <w:pStyle w:val="Point1letter"/>
        <w:numPr>
          <w:ilvl w:val="3"/>
          <w:numId w:val="30"/>
        </w:numPr>
        <w:rPr>
          <w:noProof/>
        </w:rPr>
      </w:pPr>
      <w:r>
        <w:rPr>
          <w:noProof/>
        </w:rPr>
        <w:t>dopolni odstavek 1, da določi tehnična merila za pregled za določitev, pod kakšnimi pogoji se šteje, da določena gospodarska dejavnost za namene te uredbe bistveno prispeva h krožnemu gospodarstvu ter preprečevanju nastajanja odpadkov in njihovemu recikliranju;</w:t>
      </w:r>
    </w:p>
    <w:p>
      <w:pPr>
        <w:pStyle w:val="Point1letter"/>
        <w:numPr>
          <w:ilvl w:val="3"/>
          <w:numId w:val="8"/>
        </w:numPr>
        <w:rPr>
          <w:noProof/>
        </w:rPr>
      </w:pPr>
      <w:r>
        <w:rPr>
          <w:noProof/>
        </w:rPr>
        <w:t xml:space="preserve">dopolni člen 12, da določi tehnična merila za pregled za vsak zadevni okoljski cilj, da se ugotovi, ali se za gospodarsko dejavnost, za katero so merila za pregled določena v skladu s točko (a) tega odstavka, za namene te uredbe šteje, da lahko znatno škoduje enemu ali več navedenim ciljem. </w:t>
      </w:r>
    </w:p>
    <w:p>
      <w:pPr>
        <w:pStyle w:val="ManualNumPar1"/>
        <w:rPr>
          <w:noProof/>
        </w:rPr>
      </w:pPr>
      <w:r>
        <w:t>3.</w:t>
      </w:r>
      <w:r>
        <w:tab/>
      </w:r>
      <w:r>
        <w:rPr>
          <w:noProof/>
        </w:rPr>
        <w:t>Komisija določi tehnična merila za pregled iz odstavka 2 v enem delegiranem aktu ob upoštevanju zahtev, določenih v členu 14.</w:t>
      </w:r>
    </w:p>
    <w:p>
      <w:pPr>
        <w:pStyle w:val="ManualNumPar1"/>
        <w:rPr>
          <w:noProof/>
        </w:rPr>
      </w:pPr>
      <w:r>
        <w:t>4.</w:t>
      </w:r>
      <w:r>
        <w:tab/>
      </w:r>
      <w:r>
        <w:rPr>
          <w:noProof/>
        </w:rPr>
        <w:t xml:space="preserve">Komisija sprejme delegirani akt iz odstavka 2 do 1. julija 2021 za zagotovitev, da se začne uporabljati 31. decembra 2021. </w:t>
      </w:r>
    </w:p>
    <w:p>
      <w:pPr>
        <w:pStyle w:val="Titrearticle"/>
        <w:rPr>
          <w:noProof/>
        </w:rPr>
      </w:pPr>
      <w:r>
        <w:rPr>
          <w:noProof/>
        </w:rPr>
        <w:t>Člen 10</w:t>
      </w:r>
      <w:r>
        <w:rPr>
          <w:noProof/>
        </w:rPr>
        <w:br/>
        <w:t>Bistven prispevek k preprečevanju in nadzorovanju onesnaževanja</w:t>
      </w:r>
    </w:p>
    <w:p>
      <w:pPr>
        <w:pStyle w:val="ManualNumPar1"/>
        <w:rPr>
          <w:noProof/>
        </w:rPr>
      </w:pPr>
      <w:r>
        <w:t>1.</w:t>
      </w:r>
      <w:r>
        <w:tab/>
      </w:r>
      <w:r>
        <w:rPr>
          <w:noProof/>
        </w:rPr>
        <w:t>Za gospodarsko dejavnost se šteje, da bistveno prispeva k preprečevanju in nadzorovanju onesnaževanja, če ta dejavnost prispeva k visoki ravni varstva okolja pred onesnaženjem na enega od naslednjih načinov:</w:t>
      </w:r>
    </w:p>
    <w:p>
      <w:pPr>
        <w:pStyle w:val="Point1letter"/>
        <w:numPr>
          <w:ilvl w:val="3"/>
          <w:numId w:val="32"/>
        </w:numPr>
        <w:rPr>
          <w:noProof/>
        </w:rPr>
      </w:pPr>
      <w:r>
        <w:rPr>
          <w:noProof/>
        </w:rPr>
        <w:t>z zmanjšanjem emisij onesnaževal zraka, vode in tal, razen emisij toplogrednih plinov;</w:t>
      </w:r>
    </w:p>
    <w:p>
      <w:pPr>
        <w:pStyle w:val="Point1letter"/>
        <w:numPr>
          <w:ilvl w:val="3"/>
          <w:numId w:val="8"/>
        </w:numPr>
        <w:rPr>
          <w:noProof/>
        </w:rPr>
      </w:pPr>
      <w:r>
        <w:rPr>
          <w:noProof/>
        </w:rPr>
        <w:t>z izboljšanjem ravni kakovosti zraka, vode ali prsti na območjih, na katerih poteka gospodarska dejavnost, ob istočasnem zmanjševanju negativnih vplivov na zdravje ljudi in okolje ter tveganj za zdravje ljudi in okolje;</w:t>
      </w:r>
    </w:p>
    <w:p>
      <w:pPr>
        <w:pStyle w:val="Point1letter"/>
        <w:numPr>
          <w:ilvl w:val="3"/>
          <w:numId w:val="8"/>
        </w:numPr>
        <w:rPr>
          <w:noProof/>
        </w:rPr>
      </w:pPr>
      <w:r>
        <w:rPr>
          <w:noProof/>
        </w:rPr>
        <w:t>s čim večjim zmanjšanjem pomembnih škodljivih vplivov na zdravje ljudi in okolje zaradi proizvodnje in uporabe kemikalij.</w:t>
      </w:r>
    </w:p>
    <w:p>
      <w:pPr>
        <w:pStyle w:val="ManualNumPar1"/>
        <w:rPr>
          <w:noProof/>
        </w:rPr>
      </w:pPr>
      <w:r>
        <w:t>2.</w:t>
      </w:r>
      <w:r>
        <w:tab/>
      </w:r>
      <w:r>
        <w:rPr>
          <w:noProof/>
        </w:rPr>
        <w:t>Komisija sprejme delegirani akt v skladu s členom 16, da:</w:t>
      </w:r>
    </w:p>
    <w:p>
      <w:pPr>
        <w:pStyle w:val="Point1letter"/>
        <w:numPr>
          <w:ilvl w:val="3"/>
          <w:numId w:val="33"/>
        </w:numPr>
        <w:rPr>
          <w:noProof/>
        </w:rPr>
      </w:pPr>
      <w:r>
        <w:rPr>
          <w:noProof/>
        </w:rPr>
        <w:t>dopolni odstavek 1, da določi tehnična merila za pregled za določitev, pod kakšnimi pogoji se šteje, da določena gospodarska dejavnost za namene te uredbe bistveno prispeva k preprečevanju in nadzorovanju onesnaževanja;</w:t>
      </w:r>
    </w:p>
    <w:p>
      <w:pPr>
        <w:pStyle w:val="Point1letter"/>
        <w:rPr>
          <w:noProof/>
        </w:rPr>
      </w:pPr>
      <w:r>
        <w:rPr>
          <w:noProof/>
        </w:rPr>
        <w:t xml:space="preserve">dopolni člen 12, da določi tehnična merila za pregled za vsak zadevni okoljski cilj, da se ugotovi, ali se za gospodarsko dejavnost, za katero so merila za pregled določena v skladu s točko (a) tega odstavka, za namene te uredbe šteje, da lahko znatno škoduje enemu ali več navedenim ciljem. </w:t>
      </w:r>
    </w:p>
    <w:p>
      <w:pPr>
        <w:pStyle w:val="ManualNumPar1"/>
        <w:rPr>
          <w:noProof/>
        </w:rPr>
      </w:pPr>
      <w:r>
        <w:t>3.</w:t>
      </w:r>
      <w:r>
        <w:tab/>
      </w:r>
      <w:r>
        <w:rPr>
          <w:noProof/>
        </w:rPr>
        <w:t>Komisija določi tehnična merila za pregled iz odstavka 2 v enem delegiranem aktu ob upoštevanju zahtev, določenih v členu 14.</w:t>
      </w:r>
    </w:p>
    <w:p>
      <w:pPr>
        <w:pStyle w:val="ManualNumPar1"/>
        <w:rPr>
          <w:noProof/>
        </w:rPr>
      </w:pPr>
      <w:r>
        <w:t>4.</w:t>
      </w:r>
      <w:r>
        <w:tab/>
      </w:r>
      <w:r>
        <w:rPr>
          <w:noProof/>
        </w:rPr>
        <w:t>Komisija sprejme delegirani akt iz odstavka 2 do 1. julija 2021 za zagotovitev, da se začne uporabljati 31. decembra 2021.</w:t>
      </w:r>
    </w:p>
    <w:p>
      <w:pPr>
        <w:pStyle w:val="Titrearticle"/>
        <w:rPr>
          <w:noProof/>
        </w:rPr>
      </w:pPr>
      <w:r>
        <w:rPr>
          <w:noProof/>
        </w:rPr>
        <w:lastRenderedPageBreak/>
        <w:t>Člen 11</w:t>
      </w:r>
      <w:r>
        <w:rPr>
          <w:noProof/>
        </w:rPr>
        <w:br/>
        <w:t>Bistven prispevek k varovanju zdravih ekosistemov</w:t>
      </w:r>
    </w:p>
    <w:p>
      <w:pPr>
        <w:pStyle w:val="ManualNumPar1"/>
        <w:rPr>
          <w:noProof/>
        </w:rPr>
      </w:pPr>
      <w:r>
        <w:t>1.</w:t>
      </w:r>
      <w:r>
        <w:tab/>
      </w:r>
      <w:r>
        <w:rPr>
          <w:noProof/>
        </w:rPr>
        <w:t>Za namene te uredbe se za gospodarsko dejavnost šteje, da bistveno prispeva k zdravim ekosistemom, če ta dejavnost bistveno prispeva k varovanju, ohranjanju in izboljšanju biotske raznovrstnosti in ekosistemskih storitev v skladu z ustreznimi zakonodajnimi in nezakonodajnimi instrumenti Unije na enega od naslednjih načinov:</w:t>
      </w:r>
    </w:p>
    <w:p>
      <w:pPr>
        <w:pStyle w:val="Point1letter"/>
        <w:numPr>
          <w:ilvl w:val="3"/>
          <w:numId w:val="35"/>
        </w:numPr>
        <w:rPr>
          <w:noProof/>
        </w:rPr>
      </w:pPr>
      <w:r>
        <w:rPr>
          <w:noProof/>
        </w:rPr>
        <w:t>z ohranjanjem narave (habitati, vrste); z varstvom, obnovo in izboljšanjem stanja ekosistemov in njihovih zmogljivosti za zagotavljanje storitev;</w:t>
      </w:r>
    </w:p>
    <w:p>
      <w:pPr>
        <w:pStyle w:val="Point1letter"/>
        <w:rPr>
          <w:noProof/>
        </w:rPr>
      </w:pPr>
      <w:r>
        <w:rPr>
          <w:noProof/>
        </w:rPr>
        <w:t>s trajnostnim upravljanjem zemljišč, vključno z ustrezno zaščito biotske raznovrstnosti tal; z nevtralnostjo degradacije tal ter sanacijo onesnaženih območij;</w:t>
      </w:r>
    </w:p>
    <w:p>
      <w:pPr>
        <w:pStyle w:val="Point1letter"/>
        <w:rPr>
          <w:noProof/>
        </w:rPr>
      </w:pPr>
      <w:r>
        <w:rPr>
          <w:noProof/>
        </w:rPr>
        <w:t>s trajnostnimi kmetijskimi praksami, vključno s tistimi, ki prispevajo k zaustavitvi ali preprečevanju krčenja gozdov in izgubi habitatov;</w:t>
      </w:r>
    </w:p>
    <w:p>
      <w:pPr>
        <w:pStyle w:val="Point1letter"/>
        <w:rPr>
          <w:noProof/>
        </w:rPr>
      </w:pPr>
      <w:r>
        <w:rPr>
          <w:noProof/>
        </w:rPr>
        <w:t>s trajnostnim gospodarjenjem z gozdovi.</w:t>
      </w:r>
    </w:p>
    <w:p>
      <w:pPr>
        <w:pStyle w:val="ManualNumPar1"/>
        <w:rPr>
          <w:noProof/>
        </w:rPr>
      </w:pPr>
      <w:r>
        <w:t>2.</w:t>
      </w:r>
      <w:r>
        <w:tab/>
      </w:r>
      <w:r>
        <w:rPr>
          <w:noProof/>
        </w:rPr>
        <w:t>Komisija sprejme delegirani akt v skladu s členom 16, da:</w:t>
      </w:r>
    </w:p>
    <w:p>
      <w:pPr>
        <w:pStyle w:val="Point1letter"/>
        <w:numPr>
          <w:ilvl w:val="3"/>
          <w:numId w:val="36"/>
        </w:numPr>
        <w:rPr>
          <w:noProof/>
        </w:rPr>
      </w:pPr>
      <w:r>
        <w:rPr>
          <w:noProof/>
        </w:rPr>
        <w:t>dopolni odstavek 1, da določi tehnična merila za pregled za določitev, pod kakšnimi pogoji se šteje, da določena gospodarska dejavnost za namene te uredbe bistveno prispeva k varstvu zdravja ekosistemov;</w:t>
      </w:r>
    </w:p>
    <w:p>
      <w:pPr>
        <w:pStyle w:val="Point1letter"/>
        <w:rPr>
          <w:noProof/>
        </w:rPr>
      </w:pPr>
      <w:r>
        <w:rPr>
          <w:noProof/>
        </w:rPr>
        <w:t xml:space="preserve">dopolni člen 12, da določi tehnična merila za pregled za vsak zadevni okoljski cilj, da se ugotovi, ali se za gospodarsko dejavnost, za katero so merila za pregled določena v skladu s točko (a) tega odstavka, za namene te uredbe šteje, da lahko znatno škoduje enemu ali več navedenim ciljem. </w:t>
      </w:r>
    </w:p>
    <w:p>
      <w:pPr>
        <w:pStyle w:val="ManualNumPar1"/>
        <w:rPr>
          <w:noProof/>
        </w:rPr>
      </w:pPr>
      <w:r>
        <w:t>3.</w:t>
      </w:r>
      <w:r>
        <w:tab/>
      </w:r>
      <w:r>
        <w:rPr>
          <w:noProof/>
        </w:rPr>
        <w:t>Komisija določi tehnična merila za pregled iz odstavka 2 v enem delegiranem aktu ob upoštevanju zahtev, določenih v členu 14.</w:t>
      </w:r>
    </w:p>
    <w:p>
      <w:pPr>
        <w:pStyle w:val="ManualNumPar1"/>
        <w:rPr>
          <w:noProof/>
        </w:rPr>
      </w:pPr>
      <w:r>
        <w:t>4.</w:t>
      </w:r>
      <w:r>
        <w:tab/>
      </w:r>
      <w:r>
        <w:rPr>
          <w:noProof/>
        </w:rPr>
        <w:t>Komisija sprejme delegirani akt iz odstavka 2 do 1. julija 2022 za zagotovitev, da se začne uporabljati 31. decembra 2022.</w:t>
      </w:r>
    </w:p>
    <w:p>
      <w:pPr>
        <w:keepNext/>
        <w:spacing w:before="360"/>
        <w:jc w:val="center"/>
        <w:rPr>
          <w:i/>
          <w:noProof/>
        </w:rPr>
      </w:pPr>
      <w:r>
        <w:rPr>
          <w:i/>
          <w:noProof/>
        </w:rPr>
        <w:t>Člen 12</w:t>
      </w:r>
      <w:r>
        <w:rPr>
          <w:i/>
          <w:noProof/>
        </w:rPr>
        <w:br/>
        <w:t>Znatna škoda za okoljske cilje</w:t>
      </w:r>
    </w:p>
    <w:p>
      <w:pPr>
        <w:rPr>
          <w:noProof/>
        </w:rPr>
      </w:pPr>
      <w:r>
        <w:rPr>
          <w:noProof/>
        </w:rPr>
        <w:t>Za namene člena 3(b) se gospodarska dejavnost šteje kot znatno škodljiva za:</w:t>
      </w:r>
    </w:p>
    <w:p>
      <w:pPr>
        <w:pStyle w:val="Point1letter"/>
        <w:numPr>
          <w:ilvl w:val="3"/>
          <w:numId w:val="37"/>
        </w:numPr>
        <w:rPr>
          <w:noProof/>
        </w:rPr>
      </w:pPr>
      <w:r>
        <w:rPr>
          <w:noProof/>
        </w:rPr>
        <w:t>blažitev podnebnih sprememb, če ta dejavnost povzroča znatne emisije toplogrednih plinov;</w:t>
      </w:r>
    </w:p>
    <w:p>
      <w:pPr>
        <w:pStyle w:val="Point1letter"/>
        <w:rPr>
          <w:noProof/>
        </w:rPr>
      </w:pPr>
      <w:r>
        <w:rPr>
          <w:noProof/>
        </w:rPr>
        <w:t>prilagajanje podnebnim spremembam, če ta dejavnost vodi do večjega negativnega učinka sedanjega in pričakovanega podnebja, na naravno in grajeno okolje, v katerem se ta dejavnost opravlja;</w:t>
      </w:r>
    </w:p>
    <w:p>
      <w:pPr>
        <w:pStyle w:val="Point1letter"/>
        <w:rPr>
          <w:noProof/>
        </w:rPr>
      </w:pPr>
      <w:r>
        <w:rPr>
          <w:noProof/>
        </w:rPr>
        <w:t>trajnostno rabo ter varstvo vodnih in morskih virov, če je ta dejavnost v znatni meri škodljiva za dobro stanje voda Unije, vključno s sladko vodo, somornicami in obalnim morjem, ali za dobro okoljsko stanje morskih voda Unije;</w:t>
      </w:r>
    </w:p>
    <w:p>
      <w:pPr>
        <w:pStyle w:val="Point1letter"/>
        <w:rPr>
          <w:noProof/>
        </w:rPr>
      </w:pPr>
      <w:r>
        <w:rPr>
          <w:noProof/>
        </w:rPr>
        <w:t>krožno gospodarstvo ter preprečevanje nastajanja odpadkov in njihovo recikliranje, če ta dejavnost povzroča resno neučinkovitost pri uporabi materialov v eni ali več fazah življenjskega cikla izdelkov, vključno z vidika trajanja, popravljivosti, nadgradljivosti, možnosti ponovne uporabe ali recikliranja izdelkov, ali če ta dejavnost vodi do znatnega povečanja nastajanja, sežiganja ali odlaganja odpadkov;</w:t>
      </w:r>
    </w:p>
    <w:p>
      <w:pPr>
        <w:pStyle w:val="Point1letter"/>
        <w:rPr>
          <w:noProof/>
        </w:rPr>
      </w:pPr>
      <w:r>
        <w:rPr>
          <w:noProof/>
        </w:rPr>
        <w:t>preprečevanje in nadzorovanje onesnaževanja, če ta dejavnost vodi do znatnega povečanja emisij onesnaževal v zrak, vodo in tla v primerjavi s stanjem pred začetkom izvajanja te dejavnosti;</w:t>
      </w:r>
    </w:p>
    <w:p>
      <w:pPr>
        <w:pStyle w:val="Point1letter"/>
        <w:rPr>
          <w:noProof/>
        </w:rPr>
      </w:pPr>
      <w:r>
        <w:rPr>
          <w:noProof/>
        </w:rPr>
        <w:lastRenderedPageBreak/>
        <w:t>zdrave ekosisteme, če ta dejavnost v znatni meri škodi dobremu stanju ekosistemov.</w:t>
      </w:r>
    </w:p>
    <w:p>
      <w:pPr>
        <w:pStyle w:val="Titrearticle"/>
        <w:rPr>
          <w:noProof/>
        </w:rPr>
      </w:pPr>
      <w:r>
        <w:rPr>
          <w:noProof/>
        </w:rPr>
        <w:t>Člen 13</w:t>
      </w:r>
      <w:r>
        <w:rPr>
          <w:noProof/>
        </w:rPr>
        <w:br/>
        <w:t>Minimalni zaščitni ukrepi</w:t>
      </w:r>
    </w:p>
    <w:p>
      <w:pPr>
        <w:rPr>
          <w:noProof/>
        </w:rPr>
      </w:pPr>
      <w:r>
        <w:rPr>
          <w:noProof/>
        </w:rPr>
        <w:t xml:space="preserve">Minimalni zaščitni ukrepi iz člena 3(c) so postopki, ki jih izvaja podjetje, ki opravlja gospodarsko dejavnost, da zagotovi spoštovanje načel in pravic, določenih v osmih temeljnih konvencijah, opredeljenih v Deklaraciji Mednarodne organizacije dela o temeljnih pravicah in načelih pri delu, in sicer: pravica, da ni žrtev prisilnega dela, svoboda združevanja, pravice delavcev do organiziranja, pravica do kolektivnih pogajanj, enako plačilo za moške in ženske za delo enake vrednosti, nediskriminacija pri priložnostih in obravnavi v zvezi z zaposlovanjem in poklicnim delom ter pravica, da ni žrtev prisilnega dela otrok. </w:t>
      </w:r>
    </w:p>
    <w:p>
      <w:pPr>
        <w:pStyle w:val="Titrearticle"/>
        <w:rPr>
          <w:noProof/>
        </w:rPr>
      </w:pPr>
      <w:r>
        <w:rPr>
          <w:noProof/>
        </w:rPr>
        <w:t>Člen 14</w:t>
      </w:r>
      <w:r>
        <w:rPr>
          <w:noProof/>
        </w:rPr>
        <w:br/>
        <w:t xml:space="preserve">Zahteve za tehnična merila za pregled </w:t>
      </w:r>
    </w:p>
    <w:p>
      <w:pPr>
        <w:pStyle w:val="ManualNumPar1"/>
        <w:rPr>
          <w:noProof/>
        </w:rPr>
      </w:pPr>
      <w:r>
        <w:t>1.</w:t>
      </w:r>
      <w:r>
        <w:tab/>
      </w:r>
      <w:r>
        <w:rPr>
          <w:noProof/>
        </w:rPr>
        <w:t>Tehnična merila za pregled, sprejeta v skladu s členi 6(2), 7(2), 8(2), 9(2), 10(2) in 11(2):</w:t>
      </w:r>
    </w:p>
    <w:p>
      <w:pPr>
        <w:pStyle w:val="Point1letter"/>
        <w:numPr>
          <w:ilvl w:val="3"/>
          <w:numId w:val="39"/>
        </w:numPr>
        <w:rPr>
          <w:noProof/>
        </w:rPr>
      </w:pPr>
      <w:r>
        <w:rPr>
          <w:noProof/>
        </w:rPr>
        <w:t>opredelijo najpomembnejše potencialne prispevke k okoljskim ciljem ob upoštevanju ne samo kratkoročnih, temveč tudi dolgoročnih vplivov določene gospodarske dejavnosti;</w:t>
      </w:r>
    </w:p>
    <w:p>
      <w:pPr>
        <w:pStyle w:val="Point1letter"/>
        <w:rPr>
          <w:noProof/>
        </w:rPr>
      </w:pPr>
      <w:r>
        <w:rPr>
          <w:noProof/>
        </w:rPr>
        <w:t>opredelijo minimalne zahteve, ki jih je treba izpolniti, da bi se izognili znatni škodi za kateri koli zadevni okoljski cilj;</w:t>
      </w:r>
    </w:p>
    <w:p>
      <w:pPr>
        <w:pStyle w:val="Point1letter"/>
        <w:rPr>
          <w:noProof/>
        </w:rPr>
      </w:pPr>
      <w:r>
        <w:rPr>
          <w:noProof/>
        </w:rPr>
        <w:t>so kakovostno ali količinsko opredeljena ali oboje ter vsebujejo mejne vrednosti, kjer je to mogoče;</w:t>
      </w:r>
    </w:p>
    <w:p>
      <w:pPr>
        <w:pStyle w:val="Point1letter"/>
        <w:rPr>
          <w:noProof/>
        </w:rPr>
      </w:pPr>
      <w:r>
        <w:rPr>
          <w:noProof/>
        </w:rPr>
        <w:t>kadar je primerno, temeljijo na sistemih označevanja in potrjevanja v Uniji, metodologijah Unije za ocenjevanje okoljskega odtisa in sistemih statistične klasifikacije Unije ter upoštevajo ustrezno obstoječo zakonodajo Unije;</w:t>
      </w:r>
    </w:p>
    <w:p>
      <w:pPr>
        <w:pStyle w:val="Point1letter"/>
        <w:rPr>
          <w:noProof/>
        </w:rPr>
      </w:pPr>
      <w:r>
        <w:rPr>
          <w:noProof/>
        </w:rPr>
        <w:t>temeljijo na prepričljivih znanstvenih dokazih in, kadar je to ustrezno, upoštevajo previdnostno načelo iz člena 191 PDEU;</w:t>
      </w:r>
    </w:p>
    <w:p>
      <w:pPr>
        <w:pStyle w:val="Point1letter"/>
        <w:rPr>
          <w:noProof/>
        </w:rPr>
      </w:pPr>
      <w:r>
        <w:rPr>
          <w:noProof/>
        </w:rPr>
        <w:t>upoštevajo okoljske vplive gospodarske dejavnosti ter izdelkov in storitev, ki jih ta gospodarska dejavnost zagotavlja, zlasti z obravnavo njihove proizvodnje, uporabe in konca življenjske dobe;</w:t>
      </w:r>
    </w:p>
    <w:p>
      <w:pPr>
        <w:pStyle w:val="Point1letter"/>
        <w:rPr>
          <w:noProof/>
        </w:rPr>
      </w:pPr>
      <w:r>
        <w:rPr>
          <w:noProof/>
        </w:rPr>
        <w:t>upoštevajo naravo in obseg gospodarske dejavnosti;</w:t>
      </w:r>
    </w:p>
    <w:p>
      <w:pPr>
        <w:pStyle w:val="Point1letter"/>
        <w:rPr>
          <w:noProof/>
        </w:rPr>
      </w:pPr>
      <w:r>
        <w:rPr>
          <w:noProof/>
        </w:rPr>
        <w:t xml:space="preserve">upoštevajo morebitni učinek na likvidnost trga, tveganje, da bi določena sredstva nasedla zaradi izgube vrednosti zaradi prehoda na bolj trajnostno gospodarstvo, ter tveganje glede nastanka neskladnih spodbud; </w:t>
      </w:r>
    </w:p>
    <w:p>
      <w:pPr>
        <w:pStyle w:val="Point1letter"/>
        <w:rPr>
          <w:noProof/>
        </w:rPr>
      </w:pPr>
      <w:r>
        <w:rPr>
          <w:noProof/>
        </w:rPr>
        <w:t>zajemajo vse pomembne gospodarske dejavnosti v določenem sektorju in zagotavljajo, da se te dejavnosti obravnavajo enako, če enako prispevajo k enemu ali več okoljskim ciljem, da se prepreči izkrivljanje konkurence na trgu;</w:t>
      </w:r>
    </w:p>
    <w:p>
      <w:pPr>
        <w:pStyle w:val="Point1letter"/>
        <w:rPr>
          <w:noProof/>
        </w:rPr>
      </w:pPr>
      <w:r>
        <w:rPr>
          <w:noProof/>
        </w:rPr>
        <w:t>so določena tako, da olajšajo preverjanje izpolnjevanja navedenih meril, kadar koli je to mogoče.</w:t>
      </w:r>
    </w:p>
    <w:p>
      <w:pPr>
        <w:pStyle w:val="ManualNumPar1"/>
        <w:rPr>
          <w:noProof/>
        </w:rPr>
      </w:pPr>
      <w:r>
        <w:t>2.</w:t>
      </w:r>
      <w:r>
        <w:tab/>
      </w:r>
      <w:r>
        <w:rPr>
          <w:noProof/>
        </w:rPr>
        <w:t xml:space="preserve">Tehnična merila za pregled iz odstavka 1 zajemajo tudi merila za dejavnosti, povezane s prehodom na čisto energijo, zlasti energetsko učinkovitost in obnovljivo energijo, kolikor te bistveno prispevajo h kateremu koli okoljskemu cilju. </w:t>
      </w:r>
    </w:p>
    <w:p>
      <w:pPr>
        <w:pStyle w:val="ManualNumPar1"/>
        <w:rPr>
          <w:noProof/>
        </w:rPr>
      </w:pPr>
      <w:r>
        <w:t>3.</w:t>
      </w:r>
      <w:r>
        <w:tab/>
      </w:r>
      <w:r>
        <w:rPr>
          <w:noProof/>
        </w:rPr>
        <w:t>Tehnična merila za pregled iz odstavka 1 vključujejo tudi merila za dejavnosti, povezane s prehodom na čisto ali podnebno nevtralno mobilnost, vključno s spremembo načina prevoza, ukrepi za učinkovitost in alternativnimi gorivi, kolikor ti bistveno prispevajo h kateremu koli okoljskemu cilju.</w:t>
      </w:r>
    </w:p>
    <w:p>
      <w:pPr>
        <w:pStyle w:val="ManualNumPar1"/>
        <w:rPr>
          <w:noProof/>
        </w:rPr>
      </w:pPr>
      <w:r>
        <w:lastRenderedPageBreak/>
        <w:t>4.</w:t>
      </w:r>
      <w:r>
        <w:tab/>
      </w:r>
      <w:r>
        <w:rPr>
          <w:noProof/>
        </w:rPr>
        <w:t>Komisija redno pregleduje merila za pregled iz odstavka 1 ter po potrebi spremeni delegirane akte, sprejete v skladu s to uredbo, v skladu z znanstvenim in tehnološkim razvojem.</w:t>
      </w:r>
    </w:p>
    <w:p>
      <w:pPr>
        <w:pStyle w:val="Titrearticle"/>
        <w:rPr>
          <w:noProof/>
        </w:rPr>
      </w:pPr>
      <w:r>
        <w:rPr>
          <w:noProof/>
        </w:rPr>
        <w:t>Člen 15</w:t>
      </w:r>
      <w:r>
        <w:rPr>
          <w:noProof/>
        </w:rPr>
        <w:br/>
        <w:t>Platforma o financiranju trajnostne rasti</w:t>
      </w:r>
    </w:p>
    <w:p>
      <w:pPr>
        <w:pStyle w:val="ManualNumPar1"/>
        <w:rPr>
          <w:noProof/>
        </w:rPr>
      </w:pPr>
      <w:r>
        <w:t>1.</w:t>
      </w:r>
      <w:r>
        <w:tab/>
      </w:r>
      <w:r>
        <w:rPr>
          <w:noProof/>
        </w:rPr>
        <w:t>Komisija ustanovi platformo o financiranju trajnostne rasti, ki jo sestavljajo:</w:t>
      </w:r>
    </w:p>
    <w:p>
      <w:pPr>
        <w:pStyle w:val="Point1letter"/>
        <w:numPr>
          <w:ilvl w:val="3"/>
          <w:numId w:val="41"/>
        </w:numPr>
        <w:rPr>
          <w:noProof/>
        </w:rPr>
      </w:pPr>
      <w:r>
        <w:rPr>
          <w:noProof/>
        </w:rPr>
        <w:t>predstavniki:</w:t>
      </w:r>
    </w:p>
    <w:p>
      <w:pPr>
        <w:pStyle w:val="Point2"/>
        <w:rPr>
          <w:noProof/>
        </w:rPr>
      </w:pPr>
      <w:r>
        <w:rPr>
          <w:noProof/>
        </w:rPr>
        <w:t>(i)</w:t>
      </w:r>
      <w:r>
        <w:rPr>
          <w:noProof/>
        </w:rPr>
        <w:tab/>
        <w:t>Evropske agencije za okolje;</w:t>
      </w:r>
    </w:p>
    <w:p>
      <w:pPr>
        <w:pStyle w:val="Point2"/>
        <w:rPr>
          <w:noProof/>
        </w:rPr>
      </w:pPr>
      <w:r>
        <w:rPr>
          <w:noProof/>
        </w:rPr>
        <w:t>(ii)</w:t>
      </w:r>
      <w:r>
        <w:rPr>
          <w:noProof/>
        </w:rPr>
        <w:tab/>
        <w:t>evropskih nadzornih organov;</w:t>
      </w:r>
    </w:p>
    <w:p>
      <w:pPr>
        <w:pStyle w:val="Point2"/>
        <w:rPr>
          <w:noProof/>
        </w:rPr>
      </w:pPr>
      <w:r>
        <w:rPr>
          <w:noProof/>
        </w:rPr>
        <w:t>(iii)</w:t>
      </w:r>
      <w:r>
        <w:rPr>
          <w:noProof/>
        </w:rPr>
        <w:tab/>
        <w:t>Evropske investicijske banke in Evropskega investicijskega sklada;</w:t>
      </w:r>
    </w:p>
    <w:p>
      <w:pPr>
        <w:pStyle w:val="Point1letter"/>
        <w:rPr>
          <w:noProof/>
        </w:rPr>
      </w:pPr>
      <w:r>
        <w:rPr>
          <w:noProof/>
        </w:rPr>
        <w:t>strokovnjaki, ki zastopajo ustrezne zainteresirane strani iz zasebnega sektorja;</w:t>
      </w:r>
    </w:p>
    <w:p>
      <w:pPr>
        <w:pStyle w:val="Point1letter"/>
        <w:rPr>
          <w:noProof/>
        </w:rPr>
      </w:pPr>
      <w:r>
        <w:rPr>
          <w:noProof/>
        </w:rPr>
        <w:t xml:space="preserve">strokovnjaki, imenovani za delovanje v svojem imenu, z dokazanim znanjem in izkušnjami na področjih, ki jih zajema ta uredba. </w:t>
      </w:r>
    </w:p>
    <w:p>
      <w:pPr>
        <w:pStyle w:val="ManualNumPar1"/>
        <w:rPr>
          <w:noProof/>
        </w:rPr>
      </w:pPr>
      <w:r>
        <w:t>2.</w:t>
      </w:r>
      <w:r>
        <w:tab/>
      </w:r>
      <w:r>
        <w:rPr>
          <w:noProof/>
        </w:rPr>
        <w:t>Platforma o financiranju trajnostne rasti:</w:t>
      </w:r>
    </w:p>
    <w:p>
      <w:pPr>
        <w:pStyle w:val="Point1letter"/>
        <w:numPr>
          <w:ilvl w:val="3"/>
          <w:numId w:val="42"/>
        </w:numPr>
        <w:rPr>
          <w:noProof/>
        </w:rPr>
      </w:pPr>
      <w:r>
        <w:rPr>
          <w:noProof/>
        </w:rPr>
        <w:t>Komisiji svetuje o tehničnih merilih za pregled iz člena 14 in morebitni potrebi po posodobitvi teh meril;</w:t>
      </w:r>
    </w:p>
    <w:p>
      <w:pPr>
        <w:pStyle w:val="Point1letter"/>
        <w:rPr>
          <w:noProof/>
        </w:rPr>
      </w:pPr>
      <w:r>
        <w:rPr>
          <w:noProof/>
        </w:rPr>
        <w:t>analizira učinek tehničnih meril za pregled v smislu potencialnih stroškov in koristi njihove uporabe;</w:t>
      </w:r>
    </w:p>
    <w:p>
      <w:pPr>
        <w:pStyle w:val="Point1letter"/>
        <w:rPr>
          <w:noProof/>
        </w:rPr>
      </w:pPr>
      <w:r>
        <w:rPr>
          <w:noProof/>
        </w:rPr>
        <w:t xml:space="preserve">Komisiji pomaga pri analiziranju zahtev zainteresiranih strani za oblikovanje ali spremembo tehničnih meril za pregled za določeno gospodarsko dejavnost; </w:t>
      </w:r>
    </w:p>
    <w:p>
      <w:pPr>
        <w:pStyle w:val="Point1letter"/>
        <w:rPr>
          <w:noProof/>
        </w:rPr>
      </w:pPr>
      <w:r>
        <w:rPr>
          <w:noProof/>
        </w:rPr>
        <w:t xml:space="preserve">Komisiji svetuje o ustreznosti tehničnih meril pregled za morebitne nadaljnje uporabe; </w:t>
      </w:r>
    </w:p>
    <w:p>
      <w:pPr>
        <w:pStyle w:val="Point1letter"/>
        <w:rPr>
          <w:noProof/>
        </w:rPr>
      </w:pPr>
      <w:r>
        <w:rPr>
          <w:noProof/>
        </w:rPr>
        <w:t>spremlja in redno poroča Komisiji o tokovih kapitala v trajnostne naložbe;</w:t>
      </w:r>
    </w:p>
    <w:p>
      <w:pPr>
        <w:pStyle w:val="Point1letter"/>
        <w:rPr>
          <w:noProof/>
        </w:rPr>
      </w:pPr>
      <w:r>
        <w:rPr>
          <w:noProof/>
        </w:rPr>
        <w:t>Komisiji svetuje o morebitni potrebi po spremembi te uredbe.</w:t>
      </w:r>
    </w:p>
    <w:p>
      <w:pPr>
        <w:pStyle w:val="ManualNumPar1"/>
        <w:rPr>
          <w:noProof/>
        </w:rPr>
      </w:pPr>
      <w:r>
        <w:t>3.</w:t>
      </w:r>
      <w:r>
        <w:tab/>
      </w:r>
      <w:r>
        <w:rPr>
          <w:noProof/>
        </w:rPr>
        <w:t>Platformi o financiranju trajnostne rasti predseduje Komisija.</w:t>
      </w:r>
    </w:p>
    <w:p>
      <w:pPr>
        <w:pStyle w:val="Titrearticle"/>
        <w:rPr>
          <w:noProof/>
        </w:rPr>
      </w:pPr>
      <w:r>
        <w:rPr>
          <w:noProof/>
        </w:rPr>
        <w:t>Člen 16</w:t>
      </w:r>
      <w:r>
        <w:rPr>
          <w:noProof/>
        </w:rPr>
        <w:br/>
        <w:t xml:space="preserve">Izvajanje prenosa pooblastila </w:t>
      </w:r>
    </w:p>
    <w:p>
      <w:pPr>
        <w:pStyle w:val="ManualNumPar1"/>
        <w:rPr>
          <w:noProof/>
        </w:rPr>
      </w:pPr>
      <w:r>
        <w:t>1.</w:t>
      </w:r>
      <w:r>
        <w:tab/>
      </w:r>
      <w:r>
        <w:rPr>
          <w:noProof/>
        </w:rPr>
        <w:t>Pooblastilo za sprejemanje delegiranih aktov je preneseno na Komisijo pod pogoji, določenimi v tem členu.</w:t>
      </w:r>
    </w:p>
    <w:p>
      <w:pPr>
        <w:pStyle w:val="ManualNumPar1"/>
        <w:rPr>
          <w:noProof/>
        </w:rPr>
      </w:pPr>
      <w:r>
        <w:t>2.</w:t>
      </w:r>
      <w:r>
        <w:tab/>
      </w:r>
      <w:r>
        <w:rPr>
          <w:noProof/>
        </w:rPr>
        <w:t>Pooblastilo za sprejemanje delegiranih aktov iz členov 4(3), 6(2), 7(2), 8(2), 9(2), 10(2) in 11(2) se prenese na Komisijo za nedoločen čas od [datum začetka veljavnosti te uredbe].</w:t>
      </w:r>
    </w:p>
    <w:p>
      <w:pPr>
        <w:pStyle w:val="ManualNumPar1"/>
        <w:rPr>
          <w:noProof/>
        </w:rPr>
      </w:pPr>
      <w:r>
        <w:t>3.</w:t>
      </w:r>
      <w:r>
        <w:tab/>
      </w:r>
      <w:r>
        <w:rPr>
          <w:noProof/>
        </w:rPr>
        <w:t xml:space="preserve">Prenos pooblastil iz odstavka 2 lahko kadar koli prekliče Evropski parlament ali Svet. S sklepom o preklicu preneha veljati prenos pooblastila iz navedenega sklepa. Sklep začne učinkovati dan po njegovi objavi v </w:t>
      </w:r>
      <w:r>
        <w:rPr>
          <w:i/>
          <w:noProof/>
        </w:rPr>
        <w:t>Uradnem listu Evropske unije</w:t>
      </w:r>
      <w:r>
        <w:rPr>
          <w:noProof/>
        </w:rPr>
        <w:t xml:space="preserve"> ali na poznejši dan, ki je določen v navedenem sklepu. Sklep ne vpliva na veljavnost že veljavnih delegiranih aktov.</w:t>
      </w:r>
    </w:p>
    <w:p>
      <w:pPr>
        <w:pStyle w:val="ManualNumPar1"/>
        <w:rPr>
          <w:noProof/>
        </w:rPr>
      </w:pPr>
      <w:r>
        <w:t>4.</w:t>
      </w:r>
      <w:r>
        <w:tab/>
      </w:r>
      <w:r>
        <w:rPr>
          <w:noProof/>
        </w:rPr>
        <w:t>Komisija se pred sprejetjem delegiranega akta posvetuje s strokovnjaki, ki jih imenujejo države članice v skladu z načeli, določenimi v Medinstitucionalnem sporazumu z dne 13. aprila 2016 o boljši pripravi zakonodaje.</w:t>
      </w:r>
    </w:p>
    <w:p>
      <w:pPr>
        <w:pStyle w:val="ManualNumPar1"/>
        <w:rPr>
          <w:noProof/>
        </w:rPr>
      </w:pPr>
      <w:r>
        <w:t>5.</w:t>
      </w:r>
      <w:r>
        <w:tab/>
      </w:r>
      <w:r>
        <w:rPr>
          <w:noProof/>
        </w:rPr>
        <w:t>Komisija takoj po sprejetju delegiranega akta o njem sočasno obvesti Evropski parlament in Svet.</w:t>
      </w:r>
    </w:p>
    <w:p>
      <w:pPr>
        <w:pStyle w:val="ManualNumPar1"/>
        <w:rPr>
          <w:noProof/>
        </w:rPr>
      </w:pPr>
      <w:r>
        <w:lastRenderedPageBreak/>
        <w:t>6.</w:t>
      </w:r>
      <w:r>
        <w:tab/>
      </w:r>
      <w:r>
        <w:rPr>
          <w:noProof/>
        </w:rPr>
        <w:t>Delegirani akt, sprejet v skladu s členi 4(3), 6(2), 7(2), 8(2), 9(2), 10(2) in 11(2) začne veljati le, če niti Evropski parlament niti Svet ne nasprotuje delegiranemu aktu v roku dveh mesecev od uradnega obvestila Evropskemu parlamentu in Svetu o tem aktu ali če sta pred iztekom tega roka tako Evropski parlament kot Svet obvestila Komisijo, da mu ne bosta nasprotovala. Navedeni rok se na pobudo Evropskega parlamenta ali Sveta podaljša za dva meseca.</w:t>
      </w:r>
    </w:p>
    <w:p>
      <w:pPr>
        <w:pStyle w:val="ChapterTitle"/>
        <w:rPr>
          <w:noProof/>
        </w:rPr>
      </w:pPr>
      <w:r>
        <w:rPr>
          <w:noProof/>
        </w:rPr>
        <w:t>Poglavje III</w:t>
      </w:r>
    </w:p>
    <w:p>
      <w:pPr>
        <w:pStyle w:val="ChapterTitle"/>
        <w:rPr>
          <w:noProof/>
        </w:rPr>
      </w:pPr>
      <w:r>
        <w:rPr>
          <w:noProof/>
        </w:rPr>
        <w:t>Končne določbe</w:t>
      </w:r>
    </w:p>
    <w:p>
      <w:pPr>
        <w:pStyle w:val="Titrearticle"/>
        <w:rPr>
          <w:noProof/>
        </w:rPr>
      </w:pPr>
      <w:r>
        <w:rPr>
          <w:noProof/>
        </w:rPr>
        <w:t>Člen 17</w:t>
      </w:r>
      <w:r>
        <w:rPr>
          <w:noProof/>
        </w:rPr>
        <w:br/>
        <w:t>Klavzula o pregledu</w:t>
      </w:r>
    </w:p>
    <w:p>
      <w:pPr>
        <w:pStyle w:val="ManualNumPar1"/>
        <w:rPr>
          <w:noProof/>
        </w:rPr>
      </w:pPr>
      <w:r>
        <w:t>1.</w:t>
      </w:r>
      <w:r>
        <w:tab/>
      </w:r>
      <w:r>
        <w:rPr>
          <w:noProof/>
        </w:rPr>
        <w:t>Komisija objavi poročilo o uporabi te uredbe do 31. decembra 2021 in nato vsaka tri leta. V navedenem poročilu se med drugim ocenjeni tudi:</w:t>
      </w:r>
    </w:p>
    <w:p>
      <w:pPr>
        <w:pStyle w:val="Point1letter"/>
        <w:numPr>
          <w:ilvl w:val="3"/>
          <w:numId w:val="6"/>
        </w:numPr>
        <w:rPr>
          <w:noProof/>
        </w:rPr>
      </w:pPr>
      <w:r>
        <w:rPr>
          <w:noProof/>
        </w:rPr>
        <w:t>napredek pri izvajanju te uredbe, kar zadeva oblikovanje tehničnih meril za pregled za okoljsko trajnostne gospodarske dejavnosti;</w:t>
      </w:r>
    </w:p>
    <w:p>
      <w:pPr>
        <w:pStyle w:val="Point1letter"/>
        <w:rPr>
          <w:noProof/>
        </w:rPr>
      </w:pPr>
      <w:r>
        <w:rPr>
          <w:noProof/>
        </w:rPr>
        <w:t xml:space="preserve">morebitna potreba po pregledu meril iz te uredbe za obravnavo gospodarske dejavnosti kot okoljsko trajnostne; </w:t>
      </w:r>
    </w:p>
    <w:p>
      <w:pPr>
        <w:pStyle w:val="Point1letter"/>
        <w:rPr>
          <w:noProof/>
        </w:rPr>
      </w:pPr>
      <w:r>
        <w:rPr>
          <w:noProof/>
        </w:rPr>
        <w:t>primernost razširitve področja uporabe te uredbe na druge cilje glede trajnosti, zlasti socialne cilje;</w:t>
      </w:r>
    </w:p>
    <w:p>
      <w:pPr>
        <w:pStyle w:val="Point1letter"/>
        <w:rPr>
          <w:noProof/>
        </w:rPr>
      </w:pPr>
      <w:r>
        <w:rPr>
          <w:noProof/>
        </w:rPr>
        <w:t>uporaba opredelitve okoljsko trajnostne naložbe v pravu Unije in na ravni držav članic, vključno s primernostjo vzpostavitve mehanizma preverjanja skladnosti z merili iz te uredbe.</w:t>
      </w:r>
    </w:p>
    <w:p>
      <w:pPr>
        <w:pStyle w:val="ManualNumPar1"/>
        <w:rPr>
          <w:noProof/>
        </w:rPr>
      </w:pPr>
      <w:r>
        <w:t>2.</w:t>
      </w:r>
      <w:r>
        <w:tab/>
      </w:r>
      <w:r>
        <w:rPr>
          <w:noProof/>
        </w:rPr>
        <w:t xml:space="preserve">Poročilo se pošlje Evropskemu parlamentu in Svetu. Komisija po potrebi priloži ustrezne predloge. </w:t>
      </w:r>
    </w:p>
    <w:p>
      <w:pPr>
        <w:pStyle w:val="Titrearticle"/>
        <w:rPr>
          <w:noProof/>
        </w:rPr>
      </w:pPr>
      <w:r>
        <w:rPr>
          <w:noProof/>
        </w:rPr>
        <w:t>Člen 18</w:t>
      </w:r>
      <w:r>
        <w:rPr>
          <w:noProof/>
        </w:rPr>
        <w:br/>
        <w:t>Začetek veljavnosti in uporaba</w:t>
      </w:r>
    </w:p>
    <w:p>
      <w:pPr>
        <w:pStyle w:val="ManualNumPar1"/>
        <w:rPr>
          <w:noProof/>
        </w:rPr>
      </w:pPr>
      <w:r>
        <w:t>1.</w:t>
      </w:r>
      <w:r>
        <w:tab/>
      </w:r>
      <w:r>
        <w:rPr>
          <w:noProof/>
        </w:rPr>
        <w:t xml:space="preserve">Ta uredba začne veljati dvajseti dan po objavi v </w:t>
      </w:r>
      <w:r>
        <w:rPr>
          <w:i/>
          <w:noProof/>
        </w:rPr>
        <w:t>Uradnem listu Evropske unije</w:t>
      </w:r>
      <w:r>
        <w:rPr>
          <w:noProof/>
        </w:rPr>
        <w:t>.</w:t>
      </w:r>
    </w:p>
    <w:p>
      <w:pPr>
        <w:pStyle w:val="ManualNumPar1"/>
        <w:rPr>
          <w:noProof/>
        </w:rPr>
      </w:pPr>
      <w:r>
        <w:t>2.</w:t>
      </w:r>
      <w:r>
        <w:tab/>
      </w:r>
      <w:r>
        <w:rPr>
          <w:noProof/>
        </w:rPr>
        <w:t>Členi 3 do 13 te uredbe:</w:t>
      </w:r>
    </w:p>
    <w:p>
      <w:pPr>
        <w:pStyle w:val="Point1letter"/>
        <w:numPr>
          <w:ilvl w:val="3"/>
          <w:numId w:val="46"/>
        </w:numPr>
        <w:rPr>
          <w:noProof/>
        </w:rPr>
      </w:pPr>
      <w:r>
        <w:rPr>
          <w:noProof/>
        </w:rPr>
        <w:t xml:space="preserve">se v zvezi z okoljskimi cilji iz točk (1) in (2) člena 5 uporabljajo od 1. julija 2020; </w:t>
      </w:r>
    </w:p>
    <w:p>
      <w:pPr>
        <w:pStyle w:val="Point1letter"/>
        <w:rPr>
          <w:noProof/>
        </w:rPr>
      </w:pPr>
      <w:r>
        <w:rPr>
          <w:noProof/>
        </w:rPr>
        <w:t>se v zvezi z okoljskimi cilji iz točk (4) in (5) člena 5 uporabljajo od 31. decembra 2021;</w:t>
      </w:r>
    </w:p>
    <w:p>
      <w:pPr>
        <w:pStyle w:val="Point1letter"/>
        <w:rPr>
          <w:noProof/>
        </w:rPr>
      </w:pPr>
      <w:r>
        <w:rPr>
          <w:noProof/>
        </w:rPr>
        <w:t>se v zvezi z okoljskimi cilji iz točk (3) in (6) člena 5 uporabljajo od 31. decembra 2022.</w:t>
      </w:r>
    </w:p>
    <w:p>
      <w:pPr>
        <w:pStyle w:val="Applicationdirecte"/>
        <w:rPr>
          <w:noProof/>
        </w:rPr>
      </w:pPr>
      <w:r>
        <w:rPr>
          <w:noProof/>
        </w:rPr>
        <w:t xml:space="preserve">Ta uredba je v celoti zavezujoča in se neposredno uporablja v vseh državah članicah. </w:t>
      </w:r>
    </w:p>
    <w:p>
      <w:pPr>
        <w:pStyle w:val="Fait"/>
        <w:rPr>
          <w:noProof/>
        </w:rPr>
      </w:pPr>
      <w:r>
        <w:t>V Bruslju,</w:t>
      </w:r>
    </w:p>
    <w:p>
      <w:pPr>
        <w:pStyle w:val="Institutionquisigne"/>
        <w:rPr>
          <w:noProof/>
        </w:rPr>
      </w:pPr>
      <w:r>
        <w:rPr>
          <w:noProof/>
        </w:rPr>
        <w:t>Za Evropski parlament</w:t>
      </w:r>
      <w:r>
        <w:rPr>
          <w:noProof/>
        </w:rPr>
        <w:tab/>
        <w:t>Za Svet</w:t>
      </w:r>
    </w:p>
    <w:p>
      <w:pPr>
        <w:pStyle w:val="Personnequisigne"/>
        <w:rPr>
          <w:noProof/>
        </w:rPr>
      </w:pPr>
      <w:r>
        <w:rPr>
          <w:noProof/>
        </w:rPr>
        <w:t>Predsednik</w:t>
      </w:r>
      <w:r>
        <w:rPr>
          <w:noProof/>
        </w:rPr>
        <w:tab/>
        <w:t>Predsednik</w:t>
      </w:r>
    </w:p>
    <w:p>
      <w:pPr>
        <w:spacing w:before="0" w:after="200" w:line="276" w:lineRule="auto"/>
        <w:jc w:val="left"/>
        <w:rPr>
          <w:b/>
          <w:i/>
          <w:noProof/>
        </w:rPr>
      </w:pPr>
      <w:r>
        <w:rPr>
          <w:noProof/>
        </w:rPr>
        <w:br w:type="page"/>
      </w:r>
    </w:p>
    <w:p>
      <w:pPr>
        <w:pStyle w:val="Fichefinanciretitre"/>
        <w:rPr>
          <w:noProof/>
        </w:rPr>
      </w:pPr>
      <w:r>
        <w:rPr>
          <w:noProof/>
        </w:rPr>
        <w:lastRenderedPageBreak/>
        <w:t xml:space="preserve">OCENA FINANČNIH POSLEDIC ZAKONODAJNEGA PREDLOGA </w:t>
      </w:r>
    </w:p>
    <w:p>
      <w:pPr>
        <w:pStyle w:val="ManualHeading1"/>
        <w:rPr>
          <w:noProof/>
        </w:rPr>
      </w:pPr>
      <w:r>
        <w:rPr>
          <w:noProof/>
        </w:rPr>
        <w:t>1.</w:t>
      </w:r>
      <w:r>
        <w:rPr>
          <w:noProof/>
        </w:rPr>
        <w:tab/>
        <w:t xml:space="preserve">OKVIR PREDLOGA/POBUDE </w:t>
      </w:r>
    </w:p>
    <w:p>
      <w:pPr>
        <w:pStyle w:val="ManualHeading2"/>
        <w:rPr>
          <w:b w:val="0"/>
          <w:noProof/>
        </w:rPr>
      </w:pPr>
      <w:r>
        <w:rPr>
          <w:noProof/>
        </w:rPr>
        <w:tab/>
      </w:r>
      <w:r>
        <w:rPr>
          <w:b w:val="0"/>
          <w:noProof/>
        </w:rPr>
        <w:t>1.1.</w:t>
      </w:r>
      <w:r>
        <w:rPr>
          <w:noProof/>
        </w:rPr>
        <w:tab/>
      </w:r>
      <w:r>
        <w:rPr>
          <w:b w:val="0"/>
          <w:noProof/>
        </w:rPr>
        <w:t xml:space="preserve">Naslov predloga/pobude </w:t>
      </w:r>
    </w:p>
    <w:p>
      <w:pPr>
        <w:pStyle w:val="ManualHeading2"/>
        <w:rPr>
          <w:b w:val="0"/>
          <w:noProof/>
        </w:rPr>
      </w:pPr>
      <w:r>
        <w:rPr>
          <w:noProof/>
        </w:rPr>
        <w:tab/>
      </w:r>
      <w:r>
        <w:rPr>
          <w:b w:val="0"/>
          <w:noProof/>
        </w:rPr>
        <w:t>1.2.</w:t>
      </w:r>
      <w:r>
        <w:rPr>
          <w:noProof/>
        </w:rPr>
        <w:tab/>
      </w:r>
      <w:r>
        <w:rPr>
          <w:b w:val="0"/>
          <w:noProof/>
        </w:rPr>
        <w:t>Zadevna področja</w:t>
      </w:r>
    </w:p>
    <w:p>
      <w:pPr>
        <w:pStyle w:val="ManualHeading2"/>
        <w:rPr>
          <w:b w:val="0"/>
          <w:noProof/>
        </w:rPr>
      </w:pPr>
      <w:r>
        <w:rPr>
          <w:noProof/>
        </w:rPr>
        <w:tab/>
      </w:r>
      <w:r>
        <w:rPr>
          <w:b w:val="0"/>
          <w:noProof/>
        </w:rPr>
        <w:t>1.3.</w:t>
      </w:r>
      <w:r>
        <w:rPr>
          <w:noProof/>
        </w:rPr>
        <w:tab/>
      </w:r>
      <w:r>
        <w:rPr>
          <w:b w:val="0"/>
          <w:noProof/>
        </w:rPr>
        <w:t xml:space="preserve">Vrsta predloga/pobude </w:t>
      </w:r>
    </w:p>
    <w:p>
      <w:pPr>
        <w:pStyle w:val="ManualHeading2"/>
        <w:rPr>
          <w:b w:val="0"/>
          <w:noProof/>
        </w:rPr>
      </w:pPr>
      <w:r>
        <w:rPr>
          <w:noProof/>
        </w:rPr>
        <w:tab/>
      </w:r>
      <w:r>
        <w:rPr>
          <w:b w:val="0"/>
          <w:noProof/>
        </w:rPr>
        <w:t>1.4.</w:t>
      </w:r>
      <w:r>
        <w:rPr>
          <w:noProof/>
        </w:rPr>
        <w:tab/>
      </w:r>
      <w:r>
        <w:rPr>
          <w:b w:val="0"/>
          <w:noProof/>
        </w:rPr>
        <w:t xml:space="preserve">Cilji </w:t>
      </w:r>
    </w:p>
    <w:p>
      <w:pPr>
        <w:pStyle w:val="ManualHeading2"/>
        <w:rPr>
          <w:b w:val="0"/>
          <w:noProof/>
        </w:rPr>
      </w:pPr>
      <w:r>
        <w:rPr>
          <w:noProof/>
        </w:rPr>
        <w:tab/>
      </w:r>
      <w:r>
        <w:rPr>
          <w:b w:val="0"/>
          <w:noProof/>
        </w:rPr>
        <w:t>1.5.</w:t>
      </w:r>
      <w:r>
        <w:rPr>
          <w:noProof/>
        </w:rPr>
        <w:tab/>
      </w:r>
      <w:r>
        <w:rPr>
          <w:b w:val="0"/>
          <w:noProof/>
        </w:rPr>
        <w:t xml:space="preserve">Utemeljitev predloga/pobude </w:t>
      </w:r>
    </w:p>
    <w:p>
      <w:pPr>
        <w:pStyle w:val="ManualHeading2"/>
        <w:rPr>
          <w:b w:val="0"/>
          <w:noProof/>
        </w:rPr>
      </w:pPr>
      <w:r>
        <w:rPr>
          <w:noProof/>
        </w:rPr>
        <w:tab/>
      </w:r>
      <w:r>
        <w:rPr>
          <w:b w:val="0"/>
          <w:noProof/>
        </w:rPr>
        <w:t>1.6.</w:t>
      </w:r>
      <w:r>
        <w:rPr>
          <w:noProof/>
        </w:rPr>
        <w:tab/>
      </w:r>
      <w:r>
        <w:rPr>
          <w:b w:val="0"/>
          <w:noProof/>
        </w:rPr>
        <w:t xml:space="preserve">Trajanje ukrepa in finančnih posledic </w:t>
      </w:r>
    </w:p>
    <w:p>
      <w:pPr>
        <w:pStyle w:val="ManualHeading2"/>
        <w:rPr>
          <w:b w:val="0"/>
          <w:noProof/>
        </w:rPr>
      </w:pPr>
      <w:r>
        <w:rPr>
          <w:noProof/>
        </w:rPr>
        <w:tab/>
      </w:r>
      <w:r>
        <w:rPr>
          <w:b w:val="0"/>
          <w:noProof/>
        </w:rPr>
        <w:t>1.7.</w:t>
      </w:r>
      <w:r>
        <w:rPr>
          <w:noProof/>
        </w:rPr>
        <w:tab/>
      </w:r>
      <w:r>
        <w:rPr>
          <w:b w:val="0"/>
          <w:noProof/>
        </w:rPr>
        <w:t xml:space="preserve">Načrtovani načini upravljanja </w:t>
      </w:r>
    </w:p>
    <w:p>
      <w:pPr>
        <w:pStyle w:val="ManualHeading1"/>
        <w:rPr>
          <w:noProof/>
        </w:rPr>
      </w:pPr>
      <w:r>
        <w:rPr>
          <w:noProof/>
        </w:rPr>
        <w:t>2.</w:t>
      </w:r>
      <w:r>
        <w:rPr>
          <w:noProof/>
        </w:rPr>
        <w:tab/>
        <w:t xml:space="preserve">UKREPI UPRAVLJANJA </w:t>
      </w:r>
    </w:p>
    <w:p>
      <w:pPr>
        <w:pStyle w:val="ManualHeading2"/>
        <w:rPr>
          <w:b w:val="0"/>
          <w:noProof/>
        </w:rPr>
      </w:pPr>
      <w:r>
        <w:rPr>
          <w:noProof/>
        </w:rPr>
        <w:tab/>
      </w:r>
      <w:r>
        <w:rPr>
          <w:b w:val="0"/>
          <w:noProof/>
        </w:rPr>
        <w:t>2.1.</w:t>
      </w:r>
      <w:r>
        <w:rPr>
          <w:noProof/>
        </w:rPr>
        <w:tab/>
      </w:r>
      <w:r>
        <w:rPr>
          <w:b w:val="0"/>
          <w:noProof/>
        </w:rPr>
        <w:t xml:space="preserve">Pravila o spremljanju in poročanju </w:t>
      </w:r>
    </w:p>
    <w:p>
      <w:pPr>
        <w:pStyle w:val="ManualHeading2"/>
        <w:rPr>
          <w:b w:val="0"/>
          <w:noProof/>
        </w:rPr>
      </w:pPr>
      <w:r>
        <w:rPr>
          <w:noProof/>
        </w:rPr>
        <w:tab/>
      </w:r>
      <w:r>
        <w:rPr>
          <w:b w:val="0"/>
          <w:noProof/>
        </w:rPr>
        <w:t>2.2.</w:t>
      </w:r>
      <w:r>
        <w:rPr>
          <w:noProof/>
        </w:rPr>
        <w:tab/>
      </w:r>
      <w:r>
        <w:rPr>
          <w:b w:val="0"/>
          <w:noProof/>
        </w:rPr>
        <w:t xml:space="preserve">Upravljavski in kontrolni sistem </w:t>
      </w:r>
    </w:p>
    <w:p>
      <w:pPr>
        <w:pStyle w:val="ManualHeading2"/>
        <w:rPr>
          <w:b w:val="0"/>
          <w:noProof/>
        </w:rPr>
      </w:pPr>
      <w:r>
        <w:rPr>
          <w:noProof/>
        </w:rPr>
        <w:tab/>
      </w:r>
      <w:r>
        <w:rPr>
          <w:b w:val="0"/>
          <w:noProof/>
        </w:rPr>
        <w:t>2.3.</w:t>
      </w:r>
      <w:r>
        <w:rPr>
          <w:noProof/>
        </w:rPr>
        <w:tab/>
      </w:r>
      <w:r>
        <w:rPr>
          <w:b w:val="0"/>
          <w:noProof/>
        </w:rPr>
        <w:t xml:space="preserve">Ukrepi za preprečevanje goljufij in nepravilnosti </w:t>
      </w:r>
    </w:p>
    <w:p>
      <w:pPr>
        <w:pStyle w:val="ManualHeading1"/>
        <w:rPr>
          <w:noProof/>
        </w:rPr>
      </w:pPr>
      <w:r>
        <w:rPr>
          <w:noProof/>
        </w:rPr>
        <w:t>3.</w:t>
      </w:r>
      <w:r>
        <w:rPr>
          <w:noProof/>
        </w:rPr>
        <w:tab/>
        <w:t xml:space="preserve">OCENA FINANČNIH POSLEDIC PREDLOGA/POBUDE </w:t>
      </w:r>
    </w:p>
    <w:p>
      <w:pPr>
        <w:pStyle w:val="ManualHeading2"/>
        <w:rPr>
          <w:b w:val="0"/>
          <w:noProof/>
        </w:rPr>
      </w:pPr>
      <w:r>
        <w:rPr>
          <w:noProof/>
        </w:rPr>
        <w:tab/>
      </w:r>
      <w:r>
        <w:rPr>
          <w:b w:val="0"/>
          <w:noProof/>
        </w:rPr>
        <w:t>3.1.</w:t>
      </w:r>
      <w:r>
        <w:rPr>
          <w:noProof/>
        </w:rPr>
        <w:tab/>
      </w:r>
      <w:r>
        <w:rPr>
          <w:b w:val="0"/>
          <w:noProof/>
        </w:rPr>
        <w:t xml:space="preserve">Zadevni razdelki večletnega finančnega okvira in odhodkovne proračunske vrstice </w:t>
      </w:r>
    </w:p>
    <w:p>
      <w:pPr>
        <w:pStyle w:val="ManualHeading2"/>
        <w:rPr>
          <w:noProof/>
        </w:rPr>
      </w:pPr>
      <w:r>
        <w:rPr>
          <w:noProof/>
        </w:rPr>
        <w:tab/>
      </w:r>
      <w:r>
        <w:rPr>
          <w:b w:val="0"/>
          <w:noProof/>
        </w:rPr>
        <w:t>3.2.</w:t>
      </w:r>
      <w:r>
        <w:rPr>
          <w:noProof/>
        </w:rPr>
        <w:tab/>
      </w:r>
      <w:r>
        <w:rPr>
          <w:b w:val="0"/>
          <w:noProof/>
        </w:rPr>
        <w:t>Ocenjene posledice za odhodke</w:t>
      </w:r>
      <w:r>
        <w:rPr>
          <w:noProof/>
        </w:rPr>
        <w:t xml:space="preserve"> </w:t>
      </w:r>
    </w:p>
    <w:p>
      <w:pPr>
        <w:pStyle w:val="ManualHeading3"/>
        <w:rPr>
          <w:noProof/>
        </w:rPr>
      </w:pPr>
      <w:r>
        <w:rPr>
          <w:noProof/>
        </w:rPr>
        <w:tab/>
        <w:t>3.2.1.</w:t>
      </w:r>
      <w:r>
        <w:rPr>
          <w:noProof/>
        </w:rPr>
        <w:tab/>
        <w:t xml:space="preserve">Povzetek ocenjenih posledic za odhodke </w:t>
      </w:r>
    </w:p>
    <w:p>
      <w:pPr>
        <w:pStyle w:val="ManualHeading3"/>
        <w:rPr>
          <w:noProof/>
        </w:rPr>
      </w:pPr>
      <w:r>
        <w:rPr>
          <w:noProof/>
        </w:rPr>
        <w:tab/>
        <w:t>3.2.2.</w:t>
      </w:r>
      <w:r>
        <w:rPr>
          <w:noProof/>
        </w:rPr>
        <w:tab/>
        <w:t xml:space="preserve">Ocenjene posledice za odobritve [organa] </w:t>
      </w:r>
    </w:p>
    <w:p>
      <w:pPr>
        <w:pStyle w:val="ManualHeading3"/>
        <w:rPr>
          <w:noProof/>
        </w:rPr>
      </w:pPr>
      <w:r>
        <w:rPr>
          <w:noProof/>
        </w:rPr>
        <w:tab/>
        <w:t>3.2.3.</w:t>
      </w:r>
      <w:r>
        <w:rPr>
          <w:noProof/>
        </w:rPr>
        <w:tab/>
        <w:t>Ocenjene posledice za človeške vire [organa]</w:t>
      </w:r>
    </w:p>
    <w:p>
      <w:pPr>
        <w:pStyle w:val="ManualHeading3"/>
        <w:rPr>
          <w:noProof/>
        </w:rPr>
      </w:pPr>
      <w:r>
        <w:rPr>
          <w:noProof/>
        </w:rPr>
        <w:tab/>
        <w:t>3.2.4.</w:t>
      </w:r>
      <w:r>
        <w:rPr>
          <w:noProof/>
        </w:rPr>
        <w:tab/>
        <w:t>Skladnost z veljavnim večletnim finančnim okvirom</w:t>
      </w:r>
    </w:p>
    <w:p>
      <w:pPr>
        <w:pStyle w:val="ManualHeading3"/>
        <w:rPr>
          <w:noProof/>
        </w:rPr>
      </w:pPr>
      <w:r>
        <w:rPr>
          <w:noProof/>
        </w:rPr>
        <w:tab/>
        <w:t>3.2.5.</w:t>
      </w:r>
      <w:r>
        <w:rPr>
          <w:noProof/>
        </w:rPr>
        <w:tab/>
        <w:t xml:space="preserve">Udeležba tretjih oseb pri financiranju </w:t>
      </w:r>
    </w:p>
    <w:p>
      <w:pPr>
        <w:pStyle w:val="ManualHeading2"/>
        <w:jc w:val="left"/>
        <w:rPr>
          <w:b w:val="0"/>
          <w:noProof/>
        </w:rPr>
      </w:pPr>
      <w:r>
        <w:rPr>
          <w:noProof/>
        </w:rPr>
        <w:tab/>
      </w:r>
      <w:r>
        <w:rPr>
          <w:b w:val="0"/>
          <w:noProof/>
        </w:rPr>
        <w:t>3.3.</w:t>
      </w:r>
      <w:r>
        <w:rPr>
          <w:noProof/>
        </w:rPr>
        <w:tab/>
      </w:r>
      <w:r>
        <w:rPr>
          <w:b w:val="0"/>
          <w:noProof/>
        </w:rPr>
        <w:t>Ocenjene posledice za prihodke</w:t>
      </w:r>
    </w:p>
    <w:p>
      <w:pPr>
        <w:rPr>
          <w:noProof/>
        </w:rPr>
        <w:sectPr>
          <w:pgSz w:w="11907" w:h="16839" w:code="9"/>
          <w:pgMar w:top="794" w:right="907" w:bottom="851" w:left="1361" w:header="510" w:footer="454" w:gutter="0"/>
          <w:cols w:space="720"/>
          <w:docGrid w:linePitch="326"/>
        </w:sectPr>
      </w:pPr>
    </w:p>
    <w:p>
      <w:pPr>
        <w:jc w:val="center"/>
        <w:rPr>
          <w:b/>
          <w:noProof/>
          <w:u w:val="single"/>
        </w:rPr>
      </w:pPr>
    </w:p>
    <w:p>
      <w:pPr>
        <w:pStyle w:val="ManualHeading1"/>
        <w:rPr>
          <w:bCs/>
          <w:noProof/>
          <w:szCs w:val="24"/>
        </w:rPr>
      </w:pPr>
      <w:r>
        <w:t>1.</w:t>
      </w:r>
      <w:r>
        <w:tab/>
      </w:r>
      <w:r>
        <w:rPr>
          <w:noProof/>
        </w:rPr>
        <w:t xml:space="preserve">OKVIR PREDLOGA/POBUDE </w:t>
      </w:r>
    </w:p>
    <w:p>
      <w:pPr>
        <w:pStyle w:val="ManualHeading2"/>
        <w:rPr>
          <w:bCs/>
          <w:noProof/>
          <w:szCs w:val="24"/>
        </w:rPr>
      </w:pPr>
      <w:r>
        <w:t>1.1.</w:t>
      </w:r>
      <w:r>
        <w:tab/>
      </w:r>
      <w:r>
        <w:rPr>
          <w:noProof/>
        </w:rPr>
        <w:t xml:space="preserve">Naslov predloga/pobude </w:t>
      </w:r>
    </w:p>
    <w:p>
      <w:pPr>
        <w:pStyle w:val="Text1"/>
        <w:pBdr>
          <w:top w:val="single" w:sz="4" w:space="1" w:color="auto"/>
          <w:left w:val="single" w:sz="4" w:space="4" w:color="auto"/>
          <w:bottom w:val="single" w:sz="4" w:space="0" w:color="auto"/>
          <w:right w:val="single" w:sz="4" w:space="4" w:color="auto"/>
        </w:pBdr>
        <w:rPr>
          <w:noProof/>
        </w:rPr>
      </w:pPr>
      <w:r>
        <w:rPr>
          <w:noProof/>
        </w:rPr>
        <w:t>Predlog uredbe Evropskega parlamenta in Sveta o vzpostavitvi okvira za spodbujanje trajnostnih naložb</w:t>
      </w:r>
    </w:p>
    <w:p>
      <w:pPr>
        <w:pStyle w:val="ManualHeading2"/>
        <w:rPr>
          <w:bCs/>
          <w:noProof/>
          <w:szCs w:val="24"/>
        </w:rPr>
      </w:pPr>
      <w:r>
        <w:t>1.2.</w:t>
      </w:r>
      <w:r>
        <w:tab/>
      </w:r>
      <w:r>
        <w:rPr>
          <w:noProof/>
        </w:rPr>
        <w:t>Zadevna področja</w:t>
      </w:r>
    </w:p>
    <w:p>
      <w:pPr>
        <w:pStyle w:val="Text1"/>
        <w:pBdr>
          <w:top w:val="single" w:sz="4" w:space="1" w:color="auto"/>
          <w:left w:val="single" w:sz="4" w:space="4" w:color="auto"/>
          <w:bottom w:val="single" w:sz="4" w:space="1" w:color="auto"/>
          <w:right w:val="single" w:sz="4" w:space="4" w:color="auto"/>
        </w:pBdr>
        <w:rPr>
          <w:noProof/>
        </w:rPr>
      </w:pPr>
      <w:r>
        <w:rPr>
          <w:noProof/>
        </w:rPr>
        <w:t>Področje: Finančna stabilnost, finančne storitve in unija kapitalskih trgov</w:t>
      </w:r>
    </w:p>
    <w:p>
      <w:pPr>
        <w:pStyle w:val="Text1"/>
        <w:pBdr>
          <w:top w:val="single" w:sz="4" w:space="1" w:color="auto"/>
          <w:left w:val="single" w:sz="4" w:space="4" w:color="auto"/>
          <w:bottom w:val="single" w:sz="4" w:space="1" w:color="auto"/>
          <w:right w:val="single" w:sz="4" w:space="4" w:color="auto"/>
        </w:pBdr>
        <w:tabs>
          <w:tab w:val="left" w:pos="2580"/>
        </w:tabs>
        <w:rPr>
          <w:noProof/>
        </w:rPr>
      </w:pPr>
      <w:r>
        <w:rPr>
          <w:noProof/>
        </w:rPr>
        <w:t>Dejavnost: Financiranje trajnostne rasti</w:t>
      </w:r>
    </w:p>
    <w:p>
      <w:pPr>
        <w:pStyle w:val="ManualHeading2"/>
        <w:rPr>
          <w:bCs/>
          <w:noProof/>
          <w:szCs w:val="24"/>
        </w:rPr>
      </w:pPr>
      <w:r>
        <w:t>1.3.</w:t>
      </w:r>
      <w:r>
        <w:tab/>
      </w:r>
      <w:r>
        <w:rPr>
          <w:noProof/>
        </w:rPr>
        <w:t xml:space="preserve">Vrsta predloga/pobude </w:t>
      </w:r>
    </w:p>
    <w:p>
      <w:pPr>
        <w:pStyle w:val="Text1"/>
        <w:rPr>
          <w:b/>
          <w:noProof/>
        </w:rPr>
      </w:pPr>
      <w:r>
        <w:rPr>
          <w:noProof/>
          <w:sz w:val="22"/>
        </w:rPr>
        <w:sym w:font="Wingdings" w:char="F0FE"/>
      </w:r>
      <w:r>
        <w:rPr>
          <w:b/>
          <w:i/>
          <w:noProof/>
          <w:sz w:val="22"/>
        </w:rPr>
        <w:t xml:space="preserve"> </w:t>
      </w:r>
      <w:r>
        <w:rPr>
          <w:noProof/>
        </w:rPr>
        <w:t xml:space="preserve">Predlog/pobuda se nanaša na </w:t>
      </w:r>
      <w:r>
        <w:rPr>
          <w:b/>
          <w:noProof/>
        </w:rPr>
        <w:t xml:space="preserve">nov ukrep. </w:t>
      </w:r>
    </w:p>
    <w:p>
      <w:pPr>
        <w:pStyle w:val="Text1"/>
        <w:rPr>
          <w:noProof/>
          <w:sz w:val="22"/>
        </w:rPr>
      </w:pPr>
      <w:r>
        <w:rPr>
          <w:noProof/>
        </w:rPr>
        <w:sym w:font="Wingdings" w:char="F0A8"/>
      </w:r>
      <w:r>
        <w:rPr>
          <w:i/>
          <w:noProof/>
        </w:rPr>
        <w:t xml:space="preserve"> </w:t>
      </w:r>
      <w:r>
        <w:rPr>
          <w:noProof/>
        </w:rPr>
        <w:t xml:space="preserve">Predlog/pobuda se nanaša na </w:t>
      </w:r>
      <w:r>
        <w:rPr>
          <w:b/>
          <w:noProof/>
        </w:rPr>
        <w:t>nov ukrep na podlagi pilotnega projekta/pripravljalnega ukrepa</w:t>
      </w:r>
      <w:r>
        <w:rPr>
          <w:rStyle w:val="FootnoteReference"/>
          <w:b/>
          <w:noProof/>
        </w:rPr>
        <w:footnoteReference w:id="56"/>
      </w:r>
      <w:r>
        <w:rPr>
          <w:noProof/>
        </w:rPr>
        <w:t>.</w:t>
      </w:r>
      <w:r>
        <w:rPr>
          <w:noProof/>
          <w:sz w:val="22"/>
        </w:rPr>
        <w:t xml:space="preserve"> </w:t>
      </w:r>
    </w:p>
    <w:p>
      <w:pPr>
        <w:pStyle w:val="Text1"/>
        <w:rPr>
          <w:noProof/>
        </w:rPr>
      </w:pPr>
      <w:r>
        <w:rPr>
          <w:noProof/>
        </w:rPr>
        <w:sym w:font="Wingdings" w:char="F0A8"/>
      </w:r>
      <w:r>
        <w:rPr>
          <w:i/>
          <w:noProof/>
        </w:rPr>
        <w:t xml:space="preserve"> </w:t>
      </w:r>
      <w:r>
        <w:rPr>
          <w:noProof/>
        </w:rPr>
        <w:t xml:space="preserve">Predlog/pobuda se nanaša na </w:t>
      </w:r>
      <w:r>
        <w:rPr>
          <w:b/>
          <w:noProof/>
        </w:rPr>
        <w:t>podaljšanje obstoječega ukrepa</w:t>
      </w:r>
      <w:r>
        <w:rPr>
          <w:noProof/>
        </w:rPr>
        <w:t xml:space="preserve">. </w:t>
      </w:r>
    </w:p>
    <w:p>
      <w:pPr>
        <w:pStyle w:val="Text1"/>
        <w:rPr>
          <w:noProof/>
        </w:rPr>
      </w:pPr>
      <w:r>
        <w:rPr>
          <w:noProof/>
        </w:rPr>
        <w:sym w:font="Wingdings" w:char="F0A8"/>
      </w:r>
      <w:r>
        <w:rPr>
          <w:i/>
          <w:noProof/>
        </w:rPr>
        <w:t xml:space="preserve"> </w:t>
      </w:r>
      <w:r>
        <w:rPr>
          <w:noProof/>
        </w:rPr>
        <w:t xml:space="preserve">Predlog/pobuda se nanaša na </w:t>
      </w:r>
      <w:r>
        <w:rPr>
          <w:b/>
          <w:noProof/>
        </w:rPr>
        <w:t>ukrep, preusmerjen v nov ukrep</w:t>
      </w:r>
      <w:r>
        <w:rPr>
          <w:noProof/>
        </w:rPr>
        <w:t xml:space="preserve">. </w:t>
      </w:r>
    </w:p>
    <w:p>
      <w:pPr>
        <w:pStyle w:val="ManualHeading2"/>
        <w:rPr>
          <w:bCs/>
          <w:noProof/>
          <w:szCs w:val="24"/>
        </w:rPr>
      </w:pPr>
      <w:r>
        <w:t>1.4.</w:t>
      </w:r>
      <w:r>
        <w:tab/>
      </w:r>
      <w:r>
        <w:rPr>
          <w:noProof/>
        </w:rPr>
        <w:t>Cilji</w:t>
      </w:r>
    </w:p>
    <w:p>
      <w:pPr>
        <w:pStyle w:val="ManualHeading3"/>
        <w:rPr>
          <w:bCs/>
          <w:noProof/>
          <w:szCs w:val="24"/>
        </w:rPr>
      </w:pPr>
      <w:r>
        <w:t>1.4.1.</w:t>
      </w:r>
      <w:r>
        <w:tab/>
      </w:r>
      <w:r>
        <w:rPr>
          <w:noProof/>
        </w:rPr>
        <w:t xml:space="preserve">Večletni strateški cilji Komisije, ki naj bi bili doseženi s predlogom/pobudo </w:t>
      </w:r>
    </w:p>
    <w:p>
      <w:pPr>
        <w:pStyle w:val="Text1"/>
        <w:pBdr>
          <w:top w:val="single" w:sz="4" w:space="1" w:color="auto"/>
          <w:left w:val="single" w:sz="4" w:space="4" w:color="auto"/>
          <w:bottom w:val="single" w:sz="4" w:space="1" w:color="auto"/>
          <w:right w:val="single" w:sz="4" w:space="4" w:color="auto"/>
        </w:pBdr>
        <w:rPr>
          <w:noProof/>
        </w:rPr>
      </w:pPr>
      <w:r>
        <w:rPr>
          <w:noProof/>
        </w:rPr>
        <w:t>Prispevati k bolj vključujočemu in inovativnemu notranjemu trgu za trajnostne finančne storitve ob hkratnem zagotavljanju visoke ravni varstva potrošnikov/vlagateljev in finančne stabilnosti.</w:t>
      </w:r>
    </w:p>
    <w:p>
      <w:pPr>
        <w:pStyle w:val="ManualHeading3"/>
        <w:rPr>
          <w:bCs/>
          <w:noProof/>
          <w:szCs w:val="24"/>
        </w:rPr>
      </w:pPr>
      <w:r>
        <w:t>1.4.2.</w:t>
      </w:r>
      <w:r>
        <w:tab/>
      </w:r>
      <w:r>
        <w:rPr>
          <w:noProof/>
        </w:rPr>
        <w:t xml:space="preserve">Specifični cilji </w:t>
      </w:r>
    </w:p>
    <w:p>
      <w:pPr>
        <w:pStyle w:val="Text1"/>
        <w:pBdr>
          <w:top w:val="single" w:sz="4" w:space="1" w:color="auto"/>
          <w:left w:val="single" w:sz="4" w:space="4" w:color="auto"/>
          <w:bottom w:val="single" w:sz="4" w:space="1" w:color="auto"/>
          <w:right w:val="single" w:sz="4" w:space="4" w:color="auto"/>
        </w:pBdr>
        <w:rPr>
          <w:rFonts w:eastAsiaTheme="minorEastAsia"/>
          <w:noProof/>
          <w:szCs w:val="24"/>
        </w:rPr>
      </w:pPr>
      <w:r>
        <w:rPr>
          <w:noProof/>
          <w:color w:val="000000"/>
        </w:rPr>
        <w:t xml:space="preserve">V letu 2015 so bili sprejeti prelomni mednarodni sporazumi s sprejetjem </w:t>
      </w:r>
      <w:hyperlink r:id="rId18">
        <w:r>
          <w:rPr>
            <w:noProof/>
            <w:color w:val="0000FF"/>
            <w:u w:val="single"/>
          </w:rPr>
          <w:t>ciljev trajnostnega razvoja</w:t>
        </w:r>
      </w:hyperlink>
      <w:r>
        <w:rPr>
          <w:noProof/>
          <w:color w:val="000000"/>
        </w:rPr>
        <w:t xml:space="preserve"> in </w:t>
      </w:r>
      <w:hyperlink r:id="rId19">
        <w:r>
          <w:rPr>
            <w:noProof/>
            <w:color w:val="0000FF"/>
            <w:u w:val="single"/>
          </w:rPr>
          <w:t>Pariškega sporazuma o podnebnih spremembah (COP21).</w:t>
        </w:r>
      </w:hyperlink>
      <w:r>
        <w:rPr>
          <w:noProof/>
          <w:color w:val="000000"/>
        </w:rPr>
        <w:t xml:space="preserve"> </w:t>
      </w:r>
      <w:r>
        <w:rPr>
          <w:noProof/>
        </w:rPr>
        <w:t>Te zaveze in čedalje večje zavedanje o nujnosti reševanja vprašanja podnebnih sprememb, drugih vrst degradacije okolja in tveganj glede trajnosti terjajo učinkovito strategijo EU za financiranje trajnostne rasti.</w:t>
      </w:r>
    </w:p>
    <w:p>
      <w:pPr>
        <w:pStyle w:val="Text1"/>
        <w:pBdr>
          <w:top w:val="single" w:sz="4" w:space="1" w:color="auto"/>
          <w:left w:val="single" w:sz="4" w:space="4" w:color="auto"/>
          <w:bottom w:val="single" w:sz="4" w:space="1" w:color="auto"/>
          <w:right w:val="single" w:sz="4" w:space="4" w:color="auto"/>
        </w:pBdr>
        <w:rPr>
          <w:noProof/>
          <w:szCs w:val="24"/>
          <w:u w:val="single"/>
        </w:rPr>
      </w:pPr>
      <w:r>
        <w:rPr>
          <w:noProof/>
        </w:rPr>
        <w:t xml:space="preserve">V </w:t>
      </w:r>
      <w:hyperlink r:id="rId20">
        <w:r>
          <w:rPr>
            <w:rFonts w:eastAsiaTheme="minorEastAsia"/>
            <w:noProof/>
            <w:color w:val="0000FF"/>
            <w:spacing w:val="-2"/>
            <w:u w:val="single"/>
          </w:rPr>
          <w:t>Sporočilu Komisije o pospešitvi izvajanja unije kapitalskih trgov</w:t>
        </w:r>
      </w:hyperlink>
      <w:r>
        <w:rPr>
          <w:noProof/>
        </w:rPr>
        <w:t xml:space="preserve"> iz septembra 2016 je bila napovedana ustanovitev strokovne skupine na visoki ravni za financiranje trajnostne rasti za določitev splošne strategije EU na tem področju. Kapitalski trgi in zasebni viri bodo igrali pomembno vlogo pri spodbujanju naložb v trajnostne tehnologije, aplikacije in infrastrukturo ter pri pomoči Evropski uniji pri uresničevanju njenih podnebnih in okoljskih ciljev. </w:t>
      </w:r>
    </w:p>
    <w:p>
      <w:pPr>
        <w:pStyle w:val="Text1"/>
        <w:pBdr>
          <w:top w:val="single" w:sz="4" w:space="1" w:color="auto"/>
          <w:left w:val="single" w:sz="4" w:space="4" w:color="auto"/>
          <w:bottom w:val="single" w:sz="4" w:space="1" w:color="auto"/>
          <w:right w:val="single" w:sz="4" w:space="4" w:color="auto"/>
        </w:pBdr>
        <w:rPr>
          <w:noProof/>
          <w:szCs w:val="24"/>
        </w:rPr>
      </w:pPr>
      <w:r>
        <w:rPr>
          <w:noProof/>
        </w:rPr>
        <w:t xml:space="preserve">Decembra 2016 je Komisija ustanovila </w:t>
      </w:r>
      <w:hyperlink r:id="rId21">
        <w:r>
          <w:rPr>
            <w:rStyle w:val="Hyperlink"/>
            <w:noProof/>
          </w:rPr>
          <w:t>strokovno skupino na visoki ravni za financiranje trajnostne rasti</w:t>
        </w:r>
      </w:hyperlink>
      <w:r>
        <w:rPr>
          <w:noProof/>
        </w:rPr>
        <w:t xml:space="preserve">, ki jo sestavlja dvajset visoko usposobljenih vodilnih strokovnjakov iz civilne družbe, poslovne skupnosti in drugih nejavnih institucij. Januarja 2018 je skupina Komisiji predložila sklop političnih priporočil, katerih cilj je: (a) poenostaviti tok javnega in zasebnega kapitala v trajnostne naložbe ter (b) zmanjšati morebitna tveganja za finančni sistem EU zaradi izpostavljenosti sredstvom z visokimi emisijami ogljika. Poseben poudarek je bil na okoljski trajnosti, upoštevane pa so bile tudi druge razsežnosti trajnosti, kot so socialna in vladna tveganja, kadar je to ustrezno. </w:t>
      </w:r>
    </w:p>
    <w:p>
      <w:pPr>
        <w:pStyle w:val="Text1"/>
        <w:pBdr>
          <w:top w:val="single" w:sz="4" w:space="1" w:color="auto"/>
          <w:left w:val="single" w:sz="4" w:space="4" w:color="auto"/>
          <w:bottom w:val="single" w:sz="4" w:space="1" w:color="auto"/>
          <w:right w:val="single" w:sz="4" w:space="4" w:color="auto"/>
        </w:pBdr>
        <w:rPr>
          <w:noProof/>
          <w:szCs w:val="24"/>
        </w:rPr>
      </w:pPr>
      <w:r>
        <w:rPr>
          <w:noProof/>
        </w:rPr>
        <w:t xml:space="preserve">V </w:t>
      </w:r>
      <w:hyperlink r:id="rId22">
        <w:r>
          <w:rPr>
            <w:rStyle w:val="Hyperlink"/>
            <w:noProof/>
          </w:rPr>
          <w:t>sporočilu o vmesnem pregledu unije kapitalskih trgov</w:t>
        </w:r>
      </w:hyperlink>
      <w:r>
        <w:rPr>
          <w:noProof/>
        </w:rPr>
        <w:t xml:space="preserve"> iz junija 2017 se je Komisija zavezala, da se bo „</w:t>
      </w:r>
      <w:r>
        <w:rPr>
          <w:i/>
          <w:noProof/>
        </w:rPr>
        <w:t>do prvega četrtletja 2018 odločila o konkretnih ukrepih, ki jih bo sprejela na podlagi priporočil strokovne skupine na visoki ravni za financiranje trajnostnega razvoja</w:t>
      </w:r>
      <w:r>
        <w:rPr>
          <w:noProof/>
        </w:rPr>
        <w:t xml:space="preserve">“. V ta namen so v akcijskem načrtu Komisije določeni cilji njene politike glede financiranja trajnostne rasti, opredeljene prednostne naloge in določeni koraki, ki jih bo sprejela, ter s tem povezan časovni razpored. </w:t>
      </w:r>
    </w:p>
    <w:p>
      <w:pPr>
        <w:pStyle w:val="Text1"/>
        <w:pBdr>
          <w:top w:val="single" w:sz="4" w:space="1" w:color="auto"/>
          <w:left w:val="single" w:sz="4" w:space="4" w:color="auto"/>
          <w:bottom w:val="single" w:sz="4" w:space="1" w:color="auto"/>
          <w:right w:val="single" w:sz="4" w:space="4" w:color="auto"/>
        </w:pBdr>
        <w:rPr>
          <w:noProof/>
          <w:szCs w:val="24"/>
        </w:rPr>
      </w:pPr>
      <w:hyperlink r:id="rId23">
        <w:r>
          <w:rPr>
            <w:rStyle w:val="Hyperlink"/>
            <w:noProof/>
          </w:rPr>
          <w:t>Akcijski načrt Komisije o financiranju trajnostne rasti</w:t>
        </w:r>
      </w:hyperlink>
      <w:r>
        <w:rPr>
          <w:noProof/>
        </w:rPr>
        <w:t xml:space="preserve"> z 8. marca 2018 spremljajo naslednji ukrepi:</w:t>
      </w:r>
    </w:p>
    <w:p>
      <w:pPr>
        <w:pStyle w:val="Text1"/>
        <w:pBdr>
          <w:top w:val="single" w:sz="4" w:space="1" w:color="auto"/>
          <w:left w:val="single" w:sz="4" w:space="4" w:color="auto"/>
          <w:bottom w:val="single" w:sz="4" w:space="1" w:color="auto"/>
          <w:right w:val="single" w:sz="4" w:space="4" w:color="auto"/>
        </w:pBdr>
        <w:rPr>
          <w:noProof/>
          <w:szCs w:val="24"/>
        </w:rPr>
      </w:pPr>
      <w:r>
        <w:rPr>
          <w:noProof/>
        </w:rPr>
        <w:t xml:space="preserve">• vzpostavitev sistema klasifikacije EU za trajnostne dejavnosti (ki se začne z dejavnostmi, povezanimi s podnebjem); </w:t>
      </w:r>
    </w:p>
    <w:p>
      <w:pPr>
        <w:pStyle w:val="Text1"/>
        <w:pBdr>
          <w:top w:val="single" w:sz="4" w:space="1" w:color="auto"/>
          <w:left w:val="single" w:sz="4" w:space="4" w:color="auto"/>
          <w:bottom w:val="single" w:sz="4" w:space="1" w:color="auto"/>
          <w:right w:val="single" w:sz="4" w:space="4" w:color="auto"/>
        </w:pBdr>
        <w:rPr>
          <w:noProof/>
          <w:szCs w:val="24"/>
        </w:rPr>
      </w:pPr>
      <w:r>
        <w:rPr>
          <w:noProof/>
        </w:rPr>
        <w:t>• priprava standardov in znakov za zelene finančne produkte;</w:t>
      </w:r>
    </w:p>
    <w:p>
      <w:pPr>
        <w:pStyle w:val="Text1"/>
        <w:pBdr>
          <w:top w:val="single" w:sz="4" w:space="1" w:color="auto"/>
          <w:left w:val="single" w:sz="4" w:space="4" w:color="auto"/>
          <w:bottom w:val="single" w:sz="4" w:space="1" w:color="auto"/>
          <w:right w:val="single" w:sz="4" w:space="4" w:color="auto"/>
        </w:pBdr>
        <w:rPr>
          <w:noProof/>
          <w:szCs w:val="24"/>
        </w:rPr>
      </w:pPr>
      <w:r>
        <w:rPr>
          <w:noProof/>
        </w:rPr>
        <w:t>• boljše vključevanje trajnosti v naložbene politike institucionalnih vlagateljev in upravljavcev premoženja;</w:t>
      </w:r>
    </w:p>
    <w:p>
      <w:pPr>
        <w:pStyle w:val="Text1"/>
        <w:pBdr>
          <w:top w:val="single" w:sz="4" w:space="1" w:color="auto"/>
          <w:left w:val="single" w:sz="4" w:space="4" w:color="auto"/>
          <w:bottom w:val="single" w:sz="4" w:space="1" w:color="auto"/>
          <w:right w:val="single" w:sz="4" w:space="4" w:color="auto"/>
        </w:pBdr>
        <w:rPr>
          <w:noProof/>
          <w:szCs w:val="24"/>
        </w:rPr>
      </w:pPr>
      <w:r>
        <w:rPr>
          <w:noProof/>
        </w:rPr>
        <w:t>• razvoj referenčnih vrednosti za trajnost;</w:t>
      </w:r>
    </w:p>
    <w:p>
      <w:pPr>
        <w:pStyle w:val="Text1"/>
        <w:pBdr>
          <w:top w:val="single" w:sz="4" w:space="1" w:color="auto"/>
          <w:left w:val="single" w:sz="4" w:space="4" w:color="auto"/>
          <w:bottom w:val="single" w:sz="4" w:space="1" w:color="auto"/>
          <w:right w:val="single" w:sz="4" w:space="4" w:color="auto"/>
        </w:pBdr>
        <w:rPr>
          <w:noProof/>
          <w:szCs w:val="24"/>
        </w:rPr>
      </w:pPr>
      <w:r>
        <w:rPr>
          <w:noProof/>
        </w:rPr>
        <w:t>• boljše vključevanje trajnosti v bonitetne ocene in raziskave;</w:t>
      </w:r>
    </w:p>
    <w:p>
      <w:pPr>
        <w:pStyle w:val="Text1"/>
        <w:pBdr>
          <w:top w:val="single" w:sz="4" w:space="1" w:color="auto"/>
          <w:left w:val="single" w:sz="4" w:space="4" w:color="auto"/>
          <w:bottom w:val="single" w:sz="4" w:space="1" w:color="auto"/>
          <w:right w:val="single" w:sz="4" w:space="4" w:color="auto"/>
        </w:pBdr>
        <w:rPr>
          <w:noProof/>
          <w:szCs w:val="24"/>
        </w:rPr>
      </w:pPr>
      <w:r>
        <w:rPr>
          <w:noProof/>
        </w:rPr>
        <w:t>• izboljšanje razkritij;</w:t>
      </w:r>
    </w:p>
    <w:p>
      <w:pPr>
        <w:pStyle w:val="Text1"/>
        <w:pBdr>
          <w:top w:val="single" w:sz="4" w:space="1" w:color="auto"/>
          <w:left w:val="single" w:sz="4" w:space="4" w:color="auto"/>
          <w:bottom w:val="single" w:sz="4" w:space="1" w:color="auto"/>
          <w:right w:val="single" w:sz="4" w:space="4" w:color="auto"/>
        </w:pBdr>
        <w:rPr>
          <w:noProof/>
          <w:szCs w:val="24"/>
        </w:rPr>
      </w:pPr>
      <w:r>
        <w:rPr>
          <w:noProof/>
        </w:rPr>
        <w:t xml:space="preserve">• vključevanje načela trajnosti v bonitetne zahteve; </w:t>
      </w:r>
    </w:p>
    <w:p>
      <w:pPr>
        <w:pStyle w:val="Text1"/>
        <w:pBdr>
          <w:top w:val="single" w:sz="4" w:space="1" w:color="auto"/>
          <w:left w:val="single" w:sz="4" w:space="4" w:color="auto"/>
          <w:bottom w:val="single" w:sz="4" w:space="1" w:color="auto"/>
          <w:right w:val="single" w:sz="4" w:space="4" w:color="auto"/>
        </w:pBdr>
        <w:rPr>
          <w:noProof/>
          <w:szCs w:val="24"/>
        </w:rPr>
      </w:pPr>
      <w:r>
        <w:rPr>
          <w:noProof/>
        </w:rPr>
        <w:t>• spodbujanje trajnostnega upravljanja podjetij in zmanjševanje kratkoročne naravnanosti kapitalskih trgov;</w:t>
      </w:r>
    </w:p>
    <w:p>
      <w:pPr>
        <w:pStyle w:val="Text1"/>
        <w:pBdr>
          <w:top w:val="single" w:sz="4" w:space="1" w:color="auto"/>
          <w:left w:val="single" w:sz="4" w:space="4" w:color="auto"/>
          <w:bottom w:val="single" w:sz="4" w:space="1" w:color="auto"/>
          <w:right w:val="single" w:sz="4" w:space="4" w:color="auto"/>
        </w:pBdr>
        <w:rPr>
          <w:noProof/>
          <w:szCs w:val="24"/>
        </w:rPr>
      </w:pPr>
      <w:r>
        <w:rPr>
          <w:noProof/>
        </w:rPr>
        <w:t xml:space="preserve">• boljše vključevanje trajnosti v procese nadzora (npr. evropski nadzorni organi bi morali pripraviti smernice za učinkovito upoštevanje trajnostnih vidikov v zadevni zakonodaji EU o finančnih storitvah ter pomagati pri opredelitvi obstoječih vrzeli; spodbujati približevanje izvajanja vidikov trajnostne rasti v pravu EU; prepoznavati in sporočati tveganja, ki jih okoljski, družbeni in upravljavski dejavniki pomenijo za finančno stabilnost – npr. z razvojem skupne metodologije EU za analize ustreznih scenarijev, ki bi se lahko pozneje razvila v stresne teste za podnebje/okolje); </w:t>
      </w:r>
    </w:p>
    <w:p>
      <w:pPr>
        <w:pStyle w:val="Text1"/>
        <w:pBdr>
          <w:top w:val="single" w:sz="4" w:space="1" w:color="auto"/>
          <w:left w:val="single" w:sz="4" w:space="4" w:color="auto"/>
          <w:bottom w:val="single" w:sz="4" w:space="1" w:color="auto"/>
          <w:right w:val="single" w:sz="4" w:space="4" w:color="auto"/>
        </w:pBdr>
        <w:rPr>
          <w:noProof/>
          <w:szCs w:val="24"/>
        </w:rPr>
      </w:pPr>
      <w:r>
        <w:rPr>
          <w:noProof/>
        </w:rPr>
        <w:t xml:space="preserve">• oblikovanje javno-zasebne platforme (organi javnega sektorja, kot so evropski nadzorni organi, Evropska agencija za okolje, Evropska investicijska banka in Eurostat), ki bi spremljala ključne spremembe, da se zagotovi postopno povečanje in prilagodljivost taksonomije EU za trajnostne dejavnosti. Sčasoma bi lahko opravljala tudi druge naloge, ki so potrebne za doseganje ciljev akcijskega načrta. </w:t>
      </w:r>
    </w:p>
    <w:p>
      <w:pPr>
        <w:pStyle w:val="Text1"/>
        <w:pBdr>
          <w:top w:val="single" w:sz="4" w:space="1" w:color="auto"/>
          <w:left w:val="single" w:sz="4" w:space="4" w:color="auto"/>
          <w:bottom w:val="single" w:sz="4" w:space="1" w:color="auto"/>
          <w:right w:val="single" w:sz="4" w:space="4" w:color="auto"/>
        </w:pBdr>
        <w:rPr>
          <w:noProof/>
          <w:szCs w:val="24"/>
        </w:rPr>
      </w:pPr>
      <w:r>
        <w:rPr>
          <w:noProof/>
        </w:rPr>
        <w:t xml:space="preserve">Predlog </w:t>
      </w:r>
      <w:r>
        <w:rPr>
          <w:b/>
          <w:noProof/>
        </w:rPr>
        <w:t>uredbe o vzpostavitvi okvira za spodbujanje trajnostnih naložb</w:t>
      </w:r>
      <w:r>
        <w:rPr>
          <w:noProof/>
        </w:rPr>
        <w:t xml:space="preserve"> se osredotoča na vzpostavitev skupnega jezika za financiranje trajnostne rasti, npr. z enotnim sistemom klasifikacije EU (ali t. i. taksonomijo). Taksonomija bo osnova za vse zgoraj navedene ukrepe in to delo bo močno vplivalo na navedene dejavnosti. </w:t>
      </w:r>
    </w:p>
    <w:p>
      <w:pPr>
        <w:pStyle w:val="Text1"/>
        <w:pBdr>
          <w:top w:val="single" w:sz="4" w:space="1" w:color="auto"/>
          <w:left w:val="single" w:sz="4" w:space="4" w:color="auto"/>
          <w:bottom w:val="single" w:sz="4" w:space="1" w:color="auto"/>
          <w:right w:val="single" w:sz="4" w:space="4" w:color="auto"/>
        </w:pBdr>
        <w:rPr>
          <w:noProof/>
        </w:rPr>
      </w:pPr>
      <w:r>
        <w:rPr>
          <w:noProof/>
        </w:rPr>
        <w:t xml:space="preserve">Predlagana </w:t>
      </w:r>
      <w:r>
        <w:rPr>
          <w:b/>
          <w:bCs/>
          <w:noProof/>
        </w:rPr>
        <w:t>platforma o financiranju trajnostne rasti</w:t>
      </w:r>
      <w:r>
        <w:rPr>
          <w:noProof/>
        </w:rPr>
        <w:t xml:space="preserve"> bo: i) posodabljala in postopoma razširila taksonomijo EU za trajnostne dejavnosti; ii) izvajala druge naloge, ki so potrebne za doseganje ciljev akcijskega načrta za financiranje trajnostne rasti; ter iii) redno spremljala kapitalske tokove v naložbe v trajnostno rast in poročala o njih. Ključni izvajalci teh dejavnosti so:</w:t>
      </w:r>
    </w:p>
    <w:p>
      <w:pPr>
        <w:pStyle w:val="Text1"/>
        <w:pBdr>
          <w:top w:val="single" w:sz="4" w:space="1" w:color="auto"/>
          <w:left w:val="single" w:sz="4" w:space="4" w:color="auto"/>
          <w:bottom w:val="single" w:sz="4" w:space="1" w:color="auto"/>
          <w:right w:val="single" w:sz="4" w:space="4" w:color="auto"/>
        </w:pBdr>
        <w:rPr>
          <w:noProof/>
        </w:rPr>
      </w:pPr>
      <w:r>
        <w:rPr>
          <w:noProof/>
        </w:rPr>
        <w:t xml:space="preserve">• evropski nadzorni organi: evropski nadzorni organi bodo vključeni v vse zgoraj navedene ciljno usmerjene ukrepe, skladne z njihovi trenutnimi pristojnostmi kot tudi s pristojnostmi, dopolnjenimi v skladu z </w:t>
      </w:r>
      <w:hyperlink r:id="rId24">
        <w:r>
          <w:rPr>
            <w:rStyle w:val="Hyperlink"/>
            <w:noProof/>
          </w:rPr>
          <w:t>zakonodajnim predlogom o evropskih nadzornih organih iz septembra 2017</w:t>
        </w:r>
      </w:hyperlink>
      <w:r>
        <w:rPr>
          <w:noProof/>
        </w:rPr>
        <w:t xml:space="preserve">, na podlagi katerega bi se obseg pristojnosti evropskih nadzornih organov razširil, tako da od njih izrecno zahteva, da v svoje delo vključijo okoljska, socialna in upravljavska tveganja. Opomba: zaradi razširjenih pristojnosti v zakonodajni predlog o evropskih nadzornih organih ni bila vključena zahteva za sredstva. </w:t>
      </w:r>
    </w:p>
    <w:p>
      <w:pPr>
        <w:pStyle w:val="Text1"/>
        <w:pBdr>
          <w:top w:val="single" w:sz="4" w:space="1" w:color="auto"/>
          <w:left w:val="single" w:sz="4" w:space="4" w:color="auto"/>
          <w:bottom w:val="single" w:sz="4" w:space="1" w:color="auto"/>
          <w:right w:val="single" w:sz="4" w:space="4" w:color="auto"/>
        </w:pBdr>
        <w:rPr>
          <w:noProof/>
        </w:rPr>
      </w:pPr>
      <w:r>
        <w:rPr>
          <w:noProof/>
        </w:rPr>
        <w:t>Evropski nadzorni organi bodo imeli ključno vlogo pri razvoju taksonomij EU, da se zagotovi, da jih finančne institucije uporabljajo, da veljajo za finančne produkte ter da so združljive s finančno zakonodajo EU, vključno z bonitetnimi prepisi. Na primer, Evropski bančni organ (EBA) in Evropski organ za zavarovanja in poklicne pokojnine (EIOPA) bosta zagotovila, da bodo taksonomije EU omogočale analizo razlik med tveganji v zvezi s sredstvi/izpostavljenostjo bank in zavarovalnic ter bosta analizirala te razlike in njihovo morebitno vključitev v bonitetne predpise. ESMA in EIOPA bosta prispevali k vključevanju taksonomij EU v pravila, v skladu s katerimi se upravljajo investicijske družbe in pokojninski skladi. ESMA in EBA bosta zlasti zagotovili, da lahko taksonomije EU prispevajo k razvoju standardov za zelene obveznice in drugih finančnih produktov, ki so označeni kot zeleni, ter k razvoju takih standardov in znakov. ESMA bo tudi zagotovila, da taksonomije EU prispevajo k oblikovanju/analizi referenčnih vrednosti za trajnost in bo prispevala k povezovanju taksonomij EU s presojo primernosti finančnih instrumentov in poročanjem pravnih oseb.</w:t>
      </w:r>
    </w:p>
    <w:p>
      <w:pPr>
        <w:pStyle w:val="Text1"/>
        <w:pBdr>
          <w:top w:val="single" w:sz="4" w:space="1" w:color="auto"/>
          <w:left w:val="single" w:sz="4" w:space="4" w:color="auto"/>
          <w:bottom w:val="single" w:sz="4" w:space="1" w:color="auto"/>
          <w:right w:val="single" w:sz="4" w:space="4" w:color="auto"/>
        </w:pBdr>
        <w:rPr>
          <w:noProof/>
        </w:rPr>
      </w:pPr>
      <w:r>
        <w:rPr>
          <w:noProof/>
        </w:rPr>
        <w:t xml:space="preserve">Evropski nadzorni organi, zlasti EBA in EIOPA, bodo imeli pomembno vlogo pri zagotavljanju, da so taksonomije oblikovane tako, da so uporabne za izvedbo analize podnebnih scenarijev in kasneje stresnih testov okolja, ter da bodo prispevale k razvoju metodologij za opravljanje takšnih analiz scenarijev in stresnih testov na podlagi taksonomij EU. </w:t>
      </w:r>
    </w:p>
    <w:p>
      <w:pPr>
        <w:pStyle w:val="Text1"/>
        <w:pBdr>
          <w:top w:val="single" w:sz="4" w:space="1" w:color="auto"/>
          <w:left w:val="single" w:sz="4" w:space="4" w:color="auto"/>
          <w:bottom w:val="single" w:sz="4" w:space="1" w:color="auto"/>
          <w:right w:val="single" w:sz="4" w:space="4" w:color="auto"/>
        </w:pBdr>
        <w:rPr>
          <w:noProof/>
        </w:rPr>
      </w:pPr>
      <w:r>
        <w:rPr>
          <w:noProof/>
        </w:rPr>
        <w:t xml:space="preserve">Evropski nadzorni organi, zlasti ESMA, bodo prispevali k zbiranju in analiziranju tržnih podatkov (vključno s podatki o transakcijah) za opazovalnico za financiranje trajnostne rasti. </w:t>
      </w:r>
    </w:p>
    <w:p>
      <w:pPr>
        <w:pStyle w:val="Text1"/>
        <w:pBdr>
          <w:top w:val="single" w:sz="4" w:space="1" w:color="auto"/>
          <w:left w:val="single" w:sz="4" w:space="4" w:color="auto"/>
          <w:bottom w:val="single" w:sz="4" w:space="1" w:color="auto"/>
          <w:right w:val="single" w:sz="4" w:space="4" w:color="auto"/>
        </w:pBdr>
        <w:rPr>
          <w:noProof/>
        </w:rPr>
      </w:pPr>
      <w:r>
        <w:rPr>
          <w:noProof/>
        </w:rPr>
        <w:t xml:space="preserve">Da bi lahko izpeljali navedene naloge, bi od leta 2020 vsak organ potreboval naslednja nova delovna mesta: eno delovno mesto PU za EBA, eno delovno mesto PU za EIOPA in eno delovno mesto ZU za ESMA. </w:t>
      </w:r>
    </w:p>
    <w:p>
      <w:pPr>
        <w:pStyle w:val="Text1"/>
        <w:pBdr>
          <w:top w:val="single" w:sz="4" w:space="1" w:color="auto"/>
          <w:left w:val="single" w:sz="4" w:space="4" w:color="auto"/>
          <w:bottom w:val="single" w:sz="4" w:space="1" w:color="auto"/>
          <w:right w:val="single" w:sz="4" w:space="4" w:color="auto"/>
        </w:pBdr>
        <w:rPr>
          <w:noProof/>
          <w:szCs w:val="24"/>
        </w:rPr>
      </w:pPr>
      <w:r>
        <w:rPr>
          <w:noProof/>
        </w:rPr>
        <w:t xml:space="preserve">• </w:t>
      </w:r>
      <w:r>
        <w:rPr>
          <w:noProof/>
          <w:u w:val="single"/>
        </w:rPr>
        <w:t>Evropska agencija za okolje (EEA)</w:t>
      </w:r>
      <w:r>
        <w:rPr>
          <w:noProof/>
        </w:rPr>
        <w:t xml:space="preserve">: Nove naloge EEA spadajo v okvir trenutnih pristojnosti iz </w:t>
      </w:r>
      <w:hyperlink r:id="rId25">
        <w:r>
          <w:rPr>
            <w:rStyle w:val="Hyperlink"/>
            <w:noProof/>
          </w:rPr>
          <w:t>ustanovne uredbe EEA</w:t>
        </w:r>
      </w:hyperlink>
      <w:r>
        <w:rPr>
          <w:noProof/>
        </w:rPr>
        <w:t>, obenem pa bodo te naloge dodatne naloge za EEA in zato zahtevajo več virov.</w:t>
      </w:r>
    </w:p>
    <w:p>
      <w:pPr>
        <w:pStyle w:val="Text1"/>
        <w:pBdr>
          <w:top w:val="single" w:sz="4" w:space="1" w:color="auto"/>
          <w:left w:val="single" w:sz="4" w:space="4" w:color="auto"/>
          <w:bottom w:val="single" w:sz="4" w:space="1" w:color="auto"/>
          <w:right w:val="single" w:sz="4" w:space="4" w:color="auto"/>
        </w:pBdr>
        <w:rPr>
          <w:noProof/>
          <w:color w:val="1F497D"/>
        </w:rPr>
      </w:pPr>
      <w:r>
        <w:rPr>
          <w:noProof/>
        </w:rPr>
        <w:t xml:space="preserve">EEA bo v veliki meri vključena v delo v zvezi s financiranjem trajnostne rasti, zlasti pri dejavnostih v zvezi s sistemom klasifikacije EU za trajnostne dejavnosti, standardi in znaki za zelene finančne produkte, ter v izvajanje svetovalne/opazovalne vloge. EEA naj bi zagotovila svoje strokovno znanje z različnih okoljskih področjih za razvoj in vzdrževanje taksonomije EU za vsa vprašanja, povezana s podnebjem in okoljem. Agencija bo prav tako zbirala in zagotavljala podatke o naložbenih potrebah in tokovih v državah članicah EU v okviru opazovalnice za financiranje trajnostne rasti in državam članicam EU svetovala pri razvoju njihovih nizkoogljičnih in trajnostnih naložbenih strategij. EEA bi od leta 2020 potrebovala naslednja nova delovna mesta: eno delovno mesto ZU in eno delovno mesto PU. </w:t>
      </w:r>
    </w:p>
    <w:p>
      <w:pPr>
        <w:pStyle w:val="Text1"/>
        <w:pBdr>
          <w:top w:val="single" w:sz="4" w:space="1" w:color="auto"/>
          <w:left w:val="single" w:sz="4" w:space="4" w:color="auto"/>
          <w:bottom w:val="single" w:sz="4" w:space="1" w:color="auto"/>
          <w:right w:val="single" w:sz="4" w:space="4" w:color="auto"/>
        </w:pBdr>
        <w:rPr>
          <w:noProof/>
        </w:rPr>
      </w:pPr>
      <w:r>
        <w:rPr>
          <w:noProof/>
        </w:rPr>
        <w:t>• Evropska komisija: Komisija bo udeležena pri vseh zgoraj navedenih ciljno usmerjenih ukrepih, zlasti pa pri upravljanju zgoraj omenjene zasebne/javne platforme (npr. organizacija sej za platformo in vse podskupine, poročanje o rezultatih, posvetovanja z zainteresiranimi stranmi, priprava zakonodajnih predlogov, podpiranje opazovalne/svetovalne funkcije, povezovanje z evropskimi nadzornimi organi in EEA, vzdrževanje informacijskega orodja za sodelovanje, povračilo stroškov strokovnjakom in druge naloge sekretariata itd.). Evropska komisija bi potrebovala naslednje osebje: 10 EPDČ (8 AD in 2 AST):</w:t>
      </w:r>
    </w:p>
    <w:p>
      <w:pPr>
        <w:pStyle w:val="Text1"/>
        <w:pBdr>
          <w:top w:val="single" w:sz="4" w:space="1" w:color="auto"/>
          <w:left w:val="single" w:sz="4" w:space="4" w:color="auto"/>
          <w:bottom w:val="single" w:sz="4" w:space="1" w:color="auto"/>
          <w:right w:val="single" w:sz="4" w:space="4" w:color="auto"/>
        </w:pBdr>
        <w:rPr>
          <w:noProof/>
        </w:rPr>
      </w:pPr>
      <w:r>
        <w:rPr>
          <w:noProof/>
        </w:rPr>
        <w:t>– GD FISMA bi potreboval 3 EPDČ: 1 EPDČ (AD) za predsednika platforme, 2 EDPČ (AD) za vodenje skupine in 2 EDPČ (AST) za zagotavljanje logistične podpore;</w:t>
      </w:r>
    </w:p>
    <w:p>
      <w:pPr>
        <w:pStyle w:val="Text1"/>
        <w:pBdr>
          <w:top w:val="single" w:sz="4" w:space="1" w:color="auto"/>
          <w:left w:val="single" w:sz="4" w:space="4" w:color="auto"/>
          <w:bottom w:val="single" w:sz="4" w:space="1" w:color="auto"/>
          <w:right w:val="single" w:sz="4" w:space="4" w:color="auto"/>
        </w:pBdr>
        <w:rPr>
          <w:noProof/>
        </w:rPr>
      </w:pPr>
      <w:r>
        <w:rPr>
          <w:noProof/>
        </w:rPr>
        <w:t>– GD ENV bi potreboval 2 EPDČ (AD) za upravljanje te platforme;</w:t>
      </w:r>
    </w:p>
    <w:p>
      <w:pPr>
        <w:pStyle w:val="Text1"/>
        <w:pBdr>
          <w:top w:val="single" w:sz="4" w:space="1" w:color="auto"/>
          <w:left w:val="single" w:sz="4" w:space="4" w:color="auto"/>
          <w:bottom w:val="single" w:sz="4" w:space="1" w:color="auto"/>
          <w:right w:val="single" w:sz="4" w:space="4" w:color="auto"/>
        </w:pBdr>
        <w:rPr>
          <w:noProof/>
        </w:rPr>
      </w:pPr>
      <w:r>
        <w:rPr>
          <w:noProof/>
        </w:rPr>
        <w:t>– GD CLIMA bi potreboval 2 EPDČ (AD) za upravljanje te platforme;</w:t>
      </w:r>
    </w:p>
    <w:p>
      <w:pPr>
        <w:pStyle w:val="Text1"/>
        <w:pBdr>
          <w:top w:val="single" w:sz="4" w:space="1" w:color="auto"/>
          <w:left w:val="single" w:sz="4" w:space="4" w:color="auto"/>
          <w:bottom w:val="single" w:sz="4" w:space="1" w:color="auto"/>
          <w:right w:val="single" w:sz="4" w:space="4" w:color="auto"/>
        </w:pBdr>
        <w:rPr>
          <w:noProof/>
          <w:color w:val="0000FF"/>
          <w:szCs w:val="24"/>
          <w:u w:val="single"/>
        </w:rPr>
      </w:pPr>
      <w:r>
        <w:rPr>
          <w:noProof/>
        </w:rPr>
        <w:t xml:space="preserve">– EUROSTAT bi prav tako potreboval 1 EPDČ (AD) za sodelovanje pri taksonomiji, zlasti pri spremljanju platforme. To delo dopolnjuje </w:t>
      </w:r>
      <w:hyperlink r:id="rId26">
        <w:r>
          <w:rPr>
            <w:rStyle w:val="Hyperlink"/>
            <w:noProof/>
          </w:rPr>
          <w:t>Trajnostni razvoj v EU: Poročilo o spremljanju napredka pri doseganju ciljev trajnostnega razvoja v okviru EU (2017)</w:t>
        </w:r>
      </w:hyperlink>
      <w:r>
        <w:rPr>
          <w:noProof/>
        </w:rPr>
        <w:t xml:space="preserve"> in </w:t>
      </w:r>
      <w:hyperlink r:id="rId27">
        <w:r>
          <w:rPr>
            <w:noProof/>
            <w:color w:val="0000FF"/>
            <w:u w:val="single"/>
          </w:rPr>
          <w:t>kazalnike učinkovite rabe virov, ki jih objavlja Eurostat</w:t>
        </w:r>
      </w:hyperlink>
      <w:r>
        <w:rPr>
          <w:noProof/>
          <w:color w:val="0000FF"/>
          <w:u w:val="single"/>
        </w:rPr>
        <w:t>.</w:t>
      </w:r>
    </w:p>
    <w:p>
      <w:pPr>
        <w:pStyle w:val="Text1"/>
        <w:pBdr>
          <w:top w:val="single" w:sz="4" w:space="1" w:color="auto"/>
          <w:left w:val="single" w:sz="4" w:space="4" w:color="auto"/>
          <w:bottom w:val="single" w:sz="4" w:space="1" w:color="auto"/>
          <w:right w:val="single" w:sz="4" w:space="4" w:color="auto"/>
        </w:pBdr>
        <w:rPr>
          <w:noProof/>
          <w:color w:val="0000FF"/>
          <w:szCs w:val="24"/>
          <w:u w:val="single"/>
        </w:rPr>
      </w:pPr>
      <w:r>
        <w:rPr>
          <w:noProof/>
          <w:color w:val="000000" w:themeColor="text1"/>
        </w:rPr>
        <w:t>Platforma bo za namene komuniciranja prilagodila in uporabljala obstoječe skupno informacijsko orodje Komisije. Letni operativni stroški za IT, ki bodo olajšali delo članov platforme, bodo znašali 50 000 EUR, medtem ko bodo letni stroški za raziskave/študije, na katerih bo temeljilo delo članov platforme, znašali 500 000 EUR. Vsak steber platforme naj bi se sestal desetkrat letno in letni stroški povračil stroškov so ocenjeni na 223 500 EUR.</w:t>
      </w:r>
    </w:p>
    <w:p>
      <w:pPr>
        <w:pStyle w:val="ManualHeading3"/>
        <w:rPr>
          <w:bCs/>
          <w:noProof/>
          <w:szCs w:val="24"/>
        </w:rPr>
      </w:pPr>
      <w:r>
        <w:rPr>
          <w:noProof/>
        </w:rPr>
        <w:br w:type="page"/>
      </w:r>
      <w:r>
        <w:t>1.4.3.</w:t>
      </w:r>
      <w:r>
        <w:tab/>
      </w:r>
      <w:r>
        <w:rPr>
          <w:noProof/>
        </w:rPr>
        <w:t>Pričakovani rezultati in posledice</w:t>
      </w:r>
    </w:p>
    <w:p>
      <w:pPr>
        <w:pStyle w:val="Text1"/>
        <w:rPr>
          <w:i/>
          <w:noProof/>
          <w:sz w:val="20"/>
        </w:rPr>
      </w:pPr>
      <w:r>
        <w:rPr>
          <w:i/>
          <w:noProof/>
          <w:sz w:val="20"/>
        </w:rPr>
        <w:t>Navedite, kakšne posledice naj bi imel(-a) predlog/pobuda za upravičence/ciljne skupine.</w:t>
      </w:r>
    </w:p>
    <w:p>
      <w:pPr>
        <w:pStyle w:val="Text1"/>
        <w:pBdr>
          <w:top w:val="single" w:sz="4" w:space="1" w:color="auto"/>
          <w:left w:val="single" w:sz="4" w:space="4" w:color="auto"/>
          <w:bottom w:val="single" w:sz="4" w:space="1" w:color="auto"/>
          <w:right w:val="single" w:sz="4" w:space="4" w:color="auto"/>
        </w:pBdr>
        <w:ind w:left="851"/>
        <w:rPr>
          <w:noProof/>
        </w:rPr>
      </w:pPr>
      <w:r>
        <w:rPr>
          <w:b/>
          <w:noProof/>
        </w:rPr>
        <w:t>Platforma o financiranju trajnostne rasti</w:t>
      </w:r>
      <w:r>
        <w:rPr>
          <w:noProof/>
        </w:rPr>
        <w:t xml:space="preserve"> bo: i) posodabljala in postopoma razširila taksonomijo EU za trajnostne dejavnosti; izvajala druge naloge, ki so potrebne za doseganje ciljev akcijskega načrta za financiranje trajnostne rasti, ter redno spremljala in poročala o kapitalskih tokovih v naložbe v trajnostno rast. </w:t>
      </w:r>
    </w:p>
    <w:p>
      <w:pPr>
        <w:pStyle w:val="Text1"/>
        <w:pBdr>
          <w:top w:val="single" w:sz="4" w:space="1" w:color="auto"/>
          <w:left w:val="single" w:sz="4" w:space="4" w:color="auto"/>
          <w:bottom w:val="single" w:sz="4" w:space="1" w:color="auto"/>
          <w:right w:val="single" w:sz="4" w:space="4" w:color="auto"/>
        </w:pBdr>
        <w:ind w:left="851"/>
        <w:rPr>
          <w:noProof/>
        </w:rPr>
      </w:pPr>
      <w:r>
        <w:rPr>
          <w:noProof/>
        </w:rPr>
        <w:t xml:space="preserve">Jasen in enoten koncept okoljsko trajnostne naložbe bi gospodarske subjekte na primeren način opozoril na to, katere dejavnosti se štejejo za trajnostne, zaščitil zasebne vlagatelje z izogibanjem tveganjem lažnega oglaševanja prijaznosti do okolja, zagotovil, da enotni trg ni razdrobljen, in zagotovil podlago za izvajanje nadaljnjih učinkovitih ukrepov (ker bo jasno, kaj je „trajnostno“ ali „zeleno“) na področjih, kot so standardi, znaki, razkritja in vse prihodnje spremembe bonitetnih pravil. </w:t>
      </w:r>
    </w:p>
    <w:p>
      <w:pPr>
        <w:pStyle w:val="ManualHeading3"/>
        <w:rPr>
          <w:bCs/>
          <w:noProof/>
          <w:szCs w:val="24"/>
        </w:rPr>
      </w:pPr>
      <w:r>
        <w:t>1.4.4.</w:t>
      </w:r>
      <w:r>
        <w:tab/>
      </w:r>
      <w:r>
        <w:rPr>
          <w:noProof/>
        </w:rPr>
        <w:t xml:space="preserve">Kazalniki rezultatov in posledic </w:t>
      </w:r>
    </w:p>
    <w:p>
      <w:pPr>
        <w:pStyle w:val="Text1"/>
        <w:rPr>
          <w:i/>
          <w:noProof/>
          <w:sz w:val="20"/>
        </w:rPr>
      </w:pPr>
      <w:r>
        <w:rPr>
          <w:i/>
          <w:noProof/>
          <w:sz w:val="20"/>
        </w:rPr>
        <w:t>Navedite, s katerimi kazalniki se bo spremljalo izvajanje predloga/pobude.</w:t>
      </w:r>
    </w:p>
    <w:p>
      <w:pPr>
        <w:pStyle w:val="Text1"/>
        <w:pBdr>
          <w:top w:val="single" w:sz="4" w:space="1" w:color="auto"/>
          <w:left w:val="single" w:sz="4" w:space="4" w:color="auto"/>
          <w:bottom w:val="single" w:sz="4" w:space="0" w:color="auto"/>
          <w:right w:val="single" w:sz="4" w:space="4" w:color="auto"/>
        </w:pBdr>
        <w:rPr>
          <w:noProof/>
        </w:rPr>
      </w:pPr>
      <w:r>
        <w:rPr>
          <w:noProof/>
        </w:rPr>
        <w:t>Izvajanje ukrepov, predvidenih v predlogu, bo spremljala Komisija. Kazalniki lahko vključujejo:</w:t>
      </w:r>
    </w:p>
    <w:p>
      <w:pPr>
        <w:pStyle w:val="Text1"/>
        <w:pBdr>
          <w:top w:val="single" w:sz="4" w:space="1" w:color="auto"/>
          <w:left w:val="single" w:sz="4" w:space="4" w:color="auto"/>
          <w:bottom w:val="single" w:sz="4" w:space="0" w:color="auto"/>
          <w:right w:val="single" w:sz="4" w:space="4" w:color="auto"/>
        </w:pBdr>
        <w:rPr>
          <w:noProof/>
        </w:rPr>
      </w:pPr>
      <w:r>
        <w:rPr>
          <w:noProof/>
        </w:rPr>
        <w:t xml:space="preserve">– število posodobitev taksonomije; </w:t>
      </w:r>
    </w:p>
    <w:p>
      <w:pPr>
        <w:pStyle w:val="Text1"/>
        <w:pBdr>
          <w:top w:val="single" w:sz="4" w:space="1" w:color="auto"/>
          <w:left w:val="single" w:sz="4" w:space="4" w:color="auto"/>
          <w:bottom w:val="single" w:sz="4" w:space="0" w:color="auto"/>
          <w:right w:val="single" w:sz="4" w:space="4" w:color="auto"/>
        </w:pBdr>
        <w:rPr>
          <w:noProof/>
        </w:rPr>
      </w:pPr>
      <w:r>
        <w:rPr>
          <w:noProof/>
        </w:rPr>
        <w:t>– število poročil o spremljanju kapitalskih tokov v trajnostne naložbe.</w:t>
      </w:r>
    </w:p>
    <w:p>
      <w:pPr>
        <w:pStyle w:val="ManualHeading2"/>
        <w:rPr>
          <w:bCs/>
          <w:noProof/>
          <w:szCs w:val="24"/>
        </w:rPr>
      </w:pPr>
      <w:r>
        <w:t>1.5.</w:t>
      </w:r>
      <w:r>
        <w:tab/>
      </w:r>
      <w:r>
        <w:rPr>
          <w:noProof/>
        </w:rPr>
        <w:t xml:space="preserve">Utemeljitev predloga/pobude </w:t>
      </w:r>
    </w:p>
    <w:p>
      <w:pPr>
        <w:pStyle w:val="ManualHeading3"/>
        <w:rPr>
          <w:bCs/>
          <w:noProof/>
          <w:szCs w:val="24"/>
        </w:rPr>
      </w:pPr>
      <w:r>
        <w:t>1.5.1.</w:t>
      </w:r>
      <w:r>
        <w:tab/>
      </w:r>
      <w:r>
        <w:rPr>
          <w:noProof/>
        </w:rPr>
        <w:t xml:space="preserve">Potrebe, ki jih je treba zadovoljiti kratkoročno ali dolgoročno </w:t>
      </w:r>
    </w:p>
    <w:p>
      <w:pPr>
        <w:pStyle w:val="Text1"/>
        <w:pBdr>
          <w:top w:val="single" w:sz="4" w:space="1" w:color="auto"/>
          <w:left w:val="single" w:sz="4" w:space="4" w:color="auto"/>
          <w:bottom w:val="single" w:sz="4" w:space="1" w:color="auto"/>
          <w:right w:val="single" w:sz="4" w:space="4" w:color="auto"/>
        </w:pBdr>
        <w:ind w:left="851"/>
        <w:rPr>
          <w:noProof/>
        </w:rPr>
      </w:pPr>
      <w:r>
        <w:rPr>
          <w:b/>
          <w:noProof/>
        </w:rPr>
        <w:t>Predlog te uredbe</w:t>
      </w:r>
      <w:r>
        <w:rPr>
          <w:noProof/>
        </w:rPr>
        <w:t xml:space="preserve"> sledi sprejetju akcijskega načrta Komisije z dne 8. marca 2018 in končnega poročila strokovne skupine na visoki ravni iz januarja 2018 ter navaja številne pobude, da bi se omogočila uveljavitev financiranja trajnostne rasti v evropskem finančnem sektorju. Medtem ko je bilo na tem področju že sprejetih več zakonodajnih pobud, so potrebni še drugi ukrepi (zakonodajni in nezakonodajni), da bi zagotovili, da lahko evropski finančni sektor izkoristi prednosti financiranja trajnostne rasti ob hkratnem zagotavljanju ustrezne ravni varstva potrošnikov/vlagateljev in finančne stabilnosti. Poleg tega bo Komisija vzpostavila stabilnejšo strukturo upravljanja v obliki javno-zasebne platforme za prilagoditev taksonomije EU za trajnostne dejavnosti in spremljanje ključnih dogodkov.</w:t>
      </w:r>
    </w:p>
    <w:p>
      <w:pPr>
        <w:pStyle w:val="ManualHeading3"/>
        <w:rPr>
          <w:bCs/>
          <w:noProof/>
          <w:szCs w:val="24"/>
        </w:rPr>
      </w:pPr>
      <w:r>
        <w:t>1.5.2.</w:t>
      </w:r>
      <w:r>
        <w:tab/>
      </w:r>
      <w:r>
        <w:rPr>
          <w:noProof/>
        </w:rPr>
        <w:t>Dodana vrednost ukrepanja Unije (ki je lahko posledica različnih dejavnikov, npr. usklajevalnih koristi, pravne varnosti, večje učinkovitosti ali dopolnjevanja). Za namene te točke je „dodana vrednost ukrepanja Unije“ vrednost, ki izhaja iz ukrepanja Unije in predstavlja dodatno vrednost poleg tiste, ki bi jo sicer ustvarile države članice same.</w:t>
      </w:r>
    </w:p>
    <w:p>
      <w:pPr>
        <w:pStyle w:val="Text1"/>
        <w:pBdr>
          <w:top w:val="single" w:sz="4" w:space="1" w:color="auto"/>
          <w:left w:val="single" w:sz="4" w:space="4" w:color="auto"/>
          <w:bottom w:val="single" w:sz="4" w:space="1" w:color="auto"/>
          <w:right w:val="single" w:sz="4" w:space="4" w:color="auto"/>
        </w:pBdr>
        <w:rPr>
          <w:noProof/>
        </w:rPr>
      </w:pPr>
      <w:r>
        <w:rPr>
          <w:noProof/>
        </w:rPr>
        <w:t>Razlogi za ukrepanje na evropski ravni (predhodno):</w:t>
      </w:r>
    </w:p>
    <w:p>
      <w:pPr>
        <w:pStyle w:val="Text1"/>
        <w:pBdr>
          <w:top w:val="single" w:sz="4" w:space="1" w:color="auto"/>
          <w:left w:val="single" w:sz="4" w:space="4" w:color="auto"/>
          <w:bottom w:val="single" w:sz="4" w:space="1" w:color="auto"/>
          <w:right w:val="single" w:sz="4" w:space="4" w:color="auto"/>
        </w:pBdr>
        <w:rPr>
          <w:noProof/>
        </w:rPr>
      </w:pPr>
      <w:r>
        <w:rPr>
          <w:noProof/>
        </w:rPr>
        <w:t xml:space="preserve">Jasna in enotna taksonomija EU (ter povezan koncept okoljsko trajnostne naložbe) bi gospodarske subjekte na primeren način opozorila na to, katere dejavnosti se štejejo za trajnostne, zaščitila zasebne vlagatelje z izogibanjem tveganjem lažnega oglaševanja prijaznosti do okolja, zagotovila, da enotni trg ni razdrobljen, in zagotovila podlago za izvajanje nadaljnjih učinkovitih ukrepov na področjih, kot so standardi, znaki, razkritja in vse prihodnje spremembe bonitetnih pravil. </w:t>
      </w:r>
    </w:p>
    <w:p>
      <w:pPr>
        <w:pStyle w:val="Text1"/>
        <w:pBdr>
          <w:top w:val="single" w:sz="4" w:space="1" w:color="auto"/>
          <w:left w:val="single" w:sz="4" w:space="4" w:color="auto"/>
          <w:bottom w:val="single" w:sz="4" w:space="1" w:color="auto"/>
          <w:right w:val="single" w:sz="4" w:space="4" w:color="auto"/>
        </w:pBdr>
        <w:rPr>
          <w:noProof/>
        </w:rPr>
      </w:pPr>
      <w:r>
        <w:rPr>
          <w:noProof/>
        </w:rPr>
        <w:t>Pričakovana ustvarjena dodana vrednost Unije (naknadno):</w:t>
      </w:r>
    </w:p>
    <w:p>
      <w:pPr>
        <w:pStyle w:val="Text1"/>
        <w:pBdr>
          <w:top w:val="single" w:sz="4" w:space="1" w:color="auto"/>
          <w:left w:val="single" w:sz="4" w:space="4" w:color="auto"/>
          <w:bottom w:val="single" w:sz="4" w:space="1" w:color="auto"/>
          <w:right w:val="single" w:sz="4" w:space="4" w:color="auto"/>
        </w:pBdr>
        <w:rPr>
          <w:noProof/>
        </w:rPr>
      </w:pPr>
      <w:r>
        <w:rPr>
          <w:noProof/>
        </w:rPr>
        <w:t xml:space="preserve">Delo, ki je načrtovano v tem predlogu, bo omogočilo mobilizacijo financiranja trajnostne rasti v EU, hkrati pa zagotovilo visoko raven finančne stabilnosti. Enotna taksonomija in spremljanje trajnosti naložb bosta podpirali uveljavitev financiranja trajnostne rasti v evropskem finančnem sektorju. </w:t>
      </w:r>
    </w:p>
    <w:p>
      <w:pPr>
        <w:pStyle w:val="ManualHeading3"/>
        <w:rPr>
          <w:bCs/>
          <w:noProof/>
          <w:szCs w:val="24"/>
        </w:rPr>
      </w:pPr>
      <w:r>
        <w:t>1.5.3.</w:t>
      </w:r>
      <w:r>
        <w:tab/>
      </w:r>
      <w:r>
        <w:rPr>
          <w:noProof/>
        </w:rPr>
        <w:t>Spoznanja iz podobnih izkušenj v preteklosti</w:t>
      </w:r>
    </w:p>
    <w:p>
      <w:pPr>
        <w:pStyle w:val="Text1"/>
        <w:pBdr>
          <w:top w:val="single" w:sz="4" w:space="0" w:color="auto"/>
          <w:left w:val="single" w:sz="4" w:space="4" w:color="auto"/>
          <w:bottom w:val="single" w:sz="4" w:space="1" w:color="auto"/>
          <w:right w:val="single" w:sz="4" w:space="4" w:color="auto"/>
        </w:pBdr>
        <w:rPr>
          <w:noProof/>
        </w:rPr>
      </w:pPr>
      <w:r>
        <w:rPr>
          <w:noProof/>
        </w:rPr>
        <w:t>Ni relevantno.</w:t>
      </w:r>
    </w:p>
    <w:p>
      <w:pPr>
        <w:pStyle w:val="ManualHeading3"/>
        <w:rPr>
          <w:bCs/>
          <w:noProof/>
          <w:szCs w:val="24"/>
        </w:rPr>
      </w:pPr>
      <w:r>
        <w:t>1.5.4.</w:t>
      </w:r>
      <w:r>
        <w:tab/>
      </w:r>
      <w:r>
        <w:rPr>
          <w:noProof/>
        </w:rPr>
        <w:t>Skladnost in možnosti sinergij z drugimi ustreznimi instrumenti</w:t>
      </w:r>
    </w:p>
    <w:p>
      <w:pPr>
        <w:pStyle w:val="Text1"/>
        <w:pBdr>
          <w:top w:val="single" w:sz="4" w:space="1" w:color="auto"/>
          <w:left w:val="single" w:sz="4" w:space="4" w:color="auto"/>
          <w:bottom w:val="single" w:sz="4" w:space="1" w:color="auto"/>
          <w:right w:val="single" w:sz="4" w:space="4" w:color="auto"/>
        </w:pBdr>
        <w:shd w:val="clear" w:color="auto" w:fill="FFFFFF" w:themeFill="background1"/>
        <w:rPr>
          <w:noProof/>
        </w:rPr>
      </w:pPr>
      <w:r>
        <w:rPr>
          <w:noProof/>
        </w:rPr>
        <w:t>Cilj te pobude</w:t>
      </w:r>
      <w:r>
        <w:rPr>
          <w:b/>
          <w:noProof/>
        </w:rPr>
        <w:t xml:space="preserve"> </w:t>
      </w:r>
      <w:r>
        <w:rPr>
          <w:noProof/>
        </w:rPr>
        <w:t>je skladen s številnimi drugimi politikami EU in obstoječimi pobudami z namenom: (i) razvoja ekonomske in monetarne unije (EMU); (ii) razvoja unije kapitalskih trgov; (iii) vključevanja vprašanj trajnostnega razvoja v finančni sistem EU, hkrati pa zaščite stabilnosti finančnega sistema pred tveganji zaradi okoljskih, socialnih in upravljavskih dejavnikov.</w:t>
      </w:r>
    </w:p>
    <w:p>
      <w:pPr>
        <w:pStyle w:val="Text1"/>
        <w:pBdr>
          <w:top w:val="single" w:sz="4" w:space="1" w:color="auto"/>
          <w:left w:val="single" w:sz="4" w:space="4" w:color="auto"/>
          <w:bottom w:val="single" w:sz="4" w:space="1" w:color="auto"/>
          <w:right w:val="single" w:sz="4" w:space="4" w:color="auto"/>
        </w:pBdr>
        <w:rPr>
          <w:noProof/>
        </w:rPr>
      </w:pPr>
      <w:r>
        <w:rPr>
          <w:noProof/>
        </w:rPr>
        <w:t xml:space="preserve">Prvič, ta predlog je skladen z EMU. V poročilu petih predsednikov o dokončanju evropske EMU je bilo poudarjeno, da bi lahko večja povezanost kapitalskih trgov in postopna odprava nacionalnih omejitev ustvarili nova tveganja za finančno stabilnost. Glede na to poročilo bo treba razširiti in okrepiti nadzorni okvir za zagotovitev trdnosti vseh finančnih akterjev. </w:t>
      </w:r>
    </w:p>
    <w:p>
      <w:pPr>
        <w:pStyle w:val="Text1"/>
        <w:pBdr>
          <w:top w:val="single" w:sz="4" w:space="1" w:color="auto"/>
          <w:left w:val="single" w:sz="4" w:space="4" w:color="auto"/>
          <w:bottom w:val="single" w:sz="4" w:space="1" w:color="auto"/>
          <w:right w:val="single" w:sz="4" w:space="4" w:color="auto"/>
        </w:pBdr>
        <w:rPr>
          <w:noProof/>
        </w:rPr>
      </w:pPr>
      <w:r>
        <w:rPr>
          <w:noProof/>
        </w:rPr>
        <w:t xml:space="preserve">Drugič, ta predlog je skladen s projektom unije kapitalskih trgov. Glede na vse večjo medsebojno povezanost finančnih trgov na ravni EU in svetovni ravni obstaja potreba po nadaljnji integraciji nadzora EU za soočanje s prihodnjimi izzivi na področju finančnih trgov EU. </w:t>
      </w:r>
      <w:r>
        <w:rPr>
          <w:noProof/>
          <w:sz w:val="23"/>
        </w:rPr>
        <w:t>Tako Agenda ZN za trajnostni razvoj do leta 2030</w:t>
      </w:r>
      <w:r>
        <w:rPr>
          <w:noProof/>
          <w:sz w:val="16"/>
        </w:rPr>
        <w:t xml:space="preserve"> </w:t>
      </w:r>
      <w:r>
        <w:rPr>
          <w:noProof/>
          <w:sz w:val="23"/>
        </w:rPr>
        <w:t>kot Pariški sporazum jasno kažeta, da je reforma finančnega sistema osrednjega pomena za naša gospodarstva na poti trajnostne rasti. Preusmeritev zasebnih kapitalskih tokov v bolj trajnostne naložbe zahteva celovito in poglobljeno spremembo našega finančnega okvira. Enotna taksonomija in mehanizem spremljanja kapitalskih tokov v trajnostne naložbe bosta podprla unijo kapitalskih trgov.</w:t>
      </w:r>
    </w:p>
    <w:p>
      <w:pPr>
        <w:pStyle w:val="Text1"/>
        <w:pBdr>
          <w:top w:val="single" w:sz="4" w:space="1" w:color="auto"/>
          <w:left w:val="single" w:sz="4" w:space="4" w:color="auto"/>
          <w:bottom w:val="single" w:sz="4" w:space="1" w:color="auto"/>
          <w:right w:val="single" w:sz="4" w:space="4" w:color="auto"/>
        </w:pBdr>
        <w:rPr>
          <w:noProof/>
        </w:rPr>
      </w:pPr>
      <w:r>
        <w:rPr>
          <w:noProof/>
        </w:rPr>
        <w:t xml:space="preserve">Tretjič, financiranje trajnostne rasti je del prizadevanj Komisije za mobilizacijo zasebnega kapitala za zelene in trajnostne naložbe, da bi omogočili prehod na nizkoogljično gospodarstvo, in kaže na trdno zavezo EU za zmanjšanje tveganj, ki jih povzročajo podnebne spremembe in okoljski izzivi. Zlasti je treba finančni sektor EU opremiti s pravimi instrumenti za spodbujanje financiranja trajnostne rasti in zagotavljanje finančne stabilnosti. Jasna in enotna evropska taksonomija (in s tem povezan koncept okoljsko trajnostne naložbe) bi zagotovila podlago za nadaljnje ukrepanje na področjih, kot so standardi, znaki, razkritja in morebitne prihodnje spremembe bonitetnih pravil. </w:t>
      </w:r>
    </w:p>
    <w:p>
      <w:pPr>
        <w:pStyle w:val="ManualHeading2"/>
        <w:rPr>
          <w:bCs/>
          <w:noProof/>
          <w:szCs w:val="24"/>
        </w:rPr>
      </w:pPr>
      <w:r>
        <w:rPr>
          <w:noProof/>
        </w:rPr>
        <w:br w:type="page"/>
      </w:r>
      <w:r>
        <w:t>1.6.</w:t>
      </w:r>
      <w:r>
        <w:tab/>
      </w:r>
      <w:r>
        <w:rPr>
          <w:noProof/>
        </w:rPr>
        <w:t xml:space="preserve">Trajanje ukrepa in finančnih posledic </w:t>
      </w:r>
    </w:p>
    <w:p>
      <w:pPr>
        <w:pStyle w:val="Text1"/>
        <w:rPr>
          <w:noProof/>
        </w:rPr>
      </w:pPr>
      <w:r>
        <w:rPr>
          <w:noProof/>
        </w:rPr>
        <w:sym w:font="Wingdings" w:char="F0A8"/>
      </w:r>
      <w:r>
        <w:rPr>
          <w:b/>
          <w:i/>
          <w:noProof/>
        </w:rPr>
        <w:t xml:space="preserve"> </w:t>
      </w:r>
      <w:r>
        <w:rPr>
          <w:b/>
          <w:noProof/>
        </w:rPr>
        <w:t>Časovno omejen(-a)</w:t>
      </w:r>
      <w:r>
        <w:rPr>
          <w:noProof/>
        </w:rPr>
        <w:t xml:space="preserve"> predlog/pobuda</w:t>
      </w:r>
      <w:r>
        <w:rPr>
          <w:b/>
          <w:noProof/>
        </w:rPr>
        <w:t xml:space="preserve"> </w:t>
      </w:r>
    </w:p>
    <w:p>
      <w:pPr>
        <w:pStyle w:val="ListDash2"/>
        <w:rPr>
          <w:noProof/>
        </w:rPr>
      </w:pPr>
      <w:r>
        <w:rPr>
          <w:noProof/>
        </w:rPr>
        <w:sym w:font="Wingdings" w:char="F0A8"/>
      </w:r>
      <w:r>
        <w:rPr>
          <w:noProof/>
        </w:rPr>
        <w:tab/>
        <w:t xml:space="preserve">trajanje predloga/pobude od [DD/MM]LLLL do [DD/MM]LLLL, </w:t>
      </w:r>
    </w:p>
    <w:p>
      <w:pPr>
        <w:pStyle w:val="ListDash2"/>
        <w:rPr>
          <w:noProof/>
        </w:rPr>
      </w:pPr>
      <w:r>
        <w:rPr>
          <w:noProof/>
        </w:rPr>
        <w:sym w:font="Wingdings" w:char="F0A8"/>
      </w:r>
      <w:r>
        <w:rPr>
          <w:noProof/>
        </w:rPr>
        <w:tab/>
        <w:t>finančne posledice med letoma LLLL in LLLL</w:t>
      </w:r>
    </w:p>
    <w:p>
      <w:pPr>
        <w:pStyle w:val="Text1"/>
        <w:rPr>
          <w:noProof/>
        </w:rPr>
      </w:pPr>
      <w:r>
        <w:rPr>
          <w:noProof/>
        </w:rPr>
        <w:sym w:font="Wingdings" w:char="F0FE"/>
      </w:r>
      <w:r>
        <w:rPr>
          <w:b/>
          <w:i/>
          <w:noProof/>
        </w:rPr>
        <w:t xml:space="preserve"> </w:t>
      </w:r>
      <w:r>
        <w:rPr>
          <w:b/>
          <w:noProof/>
        </w:rPr>
        <w:t>Časovno neomejen(-a)</w:t>
      </w:r>
      <w:r>
        <w:rPr>
          <w:noProof/>
        </w:rPr>
        <w:t xml:space="preserve"> predlog/pobuda</w:t>
      </w:r>
    </w:p>
    <w:p>
      <w:pPr>
        <w:pStyle w:val="ListDash1"/>
        <w:rPr>
          <w:noProof/>
        </w:rPr>
      </w:pPr>
      <w:r>
        <w:rPr>
          <w:noProof/>
        </w:rPr>
        <w:t>izvajanje z obdobjem uvajanja med letoma LLLL in LLLL,</w:t>
      </w:r>
    </w:p>
    <w:p>
      <w:pPr>
        <w:pStyle w:val="ListDash1"/>
        <w:rPr>
          <w:noProof/>
        </w:rPr>
      </w:pPr>
      <w:r>
        <w:rPr>
          <w:noProof/>
        </w:rPr>
        <w:t>ki mu sledi izvajanje predloga/pobude v celoti.</w:t>
      </w:r>
    </w:p>
    <w:p>
      <w:pPr>
        <w:pStyle w:val="ManualHeading2"/>
        <w:rPr>
          <w:bCs/>
          <w:noProof/>
          <w:szCs w:val="24"/>
        </w:rPr>
      </w:pPr>
      <w:r>
        <w:t>1.7.</w:t>
      </w:r>
      <w:r>
        <w:tab/>
      </w:r>
      <w:r>
        <w:rPr>
          <w:noProof/>
        </w:rPr>
        <w:t>Načrtovani načini upravljanja</w:t>
      </w:r>
      <w:r>
        <w:rPr>
          <w:rStyle w:val="FootnoteReference"/>
          <w:noProof/>
        </w:rPr>
        <w:footnoteReference w:id="57"/>
      </w:r>
      <w:r>
        <w:rPr>
          <w:rStyle w:val="FootnoteReference"/>
          <w:noProof/>
        </w:rPr>
        <w:t xml:space="preserve"> </w:t>
      </w:r>
    </w:p>
    <w:p>
      <w:pPr>
        <w:pStyle w:val="Text1"/>
        <w:rPr>
          <w:noProof/>
        </w:rPr>
      </w:pPr>
      <w:r>
        <w:rPr>
          <w:noProof/>
        </w:rPr>
        <w:sym w:font="Wingdings" w:char="F0FE"/>
      </w:r>
      <w:r>
        <w:rPr>
          <w:i/>
          <w:noProof/>
        </w:rPr>
        <w:t xml:space="preserve"> </w:t>
      </w:r>
      <w:r>
        <w:rPr>
          <w:b/>
          <w:noProof/>
        </w:rPr>
        <w:t>Neposredno upravljanje</w:t>
      </w:r>
      <w:r>
        <w:rPr>
          <w:noProof/>
        </w:rPr>
        <w:t xml:space="preserve"> – Komisija</w:t>
      </w:r>
    </w:p>
    <w:p>
      <w:pPr>
        <w:pStyle w:val="ListDash2"/>
        <w:rPr>
          <w:noProof/>
        </w:rPr>
      </w:pPr>
      <w:r>
        <w:rPr>
          <w:noProof/>
        </w:rPr>
        <w:sym w:font="Wingdings" w:char="F0A8"/>
      </w:r>
      <w:r>
        <w:rPr>
          <w:noProof/>
        </w:rPr>
        <w:tab/>
        <w:t xml:space="preserve">prek izvajalskih agencij </w:t>
      </w:r>
    </w:p>
    <w:p>
      <w:pPr>
        <w:pStyle w:val="Text1"/>
        <w:rPr>
          <w:noProof/>
        </w:rPr>
      </w:pPr>
      <w:r>
        <w:rPr>
          <w:noProof/>
        </w:rPr>
        <w:sym w:font="Wingdings" w:char="F0A8"/>
      </w:r>
      <w:r>
        <w:rPr>
          <w:b/>
          <w:i/>
          <w:noProof/>
        </w:rPr>
        <w:t xml:space="preserve"> </w:t>
      </w:r>
      <w:r>
        <w:rPr>
          <w:b/>
          <w:noProof/>
        </w:rPr>
        <w:t>Deljeno upravljanje</w:t>
      </w:r>
      <w:r>
        <w:rPr>
          <w:noProof/>
        </w:rPr>
        <w:t xml:space="preserve"> z državami članicami </w:t>
      </w:r>
    </w:p>
    <w:p>
      <w:pPr>
        <w:pStyle w:val="Text1"/>
        <w:rPr>
          <w:noProof/>
        </w:rPr>
      </w:pPr>
      <w:r>
        <w:rPr>
          <w:noProof/>
        </w:rPr>
        <w:sym w:font="Wingdings" w:char="F0FE"/>
      </w:r>
      <w:r>
        <w:rPr>
          <w:i/>
          <w:noProof/>
        </w:rPr>
        <w:t xml:space="preserve"> </w:t>
      </w:r>
      <w:r>
        <w:rPr>
          <w:b/>
          <w:noProof/>
        </w:rPr>
        <w:t>Posredno upravljanje</w:t>
      </w:r>
      <w:r>
        <w:rPr>
          <w:noProof/>
        </w:rPr>
        <w:t xml:space="preserve"> s poverjanjem nalog izvrševanja proračuna:</w:t>
      </w:r>
    </w:p>
    <w:p>
      <w:pPr>
        <w:pStyle w:val="Text1"/>
        <w:rPr>
          <w:noProof/>
        </w:rPr>
      </w:pPr>
      <w:r>
        <w:rPr>
          <w:noProof/>
        </w:rPr>
        <w:sym w:font="Wingdings" w:char="F0A8"/>
      </w:r>
      <w:r>
        <w:rPr>
          <w:noProof/>
        </w:rPr>
        <w:t xml:space="preserve"> mednarodnim organizacijam in njihovim agencijam (navedite),</w:t>
      </w:r>
    </w:p>
    <w:p>
      <w:pPr>
        <w:pStyle w:val="Text1"/>
        <w:rPr>
          <w:noProof/>
        </w:rPr>
      </w:pPr>
      <w:r>
        <w:rPr>
          <w:noProof/>
        </w:rPr>
        <w:sym w:font="Wingdings" w:char="F0A8"/>
      </w:r>
      <w:r>
        <w:rPr>
          <w:noProof/>
        </w:rPr>
        <w:t>EIB in Evropskemu investicijskemu skladu</w:t>
      </w:r>
    </w:p>
    <w:p>
      <w:pPr>
        <w:pStyle w:val="Text1"/>
        <w:rPr>
          <w:noProof/>
        </w:rPr>
      </w:pPr>
      <w:r>
        <w:rPr>
          <w:noProof/>
        </w:rPr>
        <w:sym w:font="Wingdings" w:char="F0FE"/>
      </w:r>
      <w:r>
        <w:rPr>
          <w:noProof/>
        </w:rPr>
        <w:t xml:space="preserve"> organom iz členov 208 in 209,</w:t>
      </w:r>
    </w:p>
    <w:p>
      <w:pPr>
        <w:pStyle w:val="Text1"/>
        <w:rPr>
          <w:noProof/>
        </w:rPr>
      </w:pPr>
      <w:r>
        <w:rPr>
          <w:noProof/>
        </w:rPr>
        <w:sym w:font="Wingdings" w:char="F0A8"/>
      </w:r>
      <w:r>
        <w:rPr>
          <w:noProof/>
        </w:rPr>
        <w:t xml:space="preserve"> subjektom javnega prava,</w:t>
      </w:r>
    </w:p>
    <w:p>
      <w:pPr>
        <w:pStyle w:val="Text1"/>
        <w:rPr>
          <w:noProof/>
        </w:rPr>
      </w:pPr>
      <w:r>
        <w:rPr>
          <w:noProof/>
        </w:rPr>
        <w:sym w:font="Wingdings" w:char="F0A8"/>
      </w:r>
      <w:r>
        <w:rPr>
          <w:noProof/>
        </w:rPr>
        <w:t xml:space="preserve"> subjektom zasebnega prava, ki opravljajo javne storitve, v kolikor ti subjekti zagotavljajo ustrezna finančna jamstva,</w:t>
      </w:r>
    </w:p>
    <w:p>
      <w:pPr>
        <w:pStyle w:val="Text1"/>
        <w:rPr>
          <w:noProof/>
        </w:rPr>
      </w:pPr>
      <w:r>
        <w:rPr>
          <w:noProof/>
        </w:rPr>
        <w:sym w:font="Wingdings" w:char="F0A8"/>
      </w:r>
      <w:r>
        <w:rPr>
          <w:noProof/>
        </w:rPr>
        <w:t xml:space="preserve"> subjektom zasebnega prava države članice, ki so pooblaščeni za izvajanje javno-zasebnih partnerstev in ki zagotavljajo ustrezna finančna jamstva,</w:t>
      </w:r>
    </w:p>
    <w:p>
      <w:pPr>
        <w:pStyle w:val="Text1"/>
        <w:rPr>
          <w:noProof/>
        </w:rPr>
      </w:pPr>
      <w:r>
        <w:rPr>
          <w:noProof/>
        </w:rPr>
        <w:sym w:font="Wingdings" w:char="F0A8"/>
      </w:r>
      <w:r>
        <w:rPr>
          <w:noProof/>
        </w:rPr>
        <w:t xml:space="preserve"> osebam, pooblaščenim za izvajanje določenih ukrepov SZVP v skladu z naslovom V PEU in opredeljenim v zadevnem temeljnem aktu.</w:t>
      </w:r>
    </w:p>
    <w:p>
      <w:pPr>
        <w:rPr>
          <w:noProof/>
        </w:rPr>
      </w:pPr>
      <w:r>
        <w:rPr>
          <w:noProof/>
        </w:rPr>
        <w:t xml:space="preserve">Opombe </w:t>
      </w:r>
    </w:p>
    <w:p>
      <w:pPr>
        <w:pBdr>
          <w:top w:val="single" w:sz="4" w:space="1" w:color="auto"/>
          <w:left w:val="single" w:sz="4" w:space="4" w:color="auto"/>
          <w:bottom w:val="single" w:sz="4" w:space="1" w:color="auto"/>
          <w:right w:val="single" w:sz="4" w:space="4" w:color="auto"/>
        </w:pBdr>
        <w:jc w:val="left"/>
        <w:rPr>
          <w:noProof/>
        </w:rPr>
        <w:sectPr>
          <w:pgSz w:w="11907" w:h="16839" w:code="9"/>
          <w:pgMar w:top="794" w:right="907" w:bottom="851" w:left="1361" w:header="510" w:footer="454" w:gutter="0"/>
          <w:cols w:space="720"/>
          <w:docGrid w:linePitch="326"/>
        </w:sectPr>
      </w:pPr>
      <w:r>
        <w:rPr>
          <w:noProof/>
        </w:rPr>
        <w:t>Ni relevantno.</w:t>
      </w:r>
    </w:p>
    <w:p>
      <w:pPr>
        <w:pStyle w:val="ManualHeading1"/>
        <w:rPr>
          <w:bCs/>
          <w:noProof/>
          <w:szCs w:val="24"/>
        </w:rPr>
      </w:pPr>
      <w:r>
        <w:t>2.</w:t>
      </w:r>
      <w:r>
        <w:tab/>
      </w:r>
      <w:r>
        <w:rPr>
          <w:noProof/>
        </w:rPr>
        <w:t xml:space="preserve">UKREPI UPRAVLJANJA </w:t>
      </w:r>
    </w:p>
    <w:p>
      <w:pPr>
        <w:pStyle w:val="ManualHeading2"/>
        <w:rPr>
          <w:bCs/>
          <w:noProof/>
          <w:szCs w:val="24"/>
        </w:rPr>
      </w:pPr>
      <w:r>
        <w:t>2.1.</w:t>
      </w:r>
      <w:r>
        <w:tab/>
      </w:r>
      <w:r>
        <w:rPr>
          <w:noProof/>
        </w:rPr>
        <w:t xml:space="preserve">Pravila o spremljanju in poročanju </w:t>
      </w:r>
    </w:p>
    <w:p>
      <w:pPr>
        <w:pStyle w:val="Text1"/>
        <w:rPr>
          <w:i/>
          <w:noProof/>
          <w:sz w:val="20"/>
        </w:rPr>
      </w:pPr>
      <w:r>
        <w:rPr>
          <w:i/>
          <w:noProof/>
          <w:sz w:val="20"/>
        </w:rPr>
        <w:t>Navedite pogostost in pogoje.</w:t>
      </w:r>
    </w:p>
    <w:p>
      <w:pPr>
        <w:pStyle w:val="Text1"/>
        <w:pBdr>
          <w:top w:val="single" w:sz="4" w:space="1" w:color="auto"/>
          <w:left w:val="single" w:sz="4" w:space="4" w:color="auto"/>
          <w:bottom w:val="single" w:sz="4" w:space="1" w:color="auto"/>
          <w:right w:val="single" w:sz="4" w:space="4" w:color="auto"/>
        </w:pBdr>
        <w:rPr>
          <w:noProof/>
        </w:rPr>
      </w:pPr>
      <w:r>
        <w:rPr>
          <w:noProof/>
        </w:rPr>
        <w:t>Predlog predlaga vzpostavitev javno-zasebne platforme o financiranju trajnostne rasti za spremljanje ključnih sprememb, da se zagotovijo napredek, povečanje in prilagodljivost taksonomije EU za trajnostne dejavnosti. Komisija bo udeležbo evropskih nadzornih organov in EEA spremljala na podlagi nalog, predvidenih v predlogu.</w:t>
      </w:r>
    </w:p>
    <w:p>
      <w:pPr>
        <w:pStyle w:val="ManualHeading2"/>
        <w:rPr>
          <w:bCs/>
          <w:noProof/>
          <w:szCs w:val="24"/>
        </w:rPr>
      </w:pPr>
      <w:r>
        <w:t>2.2.</w:t>
      </w:r>
      <w:r>
        <w:tab/>
      </w:r>
      <w:r>
        <w:rPr>
          <w:noProof/>
        </w:rPr>
        <w:t xml:space="preserve">Upravljavski in kontrolni sistem </w:t>
      </w:r>
    </w:p>
    <w:p>
      <w:pPr>
        <w:pStyle w:val="ManualHeading3"/>
        <w:rPr>
          <w:bCs/>
          <w:noProof/>
          <w:szCs w:val="24"/>
        </w:rPr>
      </w:pPr>
      <w:r>
        <w:t>2.2.1.</w:t>
      </w:r>
      <w:r>
        <w:tab/>
      </w:r>
      <w:r>
        <w:rPr>
          <w:noProof/>
        </w:rPr>
        <w:t xml:space="preserve">Ugotovljena tveganja </w:t>
      </w:r>
    </w:p>
    <w:p>
      <w:pPr>
        <w:pStyle w:val="Text1"/>
        <w:pBdr>
          <w:top w:val="single" w:sz="4" w:space="1" w:color="auto"/>
          <w:left w:val="single" w:sz="4" w:space="4" w:color="auto"/>
          <w:bottom w:val="single" w:sz="4" w:space="1" w:color="auto"/>
          <w:right w:val="single" w:sz="4" w:space="4" w:color="auto"/>
        </w:pBdr>
        <w:rPr>
          <w:noProof/>
        </w:rPr>
      </w:pPr>
      <w:r>
        <w:rPr>
          <w:noProof/>
        </w:rPr>
        <w:t>V zvezi z zakonito, gospodarno, učinkovito in uspešno uporabo odobritev, ki izhajajo iz ukrepov, ki naj bi jih izvajali evropski nadzorni organi in Evropska agencija za okolje v okviru tega predloga, ta pobuda ne prinaša novih večjih tveganj, ki jih obstoječi okvir notranjega nadzora še ne zajema.</w:t>
      </w:r>
    </w:p>
    <w:p>
      <w:pPr>
        <w:pStyle w:val="Text1"/>
        <w:pBdr>
          <w:top w:val="single" w:sz="4" w:space="1" w:color="auto"/>
          <w:left w:val="single" w:sz="4" w:space="4" w:color="auto"/>
          <w:bottom w:val="single" w:sz="4" w:space="1" w:color="auto"/>
          <w:right w:val="single" w:sz="4" w:space="4" w:color="auto"/>
        </w:pBdr>
        <w:shd w:val="clear" w:color="auto" w:fill="FFFFFF" w:themeFill="background1"/>
        <w:rPr>
          <w:noProof/>
        </w:rPr>
      </w:pPr>
      <w:r>
        <w:rPr>
          <w:noProof/>
        </w:rPr>
        <w:t>Ukrepi, ki jih je treba izvesti v okviru tega predloga, se bodo začeli izvajati leta 2020 ter se bodo nadaljevali, zato jih je treba predvideti v novem večletnem finančnem okviru (VFO).</w:t>
      </w:r>
    </w:p>
    <w:p>
      <w:pPr>
        <w:pStyle w:val="ManualHeading3"/>
        <w:rPr>
          <w:bCs/>
          <w:noProof/>
          <w:szCs w:val="24"/>
        </w:rPr>
      </w:pPr>
      <w:r>
        <w:t>2.2.2.</w:t>
      </w:r>
      <w:r>
        <w:tab/>
      </w:r>
      <w:r>
        <w:rPr>
          <w:noProof/>
        </w:rPr>
        <w:t xml:space="preserve">Načrtovani načini kontrole </w:t>
      </w:r>
    </w:p>
    <w:p>
      <w:pPr>
        <w:pStyle w:val="Text1"/>
        <w:pBdr>
          <w:top w:val="single" w:sz="4" w:space="1" w:color="auto"/>
          <w:left w:val="single" w:sz="4" w:space="4" w:color="auto"/>
          <w:bottom w:val="single" w:sz="4" w:space="1" w:color="auto"/>
          <w:right w:val="single" w:sz="4" w:space="4" w:color="auto"/>
        </w:pBdr>
        <w:rPr>
          <w:noProof/>
        </w:rPr>
      </w:pPr>
      <w:r>
        <w:rPr>
          <w:noProof/>
        </w:rPr>
        <w:t xml:space="preserve">Sistemi upravljanja in nadzora so določeni v uredbah, ki trenutno urejajo delovanje evropskih nadzornih organov in EEA. Ti organi tesno sodelujejo s Službo Komisije za notranjo revizijo, da se zagotovi upoštevanje ustreznih standardov na vseh področjih v okviru notranje kontrole. </w:t>
      </w:r>
    </w:p>
    <w:p>
      <w:pPr>
        <w:pStyle w:val="Text1"/>
        <w:pBdr>
          <w:top w:val="single" w:sz="4" w:space="1" w:color="auto"/>
          <w:left w:val="single" w:sz="4" w:space="4" w:color="auto"/>
          <w:bottom w:val="single" w:sz="4" w:space="1" w:color="auto"/>
          <w:right w:val="single" w:sz="4" w:space="4" w:color="auto"/>
        </w:pBdr>
        <w:rPr>
          <w:noProof/>
        </w:rPr>
      </w:pPr>
      <w:r>
        <w:rPr>
          <w:noProof/>
        </w:rPr>
        <w:t xml:space="preserve">Evropski parlament vsako leto po priporočilu Sveta vsakemu evropskemu nadzornemu organu in EEA podeli razrešnico za izvrševanje njihovega proračuna. </w:t>
      </w:r>
    </w:p>
    <w:p>
      <w:pPr>
        <w:pStyle w:val="ManualHeading2"/>
        <w:rPr>
          <w:bCs/>
          <w:noProof/>
          <w:szCs w:val="24"/>
        </w:rPr>
      </w:pPr>
      <w:r>
        <w:t>2.3.</w:t>
      </w:r>
      <w:r>
        <w:tab/>
      </w:r>
      <w:r>
        <w:rPr>
          <w:noProof/>
        </w:rPr>
        <w:t xml:space="preserve">Ukrepi za preprečevanje goljufij in nepravilnosti </w:t>
      </w:r>
    </w:p>
    <w:p>
      <w:pPr>
        <w:pStyle w:val="Text1"/>
        <w:rPr>
          <w:i/>
          <w:noProof/>
          <w:sz w:val="20"/>
        </w:rPr>
      </w:pPr>
      <w:r>
        <w:rPr>
          <w:i/>
          <w:noProof/>
          <w:sz w:val="20"/>
        </w:rPr>
        <w:t>Navedite obstoječe ali načrtovane preprečevalne in zaščitne ukrepe.</w:t>
      </w:r>
    </w:p>
    <w:p>
      <w:pPr>
        <w:pStyle w:val="Text1"/>
        <w:pBdr>
          <w:top w:val="single" w:sz="4" w:space="1" w:color="auto"/>
          <w:left w:val="single" w:sz="4" w:space="4" w:color="auto"/>
          <w:bottom w:val="single" w:sz="4" w:space="1" w:color="auto"/>
          <w:right w:val="single" w:sz="4" w:space="4" w:color="auto"/>
        </w:pBdr>
        <w:rPr>
          <w:noProof/>
        </w:rPr>
      </w:pPr>
      <w:r>
        <w:rPr>
          <w:noProof/>
        </w:rPr>
        <w:t xml:space="preserve">Zaradi boja proti goljufijam, korupciji in drugim nezakonitim dejanjem se določbe Uredbe (EU, Euratom) št. 883/2013 Evropskega parlamenta in Sveta z dne 11. septembra 2013 o preiskavah, ki jih izvaja Evropski urad za boj proti goljufijam (OLAF) za evropske nadzorne organe in EEA uporabljajo brez omejitev. Evropski nadzorni organi in EEA imajo namensko strategijo boja proti goljufijam in akcijski načrt, ki temelji na njej. Poleg tega uredbe o ustanovitvi evropskih nadzornih organov in EEA ter finančni predpisi evropskih nadzornih organov vsebujejo določbe o izvrševanju in nadzoru proračunov in veljavnih finančnih pravil evropskih nadzornih organov in EEA, vključno s pravili o preprečevanju goljufij in nepravilnosti. </w:t>
      </w:r>
    </w:p>
    <w:p>
      <w:pPr>
        <w:rPr>
          <w:noProof/>
        </w:rPr>
        <w:sectPr>
          <w:pgSz w:w="11907" w:h="16839" w:code="9"/>
          <w:pgMar w:top="794" w:right="907" w:bottom="851" w:left="1361" w:header="510" w:footer="454" w:gutter="0"/>
          <w:cols w:space="720"/>
          <w:docGrid w:linePitch="326"/>
        </w:sectPr>
      </w:pPr>
    </w:p>
    <w:p>
      <w:pPr>
        <w:pStyle w:val="ManualHeading1"/>
        <w:rPr>
          <w:bCs/>
          <w:noProof/>
          <w:szCs w:val="24"/>
        </w:rPr>
      </w:pPr>
      <w:r>
        <w:t>3.</w:t>
      </w:r>
      <w:r>
        <w:tab/>
      </w:r>
      <w:r>
        <w:rPr>
          <w:noProof/>
        </w:rPr>
        <w:t xml:space="preserve">OCENA FINANČNIH POSLEDIC PREDLOGA/POBUDE </w:t>
      </w:r>
    </w:p>
    <w:p>
      <w:pPr>
        <w:pStyle w:val="ManualHeading2"/>
        <w:rPr>
          <w:bCs/>
          <w:noProof/>
          <w:szCs w:val="24"/>
        </w:rPr>
      </w:pPr>
      <w:r>
        <w:t>3.1.</w:t>
      </w:r>
      <w:r>
        <w:tab/>
      </w:r>
      <w:r>
        <w:rPr>
          <w:noProof/>
        </w:rPr>
        <w:t xml:space="preserve">Zadevni razdelki večletnega finančnega okvira in odhodkovne proračunske vrstice </w:t>
      </w:r>
    </w:p>
    <w:p>
      <w:pPr>
        <w:pStyle w:val="ListBullet1"/>
        <w:rPr>
          <w:noProof/>
        </w:rPr>
      </w:pPr>
      <w:r>
        <w:rPr>
          <w:noProof/>
        </w:rPr>
        <w:t xml:space="preserve">Obstoječe proračunske vrstice </w:t>
      </w:r>
    </w:p>
    <w:p>
      <w:pPr>
        <w:pStyle w:val="Text1"/>
        <w:rPr>
          <w:noProof/>
        </w:rPr>
      </w:pPr>
      <w:r>
        <w:rPr>
          <w:noProof/>
          <w:u w:val="single"/>
        </w:rPr>
        <w:t>Po vrstnem redu</w:t>
      </w:r>
      <w:r>
        <w:rPr>
          <w:noProof/>
        </w:rPr>
        <w:t xml:space="preserve"> razdelkov večletnega finančnega okvira in proračunskih vrstic.</w:t>
      </w:r>
    </w:p>
    <w:tbl>
      <w:tblPr>
        <w:tblW w:w="10676"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78"/>
        <w:gridCol w:w="3262"/>
        <w:gridCol w:w="1080"/>
        <w:gridCol w:w="956"/>
        <w:gridCol w:w="1080"/>
        <w:gridCol w:w="956"/>
        <w:gridCol w:w="1564"/>
      </w:tblGrid>
      <w:tr>
        <w:tc>
          <w:tcPr>
            <w:tcW w:w="1778" w:type="dxa"/>
            <w:vMerge w:val="restart"/>
            <w:vAlign w:val="center"/>
          </w:tcPr>
          <w:p>
            <w:pPr>
              <w:spacing w:before="60" w:after="60"/>
              <w:jc w:val="center"/>
              <w:rPr>
                <w:noProof/>
                <w:sz w:val="18"/>
              </w:rPr>
            </w:pPr>
            <w:r>
              <w:rPr>
                <w:noProof/>
                <w:sz w:val="18"/>
              </w:rPr>
              <w:t>Razdelek večletnega finančnega okvira</w:t>
            </w:r>
          </w:p>
        </w:tc>
        <w:tc>
          <w:tcPr>
            <w:tcW w:w="3262" w:type="dxa"/>
            <w:vAlign w:val="center"/>
          </w:tcPr>
          <w:p>
            <w:pPr>
              <w:spacing w:before="60" w:after="60"/>
              <w:jc w:val="center"/>
              <w:rPr>
                <w:noProof/>
              </w:rPr>
            </w:pPr>
            <w:r>
              <w:rPr>
                <w:noProof/>
                <w:sz w:val="20"/>
              </w:rPr>
              <w:t>Proračunska vrstica</w:t>
            </w:r>
          </w:p>
        </w:tc>
        <w:tc>
          <w:tcPr>
            <w:tcW w:w="1080" w:type="dxa"/>
            <w:vAlign w:val="center"/>
          </w:tcPr>
          <w:p>
            <w:pPr>
              <w:spacing w:before="60" w:after="60"/>
              <w:jc w:val="center"/>
              <w:rPr>
                <w:noProof/>
              </w:rPr>
            </w:pPr>
            <w:r>
              <w:rPr>
                <w:noProof/>
                <w:sz w:val="18"/>
              </w:rPr>
              <w:t>Vrsta</w:t>
            </w:r>
            <w:r>
              <w:rPr>
                <w:noProof/>
                <w:sz w:val="22"/>
              </w:rPr>
              <w:br/>
            </w:r>
            <w:r>
              <w:rPr>
                <w:noProof/>
                <w:sz w:val="18"/>
              </w:rPr>
              <w:t>odhodkov</w:t>
            </w:r>
          </w:p>
        </w:tc>
        <w:tc>
          <w:tcPr>
            <w:tcW w:w="4556" w:type="dxa"/>
            <w:gridSpan w:val="4"/>
            <w:vAlign w:val="center"/>
          </w:tcPr>
          <w:p>
            <w:pPr>
              <w:spacing w:before="60" w:after="60"/>
              <w:jc w:val="center"/>
              <w:rPr>
                <w:noProof/>
              </w:rPr>
            </w:pPr>
            <w:r>
              <w:rPr>
                <w:noProof/>
                <w:sz w:val="20"/>
              </w:rPr>
              <w:t xml:space="preserve">Prispevek </w:t>
            </w:r>
          </w:p>
        </w:tc>
      </w:tr>
      <w:tr>
        <w:tc>
          <w:tcPr>
            <w:tcW w:w="1778" w:type="dxa"/>
            <w:vMerge/>
            <w:vAlign w:val="center"/>
          </w:tcPr>
          <w:p>
            <w:pPr>
              <w:rPr>
                <w:noProof/>
                <w:sz w:val="18"/>
              </w:rPr>
            </w:pPr>
          </w:p>
        </w:tc>
        <w:tc>
          <w:tcPr>
            <w:tcW w:w="3262" w:type="dxa"/>
            <w:vAlign w:val="center"/>
          </w:tcPr>
          <w:p>
            <w:pPr>
              <w:jc w:val="left"/>
              <w:rPr>
                <w:noProof/>
              </w:rPr>
            </w:pPr>
            <w:r>
              <w:rPr>
                <w:noProof/>
                <w:sz w:val="20"/>
              </w:rPr>
              <w:t xml:space="preserve">številka </w:t>
            </w:r>
            <w:r>
              <w:rPr>
                <w:noProof/>
                <w:sz w:val="22"/>
              </w:rPr>
              <w:br/>
            </w:r>
          </w:p>
        </w:tc>
        <w:tc>
          <w:tcPr>
            <w:tcW w:w="1080" w:type="dxa"/>
            <w:vAlign w:val="center"/>
          </w:tcPr>
          <w:p>
            <w:pPr>
              <w:jc w:val="center"/>
              <w:rPr>
                <w:noProof/>
              </w:rPr>
            </w:pPr>
            <w:r>
              <w:rPr>
                <w:noProof/>
                <w:sz w:val="18"/>
              </w:rPr>
              <w:t>dif./nedif</w:t>
            </w:r>
            <w:r>
              <w:rPr>
                <w:rStyle w:val="FootnoteReference"/>
                <w:noProof/>
                <w:sz w:val="18"/>
              </w:rPr>
              <w:footnoteReference w:id="58"/>
            </w:r>
            <w:r>
              <w:rPr>
                <w:noProof/>
              </w:rPr>
              <w:t>.</w:t>
            </w:r>
          </w:p>
        </w:tc>
        <w:tc>
          <w:tcPr>
            <w:tcW w:w="956" w:type="dxa"/>
            <w:vAlign w:val="center"/>
          </w:tcPr>
          <w:p>
            <w:pPr>
              <w:jc w:val="center"/>
              <w:rPr>
                <w:noProof/>
              </w:rPr>
            </w:pPr>
            <w:r>
              <w:rPr>
                <w:noProof/>
                <w:sz w:val="18"/>
              </w:rPr>
              <w:t>držav Efte</w:t>
            </w:r>
            <w:r>
              <w:rPr>
                <w:rStyle w:val="FootnoteReference"/>
                <w:noProof/>
                <w:sz w:val="18"/>
              </w:rPr>
              <w:footnoteReference w:id="59"/>
            </w:r>
          </w:p>
        </w:tc>
        <w:tc>
          <w:tcPr>
            <w:tcW w:w="1080" w:type="dxa"/>
            <w:vAlign w:val="center"/>
          </w:tcPr>
          <w:p>
            <w:pPr>
              <w:jc w:val="center"/>
              <w:rPr>
                <w:noProof/>
                <w:sz w:val="18"/>
              </w:rPr>
            </w:pPr>
            <w:r>
              <w:rPr>
                <w:noProof/>
                <w:sz w:val="18"/>
              </w:rPr>
              <w:t>držav kandidatk</w:t>
            </w:r>
            <w:r>
              <w:rPr>
                <w:rStyle w:val="FootnoteReference"/>
                <w:noProof/>
                <w:sz w:val="18"/>
              </w:rPr>
              <w:footnoteReference w:id="60"/>
            </w:r>
          </w:p>
        </w:tc>
        <w:tc>
          <w:tcPr>
            <w:tcW w:w="956" w:type="dxa"/>
            <w:vAlign w:val="center"/>
          </w:tcPr>
          <w:p>
            <w:pPr>
              <w:jc w:val="center"/>
              <w:rPr>
                <w:noProof/>
                <w:sz w:val="18"/>
              </w:rPr>
            </w:pPr>
            <w:r>
              <w:rPr>
                <w:noProof/>
                <w:sz w:val="18"/>
              </w:rPr>
              <w:t>tretjih držav</w:t>
            </w:r>
          </w:p>
        </w:tc>
        <w:tc>
          <w:tcPr>
            <w:tcW w:w="1564" w:type="dxa"/>
            <w:vAlign w:val="center"/>
          </w:tcPr>
          <w:p>
            <w:pPr>
              <w:jc w:val="center"/>
              <w:rPr>
                <w:noProof/>
                <w:sz w:val="16"/>
                <w:szCs w:val="16"/>
              </w:rPr>
            </w:pPr>
            <w:r>
              <w:rPr>
                <w:noProof/>
                <w:sz w:val="16"/>
              </w:rPr>
              <w:t xml:space="preserve">po členu 21(2)(b) finančne uredbe </w:t>
            </w:r>
          </w:p>
        </w:tc>
      </w:tr>
      <w:tr>
        <w:tc>
          <w:tcPr>
            <w:tcW w:w="1778" w:type="dxa"/>
            <w:vMerge w:val="restart"/>
            <w:vAlign w:val="center"/>
          </w:tcPr>
          <w:p>
            <w:pPr>
              <w:jc w:val="center"/>
              <w:rPr>
                <w:b/>
                <w:bCs/>
                <w:noProof/>
              </w:rPr>
            </w:pPr>
            <w:r>
              <w:rPr>
                <w:noProof/>
              </w:rPr>
              <w:t>1a) Konkurenčnost za rast in delovna mesta</w:t>
            </w:r>
          </w:p>
        </w:tc>
        <w:tc>
          <w:tcPr>
            <w:tcW w:w="3262" w:type="dxa"/>
            <w:vAlign w:val="center"/>
          </w:tcPr>
          <w:p>
            <w:pPr>
              <w:spacing w:after="60"/>
              <w:rPr>
                <w:noProof/>
              </w:rPr>
            </w:pPr>
            <w:r>
              <w:rPr>
                <w:noProof/>
                <w:sz w:val="20"/>
              </w:rPr>
              <w:t>12.0201 FISMA</w:t>
            </w:r>
          </w:p>
        </w:tc>
        <w:tc>
          <w:tcPr>
            <w:tcW w:w="1080" w:type="dxa"/>
            <w:vAlign w:val="center"/>
          </w:tcPr>
          <w:p>
            <w:pPr>
              <w:jc w:val="center"/>
              <w:rPr>
                <w:noProof/>
                <w:color w:val="0000FF"/>
              </w:rPr>
            </w:pPr>
            <w:r>
              <w:rPr>
                <w:noProof/>
                <w:sz w:val="18"/>
              </w:rPr>
              <w:t>dif.</w:t>
            </w:r>
          </w:p>
        </w:tc>
        <w:tc>
          <w:tcPr>
            <w:tcW w:w="956" w:type="dxa"/>
            <w:vAlign w:val="center"/>
          </w:tcPr>
          <w:p>
            <w:pPr>
              <w:jc w:val="center"/>
              <w:rPr>
                <w:noProof/>
              </w:rPr>
            </w:pPr>
            <w:r>
              <w:rPr>
                <w:noProof/>
              </w:rPr>
              <w:t>NE</w:t>
            </w:r>
          </w:p>
        </w:tc>
        <w:tc>
          <w:tcPr>
            <w:tcW w:w="1080" w:type="dxa"/>
            <w:vAlign w:val="center"/>
          </w:tcPr>
          <w:p>
            <w:pPr>
              <w:jc w:val="center"/>
              <w:rPr>
                <w:noProof/>
              </w:rPr>
            </w:pPr>
            <w:r>
              <w:rPr>
                <w:noProof/>
              </w:rPr>
              <w:t>NE</w:t>
            </w:r>
          </w:p>
        </w:tc>
        <w:tc>
          <w:tcPr>
            <w:tcW w:w="956" w:type="dxa"/>
            <w:vAlign w:val="center"/>
          </w:tcPr>
          <w:p>
            <w:pPr>
              <w:jc w:val="center"/>
              <w:rPr>
                <w:noProof/>
              </w:rPr>
            </w:pPr>
            <w:r>
              <w:rPr>
                <w:noProof/>
              </w:rPr>
              <w:t>NE</w:t>
            </w:r>
          </w:p>
        </w:tc>
        <w:tc>
          <w:tcPr>
            <w:tcW w:w="1564" w:type="dxa"/>
            <w:vAlign w:val="center"/>
          </w:tcPr>
          <w:p>
            <w:pPr>
              <w:jc w:val="center"/>
              <w:rPr>
                <w:noProof/>
              </w:rPr>
            </w:pPr>
            <w:r>
              <w:rPr>
                <w:noProof/>
              </w:rPr>
              <w:t>NE</w:t>
            </w:r>
          </w:p>
        </w:tc>
      </w:tr>
      <w:tr>
        <w:tc>
          <w:tcPr>
            <w:tcW w:w="1778" w:type="dxa"/>
            <w:vMerge/>
            <w:vAlign w:val="center"/>
          </w:tcPr>
          <w:p>
            <w:pPr>
              <w:jc w:val="center"/>
              <w:rPr>
                <w:noProof/>
              </w:rPr>
            </w:pPr>
          </w:p>
        </w:tc>
        <w:tc>
          <w:tcPr>
            <w:tcW w:w="3262" w:type="dxa"/>
            <w:vAlign w:val="center"/>
          </w:tcPr>
          <w:p>
            <w:pPr>
              <w:spacing w:after="60"/>
              <w:rPr>
                <w:noProof/>
                <w:sz w:val="20"/>
              </w:rPr>
            </w:pPr>
            <w:r>
              <w:rPr>
                <w:noProof/>
                <w:sz w:val="20"/>
              </w:rPr>
              <w:t>12.0204 EBA</w:t>
            </w:r>
          </w:p>
        </w:tc>
        <w:tc>
          <w:tcPr>
            <w:tcW w:w="1080" w:type="dxa"/>
            <w:vAlign w:val="center"/>
          </w:tcPr>
          <w:p>
            <w:pPr>
              <w:jc w:val="center"/>
              <w:rPr>
                <w:noProof/>
                <w:sz w:val="18"/>
              </w:rPr>
            </w:pPr>
            <w:r>
              <w:rPr>
                <w:noProof/>
                <w:sz w:val="18"/>
              </w:rPr>
              <w:t>dif.</w:t>
            </w:r>
          </w:p>
        </w:tc>
        <w:tc>
          <w:tcPr>
            <w:tcW w:w="956" w:type="dxa"/>
            <w:vAlign w:val="center"/>
          </w:tcPr>
          <w:p>
            <w:pPr>
              <w:jc w:val="center"/>
              <w:rPr>
                <w:noProof/>
              </w:rPr>
            </w:pPr>
            <w:r>
              <w:rPr>
                <w:noProof/>
              </w:rPr>
              <w:t>NE</w:t>
            </w:r>
          </w:p>
        </w:tc>
        <w:tc>
          <w:tcPr>
            <w:tcW w:w="1080" w:type="dxa"/>
            <w:vAlign w:val="center"/>
          </w:tcPr>
          <w:p>
            <w:pPr>
              <w:jc w:val="center"/>
              <w:rPr>
                <w:noProof/>
              </w:rPr>
            </w:pPr>
            <w:r>
              <w:rPr>
                <w:noProof/>
              </w:rPr>
              <w:t>NE</w:t>
            </w:r>
          </w:p>
        </w:tc>
        <w:tc>
          <w:tcPr>
            <w:tcW w:w="956" w:type="dxa"/>
            <w:vAlign w:val="center"/>
          </w:tcPr>
          <w:p>
            <w:pPr>
              <w:jc w:val="center"/>
              <w:rPr>
                <w:noProof/>
              </w:rPr>
            </w:pPr>
            <w:r>
              <w:rPr>
                <w:noProof/>
              </w:rPr>
              <w:t>NE</w:t>
            </w:r>
          </w:p>
        </w:tc>
        <w:tc>
          <w:tcPr>
            <w:tcW w:w="1564" w:type="dxa"/>
            <w:vAlign w:val="center"/>
          </w:tcPr>
          <w:p>
            <w:pPr>
              <w:jc w:val="center"/>
              <w:rPr>
                <w:noProof/>
              </w:rPr>
            </w:pPr>
            <w:r>
              <w:rPr>
                <w:noProof/>
              </w:rPr>
              <w:t>NE</w:t>
            </w:r>
          </w:p>
        </w:tc>
      </w:tr>
      <w:tr>
        <w:tc>
          <w:tcPr>
            <w:tcW w:w="1778" w:type="dxa"/>
            <w:vMerge/>
            <w:vAlign w:val="center"/>
          </w:tcPr>
          <w:p>
            <w:pPr>
              <w:jc w:val="center"/>
              <w:rPr>
                <w:noProof/>
              </w:rPr>
            </w:pPr>
          </w:p>
        </w:tc>
        <w:tc>
          <w:tcPr>
            <w:tcW w:w="3262" w:type="dxa"/>
            <w:vAlign w:val="center"/>
          </w:tcPr>
          <w:p>
            <w:pPr>
              <w:spacing w:after="60"/>
              <w:rPr>
                <w:noProof/>
                <w:sz w:val="20"/>
              </w:rPr>
            </w:pPr>
            <w:r>
              <w:rPr>
                <w:noProof/>
                <w:sz w:val="20"/>
              </w:rPr>
              <w:t>12.0205 EIOPA</w:t>
            </w:r>
          </w:p>
        </w:tc>
        <w:tc>
          <w:tcPr>
            <w:tcW w:w="1080" w:type="dxa"/>
            <w:vAlign w:val="center"/>
          </w:tcPr>
          <w:p>
            <w:pPr>
              <w:jc w:val="center"/>
              <w:rPr>
                <w:noProof/>
                <w:sz w:val="18"/>
              </w:rPr>
            </w:pPr>
            <w:r>
              <w:rPr>
                <w:noProof/>
                <w:sz w:val="18"/>
              </w:rPr>
              <w:t>dif.</w:t>
            </w:r>
          </w:p>
        </w:tc>
        <w:tc>
          <w:tcPr>
            <w:tcW w:w="956" w:type="dxa"/>
            <w:vAlign w:val="center"/>
          </w:tcPr>
          <w:p>
            <w:pPr>
              <w:jc w:val="center"/>
              <w:rPr>
                <w:noProof/>
              </w:rPr>
            </w:pPr>
            <w:r>
              <w:rPr>
                <w:noProof/>
              </w:rPr>
              <w:t>NE</w:t>
            </w:r>
          </w:p>
        </w:tc>
        <w:tc>
          <w:tcPr>
            <w:tcW w:w="1080" w:type="dxa"/>
            <w:vAlign w:val="center"/>
          </w:tcPr>
          <w:p>
            <w:pPr>
              <w:jc w:val="center"/>
              <w:rPr>
                <w:noProof/>
              </w:rPr>
            </w:pPr>
            <w:r>
              <w:rPr>
                <w:noProof/>
              </w:rPr>
              <w:t>NE</w:t>
            </w:r>
          </w:p>
        </w:tc>
        <w:tc>
          <w:tcPr>
            <w:tcW w:w="956" w:type="dxa"/>
            <w:vAlign w:val="center"/>
          </w:tcPr>
          <w:p>
            <w:pPr>
              <w:jc w:val="center"/>
              <w:rPr>
                <w:noProof/>
              </w:rPr>
            </w:pPr>
            <w:r>
              <w:rPr>
                <w:noProof/>
              </w:rPr>
              <w:t>NE</w:t>
            </w:r>
          </w:p>
        </w:tc>
        <w:tc>
          <w:tcPr>
            <w:tcW w:w="1564" w:type="dxa"/>
            <w:vAlign w:val="center"/>
          </w:tcPr>
          <w:p>
            <w:pPr>
              <w:jc w:val="center"/>
              <w:rPr>
                <w:noProof/>
              </w:rPr>
            </w:pPr>
            <w:r>
              <w:rPr>
                <w:noProof/>
              </w:rPr>
              <w:t>NE</w:t>
            </w:r>
          </w:p>
        </w:tc>
      </w:tr>
      <w:tr>
        <w:tc>
          <w:tcPr>
            <w:tcW w:w="1778" w:type="dxa"/>
            <w:vMerge/>
            <w:vAlign w:val="center"/>
          </w:tcPr>
          <w:p>
            <w:pPr>
              <w:jc w:val="center"/>
              <w:rPr>
                <w:noProof/>
              </w:rPr>
            </w:pPr>
          </w:p>
        </w:tc>
        <w:tc>
          <w:tcPr>
            <w:tcW w:w="3262" w:type="dxa"/>
            <w:vAlign w:val="center"/>
          </w:tcPr>
          <w:p>
            <w:pPr>
              <w:spacing w:after="60"/>
              <w:rPr>
                <w:noProof/>
                <w:sz w:val="20"/>
              </w:rPr>
            </w:pPr>
            <w:r>
              <w:rPr>
                <w:noProof/>
                <w:sz w:val="20"/>
              </w:rPr>
              <w:t>12.0206 ESMA</w:t>
            </w:r>
          </w:p>
        </w:tc>
        <w:tc>
          <w:tcPr>
            <w:tcW w:w="1080" w:type="dxa"/>
            <w:vAlign w:val="center"/>
          </w:tcPr>
          <w:p>
            <w:pPr>
              <w:jc w:val="center"/>
              <w:rPr>
                <w:noProof/>
                <w:sz w:val="18"/>
              </w:rPr>
            </w:pPr>
            <w:r>
              <w:rPr>
                <w:noProof/>
                <w:sz w:val="18"/>
              </w:rPr>
              <w:t>dif.</w:t>
            </w:r>
          </w:p>
        </w:tc>
        <w:tc>
          <w:tcPr>
            <w:tcW w:w="956" w:type="dxa"/>
            <w:vAlign w:val="center"/>
          </w:tcPr>
          <w:p>
            <w:pPr>
              <w:jc w:val="center"/>
              <w:rPr>
                <w:noProof/>
              </w:rPr>
            </w:pPr>
            <w:r>
              <w:rPr>
                <w:noProof/>
              </w:rPr>
              <w:t>NE</w:t>
            </w:r>
          </w:p>
        </w:tc>
        <w:tc>
          <w:tcPr>
            <w:tcW w:w="1080" w:type="dxa"/>
            <w:vAlign w:val="center"/>
          </w:tcPr>
          <w:p>
            <w:pPr>
              <w:jc w:val="center"/>
              <w:rPr>
                <w:noProof/>
              </w:rPr>
            </w:pPr>
            <w:r>
              <w:rPr>
                <w:noProof/>
              </w:rPr>
              <w:t>NE</w:t>
            </w:r>
          </w:p>
        </w:tc>
        <w:tc>
          <w:tcPr>
            <w:tcW w:w="956" w:type="dxa"/>
            <w:vAlign w:val="center"/>
          </w:tcPr>
          <w:p>
            <w:pPr>
              <w:jc w:val="center"/>
              <w:rPr>
                <w:noProof/>
              </w:rPr>
            </w:pPr>
            <w:r>
              <w:rPr>
                <w:noProof/>
              </w:rPr>
              <w:t>NE</w:t>
            </w:r>
          </w:p>
        </w:tc>
        <w:tc>
          <w:tcPr>
            <w:tcW w:w="1564" w:type="dxa"/>
            <w:vAlign w:val="center"/>
          </w:tcPr>
          <w:p>
            <w:pPr>
              <w:jc w:val="center"/>
              <w:rPr>
                <w:noProof/>
              </w:rPr>
            </w:pPr>
            <w:r>
              <w:rPr>
                <w:noProof/>
              </w:rPr>
              <w:t>NE</w:t>
            </w:r>
          </w:p>
        </w:tc>
      </w:tr>
    </w:tbl>
    <w:p>
      <w:pPr>
        <w:rPr>
          <w:noProof/>
        </w:rPr>
      </w:pPr>
    </w:p>
    <w:tbl>
      <w:tblPr>
        <w:tblW w:w="10949"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78"/>
        <w:gridCol w:w="3535"/>
        <w:gridCol w:w="1080"/>
        <w:gridCol w:w="956"/>
        <w:gridCol w:w="1080"/>
        <w:gridCol w:w="956"/>
        <w:gridCol w:w="1564"/>
      </w:tblGrid>
      <w:tr>
        <w:tc>
          <w:tcPr>
            <w:tcW w:w="1778" w:type="dxa"/>
            <w:vMerge w:val="restart"/>
            <w:vAlign w:val="center"/>
          </w:tcPr>
          <w:p>
            <w:pPr>
              <w:spacing w:before="60" w:after="60"/>
              <w:jc w:val="center"/>
              <w:rPr>
                <w:noProof/>
                <w:sz w:val="18"/>
              </w:rPr>
            </w:pPr>
            <w:r>
              <w:rPr>
                <w:noProof/>
                <w:sz w:val="18"/>
              </w:rPr>
              <w:t>Razdelek večletnega finančnega okvira</w:t>
            </w:r>
          </w:p>
        </w:tc>
        <w:tc>
          <w:tcPr>
            <w:tcW w:w="3535" w:type="dxa"/>
            <w:vAlign w:val="center"/>
          </w:tcPr>
          <w:p>
            <w:pPr>
              <w:spacing w:before="60" w:after="60"/>
              <w:jc w:val="center"/>
              <w:rPr>
                <w:noProof/>
              </w:rPr>
            </w:pPr>
            <w:r>
              <w:rPr>
                <w:noProof/>
                <w:sz w:val="20"/>
              </w:rPr>
              <w:t>Proračunska vrstica</w:t>
            </w:r>
          </w:p>
        </w:tc>
        <w:tc>
          <w:tcPr>
            <w:tcW w:w="1080" w:type="dxa"/>
            <w:vAlign w:val="center"/>
          </w:tcPr>
          <w:p>
            <w:pPr>
              <w:spacing w:before="60" w:after="60"/>
              <w:jc w:val="center"/>
              <w:rPr>
                <w:noProof/>
              </w:rPr>
            </w:pPr>
            <w:r>
              <w:rPr>
                <w:noProof/>
                <w:sz w:val="18"/>
              </w:rPr>
              <w:t>Vrsta</w:t>
            </w:r>
            <w:r>
              <w:rPr>
                <w:noProof/>
                <w:sz w:val="22"/>
              </w:rPr>
              <w:br/>
            </w:r>
            <w:r>
              <w:rPr>
                <w:noProof/>
                <w:sz w:val="18"/>
              </w:rPr>
              <w:t>odhodkov</w:t>
            </w:r>
          </w:p>
        </w:tc>
        <w:tc>
          <w:tcPr>
            <w:tcW w:w="4556" w:type="dxa"/>
            <w:gridSpan w:val="4"/>
            <w:vAlign w:val="center"/>
          </w:tcPr>
          <w:p>
            <w:pPr>
              <w:spacing w:before="60" w:after="60"/>
              <w:jc w:val="center"/>
              <w:rPr>
                <w:noProof/>
              </w:rPr>
            </w:pPr>
            <w:r>
              <w:rPr>
                <w:noProof/>
                <w:sz w:val="20"/>
              </w:rPr>
              <w:t xml:space="preserve">Prispevek </w:t>
            </w:r>
          </w:p>
        </w:tc>
      </w:tr>
      <w:tr>
        <w:tc>
          <w:tcPr>
            <w:tcW w:w="1778" w:type="dxa"/>
            <w:vMerge/>
            <w:vAlign w:val="center"/>
          </w:tcPr>
          <w:p>
            <w:pPr>
              <w:rPr>
                <w:noProof/>
                <w:sz w:val="18"/>
              </w:rPr>
            </w:pPr>
          </w:p>
        </w:tc>
        <w:tc>
          <w:tcPr>
            <w:tcW w:w="3535" w:type="dxa"/>
            <w:vAlign w:val="center"/>
          </w:tcPr>
          <w:p>
            <w:pPr>
              <w:jc w:val="left"/>
              <w:rPr>
                <w:noProof/>
              </w:rPr>
            </w:pPr>
            <w:r>
              <w:rPr>
                <w:noProof/>
                <w:sz w:val="20"/>
              </w:rPr>
              <w:t xml:space="preserve">številka </w:t>
            </w:r>
            <w:r>
              <w:rPr>
                <w:noProof/>
                <w:sz w:val="22"/>
              </w:rPr>
              <w:br/>
            </w:r>
          </w:p>
        </w:tc>
        <w:tc>
          <w:tcPr>
            <w:tcW w:w="1080" w:type="dxa"/>
            <w:vAlign w:val="center"/>
          </w:tcPr>
          <w:p>
            <w:pPr>
              <w:jc w:val="center"/>
              <w:rPr>
                <w:noProof/>
              </w:rPr>
            </w:pPr>
            <w:r>
              <w:rPr>
                <w:noProof/>
                <w:sz w:val="18"/>
              </w:rPr>
              <w:t>dif.</w:t>
            </w:r>
            <w:r>
              <w:rPr>
                <w:rStyle w:val="FootnoteReference"/>
                <w:noProof/>
                <w:sz w:val="18"/>
              </w:rPr>
              <w:footnoteReference w:id="61"/>
            </w:r>
          </w:p>
        </w:tc>
        <w:tc>
          <w:tcPr>
            <w:tcW w:w="956" w:type="dxa"/>
            <w:vAlign w:val="center"/>
          </w:tcPr>
          <w:p>
            <w:pPr>
              <w:jc w:val="center"/>
              <w:rPr>
                <w:noProof/>
              </w:rPr>
            </w:pPr>
            <w:r>
              <w:rPr>
                <w:noProof/>
                <w:sz w:val="18"/>
              </w:rPr>
              <w:t>držav Efte</w:t>
            </w:r>
            <w:r>
              <w:rPr>
                <w:rStyle w:val="FootnoteReference"/>
                <w:noProof/>
                <w:sz w:val="18"/>
              </w:rPr>
              <w:footnoteReference w:id="62"/>
            </w:r>
          </w:p>
        </w:tc>
        <w:tc>
          <w:tcPr>
            <w:tcW w:w="1080" w:type="dxa"/>
            <w:vAlign w:val="center"/>
          </w:tcPr>
          <w:p>
            <w:pPr>
              <w:jc w:val="center"/>
              <w:rPr>
                <w:noProof/>
                <w:sz w:val="18"/>
              </w:rPr>
            </w:pPr>
            <w:r>
              <w:rPr>
                <w:noProof/>
                <w:sz w:val="18"/>
              </w:rPr>
              <w:t>držav kandidatk</w:t>
            </w:r>
            <w:r>
              <w:rPr>
                <w:rStyle w:val="FootnoteReference"/>
                <w:noProof/>
                <w:sz w:val="18"/>
              </w:rPr>
              <w:footnoteReference w:id="63"/>
            </w:r>
          </w:p>
        </w:tc>
        <w:tc>
          <w:tcPr>
            <w:tcW w:w="956" w:type="dxa"/>
            <w:vAlign w:val="center"/>
          </w:tcPr>
          <w:p>
            <w:pPr>
              <w:jc w:val="center"/>
              <w:rPr>
                <w:noProof/>
                <w:sz w:val="18"/>
              </w:rPr>
            </w:pPr>
            <w:r>
              <w:rPr>
                <w:noProof/>
                <w:sz w:val="18"/>
              </w:rPr>
              <w:t>tretjih držav</w:t>
            </w:r>
          </w:p>
        </w:tc>
        <w:tc>
          <w:tcPr>
            <w:tcW w:w="1564" w:type="dxa"/>
            <w:vAlign w:val="center"/>
          </w:tcPr>
          <w:p>
            <w:pPr>
              <w:jc w:val="center"/>
              <w:rPr>
                <w:noProof/>
                <w:sz w:val="16"/>
                <w:szCs w:val="16"/>
              </w:rPr>
            </w:pPr>
            <w:r>
              <w:rPr>
                <w:noProof/>
                <w:sz w:val="16"/>
              </w:rPr>
              <w:t xml:space="preserve">po členu 21(2)(b) finančne uredbe </w:t>
            </w:r>
          </w:p>
        </w:tc>
      </w:tr>
      <w:tr>
        <w:tc>
          <w:tcPr>
            <w:tcW w:w="1778" w:type="dxa"/>
            <w:vMerge w:val="restart"/>
            <w:vAlign w:val="center"/>
          </w:tcPr>
          <w:p>
            <w:pPr>
              <w:jc w:val="center"/>
              <w:rPr>
                <w:noProof/>
              </w:rPr>
            </w:pPr>
            <w:r>
              <w:rPr>
                <w:noProof/>
              </w:rPr>
              <w:t xml:space="preserve">2 – Trajnostna rast: naravni viri </w:t>
            </w:r>
          </w:p>
        </w:tc>
        <w:tc>
          <w:tcPr>
            <w:tcW w:w="3535" w:type="dxa"/>
            <w:vAlign w:val="center"/>
          </w:tcPr>
          <w:p>
            <w:pPr>
              <w:spacing w:after="60"/>
              <w:rPr>
                <w:noProof/>
              </w:rPr>
            </w:pPr>
            <w:r>
              <w:rPr>
                <w:noProof/>
                <w:sz w:val="20"/>
              </w:rPr>
              <w:t>07.0203 GD ENV</w:t>
            </w:r>
            <w:r>
              <w:rPr>
                <w:noProof/>
              </w:rPr>
              <w:t xml:space="preserve"> </w:t>
            </w:r>
          </w:p>
        </w:tc>
        <w:tc>
          <w:tcPr>
            <w:tcW w:w="1080" w:type="dxa"/>
            <w:vAlign w:val="center"/>
          </w:tcPr>
          <w:p>
            <w:pPr>
              <w:jc w:val="center"/>
              <w:rPr>
                <w:noProof/>
                <w:color w:val="0000FF"/>
              </w:rPr>
            </w:pPr>
            <w:r>
              <w:rPr>
                <w:noProof/>
                <w:sz w:val="18"/>
              </w:rPr>
              <w:t>dif.</w:t>
            </w:r>
          </w:p>
        </w:tc>
        <w:tc>
          <w:tcPr>
            <w:tcW w:w="956" w:type="dxa"/>
            <w:vAlign w:val="center"/>
          </w:tcPr>
          <w:p>
            <w:pPr>
              <w:jc w:val="center"/>
              <w:rPr>
                <w:noProof/>
              </w:rPr>
            </w:pPr>
            <w:r>
              <w:rPr>
                <w:noProof/>
              </w:rPr>
              <w:t>NE</w:t>
            </w:r>
          </w:p>
        </w:tc>
        <w:tc>
          <w:tcPr>
            <w:tcW w:w="1080" w:type="dxa"/>
            <w:vAlign w:val="center"/>
          </w:tcPr>
          <w:p>
            <w:pPr>
              <w:jc w:val="center"/>
              <w:rPr>
                <w:noProof/>
              </w:rPr>
            </w:pPr>
            <w:r>
              <w:rPr>
                <w:noProof/>
              </w:rPr>
              <w:t>NE</w:t>
            </w:r>
          </w:p>
        </w:tc>
        <w:tc>
          <w:tcPr>
            <w:tcW w:w="956" w:type="dxa"/>
            <w:vAlign w:val="center"/>
          </w:tcPr>
          <w:p>
            <w:pPr>
              <w:jc w:val="center"/>
              <w:rPr>
                <w:noProof/>
              </w:rPr>
            </w:pPr>
            <w:r>
              <w:rPr>
                <w:noProof/>
              </w:rPr>
              <w:t>NE</w:t>
            </w:r>
          </w:p>
        </w:tc>
        <w:tc>
          <w:tcPr>
            <w:tcW w:w="1564" w:type="dxa"/>
            <w:vAlign w:val="center"/>
          </w:tcPr>
          <w:p>
            <w:pPr>
              <w:jc w:val="center"/>
              <w:rPr>
                <w:noProof/>
              </w:rPr>
            </w:pPr>
            <w:r>
              <w:rPr>
                <w:noProof/>
              </w:rPr>
              <w:t>NE</w:t>
            </w:r>
          </w:p>
        </w:tc>
      </w:tr>
      <w:tr>
        <w:tc>
          <w:tcPr>
            <w:tcW w:w="1778" w:type="dxa"/>
            <w:vMerge/>
            <w:vAlign w:val="center"/>
          </w:tcPr>
          <w:p>
            <w:pPr>
              <w:jc w:val="center"/>
              <w:rPr>
                <w:noProof/>
              </w:rPr>
            </w:pPr>
          </w:p>
        </w:tc>
        <w:tc>
          <w:tcPr>
            <w:tcW w:w="3535" w:type="dxa"/>
            <w:vAlign w:val="center"/>
          </w:tcPr>
          <w:p>
            <w:pPr>
              <w:spacing w:after="60"/>
              <w:rPr>
                <w:noProof/>
                <w:sz w:val="20"/>
              </w:rPr>
            </w:pPr>
            <w:r>
              <w:rPr>
                <w:noProof/>
                <w:sz w:val="20"/>
              </w:rPr>
              <w:t>07.0206 EEA</w:t>
            </w:r>
          </w:p>
        </w:tc>
        <w:tc>
          <w:tcPr>
            <w:tcW w:w="1080" w:type="dxa"/>
            <w:vAlign w:val="center"/>
          </w:tcPr>
          <w:p>
            <w:pPr>
              <w:jc w:val="center"/>
              <w:rPr>
                <w:noProof/>
                <w:sz w:val="18"/>
              </w:rPr>
            </w:pPr>
            <w:r>
              <w:rPr>
                <w:noProof/>
                <w:sz w:val="18"/>
              </w:rPr>
              <w:t>dif.</w:t>
            </w:r>
          </w:p>
        </w:tc>
        <w:tc>
          <w:tcPr>
            <w:tcW w:w="956" w:type="dxa"/>
            <w:vAlign w:val="center"/>
          </w:tcPr>
          <w:p>
            <w:pPr>
              <w:jc w:val="center"/>
              <w:rPr>
                <w:noProof/>
              </w:rPr>
            </w:pPr>
            <w:r>
              <w:rPr>
                <w:noProof/>
              </w:rPr>
              <w:t>NE</w:t>
            </w:r>
          </w:p>
        </w:tc>
        <w:tc>
          <w:tcPr>
            <w:tcW w:w="1080" w:type="dxa"/>
            <w:vAlign w:val="center"/>
          </w:tcPr>
          <w:p>
            <w:pPr>
              <w:jc w:val="center"/>
              <w:rPr>
                <w:noProof/>
              </w:rPr>
            </w:pPr>
            <w:r>
              <w:rPr>
                <w:noProof/>
              </w:rPr>
              <w:t>NE</w:t>
            </w:r>
          </w:p>
        </w:tc>
        <w:tc>
          <w:tcPr>
            <w:tcW w:w="956" w:type="dxa"/>
            <w:vAlign w:val="center"/>
          </w:tcPr>
          <w:p>
            <w:pPr>
              <w:jc w:val="center"/>
              <w:rPr>
                <w:noProof/>
              </w:rPr>
            </w:pPr>
            <w:r>
              <w:rPr>
                <w:noProof/>
              </w:rPr>
              <w:t>NE</w:t>
            </w:r>
          </w:p>
        </w:tc>
        <w:tc>
          <w:tcPr>
            <w:tcW w:w="1564" w:type="dxa"/>
            <w:vAlign w:val="center"/>
          </w:tcPr>
          <w:p>
            <w:pPr>
              <w:jc w:val="center"/>
              <w:rPr>
                <w:noProof/>
              </w:rPr>
            </w:pPr>
            <w:r>
              <w:rPr>
                <w:noProof/>
              </w:rPr>
              <w:t>NE</w:t>
            </w:r>
          </w:p>
        </w:tc>
      </w:tr>
    </w:tbl>
    <w:p>
      <w:pPr>
        <w:rPr>
          <w:noProof/>
        </w:rPr>
      </w:pPr>
    </w:p>
    <w:tbl>
      <w:tblPr>
        <w:tblW w:w="10949"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78"/>
        <w:gridCol w:w="3535"/>
        <w:gridCol w:w="1080"/>
        <w:gridCol w:w="956"/>
        <w:gridCol w:w="1080"/>
        <w:gridCol w:w="956"/>
        <w:gridCol w:w="1564"/>
      </w:tblGrid>
      <w:tr>
        <w:tc>
          <w:tcPr>
            <w:tcW w:w="1778" w:type="dxa"/>
            <w:vMerge w:val="restart"/>
            <w:vAlign w:val="center"/>
          </w:tcPr>
          <w:p>
            <w:pPr>
              <w:spacing w:before="60" w:after="60"/>
              <w:jc w:val="center"/>
              <w:rPr>
                <w:noProof/>
                <w:sz w:val="18"/>
              </w:rPr>
            </w:pPr>
            <w:r>
              <w:rPr>
                <w:noProof/>
                <w:sz w:val="18"/>
              </w:rPr>
              <w:t>Razdelek večletnega finančnega okvira</w:t>
            </w:r>
          </w:p>
        </w:tc>
        <w:tc>
          <w:tcPr>
            <w:tcW w:w="3535" w:type="dxa"/>
            <w:vAlign w:val="center"/>
          </w:tcPr>
          <w:p>
            <w:pPr>
              <w:spacing w:before="60" w:after="60"/>
              <w:jc w:val="center"/>
              <w:rPr>
                <w:noProof/>
              </w:rPr>
            </w:pPr>
            <w:r>
              <w:rPr>
                <w:noProof/>
                <w:sz w:val="20"/>
              </w:rPr>
              <w:t>Proračunska vrstica</w:t>
            </w:r>
          </w:p>
        </w:tc>
        <w:tc>
          <w:tcPr>
            <w:tcW w:w="1080" w:type="dxa"/>
            <w:vAlign w:val="center"/>
          </w:tcPr>
          <w:p>
            <w:pPr>
              <w:spacing w:before="60" w:after="60"/>
              <w:jc w:val="center"/>
              <w:rPr>
                <w:noProof/>
              </w:rPr>
            </w:pPr>
            <w:r>
              <w:rPr>
                <w:noProof/>
                <w:sz w:val="18"/>
              </w:rPr>
              <w:t>Vrsta</w:t>
            </w:r>
            <w:r>
              <w:rPr>
                <w:noProof/>
                <w:sz w:val="22"/>
              </w:rPr>
              <w:br/>
            </w:r>
            <w:r>
              <w:rPr>
                <w:noProof/>
                <w:sz w:val="18"/>
              </w:rPr>
              <w:t>odhodkov</w:t>
            </w:r>
          </w:p>
        </w:tc>
        <w:tc>
          <w:tcPr>
            <w:tcW w:w="4556" w:type="dxa"/>
            <w:gridSpan w:val="4"/>
            <w:vAlign w:val="center"/>
          </w:tcPr>
          <w:p>
            <w:pPr>
              <w:spacing w:before="60" w:after="60"/>
              <w:jc w:val="center"/>
              <w:rPr>
                <w:noProof/>
              </w:rPr>
            </w:pPr>
            <w:r>
              <w:rPr>
                <w:noProof/>
                <w:sz w:val="20"/>
              </w:rPr>
              <w:t xml:space="preserve">Prispevek </w:t>
            </w:r>
          </w:p>
        </w:tc>
      </w:tr>
      <w:tr>
        <w:tc>
          <w:tcPr>
            <w:tcW w:w="1778" w:type="dxa"/>
            <w:vMerge/>
            <w:vAlign w:val="center"/>
          </w:tcPr>
          <w:p>
            <w:pPr>
              <w:rPr>
                <w:noProof/>
                <w:sz w:val="18"/>
              </w:rPr>
            </w:pPr>
          </w:p>
        </w:tc>
        <w:tc>
          <w:tcPr>
            <w:tcW w:w="3535" w:type="dxa"/>
            <w:vAlign w:val="center"/>
          </w:tcPr>
          <w:p>
            <w:pPr>
              <w:jc w:val="left"/>
              <w:rPr>
                <w:noProof/>
              </w:rPr>
            </w:pPr>
            <w:r>
              <w:rPr>
                <w:noProof/>
                <w:sz w:val="20"/>
              </w:rPr>
              <w:t xml:space="preserve">številka </w:t>
            </w:r>
            <w:r>
              <w:rPr>
                <w:noProof/>
                <w:sz w:val="22"/>
              </w:rPr>
              <w:br/>
            </w:r>
          </w:p>
        </w:tc>
        <w:tc>
          <w:tcPr>
            <w:tcW w:w="1080" w:type="dxa"/>
            <w:vAlign w:val="center"/>
          </w:tcPr>
          <w:p>
            <w:pPr>
              <w:jc w:val="center"/>
              <w:rPr>
                <w:noProof/>
              </w:rPr>
            </w:pPr>
            <w:r>
              <w:rPr>
                <w:noProof/>
                <w:sz w:val="18"/>
              </w:rPr>
              <w:t>nedif.</w:t>
            </w:r>
            <w:r>
              <w:rPr>
                <w:rStyle w:val="FootnoteReference"/>
                <w:noProof/>
                <w:sz w:val="18"/>
              </w:rPr>
              <w:footnoteReference w:id="64"/>
            </w:r>
          </w:p>
        </w:tc>
        <w:tc>
          <w:tcPr>
            <w:tcW w:w="956" w:type="dxa"/>
            <w:vAlign w:val="center"/>
          </w:tcPr>
          <w:p>
            <w:pPr>
              <w:jc w:val="center"/>
              <w:rPr>
                <w:noProof/>
              </w:rPr>
            </w:pPr>
            <w:r>
              <w:rPr>
                <w:noProof/>
                <w:sz w:val="18"/>
              </w:rPr>
              <w:t>držav Efte</w:t>
            </w:r>
            <w:r>
              <w:rPr>
                <w:rStyle w:val="FootnoteReference"/>
                <w:noProof/>
                <w:sz w:val="18"/>
              </w:rPr>
              <w:footnoteReference w:id="65"/>
            </w:r>
          </w:p>
        </w:tc>
        <w:tc>
          <w:tcPr>
            <w:tcW w:w="1080" w:type="dxa"/>
            <w:vAlign w:val="center"/>
          </w:tcPr>
          <w:p>
            <w:pPr>
              <w:jc w:val="center"/>
              <w:rPr>
                <w:noProof/>
                <w:sz w:val="18"/>
              </w:rPr>
            </w:pPr>
            <w:r>
              <w:rPr>
                <w:noProof/>
                <w:sz w:val="18"/>
              </w:rPr>
              <w:t>držav kandidatk</w:t>
            </w:r>
            <w:r>
              <w:rPr>
                <w:rStyle w:val="FootnoteReference"/>
                <w:noProof/>
                <w:sz w:val="18"/>
              </w:rPr>
              <w:footnoteReference w:id="66"/>
            </w:r>
          </w:p>
        </w:tc>
        <w:tc>
          <w:tcPr>
            <w:tcW w:w="956" w:type="dxa"/>
            <w:vAlign w:val="center"/>
          </w:tcPr>
          <w:p>
            <w:pPr>
              <w:jc w:val="center"/>
              <w:rPr>
                <w:noProof/>
                <w:sz w:val="18"/>
              </w:rPr>
            </w:pPr>
            <w:r>
              <w:rPr>
                <w:noProof/>
                <w:sz w:val="18"/>
              </w:rPr>
              <w:t>tretjih držav</w:t>
            </w:r>
          </w:p>
        </w:tc>
        <w:tc>
          <w:tcPr>
            <w:tcW w:w="1564" w:type="dxa"/>
            <w:vAlign w:val="center"/>
          </w:tcPr>
          <w:p>
            <w:pPr>
              <w:jc w:val="center"/>
              <w:rPr>
                <w:noProof/>
                <w:sz w:val="16"/>
                <w:szCs w:val="16"/>
              </w:rPr>
            </w:pPr>
            <w:r>
              <w:rPr>
                <w:noProof/>
                <w:sz w:val="16"/>
              </w:rPr>
              <w:t xml:space="preserve">po členu 21(2)(b) finančne uredbe </w:t>
            </w:r>
          </w:p>
        </w:tc>
      </w:tr>
      <w:tr>
        <w:tc>
          <w:tcPr>
            <w:tcW w:w="1778" w:type="dxa"/>
            <w:vMerge w:val="restart"/>
            <w:vAlign w:val="center"/>
          </w:tcPr>
          <w:p>
            <w:pPr>
              <w:jc w:val="center"/>
              <w:rPr>
                <w:b/>
                <w:bCs/>
                <w:noProof/>
                <w:color w:val="0000FF"/>
              </w:rPr>
            </w:pPr>
            <w:r>
              <w:rPr>
                <w:noProof/>
              </w:rPr>
              <w:t xml:space="preserve">5 – Upravni odhodki </w:t>
            </w:r>
          </w:p>
        </w:tc>
        <w:tc>
          <w:tcPr>
            <w:tcW w:w="3535" w:type="dxa"/>
            <w:vAlign w:val="center"/>
          </w:tcPr>
          <w:p>
            <w:pPr>
              <w:spacing w:after="60"/>
              <w:rPr>
                <w:noProof/>
                <w:sz w:val="20"/>
              </w:rPr>
            </w:pPr>
            <w:r>
              <w:rPr>
                <w:noProof/>
                <w:sz w:val="20"/>
              </w:rPr>
              <w:t xml:space="preserve">12 01 01 01 GD FISMA </w:t>
            </w:r>
          </w:p>
          <w:p>
            <w:pPr>
              <w:spacing w:after="60"/>
              <w:rPr>
                <w:noProof/>
                <w:sz w:val="20"/>
              </w:rPr>
            </w:pPr>
            <w:r>
              <w:rPr>
                <w:noProof/>
                <w:sz w:val="20"/>
              </w:rPr>
              <w:t>Človeški viri</w:t>
            </w:r>
          </w:p>
          <w:p>
            <w:pPr>
              <w:spacing w:after="60"/>
              <w:rPr>
                <w:noProof/>
              </w:rPr>
            </w:pPr>
            <w:r>
              <w:rPr>
                <w:noProof/>
                <w:sz w:val="20"/>
              </w:rPr>
              <w:t xml:space="preserve">Upravni stroški </w:t>
            </w:r>
          </w:p>
        </w:tc>
        <w:tc>
          <w:tcPr>
            <w:tcW w:w="1080" w:type="dxa"/>
            <w:vAlign w:val="center"/>
          </w:tcPr>
          <w:p>
            <w:pPr>
              <w:jc w:val="center"/>
              <w:rPr>
                <w:noProof/>
                <w:color w:val="0000FF"/>
              </w:rPr>
            </w:pPr>
            <w:r>
              <w:rPr>
                <w:noProof/>
                <w:sz w:val="18"/>
              </w:rPr>
              <w:t>nedif.</w:t>
            </w:r>
          </w:p>
        </w:tc>
        <w:tc>
          <w:tcPr>
            <w:tcW w:w="956" w:type="dxa"/>
            <w:shd w:val="clear" w:color="auto" w:fill="auto"/>
            <w:vAlign w:val="center"/>
          </w:tcPr>
          <w:p>
            <w:pPr>
              <w:jc w:val="center"/>
              <w:rPr>
                <w:noProof/>
              </w:rPr>
            </w:pPr>
            <w:r>
              <w:rPr>
                <w:noProof/>
              </w:rPr>
              <w:t>NE</w:t>
            </w:r>
          </w:p>
        </w:tc>
        <w:tc>
          <w:tcPr>
            <w:tcW w:w="1080" w:type="dxa"/>
            <w:shd w:val="clear" w:color="auto" w:fill="auto"/>
            <w:vAlign w:val="center"/>
          </w:tcPr>
          <w:p>
            <w:pPr>
              <w:jc w:val="center"/>
              <w:rPr>
                <w:noProof/>
              </w:rPr>
            </w:pPr>
            <w:r>
              <w:rPr>
                <w:noProof/>
              </w:rPr>
              <w:t>NE</w:t>
            </w:r>
          </w:p>
        </w:tc>
        <w:tc>
          <w:tcPr>
            <w:tcW w:w="956" w:type="dxa"/>
            <w:shd w:val="clear" w:color="auto" w:fill="auto"/>
            <w:vAlign w:val="center"/>
          </w:tcPr>
          <w:p>
            <w:pPr>
              <w:jc w:val="center"/>
              <w:rPr>
                <w:noProof/>
              </w:rPr>
            </w:pPr>
            <w:r>
              <w:rPr>
                <w:noProof/>
              </w:rPr>
              <w:t>NE</w:t>
            </w:r>
          </w:p>
        </w:tc>
        <w:tc>
          <w:tcPr>
            <w:tcW w:w="1564" w:type="dxa"/>
            <w:shd w:val="clear" w:color="auto" w:fill="auto"/>
            <w:vAlign w:val="center"/>
          </w:tcPr>
          <w:p>
            <w:pPr>
              <w:jc w:val="center"/>
              <w:rPr>
                <w:noProof/>
              </w:rPr>
            </w:pPr>
            <w:r>
              <w:rPr>
                <w:noProof/>
              </w:rPr>
              <w:t>NE</w:t>
            </w:r>
          </w:p>
        </w:tc>
      </w:tr>
      <w:tr>
        <w:tc>
          <w:tcPr>
            <w:tcW w:w="1778" w:type="dxa"/>
            <w:vMerge/>
            <w:vAlign w:val="center"/>
          </w:tcPr>
          <w:p>
            <w:pPr>
              <w:jc w:val="center"/>
              <w:rPr>
                <w:noProof/>
              </w:rPr>
            </w:pPr>
          </w:p>
        </w:tc>
        <w:tc>
          <w:tcPr>
            <w:tcW w:w="3535" w:type="dxa"/>
            <w:vAlign w:val="center"/>
          </w:tcPr>
          <w:p>
            <w:pPr>
              <w:spacing w:after="60"/>
              <w:rPr>
                <w:noProof/>
                <w:sz w:val="20"/>
              </w:rPr>
            </w:pPr>
            <w:r>
              <w:rPr>
                <w:noProof/>
                <w:sz w:val="20"/>
              </w:rPr>
              <w:t>07 01 01 01 GD ENV</w:t>
            </w:r>
          </w:p>
        </w:tc>
        <w:tc>
          <w:tcPr>
            <w:tcW w:w="1080" w:type="dxa"/>
            <w:vAlign w:val="center"/>
          </w:tcPr>
          <w:p>
            <w:pPr>
              <w:jc w:val="center"/>
              <w:rPr>
                <w:noProof/>
                <w:sz w:val="18"/>
              </w:rPr>
            </w:pPr>
            <w:r>
              <w:rPr>
                <w:noProof/>
                <w:sz w:val="18"/>
              </w:rPr>
              <w:t>nedif.</w:t>
            </w:r>
          </w:p>
        </w:tc>
        <w:tc>
          <w:tcPr>
            <w:tcW w:w="956" w:type="dxa"/>
            <w:shd w:val="clear" w:color="auto" w:fill="auto"/>
            <w:vAlign w:val="center"/>
          </w:tcPr>
          <w:p>
            <w:pPr>
              <w:jc w:val="center"/>
              <w:rPr>
                <w:noProof/>
              </w:rPr>
            </w:pPr>
            <w:r>
              <w:rPr>
                <w:noProof/>
              </w:rPr>
              <w:t>NE</w:t>
            </w:r>
          </w:p>
        </w:tc>
        <w:tc>
          <w:tcPr>
            <w:tcW w:w="1080" w:type="dxa"/>
            <w:shd w:val="clear" w:color="auto" w:fill="auto"/>
            <w:vAlign w:val="center"/>
          </w:tcPr>
          <w:p>
            <w:pPr>
              <w:jc w:val="center"/>
              <w:rPr>
                <w:noProof/>
              </w:rPr>
            </w:pPr>
            <w:r>
              <w:rPr>
                <w:noProof/>
              </w:rPr>
              <w:t>NE</w:t>
            </w:r>
          </w:p>
        </w:tc>
        <w:tc>
          <w:tcPr>
            <w:tcW w:w="956" w:type="dxa"/>
            <w:shd w:val="clear" w:color="auto" w:fill="auto"/>
            <w:vAlign w:val="center"/>
          </w:tcPr>
          <w:p>
            <w:pPr>
              <w:jc w:val="center"/>
              <w:rPr>
                <w:noProof/>
              </w:rPr>
            </w:pPr>
            <w:r>
              <w:rPr>
                <w:noProof/>
              </w:rPr>
              <w:t>NE</w:t>
            </w:r>
          </w:p>
        </w:tc>
        <w:tc>
          <w:tcPr>
            <w:tcW w:w="1564" w:type="dxa"/>
            <w:shd w:val="clear" w:color="auto" w:fill="auto"/>
            <w:vAlign w:val="center"/>
          </w:tcPr>
          <w:p>
            <w:pPr>
              <w:jc w:val="center"/>
              <w:rPr>
                <w:noProof/>
              </w:rPr>
            </w:pPr>
            <w:r>
              <w:rPr>
                <w:noProof/>
              </w:rPr>
              <w:t>NE</w:t>
            </w:r>
          </w:p>
        </w:tc>
      </w:tr>
      <w:tr>
        <w:tc>
          <w:tcPr>
            <w:tcW w:w="1778" w:type="dxa"/>
            <w:vMerge/>
            <w:vAlign w:val="center"/>
          </w:tcPr>
          <w:p>
            <w:pPr>
              <w:jc w:val="center"/>
              <w:rPr>
                <w:noProof/>
              </w:rPr>
            </w:pPr>
          </w:p>
        </w:tc>
        <w:tc>
          <w:tcPr>
            <w:tcW w:w="3535" w:type="dxa"/>
            <w:vAlign w:val="center"/>
          </w:tcPr>
          <w:p>
            <w:pPr>
              <w:spacing w:after="60"/>
              <w:rPr>
                <w:noProof/>
                <w:sz w:val="20"/>
              </w:rPr>
            </w:pPr>
            <w:r>
              <w:rPr>
                <w:noProof/>
                <w:sz w:val="20"/>
              </w:rPr>
              <w:t>34 01 01 01 GD CLIMA</w:t>
            </w:r>
          </w:p>
        </w:tc>
        <w:tc>
          <w:tcPr>
            <w:tcW w:w="1080" w:type="dxa"/>
            <w:vAlign w:val="center"/>
          </w:tcPr>
          <w:p>
            <w:pPr>
              <w:jc w:val="center"/>
              <w:rPr>
                <w:noProof/>
                <w:sz w:val="18"/>
              </w:rPr>
            </w:pPr>
            <w:r>
              <w:rPr>
                <w:noProof/>
                <w:sz w:val="18"/>
              </w:rPr>
              <w:t>nedif.</w:t>
            </w:r>
          </w:p>
        </w:tc>
        <w:tc>
          <w:tcPr>
            <w:tcW w:w="956" w:type="dxa"/>
            <w:shd w:val="clear" w:color="auto" w:fill="auto"/>
            <w:vAlign w:val="center"/>
          </w:tcPr>
          <w:p>
            <w:pPr>
              <w:jc w:val="center"/>
              <w:rPr>
                <w:noProof/>
              </w:rPr>
            </w:pPr>
            <w:r>
              <w:rPr>
                <w:noProof/>
              </w:rPr>
              <w:t>NE</w:t>
            </w:r>
          </w:p>
        </w:tc>
        <w:tc>
          <w:tcPr>
            <w:tcW w:w="1080" w:type="dxa"/>
            <w:shd w:val="clear" w:color="auto" w:fill="auto"/>
            <w:vAlign w:val="center"/>
          </w:tcPr>
          <w:p>
            <w:pPr>
              <w:jc w:val="center"/>
              <w:rPr>
                <w:noProof/>
              </w:rPr>
            </w:pPr>
            <w:r>
              <w:rPr>
                <w:noProof/>
              </w:rPr>
              <w:t>NE</w:t>
            </w:r>
          </w:p>
        </w:tc>
        <w:tc>
          <w:tcPr>
            <w:tcW w:w="956" w:type="dxa"/>
            <w:shd w:val="clear" w:color="auto" w:fill="auto"/>
            <w:vAlign w:val="center"/>
          </w:tcPr>
          <w:p>
            <w:pPr>
              <w:jc w:val="center"/>
              <w:rPr>
                <w:noProof/>
              </w:rPr>
            </w:pPr>
            <w:r>
              <w:rPr>
                <w:noProof/>
              </w:rPr>
              <w:t>NE</w:t>
            </w:r>
          </w:p>
        </w:tc>
        <w:tc>
          <w:tcPr>
            <w:tcW w:w="1564" w:type="dxa"/>
            <w:shd w:val="clear" w:color="auto" w:fill="auto"/>
            <w:vAlign w:val="center"/>
          </w:tcPr>
          <w:p>
            <w:pPr>
              <w:jc w:val="center"/>
              <w:rPr>
                <w:noProof/>
              </w:rPr>
            </w:pPr>
            <w:r>
              <w:rPr>
                <w:noProof/>
              </w:rPr>
              <w:t>NE</w:t>
            </w:r>
          </w:p>
        </w:tc>
      </w:tr>
      <w:tr>
        <w:tc>
          <w:tcPr>
            <w:tcW w:w="1778" w:type="dxa"/>
            <w:vMerge/>
            <w:vAlign w:val="center"/>
          </w:tcPr>
          <w:p>
            <w:pPr>
              <w:jc w:val="center"/>
              <w:rPr>
                <w:noProof/>
              </w:rPr>
            </w:pPr>
          </w:p>
        </w:tc>
        <w:tc>
          <w:tcPr>
            <w:tcW w:w="3535" w:type="dxa"/>
            <w:vAlign w:val="center"/>
          </w:tcPr>
          <w:p>
            <w:pPr>
              <w:spacing w:after="60"/>
              <w:rPr>
                <w:noProof/>
                <w:sz w:val="20"/>
              </w:rPr>
            </w:pPr>
            <w:r>
              <w:rPr>
                <w:noProof/>
                <w:sz w:val="20"/>
              </w:rPr>
              <w:t>29 01 01 01 ESTAT</w:t>
            </w:r>
          </w:p>
        </w:tc>
        <w:tc>
          <w:tcPr>
            <w:tcW w:w="1080" w:type="dxa"/>
            <w:vAlign w:val="center"/>
          </w:tcPr>
          <w:p>
            <w:pPr>
              <w:jc w:val="center"/>
              <w:rPr>
                <w:noProof/>
                <w:sz w:val="18"/>
              </w:rPr>
            </w:pPr>
            <w:r>
              <w:rPr>
                <w:noProof/>
                <w:sz w:val="18"/>
              </w:rPr>
              <w:t>nedif.</w:t>
            </w:r>
          </w:p>
        </w:tc>
        <w:tc>
          <w:tcPr>
            <w:tcW w:w="956" w:type="dxa"/>
            <w:shd w:val="clear" w:color="auto" w:fill="auto"/>
            <w:vAlign w:val="center"/>
          </w:tcPr>
          <w:p>
            <w:pPr>
              <w:jc w:val="center"/>
              <w:rPr>
                <w:noProof/>
              </w:rPr>
            </w:pPr>
            <w:r>
              <w:rPr>
                <w:noProof/>
              </w:rPr>
              <w:t>NE</w:t>
            </w:r>
          </w:p>
        </w:tc>
        <w:tc>
          <w:tcPr>
            <w:tcW w:w="1080" w:type="dxa"/>
            <w:shd w:val="clear" w:color="auto" w:fill="auto"/>
            <w:vAlign w:val="center"/>
          </w:tcPr>
          <w:p>
            <w:pPr>
              <w:jc w:val="center"/>
              <w:rPr>
                <w:noProof/>
              </w:rPr>
            </w:pPr>
            <w:r>
              <w:rPr>
                <w:noProof/>
              </w:rPr>
              <w:t>NE</w:t>
            </w:r>
          </w:p>
        </w:tc>
        <w:tc>
          <w:tcPr>
            <w:tcW w:w="956" w:type="dxa"/>
            <w:shd w:val="clear" w:color="auto" w:fill="auto"/>
            <w:vAlign w:val="center"/>
          </w:tcPr>
          <w:p>
            <w:pPr>
              <w:jc w:val="center"/>
              <w:rPr>
                <w:noProof/>
              </w:rPr>
            </w:pPr>
            <w:r>
              <w:rPr>
                <w:noProof/>
              </w:rPr>
              <w:t>NE</w:t>
            </w:r>
          </w:p>
        </w:tc>
        <w:tc>
          <w:tcPr>
            <w:tcW w:w="1564" w:type="dxa"/>
            <w:shd w:val="clear" w:color="auto" w:fill="auto"/>
            <w:vAlign w:val="center"/>
          </w:tcPr>
          <w:p>
            <w:pPr>
              <w:jc w:val="center"/>
              <w:rPr>
                <w:noProof/>
              </w:rPr>
            </w:pPr>
            <w:r>
              <w:rPr>
                <w:noProof/>
              </w:rPr>
              <w:t>NE</w:t>
            </w:r>
          </w:p>
        </w:tc>
      </w:tr>
    </w:tbl>
    <w:p>
      <w:pPr>
        <w:rPr>
          <w:noProof/>
        </w:rPr>
      </w:pPr>
    </w:p>
    <w:p>
      <w:pPr>
        <w:pStyle w:val="ListBullet1"/>
        <w:rPr>
          <w:noProof/>
        </w:rPr>
      </w:pPr>
      <w:r>
        <w:rPr>
          <w:noProof/>
        </w:rPr>
        <w:t xml:space="preserve">Zahtevane nove proračunske vrstice </w:t>
      </w:r>
    </w:p>
    <w:p>
      <w:pPr>
        <w:pStyle w:val="Text1"/>
        <w:rPr>
          <w:i/>
          <w:noProof/>
          <w:sz w:val="20"/>
        </w:rPr>
      </w:pPr>
      <w:r>
        <w:rPr>
          <w:noProof/>
          <w:u w:val="single"/>
        </w:rPr>
        <w:t>Po vrstnem redu</w:t>
      </w:r>
      <w:r>
        <w:rPr>
          <w:noProof/>
        </w:rPr>
        <w:t xml:space="preserve"> razdelkov večletnega finančnega okvira in proračunskih vrstic.</w:t>
      </w:r>
    </w:p>
    <w:tbl>
      <w:tblPr>
        <w:tblW w:w="10676"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78"/>
        <w:gridCol w:w="3262"/>
        <w:gridCol w:w="1080"/>
        <w:gridCol w:w="956"/>
        <w:gridCol w:w="1080"/>
        <w:gridCol w:w="956"/>
        <w:gridCol w:w="1564"/>
      </w:tblGrid>
      <w:tr>
        <w:tc>
          <w:tcPr>
            <w:tcW w:w="1778" w:type="dxa"/>
            <w:vMerge w:val="restart"/>
            <w:vAlign w:val="center"/>
          </w:tcPr>
          <w:p>
            <w:pPr>
              <w:spacing w:before="60" w:after="60"/>
              <w:jc w:val="center"/>
              <w:rPr>
                <w:noProof/>
              </w:rPr>
            </w:pPr>
            <w:r>
              <w:rPr>
                <w:noProof/>
                <w:sz w:val="18"/>
              </w:rPr>
              <w:t>Razdelek večletnega finančnega okvira</w:t>
            </w:r>
          </w:p>
        </w:tc>
        <w:tc>
          <w:tcPr>
            <w:tcW w:w="3262" w:type="dxa"/>
            <w:vAlign w:val="center"/>
          </w:tcPr>
          <w:p>
            <w:pPr>
              <w:spacing w:before="60" w:after="60"/>
              <w:jc w:val="center"/>
              <w:rPr>
                <w:noProof/>
              </w:rPr>
            </w:pPr>
            <w:r>
              <w:rPr>
                <w:noProof/>
                <w:sz w:val="20"/>
              </w:rPr>
              <w:t>Proračunska vrstica</w:t>
            </w:r>
          </w:p>
        </w:tc>
        <w:tc>
          <w:tcPr>
            <w:tcW w:w="1080" w:type="dxa"/>
            <w:vAlign w:val="center"/>
          </w:tcPr>
          <w:p>
            <w:pPr>
              <w:spacing w:before="60" w:after="60"/>
              <w:jc w:val="center"/>
              <w:rPr>
                <w:noProof/>
              </w:rPr>
            </w:pPr>
            <w:r>
              <w:rPr>
                <w:noProof/>
                <w:sz w:val="18"/>
              </w:rPr>
              <w:t>Vrsta</w:t>
            </w:r>
            <w:r>
              <w:rPr>
                <w:noProof/>
                <w:sz w:val="22"/>
              </w:rPr>
              <w:br/>
            </w:r>
            <w:r>
              <w:rPr>
                <w:noProof/>
                <w:sz w:val="18"/>
              </w:rPr>
              <w:t>odhodkov</w:t>
            </w:r>
          </w:p>
        </w:tc>
        <w:tc>
          <w:tcPr>
            <w:tcW w:w="4556" w:type="dxa"/>
            <w:gridSpan w:val="4"/>
            <w:vAlign w:val="center"/>
          </w:tcPr>
          <w:p>
            <w:pPr>
              <w:spacing w:before="60" w:after="60"/>
              <w:jc w:val="center"/>
              <w:rPr>
                <w:noProof/>
              </w:rPr>
            </w:pPr>
            <w:r>
              <w:rPr>
                <w:noProof/>
                <w:sz w:val="20"/>
              </w:rPr>
              <w:t xml:space="preserve">Prispevek </w:t>
            </w:r>
          </w:p>
        </w:tc>
      </w:tr>
      <w:tr>
        <w:tc>
          <w:tcPr>
            <w:tcW w:w="1778" w:type="dxa"/>
            <w:vMerge/>
            <w:vAlign w:val="center"/>
          </w:tcPr>
          <w:p>
            <w:pPr>
              <w:rPr>
                <w:noProof/>
              </w:rPr>
            </w:pPr>
          </w:p>
        </w:tc>
        <w:tc>
          <w:tcPr>
            <w:tcW w:w="3262" w:type="dxa"/>
            <w:vAlign w:val="center"/>
          </w:tcPr>
          <w:p>
            <w:pPr>
              <w:rPr>
                <w:noProof/>
              </w:rPr>
            </w:pPr>
            <w:r>
              <w:rPr>
                <w:noProof/>
                <w:sz w:val="20"/>
              </w:rPr>
              <w:t xml:space="preserve">številka </w:t>
            </w:r>
            <w:r>
              <w:rPr>
                <w:noProof/>
                <w:sz w:val="22"/>
              </w:rPr>
              <w:br/>
            </w:r>
            <w:r>
              <w:rPr>
                <w:noProof/>
                <w:sz w:val="20"/>
              </w:rPr>
              <w:t>[poimenovanje………………………………………]</w:t>
            </w:r>
          </w:p>
        </w:tc>
        <w:tc>
          <w:tcPr>
            <w:tcW w:w="1080" w:type="dxa"/>
            <w:vAlign w:val="center"/>
          </w:tcPr>
          <w:p>
            <w:pPr>
              <w:jc w:val="center"/>
              <w:rPr>
                <w:noProof/>
              </w:rPr>
            </w:pPr>
            <w:r>
              <w:rPr>
                <w:noProof/>
                <w:sz w:val="18"/>
              </w:rPr>
              <w:t>dif./nedif.</w:t>
            </w:r>
          </w:p>
        </w:tc>
        <w:tc>
          <w:tcPr>
            <w:tcW w:w="956" w:type="dxa"/>
            <w:vAlign w:val="center"/>
          </w:tcPr>
          <w:p>
            <w:pPr>
              <w:jc w:val="center"/>
              <w:rPr>
                <w:noProof/>
                <w:sz w:val="18"/>
              </w:rPr>
            </w:pPr>
            <w:r>
              <w:rPr>
                <w:noProof/>
                <w:sz w:val="18"/>
              </w:rPr>
              <w:t>držav Efte</w:t>
            </w:r>
          </w:p>
        </w:tc>
        <w:tc>
          <w:tcPr>
            <w:tcW w:w="1080" w:type="dxa"/>
            <w:vAlign w:val="center"/>
          </w:tcPr>
          <w:p>
            <w:pPr>
              <w:jc w:val="center"/>
              <w:rPr>
                <w:noProof/>
                <w:sz w:val="18"/>
              </w:rPr>
            </w:pPr>
            <w:r>
              <w:rPr>
                <w:noProof/>
                <w:sz w:val="18"/>
              </w:rPr>
              <w:t>držav kandidatk</w:t>
            </w:r>
          </w:p>
        </w:tc>
        <w:tc>
          <w:tcPr>
            <w:tcW w:w="956" w:type="dxa"/>
            <w:vAlign w:val="center"/>
          </w:tcPr>
          <w:p>
            <w:pPr>
              <w:jc w:val="center"/>
              <w:rPr>
                <w:noProof/>
                <w:sz w:val="18"/>
              </w:rPr>
            </w:pPr>
            <w:r>
              <w:rPr>
                <w:noProof/>
                <w:sz w:val="18"/>
              </w:rPr>
              <w:t>tretjih držav</w:t>
            </w:r>
          </w:p>
        </w:tc>
        <w:tc>
          <w:tcPr>
            <w:tcW w:w="1564" w:type="dxa"/>
            <w:vAlign w:val="center"/>
          </w:tcPr>
          <w:p>
            <w:pPr>
              <w:jc w:val="center"/>
              <w:rPr>
                <w:noProof/>
              </w:rPr>
            </w:pPr>
            <w:r>
              <w:rPr>
                <w:noProof/>
                <w:sz w:val="16"/>
              </w:rPr>
              <w:t xml:space="preserve">po členu 21(2)(b) finančne uredbe </w:t>
            </w:r>
          </w:p>
        </w:tc>
      </w:tr>
      <w:tr>
        <w:tc>
          <w:tcPr>
            <w:tcW w:w="1778" w:type="dxa"/>
            <w:vAlign w:val="center"/>
          </w:tcPr>
          <w:p>
            <w:pPr>
              <w:jc w:val="center"/>
              <w:rPr>
                <w:noProof/>
              </w:rPr>
            </w:pPr>
          </w:p>
        </w:tc>
        <w:tc>
          <w:tcPr>
            <w:tcW w:w="3262" w:type="dxa"/>
            <w:vAlign w:val="center"/>
          </w:tcPr>
          <w:p>
            <w:pPr>
              <w:spacing w:before="60"/>
              <w:rPr>
                <w:noProof/>
              </w:rPr>
            </w:pPr>
            <w:r>
              <w:rPr>
                <w:noProof/>
              </w:rPr>
              <w:t>[XX.YY.YY.YY]</w:t>
            </w:r>
          </w:p>
          <w:p>
            <w:pPr>
              <w:spacing w:after="60"/>
              <w:rPr>
                <w:noProof/>
              </w:rPr>
            </w:pPr>
          </w:p>
        </w:tc>
        <w:tc>
          <w:tcPr>
            <w:tcW w:w="1080" w:type="dxa"/>
            <w:vAlign w:val="center"/>
          </w:tcPr>
          <w:p>
            <w:pPr>
              <w:jc w:val="center"/>
              <w:rPr>
                <w:noProof/>
              </w:rPr>
            </w:pPr>
          </w:p>
        </w:tc>
        <w:tc>
          <w:tcPr>
            <w:tcW w:w="956" w:type="dxa"/>
            <w:vAlign w:val="center"/>
          </w:tcPr>
          <w:p>
            <w:pPr>
              <w:jc w:val="center"/>
              <w:rPr>
                <w:noProof/>
              </w:rPr>
            </w:pPr>
            <w:r>
              <w:rPr>
                <w:noProof/>
              </w:rPr>
              <w:t>DA/NE</w:t>
            </w:r>
          </w:p>
        </w:tc>
        <w:tc>
          <w:tcPr>
            <w:tcW w:w="1080" w:type="dxa"/>
            <w:vAlign w:val="center"/>
          </w:tcPr>
          <w:p>
            <w:pPr>
              <w:jc w:val="center"/>
              <w:rPr>
                <w:noProof/>
                <w:sz w:val="18"/>
              </w:rPr>
            </w:pPr>
            <w:r>
              <w:rPr>
                <w:noProof/>
              </w:rPr>
              <w:t>DA/NE</w:t>
            </w:r>
          </w:p>
        </w:tc>
        <w:tc>
          <w:tcPr>
            <w:tcW w:w="956" w:type="dxa"/>
            <w:vAlign w:val="center"/>
          </w:tcPr>
          <w:p>
            <w:pPr>
              <w:jc w:val="center"/>
              <w:rPr>
                <w:noProof/>
                <w:sz w:val="18"/>
              </w:rPr>
            </w:pPr>
            <w:r>
              <w:rPr>
                <w:noProof/>
              </w:rPr>
              <w:t>DA/NE</w:t>
            </w:r>
          </w:p>
        </w:tc>
        <w:tc>
          <w:tcPr>
            <w:tcW w:w="1564" w:type="dxa"/>
            <w:vAlign w:val="center"/>
          </w:tcPr>
          <w:p>
            <w:pPr>
              <w:jc w:val="center"/>
              <w:rPr>
                <w:noProof/>
              </w:rPr>
            </w:pPr>
            <w:r>
              <w:rPr>
                <w:noProof/>
              </w:rPr>
              <w:t>DA/NE</w:t>
            </w:r>
          </w:p>
        </w:tc>
      </w:tr>
    </w:tbl>
    <w:p>
      <w:pPr>
        <w:rPr>
          <w:noProof/>
        </w:rPr>
        <w:sectPr>
          <w:pgSz w:w="12240" w:h="15840"/>
          <w:pgMar w:top="794" w:right="907" w:bottom="851" w:left="1361" w:header="510" w:footer="454" w:gutter="0"/>
          <w:cols w:space="720"/>
          <w:docGrid w:linePitch="326"/>
        </w:sectPr>
      </w:pPr>
    </w:p>
    <w:p>
      <w:pPr>
        <w:pStyle w:val="ManualHeading2"/>
        <w:rPr>
          <w:bCs/>
          <w:noProof/>
          <w:szCs w:val="24"/>
        </w:rPr>
      </w:pPr>
      <w:r>
        <w:t>3.2.</w:t>
      </w:r>
      <w:r>
        <w:tab/>
      </w:r>
      <w:r>
        <w:rPr>
          <w:noProof/>
        </w:rPr>
        <w:t xml:space="preserve">Ocenjene posledice za odhodke </w:t>
      </w:r>
    </w:p>
    <w:p>
      <w:pPr>
        <w:pStyle w:val="ManualHeading3"/>
        <w:rPr>
          <w:bCs/>
          <w:noProof/>
          <w:szCs w:val="24"/>
        </w:rPr>
      </w:pPr>
      <w:r>
        <w:t>3.2.1.</w:t>
      </w:r>
      <w:r>
        <w:tab/>
      </w:r>
      <w:r>
        <w:rPr>
          <w:noProof/>
        </w:rPr>
        <w:t xml:space="preserve">Povzetek ocenjenih posledic za odhodke </w:t>
      </w:r>
    </w:p>
    <w:p>
      <w:pPr>
        <w:jc w:val="right"/>
        <w:rPr>
          <w:noProof/>
          <w:sz w:val="20"/>
        </w:rPr>
      </w:pPr>
      <w:r>
        <w:rPr>
          <w:noProof/>
          <w:sz w:val="20"/>
        </w:rPr>
        <w:t>v mio. EUR (na tri decimalna mesta natančno)</w:t>
      </w:r>
      <w:r>
        <w:rPr>
          <w:rStyle w:val="FootnoteReference"/>
          <w:noProof/>
          <w:sz w:val="20"/>
        </w:rPr>
        <w:footnoteReference w:id="67"/>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5"/>
        <w:gridCol w:w="1080"/>
        <w:gridCol w:w="7817"/>
      </w:tblGrid>
      <w:tr>
        <w:trPr>
          <w:jc w:val="center"/>
        </w:trPr>
        <w:tc>
          <w:tcPr>
            <w:tcW w:w="4965" w:type="dxa"/>
            <w:shd w:val="thinDiagStripe" w:color="C0C0C0" w:fill="auto"/>
            <w:vAlign w:val="center"/>
          </w:tcPr>
          <w:p>
            <w:pPr>
              <w:spacing w:before="60" w:after="60"/>
              <w:jc w:val="center"/>
              <w:rPr>
                <w:b/>
                <w:noProof/>
              </w:rPr>
            </w:pPr>
            <w:r>
              <w:rPr>
                <w:b/>
                <w:noProof/>
                <w:sz w:val="22"/>
              </w:rPr>
              <w:t xml:space="preserve">Razdelek večletnega finančnega </w:t>
            </w:r>
            <w:r>
              <w:rPr>
                <w:noProof/>
                <w:sz w:val="22"/>
              </w:rPr>
              <w:br/>
            </w:r>
            <w:r>
              <w:rPr>
                <w:b/>
                <w:noProof/>
                <w:sz w:val="22"/>
              </w:rPr>
              <w:t xml:space="preserve">okvira </w:t>
            </w:r>
          </w:p>
        </w:tc>
        <w:tc>
          <w:tcPr>
            <w:tcW w:w="1080" w:type="dxa"/>
            <w:vAlign w:val="center"/>
          </w:tcPr>
          <w:p>
            <w:pPr>
              <w:spacing w:before="60" w:after="60"/>
              <w:jc w:val="center"/>
              <w:rPr>
                <w:noProof/>
              </w:rPr>
            </w:pPr>
            <w:r>
              <w:rPr>
                <w:b/>
                <w:noProof/>
                <w:sz w:val="22"/>
              </w:rPr>
              <w:t>1a)</w:t>
            </w:r>
          </w:p>
        </w:tc>
        <w:tc>
          <w:tcPr>
            <w:tcW w:w="7817" w:type="dxa"/>
            <w:vAlign w:val="center"/>
          </w:tcPr>
          <w:p>
            <w:pPr>
              <w:spacing w:before="60" w:after="60"/>
              <w:jc w:val="left"/>
              <w:rPr>
                <w:noProof/>
              </w:rPr>
            </w:pPr>
            <w:r>
              <w:rPr>
                <w:noProof/>
              </w:rPr>
              <w:t xml:space="preserve">Konkurenčnost za rast in delovna mesta </w:t>
            </w:r>
          </w:p>
        </w:tc>
      </w:tr>
    </w:tbl>
    <w:p>
      <w:pPr>
        <w:rPr>
          <w:noProof/>
          <w:sz w:val="16"/>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63"/>
        <w:gridCol w:w="591"/>
        <w:gridCol w:w="868"/>
        <w:gridCol w:w="868"/>
        <w:gridCol w:w="868"/>
        <w:gridCol w:w="868"/>
        <w:gridCol w:w="868"/>
        <w:gridCol w:w="868"/>
        <w:gridCol w:w="868"/>
        <w:gridCol w:w="1777"/>
      </w:tblGrid>
      <w:tr>
        <w:tc>
          <w:tcPr>
            <w:tcW w:w="3960" w:type="dxa"/>
            <w:vAlign w:val="center"/>
          </w:tcPr>
          <w:p>
            <w:pPr>
              <w:jc w:val="center"/>
              <w:rPr>
                <w:noProof/>
              </w:rPr>
            </w:pPr>
            <w:r>
              <w:rPr>
                <w:noProof/>
                <w:sz w:val="22"/>
              </w:rPr>
              <w:t>GD FISMA</w:t>
            </w:r>
          </w:p>
        </w:tc>
        <w:tc>
          <w:tcPr>
            <w:tcW w:w="1503" w:type="dxa"/>
            <w:gridSpan w:val="2"/>
          </w:tcPr>
          <w:p>
            <w:pPr>
              <w:rPr>
                <w:noProof/>
                <w:sz w:val="20"/>
              </w:rPr>
            </w:pPr>
          </w:p>
        </w:tc>
        <w:tc>
          <w:tcPr>
            <w:tcW w:w="591" w:type="dxa"/>
          </w:tcPr>
          <w:p>
            <w:pPr>
              <w:jc w:val="center"/>
              <w:rPr>
                <w:noProof/>
                <w:sz w:val="20"/>
              </w:rPr>
            </w:pPr>
          </w:p>
        </w:tc>
        <w:tc>
          <w:tcPr>
            <w:tcW w:w="868" w:type="dxa"/>
            <w:vAlign w:val="center"/>
          </w:tcPr>
          <w:p>
            <w:pPr>
              <w:jc w:val="center"/>
              <w:rPr>
                <w:noProof/>
                <w:sz w:val="20"/>
              </w:rPr>
            </w:pPr>
            <w:r>
              <w:rPr>
                <w:noProof/>
                <w:sz w:val="20"/>
              </w:rPr>
              <w:t>Leto</w:t>
            </w:r>
            <w:r>
              <w:rPr>
                <w:noProof/>
                <w:sz w:val="22"/>
              </w:rPr>
              <w:br/>
            </w:r>
            <w:r>
              <w:rPr>
                <w:b/>
                <w:noProof/>
                <w:sz w:val="20"/>
              </w:rPr>
              <w:t>2020</w:t>
            </w:r>
          </w:p>
        </w:tc>
        <w:tc>
          <w:tcPr>
            <w:tcW w:w="868" w:type="dxa"/>
            <w:vAlign w:val="center"/>
          </w:tcPr>
          <w:p>
            <w:pPr>
              <w:jc w:val="center"/>
              <w:rPr>
                <w:noProof/>
                <w:sz w:val="20"/>
              </w:rPr>
            </w:pPr>
            <w:r>
              <w:rPr>
                <w:noProof/>
                <w:sz w:val="20"/>
              </w:rPr>
              <w:t>Leto</w:t>
            </w:r>
            <w:r>
              <w:rPr>
                <w:noProof/>
                <w:sz w:val="22"/>
              </w:rPr>
              <w:br/>
            </w:r>
            <w:r>
              <w:rPr>
                <w:b/>
                <w:noProof/>
                <w:sz w:val="20"/>
              </w:rPr>
              <w:t>2021</w:t>
            </w:r>
            <w:r>
              <w:rPr>
                <w:rStyle w:val="FootnoteReference"/>
                <w:b/>
                <w:noProof/>
                <w:sz w:val="20"/>
              </w:rPr>
              <w:footnoteReference w:id="68"/>
            </w:r>
          </w:p>
        </w:tc>
        <w:tc>
          <w:tcPr>
            <w:tcW w:w="868" w:type="dxa"/>
            <w:vAlign w:val="center"/>
          </w:tcPr>
          <w:p>
            <w:pPr>
              <w:jc w:val="center"/>
              <w:rPr>
                <w:noProof/>
                <w:sz w:val="20"/>
              </w:rPr>
            </w:pPr>
            <w:r>
              <w:rPr>
                <w:noProof/>
                <w:sz w:val="20"/>
              </w:rPr>
              <w:t>Leto</w:t>
            </w:r>
            <w:r>
              <w:rPr>
                <w:noProof/>
                <w:sz w:val="22"/>
              </w:rPr>
              <w:br/>
            </w:r>
            <w:r>
              <w:rPr>
                <w:b/>
                <w:noProof/>
                <w:sz w:val="20"/>
              </w:rPr>
              <w:t>2022</w:t>
            </w:r>
          </w:p>
        </w:tc>
        <w:tc>
          <w:tcPr>
            <w:tcW w:w="868" w:type="dxa"/>
            <w:vAlign w:val="center"/>
          </w:tcPr>
          <w:p>
            <w:pPr>
              <w:jc w:val="center"/>
              <w:rPr>
                <w:noProof/>
                <w:sz w:val="20"/>
              </w:rPr>
            </w:pPr>
            <w:r>
              <w:rPr>
                <w:noProof/>
                <w:sz w:val="20"/>
              </w:rPr>
              <w:t>Leto</w:t>
            </w:r>
            <w:r>
              <w:rPr>
                <w:noProof/>
                <w:sz w:val="22"/>
              </w:rPr>
              <w:br/>
            </w:r>
            <w:r>
              <w:rPr>
                <w:b/>
                <w:noProof/>
                <w:sz w:val="20"/>
              </w:rPr>
              <w:t>2023</w:t>
            </w:r>
          </w:p>
        </w:tc>
        <w:tc>
          <w:tcPr>
            <w:tcW w:w="2604" w:type="dxa"/>
            <w:gridSpan w:val="3"/>
            <w:vAlign w:val="center"/>
          </w:tcPr>
          <w:p>
            <w:pPr>
              <w:jc w:val="center"/>
              <w:rPr>
                <w:b/>
                <w:noProof/>
                <w:sz w:val="18"/>
              </w:rPr>
            </w:pPr>
            <w:r>
              <w:rPr>
                <w:noProof/>
                <w:sz w:val="18"/>
              </w:rPr>
              <w:t>Vstavite ustrezno število let glede na trajanje posledic (gl. točko 1.6)</w:t>
            </w:r>
            <w:r>
              <w:rPr>
                <w:rStyle w:val="FootnoteReference"/>
                <w:noProof/>
                <w:sz w:val="18"/>
              </w:rPr>
              <w:footnoteReference w:id="69"/>
            </w:r>
          </w:p>
        </w:tc>
        <w:tc>
          <w:tcPr>
            <w:tcW w:w="1777" w:type="dxa"/>
            <w:vAlign w:val="center"/>
          </w:tcPr>
          <w:p>
            <w:pPr>
              <w:jc w:val="center"/>
              <w:rPr>
                <w:b/>
                <w:noProof/>
                <w:sz w:val="20"/>
              </w:rPr>
            </w:pPr>
            <w:r>
              <w:rPr>
                <w:b/>
                <w:noProof/>
                <w:sz w:val="20"/>
              </w:rPr>
              <w:t>SKUPAJ</w:t>
            </w:r>
          </w:p>
        </w:tc>
      </w:tr>
      <w:tr>
        <w:trPr>
          <w:trHeight w:val="277"/>
        </w:trPr>
        <w:tc>
          <w:tcPr>
            <w:tcW w:w="3960" w:type="dxa"/>
            <w:vMerge w:val="restart"/>
            <w:vAlign w:val="center"/>
          </w:tcPr>
          <w:p>
            <w:pPr>
              <w:rPr>
                <w:noProof/>
              </w:rPr>
            </w:pPr>
            <w:r>
              <w:rPr>
                <w:noProof/>
                <w:sz w:val="20"/>
              </w:rPr>
              <w:t>GD FISMA</w:t>
            </w:r>
          </w:p>
        </w:tc>
        <w:tc>
          <w:tcPr>
            <w:tcW w:w="1440" w:type="dxa"/>
            <w:vAlign w:val="center"/>
          </w:tcPr>
          <w:p>
            <w:pPr>
              <w:spacing w:before="20" w:after="20"/>
              <w:rPr>
                <w:noProof/>
              </w:rPr>
            </w:pPr>
            <w:r>
              <w:rPr>
                <w:noProof/>
                <w:sz w:val="18"/>
              </w:rPr>
              <w:t>obveznosti</w:t>
            </w:r>
          </w:p>
        </w:tc>
        <w:tc>
          <w:tcPr>
            <w:tcW w:w="654" w:type="dxa"/>
            <w:gridSpan w:val="2"/>
            <w:vAlign w:val="center"/>
          </w:tcPr>
          <w:p>
            <w:pPr>
              <w:spacing w:before="20" w:after="20"/>
              <w:jc w:val="center"/>
              <w:rPr>
                <w:noProof/>
                <w:sz w:val="14"/>
              </w:rPr>
            </w:pPr>
            <w:r>
              <w:rPr>
                <w:noProof/>
                <w:sz w:val="14"/>
              </w:rPr>
              <w:t>(1)</w:t>
            </w:r>
          </w:p>
        </w:tc>
        <w:tc>
          <w:tcPr>
            <w:tcW w:w="868" w:type="dxa"/>
          </w:tcPr>
          <w:p>
            <w:pPr>
              <w:spacing w:before="20" w:after="20"/>
              <w:jc w:val="right"/>
              <w:rPr>
                <w:noProof/>
                <w:sz w:val="20"/>
              </w:rPr>
            </w:pPr>
            <w:r>
              <w:rPr>
                <w:noProof/>
                <w:sz w:val="20"/>
              </w:rPr>
              <w:t>0,050</w:t>
            </w:r>
          </w:p>
        </w:tc>
        <w:tc>
          <w:tcPr>
            <w:tcW w:w="868" w:type="dxa"/>
          </w:tcPr>
          <w:p>
            <w:pPr>
              <w:spacing w:before="20" w:after="20"/>
              <w:jc w:val="right"/>
              <w:rPr>
                <w:noProof/>
                <w:sz w:val="20"/>
              </w:rPr>
            </w:pPr>
            <w:r>
              <w:rPr>
                <w:noProof/>
                <w:sz w:val="20"/>
              </w:rPr>
              <w:t>0,050</w:t>
            </w:r>
          </w:p>
        </w:tc>
        <w:tc>
          <w:tcPr>
            <w:tcW w:w="868" w:type="dxa"/>
          </w:tcPr>
          <w:p>
            <w:pPr>
              <w:spacing w:before="20" w:after="20"/>
              <w:jc w:val="right"/>
              <w:rPr>
                <w:noProof/>
                <w:sz w:val="20"/>
              </w:rPr>
            </w:pPr>
            <w:r>
              <w:rPr>
                <w:noProof/>
                <w:sz w:val="20"/>
              </w:rPr>
              <w:t>0,050</w:t>
            </w:r>
          </w:p>
        </w:tc>
        <w:tc>
          <w:tcPr>
            <w:tcW w:w="868" w:type="dxa"/>
          </w:tcPr>
          <w:p>
            <w:pPr>
              <w:spacing w:before="20" w:after="20"/>
              <w:jc w:val="right"/>
              <w:rPr>
                <w:noProof/>
                <w:sz w:val="20"/>
              </w:rPr>
            </w:pPr>
            <w:r>
              <w:rPr>
                <w:noProof/>
                <w:sz w:val="20"/>
              </w:rPr>
              <w:t>0,050</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Pr>
          <w:p>
            <w:pPr>
              <w:spacing w:before="20" w:after="20"/>
              <w:jc w:val="right"/>
              <w:rPr>
                <w:b/>
                <w:noProof/>
                <w:sz w:val="20"/>
              </w:rPr>
            </w:pPr>
            <w:r>
              <w:rPr>
                <w:rFonts w:asciiTheme="majorBidi" w:hAnsiTheme="majorBidi" w:cstheme="majorBidi"/>
                <w:b/>
                <w:noProof/>
                <w:color w:val="000000"/>
                <w:sz w:val="20"/>
              </w:rPr>
              <w:t>0,200</w:t>
            </w:r>
          </w:p>
        </w:tc>
      </w:tr>
      <w:tr>
        <w:tc>
          <w:tcPr>
            <w:tcW w:w="3960" w:type="dxa"/>
            <w:vMerge/>
            <w:vAlign w:val="center"/>
          </w:tcPr>
          <w:p>
            <w:pPr>
              <w:rPr>
                <w:noProof/>
              </w:rPr>
            </w:pPr>
          </w:p>
        </w:tc>
        <w:tc>
          <w:tcPr>
            <w:tcW w:w="1440" w:type="dxa"/>
            <w:vAlign w:val="center"/>
          </w:tcPr>
          <w:p>
            <w:pPr>
              <w:spacing w:before="20" w:after="20"/>
              <w:rPr>
                <w:noProof/>
                <w:sz w:val="18"/>
              </w:rPr>
            </w:pPr>
            <w:r>
              <w:rPr>
                <w:noProof/>
                <w:sz w:val="18"/>
              </w:rPr>
              <w:t>plačila</w:t>
            </w:r>
          </w:p>
        </w:tc>
        <w:tc>
          <w:tcPr>
            <w:tcW w:w="654" w:type="dxa"/>
            <w:gridSpan w:val="2"/>
            <w:vAlign w:val="center"/>
          </w:tcPr>
          <w:p>
            <w:pPr>
              <w:spacing w:before="20" w:after="20"/>
              <w:jc w:val="center"/>
              <w:rPr>
                <w:noProof/>
                <w:sz w:val="14"/>
              </w:rPr>
            </w:pPr>
            <w:r>
              <w:rPr>
                <w:noProof/>
                <w:sz w:val="14"/>
              </w:rPr>
              <w:t>(2)</w:t>
            </w:r>
          </w:p>
        </w:tc>
        <w:tc>
          <w:tcPr>
            <w:tcW w:w="868" w:type="dxa"/>
          </w:tcPr>
          <w:p>
            <w:pPr>
              <w:spacing w:before="20" w:after="20"/>
              <w:jc w:val="right"/>
              <w:rPr>
                <w:noProof/>
                <w:sz w:val="20"/>
              </w:rPr>
            </w:pPr>
            <w:r>
              <w:rPr>
                <w:noProof/>
                <w:sz w:val="20"/>
              </w:rPr>
              <w:t>0,050</w:t>
            </w:r>
          </w:p>
        </w:tc>
        <w:tc>
          <w:tcPr>
            <w:tcW w:w="868" w:type="dxa"/>
          </w:tcPr>
          <w:p>
            <w:pPr>
              <w:spacing w:before="20" w:after="20"/>
              <w:jc w:val="right"/>
              <w:rPr>
                <w:noProof/>
                <w:sz w:val="20"/>
              </w:rPr>
            </w:pPr>
            <w:r>
              <w:rPr>
                <w:noProof/>
                <w:sz w:val="20"/>
              </w:rPr>
              <w:t>0,050</w:t>
            </w:r>
          </w:p>
        </w:tc>
        <w:tc>
          <w:tcPr>
            <w:tcW w:w="868" w:type="dxa"/>
          </w:tcPr>
          <w:p>
            <w:pPr>
              <w:spacing w:before="20" w:after="20"/>
              <w:jc w:val="right"/>
              <w:rPr>
                <w:noProof/>
                <w:sz w:val="20"/>
              </w:rPr>
            </w:pPr>
            <w:r>
              <w:rPr>
                <w:noProof/>
                <w:sz w:val="20"/>
              </w:rPr>
              <w:t>0,050</w:t>
            </w:r>
          </w:p>
        </w:tc>
        <w:tc>
          <w:tcPr>
            <w:tcW w:w="868" w:type="dxa"/>
          </w:tcPr>
          <w:p>
            <w:pPr>
              <w:spacing w:before="20" w:after="20"/>
              <w:jc w:val="right"/>
              <w:rPr>
                <w:noProof/>
                <w:sz w:val="20"/>
              </w:rPr>
            </w:pPr>
            <w:r>
              <w:rPr>
                <w:noProof/>
                <w:sz w:val="20"/>
              </w:rPr>
              <w:t>0,050</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Pr>
          <w:p>
            <w:pPr>
              <w:spacing w:before="20" w:after="20"/>
              <w:jc w:val="right"/>
              <w:rPr>
                <w:b/>
                <w:noProof/>
                <w:sz w:val="20"/>
              </w:rPr>
            </w:pPr>
            <w:r>
              <w:rPr>
                <w:rFonts w:asciiTheme="majorBidi" w:hAnsiTheme="majorBidi" w:cstheme="majorBidi"/>
                <w:b/>
                <w:noProof/>
                <w:color w:val="000000"/>
                <w:sz w:val="20"/>
              </w:rPr>
              <w:t>0,200</w:t>
            </w:r>
          </w:p>
        </w:tc>
      </w:tr>
      <w:tr>
        <w:tc>
          <w:tcPr>
            <w:tcW w:w="3960" w:type="dxa"/>
            <w:vMerge w:val="restart"/>
            <w:vAlign w:val="center"/>
          </w:tcPr>
          <w:p>
            <w:pPr>
              <w:jc w:val="center"/>
              <w:rPr>
                <w:noProof/>
              </w:rPr>
            </w:pPr>
            <w:r>
              <w:rPr>
                <w:b/>
                <w:noProof/>
                <w:sz w:val="22"/>
              </w:rPr>
              <w:t>Odobritve</w:t>
            </w:r>
            <w:r>
              <w:rPr>
                <w:noProof/>
                <w:sz w:val="22"/>
              </w:rPr>
              <w:br/>
            </w:r>
            <w:r>
              <w:rPr>
                <w:b/>
                <w:noProof/>
                <w:sz w:val="22"/>
              </w:rPr>
              <w:t>za GD FISMA SKUPAJ</w:t>
            </w:r>
          </w:p>
        </w:tc>
        <w:tc>
          <w:tcPr>
            <w:tcW w:w="1440" w:type="dxa"/>
            <w:vAlign w:val="center"/>
          </w:tcPr>
          <w:p>
            <w:pPr>
              <w:rPr>
                <w:noProof/>
                <w:sz w:val="18"/>
              </w:rPr>
            </w:pPr>
            <w:r>
              <w:rPr>
                <w:noProof/>
                <w:sz w:val="18"/>
              </w:rPr>
              <w:t>obveznosti</w:t>
            </w:r>
          </w:p>
        </w:tc>
        <w:tc>
          <w:tcPr>
            <w:tcW w:w="654" w:type="dxa"/>
            <w:gridSpan w:val="2"/>
            <w:vAlign w:val="center"/>
          </w:tcPr>
          <w:p>
            <w:pPr>
              <w:jc w:val="center"/>
              <w:rPr>
                <w:noProof/>
                <w:sz w:val="14"/>
              </w:rPr>
            </w:pPr>
            <w:r>
              <w:rPr>
                <w:noProof/>
                <w:sz w:val="14"/>
              </w:rPr>
              <w:t>=1+1a+3a</w:t>
            </w:r>
          </w:p>
        </w:tc>
        <w:tc>
          <w:tcPr>
            <w:tcW w:w="868" w:type="dxa"/>
          </w:tcPr>
          <w:p>
            <w:pPr>
              <w:spacing w:before="20" w:after="20"/>
              <w:jc w:val="right"/>
              <w:rPr>
                <w:b/>
                <w:bCs/>
                <w:noProof/>
                <w:sz w:val="20"/>
              </w:rPr>
            </w:pPr>
            <w:r>
              <w:rPr>
                <w:b/>
                <w:noProof/>
                <w:sz w:val="20"/>
              </w:rPr>
              <w:t>0,050</w:t>
            </w:r>
          </w:p>
        </w:tc>
        <w:tc>
          <w:tcPr>
            <w:tcW w:w="868" w:type="dxa"/>
          </w:tcPr>
          <w:p>
            <w:pPr>
              <w:spacing w:before="20" w:after="20"/>
              <w:jc w:val="right"/>
              <w:rPr>
                <w:b/>
                <w:bCs/>
                <w:noProof/>
                <w:sz w:val="20"/>
              </w:rPr>
            </w:pPr>
            <w:r>
              <w:rPr>
                <w:b/>
                <w:noProof/>
                <w:sz w:val="20"/>
              </w:rPr>
              <w:t>0,050</w:t>
            </w:r>
          </w:p>
        </w:tc>
        <w:tc>
          <w:tcPr>
            <w:tcW w:w="868" w:type="dxa"/>
          </w:tcPr>
          <w:p>
            <w:pPr>
              <w:spacing w:before="20" w:after="20"/>
              <w:jc w:val="right"/>
              <w:rPr>
                <w:b/>
                <w:bCs/>
                <w:noProof/>
                <w:sz w:val="20"/>
              </w:rPr>
            </w:pPr>
            <w:r>
              <w:rPr>
                <w:b/>
                <w:noProof/>
                <w:sz w:val="20"/>
              </w:rPr>
              <w:t>0,050</w:t>
            </w:r>
          </w:p>
        </w:tc>
        <w:tc>
          <w:tcPr>
            <w:tcW w:w="868" w:type="dxa"/>
          </w:tcPr>
          <w:p>
            <w:pPr>
              <w:spacing w:before="20" w:after="20"/>
              <w:jc w:val="right"/>
              <w:rPr>
                <w:b/>
                <w:bCs/>
                <w:noProof/>
                <w:sz w:val="20"/>
              </w:rPr>
            </w:pPr>
            <w:r>
              <w:rPr>
                <w:b/>
                <w:noProof/>
                <w:sz w:val="20"/>
              </w:rPr>
              <w:t>0,050</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1777" w:type="dxa"/>
          </w:tcPr>
          <w:p>
            <w:pPr>
              <w:spacing w:before="20" w:after="20"/>
              <w:jc w:val="right"/>
              <w:rPr>
                <w:b/>
                <w:noProof/>
                <w:sz w:val="20"/>
              </w:rPr>
            </w:pPr>
            <w:r>
              <w:rPr>
                <w:rFonts w:asciiTheme="majorBidi" w:hAnsiTheme="majorBidi" w:cstheme="majorBidi"/>
                <w:b/>
                <w:noProof/>
                <w:color w:val="000000"/>
                <w:sz w:val="20"/>
              </w:rPr>
              <w:t>0,200</w:t>
            </w:r>
          </w:p>
        </w:tc>
      </w:tr>
      <w:tr>
        <w:tc>
          <w:tcPr>
            <w:tcW w:w="3960" w:type="dxa"/>
            <w:vMerge/>
            <w:vAlign w:val="center"/>
          </w:tcPr>
          <w:p>
            <w:pPr>
              <w:rPr>
                <w:b/>
                <w:noProof/>
              </w:rPr>
            </w:pPr>
          </w:p>
        </w:tc>
        <w:tc>
          <w:tcPr>
            <w:tcW w:w="1440" w:type="dxa"/>
            <w:vAlign w:val="center"/>
          </w:tcPr>
          <w:p>
            <w:pPr>
              <w:rPr>
                <w:noProof/>
                <w:sz w:val="18"/>
              </w:rPr>
            </w:pPr>
            <w:r>
              <w:rPr>
                <w:noProof/>
                <w:sz w:val="18"/>
              </w:rPr>
              <w:t>plačila</w:t>
            </w:r>
          </w:p>
        </w:tc>
        <w:tc>
          <w:tcPr>
            <w:tcW w:w="654" w:type="dxa"/>
            <w:gridSpan w:val="2"/>
            <w:vAlign w:val="center"/>
          </w:tcPr>
          <w:p>
            <w:pPr>
              <w:jc w:val="center"/>
              <w:rPr>
                <w:noProof/>
                <w:sz w:val="14"/>
              </w:rPr>
            </w:pPr>
            <w:r>
              <w:rPr>
                <w:noProof/>
                <w:sz w:val="14"/>
              </w:rPr>
              <w:t>=2+2a</w:t>
            </w:r>
          </w:p>
          <w:p>
            <w:pPr>
              <w:jc w:val="center"/>
              <w:rPr>
                <w:noProof/>
                <w:sz w:val="14"/>
              </w:rPr>
            </w:pPr>
            <w:r>
              <w:rPr>
                <w:noProof/>
                <w:sz w:val="14"/>
              </w:rPr>
              <w:t>+3b</w:t>
            </w:r>
          </w:p>
        </w:tc>
        <w:tc>
          <w:tcPr>
            <w:tcW w:w="868" w:type="dxa"/>
          </w:tcPr>
          <w:p>
            <w:pPr>
              <w:spacing w:before="20" w:after="20"/>
              <w:jc w:val="right"/>
              <w:rPr>
                <w:b/>
                <w:bCs/>
                <w:noProof/>
                <w:sz w:val="20"/>
              </w:rPr>
            </w:pPr>
            <w:r>
              <w:rPr>
                <w:b/>
                <w:noProof/>
                <w:sz w:val="20"/>
              </w:rPr>
              <w:t>0,050</w:t>
            </w:r>
          </w:p>
        </w:tc>
        <w:tc>
          <w:tcPr>
            <w:tcW w:w="868" w:type="dxa"/>
          </w:tcPr>
          <w:p>
            <w:pPr>
              <w:spacing w:before="20" w:after="20"/>
              <w:jc w:val="right"/>
              <w:rPr>
                <w:b/>
                <w:bCs/>
                <w:noProof/>
                <w:sz w:val="20"/>
              </w:rPr>
            </w:pPr>
            <w:r>
              <w:rPr>
                <w:b/>
                <w:noProof/>
                <w:sz w:val="20"/>
              </w:rPr>
              <w:t>0,050</w:t>
            </w:r>
          </w:p>
        </w:tc>
        <w:tc>
          <w:tcPr>
            <w:tcW w:w="868" w:type="dxa"/>
          </w:tcPr>
          <w:p>
            <w:pPr>
              <w:spacing w:before="20" w:after="20"/>
              <w:jc w:val="right"/>
              <w:rPr>
                <w:b/>
                <w:bCs/>
                <w:noProof/>
                <w:sz w:val="20"/>
              </w:rPr>
            </w:pPr>
            <w:r>
              <w:rPr>
                <w:b/>
                <w:noProof/>
                <w:sz w:val="20"/>
              </w:rPr>
              <w:t>0,050</w:t>
            </w:r>
          </w:p>
        </w:tc>
        <w:tc>
          <w:tcPr>
            <w:tcW w:w="868" w:type="dxa"/>
          </w:tcPr>
          <w:p>
            <w:pPr>
              <w:spacing w:before="20" w:after="20"/>
              <w:jc w:val="right"/>
              <w:rPr>
                <w:b/>
                <w:bCs/>
                <w:noProof/>
                <w:sz w:val="20"/>
              </w:rPr>
            </w:pPr>
            <w:r>
              <w:rPr>
                <w:b/>
                <w:noProof/>
                <w:sz w:val="20"/>
              </w:rPr>
              <w:t>0,050</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1777" w:type="dxa"/>
          </w:tcPr>
          <w:p>
            <w:pPr>
              <w:spacing w:before="20" w:after="20"/>
              <w:jc w:val="right"/>
              <w:rPr>
                <w:b/>
                <w:noProof/>
                <w:sz w:val="20"/>
              </w:rPr>
            </w:pPr>
            <w:r>
              <w:rPr>
                <w:rFonts w:asciiTheme="majorBidi" w:hAnsiTheme="majorBidi" w:cstheme="majorBidi"/>
                <w:b/>
                <w:noProof/>
                <w:color w:val="000000"/>
                <w:sz w:val="20"/>
              </w:rPr>
              <w:t>0,200</w:t>
            </w:r>
          </w:p>
        </w:tc>
      </w:tr>
    </w:tbl>
    <w:p>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120"/>
        <w:gridCol w:w="534"/>
        <w:gridCol w:w="827"/>
        <w:gridCol w:w="909"/>
        <w:gridCol w:w="868"/>
        <w:gridCol w:w="868"/>
        <w:gridCol w:w="868"/>
        <w:gridCol w:w="868"/>
        <w:gridCol w:w="868"/>
        <w:gridCol w:w="1777"/>
      </w:tblGrid>
      <w:tr>
        <w:tc>
          <w:tcPr>
            <w:tcW w:w="3960" w:type="dxa"/>
            <w:vAlign w:val="center"/>
          </w:tcPr>
          <w:p>
            <w:pPr>
              <w:jc w:val="center"/>
              <w:rPr>
                <w:noProof/>
              </w:rPr>
            </w:pPr>
            <w:r>
              <w:rPr>
                <w:noProof/>
                <w:sz w:val="22"/>
              </w:rPr>
              <w:t>EBA</w:t>
            </w:r>
          </w:p>
        </w:tc>
        <w:tc>
          <w:tcPr>
            <w:tcW w:w="1560" w:type="dxa"/>
            <w:gridSpan w:val="2"/>
          </w:tcPr>
          <w:p>
            <w:pPr>
              <w:rPr>
                <w:noProof/>
                <w:sz w:val="20"/>
              </w:rPr>
            </w:pPr>
          </w:p>
        </w:tc>
        <w:tc>
          <w:tcPr>
            <w:tcW w:w="534" w:type="dxa"/>
          </w:tcPr>
          <w:p>
            <w:pPr>
              <w:jc w:val="center"/>
              <w:rPr>
                <w:noProof/>
                <w:sz w:val="20"/>
              </w:rPr>
            </w:pPr>
          </w:p>
        </w:tc>
        <w:tc>
          <w:tcPr>
            <w:tcW w:w="827" w:type="dxa"/>
            <w:vAlign w:val="center"/>
          </w:tcPr>
          <w:p>
            <w:pPr>
              <w:jc w:val="center"/>
              <w:rPr>
                <w:noProof/>
                <w:sz w:val="20"/>
              </w:rPr>
            </w:pPr>
            <w:r>
              <w:rPr>
                <w:noProof/>
                <w:sz w:val="20"/>
              </w:rPr>
              <w:t>Leto</w:t>
            </w:r>
            <w:r>
              <w:rPr>
                <w:noProof/>
                <w:sz w:val="22"/>
              </w:rPr>
              <w:br/>
            </w:r>
            <w:r>
              <w:rPr>
                <w:b/>
                <w:noProof/>
                <w:sz w:val="20"/>
              </w:rPr>
              <w:t>2020</w:t>
            </w:r>
          </w:p>
        </w:tc>
        <w:tc>
          <w:tcPr>
            <w:tcW w:w="909" w:type="dxa"/>
            <w:vAlign w:val="center"/>
          </w:tcPr>
          <w:p>
            <w:pPr>
              <w:jc w:val="center"/>
              <w:rPr>
                <w:noProof/>
                <w:sz w:val="20"/>
              </w:rPr>
            </w:pPr>
            <w:r>
              <w:rPr>
                <w:noProof/>
                <w:sz w:val="20"/>
              </w:rPr>
              <w:t>Leto</w:t>
            </w:r>
            <w:r>
              <w:rPr>
                <w:noProof/>
                <w:sz w:val="22"/>
              </w:rPr>
              <w:br/>
            </w:r>
            <w:r>
              <w:rPr>
                <w:b/>
                <w:noProof/>
                <w:sz w:val="20"/>
              </w:rPr>
              <w:t>2021</w:t>
            </w:r>
          </w:p>
        </w:tc>
        <w:tc>
          <w:tcPr>
            <w:tcW w:w="868" w:type="dxa"/>
            <w:vAlign w:val="center"/>
          </w:tcPr>
          <w:p>
            <w:pPr>
              <w:jc w:val="center"/>
              <w:rPr>
                <w:noProof/>
                <w:sz w:val="20"/>
              </w:rPr>
            </w:pPr>
            <w:r>
              <w:rPr>
                <w:noProof/>
                <w:sz w:val="20"/>
              </w:rPr>
              <w:t>Leto</w:t>
            </w:r>
            <w:r>
              <w:rPr>
                <w:noProof/>
                <w:sz w:val="22"/>
              </w:rPr>
              <w:br/>
            </w:r>
            <w:r>
              <w:rPr>
                <w:b/>
                <w:noProof/>
                <w:sz w:val="20"/>
              </w:rPr>
              <w:t>2022</w:t>
            </w:r>
          </w:p>
        </w:tc>
        <w:tc>
          <w:tcPr>
            <w:tcW w:w="868" w:type="dxa"/>
            <w:vAlign w:val="center"/>
          </w:tcPr>
          <w:p>
            <w:pPr>
              <w:jc w:val="center"/>
              <w:rPr>
                <w:noProof/>
                <w:sz w:val="20"/>
              </w:rPr>
            </w:pPr>
            <w:r>
              <w:rPr>
                <w:noProof/>
                <w:sz w:val="20"/>
              </w:rPr>
              <w:t>Leto</w:t>
            </w:r>
            <w:r>
              <w:rPr>
                <w:noProof/>
                <w:sz w:val="22"/>
              </w:rPr>
              <w:br/>
            </w:r>
            <w:r>
              <w:rPr>
                <w:b/>
                <w:noProof/>
                <w:sz w:val="20"/>
              </w:rPr>
              <w:t>2023</w:t>
            </w:r>
          </w:p>
        </w:tc>
        <w:tc>
          <w:tcPr>
            <w:tcW w:w="2604" w:type="dxa"/>
            <w:gridSpan w:val="3"/>
            <w:vAlign w:val="center"/>
          </w:tcPr>
          <w:p>
            <w:pPr>
              <w:jc w:val="center"/>
              <w:rPr>
                <w:b/>
                <w:noProof/>
                <w:sz w:val="18"/>
              </w:rPr>
            </w:pPr>
            <w:r>
              <w:rPr>
                <w:noProof/>
                <w:sz w:val="18"/>
              </w:rPr>
              <w:t>Vstavite ustrezno število let glede na trajanje posledic (gl. točko 1.6)</w:t>
            </w:r>
          </w:p>
        </w:tc>
        <w:tc>
          <w:tcPr>
            <w:tcW w:w="1777" w:type="dxa"/>
            <w:vAlign w:val="center"/>
          </w:tcPr>
          <w:p>
            <w:pPr>
              <w:jc w:val="center"/>
              <w:rPr>
                <w:b/>
                <w:noProof/>
                <w:sz w:val="20"/>
              </w:rPr>
            </w:pPr>
            <w:r>
              <w:rPr>
                <w:b/>
                <w:noProof/>
                <w:sz w:val="20"/>
              </w:rPr>
              <w:t>SKUPAJ</w:t>
            </w:r>
            <w:r>
              <w:rPr>
                <w:noProof/>
                <w:sz w:val="18"/>
              </w:rPr>
              <w:t>(zaradi ureditve sofinanciranja 60/40 se tu omeni le 40 %)</w:t>
            </w:r>
          </w:p>
        </w:tc>
      </w:tr>
      <w:tr>
        <w:trPr>
          <w:trHeight w:val="277"/>
        </w:trPr>
        <w:tc>
          <w:tcPr>
            <w:tcW w:w="3960" w:type="dxa"/>
            <w:vMerge w:val="restart"/>
            <w:vAlign w:val="center"/>
          </w:tcPr>
          <w:p>
            <w:pPr>
              <w:rPr>
                <w:noProof/>
              </w:rPr>
            </w:pPr>
            <w:r>
              <w:rPr>
                <w:noProof/>
                <w:sz w:val="20"/>
              </w:rPr>
              <w:t xml:space="preserve">Naslov 1: odhodki za zaposlene </w:t>
            </w:r>
          </w:p>
        </w:tc>
        <w:tc>
          <w:tcPr>
            <w:tcW w:w="1440" w:type="dxa"/>
            <w:vAlign w:val="center"/>
          </w:tcPr>
          <w:p>
            <w:pPr>
              <w:spacing w:before="20" w:after="20"/>
              <w:rPr>
                <w:noProof/>
              </w:rPr>
            </w:pPr>
            <w:r>
              <w:rPr>
                <w:noProof/>
                <w:sz w:val="18"/>
              </w:rPr>
              <w:t>obveznosti</w:t>
            </w:r>
          </w:p>
        </w:tc>
        <w:tc>
          <w:tcPr>
            <w:tcW w:w="654" w:type="dxa"/>
            <w:gridSpan w:val="2"/>
            <w:vAlign w:val="center"/>
          </w:tcPr>
          <w:p>
            <w:pPr>
              <w:spacing w:before="20" w:after="20"/>
              <w:jc w:val="center"/>
              <w:rPr>
                <w:noProof/>
                <w:sz w:val="14"/>
              </w:rPr>
            </w:pPr>
            <w:r>
              <w:rPr>
                <w:noProof/>
                <w:sz w:val="14"/>
              </w:rPr>
              <w:t>(1)</w:t>
            </w:r>
          </w:p>
        </w:tc>
        <w:tc>
          <w:tcPr>
            <w:tcW w:w="827" w:type="dxa"/>
            <w:vAlign w:val="center"/>
          </w:tcPr>
          <w:p>
            <w:pPr>
              <w:spacing w:before="20" w:after="20"/>
              <w:jc w:val="center"/>
              <w:rPr>
                <w:noProof/>
                <w:sz w:val="20"/>
              </w:rPr>
            </w:pPr>
            <w:r>
              <w:rPr>
                <w:noProof/>
                <w:sz w:val="20"/>
              </w:rPr>
              <w:t>0,034</w:t>
            </w:r>
          </w:p>
        </w:tc>
        <w:tc>
          <w:tcPr>
            <w:tcW w:w="909" w:type="dxa"/>
            <w:vAlign w:val="center"/>
          </w:tcPr>
          <w:p>
            <w:pPr>
              <w:spacing w:before="20" w:after="20"/>
              <w:jc w:val="center"/>
              <w:rPr>
                <w:noProof/>
                <w:sz w:val="20"/>
              </w:rPr>
            </w:pPr>
            <w:r>
              <w:rPr>
                <w:rFonts w:ascii="Calibri" w:hAnsi="Calibri"/>
                <w:noProof/>
                <w:color w:val="000000"/>
                <w:sz w:val="22"/>
              </w:rPr>
              <w:t>0,034</w:t>
            </w:r>
          </w:p>
        </w:tc>
        <w:tc>
          <w:tcPr>
            <w:tcW w:w="868" w:type="dxa"/>
            <w:vAlign w:val="center"/>
          </w:tcPr>
          <w:p>
            <w:pPr>
              <w:spacing w:before="20" w:after="20"/>
              <w:jc w:val="center"/>
              <w:rPr>
                <w:noProof/>
                <w:sz w:val="20"/>
              </w:rPr>
            </w:pPr>
            <w:r>
              <w:rPr>
                <w:rFonts w:ascii="Calibri" w:hAnsi="Calibri"/>
                <w:noProof/>
                <w:color w:val="000000"/>
                <w:sz w:val="22"/>
              </w:rPr>
              <w:t>0,034</w:t>
            </w:r>
          </w:p>
        </w:tc>
        <w:tc>
          <w:tcPr>
            <w:tcW w:w="868" w:type="dxa"/>
            <w:vAlign w:val="center"/>
          </w:tcPr>
          <w:p>
            <w:pPr>
              <w:spacing w:before="20" w:after="20"/>
              <w:jc w:val="center"/>
              <w:rPr>
                <w:noProof/>
                <w:sz w:val="20"/>
              </w:rPr>
            </w:pPr>
            <w:r>
              <w:rPr>
                <w:rFonts w:ascii="Calibri" w:hAnsi="Calibri"/>
                <w:noProof/>
                <w:color w:val="000000"/>
                <w:sz w:val="22"/>
              </w:rPr>
              <w:t>0,034</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bottom"/>
          </w:tcPr>
          <w:p>
            <w:pPr>
              <w:spacing w:before="20" w:after="20"/>
              <w:jc w:val="right"/>
              <w:rPr>
                <w:b/>
                <w:noProof/>
                <w:sz w:val="20"/>
              </w:rPr>
            </w:pPr>
            <w:r>
              <w:rPr>
                <w:rFonts w:ascii="Calibri" w:hAnsi="Calibri"/>
                <w:b/>
                <w:noProof/>
                <w:color w:val="000000"/>
                <w:sz w:val="22"/>
              </w:rPr>
              <w:t>0,136</w:t>
            </w:r>
          </w:p>
        </w:tc>
      </w:tr>
      <w:tr>
        <w:tc>
          <w:tcPr>
            <w:tcW w:w="3960" w:type="dxa"/>
            <w:vMerge/>
            <w:vAlign w:val="center"/>
          </w:tcPr>
          <w:p>
            <w:pPr>
              <w:rPr>
                <w:noProof/>
              </w:rPr>
            </w:pPr>
          </w:p>
        </w:tc>
        <w:tc>
          <w:tcPr>
            <w:tcW w:w="1440" w:type="dxa"/>
            <w:vAlign w:val="center"/>
          </w:tcPr>
          <w:p>
            <w:pPr>
              <w:spacing w:before="20" w:after="20"/>
              <w:rPr>
                <w:noProof/>
                <w:sz w:val="18"/>
              </w:rPr>
            </w:pPr>
            <w:r>
              <w:rPr>
                <w:noProof/>
                <w:sz w:val="18"/>
              </w:rPr>
              <w:t>plačila</w:t>
            </w:r>
          </w:p>
        </w:tc>
        <w:tc>
          <w:tcPr>
            <w:tcW w:w="654" w:type="dxa"/>
            <w:gridSpan w:val="2"/>
            <w:vAlign w:val="center"/>
          </w:tcPr>
          <w:p>
            <w:pPr>
              <w:spacing w:before="20" w:after="20"/>
              <w:jc w:val="center"/>
              <w:rPr>
                <w:noProof/>
                <w:sz w:val="14"/>
              </w:rPr>
            </w:pPr>
            <w:r>
              <w:rPr>
                <w:noProof/>
                <w:sz w:val="14"/>
              </w:rPr>
              <w:t>(2)</w:t>
            </w:r>
          </w:p>
        </w:tc>
        <w:tc>
          <w:tcPr>
            <w:tcW w:w="827" w:type="dxa"/>
            <w:vAlign w:val="center"/>
          </w:tcPr>
          <w:p>
            <w:pPr>
              <w:spacing w:before="20" w:after="20"/>
              <w:jc w:val="center"/>
              <w:rPr>
                <w:noProof/>
                <w:sz w:val="20"/>
              </w:rPr>
            </w:pPr>
            <w:r>
              <w:rPr>
                <w:rFonts w:ascii="Calibri" w:hAnsi="Calibri"/>
                <w:noProof/>
                <w:color w:val="000000"/>
                <w:sz w:val="22"/>
              </w:rPr>
              <w:t>0,034</w:t>
            </w:r>
          </w:p>
        </w:tc>
        <w:tc>
          <w:tcPr>
            <w:tcW w:w="909" w:type="dxa"/>
            <w:vAlign w:val="center"/>
          </w:tcPr>
          <w:p>
            <w:pPr>
              <w:spacing w:before="20" w:after="20"/>
              <w:jc w:val="center"/>
              <w:rPr>
                <w:noProof/>
                <w:sz w:val="20"/>
              </w:rPr>
            </w:pPr>
            <w:r>
              <w:rPr>
                <w:rFonts w:ascii="Calibri" w:hAnsi="Calibri"/>
                <w:noProof/>
                <w:color w:val="000000"/>
                <w:sz w:val="22"/>
              </w:rPr>
              <w:t>0,034</w:t>
            </w:r>
          </w:p>
        </w:tc>
        <w:tc>
          <w:tcPr>
            <w:tcW w:w="868" w:type="dxa"/>
            <w:vAlign w:val="center"/>
          </w:tcPr>
          <w:p>
            <w:pPr>
              <w:spacing w:before="20" w:after="20"/>
              <w:jc w:val="center"/>
              <w:rPr>
                <w:noProof/>
                <w:sz w:val="20"/>
              </w:rPr>
            </w:pPr>
            <w:r>
              <w:rPr>
                <w:rFonts w:ascii="Calibri" w:hAnsi="Calibri"/>
                <w:noProof/>
                <w:color w:val="000000"/>
                <w:sz w:val="22"/>
              </w:rPr>
              <w:t>0,034</w:t>
            </w:r>
          </w:p>
        </w:tc>
        <w:tc>
          <w:tcPr>
            <w:tcW w:w="868" w:type="dxa"/>
            <w:vAlign w:val="center"/>
          </w:tcPr>
          <w:p>
            <w:pPr>
              <w:spacing w:before="20" w:after="20"/>
              <w:jc w:val="center"/>
              <w:rPr>
                <w:noProof/>
                <w:sz w:val="20"/>
              </w:rPr>
            </w:pPr>
            <w:r>
              <w:rPr>
                <w:rFonts w:ascii="Calibri" w:hAnsi="Calibri"/>
                <w:noProof/>
                <w:color w:val="000000"/>
                <w:sz w:val="22"/>
              </w:rPr>
              <w:t>0,034</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bottom"/>
          </w:tcPr>
          <w:p>
            <w:pPr>
              <w:spacing w:before="20" w:after="20"/>
              <w:jc w:val="right"/>
              <w:rPr>
                <w:b/>
                <w:noProof/>
                <w:sz w:val="20"/>
              </w:rPr>
            </w:pPr>
            <w:r>
              <w:rPr>
                <w:rFonts w:ascii="Calibri" w:hAnsi="Calibri"/>
                <w:b/>
                <w:noProof/>
                <w:color w:val="000000"/>
                <w:sz w:val="22"/>
              </w:rPr>
              <w:t>0,136</w:t>
            </w:r>
          </w:p>
        </w:tc>
      </w:tr>
      <w:tr>
        <w:tc>
          <w:tcPr>
            <w:tcW w:w="3960" w:type="dxa"/>
            <w:vMerge w:val="restart"/>
            <w:vAlign w:val="center"/>
          </w:tcPr>
          <w:p>
            <w:pPr>
              <w:rPr>
                <w:noProof/>
              </w:rPr>
            </w:pPr>
            <w:r>
              <w:rPr>
                <w:noProof/>
                <w:sz w:val="20"/>
              </w:rPr>
              <w:t>Naslov 2: infrastruktura in odhodki iz poslovanja</w:t>
            </w:r>
          </w:p>
        </w:tc>
        <w:tc>
          <w:tcPr>
            <w:tcW w:w="1440" w:type="dxa"/>
            <w:vAlign w:val="center"/>
          </w:tcPr>
          <w:p>
            <w:pPr>
              <w:spacing w:before="20" w:after="20"/>
              <w:rPr>
                <w:noProof/>
                <w:sz w:val="18"/>
              </w:rPr>
            </w:pPr>
            <w:r>
              <w:rPr>
                <w:noProof/>
                <w:sz w:val="18"/>
              </w:rPr>
              <w:t>obveznosti</w:t>
            </w:r>
          </w:p>
        </w:tc>
        <w:tc>
          <w:tcPr>
            <w:tcW w:w="654" w:type="dxa"/>
            <w:gridSpan w:val="2"/>
            <w:vAlign w:val="center"/>
          </w:tcPr>
          <w:p>
            <w:pPr>
              <w:spacing w:before="20" w:after="20"/>
              <w:jc w:val="center"/>
              <w:rPr>
                <w:noProof/>
                <w:sz w:val="14"/>
              </w:rPr>
            </w:pPr>
            <w:r>
              <w:rPr>
                <w:noProof/>
                <w:sz w:val="14"/>
              </w:rPr>
              <w:t>(1a)</w:t>
            </w:r>
          </w:p>
        </w:tc>
        <w:tc>
          <w:tcPr>
            <w:tcW w:w="827" w:type="dxa"/>
            <w:vAlign w:val="center"/>
          </w:tcPr>
          <w:p>
            <w:pPr>
              <w:spacing w:before="20" w:after="20"/>
              <w:jc w:val="right"/>
              <w:rPr>
                <w:noProof/>
                <w:sz w:val="20"/>
              </w:rPr>
            </w:pPr>
          </w:p>
        </w:tc>
        <w:tc>
          <w:tcPr>
            <w:tcW w:w="909"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c>
          <w:tcPr>
            <w:tcW w:w="3960" w:type="dxa"/>
            <w:vMerge/>
            <w:vAlign w:val="center"/>
          </w:tcPr>
          <w:p>
            <w:pPr>
              <w:rPr>
                <w:noProof/>
              </w:rPr>
            </w:pPr>
          </w:p>
        </w:tc>
        <w:tc>
          <w:tcPr>
            <w:tcW w:w="1440" w:type="dxa"/>
            <w:vAlign w:val="center"/>
          </w:tcPr>
          <w:p>
            <w:pPr>
              <w:spacing w:before="20" w:after="20"/>
              <w:rPr>
                <w:noProof/>
                <w:sz w:val="18"/>
              </w:rPr>
            </w:pPr>
            <w:r>
              <w:rPr>
                <w:noProof/>
                <w:sz w:val="18"/>
              </w:rPr>
              <w:t>plačila</w:t>
            </w:r>
          </w:p>
        </w:tc>
        <w:tc>
          <w:tcPr>
            <w:tcW w:w="654" w:type="dxa"/>
            <w:gridSpan w:val="2"/>
            <w:vAlign w:val="center"/>
          </w:tcPr>
          <w:p>
            <w:pPr>
              <w:spacing w:before="20" w:after="20"/>
              <w:jc w:val="center"/>
              <w:rPr>
                <w:noProof/>
                <w:sz w:val="14"/>
              </w:rPr>
            </w:pPr>
            <w:r>
              <w:rPr>
                <w:noProof/>
                <w:sz w:val="14"/>
              </w:rPr>
              <w:t>(2a)</w:t>
            </w:r>
          </w:p>
        </w:tc>
        <w:tc>
          <w:tcPr>
            <w:tcW w:w="827" w:type="dxa"/>
            <w:vAlign w:val="center"/>
          </w:tcPr>
          <w:p>
            <w:pPr>
              <w:spacing w:before="20" w:after="20"/>
              <w:jc w:val="right"/>
              <w:rPr>
                <w:noProof/>
                <w:sz w:val="20"/>
              </w:rPr>
            </w:pPr>
          </w:p>
        </w:tc>
        <w:tc>
          <w:tcPr>
            <w:tcW w:w="909"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rPr>
          <w:trHeight w:val="319"/>
        </w:trPr>
        <w:tc>
          <w:tcPr>
            <w:tcW w:w="3960" w:type="dxa"/>
            <w:vMerge w:val="restart"/>
            <w:vAlign w:val="center"/>
          </w:tcPr>
          <w:p>
            <w:pPr>
              <w:spacing w:before="60" w:after="60"/>
              <w:rPr>
                <w:noProof/>
              </w:rPr>
            </w:pPr>
            <w:r>
              <w:rPr>
                <w:noProof/>
                <w:sz w:val="20"/>
              </w:rPr>
              <w:t xml:space="preserve">Naslov 3: odhodki iz poslovanja </w:t>
            </w:r>
          </w:p>
        </w:tc>
        <w:tc>
          <w:tcPr>
            <w:tcW w:w="1440" w:type="dxa"/>
            <w:vAlign w:val="center"/>
          </w:tcPr>
          <w:p>
            <w:pPr>
              <w:spacing w:before="40" w:after="40"/>
              <w:rPr>
                <w:noProof/>
                <w:sz w:val="18"/>
              </w:rPr>
            </w:pPr>
            <w:r>
              <w:rPr>
                <w:noProof/>
                <w:sz w:val="18"/>
              </w:rPr>
              <w:t>obveznosti</w:t>
            </w:r>
          </w:p>
        </w:tc>
        <w:tc>
          <w:tcPr>
            <w:tcW w:w="654" w:type="dxa"/>
            <w:gridSpan w:val="2"/>
            <w:vAlign w:val="center"/>
          </w:tcPr>
          <w:p>
            <w:pPr>
              <w:spacing w:before="40" w:after="40"/>
              <w:jc w:val="center"/>
              <w:rPr>
                <w:noProof/>
                <w:sz w:val="14"/>
              </w:rPr>
            </w:pPr>
            <w:r>
              <w:rPr>
                <w:noProof/>
                <w:sz w:val="14"/>
              </w:rPr>
              <w:t>(3a)</w:t>
            </w:r>
          </w:p>
        </w:tc>
        <w:tc>
          <w:tcPr>
            <w:tcW w:w="827" w:type="dxa"/>
            <w:vAlign w:val="center"/>
          </w:tcPr>
          <w:p>
            <w:pPr>
              <w:spacing w:before="40" w:after="40"/>
              <w:jc w:val="right"/>
              <w:rPr>
                <w:b/>
                <w:noProof/>
                <w:sz w:val="20"/>
              </w:rPr>
            </w:pPr>
          </w:p>
        </w:tc>
        <w:tc>
          <w:tcPr>
            <w:tcW w:w="909"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1777" w:type="dxa"/>
            <w:vAlign w:val="center"/>
          </w:tcPr>
          <w:p>
            <w:pPr>
              <w:spacing w:before="40" w:after="40"/>
              <w:jc w:val="right"/>
              <w:rPr>
                <w:b/>
                <w:noProof/>
                <w:sz w:val="20"/>
              </w:rPr>
            </w:pPr>
          </w:p>
        </w:tc>
      </w:tr>
      <w:tr>
        <w:trPr>
          <w:trHeight w:val="319"/>
        </w:trPr>
        <w:tc>
          <w:tcPr>
            <w:tcW w:w="3960" w:type="dxa"/>
            <w:vMerge/>
            <w:vAlign w:val="center"/>
          </w:tcPr>
          <w:p>
            <w:pPr>
              <w:spacing w:before="60" w:after="60"/>
              <w:rPr>
                <w:b/>
                <w:noProof/>
                <w:sz w:val="20"/>
              </w:rPr>
            </w:pPr>
          </w:p>
        </w:tc>
        <w:tc>
          <w:tcPr>
            <w:tcW w:w="1440" w:type="dxa"/>
            <w:vAlign w:val="center"/>
          </w:tcPr>
          <w:p>
            <w:pPr>
              <w:spacing w:before="40" w:after="40"/>
              <w:rPr>
                <w:noProof/>
                <w:sz w:val="18"/>
              </w:rPr>
            </w:pPr>
            <w:r>
              <w:rPr>
                <w:noProof/>
                <w:sz w:val="18"/>
              </w:rPr>
              <w:t>plačila</w:t>
            </w:r>
          </w:p>
        </w:tc>
        <w:tc>
          <w:tcPr>
            <w:tcW w:w="654" w:type="dxa"/>
            <w:gridSpan w:val="2"/>
            <w:vAlign w:val="center"/>
          </w:tcPr>
          <w:p>
            <w:pPr>
              <w:spacing w:before="40" w:after="40"/>
              <w:jc w:val="center"/>
              <w:rPr>
                <w:noProof/>
                <w:sz w:val="14"/>
              </w:rPr>
            </w:pPr>
            <w:r>
              <w:rPr>
                <w:noProof/>
                <w:sz w:val="14"/>
              </w:rPr>
              <w:t>(3b)</w:t>
            </w:r>
          </w:p>
        </w:tc>
        <w:tc>
          <w:tcPr>
            <w:tcW w:w="827" w:type="dxa"/>
            <w:vAlign w:val="center"/>
          </w:tcPr>
          <w:p>
            <w:pPr>
              <w:spacing w:before="40" w:after="40"/>
              <w:jc w:val="right"/>
              <w:rPr>
                <w:b/>
                <w:noProof/>
                <w:sz w:val="20"/>
              </w:rPr>
            </w:pPr>
          </w:p>
        </w:tc>
        <w:tc>
          <w:tcPr>
            <w:tcW w:w="909"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1777" w:type="dxa"/>
            <w:vAlign w:val="center"/>
          </w:tcPr>
          <w:p>
            <w:pPr>
              <w:spacing w:before="40" w:after="40"/>
              <w:jc w:val="right"/>
              <w:rPr>
                <w:b/>
                <w:noProof/>
                <w:sz w:val="20"/>
              </w:rPr>
            </w:pPr>
          </w:p>
        </w:tc>
      </w:tr>
      <w:tr>
        <w:tc>
          <w:tcPr>
            <w:tcW w:w="3960" w:type="dxa"/>
            <w:vMerge w:val="restart"/>
            <w:vAlign w:val="center"/>
          </w:tcPr>
          <w:p>
            <w:pPr>
              <w:jc w:val="center"/>
              <w:rPr>
                <w:noProof/>
              </w:rPr>
            </w:pPr>
            <w:r>
              <w:rPr>
                <w:b/>
                <w:noProof/>
                <w:sz w:val="22"/>
              </w:rPr>
              <w:t>Odobritve</w:t>
            </w:r>
            <w:r>
              <w:rPr>
                <w:noProof/>
                <w:sz w:val="22"/>
              </w:rPr>
              <w:br/>
            </w:r>
            <w:r>
              <w:rPr>
                <w:b/>
                <w:noProof/>
                <w:sz w:val="22"/>
              </w:rPr>
              <w:t>za EBA SKUPAJ</w:t>
            </w:r>
          </w:p>
        </w:tc>
        <w:tc>
          <w:tcPr>
            <w:tcW w:w="1440" w:type="dxa"/>
            <w:vAlign w:val="center"/>
          </w:tcPr>
          <w:p>
            <w:pPr>
              <w:rPr>
                <w:noProof/>
                <w:sz w:val="18"/>
              </w:rPr>
            </w:pPr>
            <w:r>
              <w:rPr>
                <w:noProof/>
                <w:sz w:val="18"/>
              </w:rPr>
              <w:t>obveznosti</w:t>
            </w:r>
          </w:p>
        </w:tc>
        <w:tc>
          <w:tcPr>
            <w:tcW w:w="654" w:type="dxa"/>
            <w:gridSpan w:val="2"/>
            <w:vAlign w:val="center"/>
          </w:tcPr>
          <w:p>
            <w:pPr>
              <w:jc w:val="center"/>
              <w:rPr>
                <w:noProof/>
                <w:sz w:val="14"/>
              </w:rPr>
            </w:pPr>
            <w:r>
              <w:rPr>
                <w:noProof/>
                <w:sz w:val="14"/>
              </w:rPr>
              <w:t>=1+1a+3a</w:t>
            </w:r>
          </w:p>
        </w:tc>
        <w:tc>
          <w:tcPr>
            <w:tcW w:w="827" w:type="dxa"/>
          </w:tcPr>
          <w:p>
            <w:pPr>
              <w:spacing w:before="20" w:after="20"/>
              <w:jc w:val="center"/>
              <w:rPr>
                <w:b/>
                <w:bCs/>
                <w:noProof/>
                <w:sz w:val="20"/>
              </w:rPr>
            </w:pPr>
            <w:r>
              <w:rPr>
                <w:rFonts w:ascii="Calibri" w:hAnsi="Calibri"/>
                <w:b/>
                <w:noProof/>
                <w:color w:val="000000"/>
                <w:sz w:val="22"/>
              </w:rPr>
              <w:t>0,034</w:t>
            </w:r>
          </w:p>
        </w:tc>
        <w:tc>
          <w:tcPr>
            <w:tcW w:w="909" w:type="dxa"/>
          </w:tcPr>
          <w:p>
            <w:pPr>
              <w:spacing w:before="20" w:after="20"/>
              <w:jc w:val="center"/>
              <w:rPr>
                <w:b/>
                <w:bCs/>
                <w:noProof/>
                <w:sz w:val="20"/>
              </w:rPr>
            </w:pPr>
            <w:r>
              <w:rPr>
                <w:rFonts w:ascii="Calibri" w:hAnsi="Calibri"/>
                <w:b/>
                <w:noProof/>
                <w:color w:val="000000"/>
                <w:sz w:val="22"/>
              </w:rPr>
              <w:t>0,034</w:t>
            </w:r>
          </w:p>
        </w:tc>
        <w:tc>
          <w:tcPr>
            <w:tcW w:w="868" w:type="dxa"/>
          </w:tcPr>
          <w:p>
            <w:pPr>
              <w:spacing w:before="20" w:after="20"/>
              <w:jc w:val="center"/>
              <w:rPr>
                <w:b/>
                <w:bCs/>
                <w:noProof/>
                <w:sz w:val="20"/>
              </w:rPr>
            </w:pPr>
            <w:r>
              <w:rPr>
                <w:rFonts w:ascii="Calibri" w:hAnsi="Calibri"/>
                <w:b/>
                <w:noProof/>
                <w:color w:val="000000"/>
                <w:sz w:val="22"/>
              </w:rPr>
              <w:t>0,034</w:t>
            </w:r>
          </w:p>
        </w:tc>
        <w:tc>
          <w:tcPr>
            <w:tcW w:w="868" w:type="dxa"/>
          </w:tcPr>
          <w:p>
            <w:pPr>
              <w:spacing w:before="20" w:after="20"/>
              <w:jc w:val="center"/>
              <w:rPr>
                <w:b/>
                <w:bCs/>
                <w:noProof/>
                <w:sz w:val="20"/>
              </w:rPr>
            </w:pPr>
            <w:r>
              <w:rPr>
                <w:rFonts w:ascii="Calibri" w:hAnsi="Calibri"/>
                <w:b/>
                <w:noProof/>
                <w:color w:val="000000"/>
                <w:sz w:val="22"/>
              </w:rPr>
              <w:t>0,034</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Pr>
          <w:p>
            <w:pPr>
              <w:spacing w:before="20" w:after="20"/>
              <w:jc w:val="right"/>
              <w:rPr>
                <w:b/>
                <w:noProof/>
                <w:sz w:val="20"/>
              </w:rPr>
            </w:pPr>
            <w:r>
              <w:rPr>
                <w:rFonts w:ascii="Calibri" w:hAnsi="Calibri"/>
                <w:b/>
                <w:noProof/>
                <w:color w:val="000000"/>
                <w:sz w:val="22"/>
              </w:rPr>
              <w:t>0,136</w:t>
            </w:r>
          </w:p>
        </w:tc>
      </w:tr>
      <w:tr>
        <w:tc>
          <w:tcPr>
            <w:tcW w:w="3960" w:type="dxa"/>
            <w:vMerge/>
            <w:vAlign w:val="center"/>
          </w:tcPr>
          <w:p>
            <w:pPr>
              <w:rPr>
                <w:b/>
                <w:noProof/>
              </w:rPr>
            </w:pPr>
          </w:p>
        </w:tc>
        <w:tc>
          <w:tcPr>
            <w:tcW w:w="1440" w:type="dxa"/>
            <w:vAlign w:val="center"/>
          </w:tcPr>
          <w:p>
            <w:pPr>
              <w:rPr>
                <w:noProof/>
                <w:sz w:val="18"/>
              </w:rPr>
            </w:pPr>
            <w:r>
              <w:rPr>
                <w:noProof/>
                <w:sz w:val="18"/>
              </w:rPr>
              <w:t>plačila</w:t>
            </w:r>
          </w:p>
        </w:tc>
        <w:tc>
          <w:tcPr>
            <w:tcW w:w="654" w:type="dxa"/>
            <w:gridSpan w:val="2"/>
            <w:vAlign w:val="center"/>
          </w:tcPr>
          <w:p>
            <w:pPr>
              <w:jc w:val="center"/>
              <w:rPr>
                <w:noProof/>
                <w:sz w:val="14"/>
              </w:rPr>
            </w:pPr>
            <w:r>
              <w:rPr>
                <w:noProof/>
                <w:sz w:val="14"/>
              </w:rPr>
              <w:t>=2+2a</w:t>
            </w:r>
          </w:p>
          <w:p>
            <w:pPr>
              <w:jc w:val="center"/>
              <w:rPr>
                <w:noProof/>
                <w:sz w:val="14"/>
              </w:rPr>
            </w:pPr>
            <w:r>
              <w:rPr>
                <w:noProof/>
                <w:sz w:val="14"/>
              </w:rPr>
              <w:t>+3b</w:t>
            </w:r>
          </w:p>
        </w:tc>
        <w:tc>
          <w:tcPr>
            <w:tcW w:w="827" w:type="dxa"/>
          </w:tcPr>
          <w:p>
            <w:pPr>
              <w:spacing w:before="20" w:after="20"/>
              <w:jc w:val="center"/>
              <w:rPr>
                <w:b/>
                <w:bCs/>
                <w:noProof/>
                <w:sz w:val="20"/>
              </w:rPr>
            </w:pPr>
            <w:r>
              <w:rPr>
                <w:rFonts w:ascii="Calibri" w:hAnsi="Calibri"/>
                <w:b/>
                <w:noProof/>
                <w:color w:val="000000"/>
                <w:sz w:val="22"/>
              </w:rPr>
              <w:t>0,034</w:t>
            </w:r>
          </w:p>
        </w:tc>
        <w:tc>
          <w:tcPr>
            <w:tcW w:w="909" w:type="dxa"/>
          </w:tcPr>
          <w:p>
            <w:pPr>
              <w:spacing w:before="20" w:after="20"/>
              <w:jc w:val="center"/>
              <w:rPr>
                <w:b/>
                <w:bCs/>
                <w:noProof/>
                <w:sz w:val="20"/>
              </w:rPr>
            </w:pPr>
            <w:r>
              <w:rPr>
                <w:rFonts w:ascii="Calibri" w:hAnsi="Calibri"/>
                <w:b/>
                <w:noProof/>
                <w:color w:val="000000"/>
                <w:sz w:val="22"/>
              </w:rPr>
              <w:t>0,034</w:t>
            </w:r>
          </w:p>
        </w:tc>
        <w:tc>
          <w:tcPr>
            <w:tcW w:w="868" w:type="dxa"/>
          </w:tcPr>
          <w:p>
            <w:pPr>
              <w:spacing w:before="20" w:after="20"/>
              <w:jc w:val="center"/>
              <w:rPr>
                <w:b/>
                <w:bCs/>
                <w:noProof/>
                <w:sz w:val="20"/>
              </w:rPr>
            </w:pPr>
            <w:r>
              <w:rPr>
                <w:rFonts w:ascii="Calibri" w:hAnsi="Calibri"/>
                <w:b/>
                <w:noProof/>
                <w:color w:val="000000"/>
                <w:sz w:val="22"/>
              </w:rPr>
              <w:t>0,034</w:t>
            </w:r>
          </w:p>
        </w:tc>
        <w:tc>
          <w:tcPr>
            <w:tcW w:w="868" w:type="dxa"/>
          </w:tcPr>
          <w:p>
            <w:pPr>
              <w:spacing w:before="20" w:after="20"/>
              <w:jc w:val="center"/>
              <w:rPr>
                <w:b/>
                <w:bCs/>
                <w:noProof/>
                <w:sz w:val="20"/>
              </w:rPr>
            </w:pPr>
            <w:r>
              <w:rPr>
                <w:rFonts w:ascii="Calibri" w:hAnsi="Calibri"/>
                <w:b/>
                <w:noProof/>
                <w:color w:val="000000"/>
                <w:sz w:val="22"/>
              </w:rPr>
              <w:t>0,034</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Pr>
          <w:p>
            <w:pPr>
              <w:spacing w:before="20" w:after="20"/>
              <w:jc w:val="right"/>
              <w:rPr>
                <w:b/>
                <w:noProof/>
                <w:sz w:val="20"/>
              </w:rPr>
            </w:pPr>
            <w:r>
              <w:rPr>
                <w:rFonts w:ascii="Calibri" w:hAnsi="Calibri"/>
                <w:b/>
                <w:noProof/>
                <w:color w:val="000000"/>
                <w:sz w:val="22"/>
              </w:rPr>
              <w:t>0,136</w:t>
            </w:r>
          </w:p>
        </w:tc>
      </w:tr>
    </w:tbl>
    <w:p>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120"/>
        <w:gridCol w:w="534"/>
        <w:gridCol w:w="868"/>
        <w:gridCol w:w="868"/>
        <w:gridCol w:w="868"/>
        <w:gridCol w:w="868"/>
        <w:gridCol w:w="868"/>
        <w:gridCol w:w="868"/>
        <w:gridCol w:w="868"/>
        <w:gridCol w:w="1777"/>
      </w:tblGrid>
      <w:tr>
        <w:tc>
          <w:tcPr>
            <w:tcW w:w="3960" w:type="dxa"/>
            <w:vAlign w:val="center"/>
          </w:tcPr>
          <w:p>
            <w:pPr>
              <w:jc w:val="center"/>
              <w:rPr>
                <w:noProof/>
              </w:rPr>
            </w:pPr>
            <w:r>
              <w:rPr>
                <w:noProof/>
                <w:sz w:val="22"/>
              </w:rPr>
              <w:t>EIOPA</w:t>
            </w:r>
          </w:p>
        </w:tc>
        <w:tc>
          <w:tcPr>
            <w:tcW w:w="1560" w:type="dxa"/>
            <w:gridSpan w:val="2"/>
          </w:tcPr>
          <w:p>
            <w:pPr>
              <w:rPr>
                <w:noProof/>
                <w:sz w:val="20"/>
              </w:rPr>
            </w:pPr>
          </w:p>
        </w:tc>
        <w:tc>
          <w:tcPr>
            <w:tcW w:w="534" w:type="dxa"/>
          </w:tcPr>
          <w:p>
            <w:pPr>
              <w:jc w:val="center"/>
              <w:rPr>
                <w:noProof/>
                <w:sz w:val="20"/>
              </w:rPr>
            </w:pPr>
          </w:p>
        </w:tc>
        <w:tc>
          <w:tcPr>
            <w:tcW w:w="868" w:type="dxa"/>
            <w:vAlign w:val="center"/>
          </w:tcPr>
          <w:p>
            <w:pPr>
              <w:jc w:val="center"/>
              <w:rPr>
                <w:noProof/>
                <w:sz w:val="20"/>
              </w:rPr>
            </w:pPr>
            <w:r>
              <w:rPr>
                <w:noProof/>
                <w:sz w:val="20"/>
              </w:rPr>
              <w:t>Leto</w:t>
            </w:r>
            <w:r>
              <w:rPr>
                <w:noProof/>
                <w:sz w:val="22"/>
              </w:rPr>
              <w:br/>
            </w:r>
            <w:r>
              <w:rPr>
                <w:b/>
                <w:noProof/>
                <w:sz w:val="20"/>
              </w:rPr>
              <w:t>2020</w:t>
            </w:r>
          </w:p>
        </w:tc>
        <w:tc>
          <w:tcPr>
            <w:tcW w:w="868" w:type="dxa"/>
            <w:vAlign w:val="center"/>
          </w:tcPr>
          <w:p>
            <w:pPr>
              <w:jc w:val="center"/>
              <w:rPr>
                <w:noProof/>
                <w:sz w:val="20"/>
              </w:rPr>
            </w:pPr>
            <w:r>
              <w:rPr>
                <w:noProof/>
                <w:sz w:val="20"/>
              </w:rPr>
              <w:t>Leto</w:t>
            </w:r>
            <w:r>
              <w:rPr>
                <w:noProof/>
                <w:sz w:val="22"/>
              </w:rPr>
              <w:br/>
            </w:r>
            <w:r>
              <w:rPr>
                <w:b/>
                <w:noProof/>
                <w:sz w:val="20"/>
              </w:rPr>
              <w:t>2021</w:t>
            </w:r>
          </w:p>
        </w:tc>
        <w:tc>
          <w:tcPr>
            <w:tcW w:w="868" w:type="dxa"/>
            <w:vAlign w:val="center"/>
          </w:tcPr>
          <w:p>
            <w:pPr>
              <w:jc w:val="center"/>
              <w:rPr>
                <w:noProof/>
                <w:sz w:val="20"/>
              </w:rPr>
            </w:pPr>
            <w:r>
              <w:rPr>
                <w:noProof/>
                <w:sz w:val="20"/>
              </w:rPr>
              <w:t>Leto</w:t>
            </w:r>
            <w:r>
              <w:rPr>
                <w:noProof/>
                <w:sz w:val="22"/>
              </w:rPr>
              <w:br/>
            </w:r>
            <w:r>
              <w:rPr>
                <w:b/>
                <w:noProof/>
                <w:sz w:val="20"/>
              </w:rPr>
              <w:t>2022</w:t>
            </w:r>
          </w:p>
        </w:tc>
        <w:tc>
          <w:tcPr>
            <w:tcW w:w="868" w:type="dxa"/>
            <w:vAlign w:val="center"/>
          </w:tcPr>
          <w:p>
            <w:pPr>
              <w:jc w:val="center"/>
              <w:rPr>
                <w:noProof/>
                <w:sz w:val="20"/>
              </w:rPr>
            </w:pPr>
            <w:r>
              <w:rPr>
                <w:noProof/>
                <w:sz w:val="20"/>
              </w:rPr>
              <w:t>Leto</w:t>
            </w:r>
            <w:r>
              <w:rPr>
                <w:noProof/>
                <w:sz w:val="22"/>
              </w:rPr>
              <w:br/>
            </w:r>
            <w:r>
              <w:rPr>
                <w:b/>
                <w:noProof/>
                <w:sz w:val="20"/>
              </w:rPr>
              <w:t>2023</w:t>
            </w:r>
          </w:p>
        </w:tc>
        <w:tc>
          <w:tcPr>
            <w:tcW w:w="2604" w:type="dxa"/>
            <w:gridSpan w:val="3"/>
            <w:vAlign w:val="center"/>
          </w:tcPr>
          <w:p>
            <w:pPr>
              <w:jc w:val="center"/>
              <w:rPr>
                <w:b/>
                <w:noProof/>
                <w:sz w:val="18"/>
              </w:rPr>
            </w:pPr>
            <w:r>
              <w:rPr>
                <w:noProof/>
                <w:sz w:val="18"/>
              </w:rPr>
              <w:t>Vstavite ustrezno število let glede na trajanje posledic (gl. točko 1.6)</w:t>
            </w:r>
          </w:p>
        </w:tc>
        <w:tc>
          <w:tcPr>
            <w:tcW w:w="1777" w:type="dxa"/>
            <w:vAlign w:val="center"/>
          </w:tcPr>
          <w:p>
            <w:pPr>
              <w:jc w:val="center"/>
              <w:rPr>
                <w:b/>
                <w:noProof/>
                <w:sz w:val="20"/>
              </w:rPr>
            </w:pPr>
            <w:r>
              <w:rPr>
                <w:b/>
                <w:noProof/>
                <w:sz w:val="20"/>
              </w:rPr>
              <w:t>SKUPAJ</w:t>
            </w:r>
            <w:r>
              <w:rPr>
                <w:noProof/>
                <w:sz w:val="18"/>
              </w:rPr>
              <w:t>(zaradi ureditve sofinanciranja 60/40 se tu omeni le 40 %)</w:t>
            </w:r>
          </w:p>
        </w:tc>
      </w:tr>
      <w:tr>
        <w:trPr>
          <w:trHeight w:val="277"/>
        </w:trPr>
        <w:tc>
          <w:tcPr>
            <w:tcW w:w="3960" w:type="dxa"/>
            <w:vMerge w:val="restart"/>
            <w:vAlign w:val="center"/>
          </w:tcPr>
          <w:p>
            <w:pPr>
              <w:rPr>
                <w:noProof/>
              </w:rPr>
            </w:pPr>
            <w:r>
              <w:rPr>
                <w:noProof/>
                <w:sz w:val="20"/>
              </w:rPr>
              <w:t xml:space="preserve">Naslov 1: odhodki za zaposlene </w:t>
            </w:r>
          </w:p>
        </w:tc>
        <w:tc>
          <w:tcPr>
            <w:tcW w:w="1440" w:type="dxa"/>
            <w:vAlign w:val="center"/>
          </w:tcPr>
          <w:p>
            <w:pPr>
              <w:spacing w:before="20" w:after="20"/>
              <w:rPr>
                <w:noProof/>
              </w:rPr>
            </w:pPr>
            <w:r>
              <w:rPr>
                <w:noProof/>
                <w:sz w:val="18"/>
              </w:rPr>
              <w:t>obveznosti</w:t>
            </w:r>
          </w:p>
        </w:tc>
        <w:tc>
          <w:tcPr>
            <w:tcW w:w="654" w:type="dxa"/>
            <w:gridSpan w:val="2"/>
            <w:vAlign w:val="center"/>
          </w:tcPr>
          <w:p>
            <w:pPr>
              <w:spacing w:before="20" w:after="20"/>
              <w:jc w:val="center"/>
              <w:rPr>
                <w:noProof/>
                <w:sz w:val="14"/>
              </w:rPr>
            </w:pPr>
            <w:r>
              <w:rPr>
                <w:noProof/>
                <w:sz w:val="14"/>
              </w:rPr>
              <w:t>(1)</w:t>
            </w:r>
          </w:p>
        </w:tc>
        <w:tc>
          <w:tcPr>
            <w:tcW w:w="868" w:type="dxa"/>
            <w:vAlign w:val="bottom"/>
          </w:tcPr>
          <w:p>
            <w:pPr>
              <w:spacing w:before="20" w:after="20"/>
              <w:jc w:val="right"/>
              <w:rPr>
                <w:noProof/>
                <w:sz w:val="20"/>
              </w:rPr>
            </w:pPr>
            <w:r>
              <w:rPr>
                <w:rFonts w:ascii="Calibri" w:hAnsi="Calibri"/>
                <w:noProof/>
                <w:color w:val="000000"/>
                <w:sz w:val="22"/>
              </w:rPr>
              <w:t>0,029</w:t>
            </w:r>
          </w:p>
        </w:tc>
        <w:tc>
          <w:tcPr>
            <w:tcW w:w="868" w:type="dxa"/>
            <w:vAlign w:val="bottom"/>
          </w:tcPr>
          <w:p>
            <w:pPr>
              <w:spacing w:before="20" w:after="20"/>
              <w:jc w:val="right"/>
              <w:rPr>
                <w:noProof/>
                <w:sz w:val="20"/>
              </w:rPr>
            </w:pPr>
            <w:r>
              <w:rPr>
                <w:rFonts w:ascii="Calibri" w:hAnsi="Calibri"/>
                <w:noProof/>
                <w:color w:val="000000"/>
                <w:sz w:val="22"/>
              </w:rPr>
              <w:t>0,029</w:t>
            </w:r>
          </w:p>
        </w:tc>
        <w:tc>
          <w:tcPr>
            <w:tcW w:w="868" w:type="dxa"/>
            <w:vAlign w:val="bottom"/>
          </w:tcPr>
          <w:p>
            <w:pPr>
              <w:spacing w:before="20" w:after="20"/>
              <w:jc w:val="right"/>
              <w:rPr>
                <w:noProof/>
                <w:sz w:val="20"/>
              </w:rPr>
            </w:pPr>
            <w:r>
              <w:rPr>
                <w:rFonts w:ascii="Calibri" w:hAnsi="Calibri"/>
                <w:noProof/>
                <w:color w:val="000000"/>
                <w:sz w:val="22"/>
              </w:rPr>
              <w:t>0,029</w:t>
            </w:r>
          </w:p>
        </w:tc>
        <w:tc>
          <w:tcPr>
            <w:tcW w:w="868" w:type="dxa"/>
            <w:vAlign w:val="bottom"/>
          </w:tcPr>
          <w:p>
            <w:pPr>
              <w:spacing w:before="20" w:after="20"/>
              <w:jc w:val="right"/>
              <w:rPr>
                <w:noProof/>
                <w:sz w:val="20"/>
              </w:rPr>
            </w:pPr>
            <w:r>
              <w:rPr>
                <w:rFonts w:ascii="Calibri" w:hAnsi="Calibri"/>
                <w:noProof/>
                <w:color w:val="000000"/>
                <w:sz w:val="22"/>
              </w:rPr>
              <w:t>0,029</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Pr>
          <w:p>
            <w:pPr>
              <w:spacing w:before="20" w:after="20"/>
              <w:jc w:val="right"/>
              <w:rPr>
                <w:rFonts w:ascii="Calibri" w:hAnsi="Calibri"/>
                <w:b/>
                <w:bCs/>
                <w:noProof/>
                <w:color w:val="000000"/>
                <w:sz w:val="22"/>
              </w:rPr>
            </w:pPr>
            <w:r>
              <w:rPr>
                <w:rFonts w:ascii="Calibri" w:hAnsi="Calibri"/>
                <w:b/>
                <w:noProof/>
                <w:color w:val="000000"/>
                <w:sz w:val="22"/>
              </w:rPr>
              <w:t>0,116</w:t>
            </w:r>
          </w:p>
        </w:tc>
      </w:tr>
      <w:tr>
        <w:tc>
          <w:tcPr>
            <w:tcW w:w="3960" w:type="dxa"/>
            <w:vMerge/>
            <w:vAlign w:val="center"/>
          </w:tcPr>
          <w:p>
            <w:pPr>
              <w:rPr>
                <w:noProof/>
              </w:rPr>
            </w:pPr>
          </w:p>
        </w:tc>
        <w:tc>
          <w:tcPr>
            <w:tcW w:w="1440" w:type="dxa"/>
            <w:vAlign w:val="center"/>
          </w:tcPr>
          <w:p>
            <w:pPr>
              <w:spacing w:before="20" w:after="20"/>
              <w:rPr>
                <w:noProof/>
                <w:sz w:val="18"/>
              </w:rPr>
            </w:pPr>
            <w:r>
              <w:rPr>
                <w:noProof/>
                <w:sz w:val="18"/>
              </w:rPr>
              <w:t>plačila</w:t>
            </w:r>
          </w:p>
        </w:tc>
        <w:tc>
          <w:tcPr>
            <w:tcW w:w="654" w:type="dxa"/>
            <w:gridSpan w:val="2"/>
            <w:vAlign w:val="center"/>
          </w:tcPr>
          <w:p>
            <w:pPr>
              <w:spacing w:before="20" w:after="20"/>
              <w:jc w:val="center"/>
              <w:rPr>
                <w:noProof/>
                <w:sz w:val="14"/>
              </w:rPr>
            </w:pPr>
            <w:r>
              <w:rPr>
                <w:noProof/>
                <w:sz w:val="14"/>
              </w:rPr>
              <w:t>(2)</w:t>
            </w:r>
          </w:p>
        </w:tc>
        <w:tc>
          <w:tcPr>
            <w:tcW w:w="868" w:type="dxa"/>
            <w:vAlign w:val="bottom"/>
          </w:tcPr>
          <w:p>
            <w:pPr>
              <w:spacing w:before="20" w:after="20"/>
              <w:jc w:val="right"/>
              <w:rPr>
                <w:noProof/>
                <w:sz w:val="20"/>
              </w:rPr>
            </w:pPr>
            <w:r>
              <w:rPr>
                <w:rFonts w:ascii="Calibri" w:hAnsi="Calibri"/>
                <w:noProof/>
                <w:color w:val="000000"/>
                <w:sz w:val="22"/>
              </w:rPr>
              <w:t>0,029</w:t>
            </w:r>
          </w:p>
        </w:tc>
        <w:tc>
          <w:tcPr>
            <w:tcW w:w="868" w:type="dxa"/>
            <w:vAlign w:val="bottom"/>
          </w:tcPr>
          <w:p>
            <w:pPr>
              <w:spacing w:before="20" w:after="20"/>
              <w:jc w:val="right"/>
              <w:rPr>
                <w:noProof/>
                <w:sz w:val="20"/>
              </w:rPr>
            </w:pPr>
            <w:r>
              <w:rPr>
                <w:rFonts w:ascii="Calibri" w:hAnsi="Calibri"/>
                <w:noProof/>
                <w:color w:val="000000"/>
                <w:sz w:val="22"/>
              </w:rPr>
              <w:t>0,029</w:t>
            </w:r>
          </w:p>
        </w:tc>
        <w:tc>
          <w:tcPr>
            <w:tcW w:w="868" w:type="dxa"/>
            <w:vAlign w:val="bottom"/>
          </w:tcPr>
          <w:p>
            <w:pPr>
              <w:spacing w:before="20" w:after="20"/>
              <w:jc w:val="right"/>
              <w:rPr>
                <w:noProof/>
                <w:sz w:val="20"/>
              </w:rPr>
            </w:pPr>
            <w:r>
              <w:rPr>
                <w:rFonts w:ascii="Calibri" w:hAnsi="Calibri"/>
                <w:noProof/>
                <w:color w:val="000000"/>
                <w:sz w:val="22"/>
              </w:rPr>
              <w:t>0,029</w:t>
            </w:r>
          </w:p>
        </w:tc>
        <w:tc>
          <w:tcPr>
            <w:tcW w:w="868" w:type="dxa"/>
            <w:vAlign w:val="bottom"/>
          </w:tcPr>
          <w:p>
            <w:pPr>
              <w:spacing w:before="20" w:after="20"/>
              <w:jc w:val="right"/>
              <w:rPr>
                <w:noProof/>
                <w:sz w:val="20"/>
              </w:rPr>
            </w:pPr>
            <w:r>
              <w:rPr>
                <w:rFonts w:ascii="Calibri" w:hAnsi="Calibri"/>
                <w:noProof/>
                <w:color w:val="000000"/>
                <w:sz w:val="22"/>
              </w:rPr>
              <w:t>0,029</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Pr>
          <w:p>
            <w:pPr>
              <w:spacing w:before="20" w:after="20"/>
              <w:jc w:val="right"/>
              <w:rPr>
                <w:rFonts w:ascii="Calibri" w:hAnsi="Calibri"/>
                <w:b/>
                <w:bCs/>
                <w:noProof/>
                <w:color w:val="000000"/>
                <w:sz w:val="22"/>
              </w:rPr>
            </w:pPr>
            <w:r>
              <w:rPr>
                <w:rFonts w:ascii="Calibri" w:hAnsi="Calibri"/>
                <w:b/>
                <w:noProof/>
                <w:color w:val="000000"/>
                <w:sz w:val="22"/>
              </w:rPr>
              <w:t>0,116</w:t>
            </w:r>
          </w:p>
        </w:tc>
      </w:tr>
      <w:tr>
        <w:tc>
          <w:tcPr>
            <w:tcW w:w="3960" w:type="dxa"/>
            <w:vMerge w:val="restart"/>
            <w:vAlign w:val="center"/>
          </w:tcPr>
          <w:p>
            <w:pPr>
              <w:rPr>
                <w:noProof/>
              </w:rPr>
            </w:pPr>
            <w:r>
              <w:rPr>
                <w:noProof/>
                <w:sz w:val="20"/>
              </w:rPr>
              <w:t>Naslov 2: infrastruktura in odhodki iz poslovanja</w:t>
            </w:r>
          </w:p>
        </w:tc>
        <w:tc>
          <w:tcPr>
            <w:tcW w:w="1440" w:type="dxa"/>
            <w:vAlign w:val="center"/>
          </w:tcPr>
          <w:p>
            <w:pPr>
              <w:spacing w:before="20" w:after="20"/>
              <w:rPr>
                <w:noProof/>
                <w:sz w:val="18"/>
              </w:rPr>
            </w:pPr>
            <w:r>
              <w:rPr>
                <w:noProof/>
                <w:sz w:val="18"/>
              </w:rPr>
              <w:t>obveznosti</w:t>
            </w:r>
          </w:p>
        </w:tc>
        <w:tc>
          <w:tcPr>
            <w:tcW w:w="654" w:type="dxa"/>
            <w:gridSpan w:val="2"/>
            <w:vAlign w:val="center"/>
          </w:tcPr>
          <w:p>
            <w:pPr>
              <w:spacing w:before="20" w:after="20"/>
              <w:jc w:val="center"/>
              <w:rPr>
                <w:noProof/>
                <w:sz w:val="14"/>
              </w:rPr>
            </w:pPr>
            <w:r>
              <w:rPr>
                <w:noProof/>
                <w:sz w:val="14"/>
              </w:rPr>
              <w:t>(1a)</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c>
          <w:tcPr>
            <w:tcW w:w="3960" w:type="dxa"/>
            <w:vMerge/>
            <w:vAlign w:val="center"/>
          </w:tcPr>
          <w:p>
            <w:pPr>
              <w:rPr>
                <w:noProof/>
              </w:rPr>
            </w:pPr>
          </w:p>
        </w:tc>
        <w:tc>
          <w:tcPr>
            <w:tcW w:w="1440" w:type="dxa"/>
            <w:vAlign w:val="center"/>
          </w:tcPr>
          <w:p>
            <w:pPr>
              <w:spacing w:before="20" w:after="20"/>
              <w:rPr>
                <w:noProof/>
                <w:sz w:val="18"/>
              </w:rPr>
            </w:pPr>
            <w:r>
              <w:rPr>
                <w:noProof/>
                <w:sz w:val="18"/>
              </w:rPr>
              <w:t>plačila</w:t>
            </w:r>
          </w:p>
        </w:tc>
        <w:tc>
          <w:tcPr>
            <w:tcW w:w="654" w:type="dxa"/>
            <w:gridSpan w:val="2"/>
            <w:vAlign w:val="center"/>
          </w:tcPr>
          <w:p>
            <w:pPr>
              <w:spacing w:before="20" w:after="20"/>
              <w:jc w:val="center"/>
              <w:rPr>
                <w:noProof/>
                <w:sz w:val="14"/>
              </w:rPr>
            </w:pPr>
            <w:r>
              <w:rPr>
                <w:noProof/>
                <w:sz w:val="14"/>
              </w:rPr>
              <w:t>(2a)</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rPr>
          <w:trHeight w:val="319"/>
        </w:trPr>
        <w:tc>
          <w:tcPr>
            <w:tcW w:w="3960" w:type="dxa"/>
            <w:vMerge w:val="restart"/>
            <w:vAlign w:val="center"/>
          </w:tcPr>
          <w:p>
            <w:pPr>
              <w:spacing w:before="60" w:after="60"/>
              <w:rPr>
                <w:noProof/>
              </w:rPr>
            </w:pPr>
            <w:r>
              <w:rPr>
                <w:noProof/>
                <w:sz w:val="20"/>
              </w:rPr>
              <w:t xml:space="preserve">Naslov 3: odhodki iz poslovanja </w:t>
            </w:r>
          </w:p>
        </w:tc>
        <w:tc>
          <w:tcPr>
            <w:tcW w:w="1440" w:type="dxa"/>
            <w:vAlign w:val="center"/>
          </w:tcPr>
          <w:p>
            <w:pPr>
              <w:spacing w:before="40" w:after="40"/>
              <w:rPr>
                <w:noProof/>
                <w:sz w:val="18"/>
              </w:rPr>
            </w:pPr>
            <w:r>
              <w:rPr>
                <w:noProof/>
                <w:sz w:val="18"/>
              </w:rPr>
              <w:t>obveznosti</w:t>
            </w:r>
          </w:p>
        </w:tc>
        <w:tc>
          <w:tcPr>
            <w:tcW w:w="654" w:type="dxa"/>
            <w:gridSpan w:val="2"/>
            <w:vAlign w:val="center"/>
          </w:tcPr>
          <w:p>
            <w:pPr>
              <w:spacing w:before="40" w:after="40"/>
              <w:jc w:val="center"/>
              <w:rPr>
                <w:noProof/>
                <w:sz w:val="14"/>
              </w:rPr>
            </w:pPr>
            <w:r>
              <w:rPr>
                <w:noProof/>
                <w:sz w:val="14"/>
              </w:rPr>
              <w:t>(3a)</w:t>
            </w: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1777" w:type="dxa"/>
            <w:vAlign w:val="center"/>
          </w:tcPr>
          <w:p>
            <w:pPr>
              <w:spacing w:before="40" w:after="40"/>
              <w:jc w:val="right"/>
              <w:rPr>
                <w:b/>
                <w:noProof/>
                <w:sz w:val="20"/>
              </w:rPr>
            </w:pPr>
          </w:p>
        </w:tc>
      </w:tr>
      <w:tr>
        <w:trPr>
          <w:trHeight w:val="319"/>
        </w:trPr>
        <w:tc>
          <w:tcPr>
            <w:tcW w:w="3960" w:type="dxa"/>
            <w:vMerge/>
            <w:vAlign w:val="center"/>
          </w:tcPr>
          <w:p>
            <w:pPr>
              <w:spacing w:before="60" w:after="60"/>
              <w:rPr>
                <w:b/>
                <w:noProof/>
                <w:sz w:val="20"/>
              </w:rPr>
            </w:pPr>
          </w:p>
        </w:tc>
        <w:tc>
          <w:tcPr>
            <w:tcW w:w="1440" w:type="dxa"/>
            <w:vAlign w:val="center"/>
          </w:tcPr>
          <w:p>
            <w:pPr>
              <w:spacing w:before="40" w:after="40"/>
              <w:rPr>
                <w:noProof/>
                <w:sz w:val="18"/>
              </w:rPr>
            </w:pPr>
            <w:r>
              <w:rPr>
                <w:noProof/>
                <w:sz w:val="18"/>
              </w:rPr>
              <w:t>plačila</w:t>
            </w:r>
          </w:p>
        </w:tc>
        <w:tc>
          <w:tcPr>
            <w:tcW w:w="654" w:type="dxa"/>
            <w:gridSpan w:val="2"/>
            <w:vAlign w:val="center"/>
          </w:tcPr>
          <w:p>
            <w:pPr>
              <w:spacing w:before="40" w:after="40"/>
              <w:jc w:val="center"/>
              <w:rPr>
                <w:noProof/>
                <w:sz w:val="14"/>
              </w:rPr>
            </w:pPr>
            <w:r>
              <w:rPr>
                <w:noProof/>
                <w:sz w:val="14"/>
              </w:rPr>
              <w:t>(3b)</w:t>
            </w: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1777" w:type="dxa"/>
            <w:vAlign w:val="center"/>
          </w:tcPr>
          <w:p>
            <w:pPr>
              <w:spacing w:before="40" w:after="40"/>
              <w:jc w:val="right"/>
              <w:rPr>
                <w:b/>
                <w:noProof/>
                <w:sz w:val="20"/>
              </w:rPr>
            </w:pPr>
          </w:p>
        </w:tc>
      </w:tr>
      <w:tr>
        <w:tc>
          <w:tcPr>
            <w:tcW w:w="3960" w:type="dxa"/>
            <w:vMerge w:val="restart"/>
            <w:vAlign w:val="center"/>
          </w:tcPr>
          <w:p>
            <w:pPr>
              <w:jc w:val="center"/>
              <w:rPr>
                <w:noProof/>
              </w:rPr>
            </w:pPr>
            <w:r>
              <w:rPr>
                <w:b/>
                <w:noProof/>
                <w:sz w:val="22"/>
              </w:rPr>
              <w:t>Odobritve</w:t>
            </w:r>
            <w:r>
              <w:rPr>
                <w:noProof/>
                <w:sz w:val="22"/>
              </w:rPr>
              <w:br/>
            </w:r>
            <w:r>
              <w:rPr>
                <w:b/>
                <w:noProof/>
                <w:sz w:val="22"/>
              </w:rPr>
              <w:t>za EIOPA SKUPAJ</w:t>
            </w:r>
          </w:p>
        </w:tc>
        <w:tc>
          <w:tcPr>
            <w:tcW w:w="1440" w:type="dxa"/>
            <w:vAlign w:val="center"/>
          </w:tcPr>
          <w:p>
            <w:pPr>
              <w:rPr>
                <w:noProof/>
                <w:sz w:val="18"/>
              </w:rPr>
            </w:pPr>
            <w:r>
              <w:rPr>
                <w:noProof/>
                <w:sz w:val="18"/>
              </w:rPr>
              <w:t>obveznosti</w:t>
            </w:r>
          </w:p>
        </w:tc>
        <w:tc>
          <w:tcPr>
            <w:tcW w:w="654" w:type="dxa"/>
            <w:gridSpan w:val="2"/>
            <w:vAlign w:val="center"/>
          </w:tcPr>
          <w:p>
            <w:pPr>
              <w:jc w:val="center"/>
              <w:rPr>
                <w:noProof/>
                <w:sz w:val="14"/>
              </w:rPr>
            </w:pPr>
            <w:r>
              <w:rPr>
                <w:noProof/>
                <w:sz w:val="14"/>
              </w:rPr>
              <w:t>=1+1a+3a</w:t>
            </w:r>
          </w:p>
        </w:tc>
        <w:tc>
          <w:tcPr>
            <w:tcW w:w="868" w:type="dxa"/>
          </w:tcPr>
          <w:p>
            <w:pPr>
              <w:spacing w:before="20" w:after="20"/>
              <w:jc w:val="center"/>
              <w:rPr>
                <w:b/>
                <w:bCs/>
                <w:noProof/>
                <w:sz w:val="20"/>
              </w:rPr>
            </w:pPr>
            <w:r>
              <w:rPr>
                <w:rFonts w:ascii="Calibri" w:hAnsi="Calibri"/>
                <w:b/>
                <w:noProof/>
                <w:color w:val="000000"/>
                <w:sz w:val="22"/>
              </w:rPr>
              <w:t>0,029</w:t>
            </w:r>
          </w:p>
        </w:tc>
        <w:tc>
          <w:tcPr>
            <w:tcW w:w="868" w:type="dxa"/>
          </w:tcPr>
          <w:p>
            <w:pPr>
              <w:spacing w:before="20" w:after="20"/>
              <w:jc w:val="center"/>
              <w:rPr>
                <w:b/>
                <w:bCs/>
                <w:noProof/>
                <w:sz w:val="20"/>
              </w:rPr>
            </w:pPr>
            <w:r>
              <w:rPr>
                <w:rFonts w:ascii="Calibri" w:hAnsi="Calibri"/>
                <w:b/>
                <w:noProof/>
                <w:color w:val="000000"/>
                <w:sz w:val="22"/>
              </w:rPr>
              <w:t>0,029</w:t>
            </w:r>
          </w:p>
        </w:tc>
        <w:tc>
          <w:tcPr>
            <w:tcW w:w="868" w:type="dxa"/>
          </w:tcPr>
          <w:p>
            <w:pPr>
              <w:spacing w:before="20" w:after="20"/>
              <w:jc w:val="center"/>
              <w:rPr>
                <w:b/>
                <w:bCs/>
                <w:noProof/>
                <w:sz w:val="20"/>
              </w:rPr>
            </w:pPr>
            <w:r>
              <w:rPr>
                <w:rFonts w:ascii="Calibri" w:hAnsi="Calibri"/>
                <w:b/>
                <w:noProof/>
                <w:color w:val="000000"/>
                <w:sz w:val="22"/>
              </w:rPr>
              <w:t>0,029</w:t>
            </w:r>
          </w:p>
        </w:tc>
        <w:tc>
          <w:tcPr>
            <w:tcW w:w="868" w:type="dxa"/>
          </w:tcPr>
          <w:p>
            <w:pPr>
              <w:spacing w:before="20" w:after="20"/>
              <w:jc w:val="center"/>
              <w:rPr>
                <w:b/>
                <w:bCs/>
                <w:noProof/>
                <w:sz w:val="20"/>
              </w:rPr>
            </w:pPr>
            <w:r>
              <w:rPr>
                <w:rFonts w:ascii="Calibri" w:hAnsi="Calibri"/>
                <w:b/>
                <w:noProof/>
                <w:color w:val="000000"/>
                <w:sz w:val="22"/>
              </w:rPr>
              <w:t>0,029</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Pr>
          <w:p>
            <w:pPr>
              <w:spacing w:before="20" w:after="20"/>
              <w:jc w:val="right"/>
              <w:rPr>
                <w:b/>
                <w:noProof/>
                <w:sz w:val="20"/>
              </w:rPr>
            </w:pPr>
            <w:r>
              <w:rPr>
                <w:rFonts w:ascii="Calibri" w:hAnsi="Calibri"/>
                <w:b/>
                <w:noProof/>
                <w:color w:val="000000"/>
                <w:sz w:val="22"/>
              </w:rPr>
              <w:t>0,116</w:t>
            </w:r>
          </w:p>
        </w:tc>
      </w:tr>
      <w:tr>
        <w:tc>
          <w:tcPr>
            <w:tcW w:w="3960" w:type="dxa"/>
            <w:vMerge/>
            <w:vAlign w:val="center"/>
          </w:tcPr>
          <w:p>
            <w:pPr>
              <w:rPr>
                <w:b/>
                <w:noProof/>
              </w:rPr>
            </w:pPr>
          </w:p>
        </w:tc>
        <w:tc>
          <w:tcPr>
            <w:tcW w:w="1440" w:type="dxa"/>
            <w:vAlign w:val="center"/>
          </w:tcPr>
          <w:p>
            <w:pPr>
              <w:rPr>
                <w:noProof/>
                <w:sz w:val="18"/>
              </w:rPr>
            </w:pPr>
            <w:r>
              <w:rPr>
                <w:noProof/>
                <w:sz w:val="18"/>
              </w:rPr>
              <w:t>plačila</w:t>
            </w:r>
          </w:p>
        </w:tc>
        <w:tc>
          <w:tcPr>
            <w:tcW w:w="654" w:type="dxa"/>
            <w:gridSpan w:val="2"/>
            <w:vAlign w:val="center"/>
          </w:tcPr>
          <w:p>
            <w:pPr>
              <w:jc w:val="center"/>
              <w:rPr>
                <w:noProof/>
                <w:sz w:val="14"/>
              </w:rPr>
            </w:pPr>
            <w:r>
              <w:rPr>
                <w:noProof/>
                <w:sz w:val="14"/>
              </w:rPr>
              <w:t>=2+2a</w:t>
            </w:r>
          </w:p>
          <w:p>
            <w:pPr>
              <w:jc w:val="center"/>
              <w:rPr>
                <w:noProof/>
                <w:sz w:val="14"/>
              </w:rPr>
            </w:pPr>
            <w:r>
              <w:rPr>
                <w:noProof/>
                <w:sz w:val="14"/>
              </w:rPr>
              <w:t>+3b</w:t>
            </w:r>
          </w:p>
        </w:tc>
        <w:tc>
          <w:tcPr>
            <w:tcW w:w="868" w:type="dxa"/>
          </w:tcPr>
          <w:p>
            <w:pPr>
              <w:spacing w:before="20" w:after="20"/>
              <w:jc w:val="center"/>
              <w:rPr>
                <w:b/>
                <w:bCs/>
                <w:noProof/>
                <w:sz w:val="20"/>
              </w:rPr>
            </w:pPr>
            <w:r>
              <w:rPr>
                <w:rFonts w:ascii="Calibri" w:hAnsi="Calibri"/>
                <w:b/>
                <w:noProof/>
                <w:color w:val="000000"/>
                <w:sz w:val="22"/>
              </w:rPr>
              <w:t>0,029</w:t>
            </w:r>
          </w:p>
        </w:tc>
        <w:tc>
          <w:tcPr>
            <w:tcW w:w="868" w:type="dxa"/>
          </w:tcPr>
          <w:p>
            <w:pPr>
              <w:spacing w:before="20" w:after="20"/>
              <w:jc w:val="center"/>
              <w:rPr>
                <w:b/>
                <w:bCs/>
                <w:noProof/>
                <w:sz w:val="20"/>
              </w:rPr>
            </w:pPr>
            <w:r>
              <w:rPr>
                <w:rFonts w:ascii="Calibri" w:hAnsi="Calibri"/>
                <w:b/>
                <w:noProof/>
                <w:color w:val="000000"/>
                <w:sz w:val="22"/>
              </w:rPr>
              <w:t>0,029</w:t>
            </w:r>
          </w:p>
        </w:tc>
        <w:tc>
          <w:tcPr>
            <w:tcW w:w="868" w:type="dxa"/>
          </w:tcPr>
          <w:p>
            <w:pPr>
              <w:spacing w:before="20" w:after="20"/>
              <w:jc w:val="center"/>
              <w:rPr>
                <w:b/>
                <w:bCs/>
                <w:noProof/>
                <w:sz w:val="20"/>
              </w:rPr>
            </w:pPr>
            <w:r>
              <w:rPr>
                <w:rFonts w:ascii="Calibri" w:hAnsi="Calibri"/>
                <w:b/>
                <w:noProof/>
                <w:color w:val="000000"/>
                <w:sz w:val="22"/>
              </w:rPr>
              <w:t>0,029</w:t>
            </w:r>
          </w:p>
        </w:tc>
        <w:tc>
          <w:tcPr>
            <w:tcW w:w="868" w:type="dxa"/>
          </w:tcPr>
          <w:p>
            <w:pPr>
              <w:spacing w:before="20" w:after="20"/>
              <w:jc w:val="center"/>
              <w:rPr>
                <w:b/>
                <w:bCs/>
                <w:noProof/>
                <w:sz w:val="20"/>
              </w:rPr>
            </w:pPr>
            <w:r>
              <w:rPr>
                <w:rFonts w:ascii="Calibri" w:hAnsi="Calibri"/>
                <w:b/>
                <w:noProof/>
                <w:color w:val="000000"/>
                <w:sz w:val="22"/>
              </w:rPr>
              <w:t>0,029</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Pr>
          <w:p>
            <w:pPr>
              <w:spacing w:before="20" w:after="20"/>
              <w:jc w:val="right"/>
              <w:rPr>
                <w:b/>
                <w:noProof/>
                <w:sz w:val="20"/>
              </w:rPr>
            </w:pPr>
            <w:r>
              <w:rPr>
                <w:rFonts w:ascii="Calibri" w:hAnsi="Calibri"/>
                <w:b/>
                <w:noProof/>
                <w:color w:val="000000"/>
                <w:sz w:val="22"/>
              </w:rPr>
              <w:t>0,116</w:t>
            </w:r>
          </w:p>
        </w:tc>
      </w:tr>
    </w:tbl>
    <w:p>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120"/>
        <w:gridCol w:w="534"/>
        <w:gridCol w:w="868"/>
        <w:gridCol w:w="868"/>
        <w:gridCol w:w="868"/>
        <w:gridCol w:w="868"/>
        <w:gridCol w:w="868"/>
        <w:gridCol w:w="868"/>
        <w:gridCol w:w="868"/>
        <w:gridCol w:w="1777"/>
      </w:tblGrid>
      <w:tr>
        <w:tc>
          <w:tcPr>
            <w:tcW w:w="3960" w:type="dxa"/>
            <w:vAlign w:val="center"/>
          </w:tcPr>
          <w:p>
            <w:pPr>
              <w:jc w:val="center"/>
              <w:rPr>
                <w:noProof/>
              </w:rPr>
            </w:pPr>
            <w:r>
              <w:rPr>
                <w:noProof/>
                <w:sz w:val="22"/>
              </w:rPr>
              <w:t>ESMA</w:t>
            </w:r>
          </w:p>
        </w:tc>
        <w:tc>
          <w:tcPr>
            <w:tcW w:w="1560" w:type="dxa"/>
            <w:gridSpan w:val="2"/>
          </w:tcPr>
          <w:p>
            <w:pPr>
              <w:rPr>
                <w:noProof/>
                <w:sz w:val="20"/>
              </w:rPr>
            </w:pPr>
          </w:p>
        </w:tc>
        <w:tc>
          <w:tcPr>
            <w:tcW w:w="534" w:type="dxa"/>
          </w:tcPr>
          <w:p>
            <w:pPr>
              <w:jc w:val="center"/>
              <w:rPr>
                <w:noProof/>
                <w:sz w:val="20"/>
              </w:rPr>
            </w:pPr>
          </w:p>
        </w:tc>
        <w:tc>
          <w:tcPr>
            <w:tcW w:w="868" w:type="dxa"/>
            <w:vAlign w:val="center"/>
          </w:tcPr>
          <w:p>
            <w:pPr>
              <w:jc w:val="center"/>
              <w:rPr>
                <w:noProof/>
                <w:sz w:val="20"/>
              </w:rPr>
            </w:pPr>
            <w:r>
              <w:rPr>
                <w:noProof/>
                <w:sz w:val="20"/>
              </w:rPr>
              <w:t>Leto</w:t>
            </w:r>
            <w:r>
              <w:rPr>
                <w:noProof/>
                <w:sz w:val="22"/>
              </w:rPr>
              <w:br/>
            </w:r>
            <w:r>
              <w:rPr>
                <w:b/>
                <w:noProof/>
                <w:sz w:val="20"/>
              </w:rPr>
              <w:t>2020</w:t>
            </w:r>
          </w:p>
        </w:tc>
        <w:tc>
          <w:tcPr>
            <w:tcW w:w="868" w:type="dxa"/>
            <w:vAlign w:val="center"/>
          </w:tcPr>
          <w:p>
            <w:pPr>
              <w:jc w:val="center"/>
              <w:rPr>
                <w:noProof/>
                <w:sz w:val="20"/>
              </w:rPr>
            </w:pPr>
            <w:r>
              <w:rPr>
                <w:noProof/>
                <w:sz w:val="20"/>
              </w:rPr>
              <w:t>Leto</w:t>
            </w:r>
            <w:r>
              <w:rPr>
                <w:noProof/>
                <w:sz w:val="22"/>
              </w:rPr>
              <w:br/>
            </w:r>
            <w:r>
              <w:rPr>
                <w:b/>
                <w:noProof/>
                <w:sz w:val="20"/>
              </w:rPr>
              <w:t>2021</w:t>
            </w:r>
          </w:p>
        </w:tc>
        <w:tc>
          <w:tcPr>
            <w:tcW w:w="868" w:type="dxa"/>
            <w:vAlign w:val="center"/>
          </w:tcPr>
          <w:p>
            <w:pPr>
              <w:jc w:val="center"/>
              <w:rPr>
                <w:noProof/>
                <w:sz w:val="20"/>
              </w:rPr>
            </w:pPr>
            <w:r>
              <w:rPr>
                <w:noProof/>
                <w:sz w:val="20"/>
              </w:rPr>
              <w:t>Leto</w:t>
            </w:r>
            <w:r>
              <w:rPr>
                <w:noProof/>
                <w:sz w:val="22"/>
              </w:rPr>
              <w:br/>
            </w:r>
            <w:r>
              <w:rPr>
                <w:b/>
                <w:noProof/>
                <w:sz w:val="20"/>
              </w:rPr>
              <w:t>2022</w:t>
            </w:r>
          </w:p>
        </w:tc>
        <w:tc>
          <w:tcPr>
            <w:tcW w:w="868" w:type="dxa"/>
            <w:vAlign w:val="center"/>
          </w:tcPr>
          <w:p>
            <w:pPr>
              <w:jc w:val="center"/>
              <w:rPr>
                <w:noProof/>
                <w:sz w:val="20"/>
              </w:rPr>
            </w:pPr>
            <w:r>
              <w:rPr>
                <w:noProof/>
                <w:sz w:val="20"/>
              </w:rPr>
              <w:t>Leto</w:t>
            </w:r>
            <w:r>
              <w:rPr>
                <w:noProof/>
                <w:sz w:val="22"/>
              </w:rPr>
              <w:br/>
            </w:r>
            <w:r>
              <w:rPr>
                <w:b/>
                <w:noProof/>
                <w:sz w:val="20"/>
              </w:rPr>
              <w:t>2023</w:t>
            </w:r>
          </w:p>
        </w:tc>
        <w:tc>
          <w:tcPr>
            <w:tcW w:w="2604" w:type="dxa"/>
            <w:gridSpan w:val="3"/>
            <w:vAlign w:val="center"/>
          </w:tcPr>
          <w:p>
            <w:pPr>
              <w:jc w:val="center"/>
              <w:rPr>
                <w:b/>
                <w:noProof/>
                <w:sz w:val="18"/>
              </w:rPr>
            </w:pPr>
            <w:r>
              <w:rPr>
                <w:noProof/>
                <w:sz w:val="18"/>
              </w:rPr>
              <w:t>Vstavite ustrezno število let glede na trajanje posledic (gl. točko 1.6)</w:t>
            </w:r>
          </w:p>
        </w:tc>
        <w:tc>
          <w:tcPr>
            <w:tcW w:w="1777" w:type="dxa"/>
            <w:vAlign w:val="center"/>
          </w:tcPr>
          <w:p>
            <w:pPr>
              <w:jc w:val="center"/>
              <w:rPr>
                <w:b/>
                <w:noProof/>
                <w:sz w:val="20"/>
              </w:rPr>
            </w:pPr>
            <w:r>
              <w:rPr>
                <w:b/>
                <w:noProof/>
                <w:sz w:val="20"/>
              </w:rPr>
              <w:t>SKUPAJ</w:t>
            </w:r>
            <w:r>
              <w:rPr>
                <w:noProof/>
                <w:sz w:val="18"/>
              </w:rPr>
              <w:t>(zaradi ureditve sofinanciranja 60/40 se tu omeni le 40 %)</w:t>
            </w:r>
          </w:p>
        </w:tc>
      </w:tr>
      <w:tr>
        <w:trPr>
          <w:trHeight w:val="277"/>
        </w:trPr>
        <w:tc>
          <w:tcPr>
            <w:tcW w:w="3960" w:type="dxa"/>
            <w:vMerge w:val="restart"/>
            <w:vAlign w:val="center"/>
          </w:tcPr>
          <w:p>
            <w:pPr>
              <w:rPr>
                <w:noProof/>
              </w:rPr>
            </w:pPr>
            <w:r>
              <w:rPr>
                <w:noProof/>
                <w:sz w:val="20"/>
              </w:rPr>
              <w:t xml:space="preserve">Naslov 1: odhodki za zaposlene </w:t>
            </w:r>
          </w:p>
        </w:tc>
        <w:tc>
          <w:tcPr>
            <w:tcW w:w="1440" w:type="dxa"/>
            <w:vAlign w:val="center"/>
          </w:tcPr>
          <w:p>
            <w:pPr>
              <w:spacing w:before="20" w:after="20"/>
              <w:rPr>
                <w:noProof/>
              </w:rPr>
            </w:pPr>
            <w:r>
              <w:rPr>
                <w:noProof/>
                <w:sz w:val="18"/>
              </w:rPr>
              <w:t>obveznosti</w:t>
            </w:r>
          </w:p>
        </w:tc>
        <w:tc>
          <w:tcPr>
            <w:tcW w:w="654" w:type="dxa"/>
            <w:gridSpan w:val="2"/>
            <w:vAlign w:val="center"/>
          </w:tcPr>
          <w:p>
            <w:pPr>
              <w:spacing w:before="20" w:after="20"/>
              <w:jc w:val="center"/>
              <w:rPr>
                <w:noProof/>
                <w:sz w:val="14"/>
              </w:rPr>
            </w:pPr>
            <w:r>
              <w:rPr>
                <w:noProof/>
                <w:sz w:val="14"/>
              </w:rPr>
              <w:t>(1)</w:t>
            </w:r>
          </w:p>
        </w:tc>
        <w:tc>
          <w:tcPr>
            <w:tcW w:w="868" w:type="dxa"/>
          </w:tcPr>
          <w:p>
            <w:pPr>
              <w:spacing w:before="20" w:after="20"/>
              <w:jc w:val="right"/>
              <w:rPr>
                <w:rFonts w:asciiTheme="minorHAnsi" w:hAnsiTheme="minorHAnsi"/>
                <w:noProof/>
                <w:sz w:val="22"/>
              </w:rPr>
            </w:pPr>
            <w:r>
              <w:rPr>
                <w:rFonts w:asciiTheme="minorHAnsi" w:hAnsiTheme="minorHAnsi"/>
                <w:noProof/>
                <w:sz w:val="22"/>
              </w:rPr>
              <w:t>0,066</w:t>
            </w:r>
          </w:p>
        </w:tc>
        <w:tc>
          <w:tcPr>
            <w:tcW w:w="868" w:type="dxa"/>
          </w:tcPr>
          <w:p>
            <w:pPr>
              <w:spacing w:before="20" w:after="20"/>
              <w:jc w:val="right"/>
              <w:rPr>
                <w:rFonts w:asciiTheme="minorHAnsi" w:hAnsiTheme="minorHAnsi"/>
                <w:noProof/>
                <w:sz w:val="22"/>
              </w:rPr>
            </w:pPr>
            <w:r>
              <w:rPr>
                <w:rFonts w:asciiTheme="minorHAnsi" w:hAnsiTheme="minorHAnsi"/>
                <w:noProof/>
                <w:sz w:val="22"/>
              </w:rPr>
              <w:t>0,066</w:t>
            </w:r>
          </w:p>
        </w:tc>
        <w:tc>
          <w:tcPr>
            <w:tcW w:w="868" w:type="dxa"/>
          </w:tcPr>
          <w:p>
            <w:pPr>
              <w:spacing w:before="20" w:after="20"/>
              <w:jc w:val="right"/>
              <w:rPr>
                <w:rFonts w:asciiTheme="minorHAnsi" w:hAnsiTheme="minorHAnsi"/>
                <w:noProof/>
                <w:sz w:val="22"/>
              </w:rPr>
            </w:pPr>
            <w:r>
              <w:rPr>
                <w:rFonts w:asciiTheme="minorHAnsi" w:hAnsiTheme="minorHAnsi"/>
                <w:noProof/>
                <w:sz w:val="22"/>
              </w:rPr>
              <w:t>0,066</w:t>
            </w:r>
          </w:p>
        </w:tc>
        <w:tc>
          <w:tcPr>
            <w:tcW w:w="868" w:type="dxa"/>
          </w:tcPr>
          <w:p>
            <w:pPr>
              <w:spacing w:before="20" w:after="20"/>
              <w:jc w:val="right"/>
              <w:rPr>
                <w:rFonts w:asciiTheme="minorHAnsi" w:hAnsiTheme="minorHAnsi"/>
                <w:noProof/>
                <w:sz w:val="22"/>
              </w:rPr>
            </w:pPr>
            <w:r>
              <w:rPr>
                <w:rFonts w:asciiTheme="minorHAnsi" w:hAnsiTheme="minorHAnsi"/>
                <w:noProof/>
                <w:sz w:val="22"/>
              </w:rPr>
              <w:t>0,066</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Pr>
          <w:p>
            <w:pPr>
              <w:spacing w:before="20" w:after="20"/>
              <w:jc w:val="right"/>
              <w:rPr>
                <w:rFonts w:ascii="Calibri" w:hAnsi="Calibri"/>
                <w:b/>
                <w:bCs/>
                <w:noProof/>
                <w:color w:val="000000"/>
                <w:sz w:val="22"/>
              </w:rPr>
            </w:pPr>
            <w:r>
              <w:rPr>
                <w:rFonts w:ascii="Calibri" w:hAnsi="Calibri"/>
                <w:b/>
                <w:noProof/>
                <w:color w:val="000000"/>
                <w:sz w:val="22"/>
              </w:rPr>
              <w:t>0,264</w:t>
            </w:r>
          </w:p>
        </w:tc>
      </w:tr>
      <w:tr>
        <w:tc>
          <w:tcPr>
            <w:tcW w:w="3960" w:type="dxa"/>
            <w:vMerge/>
            <w:vAlign w:val="center"/>
          </w:tcPr>
          <w:p>
            <w:pPr>
              <w:rPr>
                <w:noProof/>
              </w:rPr>
            </w:pPr>
          </w:p>
        </w:tc>
        <w:tc>
          <w:tcPr>
            <w:tcW w:w="1440" w:type="dxa"/>
            <w:vAlign w:val="center"/>
          </w:tcPr>
          <w:p>
            <w:pPr>
              <w:spacing w:before="20" w:after="20"/>
              <w:rPr>
                <w:noProof/>
                <w:sz w:val="18"/>
              </w:rPr>
            </w:pPr>
            <w:r>
              <w:rPr>
                <w:noProof/>
                <w:sz w:val="18"/>
              </w:rPr>
              <w:t>plačila</w:t>
            </w:r>
          </w:p>
        </w:tc>
        <w:tc>
          <w:tcPr>
            <w:tcW w:w="654" w:type="dxa"/>
            <w:gridSpan w:val="2"/>
            <w:vAlign w:val="center"/>
          </w:tcPr>
          <w:p>
            <w:pPr>
              <w:spacing w:before="20" w:after="20"/>
              <w:jc w:val="center"/>
              <w:rPr>
                <w:noProof/>
                <w:sz w:val="14"/>
              </w:rPr>
            </w:pPr>
            <w:r>
              <w:rPr>
                <w:noProof/>
                <w:sz w:val="14"/>
              </w:rPr>
              <w:t>(2)</w:t>
            </w:r>
          </w:p>
        </w:tc>
        <w:tc>
          <w:tcPr>
            <w:tcW w:w="868" w:type="dxa"/>
          </w:tcPr>
          <w:p>
            <w:pPr>
              <w:spacing w:before="20" w:after="20"/>
              <w:jc w:val="right"/>
              <w:rPr>
                <w:rFonts w:asciiTheme="minorHAnsi" w:hAnsiTheme="minorHAnsi"/>
                <w:noProof/>
                <w:sz w:val="22"/>
              </w:rPr>
            </w:pPr>
            <w:r>
              <w:rPr>
                <w:rFonts w:asciiTheme="minorHAnsi" w:hAnsiTheme="minorHAnsi"/>
                <w:noProof/>
                <w:sz w:val="22"/>
              </w:rPr>
              <w:t>0,066</w:t>
            </w:r>
          </w:p>
        </w:tc>
        <w:tc>
          <w:tcPr>
            <w:tcW w:w="868" w:type="dxa"/>
          </w:tcPr>
          <w:p>
            <w:pPr>
              <w:spacing w:before="20" w:after="20"/>
              <w:jc w:val="right"/>
              <w:rPr>
                <w:rFonts w:asciiTheme="minorHAnsi" w:hAnsiTheme="minorHAnsi"/>
                <w:noProof/>
                <w:sz w:val="22"/>
              </w:rPr>
            </w:pPr>
            <w:r>
              <w:rPr>
                <w:rFonts w:asciiTheme="minorHAnsi" w:hAnsiTheme="minorHAnsi"/>
                <w:noProof/>
                <w:sz w:val="22"/>
              </w:rPr>
              <w:t>0,066</w:t>
            </w:r>
          </w:p>
        </w:tc>
        <w:tc>
          <w:tcPr>
            <w:tcW w:w="868" w:type="dxa"/>
          </w:tcPr>
          <w:p>
            <w:pPr>
              <w:spacing w:before="20" w:after="20"/>
              <w:jc w:val="right"/>
              <w:rPr>
                <w:rFonts w:asciiTheme="minorHAnsi" w:hAnsiTheme="minorHAnsi"/>
                <w:noProof/>
                <w:sz w:val="22"/>
              </w:rPr>
            </w:pPr>
            <w:r>
              <w:rPr>
                <w:rFonts w:asciiTheme="minorHAnsi" w:hAnsiTheme="minorHAnsi"/>
                <w:noProof/>
                <w:sz w:val="22"/>
              </w:rPr>
              <w:t>0,066</w:t>
            </w:r>
          </w:p>
        </w:tc>
        <w:tc>
          <w:tcPr>
            <w:tcW w:w="868" w:type="dxa"/>
          </w:tcPr>
          <w:p>
            <w:pPr>
              <w:spacing w:before="20" w:after="20"/>
              <w:jc w:val="right"/>
              <w:rPr>
                <w:rFonts w:asciiTheme="minorHAnsi" w:hAnsiTheme="minorHAnsi"/>
                <w:noProof/>
                <w:sz w:val="22"/>
              </w:rPr>
            </w:pPr>
            <w:r>
              <w:rPr>
                <w:rFonts w:asciiTheme="minorHAnsi" w:hAnsiTheme="minorHAnsi"/>
                <w:noProof/>
                <w:sz w:val="22"/>
              </w:rPr>
              <w:t>0,066</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Pr>
          <w:p>
            <w:pPr>
              <w:spacing w:before="20" w:after="20"/>
              <w:jc w:val="right"/>
              <w:rPr>
                <w:rFonts w:ascii="Calibri" w:hAnsi="Calibri"/>
                <w:b/>
                <w:bCs/>
                <w:noProof/>
                <w:color w:val="000000"/>
                <w:sz w:val="22"/>
              </w:rPr>
            </w:pPr>
            <w:r>
              <w:rPr>
                <w:rFonts w:ascii="Calibri" w:hAnsi="Calibri"/>
                <w:b/>
                <w:noProof/>
                <w:color w:val="000000"/>
                <w:sz w:val="22"/>
              </w:rPr>
              <w:t>0,264</w:t>
            </w:r>
          </w:p>
        </w:tc>
      </w:tr>
      <w:tr>
        <w:trPr>
          <w:trHeight w:val="547"/>
        </w:trPr>
        <w:tc>
          <w:tcPr>
            <w:tcW w:w="3960" w:type="dxa"/>
            <w:vMerge w:val="restart"/>
            <w:vAlign w:val="center"/>
          </w:tcPr>
          <w:p>
            <w:pPr>
              <w:rPr>
                <w:noProof/>
              </w:rPr>
            </w:pPr>
            <w:r>
              <w:rPr>
                <w:noProof/>
                <w:sz w:val="20"/>
              </w:rPr>
              <w:t>Naslov 2: infrastruktura in odhodki iz poslovanja</w:t>
            </w:r>
          </w:p>
        </w:tc>
        <w:tc>
          <w:tcPr>
            <w:tcW w:w="1440" w:type="dxa"/>
            <w:vAlign w:val="center"/>
          </w:tcPr>
          <w:p>
            <w:pPr>
              <w:spacing w:before="20" w:after="20"/>
              <w:rPr>
                <w:noProof/>
                <w:sz w:val="18"/>
              </w:rPr>
            </w:pPr>
            <w:r>
              <w:rPr>
                <w:noProof/>
                <w:sz w:val="18"/>
              </w:rPr>
              <w:t>obveznosti</w:t>
            </w:r>
          </w:p>
        </w:tc>
        <w:tc>
          <w:tcPr>
            <w:tcW w:w="654" w:type="dxa"/>
            <w:gridSpan w:val="2"/>
            <w:vAlign w:val="center"/>
          </w:tcPr>
          <w:p>
            <w:pPr>
              <w:spacing w:before="20" w:after="20"/>
              <w:jc w:val="center"/>
              <w:rPr>
                <w:noProof/>
                <w:sz w:val="14"/>
              </w:rPr>
            </w:pPr>
            <w:r>
              <w:rPr>
                <w:noProof/>
                <w:sz w:val="14"/>
              </w:rPr>
              <w:t>(1a)</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c>
          <w:tcPr>
            <w:tcW w:w="3960" w:type="dxa"/>
            <w:vMerge/>
            <w:vAlign w:val="center"/>
          </w:tcPr>
          <w:p>
            <w:pPr>
              <w:rPr>
                <w:noProof/>
              </w:rPr>
            </w:pPr>
          </w:p>
        </w:tc>
        <w:tc>
          <w:tcPr>
            <w:tcW w:w="1440" w:type="dxa"/>
            <w:vAlign w:val="center"/>
          </w:tcPr>
          <w:p>
            <w:pPr>
              <w:spacing w:before="20" w:after="20"/>
              <w:rPr>
                <w:noProof/>
                <w:sz w:val="18"/>
              </w:rPr>
            </w:pPr>
            <w:r>
              <w:rPr>
                <w:noProof/>
                <w:sz w:val="18"/>
              </w:rPr>
              <w:t>plačila</w:t>
            </w:r>
          </w:p>
        </w:tc>
        <w:tc>
          <w:tcPr>
            <w:tcW w:w="654" w:type="dxa"/>
            <w:gridSpan w:val="2"/>
            <w:vAlign w:val="center"/>
          </w:tcPr>
          <w:p>
            <w:pPr>
              <w:spacing w:before="20" w:after="20"/>
              <w:jc w:val="center"/>
              <w:rPr>
                <w:noProof/>
                <w:sz w:val="14"/>
              </w:rPr>
            </w:pPr>
            <w:r>
              <w:rPr>
                <w:noProof/>
                <w:sz w:val="14"/>
              </w:rPr>
              <w:t>(2a)</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rPr>
          <w:trHeight w:val="319"/>
        </w:trPr>
        <w:tc>
          <w:tcPr>
            <w:tcW w:w="3960" w:type="dxa"/>
            <w:vMerge w:val="restart"/>
            <w:vAlign w:val="center"/>
          </w:tcPr>
          <w:p>
            <w:pPr>
              <w:spacing w:before="60" w:after="60"/>
              <w:rPr>
                <w:noProof/>
              </w:rPr>
            </w:pPr>
            <w:r>
              <w:rPr>
                <w:noProof/>
                <w:sz w:val="20"/>
              </w:rPr>
              <w:t xml:space="preserve">Naslov 3: odhodki iz poslovanja </w:t>
            </w:r>
          </w:p>
        </w:tc>
        <w:tc>
          <w:tcPr>
            <w:tcW w:w="1440" w:type="dxa"/>
            <w:vAlign w:val="center"/>
          </w:tcPr>
          <w:p>
            <w:pPr>
              <w:spacing w:before="40" w:after="40"/>
              <w:rPr>
                <w:noProof/>
                <w:sz w:val="18"/>
              </w:rPr>
            </w:pPr>
            <w:r>
              <w:rPr>
                <w:noProof/>
                <w:sz w:val="18"/>
              </w:rPr>
              <w:t>obveznosti</w:t>
            </w:r>
          </w:p>
        </w:tc>
        <w:tc>
          <w:tcPr>
            <w:tcW w:w="654" w:type="dxa"/>
            <w:gridSpan w:val="2"/>
            <w:vAlign w:val="center"/>
          </w:tcPr>
          <w:p>
            <w:pPr>
              <w:spacing w:before="40" w:after="40"/>
              <w:jc w:val="center"/>
              <w:rPr>
                <w:noProof/>
                <w:sz w:val="14"/>
              </w:rPr>
            </w:pPr>
            <w:r>
              <w:rPr>
                <w:noProof/>
                <w:sz w:val="14"/>
              </w:rPr>
              <w:t>(3a)</w:t>
            </w: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1777" w:type="dxa"/>
            <w:vAlign w:val="center"/>
          </w:tcPr>
          <w:p>
            <w:pPr>
              <w:spacing w:before="40" w:after="40"/>
              <w:jc w:val="right"/>
              <w:rPr>
                <w:b/>
                <w:noProof/>
                <w:sz w:val="20"/>
              </w:rPr>
            </w:pPr>
          </w:p>
        </w:tc>
      </w:tr>
      <w:tr>
        <w:trPr>
          <w:trHeight w:val="319"/>
        </w:trPr>
        <w:tc>
          <w:tcPr>
            <w:tcW w:w="3960" w:type="dxa"/>
            <w:vMerge/>
            <w:vAlign w:val="center"/>
          </w:tcPr>
          <w:p>
            <w:pPr>
              <w:spacing w:before="60" w:after="60"/>
              <w:rPr>
                <w:b/>
                <w:noProof/>
                <w:sz w:val="20"/>
              </w:rPr>
            </w:pPr>
          </w:p>
        </w:tc>
        <w:tc>
          <w:tcPr>
            <w:tcW w:w="1440" w:type="dxa"/>
            <w:vAlign w:val="center"/>
          </w:tcPr>
          <w:p>
            <w:pPr>
              <w:spacing w:before="40" w:after="40"/>
              <w:rPr>
                <w:noProof/>
                <w:sz w:val="18"/>
              </w:rPr>
            </w:pPr>
            <w:r>
              <w:rPr>
                <w:noProof/>
                <w:sz w:val="18"/>
              </w:rPr>
              <w:t>plačila</w:t>
            </w:r>
          </w:p>
        </w:tc>
        <w:tc>
          <w:tcPr>
            <w:tcW w:w="654" w:type="dxa"/>
            <w:gridSpan w:val="2"/>
            <w:vAlign w:val="center"/>
          </w:tcPr>
          <w:p>
            <w:pPr>
              <w:spacing w:before="40" w:after="40"/>
              <w:jc w:val="center"/>
              <w:rPr>
                <w:noProof/>
                <w:sz w:val="14"/>
              </w:rPr>
            </w:pPr>
            <w:r>
              <w:rPr>
                <w:noProof/>
                <w:sz w:val="14"/>
              </w:rPr>
              <w:t>(3b)</w:t>
            </w: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1777" w:type="dxa"/>
            <w:vAlign w:val="center"/>
          </w:tcPr>
          <w:p>
            <w:pPr>
              <w:spacing w:before="40" w:after="40"/>
              <w:jc w:val="right"/>
              <w:rPr>
                <w:b/>
                <w:noProof/>
                <w:sz w:val="20"/>
              </w:rPr>
            </w:pPr>
          </w:p>
        </w:tc>
      </w:tr>
      <w:tr>
        <w:tc>
          <w:tcPr>
            <w:tcW w:w="3960" w:type="dxa"/>
            <w:vMerge w:val="restart"/>
            <w:vAlign w:val="center"/>
          </w:tcPr>
          <w:p>
            <w:pPr>
              <w:jc w:val="center"/>
              <w:rPr>
                <w:noProof/>
              </w:rPr>
            </w:pPr>
            <w:r>
              <w:rPr>
                <w:b/>
                <w:noProof/>
                <w:sz w:val="22"/>
              </w:rPr>
              <w:t>Odobritve</w:t>
            </w:r>
            <w:r>
              <w:rPr>
                <w:noProof/>
                <w:sz w:val="22"/>
              </w:rPr>
              <w:br/>
            </w:r>
            <w:r>
              <w:rPr>
                <w:b/>
                <w:noProof/>
                <w:sz w:val="22"/>
              </w:rPr>
              <w:t>za ESMA SKUPAJ</w:t>
            </w:r>
          </w:p>
        </w:tc>
        <w:tc>
          <w:tcPr>
            <w:tcW w:w="1440" w:type="dxa"/>
            <w:vAlign w:val="center"/>
          </w:tcPr>
          <w:p>
            <w:pPr>
              <w:rPr>
                <w:noProof/>
                <w:sz w:val="18"/>
              </w:rPr>
            </w:pPr>
            <w:r>
              <w:rPr>
                <w:noProof/>
                <w:sz w:val="18"/>
              </w:rPr>
              <w:t>obveznosti</w:t>
            </w:r>
          </w:p>
        </w:tc>
        <w:tc>
          <w:tcPr>
            <w:tcW w:w="654" w:type="dxa"/>
            <w:gridSpan w:val="2"/>
            <w:vAlign w:val="center"/>
          </w:tcPr>
          <w:p>
            <w:pPr>
              <w:jc w:val="center"/>
              <w:rPr>
                <w:noProof/>
                <w:sz w:val="14"/>
              </w:rPr>
            </w:pPr>
            <w:r>
              <w:rPr>
                <w:noProof/>
                <w:sz w:val="14"/>
              </w:rPr>
              <w:t>=1+1a+3a</w:t>
            </w:r>
          </w:p>
        </w:tc>
        <w:tc>
          <w:tcPr>
            <w:tcW w:w="868" w:type="dxa"/>
          </w:tcPr>
          <w:p>
            <w:pPr>
              <w:spacing w:before="20" w:after="20"/>
              <w:jc w:val="right"/>
              <w:rPr>
                <w:b/>
                <w:bCs/>
                <w:noProof/>
                <w:sz w:val="20"/>
              </w:rPr>
            </w:pPr>
            <w:r>
              <w:rPr>
                <w:rFonts w:asciiTheme="minorHAnsi" w:hAnsiTheme="minorHAnsi"/>
                <w:b/>
                <w:noProof/>
                <w:sz w:val="22"/>
              </w:rPr>
              <w:t>0,066</w:t>
            </w:r>
          </w:p>
        </w:tc>
        <w:tc>
          <w:tcPr>
            <w:tcW w:w="868" w:type="dxa"/>
          </w:tcPr>
          <w:p>
            <w:pPr>
              <w:spacing w:before="20" w:after="20"/>
              <w:jc w:val="right"/>
              <w:rPr>
                <w:b/>
                <w:bCs/>
                <w:noProof/>
                <w:sz w:val="20"/>
              </w:rPr>
            </w:pPr>
            <w:r>
              <w:rPr>
                <w:rFonts w:asciiTheme="minorHAnsi" w:hAnsiTheme="minorHAnsi"/>
                <w:b/>
                <w:noProof/>
                <w:sz w:val="22"/>
              </w:rPr>
              <w:t>0,066</w:t>
            </w:r>
          </w:p>
        </w:tc>
        <w:tc>
          <w:tcPr>
            <w:tcW w:w="868" w:type="dxa"/>
          </w:tcPr>
          <w:p>
            <w:pPr>
              <w:spacing w:before="20" w:after="20"/>
              <w:jc w:val="right"/>
              <w:rPr>
                <w:b/>
                <w:bCs/>
                <w:noProof/>
                <w:sz w:val="20"/>
              </w:rPr>
            </w:pPr>
            <w:r>
              <w:rPr>
                <w:rFonts w:asciiTheme="minorHAnsi" w:hAnsiTheme="minorHAnsi"/>
                <w:b/>
                <w:noProof/>
                <w:sz w:val="22"/>
              </w:rPr>
              <w:t>0,066</w:t>
            </w:r>
          </w:p>
        </w:tc>
        <w:tc>
          <w:tcPr>
            <w:tcW w:w="868" w:type="dxa"/>
          </w:tcPr>
          <w:p>
            <w:pPr>
              <w:spacing w:before="20" w:after="20"/>
              <w:jc w:val="right"/>
              <w:rPr>
                <w:b/>
                <w:bCs/>
                <w:noProof/>
                <w:sz w:val="20"/>
              </w:rPr>
            </w:pPr>
            <w:r>
              <w:rPr>
                <w:rFonts w:asciiTheme="minorHAnsi" w:hAnsiTheme="minorHAnsi"/>
                <w:b/>
                <w:noProof/>
                <w:sz w:val="22"/>
              </w:rPr>
              <w:t>0,066</w:t>
            </w:r>
          </w:p>
        </w:tc>
        <w:tc>
          <w:tcPr>
            <w:tcW w:w="868" w:type="dxa"/>
            <w:vAlign w:val="center"/>
          </w:tcPr>
          <w:p>
            <w:pPr>
              <w:spacing w:before="20" w:after="20"/>
              <w:jc w:val="right"/>
              <w:rPr>
                <w:b/>
                <w:bCs/>
                <w:noProof/>
                <w:sz w:val="20"/>
              </w:rPr>
            </w:pPr>
          </w:p>
        </w:tc>
        <w:tc>
          <w:tcPr>
            <w:tcW w:w="868" w:type="dxa"/>
            <w:vAlign w:val="center"/>
          </w:tcPr>
          <w:p>
            <w:pPr>
              <w:spacing w:before="20" w:after="20"/>
              <w:jc w:val="right"/>
              <w:rPr>
                <w:b/>
                <w:bCs/>
                <w:noProof/>
                <w:sz w:val="20"/>
              </w:rPr>
            </w:pPr>
          </w:p>
        </w:tc>
        <w:tc>
          <w:tcPr>
            <w:tcW w:w="868" w:type="dxa"/>
            <w:vAlign w:val="center"/>
          </w:tcPr>
          <w:p>
            <w:pPr>
              <w:spacing w:before="20" w:after="20"/>
              <w:jc w:val="right"/>
              <w:rPr>
                <w:b/>
                <w:bCs/>
                <w:noProof/>
                <w:sz w:val="20"/>
              </w:rPr>
            </w:pPr>
          </w:p>
        </w:tc>
        <w:tc>
          <w:tcPr>
            <w:tcW w:w="1777" w:type="dxa"/>
          </w:tcPr>
          <w:p>
            <w:pPr>
              <w:spacing w:before="20" w:after="20"/>
              <w:jc w:val="right"/>
              <w:rPr>
                <w:b/>
                <w:bCs/>
                <w:noProof/>
                <w:sz w:val="20"/>
              </w:rPr>
            </w:pPr>
            <w:r>
              <w:rPr>
                <w:rFonts w:ascii="Calibri" w:hAnsi="Calibri"/>
                <w:b/>
                <w:noProof/>
                <w:color w:val="000000"/>
                <w:sz w:val="22"/>
              </w:rPr>
              <w:t>0,264</w:t>
            </w:r>
          </w:p>
        </w:tc>
      </w:tr>
      <w:tr>
        <w:tc>
          <w:tcPr>
            <w:tcW w:w="3960" w:type="dxa"/>
            <w:vMerge/>
            <w:vAlign w:val="center"/>
          </w:tcPr>
          <w:p>
            <w:pPr>
              <w:rPr>
                <w:b/>
                <w:noProof/>
              </w:rPr>
            </w:pPr>
          </w:p>
        </w:tc>
        <w:tc>
          <w:tcPr>
            <w:tcW w:w="1440" w:type="dxa"/>
            <w:vAlign w:val="center"/>
          </w:tcPr>
          <w:p>
            <w:pPr>
              <w:rPr>
                <w:noProof/>
                <w:sz w:val="18"/>
              </w:rPr>
            </w:pPr>
            <w:r>
              <w:rPr>
                <w:noProof/>
                <w:sz w:val="18"/>
              </w:rPr>
              <w:t>plačila</w:t>
            </w:r>
          </w:p>
        </w:tc>
        <w:tc>
          <w:tcPr>
            <w:tcW w:w="654" w:type="dxa"/>
            <w:gridSpan w:val="2"/>
            <w:vAlign w:val="center"/>
          </w:tcPr>
          <w:p>
            <w:pPr>
              <w:jc w:val="center"/>
              <w:rPr>
                <w:noProof/>
                <w:sz w:val="14"/>
              </w:rPr>
            </w:pPr>
            <w:r>
              <w:rPr>
                <w:noProof/>
                <w:sz w:val="14"/>
              </w:rPr>
              <w:t>=2+2a</w:t>
            </w:r>
          </w:p>
          <w:p>
            <w:pPr>
              <w:jc w:val="center"/>
              <w:rPr>
                <w:noProof/>
                <w:sz w:val="14"/>
              </w:rPr>
            </w:pPr>
            <w:r>
              <w:rPr>
                <w:noProof/>
                <w:sz w:val="14"/>
              </w:rPr>
              <w:t>+3b</w:t>
            </w:r>
          </w:p>
        </w:tc>
        <w:tc>
          <w:tcPr>
            <w:tcW w:w="868" w:type="dxa"/>
          </w:tcPr>
          <w:p>
            <w:pPr>
              <w:spacing w:before="20" w:after="20"/>
              <w:jc w:val="right"/>
              <w:rPr>
                <w:b/>
                <w:bCs/>
                <w:noProof/>
                <w:sz w:val="20"/>
              </w:rPr>
            </w:pPr>
            <w:r>
              <w:rPr>
                <w:rFonts w:asciiTheme="minorHAnsi" w:hAnsiTheme="minorHAnsi"/>
                <w:b/>
                <w:noProof/>
                <w:sz w:val="22"/>
              </w:rPr>
              <w:t>0,066</w:t>
            </w:r>
          </w:p>
        </w:tc>
        <w:tc>
          <w:tcPr>
            <w:tcW w:w="868" w:type="dxa"/>
          </w:tcPr>
          <w:p>
            <w:pPr>
              <w:spacing w:before="20" w:after="20"/>
              <w:jc w:val="right"/>
              <w:rPr>
                <w:b/>
                <w:bCs/>
                <w:noProof/>
                <w:sz w:val="20"/>
              </w:rPr>
            </w:pPr>
            <w:r>
              <w:rPr>
                <w:rFonts w:asciiTheme="minorHAnsi" w:hAnsiTheme="minorHAnsi"/>
                <w:b/>
                <w:noProof/>
                <w:sz w:val="22"/>
              </w:rPr>
              <w:t>0,066</w:t>
            </w:r>
          </w:p>
        </w:tc>
        <w:tc>
          <w:tcPr>
            <w:tcW w:w="868" w:type="dxa"/>
          </w:tcPr>
          <w:p>
            <w:pPr>
              <w:spacing w:before="20" w:after="20"/>
              <w:jc w:val="right"/>
              <w:rPr>
                <w:b/>
                <w:bCs/>
                <w:noProof/>
                <w:sz w:val="20"/>
              </w:rPr>
            </w:pPr>
            <w:r>
              <w:rPr>
                <w:rFonts w:asciiTheme="minorHAnsi" w:hAnsiTheme="minorHAnsi"/>
                <w:b/>
                <w:noProof/>
                <w:sz w:val="22"/>
              </w:rPr>
              <w:t>0,066</w:t>
            </w:r>
          </w:p>
        </w:tc>
        <w:tc>
          <w:tcPr>
            <w:tcW w:w="868" w:type="dxa"/>
          </w:tcPr>
          <w:p>
            <w:pPr>
              <w:spacing w:before="20" w:after="20"/>
              <w:jc w:val="right"/>
              <w:rPr>
                <w:b/>
                <w:bCs/>
                <w:noProof/>
                <w:sz w:val="20"/>
              </w:rPr>
            </w:pPr>
            <w:r>
              <w:rPr>
                <w:rFonts w:asciiTheme="minorHAnsi" w:hAnsiTheme="minorHAnsi"/>
                <w:b/>
                <w:noProof/>
                <w:sz w:val="22"/>
              </w:rPr>
              <w:t>0,066</w:t>
            </w:r>
          </w:p>
        </w:tc>
        <w:tc>
          <w:tcPr>
            <w:tcW w:w="868" w:type="dxa"/>
            <w:vAlign w:val="center"/>
          </w:tcPr>
          <w:p>
            <w:pPr>
              <w:spacing w:before="20" w:after="20"/>
              <w:jc w:val="right"/>
              <w:rPr>
                <w:b/>
                <w:bCs/>
                <w:noProof/>
                <w:sz w:val="20"/>
              </w:rPr>
            </w:pPr>
          </w:p>
        </w:tc>
        <w:tc>
          <w:tcPr>
            <w:tcW w:w="868" w:type="dxa"/>
            <w:vAlign w:val="center"/>
          </w:tcPr>
          <w:p>
            <w:pPr>
              <w:spacing w:before="20" w:after="20"/>
              <w:jc w:val="right"/>
              <w:rPr>
                <w:b/>
                <w:bCs/>
                <w:noProof/>
                <w:sz w:val="20"/>
              </w:rPr>
            </w:pPr>
          </w:p>
        </w:tc>
        <w:tc>
          <w:tcPr>
            <w:tcW w:w="868" w:type="dxa"/>
            <w:vAlign w:val="center"/>
          </w:tcPr>
          <w:p>
            <w:pPr>
              <w:spacing w:before="20" w:after="20"/>
              <w:jc w:val="right"/>
              <w:rPr>
                <w:b/>
                <w:bCs/>
                <w:noProof/>
                <w:sz w:val="20"/>
              </w:rPr>
            </w:pPr>
          </w:p>
        </w:tc>
        <w:tc>
          <w:tcPr>
            <w:tcW w:w="1777" w:type="dxa"/>
          </w:tcPr>
          <w:p>
            <w:pPr>
              <w:spacing w:before="20" w:after="20"/>
              <w:jc w:val="right"/>
              <w:rPr>
                <w:b/>
                <w:bCs/>
                <w:noProof/>
                <w:sz w:val="20"/>
              </w:rPr>
            </w:pPr>
            <w:r>
              <w:rPr>
                <w:rFonts w:ascii="Calibri" w:hAnsi="Calibri"/>
                <w:b/>
                <w:noProof/>
                <w:color w:val="000000"/>
                <w:sz w:val="22"/>
              </w:rPr>
              <w:t>0,264</w:t>
            </w:r>
          </w:p>
        </w:tc>
      </w:tr>
    </w:tbl>
    <w:p>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2094"/>
        <w:gridCol w:w="868"/>
        <w:gridCol w:w="868"/>
        <w:gridCol w:w="868"/>
        <w:gridCol w:w="868"/>
        <w:gridCol w:w="868"/>
        <w:gridCol w:w="868"/>
        <w:gridCol w:w="868"/>
        <w:gridCol w:w="1777"/>
      </w:tblGrid>
      <w:tr>
        <w:tc>
          <w:tcPr>
            <w:tcW w:w="3960" w:type="dxa"/>
            <w:shd w:val="thinDiagStripe" w:color="C0C0C0" w:fill="auto"/>
            <w:vAlign w:val="center"/>
          </w:tcPr>
          <w:p>
            <w:pPr>
              <w:jc w:val="center"/>
              <w:rPr>
                <w:b/>
                <w:noProof/>
              </w:rPr>
            </w:pPr>
            <w:r>
              <w:rPr>
                <w:b/>
                <w:noProof/>
                <w:sz w:val="22"/>
              </w:rPr>
              <w:t>Odobritve iz</w:t>
            </w:r>
            <w:r>
              <w:rPr>
                <w:noProof/>
                <w:sz w:val="22"/>
              </w:rPr>
              <w:br/>
            </w:r>
            <w:r>
              <w:rPr>
                <w:b/>
                <w:noProof/>
                <w:sz w:val="22"/>
              </w:rPr>
              <w:t>RAZDELKA 1</w:t>
            </w:r>
            <w:r>
              <w:rPr>
                <w:noProof/>
                <w:sz w:val="22"/>
              </w:rPr>
              <w:br/>
              <w:t xml:space="preserve">večletnega finančnega okvira </w:t>
            </w:r>
            <w:r>
              <w:rPr>
                <w:b/>
                <w:noProof/>
                <w:sz w:val="22"/>
              </w:rPr>
              <w:t xml:space="preserve">SKUPAJ </w:t>
            </w:r>
          </w:p>
        </w:tc>
        <w:tc>
          <w:tcPr>
            <w:tcW w:w="2094" w:type="dxa"/>
            <w:vAlign w:val="center"/>
          </w:tcPr>
          <w:p>
            <w:pPr>
              <w:spacing w:before="40" w:after="40"/>
              <w:rPr>
                <w:noProof/>
              </w:rPr>
            </w:pPr>
            <w:r>
              <w:rPr>
                <w:noProof/>
                <w:sz w:val="18"/>
              </w:rPr>
              <w:t>(obveznosti skupaj = plačila skupaj)</w:t>
            </w:r>
          </w:p>
        </w:tc>
        <w:tc>
          <w:tcPr>
            <w:tcW w:w="868" w:type="dxa"/>
            <w:vAlign w:val="center"/>
          </w:tcPr>
          <w:p>
            <w:pPr>
              <w:jc w:val="center"/>
              <w:rPr>
                <w:rFonts w:asciiTheme="majorBidi" w:hAnsiTheme="majorBidi" w:cstheme="majorBidi"/>
                <w:b/>
                <w:bCs/>
                <w:noProof/>
                <w:color w:val="000000"/>
                <w:sz w:val="22"/>
              </w:rPr>
            </w:pPr>
            <w:r>
              <w:rPr>
                <w:b/>
                <w:noProof/>
              </w:rPr>
              <w:t>0,179</w:t>
            </w:r>
          </w:p>
        </w:tc>
        <w:tc>
          <w:tcPr>
            <w:tcW w:w="868" w:type="dxa"/>
            <w:vAlign w:val="center"/>
          </w:tcPr>
          <w:p>
            <w:pPr>
              <w:jc w:val="center"/>
              <w:rPr>
                <w:rFonts w:asciiTheme="majorBidi" w:hAnsiTheme="majorBidi" w:cstheme="majorBidi"/>
                <w:b/>
                <w:bCs/>
                <w:noProof/>
                <w:color w:val="000000"/>
                <w:sz w:val="22"/>
              </w:rPr>
            </w:pPr>
            <w:r>
              <w:rPr>
                <w:b/>
                <w:noProof/>
              </w:rPr>
              <w:t>0,179</w:t>
            </w:r>
          </w:p>
        </w:tc>
        <w:tc>
          <w:tcPr>
            <w:tcW w:w="868" w:type="dxa"/>
            <w:vAlign w:val="center"/>
          </w:tcPr>
          <w:p>
            <w:pPr>
              <w:jc w:val="center"/>
              <w:rPr>
                <w:rFonts w:asciiTheme="majorBidi" w:hAnsiTheme="majorBidi" w:cstheme="majorBidi"/>
                <w:b/>
                <w:bCs/>
                <w:noProof/>
                <w:color w:val="000000"/>
                <w:sz w:val="22"/>
              </w:rPr>
            </w:pPr>
            <w:r>
              <w:rPr>
                <w:b/>
                <w:noProof/>
              </w:rPr>
              <w:t>0,179</w:t>
            </w:r>
          </w:p>
        </w:tc>
        <w:tc>
          <w:tcPr>
            <w:tcW w:w="868" w:type="dxa"/>
            <w:vAlign w:val="center"/>
          </w:tcPr>
          <w:p>
            <w:pPr>
              <w:jc w:val="center"/>
              <w:rPr>
                <w:rFonts w:asciiTheme="majorBidi" w:hAnsiTheme="majorBidi" w:cstheme="majorBidi"/>
                <w:b/>
                <w:bCs/>
                <w:noProof/>
                <w:color w:val="000000"/>
                <w:sz w:val="22"/>
              </w:rPr>
            </w:pPr>
            <w:r>
              <w:rPr>
                <w:b/>
                <w:noProof/>
              </w:rPr>
              <w:t>0,179</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Pr>
          <w:p>
            <w:pPr>
              <w:jc w:val="right"/>
              <w:rPr>
                <w:rFonts w:asciiTheme="majorBidi" w:hAnsiTheme="majorBidi" w:cstheme="majorBidi"/>
                <w:b/>
                <w:bCs/>
                <w:noProof/>
                <w:color w:val="000000"/>
                <w:sz w:val="22"/>
              </w:rPr>
            </w:pPr>
          </w:p>
          <w:p>
            <w:pPr>
              <w:spacing w:before="20" w:after="20"/>
              <w:jc w:val="right"/>
              <w:rPr>
                <w:b/>
                <w:noProof/>
                <w:sz w:val="20"/>
              </w:rPr>
            </w:pPr>
            <w:r>
              <w:rPr>
                <w:b/>
                <w:noProof/>
              </w:rPr>
              <w:t>0,714</w:t>
            </w:r>
          </w:p>
        </w:tc>
      </w:tr>
    </w:tbl>
    <w:p>
      <w:pPr>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7"/>
        <w:gridCol w:w="1080"/>
        <w:gridCol w:w="7817"/>
      </w:tblGrid>
      <w:tr>
        <w:trPr>
          <w:jc w:val="center"/>
        </w:trPr>
        <w:tc>
          <w:tcPr>
            <w:tcW w:w="5107" w:type="dxa"/>
            <w:shd w:val="thinDiagStripe" w:color="C0C0C0" w:fill="auto"/>
            <w:vAlign w:val="center"/>
          </w:tcPr>
          <w:p>
            <w:pPr>
              <w:spacing w:before="60" w:after="60"/>
              <w:jc w:val="center"/>
              <w:rPr>
                <w:b/>
                <w:noProof/>
              </w:rPr>
            </w:pPr>
            <w:r>
              <w:rPr>
                <w:b/>
                <w:noProof/>
                <w:sz w:val="22"/>
              </w:rPr>
              <w:t xml:space="preserve">Razdelek večletnega finančnega </w:t>
            </w:r>
            <w:r>
              <w:rPr>
                <w:noProof/>
                <w:sz w:val="22"/>
              </w:rPr>
              <w:br/>
            </w:r>
            <w:r>
              <w:rPr>
                <w:b/>
                <w:noProof/>
                <w:sz w:val="22"/>
              </w:rPr>
              <w:t xml:space="preserve">okvira </w:t>
            </w:r>
          </w:p>
        </w:tc>
        <w:tc>
          <w:tcPr>
            <w:tcW w:w="1080" w:type="dxa"/>
            <w:vAlign w:val="center"/>
          </w:tcPr>
          <w:p>
            <w:pPr>
              <w:spacing w:before="60" w:after="60"/>
              <w:jc w:val="center"/>
              <w:rPr>
                <w:noProof/>
              </w:rPr>
            </w:pPr>
            <w:r>
              <w:rPr>
                <w:b/>
                <w:noProof/>
                <w:sz w:val="22"/>
              </w:rPr>
              <w:t>2</w:t>
            </w:r>
          </w:p>
        </w:tc>
        <w:tc>
          <w:tcPr>
            <w:tcW w:w="7817" w:type="dxa"/>
            <w:vAlign w:val="center"/>
          </w:tcPr>
          <w:p>
            <w:pPr>
              <w:spacing w:before="60" w:after="60"/>
              <w:jc w:val="left"/>
              <w:rPr>
                <w:noProof/>
              </w:rPr>
            </w:pPr>
            <w:r>
              <w:rPr>
                <w:noProof/>
              </w:rPr>
              <w:t>Trajnostna rast: naravni viri</w:t>
            </w:r>
          </w:p>
        </w:tc>
      </w:tr>
    </w:tbl>
    <w:p>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120"/>
        <w:gridCol w:w="534"/>
        <w:gridCol w:w="868"/>
        <w:gridCol w:w="868"/>
        <w:gridCol w:w="868"/>
        <w:gridCol w:w="868"/>
        <w:gridCol w:w="868"/>
        <w:gridCol w:w="868"/>
        <w:gridCol w:w="868"/>
        <w:gridCol w:w="1777"/>
      </w:tblGrid>
      <w:tr>
        <w:tc>
          <w:tcPr>
            <w:tcW w:w="3960" w:type="dxa"/>
            <w:vAlign w:val="center"/>
          </w:tcPr>
          <w:p>
            <w:pPr>
              <w:jc w:val="center"/>
              <w:rPr>
                <w:noProof/>
              </w:rPr>
            </w:pPr>
            <w:r>
              <w:rPr>
                <w:noProof/>
                <w:sz w:val="22"/>
              </w:rPr>
              <w:t>GD ENV</w:t>
            </w:r>
          </w:p>
        </w:tc>
        <w:tc>
          <w:tcPr>
            <w:tcW w:w="1560" w:type="dxa"/>
            <w:gridSpan w:val="2"/>
          </w:tcPr>
          <w:p>
            <w:pPr>
              <w:rPr>
                <w:noProof/>
                <w:sz w:val="20"/>
              </w:rPr>
            </w:pPr>
          </w:p>
        </w:tc>
        <w:tc>
          <w:tcPr>
            <w:tcW w:w="534" w:type="dxa"/>
          </w:tcPr>
          <w:p>
            <w:pPr>
              <w:jc w:val="center"/>
              <w:rPr>
                <w:noProof/>
                <w:sz w:val="20"/>
              </w:rPr>
            </w:pPr>
          </w:p>
        </w:tc>
        <w:tc>
          <w:tcPr>
            <w:tcW w:w="868" w:type="dxa"/>
            <w:vAlign w:val="center"/>
          </w:tcPr>
          <w:p>
            <w:pPr>
              <w:jc w:val="center"/>
              <w:rPr>
                <w:noProof/>
                <w:sz w:val="20"/>
              </w:rPr>
            </w:pPr>
            <w:r>
              <w:rPr>
                <w:noProof/>
                <w:sz w:val="20"/>
              </w:rPr>
              <w:t>Leto</w:t>
            </w:r>
            <w:r>
              <w:rPr>
                <w:noProof/>
                <w:sz w:val="22"/>
              </w:rPr>
              <w:br/>
            </w:r>
            <w:r>
              <w:rPr>
                <w:b/>
                <w:noProof/>
                <w:sz w:val="20"/>
              </w:rPr>
              <w:t>2020</w:t>
            </w:r>
          </w:p>
        </w:tc>
        <w:tc>
          <w:tcPr>
            <w:tcW w:w="868" w:type="dxa"/>
            <w:vAlign w:val="center"/>
          </w:tcPr>
          <w:p>
            <w:pPr>
              <w:jc w:val="center"/>
              <w:rPr>
                <w:noProof/>
                <w:sz w:val="20"/>
              </w:rPr>
            </w:pPr>
            <w:r>
              <w:rPr>
                <w:noProof/>
                <w:sz w:val="20"/>
              </w:rPr>
              <w:t>Leto</w:t>
            </w:r>
            <w:r>
              <w:rPr>
                <w:noProof/>
                <w:sz w:val="22"/>
              </w:rPr>
              <w:br/>
            </w:r>
            <w:r>
              <w:rPr>
                <w:b/>
                <w:noProof/>
                <w:sz w:val="20"/>
              </w:rPr>
              <w:t>2021</w:t>
            </w:r>
          </w:p>
        </w:tc>
        <w:tc>
          <w:tcPr>
            <w:tcW w:w="868" w:type="dxa"/>
            <w:vAlign w:val="center"/>
          </w:tcPr>
          <w:p>
            <w:pPr>
              <w:jc w:val="center"/>
              <w:rPr>
                <w:noProof/>
                <w:sz w:val="20"/>
              </w:rPr>
            </w:pPr>
            <w:r>
              <w:rPr>
                <w:noProof/>
                <w:sz w:val="20"/>
              </w:rPr>
              <w:t>Leto</w:t>
            </w:r>
            <w:r>
              <w:rPr>
                <w:noProof/>
                <w:sz w:val="22"/>
              </w:rPr>
              <w:br/>
            </w:r>
            <w:r>
              <w:rPr>
                <w:b/>
                <w:noProof/>
                <w:sz w:val="20"/>
              </w:rPr>
              <w:t>2022</w:t>
            </w:r>
          </w:p>
        </w:tc>
        <w:tc>
          <w:tcPr>
            <w:tcW w:w="868" w:type="dxa"/>
            <w:vAlign w:val="center"/>
          </w:tcPr>
          <w:p>
            <w:pPr>
              <w:jc w:val="center"/>
              <w:rPr>
                <w:noProof/>
                <w:sz w:val="20"/>
              </w:rPr>
            </w:pPr>
            <w:r>
              <w:rPr>
                <w:noProof/>
                <w:sz w:val="20"/>
              </w:rPr>
              <w:t>Leto</w:t>
            </w:r>
            <w:r>
              <w:rPr>
                <w:noProof/>
                <w:sz w:val="22"/>
              </w:rPr>
              <w:br/>
            </w:r>
            <w:r>
              <w:rPr>
                <w:b/>
                <w:noProof/>
                <w:sz w:val="20"/>
              </w:rPr>
              <w:t>2023</w:t>
            </w:r>
          </w:p>
        </w:tc>
        <w:tc>
          <w:tcPr>
            <w:tcW w:w="2604" w:type="dxa"/>
            <w:gridSpan w:val="3"/>
            <w:vAlign w:val="center"/>
          </w:tcPr>
          <w:p>
            <w:pPr>
              <w:jc w:val="center"/>
              <w:rPr>
                <w:b/>
                <w:noProof/>
                <w:sz w:val="18"/>
              </w:rPr>
            </w:pPr>
            <w:r>
              <w:rPr>
                <w:noProof/>
                <w:sz w:val="18"/>
              </w:rPr>
              <w:t>Vstavite ustrezno število let glede na trajanje posledic (gl. točko 1.6)</w:t>
            </w:r>
          </w:p>
        </w:tc>
        <w:tc>
          <w:tcPr>
            <w:tcW w:w="1777" w:type="dxa"/>
            <w:vAlign w:val="center"/>
          </w:tcPr>
          <w:p>
            <w:pPr>
              <w:jc w:val="center"/>
              <w:rPr>
                <w:b/>
                <w:noProof/>
                <w:sz w:val="20"/>
              </w:rPr>
            </w:pPr>
            <w:r>
              <w:rPr>
                <w:b/>
                <w:noProof/>
                <w:sz w:val="20"/>
              </w:rPr>
              <w:t>SKUPAJ</w:t>
            </w:r>
          </w:p>
        </w:tc>
      </w:tr>
      <w:tr>
        <w:trPr>
          <w:trHeight w:val="277"/>
        </w:trPr>
        <w:tc>
          <w:tcPr>
            <w:tcW w:w="3960" w:type="dxa"/>
            <w:vMerge w:val="restart"/>
            <w:vAlign w:val="center"/>
          </w:tcPr>
          <w:p>
            <w:pPr>
              <w:jc w:val="left"/>
              <w:rPr>
                <w:noProof/>
              </w:rPr>
            </w:pPr>
            <w:r>
              <w:rPr>
                <w:noProof/>
                <w:color w:val="000000" w:themeColor="text1"/>
                <w:sz w:val="20"/>
              </w:rPr>
              <w:t>GD ENV (študije)</w:t>
            </w:r>
          </w:p>
        </w:tc>
        <w:tc>
          <w:tcPr>
            <w:tcW w:w="1440" w:type="dxa"/>
            <w:vAlign w:val="center"/>
          </w:tcPr>
          <w:p>
            <w:pPr>
              <w:spacing w:before="20" w:after="20"/>
              <w:rPr>
                <w:noProof/>
              </w:rPr>
            </w:pPr>
            <w:r>
              <w:rPr>
                <w:noProof/>
                <w:sz w:val="18"/>
              </w:rPr>
              <w:t>obveznosti</w:t>
            </w:r>
          </w:p>
        </w:tc>
        <w:tc>
          <w:tcPr>
            <w:tcW w:w="654" w:type="dxa"/>
            <w:gridSpan w:val="2"/>
            <w:vAlign w:val="center"/>
          </w:tcPr>
          <w:p>
            <w:pPr>
              <w:spacing w:before="20" w:after="20"/>
              <w:jc w:val="center"/>
              <w:rPr>
                <w:noProof/>
                <w:sz w:val="14"/>
              </w:rPr>
            </w:pPr>
            <w:r>
              <w:rPr>
                <w:noProof/>
                <w:sz w:val="14"/>
              </w:rPr>
              <w:t>(1)</w:t>
            </w:r>
          </w:p>
        </w:tc>
        <w:tc>
          <w:tcPr>
            <w:tcW w:w="868" w:type="dxa"/>
          </w:tcPr>
          <w:p>
            <w:pPr>
              <w:spacing w:before="20" w:after="20"/>
              <w:jc w:val="right"/>
              <w:rPr>
                <w:noProof/>
                <w:sz w:val="20"/>
              </w:rPr>
            </w:pPr>
            <w:r>
              <w:rPr>
                <w:noProof/>
                <w:sz w:val="20"/>
              </w:rPr>
              <w:t>0,500</w:t>
            </w:r>
          </w:p>
        </w:tc>
        <w:tc>
          <w:tcPr>
            <w:tcW w:w="868" w:type="dxa"/>
          </w:tcPr>
          <w:p>
            <w:pPr>
              <w:spacing w:before="20" w:after="20"/>
              <w:jc w:val="right"/>
              <w:rPr>
                <w:noProof/>
                <w:sz w:val="20"/>
              </w:rPr>
            </w:pPr>
            <w:r>
              <w:rPr>
                <w:noProof/>
                <w:sz w:val="20"/>
              </w:rPr>
              <w:t>0,500</w:t>
            </w:r>
          </w:p>
        </w:tc>
        <w:tc>
          <w:tcPr>
            <w:tcW w:w="868" w:type="dxa"/>
          </w:tcPr>
          <w:p>
            <w:pPr>
              <w:spacing w:before="20" w:after="20"/>
              <w:jc w:val="right"/>
              <w:rPr>
                <w:noProof/>
                <w:sz w:val="20"/>
              </w:rPr>
            </w:pPr>
            <w:r>
              <w:rPr>
                <w:noProof/>
                <w:sz w:val="20"/>
              </w:rPr>
              <w:t>0,500</w:t>
            </w:r>
          </w:p>
        </w:tc>
        <w:tc>
          <w:tcPr>
            <w:tcW w:w="868" w:type="dxa"/>
          </w:tcPr>
          <w:p>
            <w:pPr>
              <w:spacing w:before="20" w:after="20"/>
              <w:jc w:val="right"/>
              <w:rPr>
                <w:noProof/>
                <w:sz w:val="20"/>
              </w:rPr>
            </w:pPr>
            <w:r>
              <w:rPr>
                <w:noProof/>
                <w:sz w:val="20"/>
              </w:rPr>
              <w:t>0,500</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Pr>
          <w:p>
            <w:pPr>
              <w:spacing w:before="20" w:after="20"/>
              <w:jc w:val="right"/>
              <w:rPr>
                <w:b/>
                <w:noProof/>
                <w:sz w:val="20"/>
              </w:rPr>
            </w:pPr>
            <w:r>
              <w:rPr>
                <w:rFonts w:asciiTheme="majorBidi" w:hAnsiTheme="majorBidi" w:cstheme="majorBidi"/>
                <w:b/>
                <w:noProof/>
                <w:color w:val="000000"/>
                <w:sz w:val="20"/>
              </w:rPr>
              <w:t>2,000</w:t>
            </w:r>
          </w:p>
        </w:tc>
      </w:tr>
      <w:tr>
        <w:tc>
          <w:tcPr>
            <w:tcW w:w="3960" w:type="dxa"/>
            <w:vMerge/>
            <w:vAlign w:val="center"/>
          </w:tcPr>
          <w:p>
            <w:pPr>
              <w:rPr>
                <w:noProof/>
              </w:rPr>
            </w:pPr>
          </w:p>
        </w:tc>
        <w:tc>
          <w:tcPr>
            <w:tcW w:w="1440" w:type="dxa"/>
            <w:vAlign w:val="center"/>
          </w:tcPr>
          <w:p>
            <w:pPr>
              <w:spacing w:before="20" w:after="20"/>
              <w:rPr>
                <w:noProof/>
                <w:sz w:val="18"/>
              </w:rPr>
            </w:pPr>
            <w:r>
              <w:rPr>
                <w:noProof/>
                <w:sz w:val="18"/>
              </w:rPr>
              <w:t>plačila</w:t>
            </w:r>
          </w:p>
        </w:tc>
        <w:tc>
          <w:tcPr>
            <w:tcW w:w="654" w:type="dxa"/>
            <w:gridSpan w:val="2"/>
            <w:vAlign w:val="center"/>
          </w:tcPr>
          <w:p>
            <w:pPr>
              <w:spacing w:before="20" w:after="20"/>
              <w:jc w:val="center"/>
              <w:rPr>
                <w:noProof/>
                <w:sz w:val="14"/>
              </w:rPr>
            </w:pPr>
            <w:r>
              <w:rPr>
                <w:noProof/>
                <w:sz w:val="14"/>
              </w:rPr>
              <w:t>(2)</w:t>
            </w:r>
          </w:p>
        </w:tc>
        <w:tc>
          <w:tcPr>
            <w:tcW w:w="868" w:type="dxa"/>
          </w:tcPr>
          <w:p>
            <w:pPr>
              <w:spacing w:before="20" w:after="20"/>
              <w:jc w:val="right"/>
              <w:rPr>
                <w:noProof/>
                <w:sz w:val="20"/>
              </w:rPr>
            </w:pPr>
            <w:r>
              <w:rPr>
                <w:noProof/>
                <w:sz w:val="20"/>
              </w:rPr>
              <w:t>0,500</w:t>
            </w:r>
          </w:p>
        </w:tc>
        <w:tc>
          <w:tcPr>
            <w:tcW w:w="868" w:type="dxa"/>
          </w:tcPr>
          <w:p>
            <w:pPr>
              <w:spacing w:before="20" w:after="20"/>
              <w:jc w:val="right"/>
              <w:rPr>
                <w:noProof/>
                <w:sz w:val="20"/>
              </w:rPr>
            </w:pPr>
            <w:r>
              <w:rPr>
                <w:noProof/>
                <w:sz w:val="20"/>
              </w:rPr>
              <w:t>0,500</w:t>
            </w:r>
          </w:p>
        </w:tc>
        <w:tc>
          <w:tcPr>
            <w:tcW w:w="868" w:type="dxa"/>
          </w:tcPr>
          <w:p>
            <w:pPr>
              <w:spacing w:before="20" w:after="20"/>
              <w:jc w:val="right"/>
              <w:rPr>
                <w:noProof/>
                <w:sz w:val="20"/>
              </w:rPr>
            </w:pPr>
            <w:r>
              <w:rPr>
                <w:noProof/>
                <w:sz w:val="20"/>
              </w:rPr>
              <w:t>0,500</w:t>
            </w:r>
          </w:p>
        </w:tc>
        <w:tc>
          <w:tcPr>
            <w:tcW w:w="868" w:type="dxa"/>
          </w:tcPr>
          <w:p>
            <w:pPr>
              <w:spacing w:before="20" w:after="20"/>
              <w:jc w:val="right"/>
              <w:rPr>
                <w:noProof/>
                <w:sz w:val="20"/>
              </w:rPr>
            </w:pPr>
            <w:r>
              <w:rPr>
                <w:noProof/>
                <w:sz w:val="20"/>
              </w:rPr>
              <w:t>0,500</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Pr>
          <w:p>
            <w:pPr>
              <w:spacing w:before="20" w:after="20"/>
              <w:jc w:val="right"/>
              <w:rPr>
                <w:b/>
                <w:noProof/>
                <w:sz w:val="20"/>
              </w:rPr>
            </w:pPr>
            <w:r>
              <w:rPr>
                <w:rFonts w:asciiTheme="majorBidi" w:hAnsiTheme="majorBidi" w:cstheme="majorBidi"/>
                <w:b/>
                <w:noProof/>
                <w:color w:val="000000"/>
                <w:sz w:val="20"/>
              </w:rPr>
              <w:t>2,000</w:t>
            </w:r>
          </w:p>
        </w:tc>
      </w:tr>
      <w:tr>
        <w:tc>
          <w:tcPr>
            <w:tcW w:w="3960" w:type="dxa"/>
            <w:vMerge w:val="restart"/>
            <w:vAlign w:val="center"/>
          </w:tcPr>
          <w:p>
            <w:pPr>
              <w:jc w:val="center"/>
              <w:rPr>
                <w:noProof/>
              </w:rPr>
            </w:pPr>
            <w:r>
              <w:rPr>
                <w:b/>
                <w:noProof/>
                <w:sz w:val="22"/>
              </w:rPr>
              <w:t>Odobritve</w:t>
            </w:r>
            <w:r>
              <w:rPr>
                <w:noProof/>
                <w:sz w:val="22"/>
              </w:rPr>
              <w:br/>
            </w:r>
            <w:r>
              <w:rPr>
                <w:b/>
                <w:noProof/>
                <w:sz w:val="22"/>
              </w:rPr>
              <w:t>za GD ENV SKUPAJ</w:t>
            </w:r>
          </w:p>
        </w:tc>
        <w:tc>
          <w:tcPr>
            <w:tcW w:w="1440" w:type="dxa"/>
            <w:vAlign w:val="center"/>
          </w:tcPr>
          <w:p>
            <w:pPr>
              <w:rPr>
                <w:noProof/>
                <w:sz w:val="18"/>
              </w:rPr>
            </w:pPr>
            <w:r>
              <w:rPr>
                <w:noProof/>
                <w:sz w:val="18"/>
              </w:rPr>
              <w:t>obveznosti</w:t>
            </w:r>
          </w:p>
        </w:tc>
        <w:tc>
          <w:tcPr>
            <w:tcW w:w="654" w:type="dxa"/>
            <w:gridSpan w:val="2"/>
            <w:vAlign w:val="center"/>
          </w:tcPr>
          <w:p>
            <w:pPr>
              <w:jc w:val="center"/>
              <w:rPr>
                <w:noProof/>
                <w:sz w:val="14"/>
              </w:rPr>
            </w:pPr>
            <w:r>
              <w:rPr>
                <w:noProof/>
                <w:sz w:val="14"/>
              </w:rPr>
              <w:t>=1+1a+3a</w:t>
            </w:r>
          </w:p>
        </w:tc>
        <w:tc>
          <w:tcPr>
            <w:tcW w:w="868" w:type="dxa"/>
          </w:tcPr>
          <w:p>
            <w:pPr>
              <w:spacing w:before="20" w:after="20"/>
              <w:jc w:val="right"/>
              <w:rPr>
                <w:b/>
                <w:bCs/>
                <w:noProof/>
                <w:sz w:val="20"/>
              </w:rPr>
            </w:pPr>
            <w:r>
              <w:rPr>
                <w:b/>
                <w:noProof/>
                <w:sz w:val="20"/>
              </w:rPr>
              <w:t>0,500</w:t>
            </w:r>
          </w:p>
        </w:tc>
        <w:tc>
          <w:tcPr>
            <w:tcW w:w="868" w:type="dxa"/>
          </w:tcPr>
          <w:p>
            <w:pPr>
              <w:spacing w:before="20" w:after="20"/>
              <w:jc w:val="right"/>
              <w:rPr>
                <w:b/>
                <w:bCs/>
                <w:noProof/>
                <w:sz w:val="20"/>
              </w:rPr>
            </w:pPr>
            <w:r>
              <w:rPr>
                <w:b/>
                <w:noProof/>
                <w:sz w:val="20"/>
              </w:rPr>
              <w:t>0,500</w:t>
            </w:r>
          </w:p>
        </w:tc>
        <w:tc>
          <w:tcPr>
            <w:tcW w:w="868" w:type="dxa"/>
          </w:tcPr>
          <w:p>
            <w:pPr>
              <w:spacing w:before="20" w:after="20"/>
              <w:jc w:val="right"/>
              <w:rPr>
                <w:b/>
                <w:bCs/>
                <w:noProof/>
                <w:sz w:val="20"/>
              </w:rPr>
            </w:pPr>
            <w:r>
              <w:rPr>
                <w:b/>
                <w:noProof/>
                <w:sz w:val="20"/>
              </w:rPr>
              <w:t>0,500</w:t>
            </w:r>
          </w:p>
        </w:tc>
        <w:tc>
          <w:tcPr>
            <w:tcW w:w="868" w:type="dxa"/>
          </w:tcPr>
          <w:p>
            <w:pPr>
              <w:spacing w:before="20" w:after="20"/>
              <w:jc w:val="right"/>
              <w:rPr>
                <w:b/>
                <w:bCs/>
                <w:noProof/>
                <w:sz w:val="20"/>
              </w:rPr>
            </w:pPr>
            <w:r>
              <w:rPr>
                <w:b/>
                <w:noProof/>
                <w:sz w:val="20"/>
              </w:rPr>
              <w:t>0,500</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Pr>
          <w:p>
            <w:pPr>
              <w:spacing w:before="20" w:after="20"/>
              <w:jc w:val="right"/>
              <w:rPr>
                <w:b/>
                <w:noProof/>
                <w:sz w:val="20"/>
              </w:rPr>
            </w:pPr>
            <w:r>
              <w:rPr>
                <w:rFonts w:asciiTheme="majorBidi" w:hAnsiTheme="majorBidi" w:cstheme="majorBidi"/>
                <w:b/>
                <w:noProof/>
                <w:color w:val="000000"/>
                <w:sz w:val="20"/>
              </w:rPr>
              <w:t>2,000</w:t>
            </w:r>
          </w:p>
        </w:tc>
      </w:tr>
      <w:tr>
        <w:tc>
          <w:tcPr>
            <w:tcW w:w="3960" w:type="dxa"/>
            <w:vMerge/>
            <w:vAlign w:val="center"/>
          </w:tcPr>
          <w:p>
            <w:pPr>
              <w:rPr>
                <w:b/>
                <w:noProof/>
              </w:rPr>
            </w:pPr>
          </w:p>
        </w:tc>
        <w:tc>
          <w:tcPr>
            <w:tcW w:w="1440" w:type="dxa"/>
            <w:vAlign w:val="center"/>
          </w:tcPr>
          <w:p>
            <w:pPr>
              <w:rPr>
                <w:noProof/>
                <w:sz w:val="18"/>
              </w:rPr>
            </w:pPr>
            <w:r>
              <w:rPr>
                <w:noProof/>
                <w:sz w:val="18"/>
              </w:rPr>
              <w:t>plačila</w:t>
            </w:r>
          </w:p>
        </w:tc>
        <w:tc>
          <w:tcPr>
            <w:tcW w:w="654" w:type="dxa"/>
            <w:gridSpan w:val="2"/>
            <w:vAlign w:val="center"/>
          </w:tcPr>
          <w:p>
            <w:pPr>
              <w:jc w:val="center"/>
              <w:rPr>
                <w:noProof/>
                <w:sz w:val="14"/>
              </w:rPr>
            </w:pPr>
            <w:r>
              <w:rPr>
                <w:noProof/>
                <w:sz w:val="14"/>
              </w:rPr>
              <w:t>=2+2a</w:t>
            </w:r>
          </w:p>
          <w:p>
            <w:pPr>
              <w:jc w:val="center"/>
              <w:rPr>
                <w:noProof/>
                <w:sz w:val="14"/>
              </w:rPr>
            </w:pPr>
            <w:r>
              <w:rPr>
                <w:noProof/>
                <w:sz w:val="14"/>
              </w:rPr>
              <w:t>+3b</w:t>
            </w:r>
          </w:p>
        </w:tc>
        <w:tc>
          <w:tcPr>
            <w:tcW w:w="868" w:type="dxa"/>
          </w:tcPr>
          <w:p>
            <w:pPr>
              <w:spacing w:before="20" w:after="20"/>
              <w:jc w:val="right"/>
              <w:rPr>
                <w:b/>
                <w:bCs/>
                <w:noProof/>
                <w:sz w:val="20"/>
              </w:rPr>
            </w:pPr>
            <w:r>
              <w:rPr>
                <w:b/>
                <w:noProof/>
                <w:sz w:val="20"/>
              </w:rPr>
              <w:t>0,500</w:t>
            </w:r>
          </w:p>
        </w:tc>
        <w:tc>
          <w:tcPr>
            <w:tcW w:w="868" w:type="dxa"/>
          </w:tcPr>
          <w:p>
            <w:pPr>
              <w:spacing w:before="20" w:after="20"/>
              <w:jc w:val="right"/>
              <w:rPr>
                <w:b/>
                <w:bCs/>
                <w:noProof/>
                <w:sz w:val="20"/>
              </w:rPr>
            </w:pPr>
            <w:r>
              <w:rPr>
                <w:b/>
                <w:noProof/>
                <w:sz w:val="20"/>
              </w:rPr>
              <w:t>0,500</w:t>
            </w:r>
          </w:p>
        </w:tc>
        <w:tc>
          <w:tcPr>
            <w:tcW w:w="868" w:type="dxa"/>
          </w:tcPr>
          <w:p>
            <w:pPr>
              <w:spacing w:before="20" w:after="20"/>
              <w:jc w:val="right"/>
              <w:rPr>
                <w:b/>
                <w:bCs/>
                <w:noProof/>
                <w:sz w:val="20"/>
              </w:rPr>
            </w:pPr>
            <w:r>
              <w:rPr>
                <w:b/>
                <w:noProof/>
                <w:sz w:val="20"/>
              </w:rPr>
              <w:t>0,500</w:t>
            </w:r>
          </w:p>
        </w:tc>
        <w:tc>
          <w:tcPr>
            <w:tcW w:w="868" w:type="dxa"/>
          </w:tcPr>
          <w:p>
            <w:pPr>
              <w:spacing w:before="20" w:after="20"/>
              <w:jc w:val="right"/>
              <w:rPr>
                <w:b/>
                <w:bCs/>
                <w:noProof/>
                <w:sz w:val="20"/>
              </w:rPr>
            </w:pPr>
            <w:r>
              <w:rPr>
                <w:b/>
                <w:noProof/>
                <w:sz w:val="20"/>
              </w:rPr>
              <w:t>0,500</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Pr>
          <w:p>
            <w:pPr>
              <w:spacing w:before="20" w:after="20"/>
              <w:jc w:val="right"/>
              <w:rPr>
                <w:b/>
                <w:noProof/>
                <w:sz w:val="20"/>
              </w:rPr>
            </w:pPr>
            <w:r>
              <w:rPr>
                <w:rFonts w:asciiTheme="majorBidi" w:hAnsiTheme="majorBidi" w:cstheme="majorBidi"/>
                <w:b/>
                <w:noProof/>
                <w:color w:val="000000"/>
                <w:sz w:val="20"/>
              </w:rPr>
              <w:t>2,000</w:t>
            </w:r>
          </w:p>
        </w:tc>
      </w:tr>
    </w:tbl>
    <w:p>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120"/>
        <w:gridCol w:w="534"/>
        <w:gridCol w:w="868"/>
        <w:gridCol w:w="868"/>
        <w:gridCol w:w="868"/>
        <w:gridCol w:w="868"/>
        <w:gridCol w:w="868"/>
        <w:gridCol w:w="868"/>
        <w:gridCol w:w="868"/>
        <w:gridCol w:w="1777"/>
      </w:tblGrid>
      <w:tr>
        <w:tc>
          <w:tcPr>
            <w:tcW w:w="3960" w:type="dxa"/>
            <w:vAlign w:val="center"/>
          </w:tcPr>
          <w:p>
            <w:pPr>
              <w:jc w:val="center"/>
              <w:rPr>
                <w:noProof/>
              </w:rPr>
            </w:pPr>
            <w:r>
              <w:rPr>
                <w:noProof/>
                <w:sz w:val="22"/>
              </w:rPr>
              <w:t>EEA</w:t>
            </w:r>
          </w:p>
        </w:tc>
        <w:tc>
          <w:tcPr>
            <w:tcW w:w="1560" w:type="dxa"/>
            <w:gridSpan w:val="2"/>
          </w:tcPr>
          <w:p>
            <w:pPr>
              <w:rPr>
                <w:noProof/>
                <w:sz w:val="20"/>
              </w:rPr>
            </w:pPr>
          </w:p>
        </w:tc>
        <w:tc>
          <w:tcPr>
            <w:tcW w:w="534" w:type="dxa"/>
          </w:tcPr>
          <w:p>
            <w:pPr>
              <w:jc w:val="center"/>
              <w:rPr>
                <w:noProof/>
                <w:sz w:val="20"/>
              </w:rPr>
            </w:pPr>
          </w:p>
        </w:tc>
        <w:tc>
          <w:tcPr>
            <w:tcW w:w="868" w:type="dxa"/>
            <w:vAlign w:val="center"/>
          </w:tcPr>
          <w:p>
            <w:pPr>
              <w:jc w:val="center"/>
              <w:rPr>
                <w:noProof/>
                <w:sz w:val="20"/>
              </w:rPr>
            </w:pPr>
            <w:r>
              <w:rPr>
                <w:noProof/>
                <w:sz w:val="20"/>
              </w:rPr>
              <w:t>Leto</w:t>
            </w:r>
            <w:r>
              <w:rPr>
                <w:noProof/>
                <w:sz w:val="22"/>
              </w:rPr>
              <w:br/>
            </w:r>
            <w:r>
              <w:rPr>
                <w:b/>
                <w:noProof/>
                <w:sz w:val="20"/>
              </w:rPr>
              <w:t>2020</w:t>
            </w:r>
          </w:p>
        </w:tc>
        <w:tc>
          <w:tcPr>
            <w:tcW w:w="868" w:type="dxa"/>
            <w:vAlign w:val="center"/>
          </w:tcPr>
          <w:p>
            <w:pPr>
              <w:jc w:val="center"/>
              <w:rPr>
                <w:noProof/>
                <w:sz w:val="20"/>
              </w:rPr>
            </w:pPr>
            <w:r>
              <w:rPr>
                <w:noProof/>
                <w:sz w:val="20"/>
              </w:rPr>
              <w:t>Leto</w:t>
            </w:r>
            <w:r>
              <w:rPr>
                <w:noProof/>
                <w:sz w:val="22"/>
              </w:rPr>
              <w:br/>
            </w:r>
            <w:r>
              <w:rPr>
                <w:b/>
                <w:noProof/>
                <w:sz w:val="20"/>
              </w:rPr>
              <w:t>2021</w:t>
            </w:r>
          </w:p>
        </w:tc>
        <w:tc>
          <w:tcPr>
            <w:tcW w:w="868" w:type="dxa"/>
            <w:vAlign w:val="center"/>
          </w:tcPr>
          <w:p>
            <w:pPr>
              <w:jc w:val="center"/>
              <w:rPr>
                <w:noProof/>
                <w:sz w:val="20"/>
              </w:rPr>
            </w:pPr>
            <w:r>
              <w:rPr>
                <w:noProof/>
                <w:sz w:val="20"/>
              </w:rPr>
              <w:t>Leto</w:t>
            </w:r>
            <w:r>
              <w:rPr>
                <w:noProof/>
                <w:sz w:val="22"/>
              </w:rPr>
              <w:br/>
            </w:r>
            <w:r>
              <w:rPr>
                <w:b/>
                <w:noProof/>
                <w:sz w:val="20"/>
              </w:rPr>
              <w:t>2022</w:t>
            </w:r>
          </w:p>
        </w:tc>
        <w:tc>
          <w:tcPr>
            <w:tcW w:w="868" w:type="dxa"/>
            <w:vAlign w:val="center"/>
          </w:tcPr>
          <w:p>
            <w:pPr>
              <w:jc w:val="center"/>
              <w:rPr>
                <w:noProof/>
                <w:sz w:val="20"/>
              </w:rPr>
            </w:pPr>
            <w:r>
              <w:rPr>
                <w:noProof/>
                <w:sz w:val="20"/>
              </w:rPr>
              <w:t>Leto</w:t>
            </w:r>
            <w:r>
              <w:rPr>
                <w:noProof/>
                <w:sz w:val="22"/>
              </w:rPr>
              <w:br/>
            </w:r>
            <w:r>
              <w:rPr>
                <w:b/>
                <w:noProof/>
                <w:sz w:val="20"/>
              </w:rPr>
              <w:t>2023</w:t>
            </w:r>
          </w:p>
        </w:tc>
        <w:tc>
          <w:tcPr>
            <w:tcW w:w="2604" w:type="dxa"/>
            <w:gridSpan w:val="3"/>
            <w:vAlign w:val="center"/>
          </w:tcPr>
          <w:p>
            <w:pPr>
              <w:jc w:val="center"/>
              <w:rPr>
                <w:b/>
                <w:noProof/>
                <w:sz w:val="18"/>
              </w:rPr>
            </w:pPr>
            <w:r>
              <w:rPr>
                <w:noProof/>
                <w:sz w:val="18"/>
              </w:rPr>
              <w:t>Vstavite ustrezno število let glede na trajanje posledic (gl. točko 1.6)</w:t>
            </w:r>
          </w:p>
        </w:tc>
        <w:tc>
          <w:tcPr>
            <w:tcW w:w="1777" w:type="dxa"/>
            <w:vAlign w:val="center"/>
          </w:tcPr>
          <w:p>
            <w:pPr>
              <w:jc w:val="center"/>
              <w:rPr>
                <w:b/>
                <w:noProof/>
                <w:sz w:val="20"/>
              </w:rPr>
            </w:pPr>
            <w:r>
              <w:rPr>
                <w:b/>
                <w:noProof/>
                <w:sz w:val="20"/>
              </w:rPr>
              <w:t>SKUPAJ</w:t>
            </w:r>
          </w:p>
        </w:tc>
      </w:tr>
      <w:tr>
        <w:trPr>
          <w:trHeight w:val="277"/>
        </w:trPr>
        <w:tc>
          <w:tcPr>
            <w:tcW w:w="3960" w:type="dxa"/>
            <w:vMerge w:val="restart"/>
            <w:vAlign w:val="center"/>
          </w:tcPr>
          <w:p>
            <w:pPr>
              <w:rPr>
                <w:noProof/>
              </w:rPr>
            </w:pPr>
            <w:r>
              <w:rPr>
                <w:noProof/>
                <w:sz w:val="20"/>
              </w:rPr>
              <w:t xml:space="preserve">Naslov 1: odhodki za zaposlene </w:t>
            </w:r>
          </w:p>
        </w:tc>
        <w:tc>
          <w:tcPr>
            <w:tcW w:w="1440" w:type="dxa"/>
            <w:vAlign w:val="center"/>
          </w:tcPr>
          <w:p>
            <w:pPr>
              <w:spacing w:before="20" w:after="20"/>
              <w:rPr>
                <w:noProof/>
              </w:rPr>
            </w:pPr>
            <w:r>
              <w:rPr>
                <w:noProof/>
                <w:sz w:val="18"/>
              </w:rPr>
              <w:t>obveznosti</w:t>
            </w:r>
          </w:p>
        </w:tc>
        <w:tc>
          <w:tcPr>
            <w:tcW w:w="654" w:type="dxa"/>
            <w:gridSpan w:val="2"/>
            <w:vAlign w:val="center"/>
          </w:tcPr>
          <w:p>
            <w:pPr>
              <w:spacing w:before="20" w:after="20"/>
              <w:jc w:val="center"/>
              <w:rPr>
                <w:noProof/>
                <w:sz w:val="14"/>
              </w:rPr>
            </w:pPr>
            <w:r>
              <w:rPr>
                <w:noProof/>
                <w:sz w:val="14"/>
              </w:rPr>
              <w:t>(1)</w:t>
            </w:r>
          </w:p>
        </w:tc>
        <w:tc>
          <w:tcPr>
            <w:tcW w:w="868" w:type="dxa"/>
          </w:tcPr>
          <w:p>
            <w:pPr>
              <w:spacing w:before="20" w:after="20"/>
              <w:jc w:val="right"/>
              <w:rPr>
                <w:rFonts w:asciiTheme="minorHAnsi" w:hAnsiTheme="minorHAnsi"/>
                <w:noProof/>
                <w:sz w:val="22"/>
              </w:rPr>
            </w:pPr>
            <w:r>
              <w:rPr>
                <w:rFonts w:asciiTheme="minorHAnsi" w:hAnsiTheme="minorHAnsi"/>
                <w:noProof/>
                <w:sz w:val="22"/>
              </w:rPr>
              <w:t>0,291</w:t>
            </w:r>
          </w:p>
        </w:tc>
        <w:tc>
          <w:tcPr>
            <w:tcW w:w="868" w:type="dxa"/>
          </w:tcPr>
          <w:p>
            <w:pPr>
              <w:spacing w:before="20" w:after="20"/>
              <w:jc w:val="right"/>
              <w:rPr>
                <w:rFonts w:asciiTheme="minorHAnsi" w:hAnsiTheme="minorHAnsi"/>
                <w:noProof/>
                <w:sz w:val="22"/>
              </w:rPr>
            </w:pPr>
            <w:r>
              <w:rPr>
                <w:rFonts w:asciiTheme="minorHAnsi" w:hAnsiTheme="minorHAnsi"/>
                <w:noProof/>
                <w:sz w:val="22"/>
              </w:rPr>
              <w:t>0,291</w:t>
            </w:r>
          </w:p>
        </w:tc>
        <w:tc>
          <w:tcPr>
            <w:tcW w:w="868" w:type="dxa"/>
          </w:tcPr>
          <w:p>
            <w:pPr>
              <w:spacing w:before="20" w:after="20"/>
              <w:jc w:val="right"/>
              <w:rPr>
                <w:rFonts w:asciiTheme="minorHAnsi" w:hAnsiTheme="minorHAnsi"/>
                <w:noProof/>
                <w:sz w:val="22"/>
              </w:rPr>
            </w:pPr>
            <w:r>
              <w:rPr>
                <w:rFonts w:asciiTheme="minorHAnsi" w:hAnsiTheme="minorHAnsi"/>
                <w:noProof/>
                <w:sz w:val="22"/>
              </w:rPr>
              <w:t>0,291</w:t>
            </w:r>
          </w:p>
        </w:tc>
        <w:tc>
          <w:tcPr>
            <w:tcW w:w="868" w:type="dxa"/>
          </w:tcPr>
          <w:p>
            <w:pPr>
              <w:spacing w:before="20" w:after="20"/>
              <w:jc w:val="right"/>
              <w:rPr>
                <w:rFonts w:asciiTheme="minorHAnsi" w:hAnsiTheme="minorHAnsi"/>
                <w:noProof/>
                <w:sz w:val="22"/>
              </w:rPr>
            </w:pPr>
            <w:r>
              <w:rPr>
                <w:rFonts w:asciiTheme="minorHAnsi" w:hAnsiTheme="minorHAnsi"/>
                <w:noProof/>
                <w:sz w:val="22"/>
              </w:rPr>
              <w:t>0,291</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Pr>
          <w:p>
            <w:pPr>
              <w:spacing w:before="20" w:after="20"/>
              <w:jc w:val="right"/>
              <w:rPr>
                <w:rFonts w:asciiTheme="majorBidi" w:hAnsiTheme="majorBidi" w:cstheme="majorBidi"/>
                <w:b/>
                <w:bCs/>
                <w:noProof/>
                <w:color w:val="000000"/>
                <w:sz w:val="20"/>
                <w:szCs w:val="20"/>
              </w:rPr>
            </w:pPr>
            <w:r>
              <w:rPr>
                <w:rFonts w:asciiTheme="majorBidi" w:hAnsiTheme="majorBidi" w:cstheme="majorBidi"/>
                <w:b/>
                <w:noProof/>
                <w:color w:val="000000"/>
                <w:sz w:val="20"/>
              </w:rPr>
              <w:t>1,164</w:t>
            </w:r>
          </w:p>
        </w:tc>
      </w:tr>
      <w:tr>
        <w:tc>
          <w:tcPr>
            <w:tcW w:w="3960" w:type="dxa"/>
            <w:vMerge/>
            <w:vAlign w:val="center"/>
          </w:tcPr>
          <w:p>
            <w:pPr>
              <w:rPr>
                <w:noProof/>
              </w:rPr>
            </w:pPr>
          </w:p>
        </w:tc>
        <w:tc>
          <w:tcPr>
            <w:tcW w:w="1440" w:type="dxa"/>
            <w:vAlign w:val="center"/>
          </w:tcPr>
          <w:p>
            <w:pPr>
              <w:spacing w:before="20" w:after="20"/>
              <w:rPr>
                <w:noProof/>
                <w:sz w:val="18"/>
              </w:rPr>
            </w:pPr>
            <w:r>
              <w:rPr>
                <w:noProof/>
                <w:sz w:val="18"/>
              </w:rPr>
              <w:t>plačila</w:t>
            </w:r>
          </w:p>
        </w:tc>
        <w:tc>
          <w:tcPr>
            <w:tcW w:w="654" w:type="dxa"/>
            <w:gridSpan w:val="2"/>
            <w:vAlign w:val="center"/>
          </w:tcPr>
          <w:p>
            <w:pPr>
              <w:spacing w:before="20" w:after="20"/>
              <w:jc w:val="center"/>
              <w:rPr>
                <w:noProof/>
                <w:sz w:val="14"/>
              </w:rPr>
            </w:pPr>
            <w:r>
              <w:rPr>
                <w:noProof/>
                <w:sz w:val="14"/>
              </w:rPr>
              <w:t>(2)</w:t>
            </w:r>
          </w:p>
        </w:tc>
        <w:tc>
          <w:tcPr>
            <w:tcW w:w="868" w:type="dxa"/>
          </w:tcPr>
          <w:p>
            <w:pPr>
              <w:spacing w:before="20" w:after="20"/>
              <w:jc w:val="right"/>
              <w:rPr>
                <w:rFonts w:asciiTheme="minorHAnsi" w:hAnsiTheme="minorHAnsi"/>
                <w:noProof/>
                <w:sz w:val="22"/>
              </w:rPr>
            </w:pPr>
            <w:r>
              <w:rPr>
                <w:rFonts w:asciiTheme="minorHAnsi" w:hAnsiTheme="minorHAnsi"/>
                <w:noProof/>
                <w:sz w:val="22"/>
              </w:rPr>
              <w:t>0,291</w:t>
            </w:r>
          </w:p>
        </w:tc>
        <w:tc>
          <w:tcPr>
            <w:tcW w:w="868" w:type="dxa"/>
          </w:tcPr>
          <w:p>
            <w:pPr>
              <w:spacing w:before="20" w:after="20"/>
              <w:jc w:val="right"/>
              <w:rPr>
                <w:rFonts w:asciiTheme="minorHAnsi" w:hAnsiTheme="minorHAnsi"/>
                <w:noProof/>
                <w:sz w:val="22"/>
              </w:rPr>
            </w:pPr>
            <w:r>
              <w:rPr>
                <w:rFonts w:asciiTheme="minorHAnsi" w:hAnsiTheme="minorHAnsi"/>
                <w:noProof/>
                <w:sz w:val="22"/>
              </w:rPr>
              <w:t>0,291</w:t>
            </w:r>
          </w:p>
        </w:tc>
        <w:tc>
          <w:tcPr>
            <w:tcW w:w="868" w:type="dxa"/>
          </w:tcPr>
          <w:p>
            <w:pPr>
              <w:spacing w:before="20" w:after="20"/>
              <w:jc w:val="right"/>
              <w:rPr>
                <w:rFonts w:asciiTheme="minorHAnsi" w:hAnsiTheme="minorHAnsi"/>
                <w:noProof/>
                <w:sz w:val="22"/>
              </w:rPr>
            </w:pPr>
            <w:r>
              <w:rPr>
                <w:rFonts w:asciiTheme="minorHAnsi" w:hAnsiTheme="minorHAnsi"/>
                <w:noProof/>
                <w:sz w:val="22"/>
              </w:rPr>
              <w:t>0,291</w:t>
            </w:r>
          </w:p>
        </w:tc>
        <w:tc>
          <w:tcPr>
            <w:tcW w:w="868" w:type="dxa"/>
          </w:tcPr>
          <w:p>
            <w:pPr>
              <w:spacing w:before="20" w:after="20"/>
              <w:jc w:val="right"/>
              <w:rPr>
                <w:rFonts w:asciiTheme="minorHAnsi" w:hAnsiTheme="minorHAnsi"/>
                <w:noProof/>
                <w:sz w:val="22"/>
              </w:rPr>
            </w:pPr>
            <w:r>
              <w:rPr>
                <w:rFonts w:asciiTheme="minorHAnsi" w:hAnsiTheme="minorHAnsi"/>
                <w:noProof/>
                <w:sz w:val="22"/>
              </w:rPr>
              <w:t>0,291</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Pr>
          <w:p>
            <w:pPr>
              <w:spacing w:before="20" w:after="20"/>
              <w:jc w:val="right"/>
              <w:rPr>
                <w:rFonts w:asciiTheme="majorBidi" w:hAnsiTheme="majorBidi" w:cstheme="majorBidi"/>
                <w:b/>
                <w:bCs/>
                <w:noProof/>
                <w:color w:val="000000"/>
                <w:sz w:val="20"/>
                <w:szCs w:val="20"/>
              </w:rPr>
            </w:pPr>
            <w:r>
              <w:rPr>
                <w:rFonts w:asciiTheme="majorBidi" w:hAnsiTheme="majorBidi" w:cstheme="majorBidi"/>
                <w:b/>
                <w:noProof/>
                <w:color w:val="000000"/>
                <w:sz w:val="20"/>
              </w:rPr>
              <w:t>1,164</w:t>
            </w:r>
          </w:p>
        </w:tc>
      </w:tr>
      <w:tr>
        <w:trPr>
          <w:trHeight w:val="361"/>
        </w:trPr>
        <w:tc>
          <w:tcPr>
            <w:tcW w:w="3960" w:type="dxa"/>
            <w:vMerge w:val="restart"/>
            <w:vAlign w:val="center"/>
          </w:tcPr>
          <w:p>
            <w:pPr>
              <w:rPr>
                <w:noProof/>
              </w:rPr>
            </w:pPr>
            <w:r>
              <w:rPr>
                <w:noProof/>
                <w:sz w:val="20"/>
              </w:rPr>
              <w:t>Naslov 2: infrastruktura in odhodki iz poslovanja</w:t>
            </w:r>
          </w:p>
        </w:tc>
        <w:tc>
          <w:tcPr>
            <w:tcW w:w="1440" w:type="dxa"/>
            <w:vAlign w:val="center"/>
          </w:tcPr>
          <w:p>
            <w:pPr>
              <w:spacing w:before="20" w:after="20"/>
              <w:rPr>
                <w:noProof/>
                <w:sz w:val="18"/>
              </w:rPr>
            </w:pPr>
            <w:r>
              <w:rPr>
                <w:noProof/>
                <w:sz w:val="18"/>
              </w:rPr>
              <w:t>obveznosti</w:t>
            </w:r>
          </w:p>
        </w:tc>
        <w:tc>
          <w:tcPr>
            <w:tcW w:w="654" w:type="dxa"/>
            <w:gridSpan w:val="2"/>
            <w:vAlign w:val="center"/>
          </w:tcPr>
          <w:p>
            <w:pPr>
              <w:spacing w:before="20" w:after="20"/>
              <w:jc w:val="center"/>
              <w:rPr>
                <w:noProof/>
                <w:sz w:val="14"/>
              </w:rPr>
            </w:pPr>
            <w:r>
              <w:rPr>
                <w:noProof/>
                <w:sz w:val="14"/>
              </w:rPr>
              <w:t>(1a)</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c>
          <w:tcPr>
            <w:tcW w:w="3960" w:type="dxa"/>
            <w:vMerge/>
            <w:vAlign w:val="center"/>
          </w:tcPr>
          <w:p>
            <w:pPr>
              <w:rPr>
                <w:noProof/>
              </w:rPr>
            </w:pPr>
          </w:p>
        </w:tc>
        <w:tc>
          <w:tcPr>
            <w:tcW w:w="1440" w:type="dxa"/>
            <w:vAlign w:val="center"/>
          </w:tcPr>
          <w:p>
            <w:pPr>
              <w:spacing w:before="20" w:after="20"/>
              <w:rPr>
                <w:noProof/>
                <w:sz w:val="18"/>
              </w:rPr>
            </w:pPr>
            <w:r>
              <w:rPr>
                <w:noProof/>
                <w:sz w:val="18"/>
              </w:rPr>
              <w:t>plačila</w:t>
            </w:r>
          </w:p>
        </w:tc>
        <w:tc>
          <w:tcPr>
            <w:tcW w:w="654" w:type="dxa"/>
            <w:gridSpan w:val="2"/>
            <w:vAlign w:val="center"/>
          </w:tcPr>
          <w:p>
            <w:pPr>
              <w:spacing w:before="20" w:after="20"/>
              <w:jc w:val="center"/>
              <w:rPr>
                <w:noProof/>
                <w:sz w:val="14"/>
              </w:rPr>
            </w:pPr>
            <w:r>
              <w:rPr>
                <w:noProof/>
                <w:sz w:val="14"/>
              </w:rPr>
              <w:t>(2a)</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rPr>
          <w:trHeight w:val="319"/>
        </w:trPr>
        <w:tc>
          <w:tcPr>
            <w:tcW w:w="3960" w:type="dxa"/>
            <w:vMerge w:val="restart"/>
            <w:vAlign w:val="center"/>
          </w:tcPr>
          <w:p>
            <w:pPr>
              <w:spacing w:before="60" w:after="60"/>
              <w:rPr>
                <w:noProof/>
              </w:rPr>
            </w:pPr>
            <w:r>
              <w:rPr>
                <w:noProof/>
                <w:sz w:val="20"/>
              </w:rPr>
              <w:t xml:space="preserve">Naslov 3: odhodki iz poslovanja </w:t>
            </w:r>
          </w:p>
        </w:tc>
        <w:tc>
          <w:tcPr>
            <w:tcW w:w="1440" w:type="dxa"/>
            <w:vAlign w:val="center"/>
          </w:tcPr>
          <w:p>
            <w:pPr>
              <w:spacing w:before="40" w:after="40"/>
              <w:rPr>
                <w:noProof/>
                <w:sz w:val="18"/>
              </w:rPr>
            </w:pPr>
            <w:r>
              <w:rPr>
                <w:noProof/>
                <w:sz w:val="18"/>
              </w:rPr>
              <w:t>obveznosti</w:t>
            </w:r>
          </w:p>
        </w:tc>
        <w:tc>
          <w:tcPr>
            <w:tcW w:w="654" w:type="dxa"/>
            <w:gridSpan w:val="2"/>
            <w:vAlign w:val="center"/>
          </w:tcPr>
          <w:p>
            <w:pPr>
              <w:spacing w:before="40" w:after="40"/>
              <w:jc w:val="center"/>
              <w:rPr>
                <w:noProof/>
                <w:sz w:val="14"/>
              </w:rPr>
            </w:pPr>
            <w:r>
              <w:rPr>
                <w:noProof/>
                <w:sz w:val="14"/>
              </w:rPr>
              <w:t>(3a)</w:t>
            </w: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1777" w:type="dxa"/>
            <w:vAlign w:val="center"/>
          </w:tcPr>
          <w:p>
            <w:pPr>
              <w:spacing w:before="40" w:after="40"/>
              <w:jc w:val="right"/>
              <w:rPr>
                <w:b/>
                <w:noProof/>
                <w:sz w:val="20"/>
              </w:rPr>
            </w:pPr>
          </w:p>
        </w:tc>
      </w:tr>
      <w:tr>
        <w:trPr>
          <w:trHeight w:val="319"/>
        </w:trPr>
        <w:tc>
          <w:tcPr>
            <w:tcW w:w="3960" w:type="dxa"/>
            <w:vMerge/>
            <w:vAlign w:val="center"/>
          </w:tcPr>
          <w:p>
            <w:pPr>
              <w:spacing w:before="60" w:after="60"/>
              <w:rPr>
                <w:b/>
                <w:noProof/>
                <w:sz w:val="20"/>
              </w:rPr>
            </w:pPr>
          </w:p>
        </w:tc>
        <w:tc>
          <w:tcPr>
            <w:tcW w:w="1440" w:type="dxa"/>
            <w:vAlign w:val="center"/>
          </w:tcPr>
          <w:p>
            <w:pPr>
              <w:spacing w:before="40" w:after="40"/>
              <w:rPr>
                <w:noProof/>
                <w:sz w:val="18"/>
              </w:rPr>
            </w:pPr>
            <w:r>
              <w:rPr>
                <w:noProof/>
                <w:sz w:val="18"/>
              </w:rPr>
              <w:t>plačila</w:t>
            </w:r>
          </w:p>
        </w:tc>
        <w:tc>
          <w:tcPr>
            <w:tcW w:w="654" w:type="dxa"/>
            <w:gridSpan w:val="2"/>
            <w:vAlign w:val="center"/>
          </w:tcPr>
          <w:p>
            <w:pPr>
              <w:spacing w:before="40" w:after="40"/>
              <w:jc w:val="center"/>
              <w:rPr>
                <w:noProof/>
                <w:sz w:val="14"/>
              </w:rPr>
            </w:pPr>
            <w:r>
              <w:rPr>
                <w:noProof/>
                <w:sz w:val="14"/>
              </w:rPr>
              <w:t>(3b)</w:t>
            </w: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1777" w:type="dxa"/>
            <w:vAlign w:val="center"/>
          </w:tcPr>
          <w:p>
            <w:pPr>
              <w:spacing w:before="40" w:after="40"/>
              <w:jc w:val="right"/>
              <w:rPr>
                <w:b/>
                <w:noProof/>
                <w:sz w:val="20"/>
              </w:rPr>
            </w:pPr>
          </w:p>
        </w:tc>
      </w:tr>
      <w:tr>
        <w:tc>
          <w:tcPr>
            <w:tcW w:w="3960" w:type="dxa"/>
            <w:vMerge w:val="restart"/>
            <w:vAlign w:val="center"/>
          </w:tcPr>
          <w:p>
            <w:pPr>
              <w:jc w:val="center"/>
              <w:rPr>
                <w:noProof/>
              </w:rPr>
            </w:pPr>
            <w:r>
              <w:rPr>
                <w:b/>
                <w:noProof/>
                <w:sz w:val="22"/>
              </w:rPr>
              <w:t>Odobritve</w:t>
            </w:r>
            <w:r>
              <w:rPr>
                <w:noProof/>
                <w:sz w:val="22"/>
              </w:rPr>
              <w:br/>
            </w:r>
            <w:r>
              <w:rPr>
                <w:b/>
                <w:noProof/>
                <w:sz w:val="22"/>
              </w:rPr>
              <w:t>za EEA SKUPAj</w:t>
            </w:r>
          </w:p>
        </w:tc>
        <w:tc>
          <w:tcPr>
            <w:tcW w:w="1440" w:type="dxa"/>
            <w:vAlign w:val="center"/>
          </w:tcPr>
          <w:p>
            <w:pPr>
              <w:rPr>
                <w:noProof/>
                <w:sz w:val="18"/>
              </w:rPr>
            </w:pPr>
            <w:r>
              <w:rPr>
                <w:noProof/>
                <w:sz w:val="18"/>
              </w:rPr>
              <w:t>obveznosti</w:t>
            </w:r>
          </w:p>
        </w:tc>
        <w:tc>
          <w:tcPr>
            <w:tcW w:w="654" w:type="dxa"/>
            <w:gridSpan w:val="2"/>
            <w:vAlign w:val="center"/>
          </w:tcPr>
          <w:p>
            <w:pPr>
              <w:jc w:val="center"/>
              <w:rPr>
                <w:noProof/>
                <w:sz w:val="14"/>
              </w:rPr>
            </w:pPr>
            <w:r>
              <w:rPr>
                <w:noProof/>
                <w:sz w:val="14"/>
              </w:rPr>
              <w:t>=1+1a+3a</w:t>
            </w:r>
          </w:p>
        </w:tc>
        <w:tc>
          <w:tcPr>
            <w:tcW w:w="868" w:type="dxa"/>
          </w:tcPr>
          <w:p>
            <w:pPr>
              <w:spacing w:before="20" w:after="20"/>
              <w:jc w:val="left"/>
              <w:rPr>
                <w:b/>
                <w:bCs/>
                <w:noProof/>
                <w:sz w:val="20"/>
              </w:rPr>
            </w:pPr>
            <w:r>
              <w:rPr>
                <w:rFonts w:asciiTheme="minorHAnsi" w:hAnsiTheme="minorHAnsi"/>
                <w:b/>
                <w:noProof/>
                <w:sz w:val="22"/>
              </w:rPr>
              <w:t>0,291</w:t>
            </w:r>
          </w:p>
        </w:tc>
        <w:tc>
          <w:tcPr>
            <w:tcW w:w="868" w:type="dxa"/>
          </w:tcPr>
          <w:p>
            <w:pPr>
              <w:spacing w:before="20" w:after="20"/>
              <w:jc w:val="left"/>
              <w:rPr>
                <w:b/>
                <w:bCs/>
                <w:noProof/>
                <w:sz w:val="20"/>
              </w:rPr>
            </w:pPr>
            <w:r>
              <w:rPr>
                <w:rFonts w:asciiTheme="minorHAnsi" w:hAnsiTheme="minorHAnsi"/>
                <w:b/>
                <w:noProof/>
                <w:sz w:val="22"/>
              </w:rPr>
              <w:t>0,291</w:t>
            </w:r>
          </w:p>
        </w:tc>
        <w:tc>
          <w:tcPr>
            <w:tcW w:w="868" w:type="dxa"/>
          </w:tcPr>
          <w:p>
            <w:pPr>
              <w:spacing w:before="20" w:after="20"/>
              <w:jc w:val="left"/>
              <w:rPr>
                <w:b/>
                <w:bCs/>
                <w:noProof/>
                <w:sz w:val="20"/>
              </w:rPr>
            </w:pPr>
            <w:r>
              <w:rPr>
                <w:rFonts w:asciiTheme="minorHAnsi" w:hAnsiTheme="minorHAnsi"/>
                <w:b/>
                <w:noProof/>
                <w:sz w:val="22"/>
              </w:rPr>
              <w:t>0,291</w:t>
            </w:r>
          </w:p>
        </w:tc>
        <w:tc>
          <w:tcPr>
            <w:tcW w:w="868" w:type="dxa"/>
          </w:tcPr>
          <w:p>
            <w:pPr>
              <w:spacing w:before="20" w:after="20"/>
              <w:jc w:val="left"/>
              <w:rPr>
                <w:b/>
                <w:bCs/>
                <w:noProof/>
                <w:sz w:val="20"/>
              </w:rPr>
            </w:pPr>
            <w:r>
              <w:rPr>
                <w:rFonts w:asciiTheme="minorHAnsi" w:hAnsiTheme="minorHAnsi"/>
                <w:b/>
                <w:noProof/>
                <w:sz w:val="22"/>
              </w:rPr>
              <w:t>0,291</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Pr>
          <w:p>
            <w:pPr>
              <w:spacing w:before="20" w:after="20"/>
              <w:jc w:val="right"/>
              <w:rPr>
                <w:b/>
                <w:noProof/>
                <w:sz w:val="20"/>
              </w:rPr>
            </w:pPr>
            <w:r>
              <w:rPr>
                <w:rFonts w:asciiTheme="majorBidi" w:hAnsiTheme="majorBidi" w:cstheme="majorBidi"/>
                <w:b/>
                <w:noProof/>
                <w:color w:val="000000"/>
                <w:sz w:val="20"/>
              </w:rPr>
              <w:t>1,164</w:t>
            </w:r>
          </w:p>
        </w:tc>
      </w:tr>
      <w:tr>
        <w:tc>
          <w:tcPr>
            <w:tcW w:w="3960" w:type="dxa"/>
            <w:vMerge/>
            <w:vAlign w:val="center"/>
          </w:tcPr>
          <w:p>
            <w:pPr>
              <w:rPr>
                <w:b/>
                <w:noProof/>
              </w:rPr>
            </w:pPr>
          </w:p>
        </w:tc>
        <w:tc>
          <w:tcPr>
            <w:tcW w:w="1440" w:type="dxa"/>
            <w:vAlign w:val="center"/>
          </w:tcPr>
          <w:p>
            <w:pPr>
              <w:rPr>
                <w:noProof/>
                <w:sz w:val="18"/>
              </w:rPr>
            </w:pPr>
            <w:r>
              <w:rPr>
                <w:noProof/>
                <w:sz w:val="18"/>
              </w:rPr>
              <w:t>plačila</w:t>
            </w:r>
          </w:p>
        </w:tc>
        <w:tc>
          <w:tcPr>
            <w:tcW w:w="654" w:type="dxa"/>
            <w:gridSpan w:val="2"/>
            <w:vAlign w:val="center"/>
          </w:tcPr>
          <w:p>
            <w:pPr>
              <w:jc w:val="center"/>
              <w:rPr>
                <w:noProof/>
                <w:sz w:val="14"/>
              </w:rPr>
            </w:pPr>
            <w:r>
              <w:rPr>
                <w:noProof/>
                <w:sz w:val="14"/>
              </w:rPr>
              <w:t>=2+2a</w:t>
            </w:r>
          </w:p>
          <w:p>
            <w:pPr>
              <w:jc w:val="center"/>
              <w:rPr>
                <w:noProof/>
                <w:sz w:val="14"/>
              </w:rPr>
            </w:pPr>
            <w:r>
              <w:rPr>
                <w:noProof/>
                <w:sz w:val="14"/>
              </w:rPr>
              <w:t>+3b</w:t>
            </w:r>
          </w:p>
        </w:tc>
        <w:tc>
          <w:tcPr>
            <w:tcW w:w="868" w:type="dxa"/>
          </w:tcPr>
          <w:p>
            <w:pPr>
              <w:spacing w:before="20" w:after="20"/>
              <w:jc w:val="left"/>
              <w:rPr>
                <w:b/>
                <w:bCs/>
                <w:noProof/>
                <w:sz w:val="20"/>
              </w:rPr>
            </w:pPr>
            <w:r>
              <w:rPr>
                <w:rFonts w:asciiTheme="minorHAnsi" w:hAnsiTheme="minorHAnsi"/>
                <w:b/>
                <w:noProof/>
                <w:sz w:val="22"/>
              </w:rPr>
              <w:t>0,291</w:t>
            </w:r>
          </w:p>
        </w:tc>
        <w:tc>
          <w:tcPr>
            <w:tcW w:w="868" w:type="dxa"/>
          </w:tcPr>
          <w:p>
            <w:pPr>
              <w:spacing w:before="20" w:after="20"/>
              <w:jc w:val="left"/>
              <w:rPr>
                <w:b/>
                <w:bCs/>
                <w:noProof/>
                <w:sz w:val="20"/>
              </w:rPr>
            </w:pPr>
            <w:r>
              <w:rPr>
                <w:rFonts w:asciiTheme="minorHAnsi" w:hAnsiTheme="minorHAnsi"/>
                <w:b/>
                <w:noProof/>
                <w:sz w:val="22"/>
              </w:rPr>
              <w:t>0,291</w:t>
            </w:r>
          </w:p>
        </w:tc>
        <w:tc>
          <w:tcPr>
            <w:tcW w:w="868" w:type="dxa"/>
          </w:tcPr>
          <w:p>
            <w:pPr>
              <w:spacing w:before="20" w:after="20"/>
              <w:jc w:val="left"/>
              <w:rPr>
                <w:b/>
                <w:bCs/>
                <w:noProof/>
                <w:sz w:val="20"/>
              </w:rPr>
            </w:pPr>
            <w:r>
              <w:rPr>
                <w:rFonts w:asciiTheme="minorHAnsi" w:hAnsiTheme="minorHAnsi"/>
                <w:b/>
                <w:noProof/>
                <w:sz w:val="22"/>
              </w:rPr>
              <w:t>0,291</w:t>
            </w:r>
          </w:p>
        </w:tc>
        <w:tc>
          <w:tcPr>
            <w:tcW w:w="868" w:type="dxa"/>
          </w:tcPr>
          <w:p>
            <w:pPr>
              <w:spacing w:before="20" w:after="20"/>
              <w:jc w:val="left"/>
              <w:rPr>
                <w:b/>
                <w:bCs/>
                <w:noProof/>
                <w:sz w:val="20"/>
              </w:rPr>
            </w:pPr>
            <w:r>
              <w:rPr>
                <w:rFonts w:asciiTheme="minorHAnsi" w:hAnsiTheme="minorHAnsi"/>
                <w:b/>
                <w:noProof/>
                <w:sz w:val="22"/>
              </w:rPr>
              <w:t>0,291</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tcPr>
          <w:p>
            <w:pPr>
              <w:spacing w:before="20" w:after="20"/>
              <w:jc w:val="right"/>
              <w:rPr>
                <w:b/>
                <w:noProof/>
                <w:sz w:val="20"/>
              </w:rPr>
            </w:pPr>
            <w:r>
              <w:rPr>
                <w:rFonts w:asciiTheme="majorBidi" w:hAnsiTheme="majorBidi" w:cstheme="majorBidi"/>
                <w:b/>
                <w:noProof/>
                <w:color w:val="000000"/>
                <w:sz w:val="20"/>
              </w:rPr>
              <w:t>1,164</w:t>
            </w:r>
          </w:p>
        </w:tc>
      </w:tr>
    </w:tbl>
    <w:p>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2094"/>
        <w:gridCol w:w="868"/>
        <w:gridCol w:w="868"/>
        <w:gridCol w:w="868"/>
        <w:gridCol w:w="868"/>
        <w:gridCol w:w="868"/>
        <w:gridCol w:w="868"/>
        <w:gridCol w:w="868"/>
        <w:gridCol w:w="1777"/>
      </w:tblGrid>
      <w:tr>
        <w:tc>
          <w:tcPr>
            <w:tcW w:w="3960" w:type="dxa"/>
            <w:shd w:val="thinDiagStripe" w:color="C0C0C0" w:fill="auto"/>
            <w:vAlign w:val="center"/>
          </w:tcPr>
          <w:p>
            <w:pPr>
              <w:jc w:val="center"/>
              <w:rPr>
                <w:b/>
                <w:noProof/>
              </w:rPr>
            </w:pPr>
            <w:r>
              <w:rPr>
                <w:b/>
                <w:noProof/>
                <w:sz w:val="22"/>
              </w:rPr>
              <w:t>Odobritve iz</w:t>
            </w:r>
            <w:r>
              <w:rPr>
                <w:noProof/>
                <w:sz w:val="22"/>
              </w:rPr>
              <w:br/>
            </w:r>
            <w:r>
              <w:rPr>
                <w:b/>
                <w:noProof/>
                <w:sz w:val="22"/>
              </w:rPr>
              <w:t>RAZDELKA 2</w:t>
            </w:r>
            <w:r>
              <w:rPr>
                <w:noProof/>
                <w:sz w:val="22"/>
              </w:rPr>
              <w:br/>
              <w:t xml:space="preserve">večletnega finančnega okvira </w:t>
            </w:r>
            <w:r>
              <w:rPr>
                <w:b/>
                <w:noProof/>
                <w:sz w:val="22"/>
              </w:rPr>
              <w:t xml:space="preserve">SKUPAJ </w:t>
            </w:r>
          </w:p>
        </w:tc>
        <w:tc>
          <w:tcPr>
            <w:tcW w:w="2094" w:type="dxa"/>
            <w:vAlign w:val="center"/>
          </w:tcPr>
          <w:p>
            <w:pPr>
              <w:spacing w:before="40" w:after="40"/>
              <w:rPr>
                <w:noProof/>
              </w:rPr>
            </w:pPr>
            <w:r>
              <w:rPr>
                <w:noProof/>
                <w:sz w:val="18"/>
              </w:rPr>
              <w:t>(obveznosti skupaj = plačila skupaj)</w:t>
            </w:r>
          </w:p>
        </w:tc>
        <w:tc>
          <w:tcPr>
            <w:tcW w:w="868" w:type="dxa"/>
            <w:vAlign w:val="center"/>
          </w:tcPr>
          <w:p>
            <w:pPr>
              <w:jc w:val="center"/>
              <w:rPr>
                <w:b/>
                <w:bCs/>
                <w:noProof/>
              </w:rPr>
            </w:pPr>
            <w:r>
              <w:rPr>
                <w:b/>
                <w:noProof/>
              </w:rPr>
              <w:t>0,791</w:t>
            </w:r>
          </w:p>
        </w:tc>
        <w:tc>
          <w:tcPr>
            <w:tcW w:w="868" w:type="dxa"/>
            <w:vAlign w:val="center"/>
          </w:tcPr>
          <w:p>
            <w:pPr>
              <w:jc w:val="center"/>
              <w:rPr>
                <w:b/>
                <w:bCs/>
                <w:noProof/>
              </w:rPr>
            </w:pPr>
            <w:r>
              <w:rPr>
                <w:b/>
                <w:noProof/>
              </w:rPr>
              <w:t>0,791</w:t>
            </w:r>
          </w:p>
        </w:tc>
        <w:tc>
          <w:tcPr>
            <w:tcW w:w="868" w:type="dxa"/>
            <w:vAlign w:val="center"/>
          </w:tcPr>
          <w:p>
            <w:pPr>
              <w:jc w:val="center"/>
              <w:rPr>
                <w:b/>
                <w:bCs/>
                <w:noProof/>
              </w:rPr>
            </w:pPr>
            <w:r>
              <w:rPr>
                <w:b/>
                <w:noProof/>
              </w:rPr>
              <w:t>0,791</w:t>
            </w:r>
          </w:p>
        </w:tc>
        <w:tc>
          <w:tcPr>
            <w:tcW w:w="868" w:type="dxa"/>
            <w:vAlign w:val="center"/>
          </w:tcPr>
          <w:p>
            <w:pPr>
              <w:jc w:val="center"/>
              <w:rPr>
                <w:b/>
                <w:bCs/>
                <w:noProof/>
              </w:rPr>
            </w:pPr>
            <w:r>
              <w:rPr>
                <w:b/>
                <w:noProof/>
              </w:rPr>
              <w:t>0,791</w:t>
            </w:r>
          </w:p>
        </w:tc>
        <w:tc>
          <w:tcPr>
            <w:tcW w:w="868" w:type="dxa"/>
            <w:vAlign w:val="center"/>
          </w:tcPr>
          <w:p>
            <w:pPr>
              <w:spacing w:before="20" w:after="20"/>
              <w:jc w:val="right"/>
              <w:rPr>
                <w:rFonts w:asciiTheme="majorBidi" w:hAnsiTheme="majorBidi" w:cstheme="majorBidi"/>
                <w:noProof/>
                <w:sz w:val="22"/>
              </w:rPr>
            </w:pPr>
          </w:p>
        </w:tc>
        <w:tc>
          <w:tcPr>
            <w:tcW w:w="868" w:type="dxa"/>
            <w:vAlign w:val="center"/>
          </w:tcPr>
          <w:p>
            <w:pPr>
              <w:spacing w:before="20" w:after="20"/>
              <w:jc w:val="right"/>
              <w:rPr>
                <w:rFonts w:asciiTheme="majorBidi" w:hAnsiTheme="majorBidi" w:cstheme="majorBidi"/>
                <w:noProof/>
                <w:sz w:val="22"/>
              </w:rPr>
            </w:pPr>
          </w:p>
        </w:tc>
        <w:tc>
          <w:tcPr>
            <w:tcW w:w="868" w:type="dxa"/>
            <w:vAlign w:val="center"/>
          </w:tcPr>
          <w:p>
            <w:pPr>
              <w:spacing w:before="20" w:after="20"/>
              <w:jc w:val="right"/>
              <w:rPr>
                <w:rFonts w:asciiTheme="majorBidi" w:hAnsiTheme="majorBidi" w:cstheme="majorBidi"/>
                <w:b/>
                <w:noProof/>
                <w:sz w:val="22"/>
              </w:rPr>
            </w:pPr>
          </w:p>
        </w:tc>
        <w:tc>
          <w:tcPr>
            <w:tcW w:w="1777" w:type="dxa"/>
            <w:vAlign w:val="center"/>
          </w:tcPr>
          <w:p>
            <w:pPr>
              <w:spacing w:before="20" w:after="20"/>
              <w:jc w:val="right"/>
              <w:rPr>
                <w:rFonts w:asciiTheme="majorBidi" w:hAnsiTheme="majorBidi" w:cstheme="majorBidi"/>
                <w:b/>
                <w:noProof/>
                <w:sz w:val="22"/>
              </w:rPr>
            </w:pPr>
            <w:r>
              <w:rPr>
                <w:b/>
                <w:noProof/>
              </w:rPr>
              <w:t>3,164</w:t>
            </w:r>
          </w:p>
        </w:tc>
      </w:tr>
    </w:tbl>
    <w:p>
      <w:pPr>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b/>
                <w:noProof/>
              </w:rPr>
            </w:pPr>
            <w:r>
              <w:rPr>
                <w:noProof/>
              </w:rPr>
              <w:br w:type="page"/>
            </w:r>
            <w:r>
              <w:rPr>
                <w:b/>
                <w:noProof/>
                <w:sz w:val="22"/>
              </w:rPr>
              <w:t xml:space="preserve">Razdelek večletnega finančnega </w:t>
            </w:r>
            <w:r>
              <w:rPr>
                <w:noProof/>
                <w:sz w:val="22"/>
              </w:rPr>
              <w:br/>
            </w:r>
            <w:r>
              <w:rPr>
                <w:b/>
                <w:noProof/>
                <w:sz w:val="22"/>
              </w:rPr>
              <w:t xml:space="preserve">okvira </w:t>
            </w:r>
          </w:p>
        </w:tc>
        <w:tc>
          <w:tcPr>
            <w:tcW w:w="1080" w:type="dxa"/>
            <w:shd w:val="thinDiagStripe" w:color="C0C0C0" w:fill="auto"/>
            <w:vAlign w:val="center"/>
          </w:tcPr>
          <w:p>
            <w:pPr>
              <w:spacing w:before="60" w:after="60"/>
              <w:jc w:val="center"/>
              <w:rPr>
                <w:noProof/>
              </w:rPr>
            </w:pPr>
            <w:r>
              <w:rPr>
                <w:b/>
                <w:noProof/>
                <w:sz w:val="22"/>
              </w:rPr>
              <w:t>5</w:t>
            </w:r>
          </w:p>
        </w:tc>
        <w:tc>
          <w:tcPr>
            <w:tcW w:w="7817" w:type="dxa"/>
            <w:vAlign w:val="center"/>
          </w:tcPr>
          <w:p>
            <w:pPr>
              <w:spacing w:before="60" w:after="60"/>
              <w:rPr>
                <w:b/>
                <w:bCs/>
                <w:noProof/>
              </w:rPr>
            </w:pPr>
            <w:r>
              <w:rPr>
                <w:b/>
                <w:noProof/>
                <w:sz w:val="22"/>
              </w:rPr>
              <w:t>Upravni odhodki</w:t>
            </w:r>
          </w:p>
        </w:tc>
      </w:tr>
    </w:tbl>
    <w:p>
      <w:pPr>
        <w:jc w:val="right"/>
        <w:rPr>
          <w:noProof/>
          <w:sz w:val="20"/>
        </w:rPr>
      </w:pPr>
      <w:r>
        <w:rPr>
          <w:noProof/>
          <w:sz w:val="20"/>
        </w:rPr>
        <w:t>v mio. EUR (na tri decimalna mesta natančno)</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tc>
          <w:tcPr>
            <w:tcW w:w="3960" w:type="dxa"/>
            <w:tcBorders>
              <w:top w:val="nil"/>
              <w:left w:val="nil"/>
              <w:right w:val="nil"/>
            </w:tcBorders>
            <w:vAlign w:val="center"/>
          </w:tcPr>
          <w:p>
            <w:pPr>
              <w:jc w:val="center"/>
              <w:rPr>
                <w:noProof/>
              </w:rPr>
            </w:pPr>
          </w:p>
        </w:tc>
        <w:tc>
          <w:tcPr>
            <w:tcW w:w="1560" w:type="dxa"/>
            <w:tcBorders>
              <w:top w:val="nil"/>
              <w:left w:val="nil"/>
              <w:right w:val="nil"/>
            </w:tcBorders>
          </w:tcPr>
          <w:p>
            <w:pPr>
              <w:rPr>
                <w:noProof/>
                <w:sz w:val="20"/>
              </w:rPr>
            </w:pPr>
          </w:p>
        </w:tc>
        <w:tc>
          <w:tcPr>
            <w:tcW w:w="534" w:type="dxa"/>
            <w:tcBorders>
              <w:top w:val="nil"/>
              <w:left w:val="nil"/>
            </w:tcBorders>
          </w:tcPr>
          <w:p>
            <w:pPr>
              <w:jc w:val="center"/>
              <w:rPr>
                <w:noProof/>
                <w:sz w:val="20"/>
              </w:rPr>
            </w:pPr>
          </w:p>
        </w:tc>
        <w:tc>
          <w:tcPr>
            <w:tcW w:w="868" w:type="dxa"/>
            <w:vAlign w:val="center"/>
          </w:tcPr>
          <w:p>
            <w:pPr>
              <w:jc w:val="center"/>
              <w:rPr>
                <w:noProof/>
                <w:sz w:val="20"/>
              </w:rPr>
            </w:pPr>
            <w:r>
              <w:rPr>
                <w:noProof/>
                <w:sz w:val="20"/>
              </w:rPr>
              <w:t>Leto</w:t>
            </w:r>
            <w:r>
              <w:rPr>
                <w:noProof/>
                <w:sz w:val="22"/>
              </w:rPr>
              <w:br/>
            </w:r>
            <w:r>
              <w:rPr>
                <w:b/>
                <w:noProof/>
                <w:sz w:val="20"/>
              </w:rPr>
              <w:t>2020</w:t>
            </w:r>
          </w:p>
        </w:tc>
        <w:tc>
          <w:tcPr>
            <w:tcW w:w="868" w:type="dxa"/>
            <w:vAlign w:val="center"/>
          </w:tcPr>
          <w:p>
            <w:pPr>
              <w:jc w:val="center"/>
              <w:rPr>
                <w:noProof/>
                <w:sz w:val="20"/>
              </w:rPr>
            </w:pPr>
            <w:r>
              <w:rPr>
                <w:noProof/>
                <w:sz w:val="20"/>
              </w:rPr>
              <w:t>Leto</w:t>
            </w:r>
            <w:r>
              <w:rPr>
                <w:noProof/>
                <w:sz w:val="22"/>
              </w:rPr>
              <w:br/>
            </w:r>
            <w:r>
              <w:rPr>
                <w:b/>
                <w:noProof/>
                <w:sz w:val="20"/>
              </w:rPr>
              <w:t>2021</w:t>
            </w:r>
          </w:p>
        </w:tc>
        <w:tc>
          <w:tcPr>
            <w:tcW w:w="868" w:type="dxa"/>
            <w:vAlign w:val="center"/>
          </w:tcPr>
          <w:p>
            <w:pPr>
              <w:jc w:val="center"/>
              <w:rPr>
                <w:noProof/>
                <w:sz w:val="20"/>
              </w:rPr>
            </w:pPr>
            <w:r>
              <w:rPr>
                <w:noProof/>
                <w:sz w:val="20"/>
              </w:rPr>
              <w:t>Leto</w:t>
            </w:r>
            <w:r>
              <w:rPr>
                <w:noProof/>
                <w:sz w:val="22"/>
              </w:rPr>
              <w:br/>
            </w:r>
            <w:r>
              <w:rPr>
                <w:b/>
                <w:noProof/>
                <w:sz w:val="20"/>
              </w:rPr>
              <w:t>2022</w:t>
            </w:r>
          </w:p>
        </w:tc>
        <w:tc>
          <w:tcPr>
            <w:tcW w:w="868" w:type="dxa"/>
            <w:vAlign w:val="center"/>
          </w:tcPr>
          <w:p>
            <w:pPr>
              <w:jc w:val="center"/>
              <w:rPr>
                <w:noProof/>
                <w:sz w:val="20"/>
              </w:rPr>
            </w:pPr>
            <w:r>
              <w:rPr>
                <w:noProof/>
                <w:sz w:val="20"/>
              </w:rPr>
              <w:t>Leto</w:t>
            </w:r>
            <w:r>
              <w:rPr>
                <w:noProof/>
                <w:sz w:val="22"/>
              </w:rPr>
              <w:br/>
            </w:r>
            <w:r>
              <w:rPr>
                <w:b/>
                <w:noProof/>
                <w:sz w:val="20"/>
              </w:rPr>
              <w:t>2023</w:t>
            </w:r>
          </w:p>
        </w:tc>
        <w:tc>
          <w:tcPr>
            <w:tcW w:w="2604" w:type="dxa"/>
            <w:gridSpan w:val="3"/>
            <w:vAlign w:val="center"/>
          </w:tcPr>
          <w:p>
            <w:pPr>
              <w:jc w:val="center"/>
              <w:rPr>
                <w:b/>
                <w:noProof/>
                <w:sz w:val="18"/>
              </w:rPr>
            </w:pPr>
            <w:r>
              <w:rPr>
                <w:noProof/>
                <w:sz w:val="18"/>
              </w:rPr>
              <w:t xml:space="preserve">Vstavite ustrezno število let glede na trajanje posledic (gl. točko 1.6) </w:t>
            </w:r>
          </w:p>
        </w:tc>
        <w:tc>
          <w:tcPr>
            <w:tcW w:w="1777" w:type="dxa"/>
            <w:vAlign w:val="center"/>
          </w:tcPr>
          <w:p>
            <w:pPr>
              <w:jc w:val="center"/>
              <w:rPr>
                <w:b/>
                <w:noProof/>
                <w:sz w:val="20"/>
              </w:rPr>
            </w:pPr>
            <w:r>
              <w:rPr>
                <w:b/>
                <w:noProof/>
                <w:sz w:val="20"/>
              </w:rPr>
              <w:t>SKUPAJ</w:t>
            </w:r>
          </w:p>
        </w:tc>
      </w:tr>
      <w:tr>
        <w:trPr>
          <w:gridAfter w:val="10"/>
          <w:wAfter w:w="9947" w:type="dxa"/>
        </w:trPr>
        <w:tc>
          <w:tcPr>
            <w:tcW w:w="3960" w:type="dxa"/>
            <w:vAlign w:val="center"/>
          </w:tcPr>
          <w:p>
            <w:pPr>
              <w:spacing w:before="60" w:after="60"/>
              <w:jc w:val="center"/>
              <w:rPr>
                <w:noProof/>
                <w:sz w:val="22"/>
              </w:rPr>
            </w:pPr>
            <w:r>
              <w:rPr>
                <w:noProof/>
                <w:sz w:val="22"/>
              </w:rPr>
              <w:t>Evropska komisija</w:t>
            </w:r>
          </w:p>
        </w:tc>
      </w:tr>
      <w:tr>
        <w:trPr>
          <w:trHeight w:val="313"/>
        </w:trPr>
        <w:tc>
          <w:tcPr>
            <w:tcW w:w="6054" w:type="dxa"/>
            <w:gridSpan w:val="3"/>
            <w:vAlign w:val="center"/>
          </w:tcPr>
          <w:p>
            <w:pPr>
              <w:spacing w:before="20" w:after="20"/>
              <w:rPr>
                <w:noProof/>
              </w:rPr>
            </w:pPr>
            <w:r>
              <w:rPr>
                <w:noProof/>
                <w:sz w:val="22"/>
              </w:rPr>
              <w:sym w:font="Wingdings" w:char="F09F"/>
            </w:r>
            <w:r>
              <w:rPr>
                <w:noProof/>
                <w:sz w:val="22"/>
              </w:rPr>
              <w:t>Človeški viri</w:t>
            </w:r>
          </w:p>
        </w:tc>
        <w:tc>
          <w:tcPr>
            <w:tcW w:w="868" w:type="dxa"/>
            <w:vAlign w:val="center"/>
          </w:tcPr>
          <w:p>
            <w:pPr>
              <w:spacing w:before="20" w:after="20"/>
              <w:jc w:val="center"/>
              <w:rPr>
                <w:noProof/>
                <w:sz w:val="22"/>
              </w:rPr>
            </w:pPr>
            <w:r>
              <w:rPr>
                <w:noProof/>
                <w:sz w:val="22"/>
              </w:rPr>
              <w:t>1,430</w:t>
            </w:r>
          </w:p>
        </w:tc>
        <w:tc>
          <w:tcPr>
            <w:tcW w:w="868" w:type="dxa"/>
            <w:vAlign w:val="center"/>
          </w:tcPr>
          <w:p>
            <w:pPr>
              <w:spacing w:before="20" w:after="20"/>
              <w:jc w:val="center"/>
              <w:rPr>
                <w:noProof/>
                <w:sz w:val="22"/>
              </w:rPr>
            </w:pPr>
            <w:r>
              <w:rPr>
                <w:noProof/>
                <w:sz w:val="22"/>
              </w:rPr>
              <w:t>1,430</w:t>
            </w:r>
          </w:p>
        </w:tc>
        <w:tc>
          <w:tcPr>
            <w:tcW w:w="868" w:type="dxa"/>
            <w:vAlign w:val="center"/>
          </w:tcPr>
          <w:p>
            <w:pPr>
              <w:spacing w:before="20" w:after="20"/>
              <w:jc w:val="center"/>
              <w:rPr>
                <w:noProof/>
                <w:sz w:val="22"/>
              </w:rPr>
            </w:pPr>
            <w:r>
              <w:rPr>
                <w:noProof/>
                <w:sz w:val="22"/>
              </w:rPr>
              <w:t>1,430</w:t>
            </w:r>
          </w:p>
        </w:tc>
        <w:tc>
          <w:tcPr>
            <w:tcW w:w="868" w:type="dxa"/>
            <w:vAlign w:val="center"/>
          </w:tcPr>
          <w:p>
            <w:pPr>
              <w:spacing w:before="20" w:after="20"/>
              <w:jc w:val="center"/>
              <w:rPr>
                <w:noProof/>
                <w:sz w:val="22"/>
              </w:rPr>
            </w:pPr>
            <w:r>
              <w:rPr>
                <w:noProof/>
                <w:sz w:val="22"/>
              </w:rPr>
              <w:t>1,430</w:t>
            </w:r>
          </w:p>
        </w:tc>
        <w:tc>
          <w:tcPr>
            <w:tcW w:w="868" w:type="dxa"/>
            <w:vAlign w:val="center"/>
          </w:tcPr>
          <w:p>
            <w:pPr>
              <w:spacing w:before="20" w:after="20"/>
              <w:jc w:val="center"/>
              <w:rPr>
                <w:noProof/>
                <w:sz w:val="20"/>
              </w:rPr>
            </w:pPr>
          </w:p>
        </w:tc>
        <w:tc>
          <w:tcPr>
            <w:tcW w:w="868" w:type="dxa"/>
            <w:vAlign w:val="center"/>
          </w:tcPr>
          <w:p>
            <w:pPr>
              <w:spacing w:before="20" w:after="20"/>
              <w:jc w:val="center"/>
              <w:rPr>
                <w:noProof/>
                <w:sz w:val="20"/>
              </w:rPr>
            </w:pPr>
          </w:p>
        </w:tc>
        <w:tc>
          <w:tcPr>
            <w:tcW w:w="868" w:type="dxa"/>
            <w:vAlign w:val="center"/>
          </w:tcPr>
          <w:p>
            <w:pPr>
              <w:spacing w:before="20" w:after="20"/>
              <w:jc w:val="center"/>
              <w:rPr>
                <w:b/>
                <w:noProof/>
                <w:sz w:val="20"/>
              </w:rPr>
            </w:pPr>
          </w:p>
        </w:tc>
        <w:tc>
          <w:tcPr>
            <w:tcW w:w="1777" w:type="dxa"/>
            <w:vAlign w:val="center"/>
          </w:tcPr>
          <w:p>
            <w:pPr>
              <w:jc w:val="right"/>
              <w:rPr>
                <w:rFonts w:asciiTheme="majorBidi" w:hAnsiTheme="majorBidi" w:cstheme="majorBidi"/>
                <w:b/>
                <w:bCs/>
                <w:noProof/>
                <w:color w:val="000000"/>
                <w:sz w:val="22"/>
              </w:rPr>
            </w:pPr>
            <w:r>
              <w:rPr>
                <w:rFonts w:asciiTheme="majorBidi" w:hAnsiTheme="majorBidi" w:cstheme="majorBidi"/>
                <w:b/>
                <w:noProof/>
                <w:color w:val="000000"/>
                <w:sz w:val="22"/>
              </w:rPr>
              <w:t>5,720</w:t>
            </w:r>
          </w:p>
        </w:tc>
      </w:tr>
      <w:tr>
        <w:trPr>
          <w:trHeight w:val="351"/>
        </w:trPr>
        <w:tc>
          <w:tcPr>
            <w:tcW w:w="6054" w:type="dxa"/>
            <w:gridSpan w:val="3"/>
            <w:vAlign w:val="center"/>
          </w:tcPr>
          <w:p>
            <w:pPr>
              <w:spacing w:before="20" w:after="20"/>
              <w:rPr>
                <w:noProof/>
              </w:rPr>
            </w:pPr>
            <w:r>
              <w:rPr>
                <w:noProof/>
                <w:sz w:val="22"/>
              </w:rPr>
              <w:sym w:font="Wingdings" w:char="F09F"/>
            </w:r>
            <w:r>
              <w:rPr>
                <w:noProof/>
                <w:sz w:val="22"/>
              </w:rPr>
              <w:t>Drugi upravni odhodki (stroški za konference in sestanke)</w:t>
            </w:r>
          </w:p>
        </w:tc>
        <w:tc>
          <w:tcPr>
            <w:tcW w:w="868" w:type="dxa"/>
            <w:vAlign w:val="center"/>
          </w:tcPr>
          <w:p>
            <w:pPr>
              <w:spacing w:before="20" w:after="20"/>
              <w:jc w:val="center"/>
              <w:rPr>
                <w:noProof/>
                <w:sz w:val="22"/>
              </w:rPr>
            </w:pPr>
            <w:r>
              <w:rPr>
                <w:noProof/>
                <w:sz w:val="22"/>
              </w:rPr>
              <w:t>0,224</w:t>
            </w:r>
          </w:p>
        </w:tc>
        <w:tc>
          <w:tcPr>
            <w:tcW w:w="868" w:type="dxa"/>
            <w:vAlign w:val="center"/>
          </w:tcPr>
          <w:p>
            <w:pPr>
              <w:spacing w:before="20" w:after="20"/>
              <w:jc w:val="center"/>
              <w:rPr>
                <w:noProof/>
                <w:sz w:val="22"/>
              </w:rPr>
            </w:pPr>
            <w:r>
              <w:rPr>
                <w:noProof/>
                <w:sz w:val="22"/>
              </w:rPr>
              <w:t>0,224</w:t>
            </w:r>
          </w:p>
        </w:tc>
        <w:tc>
          <w:tcPr>
            <w:tcW w:w="868" w:type="dxa"/>
            <w:vAlign w:val="center"/>
          </w:tcPr>
          <w:p>
            <w:pPr>
              <w:spacing w:before="20" w:after="20"/>
              <w:jc w:val="center"/>
              <w:rPr>
                <w:noProof/>
                <w:sz w:val="22"/>
              </w:rPr>
            </w:pPr>
            <w:r>
              <w:rPr>
                <w:noProof/>
                <w:sz w:val="22"/>
              </w:rPr>
              <w:t>0,224</w:t>
            </w:r>
          </w:p>
        </w:tc>
        <w:tc>
          <w:tcPr>
            <w:tcW w:w="868" w:type="dxa"/>
            <w:vAlign w:val="center"/>
          </w:tcPr>
          <w:p>
            <w:pPr>
              <w:spacing w:before="20" w:after="20"/>
              <w:jc w:val="center"/>
              <w:rPr>
                <w:noProof/>
                <w:sz w:val="22"/>
              </w:rPr>
            </w:pPr>
            <w:r>
              <w:rPr>
                <w:noProof/>
                <w:sz w:val="22"/>
              </w:rPr>
              <w:t>0,224</w:t>
            </w:r>
          </w:p>
        </w:tc>
        <w:tc>
          <w:tcPr>
            <w:tcW w:w="868" w:type="dxa"/>
            <w:vAlign w:val="center"/>
          </w:tcPr>
          <w:p>
            <w:pPr>
              <w:spacing w:before="20" w:after="20"/>
              <w:jc w:val="center"/>
              <w:rPr>
                <w:b/>
                <w:noProof/>
                <w:sz w:val="20"/>
              </w:rPr>
            </w:pPr>
          </w:p>
        </w:tc>
        <w:tc>
          <w:tcPr>
            <w:tcW w:w="868" w:type="dxa"/>
            <w:vAlign w:val="center"/>
          </w:tcPr>
          <w:p>
            <w:pPr>
              <w:spacing w:before="20" w:after="20"/>
              <w:jc w:val="center"/>
              <w:rPr>
                <w:b/>
                <w:noProof/>
                <w:sz w:val="20"/>
              </w:rPr>
            </w:pPr>
          </w:p>
        </w:tc>
        <w:tc>
          <w:tcPr>
            <w:tcW w:w="868" w:type="dxa"/>
            <w:vAlign w:val="center"/>
          </w:tcPr>
          <w:p>
            <w:pPr>
              <w:spacing w:before="20" w:after="20"/>
              <w:jc w:val="center"/>
              <w:rPr>
                <w:b/>
                <w:noProof/>
                <w:sz w:val="20"/>
              </w:rPr>
            </w:pPr>
          </w:p>
        </w:tc>
        <w:tc>
          <w:tcPr>
            <w:tcW w:w="1777" w:type="dxa"/>
            <w:vAlign w:val="center"/>
          </w:tcPr>
          <w:p>
            <w:pPr>
              <w:jc w:val="right"/>
              <w:rPr>
                <w:rFonts w:asciiTheme="majorBidi" w:hAnsiTheme="majorBidi" w:cstheme="majorBidi"/>
                <w:b/>
                <w:bCs/>
                <w:noProof/>
                <w:color w:val="000000"/>
                <w:sz w:val="22"/>
              </w:rPr>
            </w:pPr>
            <w:r>
              <w:rPr>
                <w:rFonts w:asciiTheme="majorBidi" w:hAnsiTheme="majorBidi" w:cstheme="majorBidi"/>
                <w:b/>
                <w:noProof/>
                <w:color w:val="000000"/>
                <w:sz w:val="22"/>
              </w:rPr>
              <w:t>0,896</w:t>
            </w:r>
          </w:p>
        </w:tc>
      </w:tr>
    </w:tbl>
    <w:p>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2094"/>
        <w:gridCol w:w="868"/>
        <w:gridCol w:w="868"/>
        <w:gridCol w:w="868"/>
        <w:gridCol w:w="868"/>
        <w:gridCol w:w="868"/>
        <w:gridCol w:w="868"/>
        <w:gridCol w:w="868"/>
        <w:gridCol w:w="1777"/>
      </w:tblGrid>
      <w:tr>
        <w:tc>
          <w:tcPr>
            <w:tcW w:w="3960" w:type="dxa"/>
            <w:shd w:val="thinDiagStripe" w:color="C0C0C0" w:fill="auto"/>
            <w:vAlign w:val="center"/>
          </w:tcPr>
          <w:p>
            <w:pPr>
              <w:jc w:val="center"/>
              <w:rPr>
                <w:b/>
                <w:noProof/>
                <w:sz w:val="22"/>
              </w:rPr>
            </w:pPr>
            <w:r>
              <w:rPr>
                <w:b/>
                <w:noProof/>
                <w:sz w:val="22"/>
              </w:rPr>
              <w:t>Odobritve iz</w:t>
            </w:r>
            <w:r>
              <w:rPr>
                <w:noProof/>
                <w:sz w:val="22"/>
              </w:rPr>
              <w:br/>
            </w:r>
            <w:r>
              <w:rPr>
                <w:b/>
                <w:noProof/>
                <w:sz w:val="22"/>
              </w:rPr>
              <w:t xml:space="preserve">RAZDELKA 5 </w:t>
            </w:r>
            <w:r>
              <w:rPr>
                <w:noProof/>
                <w:sz w:val="22"/>
              </w:rPr>
              <w:br/>
              <w:t xml:space="preserve">večletnega finančnega okvira </w:t>
            </w:r>
            <w:r>
              <w:rPr>
                <w:b/>
                <w:bCs/>
                <w:noProof/>
                <w:sz w:val="22"/>
              </w:rPr>
              <w:t>SKUPAJ</w:t>
            </w:r>
            <w:r>
              <w:rPr>
                <w:b/>
                <w:noProof/>
                <w:sz w:val="22"/>
              </w:rPr>
              <w:t xml:space="preserve"> </w:t>
            </w:r>
          </w:p>
        </w:tc>
        <w:tc>
          <w:tcPr>
            <w:tcW w:w="2094" w:type="dxa"/>
            <w:vAlign w:val="center"/>
          </w:tcPr>
          <w:p>
            <w:pPr>
              <w:spacing w:before="40" w:after="40"/>
              <w:rPr>
                <w:noProof/>
              </w:rPr>
            </w:pPr>
            <w:r>
              <w:rPr>
                <w:noProof/>
                <w:sz w:val="18"/>
              </w:rPr>
              <w:t>(obveznosti skupaj = plačila skupaj)</w:t>
            </w:r>
          </w:p>
        </w:tc>
        <w:tc>
          <w:tcPr>
            <w:tcW w:w="868" w:type="dxa"/>
            <w:vAlign w:val="center"/>
          </w:tcPr>
          <w:p>
            <w:pPr>
              <w:jc w:val="right"/>
              <w:rPr>
                <w:rFonts w:asciiTheme="majorBidi" w:hAnsiTheme="majorBidi" w:cstheme="majorBidi"/>
                <w:b/>
                <w:bCs/>
                <w:noProof/>
                <w:color w:val="000000"/>
                <w:sz w:val="22"/>
              </w:rPr>
            </w:pPr>
            <w:r>
              <w:rPr>
                <w:rFonts w:asciiTheme="majorBidi" w:hAnsiTheme="majorBidi" w:cstheme="majorBidi"/>
                <w:b/>
                <w:noProof/>
                <w:color w:val="000000"/>
                <w:sz w:val="22"/>
              </w:rPr>
              <w:t>1,654</w:t>
            </w:r>
          </w:p>
        </w:tc>
        <w:tc>
          <w:tcPr>
            <w:tcW w:w="868" w:type="dxa"/>
            <w:vAlign w:val="center"/>
          </w:tcPr>
          <w:p>
            <w:pPr>
              <w:jc w:val="right"/>
              <w:rPr>
                <w:rFonts w:asciiTheme="majorBidi" w:hAnsiTheme="majorBidi" w:cstheme="majorBidi"/>
                <w:b/>
                <w:bCs/>
                <w:noProof/>
                <w:color w:val="000000"/>
                <w:sz w:val="22"/>
              </w:rPr>
            </w:pPr>
            <w:r>
              <w:rPr>
                <w:rFonts w:asciiTheme="majorBidi" w:hAnsiTheme="majorBidi" w:cstheme="majorBidi"/>
                <w:b/>
                <w:noProof/>
                <w:color w:val="000000"/>
                <w:sz w:val="22"/>
              </w:rPr>
              <w:t>1,654</w:t>
            </w:r>
          </w:p>
        </w:tc>
        <w:tc>
          <w:tcPr>
            <w:tcW w:w="868" w:type="dxa"/>
            <w:vAlign w:val="center"/>
          </w:tcPr>
          <w:p>
            <w:pPr>
              <w:jc w:val="right"/>
              <w:rPr>
                <w:rFonts w:asciiTheme="majorBidi" w:hAnsiTheme="majorBidi" w:cstheme="majorBidi"/>
                <w:b/>
                <w:bCs/>
                <w:noProof/>
                <w:color w:val="000000"/>
                <w:sz w:val="22"/>
              </w:rPr>
            </w:pPr>
            <w:r>
              <w:rPr>
                <w:rFonts w:asciiTheme="majorBidi" w:hAnsiTheme="majorBidi" w:cstheme="majorBidi"/>
                <w:b/>
                <w:noProof/>
                <w:color w:val="000000"/>
                <w:sz w:val="22"/>
              </w:rPr>
              <w:t>1,654</w:t>
            </w:r>
          </w:p>
        </w:tc>
        <w:tc>
          <w:tcPr>
            <w:tcW w:w="868" w:type="dxa"/>
            <w:vAlign w:val="center"/>
          </w:tcPr>
          <w:p>
            <w:pPr>
              <w:jc w:val="right"/>
              <w:rPr>
                <w:rFonts w:asciiTheme="majorBidi" w:hAnsiTheme="majorBidi" w:cstheme="majorBidi"/>
                <w:b/>
                <w:bCs/>
                <w:noProof/>
                <w:color w:val="000000"/>
                <w:sz w:val="22"/>
              </w:rPr>
            </w:pPr>
            <w:r>
              <w:rPr>
                <w:rFonts w:asciiTheme="majorBidi" w:hAnsiTheme="majorBidi" w:cstheme="majorBidi"/>
                <w:b/>
                <w:noProof/>
                <w:color w:val="000000"/>
                <w:sz w:val="22"/>
              </w:rPr>
              <w:t>1,654</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jc w:val="right"/>
              <w:rPr>
                <w:rFonts w:asciiTheme="majorBidi" w:hAnsiTheme="majorBidi" w:cstheme="majorBidi"/>
                <w:b/>
                <w:bCs/>
                <w:noProof/>
                <w:color w:val="000000"/>
                <w:sz w:val="22"/>
              </w:rPr>
            </w:pPr>
          </w:p>
          <w:p>
            <w:pPr>
              <w:jc w:val="right"/>
              <w:rPr>
                <w:rFonts w:asciiTheme="majorBidi" w:hAnsiTheme="majorBidi" w:cstheme="majorBidi"/>
                <w:b/>
                <w:bCs/>
                <w:noProof/>
                <w:color w:val="000000"/>
                <w:sz w:val="22"/>
              </w:rPr>
            </w:pPr>
            <w:r>
              <w:rPr>
                <w:rFonts w:asciiTheme="majorBidi" w:hAnsiTheme="majorBidi" w:cstheme="majorBidi"/>
                <w:b/>
                <w:noProof/>
                <w:color w:val="000000"/>
                <w:sz w:val="22"/>
              </w:rPr>
              <w:t>6,616</w:t>
            </w:r>
          </w:p>
          <w:p>
            <w:pPr>
              <w:spacing w:before="20" w:after="20"/>
              <w:jc w:val="right"/>
              <w:rPr>
                <w:b/>
                <w:noProof/>
                <w:sz w:val="20"/>
              </w:rPr>
            </w:pPr>
          </w:p>
        </w:tc>
      </w:tr>
    </w:tbl>
    <w:p>
      <w:pPr>
        <w:jc w:val="right"/>
        <w:rPr>
          <w:noProof/>
          <w:sz w:val="20"/>
        </w:rPr>
      </w:pPr>
      <w:r>
        <w:rPr>
          <w:noProof/>
          <w:sz w:val="20"/>
        </w:rPr>
        <w:t>v mio. EUR (na tri decimalna mesta natančno)</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tc>
          <w:tcPr>
            <w:tcW w:w="3960" w:type="dxa"/>
            <w:tcBorders>
              <w:top w:val="nil"/>
              <w:left w:val="nil"/>
              <w:right w:val="nil"/>
            </w:tcBorders>
            <w:vAlign w:val="center"/>
          </w:tcPr>
          <w:p>
            <w:pPr>
              <w:jc w:val="center"/>
              <w:rPr>
                <w:noProof/>
              </w:rPr>
            </w:pPr>
          </w:p>
        </w:tc>
        <w:tc>
          <w:tcPr>
            <w:tcW w:w="1560" w:type="dxa"/>
            <w:tcBorders>
              <w:top w:val="nil"/>
              <w:left w:val="nil"/>
              <w:right w:val="nil"/>
            </w:tcBorders>
          </w:tcPr>
          <w:p>
            <w:pPr>
              <w:rPr>
                <w:noProof/>
                <w:sz w:val="20"/>
              </w:rPr>
            </w:pPr>
          </w:p>
        </w:tc>
        <w:tc>
          <w:tcPr>
            <w:tcW w:w="534" w:type="dxa"/>
            <w:tcBorders>
              <w:top w:val="nil"/>
              <w:left w:val="nil"/>
            </w:tcBorders>
          </w:tcPr>
          <w:p>
            <w:pPr>
              <w:jc w:val="center"/>
              <w:rPr>
                <w:noProof/>
                <w:sz w:val="20"/>
              </w:rPr>
            </w:pPr>
          </w:p>
        </w:tc>
        <w:tc>
          <w:tcPr>
            <w:tcW w:w="868" w:type="dxa"/>
            <w:vAlign w:val="center"/>
          </w:tcPr>
          <w:p>
            <w:pPr>
              <w:jc w:val="center"/>
              <w:rPr>
                <w:noProof/>
                <w:sz w:val="20"/>
              </w:rPr>
            </w:pPr>
            <w:r>
              <w:rPr>
                <w:noProof/>
                <w:sz w:val="20"/>
              </w:rPr>
              <w:t>Leto</w:t>
            </w:r>
            <w:r>
              <w:rPr>
                <w:noProof/>
                <w:sz w:val="22"/>
              </w:rPr>
              <w:br/>
            </w:r>
            <w:r>
              <w:rPr>
                <w:b/>
                <w:noProof/>
                <w:sz w:val="20"/>
              </w:rPr>
              <w:t>2020</w:t>
            </w:r>
          </w:p>
        </w:tc>
        <w:tc>
          <w:tcPr>
            <w:tcW w:w="868" w:type="dxa"/>
            <w:vAlign w:val="center"/>
          </w:tcPr>
          <w:p>
            <w:pPr>
              <w:jc w:val="center"/>
              <w:rPr>
                <w:noProof/>
                <w:sz w:val="20"/>
              </w:rPr>
            </w:pPr>
            <w:r>
              <w:rPr>
                <w:noProof/>
                <w:sz w:val="20"/>
              </w:rPr>
              <w:t>Leto</w:t>
            </w:r>
            <w:r>
              <w:rPr>
                <w:noProof/>
                <w:sz w:val="22"/>
              </w:rPr>
              <w:br/>
            </w:r>
            <w:r>
              <w:rPr>
                <w:b/>
                <w:noProof/>
                <w:sz w:val="20"/>
              </w:rPr>
              <w:t>2021</w:t>
            </w:r>
          </w:p>
        </w:tc>
        <w:tc>
          <w:tcPr>
            <w:tcW w:w="868" w:type="dxa"/>
            <w:vAlign w:val="center"/>
          </w:tcPr>
          <w:p>
            <w:pPr>
              <w:jc w:val="center"/>
              <w:rPr>
                <w:noProof/>
                <w:sz w:val="20"/>
              </w:rPr>
            </w:pPr>
            <w:r>
              <w:rPr>
                <w:noProof/>
                <w:sz w:val="20"/>
              </w:rPr>
              <w:t>Leto</w:t>
            </w:r>
            <w:r>
              <w:rPr>
                <w:noProof/>
                <w:sz w:val="22"/>
              </w:rPr>
              <w:br/>
            </w:r>
            <w:r>
              <w:rPr>
                <w:b/>
                <w:noProof/>
                <w:sz w:val="20"/>
              </w:rPr>
              <w:t>2022</w:t>
            </w:r>
          </w:p>
        </w:tc>
        <w:tc>
          <w:tcPr>
            <w:tcW w:w="868" w:type="dxa"/>
            <w:vAlign w:val="center"/>
          </w:tcPr>
          <w:p>
            <w:pPr>
              <w:jc w:val="center"/>
              <w:rPr>
                <w:noProof/>
                <w:sz w:val="20"/>
              </w:rPr>
            </w:pPr>
            <w:r>
              <w:rPr>
                <w:noProof/>
                <w:sz w:val="20"/>
              </w:rPr>
              <w:t>Leto</w:t>
            </w:r>
            <w:r>
              <w:rPr>
                <w:noProof/>
                <w:sz w:val="22"/>
              </w:rPr>
              <w:br/>
            </w:r>
            <w:r>
              <w:rPr>
                <w:b/>
                <w:noProof/>
                <w:sz w:val="20"/>
              </w:rPr>
              <w:t>2023</w:t>
            </w:r>
          </w:p>
        </w:tc>
        <w:tc>
          <w:tcPr>
            <w:tcW w:w="2604" w:type="dxa"/>
            <w:gridSpan w:val="3"/>
            <w:vAlign w:val="center"/>
          </w:tcPr>
          <w:p>
            <w:pPr>
              <w:jc w:val="center"/>
              <w:rPr>
                <w:b/>
                <w:noProof/>
                <w:sz w:val="18"/>
              </w:rPr>
            </w:pPr>
            <w:r>
              <w:rPr>
                <w:noProof/>
                <w:sz w:val="18"/>
              </w:rPr>
              <w:t>Vstavite ustrezno število let glede na trajanje posledic (gl. točko 1.6)</w:t>
            </w:r>
          </w:p>
        </w:tc>
        <w:tc>
          <w:tcPr>
            <w:tcW w:w="1777" w:type="dxa"/>
            <w:vAlign w:val="center"/>
          </w:tcPr>
          <w:p>
            <w:pPr>
              <w:jc w:val="center"/>
              <w:rPr>
                <w:b/>
                <w:noProof/>
                <w:sz w:val="20"/>
              </w:rPr>
            </w:pPr>
            <w:r>
              <w:rPr>
                <w:b/>
                <w:noProof/>
                <w:sz w:val="20"/>
              </w:rPr>
              <w:t>SKUPAJ</w:t>
            </w:r>
          </w:p>
        </w:tc>
      </w:tr>
      <w:tr>
        <w:tc>
          <w:tcPr>
            <w:tcW w:w="3960" w:type="dxa"/>
            <w:vMerge w:val="restart"/>
            <w:shd w:val="clear" w:color="auto" w:fill="C0C0C0"/>
            <w:vAlign w:val="center"/>
          </w:tcPr>
          <w:p>
            <w:pPr>
              <w:jc w:val="center"/>
              <w:rPr>
                <w:b/>
                <w:noProof/>
              </w:rPr>
            </w:pPr>
            <w:r>
              <w:rPr>
                <w:b/>
                <w:noProof/>
                <w:sz w:val="22"/>
              </w:rPr>
              <w:t>Odobritve iz</w:t>
            </w:r>
            <w:r>
              <w:rPr>
                <w:noProof/>
                <w:sz w:val="22"/>
              </w:rPr>
              <w:br/>
            </w:r>
            <w:r>
              <w:rPr>
                <w:b/>
                <w:noProof/>
                <w:sz w:val="22"/>
              </w:rPr>
              <w:t>RAZDELKOV od 1 do 5</w:t>
            </w:r>
            <w:r>
              <w:rPr>
                <w:noProof/>
                <w:sz w:val="22"/>
              </w:rPr>
              <w:br/>
              <w:t xml:space="preserve">večletnega finančnega okvira </w:t>
            </w:r>
            <w:r>
              <w:rPr>
                <w:b/>
                <w:noProof/>
                <w:sz w:val="22"/>
              </w:rPr>
              <w:t xml:space="preserve">SKUPAJ </w:t>
            </w:r>
          </w:p>
        </w:tc>
        <w:tc>
          <w:tcPr>
            <w:tcW w:w="2094" w:type="dxa"/>
            <w:gridSpan w:val="2"/>
            <w:vAlign w:val="center"/>
          </w:tcPr>
          <w:p>
            <w:pPr>
              <w:rPr>
                <w:noProof/>
                <w:sz w:val="14"/>
              </w:rPr>
            </w:pPr>
            <w:r>
              <w:rPr>
                <w:noProof/>
                <w:sz w:val="18"/>
              </w:rPr>
              <w:t>obveznosti</w:t>
            </w:r>
          </w:p>
        </w:tc>
        <w:tc>
          <w:tcPr>
            <w:tcW w:w="868" w:type="dxa"/>
          </w:tcPr>
          <w:p>
            <w:pPr>
              <w:spacing w:before="60" w:after="60"/>
              <w:jc w:val="right"/>
              <w:rPr>
                <w:b/>
                <w:bCs/>
                <w:noProof/>
                <w:sz w:val="22"/>
              </w:rPr>
            </w:pPr>
            <w:r>
              <w:rPr>
                <w:b/>
                <w:noProof/>
                <w:sz w:val="22"/>
              </w:rPr>
              <w:t>2,624</w:t>
            </w:r>
          </w:p>
        </w:tc>
        <w:tc>
          <w:tcPr>
            <w:tcW w:w="868" w:type="dxa"/>
          </w:tcPr>
          <w:p>
            <w:pPr>
              <w:spacing w:before="60" w:after="60"/>
              <w:jc w:val="right"/>
              <w:rPr>
                <w:b/>
                <w:bCs/>
                <w:noProof/>
                <w:sz w:val="22"/>
              </w:rPr>
            </w:pPr>
            <w:r>
              <w:rPr>
                <w:b/>
                <w:noProof/>
                <w:sz w:val="22"/>
              </w:rPr>
              <w:t>2,624</w:t>
            </w:r>
          </w:p>
        </w:tc>
        <w:tc>
          <w:tcPr>
            <w:tcW w:w="868" w:type="dxa"/>
          </w:tcPr>
          <w:p>
            <w:pPr>
              <w:spacing w:before="60" w:after="60"/>
              <w:jc w:val="right"/>
              <w:rPr>
                <w:b/>
                <w:bCs/>
                <w:noProof/>
                <w:sz w:val="22"/>
              </w:rPr>
            </w:pPr>
            <w:r>
              <w:rPr>
                <w:b/>
                <w:noProof/>
                <w:sz w:val="22"/>
              </w:rPr>
              <w:t>2,624</w:t>
            </w:r>
          </w:p>
        </w:tc>
        <w:tc>
          <w:tcPr>
            <w:tcW w:w="868" w:type="dxa"/>
          </w:tcPr>
          <w:p>
            <w:pPr>
              <w:spacing w:before="60" w:after="60"/>
              <w:jc w:val="right"/>
              <w:rPr>
                <w:b/>
                <w:bCs/>
                <w:noProof/>
                <w:sz w:val="22"/>
              </w:rPr>
            </w:pPr>
            <w:r>
              <w:rPr>
                <w:b/>
                <w:noProof/>
                <w:sz w:val="22"/>
              </w:rPr>
              <w:t>2,624</w:t>
            </w:r>
          </w:p>
        </w:tc>
        <w:tc>
          <w:tcPr>
            <w:tcW w:w="868" w:type="dxa"/>
            <w:vAlign w:val="center"/>
          </w:tcPr>
          <w:p>
            <w:pPr>
              <w:spacing w:before="60" w:after="60"/>
              <w:jc w:val="right"/>
              <w:rPr>
                <w:noProof/>
                <w:sz w:val="20"/>
              </w:rPr>
            </w:pPr>
          </w:p>
        </w:tc>
        <w:tc>
          <w:tcPr>
            <w:tcW w:w="868" w:type="dxa"/>
            <w:vAlign w:val="center"/>
          </w:tcPr>
          <w:p>
            <w:pPr>
              <w:spacing w:before="60" w:after="60"/>
              <w:jc w:val="right"/>
              <w:rPr>
                <w:noProof/>
                <w:sz w:val="20"/>
              </w:rPr>
            </w:pPr>
          </w:p>
        </w:tc>
        <w:tc>
          <w:tcPr>
            <w:tcW w:w="868" w:type="dxa"/>
            <w:vAlign w:val="center"/>
          </w:tcPr>
          <w:p>
            <w:pPr>
              <w:spacing w:before="60" w:after="60"/>
              <w:jc w:val="right"/>
              <w:rPr>
                <w:b/>
                <w:noProof/>
                <w:sz w:val="20"/>
              </w:rPr>
            </w:pPr>
          </w:p>
        </w:tc>
        <w:tc>
          <w:tcPr>
            <w:tcW w:w="1777" w:type="dxa"/>
            <w:vAlign w:val="center"/>
          </w:tcPr>
          <w:p>
            <w:pPr>
              <w:spacing w:before="60" w:after="60"/>
              <w:jc w:val="right"/>
              <w:rPr>
                <w:b/>
                <w:noProof/>
                <w:sz w:val="20"/>
              </w:rPr>
            </w:pPr>
            <w:r>
              <w:rPr>
                <w:rFonts w:ascii="Calibri" w:hAnsi="Calibri"/>
                <w:b/>
                <w:noProof/>
                <w:color w:val="000000"/>
                <w:sz w:val="22"/>
              </w:rPr>
              <w:t>10,496</w:t>
            </w:r>
          </w:p>
        </w:tc>
      </w:tr>
      <w:tr>
        <w:tc>
          <w:tcPr>
            <w:tcW w:w="3960" w:type="dxa"/>
            <w:vMerge/>
            <w:vAlign w:val="center"/>
          </w:tcPr>
          <w:p>
            <w:pPr>
              <w:rPr>
                <w:b/>
                <w:noProof/>
              </w:rPr>
            </w:pPr>
          </w:p>
        </w:tc>
        <w:tc>
          <w:tcPr>
            <w:tcW w:w="2094" w:type="dxa"/>
            <w:gridSpan w:val="2"/>
            <w:vAlign w:val="center"/>
          </w:tcPr>
          <w:p>
            <w:pPr>
              <w:rPr>
                <w:noProof/>
                <w:sz w:val="14"/>
              </w:rPr>
            </w:pPr>
            <w:r>
              <w:rPr>
                <w:noProof/>
                <w:sz w:val="18"/>
              </w:rPr>
              <w:t>plačila</w:t>
            </w:r>
          </w:p>
        </w:tc>
        <w:tc>
          <w:tcPr>
            <w:tcW w:w="868" w:type="dxa"/>
          </w:tcPr>
          <w:p>
            <w:pPr>
              <w:spacing w:before="60" w:after="60"/>
              <w:jc w:val="right"/>
              <w:rPr>
                <w:b/>
                <w:bCs/>
                <w:noProof/>
                <w:sz w:val="22"/>
              </w:rPr>
            </w:pPr>
            <w:r>
              <w:rPr>
                <w:b/>
                <w:noProof/>
                <w:sz w:val="22"/>
              </w:rPr>
              <w:t>2,624</w:t>
            </w:r>
          </w:p>
        </w:tc>
        <w:tc>
          <w:tcPr>
            <w:tcW w:w="868" w:type="dxa"/>
          </w:tcPr>
          <w:p>
            <w:pPr>
              <w:spacing w:before="60" w:after="60"/>
              <w:jc w:val="right"/>
              <w:rPr>
                <w:b/>
                <w:bCs/>
                <w:noProof/>
                <w:sz w:val="22"/>
              </w:rPr>
            </w:pPr>
            <w:r>
              <w:rPr>
                <w:b/>
                <w:noProof/>
                <w:sz w:val="22"/>
              </w:rPr>
              <w:t>2,624</w:t>
            </w:r>
          </w:p>
        </w:tc>
        <w:tc>
          <w:tcPr>
            <w:tcW w:w="868" w:type="dxa"/>
          </w:tcPr>
          <w:p>
            <w:pPr>
              <w:spacing w:before="60" w:after="60"/>
              <w:jc w:val="right"/>
              <w:rPr>
                <w:b/>
                <w:bCs/>
                <w:noProof/>
                <w:sz w:val="22"/>
              </w:rPr>
            </w:pPr>
            <w:r>
              <w:rPr>
                <w:b/>
                <w:noProof/>
                <w:sz w:val="22"/>
              </w:rPr>
              <w:t>2,624</w:t>
            </w:r>
          </w:p>
        </w:tc>
        <w:tc>
          <w:tcPr>
            <w:tcW w:w="868" w:type="dxa"/>
          </w:tcPr>
          <w:p>
            <w:pPr>
              <w:spacing w:before="60" w:after="60"/>
              <w:jc w:val="right"/>
              <w:rPr>
                <w:b/>
                <w:bCs/>
                <w:noProof/>
                <w:sz w:val="22"/>
              </w:rPr>
            </w:pPr>
            <w:r>
              <w:rPr>
                <w:b/>
                <w:noProof/>
                <w:sz w:val="22"/>
              </w:rPr>
              <w:t>2,624</w:t>
            </w:r>
          </w:p>
        </w:tc>
        <w:tc>
          <w:tcPr>
            <w:tcW w:w="868" w:type="dxa"/>
            <w:vAlign w:val="center"/>
          </w:tcPr>
          <w:p>
            <w:pPr>
              <w:spacing w:before="60" w:after="60"/>
              <w:jc w:val="right"/>
              <w:rPr>
                <w:noProof/>
                <w:sz w:val="20"/>
              </w:rPr>
            </w:pPr>
          </w:p>
        </w:tc>
        <w:tc>
          <w:tcPr>
            <w:tcW w:w="868" w:type="dxa"/>
            <w:vAlign w:val="center"/>
          </w:tcPr>
          <w:p>
            <w:pPr>
              <w:spacing w:before="60" w:after="60"/>
              <w:jc w:val="right"/>
              <w:rPr>
                <w:noProof/>
                <w:sz w:val="20"/>
              </w:rPr>
            </w:pPr>
          </w:p>
        </w:tc>
        <w:tc>
          <w:tcPr>
            <w:tcW w:w="868" w:type="dxa"/>
            <w:vAlign w:val="center"/>
          </w:tcPr>
          <w:p>
            <w:pPr>
              <w:spacing w:before="60" w:after="60"/>
              <w:jc w:val="right"/>
              <w:rPr>
                <w:b/>
                <w:noProof/>
                <w:sz w:val="20"/>
              </w:rPr>
            </w:pPr>
          </w:p>
        </w:tc>
        <w:tc>
          <w:tcPr>
            <w:tcW w:w="1777" w:type="dxa"/>
            <w:vAlign w:val="center"/>
          </w:tcPr>
          <w:p>
            <w:pPr>
              <w:spacing w:before="60" w:after="60"/>
              <w:jc w:val="right"/>
              <w:rPr>
                <w:b/>
                <w:noProof/>
                <w:sz w:val="20"/>
              </w:rPr>
            </w:pPr>
            <w:r>
              <w:rPr>
                <w:rFonts w:ascii="Calibri" w:hAnsi="Calibri"/>
                <w:b/>
                <w:noProof/>
                <w:color w:val="000000"/>
                <w:sz w:val="22"/>
              </w:rPr>
              <w:t>10,496</w:t>
            </w:r>
          </w:p>
        </w:tc>
      </w:tr>
    </w:tbl>
    <w:p>
      <w:pPr>
        <w:rPr>
          <w:noProof/>
        </w:rPr>
        <w:sectPr>
          <w:headerReference w:type="default" r:id="rId28"/>
          <w:footerReference w:type="default" r:id="rId29"/>
          <w:headerReference w:type="first" r:id="rId30"/>
          <w:footerReference w:type="first" r:id="rId31"/>
          <w:pgSz w:w="16839" w:h="11907" w:orient="landscape" w:code="9"/>
          <w:pgMar w:top="1134" w:right="1077" w:bottom="902" w:left="1247" w:header="709" w:footer="510" w:gutter="0"/>
          <w:cols w:space="720"/>
          <w:docGrid w:linePitch="326"/>
        </w:sectPr>
      </w:pPr>
    </w:p>
    <w:p>
      <w:pPr>
        <w:pStyle w:val="ManualHeading3"/>
        <w:rPr>
          <w:bCs/>
          <w:noProof/>
          <w:szCs w:val="24"/>
        </w:rPr>
      </w:pPr>
      <w:r>
        <w:t>3.2.2.</w:t>
      </w:r>
      <w:r>
        <w:tab/>
      </w:r>
      <w:r>
        <w:rPr>
          <w:noProof/>
        </w:rPr>
        <w:t xml:space="preserve">Ocenjene posledice za odobritve za poslovanje </w:t>
      </w:r>
    </w:p>
    <w:p>
      <w:pPr>
        <w:pStyle w:val="ListDash1"/>
        <w:rPr>
          <w:noProof/>
        </w:rPr>
      </w:pPr>
      <w:r>
        <w:rPr>
          <w:noProof/>
        </w:rPr>
        <w:sym w:font="Wingdings" w:char="F0A8"/>
      </w:r>
      <w:r>
        <w:rPr>
          <w:noProof/>
        </w:rPr>
        <w:tab/>
        <w:t xml:space="preserve">Za predlog/pobudo niso potrebne odobritve za poslovanje. </w:t>
      </w:r>
    </w:p>
    <w:p>
      <w:pPr>
        <w:pStyle w:val="ListDash1"/>
        <w:rPr>
          <w:noProof/>
        </w:rPr>
      </w:pPr>
      <w:r>
        <w:rPr>
          <w:noProof/>
        </w:rPr>
        <w:sym w:font="Wingdings" w:char="F0FE"/>
      </w:r>
      <w:r>
        <w:rPr>
          <w:noProof/>
        </w:rPr>
        <w:tab/>
        <w:t>Za predlog/pobudo so potrebne odobritve za poslovanje, kot je pojasnjeno v nadaljevanju:</w:t>
      </w:r>
    </w:p>
    <w:p>
      <w:pPr>
        <w:jc w:val="right"/>
        <w:rPr>
          <w:noProof/>
          <w:sz w:val="20"/>
        </w:rPr>
      </w:pPr>
      <w:r>
        <w:rPr>
          <w:noProof/>
          <w:sz w:val="20"/>
        </w:rPr>
        <w:t>odobritve za prevzem obveznosti v mio. EUR (na tri decimalna mesta natančno)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1031"/>
        <w:gridCol w:w="701"/>
        <w:gridCol w:w="504"/>
        <w:gridCol w:w="720"/>
        <w:gridCol w:w="540"/>
        <w:gridCol w:w="720"/>
        <w:gridCol w:w="720"/>
        <w:gridCol w:w="720"/>
        <w:gridCol w:w="900"/>
        <w:gridCol w:w="720"/>
        <w:gridCol w:w="540"/>
        <w:gridCol w:w="648"/>
        <w:gridCol w:w="432"/>
        <w:gridCol w:w="720"/>
        <w:gridCol w:w="540"/>
        <w:gridCol w:w="720"/>
        <w:gridCol w:w="720"/>
        <w:gridCol w:w="900"/>
      </w:tblGrid>
      <w:tr>
        <w:trPr>
          <w:gridAfter w:val="18"/>
          <w:wAfter w:w="12496" w:type="dxa"/>
          <w:jc w:val="center"/>
        </w:trPr>
        <w:tc>
          <w:tcPr>
            <w:tcW w:w="1423" w:type="dxa"/>
            <w:vAlign w:val="center"/>
          </w:tcPr>
          <w:p>
            <w:pPr>
              <w:ind w:right="-29"/>
              <w:jc w:val="center"/>
              <w:rPr>
                <w:b/>
                <w:noProof/>
                <w:sz w:val="18"/>
              </w:rPr>
            </w:pPr>
            <w:r>
              <w:rPr>
                <w:b/>
                <w:noProof/>
                <w:sz w:val="22"/>
              </w:rPr>
              <w:t>EBA</w:t>
            </w:r>
          </w:p>
        </w:tc>
      </w:tr>
      <w:tr>
        <w:trPr>
          <w:jc w:val="center"/>
        </w:trPr>
        <w:tc>
          <w:tcPr>
            <w:tcW w:w="1423" w:type="dxa"/>
            <w:vMerge w:val="restart"/>
            <w:vAlign w:val="center"/>
          </w:tcPr>
          <w:p>
            <w:pPr>
              <w:ind w:right="-29"/>
              <w:jc w:val="center"/>
              <w:rPr>
                <w:b/>
                <w:noProof/>
                <w:sz w:val="18"/>
              </w:rPr>
            </w:pPr>
            <w:r>
              <w:rPr>
                <w:b/>
                <w:noProof/>
                <w:sz w:val="18"/>
              </w:rPr>
              <w:t xml:space="preserve">Cilji in realizacije </w:t>
            </w:r>
          </w:p>
          <w:p>
            <w:pPr>
              <w:ind w:right="-29"/>
              <w:jc w:val="center"/>
              <w:rPr>
                <w:b/>
                <w:noProof/>
                <w:sz w:val="18"/>
              </w:rPr>
            </w:pPr>
          </w:p>
          <w:p>
            <w:pPr>
              <w:ind w:right="-29"/>
              <w:jc w:val="center"/>
              <w:rPr>
                <w:noProof/>
                <w:sz w:val="18"/>
              </w:rPr>
            </w:pPr>
            <w:r>
              <w:rPr>
                <w:noProof/>
                <w:sz w:val="18"/>
              </w:rPr>
              <w:sym w:font="Wingdings" w:char="F0F2"/>
            </w:r>
          </w:p>
        </w:tc>
        <w:tc>
          <w:tcPr>
            <w:tcW w:w="1031" w:type="dxa"/>
            <w:vAlign w:val="center"/>
          </w:tcPr>
          <w:p>
            <w:pPr>
              <w:ind w:right="-29"/>
              <w:jc w:val="center"/>
              <w:rPr>
                <w:noProof/>
                <w:sz w:val="18"/>
              </w:rPr>
            </w:pPr>
          </w:p>
        </w:tc>
        <w:tc>
          <w:tcPr>
            <w:tcW w:w="701" w:type="dxa"/>
            <w:vAlign w:val="center"/>
          </w:tcPr>
          <w:p>
            <w:pPr>
              <w:ind w:right="-29"/>
              <w:jc w:val="center"/>
              <w:rPr>
                <w:noProof/>
                <w:sz w:val="18"/>
              </w:rPr>
            </w:pPr>
          </w:p>
        </w:tc>
        <w:tc>
          <w:tcPr>
            <w:tcW w:w="1224" w:type="dxa"/>
            <w:gridSpan w:val="2"/>
            <w:tcBorders>
              <w:left w:val="nil"/>
            </w:tcBorders>
            <w:vAlign w:val="center"/>
          </w:tcPr>
          <w:p>
            <w:pPr>
              <w:ind w:right="-29"/>
              <w:jc w:val="center"/>
              <w:rPr>
                <w:noProof/>
                <w:sz w:val="18"/>
              </w:rPr>
            </w:pPr>
            <w:r>
              <w:rPr>
                <w:noProof/>
                <w:sz w:val="18"/>
              </w:rPr>
              <w:t>Leto</w:t>
            </w:r>
            <w:r>
              <w:rPr>
                <w:noProof/>
                <w:sz w:val="22"/>
              </w:rPr>
              <w:br/>
            </w:r>
            <w:r>
              <w:rPr>
                <w:b/>
                <w:noProof/>
                <w:sz w:val="18"/>
              </w:rPr>
              <w:t>2020</w:t>
            </w:r>
          </w:p>
        </w:tc>
        <w:tc>
          <w:tcPr>
            <w:tcW w:w="1260" w:type="dxa"/>
            <w:gridSpan w:val="2"/>
            <w:vAlign w:val="center"/>
          </w:tcPr>
          <w:p>
            <w:pPr>
              <w:ind w:right="-29"/>
              <w:jc w:val="center"/>
              <w:rPr>
                <w:noProof/>
                <w:sz w:val="18"/>
              </w:rPr>
            </w:pPr>
            <w:r>
              <w:rPr>
                <w:noProof/>
                <w:sz w:val="18"/>
              </w:rPr>
              <w:t>Leto</w:t>
            </w:r>
            <w:r>
              <w:rPr>
                <w:noProof/>
                <w:sz w:val="22"/>
              </w:rPr>
              <w:br/>
            </w:r>
            <w:r>
              <w:rPr>
                <w:b/>
                <w:noProof/>
                <w:sz w:val="18"/>
              </w:rPr>
              <w:t>2021</w:t>
            </w:r>
            <w:r>
              <w:rPr>
                <w:rStyle w:val="FootnoteReference"/>
                <w:b/>
                <w:noProof/>
                <w:sz w:val="18"/>
              </w:rPr>
              <w:footnoteReference w:id="70"/>
            </w:r>
          </w:p>
        </w:tc>
        <w:tc>
          <w:tcPr>
            <w:tcW w:w="1440" w:type="dxa"/>
            <w:gridSpan w:val="2"/>
            <w:vAlign w:val="center"/>
          </w:tcPr>
          <w:p>
            <w:pPr>
              <w:ind w:right="-29"/>
              <w:jc w:val="center"/>
              <w:rPr>
                <w:noProof/>
                <w:sz w:val="18"/>
              </w:rPr>
            </w:pPr>
            <w:r>
              <w:rPr>
                <w:noProof/>
                <w:sz w:val="18"/>
              </w:rPr>
              <w:t>Leto</w:t>
            </w:r>
            <w:r>
              <w:rPr>
                <w:noProof/>
                <w:sz w:val="22"/>
              </w:rPr>
              <w:br/>
            </w:r>
            <w:r>
              <w:rPr>
                <w:b/>
                <w:noProof/>
                <w:sz w:val="18"/>
              </w:rPr>
              <w:t>2022</w:t>
            </w:r>
          </w:p>
        </w:tc>
        <w:tc>
          <w:tcPr>
            <w:tcW w:w="1620" w:type="dxa"/>
            <w:gridSpan w:val="2"/>
            <w:vAlign w:val="center"/>
          </w:tcPr>
          <w:p>
            <w:pPr>
              <w:ind w:right="-29"/>
              <w:jc w:val="center"/>
              <w:rPr>
                <w:noProof/>
                <w:sz w:val="18"/>
              </w:rPr>
            </w:pPr>
            <w:r>
              <w:rPr>
                <w:noProof/>
                <w:sz w:val="18"/>
              </w:rPr>
              <w:t>Leto</w:t>
            </w:r>
            <w:r>
              <w:rPr>
                <w:noProof/>
                <w:sz w:val="22"/>
              </w:rPr>
              <w:br/>
            </w:r>
            <w:r>
              <w:rPr>
                <w:b/>
                <w:noProof/>
                <w:sz w:val="18"/>
              </w:rPr>
              <w:t>2023</w:t>
            </w:r>
          </w:p>
        </w:tc>
        <w:tc>
          <w:tcPr>
            <w:tcW w:w="3600" w:type="dxa"/>
            <w:gridSpan w:val="6"/>
            <w:vAlign w:val="center"/>
          </w:tcPr>
          <w:p>
            <w:pPr>
              <w:jc w:val="center"/>
              <w:rPr>
                <w:b/>
                <w:noProof/>
                <w:sz w:val="18"/>
              </w:rPr>
            </w:pPr>
            <w:r>
              <w:rPr>
                <w:noProof/>
                <w:sz w:val="18"/>
              </w:rPr>
              <w:t>Vstavite ustrezno število let glede na trajanje posledic (gl. točko 1.6)</w:t>
            </w:r>
            <w:r>
              <w:rPr>
                <w:rStyle w:val="FootnoteReference"/>
                <w:noProof/>
                <w:sz w:val="18"/>
              </w:rPr>
              <w:footnoteReference w:id="71"/>
            </w:r>
          </w:p>
        </w:tc>
        <w:tc>
          <w:tcPr>
            <w:tcW w:w="1620" w:type="dxa"/>
            <w:gridSpan w:val="2"/>
            <w:tcBorders>
              <w:left w:val="nil"/>
              <w:bottom w:val="nil"/>
            </w:tcBorders>
            <w:vAlign w:val="center"/>
          </w:tcPr>
          <w:p>
            <w:pPr>
              <w:ind w:right="-29"/>
              <w:jc w:val="center"/>
              <w:rPr>
                <w:noProof/>
                <w:sz w:val="18"/>
              </w:rPr>
            </w:pPr>
            <w:r>
              <w:rPr>
                <w:b/>
                <w:noProof/>
                <w:sz w:val="18"/>
              </w:rPr>
              <w:t>SKUPAJ</w:t>
            </w:r>
          </w:p>
        </w:tc>
      </w:tr>
      <w:tr>
        <w:trPr>
          <w:jc w:val="center"/>
        </w:trPr>
        <w:tc>
          <w:tcPr>
            <w:tcW w:w="1423" w:type="dxa"/>
            <w:vMerge/>
            <w:vAlign w:val="center"/>
          </w:tcPr>
          <w:p>
            <w:pPr>
              <w:rPr>
                <w:noProof/>
                <w:sz w:val="18"/>
              </w:rPr>
            </w:pPr>
          </w:p>
        </w:tc>
        <w:tc>
          <w:tcPr>
            <w:tcW w:w="12496" w:type="dxa"/>
            <w:gridSpan w:val="18"/>
            <w:vAlign w:val="center"/>
          </w:tcPr>
          <w:p>
            <w:pPr>
              <w:spacing w:before="60" w:after="60"/>
              <w:ind w:right="-29"/>
              <w:jc w:val="center"/>
              <w:rPr>
                <w:noProof/>
                <w:sz w:val="18"/>
              </w:rPr>
            </w:pPr>
            <w:r>
              <w:rPr>
                <w:b/>
                <w:noProof/>
                <w:sz w:val="18"/>
              </w:rPr>
              <w:t>REALIZACIJE</w:t>
            </w:r>
          </w:p>
        </w:tc>
      </w:tr>
      <w:tr>
        <w:trPr>
          <w:cantSplit/>
          <w:trHeight w:val="1134"/>
          <w:jc w:val="center"/>
        </w:trPr>
        <w:tc>
          <w:tcPr>
            <w:tcW w:w="1423" w:type="dxa"/>
            <w:vMerge/>
            <w:vAlign w:val="center"/>
          </w:tcPr>
          <w:p>
            <w:pPr>
              <w:rPr>
                <w:noProof/>
                <w:sz w:val="18"/>
              </w:rPr>
            </w:pPr>
          </w:p>
        </w:tc>
        <w:tc>
          <w:tcPr>
            <w:tcW w:w="1031" w:type="dxa"/>
            <w:vAlign w:val="center"/>
          </w:tcPr>
          <w:p>
            <w:pPr>
              <w:jc w:val="center"/>
              <w:rPr>
                <w:noProof/>
                <w:sz w:val="18"/>
              </w:rPr>
            </w:pPr>
            <w:r>
              <w:rPr>
                <w:noProof/>
                <w:sz w:val="18"/>
              </w:rPr>
              <w:t>vrsta</w:t>
            </w:r>
            <w:r>
              <w:rPr>
                <w:rStyle w:val="FootnoteReference"/>
                <w:noProof/>
                <w:sz w:val="18"/>
              </w:rPr>
              <w:footnoteReference w:id="72"/>
            </w:r>
          </w:p>
        </w:tc>
        <w:tc>
          <w:tcPr>
            <w:tcW w:w="701" w:type="dxa"/>
            <w:vAlign w:val="center"/>
          </w:tcPr>
          <w:p>
            <w:pPr>
              <w:jc w:val="center"/>
              <w:rPr>
                <w:noProof/>
              </w:rPr>
            </w:pPr>
            <w:r>
              <w:rPr>
                <w:noProof/>
                <w:sz w:val="18"/>
              </w:rPr>
              <w:t>povprečni stroški</w:t>
            </w:r>
          </w:p>
        </w:tc>
        <w:tc>
          <w:tcPr>
            <w:tcW w:w="504" w:type="dxa"/>
            <w:tcBorders>
              <w:left w:val="nil"/>
              <w:right w:val="dashSmallGap" w:sz="4" w:space="0" w:color="auto"/>
            </w:tcBorders>
            <w:shd w:val="pct10" w:color="auto" w:fill="auto"/>
            <w:textDirection w:val="btLr"/>
            <w:vAlign w:val="center"/>
          </w:tcPr>
          <w:p>
            <w:pPr>
              <w:ind w:left="113" w:right="113"/>
              <w:jc w:val="center"/>
              <w:rPr>
                <w:noProof/>
              </w:rPr>
            </w:pPr>
            <w:r>
              <w:rPr>
                <w:noProof/>
                <w:sz w:val="18"/>
              </w:rPr>
              <w:t>število</w:t>
            </w:r>
          </w:p>
        </w:tc>
        <w:tc>
          <w:tcPr>
            <w:tcW w:w="720" w:type="dxa"/>
            <w:tcBorders>
              <w:left w:val="dashSmallGap" w:sz="4" w:space="0" w:color="auto"/>
            </w:tcBorders>
            <w:shd w:val="pct10" w:color="auto" w:fill="auto"/>
            <w:vAlign w:val="center"/>
          </w:tcPr>
          <w:p>
            <w:pPr>
              <w:jc w:val="center"/>
              <w:rPr>
                <w:noProof/>
                <w:sz w:val="18"/>
              </w:rPr>
            </w:pPr>
            <w:r>
              <w:rPr>
                <w:noProof/>
                <w:sz w:val="18"/>
              </w:rPr>
              <w:t>stroški</w:t>
            </w:r>
          </w:p>
        </w:tc>
        <w:tc>
          <w:tcPr>
            <w:tcW w:w="540" w:type="dxa"/>
            <w:tcBorders>
              <w:right w:val="dashSmallGap" w:sz="4" w:space="0" w:color="auto"/>
            </w:tcBorders>
            <w:shd w:val="pct10" w:color="auto" w:fill="auto"/>
            <w:textDirection w:val="btLr"/>
            <w:vAlign w:val="center"/>
          </w:tcPr>
          <w:p>
            <w:pPr>
              <w:ind w:left="113" w:right="113"/>
              <w:jc w:val="center"/>
              <w:rPr>
                <w:noProof/>
              </w:rPr>
            </w:pPr>
            <w:r>
              <w:rPr>
                <w:noProof/>
                <w:sz w:val="18"/>
              </w:rPr>
              <w:t>število</w:t>
            </w:r>
          </w:p>
        </w:tc>
        <w:tc>
          <w:tcPr>
            <w:tcW w:w="720" w:type="dxa"/>
            <w:tcBorders>
              <w:left w:val="dashSmallGap" w:sz="4" w:space="0" w:color="auto"/>
            </w:tcBorders>
            <w:shd w:val="pct10" w:color="auto" w:fill="auto"/>
            <w:vAlign w:val="center"/>
          </w:tcPr>
          <w:p>
            <w:pPr>
              <w:jc w:val="center"/>
              <w:rPr>
                <w:noProof/>
                <w:sz w:val="18"/>
              </w:rPr>
            </w:pPr>
            <w:r>
              <w:rPr>
                <w:noProof/>
                <w:sz w:val="18"/>
              </w:rPr>
              <w:t>stroški</w:t>
            </w:r>
          </w:p>
        </w:tc>
        <w:tc>
          <w:tcPr>
            <w:tcW w:w="720" w:type="dxa"/>
            <w:tcBorders>
              <w:right w:val="dashSmallGap" w:sz="4" w:space="0" w:color="auto"/>
            </w:tcBorders>
            <w:shd w:val="pct10" w:color="auto" w:fill="auto"/>
            <w:textDirection w:val="btLr"/>
            <w:vAlign w:val="center"/>
          </w:tcPr>
          <w:p>
            <w:pPr>
              <w:ind w:left="113" w:right="113"/>
              <w:jc w:val="center"/>
              <w:rPr>
                <w:noProof/>
              </w:rPr>
            </w:pPr>
            <w:r>
              <w:rPr>
                <w:noProof/>
                <w:sz w:val="18"/>
              </w:rPr>
              <w:t>število</w:t>
            </w:r>
          </w:p>
        </w:tc>
        <w:tc>
          <w:tcPr>
            <w:tcW w:w="720" w:type="dxa"/>
            <w:tcBorders>
              <w:left w:val="dashSmallGap" w:sz="4" w:space="0" w:color="auto"/>
            </w:tcBorders>
            <w:shd w:val="pct10" w:color="auto" w:fill="auto"/>
            <w:vAlign w:val="center"/>
          </w:tcPr>
          <w:p>
            <w:pPr>
              <w:jc w:val="center"/>
              <w:rPr>
                <w:noProof/>
                <w:sz w:val="18"/>
              </w:rPr>
            </w:pPr>
            <w:r>
              <w:rPr>
                <w:noProof/>
                <w:sz w:val="18"/>
              </w:rPr>
              <w:t>stroški</w:t>
            </w:r>
          </w:p>
        </w:tc>
        <w:tc>
          <w:tcPr>
            <w:tcW w:w="900" w:type="dxa"/>
            <w:tcBorders>
              <w:right w:val="dashSmallGap" w:sz="4" w:space="0" w:color="auto"/>
            </w:tcBorders>
            <w:shd w:val="pct10" w:color="auto" w:fill="auto"/>
            <w:textDirection w:val="btLr"/>
            <w:vAlign w:val="center"/>
          </w:tcPr>
          <w:p>
            <w:pPr>
              <w:ind w:left="113" w:right="113"/>
              <w:jc w:val="center"/>
              <w:rPr>
                <w:noProof/>
              </w:rPr>
            </w:pPr>
            <w:r>
              <w:rPr>
                <w:noProof/>
                <w:sz w:val="18"/>
              </w:rPr>
              <w:t>število</w:t>
            </w:r>
          </w:p>
        </w:tc>
        <w:tc>
          <w:tcPr>
            <w:tcW w:w="720" w:type="dxa"/>
            <w:tcBorders>
              <w:left w:val="dashSmallGap" w:sz="4" w:space="0" w:color="auto"/>
            </w:tcBorders>
            <w:shd w:val="pct10" w:color="auto" w:fill="auto"/>
            <w:vAlign w:val="center"/>
          </w:tcPr>
          <w:p>
            <w:pPr>
              <w:jc w:val="center"/>
              <w:rPr>
                <w:noProof/>
                <w:sz w:val="18"/>
              </w:rPr>
            </w:pPr>
            <w:r>
              <w:rPr>
                <w:noProof/>
                <w:sz w:val="18"/>
              </w:rPr>
              <w:t>stroški</w:t>
            </w:r>
          </w:p>
        </w:tc>
        <w:tc>
          <w:tcPr>
            <w:tcW w:w="540" w:type="dxa"/>
            <w:tcBorders>
              <w:right w:val="dashSmallGap" w:sz="4" w:space="0" w:color="auto"/>
            </w:tcBorders>
            <w:shd w:val="pct10" w:color="auto" w:fill="auto"/>
            <w:textDirection w:val="btLr"/>
            <w:vAlign w:val="center"/>
          </w:tcPr>
          <w:p>
            <w:pPr>
              <w:ind w:left="113" w:right="113"/>
              <w:jc w:val="center"/>
              <w:rPr>
                <w:noProof/>
              </w:rPr>
            </w:pPr>
            <w:r>
              <w:rPr>
                <w:noProof/>
                <w:sz w:val="18"/>
              </w:rPr>
              <w:t>število</w:t>
            </w:r>
          </w:p>
        </w:tc>
        <w:tc>
          <w:tcPr>
            <w:tcW w:w="648" w:type="dxa"/>
            <w:tcBorders>
              <w:left w:val="dashSmallGap" w:sz="4" w:space="0" w:color="auto"/>
            </w:tcBorders>
            <w:shd w:val="pct10" w:color="auto" w:fill="auto"/>
            <w:vAlign w:val="center"/>
          </w:tcPr>
          <w:p>
            <w:pPr>
              <w:jc w:val="center"/>
              <w:rPr>
                <w:noProof/>
                <w:sz w:val="18"/>
              </w:rPr>
            </w:pPr>
            <w:r>
              <w:rPr>
                <w:noProof/>
                <w:sz w:val="18"/>
              </w:rPr>
              <w:t>stroški</w:t>
            </w:r>
          </w:p>
        </w:tc>
        <w:tc>
          <w:tcPr>
            <w:tcW w:w="432" w:type="dxa"/>
            <w:tcBorders>
              <w:right w:val="dashSmallGap" w:sz="4" w:space="0" w:color="auto"/>
            </w:tcBorders>
            <w:shd w:val="pct10" w:color="auto" w:fill="auto"/>
            <w:textDirection w:val="btLr"/>
            <w:vAlign w:val="center"/>
          </w:tcPr>
          <w:p>
            <w:pPr>
              <w:ind w:left="113" w:right="113"/>
              <w:jc w:val="center"/>
              <w:rPr>
                <w:noProof/>
              </w:rPr>
            </w:pPr>
            <w:r>
              <w:rPr>
                <w:noProof/>
                <w:sz w:val="18"/>
              </w:rPr>
              <w:t>število</w:t>
            </w:r>
          </w:p>
        </w:tc>
        <w:tc>
          <w:tcPr>
            <w:tcW w:w="720" w:type="dxa"/>
            <w:tcBorders>
              <w:left w:val="dashSmallGap" w:sz="4" w:space="0" w:color="auto"/>
            </w:tcBorders>
            <w:shd w:val="pct10" w:color="auto" w:fill="auto"/>
            <w:vAlign w:val="center"/>
          </w:tcPr>
          <w:p>
            <w:pPr>
              <w:jc w:val="center"/>
              <w:rPr>
                <w:noProof/>
                <w:sz w:val="18"/>
              </w:rPr>
            </w:pPr>
            <w:r>
              <w:rPr>
                <w:noProof/>
                <w:sz w:val="18"/>
              </w:rPr>
              <w:t>stroški</w:t>
            </w:r>
          </w:p>
        </w:tc>
        <w:tc>
          <w:tcPr>
            <w:tcW w:w="540" w:type="dxa"/>
            <w:tcBorders>
              <w:right w:val="dashSmallGap" w:sz="4" w:space="0" w:color="auto"/>
            </w:tcBorders>
            <w:shd w:val="pct10" w:color="auto" w:fill="auto"/>
            <w:textDirection w:val="btLr"/>
            <w:vAlign w:val="center"/>
          </w:tcPr>
          <w:p>
            <w:pPr>
              <w:ind w:left="113" w:right="113"/>
              <w:jc w:val="center"/>
              <w:rPr>
                <w:noProof/>
              </w:rPr>
            </w:pPr>
            <w:r>
              <w:rPr>
                <w:noProof/>
                <w:sz w:val="18"/>
              </w:rPr>
              <w:t>število</w:t>
            </w:r>
          </w:p>
        </w:tc>
        <w:tc>
          <w:tcPr>
            <w:tcW w:w="720" w:type="dxa"/>
            <w:tcBorders>
              <w:left w:val="dashSmallGap" w:sz="4" w:space="0" w:color="auto"/>
            </w:tcBorders>
            <w:shd w:val="pct10" w:color="auto" w:fill="auto"/>
            <w:vAlign w:val="center"/>
          </w:tcPr>
          <w:p>
            <w:pPr>
              <w:jc w:val="center"/>
              <w:rPr>
                <w:noProof/>
                <w:sz w:val="18"/>
              </w:rPr>
            </w:pPr>
            <w:r>
              <w:rPr>
                <w:noProof/>
                <w:sz w:val="18"/>
              </w:rPr>
              <w:t>stroški</w:t>
            </w:r>
          </w:p>
        </w:tc>
        <w:tc>
          <w:tcPr>
            <w:tcW w:w="720" w:type="dxa"/>
            <w:tcBorders>
              <w:right w:val="dashSmallGap" w:sz="4" w:space="0" w:color="auto"/>
            </w:tcBorders>
            <w:shd w:val="pct10" w:color="auto" w:fill="auto"/>
            <w:vAlign w:val="center"/>
          </w:tcPr>
          <w:p>
            <w:pPr>
              <w:jc w:val="center"/>
              <w:rPr>
                <w:noProof/>
                <w:sz w:val="18"/>
              </w:rPr>
            </w:pPr>
            <w:r>
              <w:rPr>
                <w:noProof/>
                <w:sz w:val="18"/>
              </w:rPr>
              <w:t>število realizacij skupaj</w:t>
            </w:r>
          </w:p>
        </w:tc>
        <w:tc>
          <w:tcPr>
            <w:tcW w:w="900" w:type="dxa"/>
            <w:tcBorders>
              <w:left w:val="dashSmallGap" w:sz="4" w:space="0" w:color="auto"/>
            </w:tcBorders>
            <w:shd w:val="pct10" w:color="auto" w:fill="auto"/>
            <w:vAlign w:val="center"/>
          </w:tcPr>
          <w:p>
            <w:pPr>
              <w:jc w:val="center"/>
              <w:rPr>
                <w:noProof/>
              </w:rPr>
            </w:pPr>
            <w:r>
              <w:rPr>
                <w:noProof/>
                <w:sz w:val="18"/>
              </w:rPr>
              <w:t>stroški realizacij skupaj</w:t>
            </w:r>
          </w:p>
        </w:tc>
      </w:tr>
      <w:tr>
        <w:trPr>
          <w:jc w:val="center"/>
        </w:trPr>
        <w:tc>
          <w:tcPr>
            <w:tcW w:w="3155" w:type="dxa"/>
            <w:gridSpan w:val="3"/>
            <w:vAlign w:val="center"/>
          </w:tcPr>
          <w:p>
            <w:pPr>
              <w:spacing w:before="60" w:after="60"/>
              <w:ind w:right="-29"/>
              <w:jc w:val="center"/>
              <w:rPr>
                <w:noProof/>
                <w:sz w:val="18"/>
              </w:rPr>
            </w:pPr>
            <w:r>
              <w:rPr>
                <w:noProof/>
                <w:sz w:val="18"/>
              </w:rPr>
              <w:t>SPECIFIČNI CILJ št. 1</w:t>
            </w:r>
            <w:r>
              <w:rPr>
                <w:rStyle w:val="FootnoteReference"/>
                <w:noProof/>
                <w:sz w:val="18"/>
              </w:rPr>
              <w:footnoteReference w:id="73"/>
            </w:r>
            <w:r>
              <w:rPr>
                <w:noProof/>
                <w:sz w:val="18"/>
              </w:rPr>
              <w:t xml:space="preserve"> Podpora platformi pri delu v zvezi s taksonomijo, zagotovitev vhodnih podatkov za opazovalnico za financiranje trajnostne rasti ter izvajanje ukrepov akcijskega načrta za financiranje trajnostne rasti </w:t>
            </w:r>
          </w:p>
        </w:tc>
        <w:tc>
          <w:tcPr>
            <w:tcW w:w="504"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54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90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540" w:type="dxa"/>
            <w:tcBorders>
              <w:top w:val="nil"/>
              <w:left w:val="nil"/>
              <w:bottom w:val="nil"/>
              <w:right w:val="nil"/>
            </w:tcBorders>
          </w:tcPr>
          <w:p>
            <w:pPr>
              <w:spacing w:before="60" w:after="60"/>
              <w:ind w:right="-29"/>
              <w:jc w:val="center"/>
              <w:rPr>
                <w:noProof/>
                <w:sz w:val="18"/>
              </w:rPr>
            </w:pPr>
          </w:p>
        </w:tc>
        <w:tc>
          <w:tcPr>
            <w:tcW w:w="648" w:type="dxa"/>
            <w:tcBorders>
              <w:top w:val="nil"/>
              <w:left w:val="nil"/>
              <w:bottom w:val="nil"/>
              <w:right w:val="nil"/>
            </w:tcBorders>
          </w:tcPr>
          <w:p>
            <w:pPr>
              <w:spacing w:before="60" w:after="60"/>
              <w:ind w:right="-29"/>
              <w:jc w:val="center"/>
              <w:rPr>
                <w:noProof/>
                <w:sz w:val="18"/>
              </w:rPr>
            </w:pPr>
          </w:p>
        </w:tc>
        <w:tc>
          <w:tcPr>
            <w:tcW w:w="432"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54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900" w:type="dxa"/>
            <w:tcBorders>
              <w:top w:val="nil"/>
              <w:left w:val="nil"/>
              <w:bottom w:val="nil"/>
              <w:right w:val="nil"/>
            </w:tcBorders>
          </w:tcPr>
          <w:p>
            <w:pPr>
              <w:spacing w:before="60" w:after="60"/>
              <w:ind w:right="-29"/>
              <w:jc w:val="center"/>
              <w:rPr>
                <w:noProof/>
                <w:sz w:val="18"/>
              </w:rPr>
            </w:pPr>
          </w:p>
        </w:tc>
      </w:tr>
      <w:tr>
        <w:trPr>
          <w:trHeight w:hRule="exact" w:val="1347"/>
          <w:jc w:val="center"/>
        </w:trPr>
        <w:tc>
          <w:tcPr>
            <w:tcW w:w="1423" w:type="dxa"/>
          </w:tcPr>
          <w:p>
            <w:pPr>
              <w:ind w:right="-29"/>
              <w:jc w:val="center"/>
              <w:rPr>
                <w:noProof/>
                <w:sz w:val="18"/>
              </w:rPr>
            </w:pPr>
            <w:r>
              <w:rPr>
                <w:noProof/>
                <w:sz w:val="18"/>
              </w:rPr>
              <w:t>zagotoviti analizo, smernice, poročila, podatke in svetovanje</w:t>
            </w:r>
          </w:p>
        </w:tc>
        <w:tc>
          <w:tcPr>
            <w:tcW w:w="1031" w:type="dxa"/>
          </w:tcPr>
          <w:p>
            <w:pPr>
              <w:ind w:right="-29"/>
              <w:jc w:val="center"/>
              <w:rPr>
                <w:noProof/>
                <w:sz w:val="18"/>
              </w:rPr>
            </w:pPr>
            <w:r>
              <w:rPr>
                <w:noProof/>
                <w:sz w:val="18"/>
              </w:rPr>
              <w:t>analize, poročila, podatki in svetovanje</w:t>
            </w:r>
          </w:p>
          <w:p>
            <w:pPr>
              <w:ind w:right="-29"/>
              <w:jc w:val="center"/>
              <w:rPr>
                <w:noProof/>
                <w:sz w:val="18"/>
              </w:rPr>
            </w:pPr>
          </w:p>
        </w:tc>
        <w:tc>
          <w:tcPr>
            <w:tcW w:w="701" w:type="dxa"/>
            <w:vAlign w:val="center"/>
          </w:tcPr>
          <w:p>
            <w:pPr>
              <w:ind w:right="-29"/>
              <w:jc w:val="center"/>
              <w:rPr>
                <w:noProof/>
                <w:sz w:val="18"/>
                <w:szCs w:val="18"/>
              </w:rPr>
            </w:pPr>
            <w:r>
              <w:rPr>
                <w:noProof/>
                <w:sz w:val="18"/>
              </w:rPr>
              <w:t>0,034 (na EPDČ)</w:t>
            </w:r>
          </w:p>
        </w:tc>
        <w:tc>
          <w:tcPr>
            <w:tcW w:w="504" w:type="dxa"/>
            <w:tcBorders>
              <w:right w:val="dashSmallGap" w:sz="4" w:space="0" w:color="auto"/>
            </w:tcBorders>
            <w:vAlign w:val="center"/>
          </w:tcPr>
          <w:p>
            <w:pPr>
              <w:ind w:right="-29"/>
              <w:rPr>
                <w:noProof/>
                <w:sz w:val="18"/>
              </w:rPr>
            </w:pPr>
            <w:r>
              <w:rPr>
                <w:noProof/>
                <w:sz w:val="18"/>
              </w:rPr>
              <w:t>1</w:t>
            </w:r>
          </w:p>
        </w:tc>
        <w:tc>
          <w:tcPr>
            <w:tcW w:w="720" w:type="dxa"/>
            <w:tcBorders>
              <w:left w:val="dashSmallGap" w:sz="4" w:space="0" w:color="auto"/>
            </w:tcBorders>
            <w:vAlign w:val="center"/>
          </w:tcPr>
          <w:p>
            <w:pPr>
              <w:ind w:right="-29"/>
              <w:jc w:val="center"/>
              <w:rPr>
                <w:noProof/>
                <w:sz w:val="18"/>
              </w:rPr>
            </w:pPr>
            <w:r>
              <w:rPr>
                <w:noProof/>
                <w:sz w:val="18"/>
              </w:rPr>
              <w:t xml:space="preserve">0,034 </w:t>
            </w:r>
          </w:p>
        </w:tc>
        <w:tc>
          <w:tcPr>
            <w:tcW w:w="540" w:type="dxa"/>
            <w:tcBorders>
              <w:right w:val="dashSmallGap" w:sz="4" w:space="0" w:color="auto"/>
            </w:tcBorders>
            <w:vAlign w:val="center"/>
          </w:tcPr>
          <w:p>
            <w:pPr>
              <w:ind w:right="-29"/>
              <w:jc w:val="center"/>
              <w:rPr>
                <w:noProof/>
                <w:sz w:val="18"/>
              </w:rPr>
            </w:pPr>
            <w:r>
              <w:rPr>
                <w:noProof/>
                <w:sz w:val="18"/>
              </w:rPr>
              <w:t>1</w:t>
            </w:r>
          </w:p>
        </w:tc>
        <w:tc>
          <w:tcPr>
            <w:tcW w:w="720" w:type="dxa"/>
            <w:tcBorders>
              <w:left w:val="dashSmallGap" w:sz="4" w:space="0" w:color="auto"/>
            </w:tcBorders>
            <w:vAlign w:val="center"/>
          </w:tcPr>
          <w:p>
            <w:pPr>
              <w:ind w:right="-29"/>
              <w:jc w:val="center"/>
              <w:rPr>
                <w:noProof/>
                <w:sz w:val="18"/>
              </w:rPr>
            </w:pPr>
            <w:r>
              <w:rPr>
                <w:noProof/>
                <w:sz w:val="18"/>
              </w:rPr>
              <w:t xml:space="preserve">0,034 </w:t>
            </w:r>
          </w:p>
        </w:tc>
        <w:tc>
          <w:tcPr>
            <w:tcW w:w="720" w:type="dxa"/>
            <w:tcBorders>
              <w:right w:val="dashSmallGap" w:sz="4" w:space="0" w:color="auto"/>
            </w:tcBorders>
            <w:vAlign w:val="center"/>
          </w:tcPr>
          <w:p>
            <w:pPr>
              <w:ind w:right="-29"/>
              <w:jc w:val="center"/>
              <w:rPr>
                <w:noProof/>
                <w:sz w:val="18"/>
              </w:rPr>
            </w:pPr>
            <w:r>
              <w:rPr>
                <w:noProof/>
                <w:sz w:val="18"/>
              </w:rPr>
              <w:t xml:space="preserve">1 </w:t>
            </w:r>
          </w:p>
        </w:tc>
        <w:tc>
          <w:tcPr>
            <w:tcW w:w="720" w:type="dxa"/>
            <w:tcBorders>
              <w:left w:val="dashSmallGap" w:sz="4" w:space="0" w:color="auto"/>
            </w:tcBorders>
            <w:vAlign w:val="center"/>
          </w:tcPr>
          <w:p>
            <w:pPr>
              <w:ind w:right="-29"/>
              <w:jc w:val="center"/>
              <w:rPr>
                <w:noProof/>
                <w:sz w:val="18"/>
              </w:rPr>
            </w:pPr>
            <w:r>
              <w:rPr>
                <w:noProof/>
                <w:sz w:val="18"/>
              </w:rPr>
              <w:t xml:space="preserve">0,034 </w:t>
            </w:r>
          </w:p>
        </w:tc>
        <w:tc>
          <w:tcPr>
            <w:tcW w:w="900" w:type="dxa"/>
            <w:tcBorders>
              <w:right w:val="dashSmallGap" w:sz="4" w:space="0" w:color="auto"/>
            </w:tcBorders>
            <w:vAlign w:val="center"/>
          </w:tcPr>
          <w:p>
            <w:pPr>
              <w:ind w:right="-29"/>
              <w:jc w:val="center"/>
              <w:rPr>
                <w:noProof/>
                <w:sz w:val="18"/>
              </w:rPr>
            </w:pPr>
            <w:r>
              <w:rPr>
                <w:noProof/>
                <w:sz w:val="18"/>
              </w:rPr>
              <w:t xml:space="preserve">1 </w:t>
            </w:r>
          </w:p>
        </w:tc>
        <w:tc>
          <w:tcPr>
            <w:tcW w:w="720" w:type="dxa"/>
            <w:tcBorders>
              <w:left w:val="dashSmallGap" w:sz="4" w:space="0" w:color="auto"/>
            </w:tcBorders>
            <w:vAlign w:val="center"/>
          </w:tcPr>
          <w:p>
            <w:pPr>
              <w:ind w:right="-29"/>
              <w:jc w:val="center"/>
              <w:rPr>
                <w:noProof/>
                <w:sz w:val="18"/>
              </w:rPr>
            </w:pPr>
            <w:r>
              <w:rPr>
                <w:noProof/>
                <w:sz w:val="18"/>
              </w:rPr>
              <w:t xml:space="preserve">0,034 </w:t>
            </w:r>
          </w:p>
        </w:tc>
        <w:tc>
          <w:tcPr>
            <w:tcW w:w="540" w:type="dxa"/>
            <w:tcBorders>
              <w:right w:val="dashSmallGap" w:sz="4" w:space="0" w:color="auto"/>
            </w:tcBorders>
          </w:tcPr>
          <w:p>
            <w:pPr>
              <w:ind w:right="-29"/>
              <w:jc w:val="center"/>
              <w:rPr>
                <w:noProof/>
                <w:sz w:val="18"/>
              </w:rPr>
            </w:pPr>
          </w:p>
        </w:tc>
        <w:tc>
          <w:tcPr>
            <w:tcW w:w="648" w:type="dxa"/>
            <w:tcBorders>
              <w:left w:val="dashSmallGap" w:sz="4" w:space="0" w:color="auto"/>
            </w:tcBorders>
          </w:tcPr>
          <w:p>
            <w:pPr>
              <w:ind w:right="-29"/>
              <w:jc w:val="center"/>
              <w:rPr>
                <w:noProof/>
                <w:sz w:val="18"/>
              </w:rPr>
            </w:pPr>
          </w:p>
        </w:tc>
        <w:tc>
          <w:tcPr>
            <w:tcW w:w="432" w:type="dxa"/>
            <w:tcBorders>
              <w:right w:val="dashSmallGap" w:sz="4" w:space="0" w:color="auto"/>
            </w:tcBorders>
          </w:tcPr>
          <w:p>
            <w:pPr>
              <w:ind w:right="-29"/>
              <w:jc w:val="center"/>
              <w:rPr>
                <w:noProof/>
                <w:sz w:val="18"/>
              </w:rPr>
            </w:pPr>
          </w:p>
        </w:tc>
        <w:tc>
          <w:tcPr>
            <w:tcW w:w="720" w:type="dxa"/>
            <w:tcBorders>
              <w:left w:val="dashSmallGap" w:sz="4" w:space="0" w:color="auto"/>
            </w:tcBorders>
          </w:tcPr>
          <w:p>
            <w:pPr>
              <w:ind w:right="-29"/>
              <w:jc w:val="center"/>
              <w:rPr>
                <w:noProof/>
                <w:sz w:val="18"/>
              </w:rPr>
            </w:pPr>
          </w:p>
        </w:tc>
        <w:tc>
          <w:tcPr>
            <w:tcW w:w="540" w:type="dxa"/>
            <w:tcBorders>
              <w:right w:val="dashSmallGap" w:sz="4" w:space="0" w:color="auto"/>
            </w:tcBorders>
          </w:tcPr>
          <w:p>
            <w:pPr>
              <w:ind w:right="-29"/>
              <w:jc w:val="center"/>
              <w:rPr>
                <w:noProof/>
                <w:sz w:val="18"/>
              </w:rPr>
            </w:pPr>
          </w:p>
        </w:tc>
        <w:tc>
          <w:tcPr>
            <w:tcW w:w="720" w:type="dxa"/>
            <w:tcBorders>
              <w:left w:val="dashSmallGap" w:sz="4" w:space="0" w:color="auto"/>
            </w:tcBorders>
          </w:tcPr>
          <w:p>
            <w:pPr>
              <w:ind w:right="-29"/>
              <w:jc w:val="center"/>
              <w:rPr>
                <w:noProof/>
                <w:sz w:val="18"/>
              </w:rPr>
            </w:pPr>
          </w:p>
        </w:tc>
        <w:tc>
          <w:tcPr>
            <w:tcW w:w="720" w:type="dxa"/>
            <w:vAlign w:val="center"/>
          </w:tcPr>
          <w:p>
            <w:pPr>
              <w:ind w:right="-29"/>
              <w:jc w:val="center"/>
              <w:rPr>
                <w:b/>
                <w:bCs/>
                <w:noProof/>
                <w:sz w:val="18"/>
              </w:rPr>
            </w:pPr>
            <w:r>
              <w:rPr>
                <w:b/>
                <w:noProof/>
                <w:sz w:val="18"/>
              </w:rPr>
              <w:t>1</w:t>
            </w:r>
          </w:p>
        </w:tc>
        <w:tc>
          <w:tcPr>
            <w:tcW w:w="900" w:type="dxa"/>
            <w:vAlign w:val="center"/>
          </w:tcPr>
          <w:p>
            <w:pPr>
              <w:ind w:right="-29"/>
              <w:jc w:val="center"/>
              <w:rPr>
                <w:b/>
                <w:bCs/>
                <w:noProof/>
                <w:sz w:val="18"/>
              </w:rPr>
            </w:pPr>
          </w:p>
          <w:p>
            <w:pPr>
              <w:jc w:val="center"/>
              <w:rPr>
                <w:rFonts w:ascii="Calibri" w:hAnsi="Calibri"/>
                <w:b/>
                <w:bCs/>
                <w:noProof/>
                <w:color w:val="000000"/>
                <w:sz w:val="22"/>
              </w:rPr>
            </w:pPr>
            <w:r>
              <w:rPr>
                <w:rFonts w:ascii="Calibri" w:hAnsi="Calibri"/>
                <w:b/>
                <w:noProof/>
                <w:color w:val="000000"/>
                <w:sz w:val="22"/>
              </w:rPr>
              <w:t>0,136</w:t>
            </w:r>
          </w:p>
          <w:p>
            <w:pPr>
              <w:ind w:right="-29"/>
              <w:jc w:val="center"/>
              <w:rPr>
                <w:b/>
                <w:bCs/>
                <w:noProof/>
                <w:sz w:val="18"/>
              </w:rPr>
            </w:pPr>
          </w:p>
        </w:tc>
      </w:tr>
      <w:tr>
        <w:trPr>
          <w:jc w:val="center"/>
        </w:trPr>
        <w:tc>
          <w:tcPr>
            <w:tcW w:w="3155" w:type="dxa"/>
            <w:gridSpan w:val="3"/>
            <w:tcBorders>
              <w:bottom w:val="single" w:sz="12" w:space="0" w:color="auto"/>
            </w:tcBorders>
            <w:vAlign w:val="center"/>
          </w:tcPr>
          <w:p>
            <w:pPr>
              <w:ind w:right="-29"/>
              <w:jc w:val="center"/>
              <w:rPr>
                <w:noProof/>
                <w:sz w:val="18"/>
              </w:rPr>
            </w:pPr>
            <w:r>
              <w:rPr>
                <w:noProof/>
                <w:sz w:val="18"/>
              </w:rPr>
              <w:t>Seštevek za specifični cilj št. 1</w:t>
            </w:r>
          </w:p>
        </w:tc>
        <w:tc>
          <w:tcPr>
            <w:tcW w:w="504" w:type="dxa"/>
            <w:tcBorders>
              <w:bottom w:val="single" w:sz="12" w:space="0" w:color="auto"/>
            </w:tcBorders>
            <w:vAlign w:val="center"/>
          </w:tcPr>
          <w:p>
            <w:pPr>
              <w:ind w:right="-29"/>
              <w:rPr>
                <w:b/>
                <w:bCs/>
                <w:noProof/>
                <w:sz w:val="18"/>
              </w:rPr>
            </w:pPr>
          </w:p>
        </w:tc>
        <w:tc>
          <w:tcPr>
            <w:tcW w:w="720" w:type="dxa"/>
            <w:tcBorders>
              <w:bottom w:val="single" w:sz="12" w:space="0" w:color="auto"/>
            </w:tcBorders>
            <w:vAlign w:val="center"/>
          </w:tcPr>
          <w:p>
            <w:pPr>
              <w:ind w:right="-29"/>
              <w:jc w:val="center"/>
              <w:rPr>
                <w:b/>
                <w:bCs/>
                <w:noProof/>
                <w:sz w:val="18"/>
              </w:rPr>
            </w:pPr>
            <w:r>
              <w:rPr>
                <w:b/>
                <w:noProof/>
                <w:sz w:val="18"/>
              </w:rPr>
              <w:t xml:space="preserve">0,034 </w:t>
            </w:r>
          </w:p>
        </w:tc>
        <w:tc>
          <w:tcPr>
            <w:tcW w:w="540" w:type="dxa"/>
            <w:tcBorders>
              <w:bottom w:val="single" w:sz="12" w:space="0" w:color="auto"/>
            </w:tcBorders>
            <w:vAlign w:val="center"/>
          </w:tcPr>
          <w:p>
            <w:pPr>
              <w:ind w:right="-29"/>
              <w:jc w:val="center"/>
              <w:rPr>
                <w:b/>
                <w:bCs/>
                <w:noProof/>
                <w:sz w:val="18"/>
              </w:rPr>
            </w:pPr>
          </w:p>
        </w:tc>
        <w:tc>
          <w:tcPr>
            <w:tcW w:w="720" w:type="dxa"/>
            <w:tcBorders>
              <w:bottom w:val="single" w:sz="12" w:space="0" w:color="auto"/>
            </w:tcBorders>
            <w:vAlign w:val="center"/>
          </w:tcPr>
          <w:p>
            <w:pPr>
              <w:ind w:right="-29"/>
              <w:jc w:val="center"/>
              <w:rPr>
                <w:b/>
                <w:bCs/>
                <w:noProof/>
                <w:sz w:val="18"/>
              </w:rPr>
            </w:pPr>
            <w:r>
              <w:rPr>
                <w:b/>
                <w:noProof/>
                <w:sz w:val="18"/>
              </w:rPr>
              <w:t xml:space="preserve">0,034 </w:t>
            </w:r>
          </w:p>
        </w:tc>
        <w:tc>
          <w:tcPr>
            <w:tcW w:w="720" w:type="dxa"/>
            <w:tcBorders>
              <w:bottom w:val="single" w:sz="12" w:space="0" w:color="auto"/>
            </w:tcBorders>
            <w:vAlign w:val="center"/>
          </w:tcPr>
          <w:p>
            <w:pPr>
              <w:ind w:right="-29"/>
              <w:jc w:val="center"/>
              <w:rPr>
                <w:b/>
                <w:bCs/>
                <w:noProof/>
                <w:sz w:val="18"/>
              </w:rPr>
            </w:pPr>
          </w:p>
        </w:tc>
        <w:tc>
          <w:tcPr>
            <w:tcW w:w="720" w:type="dxa"/>
            <w:tcBorders>
              <w:bottom w:val="single" w:sz="12" w:space="0" w:color="auto"/>
            </w:tcBorders>
            <w:vAlign w:val="center"/>
          </w:tcPr>
          <w:p>
            <w:pPr>
              <w:ind w:right="-29"/>
              <w:jc w:val="center"/>
              <w:rPr>
                <w:b/>
                <w:bCs/>
                <w:noProof/>
                <w:sz w:val="18"/>
              </w:rPr>
            </w:pPr>
            <w:r>
              <w:rPr>
                <w:b/>
                <w:noProof/>
                <w:sz w:val="18"/>
              </w:rPr>
              <w:t xml:space="preserve">0,034 </w:t>
            </w:r>
          </w:p>
        </w:tc>
        <w:tc>
          <w:tcPr>
            <w:tcW w:w="900" w:type="dxa"/>
            <w:tcBorders>
              <w:bottom w:val="single" w:sz="12" w:space="0" w:color="auto"/>
            </w:tcBorders>
            <w:vAlign w:val="center"/>
          </w:tcPr>
          <w:p>
            <w:pPr>
              <w:ind w:right="-29"/>
              <w:jc w:val="center"/>
              <w:rPr>
                <w:b/>
                <w:bCs/>
                <w:noProof/>
                <w:sz w:val="18"/>
              </w:rPr>
            </w:pPr>
          </w:p>
        </w:tc>
        <w:tc>
          <w:tcPr>
            <w:tcW w:w="720" w:type="dxa"/>
            <w:tcBorders>
              <w:bottom w:val="single" w:sz="12" w:space="0" w:color="auto"/>
            </w:tcBorders>
            <w:vAlign w:val="center"/>
          </w:tcPr>
          <w:p>
            <w:pPr>
              <w:ind w:right="-29"/>
              <w:jc w:val="center"/>
              <w:rPr>
                <w:b/>
                <w:bCs/>
                <w:noProof/>
                <w:sz w:val="18"/>
              </w:rPr>
            </w:pPr>
            <w:r>
              <w:rPr>
                <w:b/>
                <w:noProof/>
                <w:sz w:val="18"/>
              </w:rPr>
              <w:t xml:space="preserve">0,034 </w:t>
            </w:r>
          </w:p>
        </w:tc>
        <w:tc>
          <w:tcPr>
            <w:tcW w:w="540" w:type="dxa"/>
            <w:tcBorders>
              <w:bottom w:val="single" w:sz="12" w:space="0" w:color="auto"/>
            </w:tcBorders>
          </w:tcPr>
          <w:p>
            <w:pPr>
              <w:ind w:right="-29"/>
              <w:jc w:val="center"/>
              <w:rPr>
                <w:noProof/>
                <w:sz w:val="18"/>
              </w:rPr>
            </w:pPr>
          </w:p>
        </w:tc>
        <w:tc>
          <w:tcPr>
            <w:tcW w:w="648" w:type="dxa"/>
            <w:tcBorders>
              <w:bottom w:val="single" w:sz="12" w:space="0" w:color="auto"/>
            </w:tcBorders>
          </w:tcPr>
          <w:p>
            <w:pPr>
              <w:ind w:right="-29"/>
              <w:jc w:val="center"/>
              <w:rPr>
                <w:noProof/>
                <w:sz w:val="18"/>
              </w:rPr>
            </w:pPr>
          </w:p>
        </w:tc>
        <w:tc>
          <w:tcPr>
            <w:tcW w:w="432" w:type="dxa"/>
            <w:tcBorders>
              <w:bottom w:val="single" w:sz="12" w:space="0" w:color="auto"/>
            </w:tcBorders>
          </w:tcPr>
          <w:p>
            <w:pPr>
              <w:ind w:right="-29"/>
              <w:jc w:val="center"/>
              <w:rPr>
                <w:noProof/>
                <w:sz w:val="18"/>
              </w:rPr>
            </w:pPr>
          </w:p>
        </w:tc>
        <w:tc>
          <w:tcPr>
            <w:tcW w:w="720" w:type="dxa"/>
            <w:tcBorders>
              <w:bottom w:val="single" w:sz="12" w:space="0" w:color="auto"/>
            </w:tcBorders>
          </w:tcPr>
          <w:p>
            <w:pPr>
              <w:ind w:right="-29"/>
              <w:jc w:val="center"/>
              <w:rPr>
                <w:noProof/>
                <w:sz w:val="18"/>
              </w:rPr>
            </w:pPr>
          </w:p>
        </w:tc>
        <w:tc>
          <w:tcPr>
            <w:tcW w:w="540" w:type="dxa"/>
            <w:tcBorders>
              <w:bottom w:val="single" w:sz="12" w:space="0" w:color="auto"/>
            </w:tcBorders>
          </w:tcPr>
          <w:p>
            <w:pPr>
              <w:ind w:right="-29"/>
              <w:jc w:val="center"/>
              <w:rPr>
                <w:noProof/>
                <w:sz w:val="18"/>
              </w:rPr>
            </w:pPr>
          </w:p>
        </w:tc>
        <w:tc>
          <w:tcPr>
            <w:tcW w:w="720" w:type="dxa"/>
            <w:tcBorders>
              <w:bottom w:val="single" w:sz="12" w:space="0" w:color="auto"/>
            </w:tcBorders>
          </w:tcPr>
          <w:p>
            <w:pPr>
              <w:ind w:right="-29"/>
              <w:jc w:val="center"/>
              <w:rPr>
                <w:noProof/>
                <w:sz w:val="18"/>
              </w:rPr>
            </w:pPr>
          </w:p>
        </w:tc>
        <w:tc>
          <w:tcPr>
            <w:tcW w:w="720" w:type="dxa"/>
            <w:tcBorders>
              <w:bottom w:val="single" w:sz="12" w:space="0" w:color="auto"/>
            </w:tcBorders>
          </w:tcPr>
          <w:p>
            <w:pPr>
              <w:ind w:right="-29"/>
              <w:jc w:val="center"/>
              <w:rPr>
                <w:noProof/>
                <w:sz w:val="18"/>
              </w:rPr>
            </w:pPr>
          </w:p>
        </w:tc>
        <w:tc>
          <w:tcPr>
            <w:tcW w:w="900" w:type="dxa"/>
            <w:tcBorders>
              <w:bottom w:val="single" w:sz="12" w:space="0" w:color="auto"/>
            </w:tcBorders>
          </w:tcPr>
          <w:p>
            <w:pPr>
              <w:jc w:val="center"/>
              <w:rPr>
                <w:rFonts w:ascii="Calibri" w:hAnsi="Calibri"/>
                <w:b/>
                <w:bCs/>
                <w:noProof/>
                <w:color w:val="000000"/>
                <w:sz w:val="22"/>
              </w:rPr>
            </w:pPr>
            <w:r>
              <w:rPr>
                <w:rFonts w:ascii="Calibri" w:hAnsi="Calibri"/>
                <w:b/>
                <w:noProof/>
                <w:color w:val="000000"/>
                <w:sz w:val="22"/>
              </w:rPr>
              <w:t>0,136</w:t>
            </w:r>
          </w:p>
          <w:p>
            <w:pPr>
              <w:ind w:right="-29"/>
              <w:jc w:val="center"/>
              <w:rPr>
                <w:noProof/>
                <w:sz w:val="18"/>
              </w:rPr>
            </w:pPr>
          </w:p>
        </w:tc>
      </w:tr>
      <w:tr>
        <w:trPr>
          <w:jc w:val="center"/>
        </w:trPr>
        <w:tc>
          <w:tcPr>
            <w:tcW w:w="3155" w:type="dxa"/>
            <w:gridSpan w:val="3"/>
            <w:tcBorders>
              <w:top w:val="single" w:sz="12" w:space="0" w:color="auto"/>
              <w:left w:val="single" w:sz="12" w:space="0" w:color="auto"/>
              <w:bottom w:val="single" w:sz="12" w:space="0" w:color="auto"/>
            </w:tcBorders>
            <w:vAlign w:val="center"/>
          </w:tcPr>
          <w:p>
            <w:pPr>
              <w:ind w:right="-29"/>
              <w:jc w:val="center"/>
              <w:rPr>
                <w:noProof/>
                <w:sz w:val="18"/>
              </w:rPr>
            </w:pPr>
            <w:r>
              <w:rPr>
                <w:b/>
                <w:noProof/>
                <w:sz w:val="18"/>
              </w:rPr>
              <w:t>STROŠKI SKUPAJ</w:t>
            </w:r>
          </w:p>
        </w:tc>
        <w:tc>
          <w:tcPr>
            <w:tcW w:w="504"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vAlign w:val="center"/>
          </w:tcPr>
          <w:p>
            <w:pPr>
              <w:spacing w:before="180" w:after="180"/>
              <w:ind w:right="-29"/>
              <w:jc w:val="center"/>
              <w:rPr>
                <w:noProof/>
                <w:sz w:val="18"/>
              </w:rPr>
            </w:pPr>
            <w:r>
              <w:rPr>
                <w:b/>
                <w:noProof/>
                <w:sz w:val="18"/>
              </w:rPr>
              <w:t xml:space="preserve">0,034 </w:t>
            </w:r>
          </w:p>
        </w:tc>
        <w:tc>
          <w:tcPr>
            <w:tcW w:w="540" w:type="dxa"/>
            <w:tcBorders>
              <w:top w:val="single" w:sz="12" w:space="0" w:color="auto"/>
              <w:bottom w:val="single" w:sz="12" w:space="0" w:color="auto"/>
            </w:tcBorders>
            <w:vAlign w:val="center"/>
          </w:tcPr>
          <w:p>
            <w:pPr>
              <w:spacing w:before="180" w:after="180"/>
              <w:ind w:right="-29"/>
              <w:jc w:val="center"/>
              <w:rPr>
                <w:noProof/>
                <w:sz w:val="18"/>
              </w:rPr>
            </w:pPr>
          </w:p>
        </w:tc>
        <w:tc>
          <w:tcPr>
            <w:tcW w:w="720" w:type="dxa"/>
            <w:tcBorders>
              <w:top w:val="single" w:sz="12" w:space="0" w:color="auto"/>
              <w:bottom w:val="single" w:sz="12" w:space="0" w:color="auto"/>
            </w:tcBorders>
            <w:vAlign w:val="center"/>
          </w:tcPr>
          <w:p>
            <w:pPr>
              <w:spacing w:before="180" w:after="180"/>
              <w:ind w:right="-29"/>
              <w:jc w:val="center"/>
              <w:rPr>
                <w:noProof/>
                <w:sz w:val="18"/>
              </w:rPr>
            </w:pPr>
            <w:r>
              <w:rPr>
                <w:b/>
                <w:noProof/>
                <w:sz w:val="18"/>
              </w:rPr>
              <w:t xml:space="preserve">0,034 </w:t>
            </w:r>
          </w:p>
        </w:tc>
        <w:tc>
          <w:tcPr>
            <w:tcW w:w="720" w:type="dxa"/>
            <w:tcBorders>
              <w:top w:val="single" w:sz="12" w:space="0" w:color="auto"/>
              <w:bottom w:val="single" w:sz="12" w:space="0" w:color="auto"/>
            </w:tcBorders>
            <w:vAlign w:val="center"/>
          </w:tcPr>
          <w:p>
            <w:pPr>
              <w:spacing w:before="180" w:after="180"/>
              <w:ind w:right="-29"/>
              <w:jc w:val="center"/>
              <w:rPr>
                <w:noProof/>
                <w:sz w:val="18"/>
              </w:rPr>
            </w:pPr>
          </w:p>
        </w:tc>
        <w:tc>
          <w:tcPr>
            <w:tcW w:w="720" w:type="dxa"/>
            <w:tcBorders>
              <w:top w:val="single" w:sz="12" w:space="0" w:color="auto"/>
              <w:bottom w:val="single" w:sz="12" w:space="0" w:color="auto"/>
            </w:tcBorders>
            <w:vAlign w:val="center"/>
          </w:tcPr>
          <w:p>
            <w:pPr>
              <w:spacing w:before="180" w:after="180"/>
              <w:ind w:right="-29"/>
              <w:jc w:val="center"/>
              <w:rPr>
                <w:noProof/>
                <w:sz w:val="18"/>
              </w:rPr>
            </w:pPr>
            <w:r>
              <w:rPr>
                <w:b/>
                <w:noProof/>
                <w:sz w:val="18"/>
              </w:rPr>
              <w:t xml:space="preserve">0,034 </w:t>
            </w:r>
          </w:p>
        </w:tc>
        <w:tc>
          <w:tcPr>
            <w:tcW w:w="900" w:type="dxa"/>
            <w:tcBorders>
              <w:top w:val="single" w:sz="12" w:space="0" w:color="auto"/>
              <w:bottom w:val="single" w:sz="12" w:space="0" w:color="auto"/>
            </w:tcBorders>
            <w:vAlign w:val="center"/>
          </w:tcPr>
          <w:p>
            <w:pPr>
              <w:spacing w:before="180" w:after="180"/>
              <w:ind w:right="-29"/>
              <w:jc w:val="center"/>
              <w:rPr>
                <w:noProof/>
                <w:sz w:val="18"/>
              </w:rPr>
            </w:pPr>
          </w:p>
        </w:tc>
        <w:tc>
          <w:tcPr>
            <w:tcW w:w="720" w:type="dxa"/>
            <w:tcBorders>
              <w:top w:val="single" w:sz="12" w:space="0" w:color="auto"/>
              <w:bottom w:val="single" w:sz="12" w:space="0" w:color="auto"/>
            </w:tcBorders>
            <w:vAlign w:val="center"/>
          </w:tcPr>
          <w:p>
            <w:pPr>
              <w:spacing w:before="180" w:after="180"/>
              <w:ind w:right="-29"/>
              <w:jc w:val="center"/>
              <w:rPr>
                <w:noProof/>
                <w:sz w:val="18"/>
              </w:rPr>
            </w:pPr>
            <w:r>
              <w:rPr>
                <w:b/>
                <w:noProof/>
                <w:sz w:val="18"/>
              </w:rPr>
              <w:t xml:space="preserve">0,034 </w:t>
            </w:r>
          </w:p>
        </w:tc>
        <w:tc>
          <w:tcPr>
            <w:tcW w:w="540" w:type="dxa"/>
            <w:tcBorders>
              <w:top w:val="single" w:sz="12" w:space="0" w:color="auto"/>
              <w:bottom w:val="single" w:sz="12" w:space="0" w:color="auto"/>
            </w:tcBorders>
          </w:tcPr>
          <w:p>
            <w:pPr>
              <w:spacing w:before="180" w:after="180"/>
              <w:ind w:right="-29"/>
              <w:jc w:val="center"/>
              <w:rPr>
                <w:noProof/>
                <w:sz w:val="18"/>
              </w:rPr>
            </w:pPr>
          </w:p>
        </w:tc>
        <w:tc>
          <w:tcPr>
            <w:tcW w:w="648" w:type="dxa"/>
            <w:tcBorders>
              <w:top w:val="single" w:sz="12" w:space="0" w:color="auto"/>
              <w:bottom w:val="single" w:sz="12" w:space="0" w:color="auto"/>
            </w:tcBorders>
          </w:tcPr>
          <w:p>
            <w:pPr>
              <w:spacing w:before="180" w:after="180"/>
              <w:ind w:right="-29"/>
              <w:jc w:val="center"/>
              <w:rPr>
                <w:noProof/>
                <w:sz w:val="18"/>
              </w:rPr>
            </w:pPr>
          </w:p>
        </w:tc>
        <w:tc>
          <w:tcPr>
            <w:tcW w:w="432"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noProof/>
                <w:sz w:val="18"/>
              </w:rPr>
            </w:pPr>
          </w:p>
        </w:tc>
        <w:tc>
          <w:tcPr>
            <w:tcW w:w="540"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noProof/>
                <w:sz w:val="18"/>
              </w:rPr>
            </w:pPr>
          </w:p>
        </w:tc>
        <w:tc>
          <w:tcPr>
            <w:tcW w:w="900" w:type="dxa"/>
            <w:tcBorders>
              <w:top w:val="single" w:sz="12" w:space="0" w:color="auto"/>
              <w:bottom w:val="single" w:sz="12" w:space="0" w:color="auto"/>
              <w:right w:val="single" w:sz="12" w:space="0" w:color="auto"/>
            </w:tcBorders>
            <w:vAlign w:val="center"/>
          </w:tcPr>
          <w:p>
            <w:pPr>
              <w:jc w:val="right"/>
              <w:rPr>
                <w:rFonts w:ascii="Calibri" w:hAnsi="Calibri"/>
                <w:b/>
                <w:bCs/>
                <w:noProof/>
                <w:color w:val="000000"/>
                <w:sz w:val="22"/>
              </w:rPr>
            </w:pPr>
            <w:r>
              <w:rPr>
                <w:rFonts w:ascii="Calibri" w:hAnsi="Calibri"/>
                <w:b/>
                <w:noProof/>
                <w:color w:val="000000"/>
                <w:sz w:val="22"/>
              </w:rPr>
              <w:t>0,136</w:t>
            </w:r>
          </w:p>
          <w:p>
            <w:pPr>
              <w:spacing w:before="180" w:after="180"/>
              <w:ind w:right="-29"/>
              <w:jc w:val="right"/>
              <w:rPr>
                <w:noProof/>
                <w:sz w:val="18"/>
              </w:rPr>
            </w:pPr>
          </w:p>
        </w:tc>
      </w:tr>
    </w:tbl>
    <w:p>
      <w:pPr>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170"/>
        <w:gridCol w:w="708"/>
        <w:gridCol w:w="327"/>
        <w:gridCol w:w="720"/>
        <w:gridCol w:w="540"/>
        <w:gridCol w:w="720"/>
        <w:gridCol w:w="720"/>
        <w:gridCol w:w="720"/>
        <w:gridCol w:w="900"/>
        <w:gridCol w:w="720"/>
        <w:gridCol w:w="540"/>
        <w:gridCol w:w="648"/>
        <w:gridCol w:w="432"/>
        <w:gridCol w:w="720"/>
        <w:gridCol w:w="540"/>
        <w:gridCol w:w="720"/>
        <w:gridCol w:w="720"/>
        <w:gridCol w:w="900"/>
      </w:tblGrid>
      <w:tr>
        <w:trPr>
          <w:gridAfter w:val="19"/>
          <w:wAfter w:w="12185" w:type="dxa"/>
          <w:jc w:val="center"/>
        </w:trPr>
        <w:tc>
          <w:tcPr>
            <w:tcW w:w="1423" w:type="dxa"/>
            <w:vAlign w:val="center"/>
          </w:tcPr>
          <w:p>
            <w:pPr>
              <w:ind w:right="-29"/>
              <w:jc w:val="center"/>
              <w:rPr>
                <w:b/>
                <w:noProof/>
                <w:sz w:val="18"/>
              </w:rPr>
            </w:pPr>
            <w:r>
              <w:rPr>
                <w:b/>
                <w:noProof/>
                <w:sz w:val="22"/>
              </w:rPr>
              <w:t>EIOPA</w:t>
            </w:r>
          </w:p>
        </w:tc>
      </w:tr>
      <w:tr>
        <w:trPr>
          <w:jc w:val="center"/>
        </w:trPr>
        <w:tc>
          <w:tcPr>
            <w:tcW w:w="1423" w:type="dxa"/>
            <w:vMerge w:val="restart"/>
            <w:vAlign w:val="center"/>
          </w:tcPr>
          <w:p>
            <w:pPr>
              <w:ind w:right="-29"/>
              <w:jc w:val="center"/>
              <w:rPr>
                <w:b/>
                <w:noProof/>
                <w:sz w:val="18"/>
              </w:rPr>
            </w:pPr>
            <w:r>
              <w:rPr>
                <w:b/>
                <w:noProof/>
                <w:sz w:val="18"/>
              </w:rPr>
              <w:t xml:space="preserve">Cilji in realizacije </w:t>
            </w:r>
          </w:p>
          <w:p>
            <w:pPr>
              <w:ind w:right="-29"/>
              <w:jc w:val="center"/>
              <w:rPr>
                <w:b/>
                <w:noProof/>
                <w:sz w:val="18"/>
              </w:rPr>
            </w:pPr>
          </w:p>
          <w:p>
            <w:pPr>
              <w:ind w:right="-29"/>
              <w:jc w:val="center"/>
              <w:rPr>
                <w:noProof/>
                <w:sz w:val="18"/>
              </w:rPr>
            </w:pPr>
            <w:r>
              <w:rPr>
                <w:noProof/>
                <w:sz w:val="18"/>
              </w:rPr>
              <w:sym w:font="Wingdings" w:char="F0F2"/>
            </w:r>
          </w:p>
        </w:tc>
        <w:tc>
          <w:tcPr>
            <w:tcW w:w="720" w:type="dxa"/>
            <w:vAlign w:val="center"/>
          </w:tcPr>
          <w:p>
            <w:pPr>
              <w:ind w:right="-29"/>
              <w:jc w:val="center"/>
              <w:rPr>
                <w:noProof/>
                <w:sz w:val="18"/>
              </w:rPr>
            </w:pPr>
          </w:p>
        </w:tc>
        <w:tc>
          <w:tcPr>
            <w:tcW w:w="878" w:type="dxa"/>
            <w:gridSpan w:val="2"/>
            <w:vAlign w:val="center"/>
          </w:tcPr>
          <w:p>
            <w:pPr>
              <w:ind w:right="-29"/>
              <w:jc w:val="center"/>
              <w:rPr>
                <w:noProof/>
                <w:sz w:val="18"/>
              </w:rPr>
            </w:pPr>
          </w:p>
        </w:tc>
        <w:tc>
          <w:tcPr>
            <w:tcW w:w="1047" w:type="dxa"/>
            <w:gridSpan w:val="2"/>
            <w:tcBorders>
              <w:left w:val="nil"/>
            </w:tcBorders>
            <w:vAlign w:val="center"/>
          </w:tcPr>
          <w:p>
            <w:pPr>
              <w:ind w:right="-29"/>
              <w:jc w:val="center"/>
              <w:rPr>
                <w:noProof/>
                <w:sz w:val="18"/>
              </w:rPr>
            </w:pPr>
            <w:r>
              <w:rPr>
                <w:noProof/>
                <w:sz w:val="18"/>
              </w:rPr>
              <w:t>Leto</w:t>
            </w:r>
            <w:r>
              <w:rPr>
                <w:noProof/>
                <w:sz w:val="22"/>
              </w:rPr>
              <w:br/>
            </w:r>
            <w:r>
              <w:rPr>
                <w:b/>
                <w:noProof/>
                <w:sz w:val="18"/>
              </w:rPr>
              <w:t>2020</w:t>
            </w:r>
          </w:p>
        </w:tc>
        <w:tc>
          <w:tcPr>
            <w:tcW w:w="1260" w:type="dxa"/>
            <w:gridSpan w:val="2"/>
            <w:vAlign w:val="center"/>
          </w:tcPr>
          <w:p>
            <w:pPr>
              <w:ind w:right="-29"/>
              <w:jc w:val="center"/>
              <w:rPr>
                <w:noProof/>
                <w:sz w:val="18"/>
              </w:rPr>
            </w:pPr>
            <w:r>
              <w:rPr>
                <w:noProof/>
                <w:sz w:val="18"/>
              </w:rPr>
              <w:t>Leto</w:t>
            </w:r>
            <w:r>
              <w:rPr>
                <w:noProof/>
                <w:sz w:val="22"/>
              </w:rPr>
              <w:br/>
            </w:r>
            <w:r>
              <w:rPr>
                <w:b/>
                <w:noProof/>
                <w:sz w:val="18"/>
              </w:rPr>
              <w:t>2021</w:t>
            </w:r>
          </w:p>
        </w:tc>
        <w:tc>
          <w:tcPr>
            <w:tcW w:w="1440" w:type="dxa"/>
            <w:gridSpan w:val="2"/>
            <w:vAlign w:val="center"/>
          </w:tcPr>
          <w:p>
            <w:pPr>
              <w:ind w:right="-29"/>
              <w:jc w:val="center"/>
              <w:rPr>
                <w:noProof/>
                <w:sz w:val="18"/>
              </w:rPr>
            </w:pPr>
            <w:r>
              <w:rPr>
                <w:noProof/>
                <w:sz w:val="18"/>
              </w:rPr>
              <w:t>Leto</w:t>
            </w:r>
            <w:r>
              <w:rPr>
                <w:noProof/>
                <w:sz w:val="22"/>
              </w:rPr>
              <w:br/>
            </w:r>
            <w:r>
              <w:rPr>
                <w:b/>
                <w:noProof/>
                <w:sz w:val="18"/>
              </w:rPr>
              <w:t>2022</w:t>
            </w:r>
          </w:p>
        </w:tc>
        <w:tc>
          <w:tcPr>
            <w:tcW w:w="1620" w:type="dxa"/>
            <w:gridSpan w:val="2"/>
            <w:vAlign w:val="center"/>
          </w:tcPr>
          <w:p>
            <w:pPr>
              <w:ind w:right="-29"/>
              <w:jc w:val="center"/>
              <w:rPr>
                <w:noProof/>
                <w:sz w:val="18"/>
              </w:rPr>
            </w:pPr>
            <w:r>
              <w:rPr>
                <w:noProof/>
                <w:sz w:val="18"/>
              </w:rPr>
              <w:t>Leto</w:t>
            </w:r>
            <w:r>
              <w:rPr>
                <w:noProof/>
                <w:sz w:val="22"/>
              </w:rPr>
              <w:br/>
            </w:r>
            <w:r>
              <w:rPr>
                <w:b/>
                <w:noProof/>
                <w:sz w:val="18"/>
              </w:rPr>
              <w:t>2023</w:t>
            </w:r>
          </w:p>
        </w:tc>
        <w:tc>
          <w:tcPr>
            <w:tcW w:w="3600" w:type="dxa"/>
            <w:gridSpan w:val="6"/>
            <w:vAlign w:val="center"/>
          </w:tcPr>
          <w:p>
            <w:pPr>
              <w:jc w:val="center"/>
              <w:rPr>
                <w:b/>
                <w:noProof/>
                <w:sz w:val="18"/>
              </w:rPr>
            </w:pPr>
            <w:r>
              <w:rPr>
                <w:noProof/>
                <w:sz w:val="18"/>
              </w:rPr>
              <w:t>Vstavite ustrezno število let glede na trajanje posledic (gl. točko 1.6)</w:t>
            </w:r>
          </w:p>
        </w:tc>
        <w:tc>
          <w:tcPr>
            <w:tcW w:w="1620" w:type="dxa"/>
            <w:gridSpan w:val="2"/>
            <w:tcBorders>
              <w:left w:val="nil"/>
              <w:bottom w:val="nil"/>
            </w:tcBorders>
            <w:vAlign w:val="center"/>
          </w:tcPr>
          <w:p>
            <w:pPr>
              <w:ind w:right="-29"/>
              <w:jc w:val="center"/>
              <w:rPr>
                <w:noProof/>
                <w:sz w:val="18"/>
              </w:rPr>
            </w:pPr>
            <w:r>
              <w:rPr>
                <w:b/>
                <w:noProof/>
                <w:sz w:val="18"/>
              </w:rPr>
              <w:t>SKUPAJ</w:t>
            </w:r>
          </w:p>
        </w:tc>
      </w:tr>
      <w:tr>
        <w:trPr>
          <w:jc w:val="center"/>
        </w:trPr>
        <w:tc>
          <w:tcPr>
            <w:tcW w:w="1423" w:type="dxa"/>
            <w:vMerge/>
            <w:vAlign w:val="center"/>
          </w:tcPr>
          <w:p>
            <w:pPr>
              <w:rPr>
                <w:noProof/>
                <w:sz w:val="18"/>
              </w:rPr>
            </w:pPr>
          </w:p>
        </w:tc>
        <w:tc>
          <w:tcPr>
            <w:tcW w:w="12185" w:type="dxa"/>
            <w:gridSpan w:val="19"/>
            <w:vAlign w:val="center"/>
          </w:tcPr>
          <w:p>
            <w:pPr>
              <w:spacing w:before="60" w:after="60"/>
              <w:ind w:right="-29"/>
              <w:jc w:val="center"/>
              <w:rPr>
                <w:noProof/>
                <w:sz w:val="18"/>
              </w:rPr>
            </w:pPr>
            <w:r>
              <w:rPr>
                <w:b/>
                <w:noProof/>
                <w:sz w:val="18"/>
              </w:rPr>
              <w:t>REALIZACIJE</w:t>
            </w:r>
          </w:p>
        </w:tc>
      </w:tr>
      <w:tr>
        <w:trPr>
          <w:cantSplit/>
          <w:trHeight w:val="1134"/>
          <w:jc w:val="center"/>
        </w:trPr>
        <w:tc>
          <w:tcPr>
            <w:tcW w:w="1423" w:type="dxa"/>
            <w:vMerge/>
            <w:vAlign w:val="center"/>
          </w:tcPr>
          <w:p>
            <w:pPr>
              <w:rPr>
                <w:noProof/>
                <w:sz w:val="18"/>
              </w:rPr>
            </w:pPr>
          </w:p>
        </w:tc>
        <w:tc>
          <w:tcPr>
            <w:tcW w:w="720" w:type="dxa"/>
            <w:vAlign w:val="center"/>
          </w:tcPr>
          <w:p>
            <w:pPr>
              <w:jc w:val="center"/>
              <w:rPr>
                <w:noProof/>
                <w:sz w:val="18"/>
              </w:rPr>
            </w:pPr>
            <w:r>
              <w:rPr>
                <w:noProof/>
                <w:sz w:val="18"/>
              </w:rPr>
              <w:t>vrsta</w:t>
            </w:r>
            <w:r>
              <w:rPr>
                <w:rStyle w:val="FootnoteReference"/>
                <w:noProof/>
                <w:sz w:val="18"/>
              </w:rPr>
              <w:footnoteReference w:id="74"/>
            </w:r>
          </w:p>
        </w:tc>
        <w:tc>
          <w:tcPr>
            <w:tcW w:w="878" w:type="dxa"/>
            <w:gridSpan w:val="2"/>
            <w:vAlign w:val="center"/>
          </w:tcPr>
          <w:p>
            <w:pPr>
              <w:jc w:val="center"/>
              <w:rPr>
                <w:noProof/>
              </w:rPr>
            </w:pPr>
            <w:r>
              <w:rPr>
                <w:noProof/>
                <w:sz w:val="18"/>
              </w:rPr>
              <w:t>povprečni stroški</w:t>
            </w:r>
          </w:p>
        </w:tc>
        <w:tc>
          <w:tcPr>
            <w:tcW w:w="327" w:type="dxa"/>
            <w:tcBorders>
              <w:left w:val="nil"/>
              <w:right w:val="dashSmallGap" w:sz="4" w:space="0" w:color="auto"/>
            </w:tcBorders>
            <w:shd w:val="pct10" w:color="auto" w:fill="auto"/>
            <w:textDirection w:val="btLr"/>
            <w:vAlign w:val="center"/>
          </w:tcPr>
          <w:p>
            <w:pPr>
              <w:ind w:left="113" w:right="113"/>
              <w:jc w:val="center"/>
              <w:rPr>
                <w:noProof/>
              </w:rPr>
            </w:pPr>
            <w:r>
              <w:rPr>
                <w:noProof/>
                <w:sz w:val="18"/>
              </w:rPr>
              <w:t>število</w:t>
            </w:r>
          </w:p>
        </w:tc>
        <w:tc>
          <w:tcPr>
            <w:tcW w:w="720" w:type="dxa"/>
            <w:tcBorders>
              <w:left w:val="dashSmallGap" w:sz="4" w:space="0" w:color="auto"/>
            </w:tcBorders>
            <w:shd w:val="pct10" w:color="auto" w:fill="auto"/>
            <w:vAlign w:val="center"/>
          </w:tcPr>
          <w:p>
            <w:pPr>
              <w:jc w:val="center"/>
              <w:rPr>
                <w:noProof/>
                <w:sz w:val="18"/>
              </w:rPr>
            </w:pPr>
            <w:r>
              <w:rPr>
                <w:noProof/>
                <w:sz w:val="18"/>
              </w:rPr>
              <w:t>stroški</w:t>
            </w:r>
          </w:p>
        </w:tc>
        <w:tc>
          <w:tcPr>
            <w:tcW w:w="540" w:type="dxa"/>
            <w:tcBorders>
              <w:right w:val="dashSmallGap" w:sz="4" w:space="0" w:color="auto"/>
            </w:tcBorders>
            <w:shd w:val="pct10" w:color="auto" w:fill="auto"/>
            <w:textDirection w:val="btLr"/>
            <w:vAlign w:val="center"/>
          </w:tcPr>
          <w:p>
            <w:pPr>
              <w:ind w:left="113" w:right="113"/>
              <w:jc w:val="center"/>
              <w:rPr>
                <w:noProof/>
              </w:rPr>
            </w:pPr>
            <w:r>
              <w:rPr>
                <w:noProof/>
                <w:sz w:val="18"/>
              </w:rPr>
              <w:t>število</w:t>
            </w:r>
          </w:p>
        </w:tc>
        <w:tc>
          <w:tcPr>
            <w:tcW w:w="720" w:type="dxa"/>
            <w:tcBorders>
              <w:left w:val="dashSmallGap" w:sz="4" w:space="0" w:color="auto"/>
            </w:tcBorders>
            <w:shd w:val="pct10" w:color="auto" w:fill="auto"/>
            <w:vAlign w:val="center"/>
          </w:tcPr>
          <w:p>
            <w:pPr>
              <w:jc w:val="center"/>
              <w:rPr>
                <w:noProof/>
                <w:sz w:val="18"/>
              </w:rPr>
            </w:pPr>
            <w:r>
              <w:rPr>
                <w:noProof/>
                <w:sz w:val="18"/>
              </w:rPr>
              <w:t>stroški</w:t>
            </w:r>
          </w:p>
        </w:tc>
        <w:tc>
          <w:tcPr>
            <w:tcW w:w="720" w:type="dxa"/>
            <w:tcBorders>
              <w:right w:val="dashSmallGap" w:sz="4" w:space="0" w:color="auto"/>
            </w:tcBorders>
            <w:shd w:val="pct10" w:color="auto" w:fill="auto"/>
            <w:textDirection w:val="btLr"/>
            <w:vAlign w:val="center"/>
          </w:tcPr>
          <w:p>
            <w:pPr>
              <w:ind w:left="113" w:right="113"/>
              <w:jc w:val="center"/>
              <w:rPr>
                <w:noProof/>
              </w:rPr>
            </w:pPr>
            <w:r>
              <w:rPr>
                <w:noProof/>
                <w:sz w:val="18"/>
              </w:rPr>
              <w:t>število</w:t>
            </w:r>
          </w:p>
        </w:tc>
        <w:tc>
          <w:tcPr>
            <w:tcW w:w="720" w:type="dxa"/>
            <w:tcBorders>
              <w:left w:val="dashSmallGap" w:sz="4" w:space="0" w:color="auto"/>
            </w:tcBorders>
            <w:shd w:val="pct10" w:color="auto" w:fill="auto"/>
            <w:vAlign w:val="center"/>
          </w:tcPr>
          <w:p>
            <w:pPr>
              <w:jc w:val="center"/>
              <w:rPr>
                <w:noProof/>
                <w:sz w:val="18"/>
              </w:rPr>
            </w:pPr>
            <w:r>
              <w:rPr>
                <w:noProof/>
                <w:sz w:val="18"/>
              </w:rPr>
              <w:t>stroški</w:t>
            </w:r>
          </w:p>
        </w:tc>
        <w:tc>
          <w:tcPr>
            <w:tcW w:w="900" w:type="dxa"/>
            <w:tcBorders>
              <w:right w:val="dashSmallGap" w:sz="4" w:space="0" w:color="auto"/>
            </w:tcBorders>
            <w:shd w:val="pct10" w:color="auto" w:fill="auto"/>
            <w:textDirection w:val="btLr"/>
            <w:vAlign w:val="center"/>
          </w:tcPr>
          <w:p>
            <w:pPr>
              <w:ind w:left="113" w:right="113"/>
              <w:jc w:val="center"/>
              <w:rPr>
                <w:noProof/>
              </w:rPr>
            </w:pPr>
            <w:r>
              <w:rPr>
                <w:noProof/>
                <w:sz w:val="18"/>
              </w:rPr>
              <w:t>število</w:t>
            </w:r>
          </w:p>
        </w:tc>
        <w:tc>
          <w:tcPr>
            <w:tcW w:w="720" w:type="dxa"/>
            <w:tcBorders>
              <w:left w:val="dashSmallGap" w:sz="4" w:space="0" w:color="auto"/>
            </w:tcBorders>
            <w:shd w:val="pct10" w:color="auto" w:fill="auto"/>
            <w:vAlign w:val="center"/>
          </w:tcPr>
          <w:p>
            <w:pPr>
              <w:jc w:val="center"/>
              <w:rPr>
                <w:noProof/>
                <w:sz w:val="18"/>
              </w:rPr>
            </w:pPr>
            <w:r>
              <w:rPr>
                <w:noProof/>
                <w:sz w:val="18"/>
              </w:rPr>
              <w:t>stroški</w:t>
            </w:r>
          </w:p>
        </w:tc>
        <w:tc>
          <w:tcPr>
            <w:tcW w:w="540" w:type="dxa"/>
            <w:tcBorders>
              <w:right w:val="dashSmallGap" w:sz="4" w:space="0" w:color="auto"/>
            </w:tcBorders>
            <w:shd w:val="pct10" w:color="auto" w:fill="auto"/>
            <w:textDirection w:val="btLr"/>
            <w:vAlign w:val="center"/>
          </w:tcPr>
          <w:p>
            <w:pPr>
              <w:ind w:left="113" w:right="113"/>
              <w:jc w:val="center"/>
              <w:rPr>
                <w:noProof/>
              </w:rPr>
            </w:pPr>
            <w:r>
              <w:rPr>
                <w:noProof/>
                <w:sz w:val="18"/>
              </w:rPr>
              <w:t>število</w:t>
            </w:r>
          </w:p>
        </w:tc>
        <w:tc>
          <w:tcPr>
            <w:tcW w:w="648" w:type="dxa"/>
            <w:tcBorders>
              <w:left w:val="dashSmallGap" w:sz="4" w:space="0" w:color="auto"/>
            </w:tcBorders>
            <w:shd w:val="pct10" w:color="auto" w:fill="auto"/>
            <w:vAlign w:val="center"/>
          </w:tcPr>
          <w:p>
            <w:pPr>
              <w:jc w:val="center"/>
              <w:rPr>
                <w:noProof/>
                <w:sz w:val="18"/>
              </w:rPr>
            </w:pPr>
            <w:r>
              <w:rPr>
                <w:noProof/>
                <w:sz w:val="18"/>
              </w:rPr>
              <w:t>stroški</w:t>
            </w:r>
          </w:p>
        </w:tc>
        <w:tc>
          <w:tcPr>
            <w:tcW w:w="432" w:type="dxa"/>
            <w:tcBorders>
              <w:right w:val="dashSmallGap" w:sz="4" w:space="0" w:color="auto"/>
            </w:tcBorders>
            <w:shd w:val="pct10" w:color="auto" w:fill="auto"/>
            <w:textDirection w:val="btLr"/>
            <w:vAlign w:val="center"/>
          </w:tcPr>
          <w:p>
            <w:pPr>
              <w:ind w:left="113" w:right="113"/>
              <w:jc w:val="center"/>
              <w:rPr>
                <w:noProof/>
              </w:rPr>
            </w:pPr>
            <w:r>
              <w:rPr>
                <w:noProof/>
                <w:sz w:val="18"/>
              </w:rPr>
              <w:t>število</w:t>
            </w:r>
          </w:p>
        </w:tc>
        <w:tc>
          <w:tcPr>
            <w:tcW w:w="720" w:type="dxa"/>
            <w:tcBorders>
              <w:left w:val="dashSmallGap" w:sz="4" w:space="0" w:color="auto"/>
            </w:tcBorders>
            <w:shd w:val="pct10" w:color="auto" w:fill="auto"/>
            <w:vAlign w:val="center"/>
          </w:tcPr>
          <w:p>
            <w:pPr>
              <w:jc w:val="center"/>
              <w:rPr>
                <w:noProof/>
                <w:sz w:val="18"/>
              </w:rPr>
            </w:pPr>
            <w:r>
              <w:rPr>
                <w:noProof/>
                <w:sz w:val="18"/>
              </w:rPr>
              <w:t>stroški</w:t>
            </w:r>
          </w:p>
        </w:tc>
        <w:tc>
          <w:tcPr>
            <w:tcW w:w="540" w:type="dxa"/>
            <w:tcBorders>
              <w:right w:val="dashSmallGap" w:sz="4" w:space="0" w:color="auto"/>
            </w:tcBorders>
            <w:shd w:val="pct10" w:color="auto" w:fill="auto"/>
            <w:textDirection w:val="btLr"/>
            <w:vAlign w:val="center"/>
          </w:tcPr>
          <w:p>
            <w:pPr>
              <w:ind w:left="113" w:right="113"/>
              <w:jc w:val="center"/>
              <w:rPr>
                <w:noProof/>
              </w:rPr>
            </w:pPr>
            <w:r>
              <w:rPr>
                <w:noProof/>
                <w:sz w:val="18"/>
              </w:rPr>
              <w:t>število</w:t>
            </w:r>
          </w:p>
        </w:tc>
        <w:tc>
          <w:tcPr>
            <w:tcW w:w="720" w:type="dxa"/>
            <w:tcBorders>
              <w:left w:val="dashSmallGap" w:sz="4" w:space="0" w:color="auto"/>
            </w:tcBorders>
            <w:shd w:val="pct10" w:color="auto" w:fill="auto"/>
            <w:vAlign w:val="center"/>
          </w:tcPr>
          <w:p>
            <w:pPr>
              <w:jc w:val="center"/>
              <w:rPr>
                <w:noProof/>
                <w:sz w:val="18"/>
              </w:rPr>
            </w:pPr>
            <w:r>
              <w:rPr>
                <w:noProof/>
                <w:sz w:val="18"/>
              </w:rPr>
              <w:t>stroški</w:t>
            </w:r>
          </w:p>
        </w:tc>
        <w:tc>
          <w:tcPr>
            <w:tcW w:w="720" w:type="dxa"/>
            <w:tcBorders>
              <w:right w:val="dashSmallGap" w:sz="4" w:space="0" w:color="auto"/>
            </w:tcBorders>
            <w:shd w:val="pct10" w:color="auto" w:fill="auto"/>
            <w:vAlign w:val="center"/>
          </w:tcPr>
          <w:p>
            <w:pPr>
              <w:jc w:val="center"/>
              <w:rPr>
                <w:noProof/>
                <w:sz w:val="18"/>
              </w:rPr>
            </w:pPr>
            <w:r>
              <w:rPr>
                <w:noProof/>
                <w:sz w:val="18"/>
              </w:rPr>
              <w:t>število realizacij skupaj</w:t>
            </w:r>
          </w:p>
        </w:tc>
        <w:tc>
          <w:tcPr>
            <w:tcW w:w="900" w:type="dxa"/>
            <w:tcBorders>
              <w:left w:val="dashSmallGap" w:sz="4" w:space="0" w:color="auto"/>
            </w:tcBorders>
            <w:shd w:val="pct10" w:color="auto" w:fill="auto"/>
            <w:vAlign w:val="center"/>
          </w:tcPr>
          <w:p>
            <w:pPr>
              <w:jc w:val="center"/>
              <w:rPr>
                <w:noProof/>
              </w:rPr>
            </w:pPr>
            <w:r>
              <w:rPr>
                <w:noProof/>
                <w:sz w:val="18"/>
              </w:rPr>
              <w:t>stroški realizacij skupaj</w:t>
            </w:r>
          </w:p>
        </w:tc>
      </w:tr>
      <w:tr>
        <w:trPr>
          <w:jc w:val="center"/>
        </w:trPr>
        <w:tc>
          <w:tcPr>
            <w:tcW w:w="3021" w:type="dxa"/>
            <w:gridSpan w:val="4"/>
            <w:vAlign w:val="center"/>
          </w:tcPr>
          <w:p>
            <w:pPr>
              <w:spacing w:before="60" w:after="60"/>
              <w:ind w:right="-29"/>
              <w:jc w:val="center"/>
              <w:rPr>
                <w:noProof/>
                <w:sz w:val="18"/>
              </w:rPr>
            </w:pPr>
            <w:r>
              <w:rPr>
                <w:noProof/>
                <w:sz w:val="18"/>
              </w:rPr>
              <w:t>SPECIFIČNI CILJ št. 1</w:t>
            </w:r>
            <w:r>
              <w:rPr>
                <w:rStyle w:val="FootnoteReference"/>
                <w:noProof/>
                <w:sz w:val="18"/>
              </w:rPr>
              <w:footnoteReference w:id="75"/>
            </w:r>
            <w:r>
              <w:rPr>
                <w:noProof/>
                <w:sz w:val="18"/>
              </w:rPr>
              <w:t xml:space="preserve"> Podpora platformi pri delu v zvezi s taksonomijo, zagotovitev vhodnih podatkov za opazovalnico za financiranje trajnostne rasti ter izvajanje ukrepov akcijskega načrta za financiranje trajnostne rasti</w:t>
            </w:r>
          </w:p>
        </w:tc>
        <w:tc>
          <w:tcPr>
            <w:tcW w:w="327"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54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90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540" w:type="dxa"/>
            <w:tcBorders>
              <w:top w:val="nil"/>
              <w:left w:val="nil"/>
              <w:bottom w:val="nil"/>
              <w:right w:val="nil"/>
            </w:tcBorders>
          </w:tcPr>
          <w:p>
            <w:pPr>
              <w:spacing w:before="60" w:after="60"/>
              <w:ind w:right="-29"/>
              <w:jc w:val="center"/>
              <w:rPr>
                <w:noProof/>
                <w:sz w:val="18"/>
              </w:rPr>
            </w:pPr>
          </w:p>
        </w:tc>
        <w:tc>
          <w:tcPr>
            <w:tcW w:w="648" w:type="dxa"/>
            <w:tcBorders>
              <w:top w:val="nil"/>
              <w:left w:val="nil"/>
              <w:bottom w:val="nil"/>
              <w:right w:val="nil"/>
            </w:tcBorders>
          </w:tcPr>
          <w:p>
            <w:pPr>
              <w:spacing w:before="60" w:after="60"/>
              <w:ind w:right="-29"/>
              <w:jc w:val="center"/>
              <w:rPr>
                <w:noProof/>
                <w:sz w:val="18"/>
              </w:rPr>
            </w:pPr>
          </w:p>
        </w:tc>
        <w:tc>
          <w:tcPr>
            <w:tcW w:w="432"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54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900" w:type="dxa"/>
            <w:tcBorders>
              <w:top w:val="nil"/>
              <w:left w:val="nil"/>
              <w:bottom w:val="nil"/>
              <w:right w:val="nil"/>
            </w:tcBorders>
          </w:tcPr>
          <w:p>
            <w:pPr>
              <w:spacing w:before="60" w:after="60"/>
              <w:ind w:right="-29"/>
              <w:jc w:val="center"/>
              <w:rPr>
                <w:noProof/>
                <w:sz w:val="18"/>
              </w:rPr>
            </w:pPr>
          </w:p>
        </w:tc>
      </w:tr>
      <w:tr>
        <w:trPr>
          <w:trHeight w:hRule="exact" w:val="1221"/>
          <w:jc w:val="center"/>
        </w:trPr>
        <w:tc>
          <w:tcPr>
            <w:tcW w:w="1423" w:type="dxa"/>
          </w:tcPr>
          <w:p>
            <w:pPr>
              <w:ind w:right="-29"/>
              <w:jc w:val="center"/>
              <w:rPr>
                <w:noProof/>
                <w:sz w:val="18"/>
              </w:rPr>
            </w:pPr>
            <w:r>
              <w:rPr>
                <w:noProof/>
                <w:sz w:val="18"/>
              </w:rPr>
              <w:t>zagotoviti analizo, smernice, poročila, podatke in svetovanje</w:t>
            </w:r>
          </w:p>
        </w:tc>
        <w:tc>
          <w:tcPr>
            <w:tcW w:w="890" w:type="dxa"/>
            <w:gridSpan w:val="2"/>
          </w:tcPr>
          <w:p>
            <w:pPr>
              <w:ind w:right="-29"/>
              <w:jc w:val="center"/>
              <w:rPr>
                <w:noProof/>
                <w:sz w:val="18"/>
              </w:rPr>
            </w:pPr>
            <w:r>
              <w:rPr>
                <w:noProof/>
                <w:sz w:val="18"/>
              </w:rPr>
              <w:t>analize, poročila, podatki in svetovanje</w:t>
            </w:r>
          </w:p>
          <w:p>
            <w:pPr>
              <w:ind w:right="-29"/>
              <w:jc w:val="center"/>
              <w:rPr>
                <w:noProof/>
                <w:sz w:val="18"/>
              </w:rPr>
            </w:pPr>
          </w:p>
        </w:tc>
        <w:tc>
          <w:tcPr>
            <w:tcW w:w="708" w:type="dxa"/>
            <w:vAlign w:val="center"/>
          </w:tcPr>
          <w:p>
            <w:pPr>
              <w:ind w:right="-29"/>
              <w:jc w:val="center"/>
              <w:rPr>
                <w:noProof/>
                <w:sz w:val="18"/>
                <w:szCs w:val="18"/>
              </w:rPr>
            </w:pPr>
            <w:r>
              <w:rPr>
                <w:noProof/>
                <w:sz w:val="18"/>
              </w:rPr>
              <w:t>0,029</w:t>
            </w:r>
          </w:p>
        </w:tc>
        <w:tc>
          <w:tcPr>
            <w:tcW w:w="327" w:type="dxa"/>
            <w:tcBorders>
              <w:right w:val="dashSmallGap" w:sz="4" w:space="0" w:color="auto"/>
            </w:tcBorders>
            <w:vAlign w:val="center"/>
          </w:tcPr>
          <w:p>
            <w:pPr>
              <w:ind w:right="-29"/>
              <w:jc w:val="center"/>
              <w:rPr>
                <w:noProof/>
                <w:sz w:val="18"/>
              </w:rPr>
            </w:pPr>
            <w:r>
              <w:rPr>
                <w:noProof/>
                <w:sz w:val="18"/>
              </w:rPr>
              <w:t>1</w:t>
            </w:r>
          </w:p>
        </w:tc>
        <w:tc>
          <w:tcPr>
            <w:tcW w:w="720" w:type="dxa"/>
            <w:tcBorders>
              <w:left w:val="dashSmallGap" w:sz="4" w:space="0" w:color="auto"/>
            </w:tcBorders>
            <w:vAlign w:val="center"/>
          </w:tcPr>
          <w:p>
            <w:pPr>
              <w:ind w:right="-29"/>
              <w:jc w:val="center"/>
              <w:rPr>
                <w:noProof/>
                <w:sz w:val="18"/>
              </w:rPr>
            </w:pPr>
            <w:r>
              <w:rPr>
                <w:noProof/>
                <w:sz w:val="18"/>
              </w:rPr>
              <w:t>0,029</w:t>
            </w:r>
          </w:p>
        </w:tc>
        <w:tc>
          <w:tcPr>
            <w:tcW w:w="540" w:type="dxa"/>
            <w:tcBorders>
              <w:right w:val="dashSmallGap" w:sz="4" w:space="0" w:color="auto"/>
            </w:tcBorders>
            <w:vAlign w:val="center"/>
          </w:tcPr>
          <w:p>
            <w:pPr>
              <w:ind w:right="-29"/>
              <w:jc w:val="center"/>
              <w:rPr>
                <w:noProof/>
                <w:sz w:val="18"/>
              </w:rPr>
            </w:pPr>
            <w:r>
              <w:rPr>
                <w:noProof/>
                <w:sz w:val="18"/>
              </w:rPr>
              <w:t>1</w:t>
            </w:r>
          </w:p>
        </w:tc>
        <w:tc>
          <w:tcPr>
            <w:tcW w:w="720" w:type="dxa"/>
            <w:tcBorders>
              <w:left w:val="dashSmallGap" w:sz="4" w:space="0" w:color="auto"/>
            </w:tcBorders>
            <w:vAlign w:val="center"/>
          </w:tcPr>
          <w:p>
            <w:pPr>
              <w:ind w:right="-29"/>
              <w:jc w:val="center"/>
              <w:rPr>
                <w:noProof/>
                <w:sz w:val="18"/>
              </w:rPr>
            </w:pPr>
            <w:r>
              <w:rPr>
                <w:noProof/>
                <w:sz w:val="18"/>
              </w:rPr>
              <w:t>0,029</w:t>
            </w:r>
          </w:p>
        </w:tc>
        <w:tc>
          <w:tcPr>
            <w:tcW w:w="720" w:type="dxa"/>
            <w:tcBorders>
              <w:right w:val="dashSmallGap" w:sz="4" w:space="0" w:color="auto"/>
            </w:tcBorders>
            <w:vAlign w:val="center"/>
          </w:tcPr>
          <w:p>
            <w:pPr>
              <w:ind w:right="-29"/>
              <w:jc w:val="center"/>
              <w:rPr>
                <w:noProof/>
                <w:sz w:val="18"/>
              </w:rPr>
            </w:pPr>
            <w:r>
              <w:rPr>
                <w:noProof/>
                <w:sz w:val="18"/>
              </w:rPr>
              <w:t>1</w:t>
            </w:r>
          </w:p>
        </w:tc>
        <w:tc>
          <w:tcPr>
            <w:tcW w:w="720" w:type="dxa"/>
            <w:tcBorders>
              <w:left w:val="dashSmallGap" w:sz="4" w:space="0" w:color="auto"/>
            </w:tcBorders>
            <w:vAlign w:val="center"/>
          </w:tcPr>
          <w:p>
            <w:pPr>
              <w:ind w:right="-29"/>
              <w:jc w:val="center"/>
              <w:rPr>
                <w:noProof/>
                <w:sz w:val="18"/>
              </w:rPr>
            </w:pPr>
            <w:r>
              <w:rPr>
                <w:noProof/>
                <w:sz w:val="18"/>
              </w:rPr>
              <w:t>0,029</w:t>
            </w:r>
          </w:p>
        </w:tc>
        <w:tc>
          <w:tcPr>
            <w:tcW w:w="900" w:type="dxa"/>
            <w:tcBorders>
              <w:right w:val="dashSmallGap" w:sz="4" w:space="0" w:color="auto"/>
            </w:tcBorders>
            <w:vAlign w:val="center"/>
          </w:tcPr>
          <w:p>
            <w:pPr>
              <w:ind w:right="-29"/>
              <w:jc w:val="center"/>
              <w:rPr>
                <w:noProof/>
                <w:sz w:val="18"/>
              </w:rPr>
            </w:pPr>
            <w:r>
              <w:rPr>
                <w:noProof/>
                <w:sz w:val="18"/>
              </w:rPr>
              <w:t>1</w:t>
            </w:r>
          </w:p>
        </w:tc>
        <w:tc>
          <w:tcPr>
            <w:tcW w:w="720" w:type="dxa"/>
            <w:tcBorders>
              <w:left w:val="dashSmallGap" w:sz="4" w:space="0" w:color="auto"/>
            </w:tcBorders>
            <w:vAlign w:val="center"/>
          </w:tcPr>
          <w:p>
            <w:pPr>
              <w:ind w:right="-29"/>
              <w:jc w:val="center"/>
              <w:rPr>
                <w:noProof/>
                <w:sz w:val="18"/>
              </w:rPr>
            </w:pPr>
            <w:r>
              <w:rPr>
                <w:noProof/>
                <w:sz w:val="18"/>
              </w:rPr>
              <w:t>0,029</w:t>
            </w:r>
          </w:p>
        </w:tc>
        <w:tc>
          <w:tcPr>
            <w:tcW w:w="540" w:type="dxa"/>
            <w:tcBorders>
              <w:right w:val="dashSmallGap" w:sz="4" w:space="0" w:color="auto"/>
            </w:tcBorders>
          </w:tcPr>
          <w:p>
            <w:pPr>
              <w:ind w:right="-29"/>
              <w:jc w:val="center"/>
              <w:rPr>
                <w:noProof/>
                <w:sz w:val="18"/>
              </w:rPr>
            </w:pPr>
          </w:p>
        </w:tc>
        <w:tc>
          <w:tcPr>
            <w:tcW w:w="648" w:type="dxa"/>
            <w:tcBorders>
              <w:left w:val="dashSmallGap" w:sz="4" w:space="0" w:color="auto"/>
            </w:tcBorders>
          </w:tcPr>
          <w:p>
            <w:pPr>
              <w:ind w:right="-29"/>
              <w:jc w:val="center"/>
              <w:rPr>
                <w:noProof/>
                <w:sz w:val="18"/>
              </w:rPr>
            </w:pPr>
          </w:p>
        </w:tc>
        <w:tc>
          <w:tcPr>
            <w:tcW w:w="432" w:type="dxa"/>
            <w:tcBorders>
              <w:right w:val="dashSmallGap" w:sz="4" w:space="0" w:color="auto"/>
            </w:tcBorders>
          </w:tcPr>
          <w:p>
            <w:pPr>
              <w:ind w:right="-29"/>
              <w:jc w:val="center"/>
              <w:rPr>
                <w:noProof/>
                <w:sz w:val="18"/>
              </w:rPr>
            </w:pPr>
          </w:p>
        </w:tc>
        <w:tc>
          <w:tcPr>
            <w:tcW w:w="720" w:type="dxa"/>
            <w:tcBorders>
              <w:left w:val="dashSmallGap" w:sz="4" w:space="0" w:color="auto"/>
            </w:tcBorders>
          </w:tcPr>
          <w:p>
            <w:pPr>
              <w:ind w:right="-29"/>
              <w:jc w:val="center"/>
              <w:rPr>
                <w:noProof/>
                <w:sz w:val="18"/>
              </w:rPr>
            </w:pPr>
          </w:p>
        </w:tc>
        <w:tc>
          <w:tcPr>
            <w:tcW w:w="540" w:type="dxa"/>
            <w:tcBorders>
              <w:right w:val="dashSmallGap" w:sz="4" w:space="0" w:color="auto"/>
            </w:tcBorders>
          </w:tcPr>
          <w:p>
            <w:pPr>
              <w:ind w:right="-29"/>
              <w:jc w:val="center"/>
              <w:rPr>
                <w:noProof/>
                <w:sz w:val="18"/>
              </w:rPr>
            </w:pPr>
          </w:p>
        </w:tc>
        <w:tc>
          <w:tcPr>
            <w:tcW w:w="720" w:type="dxa"/>
            <w:tcBorders>
              <w:left w:val="dashSmallGap" w:sz="4" w:space="0" w:color="auto"/>
            </w:tcBorders>
          </w:tcPr>
          <w:p>
            <w:pPr>
              <w:ind w:right="-29"/>
              <w:jc w:val="center"/>
              <w:rPr>
                <w:noProof/>
                <w:sz w:val="18"/>
              </w:rPr>
            </w:pPr>
          </w:p>
        </w:tc>
        <w:tc>
          <w:tcPr>
            <w:tcW w:w="720" w:type="dxa"/>
            <w:vAlign w:val="center"/>
          </w:tcPr>
          <w:p>
            <w:pPr>
              <w:ind w:right="-29"/>
              <w:jc w:val="center"/>
              <w:rPr>
                <w:b/>
                <w:bCs/>
                <w:noProof/>
                <w:sz w:val="18"/>
              </w:rPr>
            </w:pPr>
            <w:r>
              <w:rPr>
                <w:b/>
                <w:noProof/>
                <w:sz w:val="18"/>
              </w:rPr>
              <w:t>1</w:t>
            </w:r>
          </w:p>
        </w:tc>
        <w:tc>
          <w:tcPr>
            <w:tcW w:w="900" w:type="dxa"/>
            <w:vAlign w:val="center"/>
          </w:tcPr>
          <w:p>
            <w:pPr>
              <w:jc w:val="center"/>
              <w:rPr>
                <w:rFonts w:ascii="Calibri" w:hAnsi="Calibri"/>
                <w:b/>
                <w:bCs/>
                <w:noProof/>
                <w:color w:val="000000"/>
                <w:sz w:val="22"/>
              </w:rPr>
            </w:pPr>
            <w:r>
              <w:rPr>
                <w:rFonts w:ascii="Calibri" w:hAnsi="Calibri"/>
                <w:b/>
                <w:noProof/>
                <w:color w:val="000000"/>
                <w:sz w:val="22"/>
              </w:rPr>
              <w:t>0,115</w:t>
            </w:r>
          </w:p>
          <w:p>
            <w:pPr>
              <w:ind w:right="-29"/>
              <w:jc w:val="center"/>
              <w:rPr>
                <w:b/>
                <w:bCs/>
                <w:noProof/>
                <w:sz w:val="18"/>
              </w:rPr>
            </w:pPr>
          </w:p>
        </w:tc>
      </w:tr>
      <w:tr>
        <w:trPr>
          <w:jc w:val="center"/>
        </w:trPr>
        <w:tc>
          <w:tcPr>
            <w:tcW w:w="3021" w:type="dxa"/>
            <w:gridSpan w:val="4"/>
            <w:tcBorders>
              <w:bottom w:val="single" w:sz="12" w:space="0" w:color="auto"/>
            </w:tcBorders>
            <w:vAlign w:val="center"/>
          </w:tcPr>
          <w:p>
            <w:pPr>
              <w:ind w:right="-29"/>
              <w:jc w:val="center"/>
              <w:rPr>
                <w:noProof/>
                <w:sz w:val="18"/>
              </w:rPr>
            </w:pPr>
            <w:r>
              <w:rPr>
                <w:noProof/>
                <w:sz w:val="18"/>
              </w:rPr>
              <w:t>Seštevek za specifični cilj št. 1</w:t>
            </w:r>
          </w:p>
        </w:tc>
        <w:tc>
          <w:tcPr>
            <w:tcW w:w="327" w:type="dxa"/>
            <w:tcBorders>
              <w:bottom w:val="single" w:sz="12" w:space="0" w:color="auto"/>
            </w:tcBorders>
          </w:tcPr>
          <w:p>
            <w:pPr>
              <w:ind w:right="-29"/>
              <w:jc w:val="center"/>
              <w:rPr>
                <w:noProof/>
                <w:sz w:val="18"/>
              </w:rPr>
            </w:pPr>
          </w:p>
        </w:tc>
        <w:tc>
          <w:tcPr>
            <w:tcW w:w="720" w:type="dxa"/>
            <w:tcBorders>
              <w:bottom w:val="single" w:sz="12" w:space="0" w:color="auto"/>
            </w:tcBorders>
            <w:vAlign w:val="bottom"/>
          </w:tcPr>
          <w:p>
            <w:pPr>
              <w:ind w:right="-29"/>
              <w:jc w:val="center"/>
              <w:rPr>
                <w:b/>
                <w:bCs/>
                <w:noProof/>
                <w:sz w:val="18"/>
              </w:rPr>
            </w:pPr>
            <w:r>
              <w:rPr>
                <w:rFonts w:ascii="Calibri" w:hAnsi="Calibri"/>
                <w:b/>
                <w:noProof/>
                <w:color w:val="000000"/>
                <w:sz w:val="22"/>
              </w:rPr>
              <w:t>0,029</w:t>
            </w:r>
          </w:p>
        </w:tc>
        <w:tc>
          <w:tcPr>
            <w:tcW w:w="540" w:type="dxa"/>
            <w:tcBorders>
              <w:bottom w:val="single" w:sz="12" w:space="0" w:color="auto"/>
            </w:tcBorders>
            <w:vAlign w:val="bottom"/>
          </w:tcPr>
          <w:p>
            <w:pPr>
              <w:ind w:right="-29"/>
              <w:jc w:val="center"/>
              <w:rPr>
                <w:b/>
                <w:bCs/>
                <w:noProof/>
                <w:sz w:val="18"/>
              </w:rPr>
            </w:pPr>
          </w:p>
        </w:tc>
        <w:tc>
          <w:tcPr>
            <w:tcW w:w="720" w:type="dxa"/>
            <w:tcBorders>
              <w:bottom w:val="single" w:sz="12" w:space="0" w:color="auto"/>
            </w:tcBorders>
            <w:vAlign w:val="bottom"/>
          </w:tcPr>
          <w:p>
            <w:pPr>
              <w:ind w:right="-29"/>
              <w:jc w:val="center"/>
              <w:rPr>
                <w:b/>
                <w:bCs/>
                <w:noProof/>
                <w:sz w:val="18"/>
              </w:rPr>
            </w:pPr>
            <w:r>
              <w:rPr>
                <w:rFonts w:ascii="Calibri" w:hAnsi="Calibri"/>
                <w:b/>
                <w:noProof/>
                <w:color w:val="000000"/>
                <w:sz w:val="22"/>
              </w:rPr>
              <w:t>0,029</w:t>
            </w:r>
          </w:p>
        </w:tc>
        <w:tc>
          <w:tcPr>
            <w:tcW w:w="720" w:type="dxa"/>
            <w:tcBorders>
              <w:bottom w:val="single" w:sz="12" w:space="0" w:color="auto"/>
            </w:tcBorders>
            <w:vAlign w:val="bottom"/>
          </w:tcPr>
          <w:p>
            <w:pPr>
              <w:ind w:right="-29"/>
              <w:jc w:val="center"/>
              <w:rPr>
                <w:b/>
                <w:bCs/>
                <w:noProof/>
                <w:sz w:val="18"/>
              </w:rPr>
            </w:pPr>
          </w:p>
        </w:tc>
        <w:tc>
          <w:tcPr>
            <w:tcW w:w="720" w:type="dxa"/>
            <w:tcBorders>
              <w:bottom w:val="single" w:sz="12" w:space="0" w:color="auto"/>
            </w:tcBorders>
            <w:vAlign w:val="bottom"/>
          </w:tcPr>
          <w:p>
            <w:pPr>
              <w:ind w:right="-29"/>
              <w:jc w:val="center"/>
              <w:rPr>
                <w:b/>
                <w:bCs/>
                <w:noProof/>
                <w:sz w:val="18"/>
              </w:rPr>
            </w:pPr>
            <w:r>
              <w:rPr>
                <w:rFonts w:ascii="Calibri" w:hAnsi="Calibri"/>
                <w:b/>
                <w:noProof/>
                <w:color w:val="000000"/>
                <w:sz w:val="22"/>
              </w:rPr>
              <w:t>0,029</w:t>
            </w:r>
          </w:p>
        </w:tc>
        <w:tc>
          <w:tcPr>
            <w:tcW w:w="900" w:type="dxa"/>
            <w:tcBorders>
              <w:bottom w:val="single" w:sz="12" w:space="0" w:color="auto"/>
            </w:tcBorders>
            <w:vAlign w:val="bottom"/>
          </w:tcPr>
          <w:p>
            <w:pPr>
              <w:ind w:right="-29"/>
              <w:jc w:val="center"/>
              <w:rPr>
                <w:b/>
                <w:bCs/>
                <w:noProof/>
                <w:sz w:val="18"/>
              </w:rPr>
            </w:pPr>
          </w:p>
        </w:tc>
        <w:tc>
          <w:tcPr>
            <w:tcW w:w="720" w:type="dxa"/>
            <w:tcBorders>
              <w:bottom w:val="single" w:sz="12" w:space="0" w:color="auto"/>
            </w:tcBorders>
            <w:vAlign w:val="bottom"/>
          </w:tcPr>
          <w:p>
            <w:pPr>
              <w:ind w:right="-29"/>
              <w:jc w:val="center"/>
              <w:rPr>
                <w:b/>
                <w:bCs/>
                <w:noProof/>
                <w:sz w:val="18"/>
              </w:rPr>
            </w:pPr>
            <w:r>
              <w:rPr>
                <w:rFonts w:ascii="Calibri" w:hAnsi="Calibri"/>
                <w:b/>
                <w:noProof/>
                <w:color w:val="000000"/>
                <w:sz w:val="22"/>
              </w:rPr>
              <w:t>0,029</w:t>
            </w:r>
          </w:p>
        </w:tc>
        <w:tc>
          <w:tcPr>
            <w:tcW w:w="540" w:type="dxa"/>
            <w:tcBorders>
              <w:bottom w:val="single" w:sz="12" w:space="0" w:color="auto"/>
            </w:tcBorders>
          </w:tcPr>
          <w:p>
            <w:pPr>
              <w:ind w:right="-29"/>
              <w:jc w:val="center"/>
              <w:rPr>
                <w:b/>
                <w:bCs/>
                <w:noProof/>
                <w:sz w:val="18"/>
              </w:rPr>
            </w:pPr>
          </w:p>
        </w:tc>
        <w:tc>
          <w:tcPr>
            <w:tcW w:w="648" w:type="dxa"/>
            <w:tcBorders>
              <w:bottom w:val="single" w:sz="12" w:space="0" w:color="auto"/>
            </w:tcBorders>
          </w:tcPr>
          <w:p>
            <w:pPr>
              <w:ind w:right="-29"/>
              <w:jc w:val="center"/>
              <w:rPr>
                <w:b/>
                <w:bCs/>
                <w:noProof/>
                <w:sz w:val="18"/>
              </w:rPr>
            </w:pPr>
          </w:p>
        </w:tc>
        <w:tc>
          <w:tcPr>
            <w:tcW w:w="432" w:type="dxa"/>
            <w:tcBorders>
              <w:bottom w:val="single" w:sz="12" w:space="0" w:color="auto"/>
            </w:tcBorders>
          </w:tcPr>
          <w:p>
            <w:pPr>
              <w:ind w:right="-29"/>
              <w:jc w:val="center"/>
              <w:rPr>
                <w:b/>
                <w:bCs/>
                <w:noProof/>
                <w:sz w:val="18"/>
              </w:rPr>
            </w:pPr>
          </w:p>
        </w:tc>
        <w:tc>
          <w:tcPr>
            <w:tcW w:w="720" w:type="dxa"/>
            <w:tcBorders>
              <w:bottom w:val="single" w:sz="12" w:space="0" w:color="auto"/>
            </w:tcBorders>
          </w:tcPr>
          <w:p>
            <w:pPr>
              <w:ind w:right="-29"/>
              <w:jc w:val="center"/>
              <w:rPr>
                <w:b/>
                <w:bCs/>
                <w:noProof/>
                <w:sz w:val="18"/>
              </w:rPr>
            </w:pPr>
          </w:p>
        </w:tc>
        <w:tc>
          <w:tcPr>
            <w:tcW w:w="540" w:type="dxa"/>
            <w:tcBorders>
              <w:bottom w:val="single" w:sz="12" w:space="0" w:color="auto"/>
            </w:tcBorders>
          </w:tcPr>
          <w:p>
            <w:pPr>
              <w:ind w:right="-29"/>
              <w:jc w:val="center"/>
              <w:rPr>
                <w:b/>
                <w:bCs/>
                <w:noProof/>
                <w:sz w:val="18"/>
              </w:rPr>
            </w:pPr>
          </w:p>
        </w:tc>
        <w:tc>
          <w:tcPr>
            <w:tcW w:w="720" w:type="dxa"/>
            <w:tcBorders>
              <w:bottom w:val="single" w:sz="12" w:space="0" w:color="auto"/>
            </w:tcBorders>
          </w:tcPr>
          <w:p>
            <w:pPr>
              <w:ind w:right="-29"/>
              <w:jc w:val="center"/>
              <w:rPr>
                <w:b/>
                <w:bCs/>
                <w:noProof/>
                <w:sz w:val="18"/>
              </w:rPr>
            </w:pPr>
          </w:p>
        </w:tc>
        <w:tc>
          <w:tcPr>
            <w:tcW w:w="720" w:type="dxa"/>
            <w:tcBorders>
              <w:bottom w:val="single" w:sz="12" w:space="0" w:color="auto"/>
            </w:tcBorders>
          </w:tcPr>
          <w:p>
            <w:pPr>
              <w:ind w:right="-29"/>
              <w:jc w:val="center"/>
              <w:rPr>
                <w:b/>
                <w:bCs/>
                <w:noProof/>
                <w:sz w:val="18"/>
              </w:rPr>
            </w:pPr>
          </w:p>
        </w:tc>
        <w:tc>
          <w:tcPr>
            <w:tcW w:w="900" w:type="dxa"/>
            <w:tcBorders>
              <w:bottom w:val="single" w:sz="12" w:space="0" w:color="auto"/>
            </w:tcBorders>
          </w:tcPr>
          <w:p>
            <w:pPr>
              <w:jc w:val="center"/>
              <w:rPr>
                <w:rFonts w:ascii="Calibri" w:hAnsi="Calibri"/>
                <w:b/>
                <w:bCs/>
                <w:noProof/>
                <w:color w:val="000000"/>
                <w:sz w:val="22"/>
              </w:rPr>
            </w:pPr>
            <w:r>
              <w:rPr>
                <w:rFonts w:ascii="Calibri" w:hAnsi="Calibri"/>
                <w:b/>
                <w:noProof/>
                <w:color w:val="000000"/>
                <w:sz w:val="22"/>
              </w:rPr>
              <w:t>0,115</w:t>
            </w:r>
          </w:p>
          <w:p>
            <w:pPr>
              <w:ind w:right="-29"/>
              <w:jc w:val="center"/>
              <w:rPr>
                <w:b/>
                <w:bCs/>
                <w:noProof/>
                <w:sz w:val="18"/>
              </w:rPr>
            </w:pPr>
          </w:p>
        </w:tc>
      </w:tr>
      <w:tr>
        <w:trPr>
          <w:jc w:val="center"/>
        </w:trPr>
        <w:tc>
          <w:tcPr>
            <w:tcW w:w="3021" w:type="dxa"/>
            <w:gridSpan w:val="4"/>
            <w:tcBorders>
              <w:top w:val="single" w:sz="12" w:space="0" w:color="auto"/>
              <w:left w:val="single" w:sz="12" w:space="0" w:color="auto"/>
              <w:bottom w:val="single" w:sz="12" w:space="0" w:color="auto"/>
            </w:tcBorders>
            <w:vAlign w:val="center"/>
          </w:tcPr>
          <w:p>
            <w:pPr>
              <w:ind w:right="-29"/>
              <w:jc w:val="center"/>
              <w:rPr>
                <w:noProof/>
                <w:sz w:val="18"/>
              </w:rPr>
            </w:pPr>
            <w:r>
              <w:rPr>
                <w:b/>
                <w:noProof/>
                <w:sz w:val="18"/>
              </w:rPr>
              <w:t>STROŠKI SKUPAJ</w:t>
            </w:r>
          </w:p>
        </w:tc>
        <w:tc>
          <w:tcPr>
            <w:tcW w:w="327"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vAlign w:val="bottom"/>
          </w:tcPr>
          <w:p>
            <w:pPr>
              <w:spacing w:before="180" w:after="180"/>
              <w:ind w:right="-29"/>
              <w:jc w:val="center"/>
              <w:rPr>
                <w:noProof/>
                <w:sz w:val="18"/>
              </w:rPr>
            </w:pPr>
            <w:r>
              <w:rPr>
                <w:rFonts w:ascii="Calibri" w:hAnsi="Calibri"/>
                <w:b/>
                <w:noProof/>
                <w:color w:val="000000"/>
                <w:sz w:val="22"/>
              </w:rPr>
              <w:t>0,029</w:t>
            </w:r>
          </w:p>
        </w:tc>
        <w:tc>
          <w:tcPr>
            <w:tcW w:w="540" w:type="dxa"/>
            <w:tcBorders>
              <w:top w:val="single" w:sz="12" w:space="0" w:color="auto"/>
              <w:bottom w:val="single" w:sz="12" w:space="0" w:color="auto"/>
            </w:tcBorders>
            <w:vAlign w:val="bottom"/>
          </w:tcPr>
          <w:p>
            <w:pPr>
              <w:spacing w:before="180" w:after="180"/>
              <w:ind w:right="-29"/>
              <w:jc w:val="center"/>
              <w:rPr>
                <w:noProof/>
                <w:sz w:val="18"/>
              </w:rPr>
            </w:pPr>
          </w:p>
        </w:tc>
        <w:tc>
          <w:tcPr>
            <w:tcW w:w="720" w:type="dxa"/>
            <w:tcBorders>
              <w:top w:val="single" w:sz="12" w:space="0" w:color="auto"/>
              <w:bottom w:val="single" w:sz="12" w:space="0" w:color="auto"/>
            </w:tcBorders>
            <w:vAlign w:val="bottom"/>
          </w:tcPr>
          <w:p>
            <w:pPr>
              <w:spacing w:before="180" w:after="180"/>
              <w:ind w:right="-29"/>
              <w:jc w:val="center"/>
              <w:rPr>
                <w:noProof/>
                <w:sz w:val="18"/>
              </w:rPr>
            </w:pPr>
            <w:r>
              <w:rPr>
                <w:rFonts w:ascii="Calibri" w:hAnsi="Calibri"/>
                <w:b/>
                <w:noProof/>
                <w:color w:val="000000"/>
                <w:sz w:val="22"/>
              </w:rPr>
              <w:t>0,029</w:t>
            </w:r>
          </w:p>
        </w:tc>
        <w:tc>
          <w:tcPr>
            <w:tcW w:w="720" w:type="dxa"/>
            <w:tcBorders>
              <w:top w:val="single" w:sz="12" w:space="0" w:color="auto"/>
              <w:bottom w:val="single" w:sz="12" w:space="0" w:color="auto"/>
            </w:tcBorders>
            <w:vAlign w:val="bottom"/>
          </w:tcPr>
          <w:p>
            <w:pPr>
              <w:spacing w:before="180" w:after="180"/>
              <w:ind w:right="-29"/>
              <w:jc w:val="center"/>
              <w:rPr>
                <w:noProof/>
                <w:sz w:val="18"/>
              </w:rPr>
            </w:pPr>
          </w:p>
        </w:tc>
        <w:tc>
          <w:tcPr>
            <w:tcW w:w="720" w:type="dxa"/>
            <w:tcBorders>
              <w:top w:val="single" w:sz="12" w:space="0" w:color="auto"/>
              <w:bottom w:val="single" w:sz="12" w:space="0" w:color="auto"/>
            </w:tcBorders>
            <w:vAlign w:val="bottom"/>
          </w:tcPr>
          <w:p>
            <w:pPr>
              <w:spacing w:before="180" w:after="180"/>
              <w:ind w:right="-29"/>
              <w:jc w:val="center"/>
              <w:rPr>
                <w:noProof/>
                <w:sz w:val="18"/>
              </w:rPr>
            </w:pPr>
            <w:r>
              <w:rPr>
                <w:rFonts w:ascii="Calibri" w:hAnsi="Calibri"/>
                <w:b/>
                <w:noProof/>
                <w:color w:val="000000"/>
                <w:sz w:val="22"/>
              </w:rPr>
              <w:t>0,029</w:t>
            </w:r>
          </w:p>
        </w:tc>
        <w:tc>
          <w:tcPr>
            <w:tcW w:w="900" w:type="dxa"/>
            <w:tcBorders>
              <w:top w:val="single" w:sz="12" w:space="0" w:color="auto"/>
              <w:bottom w:val="single" w:sz="12" w:space="0" w:color="auto"/>
            </w:tcBorders>
            <w:vAlign w:val="bottom"/>
          </w:tcPr>
          <w:p>
            <w:pPr>
              <w:spacing w:before="180" w:after="180"/>
              <w:ind w:right="-29"/>
              <w:jc w:val="center"/>
              <w:rPr>
                <w:noProof/>
                <w:sz w:val="18"/>
              </w:rPr>
            </w:pPr>
          </w:p>
        </w:tc>
        <w:tc>
          <w:tcPr>
            <w:tcW w:w="720" w:type="dxa"/>
            <w:tcBorders>
              <w:top w:val="single" w:sz="12" w:space="0" w:color="auto"/>
              <w:bottom w:val="single" w:sz="12" w:space="0" w:color="auto"/>
            </w:tcBorders>
            <w:vAlign w:val="bottom"/>
          </w:tcPr>
          <w:p>
            <w:pPr>
              <w:spacing w:before="180" w:after="180"/>
              <w:ind w:right="-29"/>
              <w:jc w:val="center"/>
              <w:rPr>
                <w:noProof/>
                <w:sz w:val="18"/>
              </w:rPr>
            </w:pPr>
            <w:r>
              <w:rPr>
                <w:rFonts w:ascii="Calibri" w:hAnsi="Calibri"/>
                <w:b/>
                <w:noProof/>
                <w:color w:val="000000"/>
                <w:sz w:val="22"/>
              </w:rPr>
              <w:t>0,029</w:t>
            </w:r>
          </w:p>
        </w:tc>
        <w:tc>
          <w:tcPr>
            <w:tcW w:w="540" w:type="dxa"/>
            <w:tcBorders>
              <w:top w:val="single" w:sz="12" w:space="0" w:color="auto"/>
              <w:bottom w:val="single" w:sz="12" w:space="0" w:color="auto"/>
            </w:tcBorders>
          </w:tcPr>
          <w:p>
            <w:pPr>
              <w:spacing w:before="180" w:after="180"/>
              <w:ind w:right="-29"/>
              <w:jc w:val="center"/>
              <w:rPr>
                <w:noProof/>
                <w:sz w:val="18"/>
              </w:rPr>
            </w:pPr>
          </w:p>
        </w:tc>
        <w:tc>
          <w:tcPr>
            <w:tcW w:w="648" w:type="dxa"/>
            <w:tcBorders>
              <w:top w:val="single" w:sz="12" w:space="0" w:color="auto"/>
              <w:bottom w:val="single" w:sz="12" w:space="0" w:color="auto"/>
            </w:tcBorders>
          </w:tcPr>
          <w:p>
            <w:pPr>
              <w:spacing w:before="180" w:after="180"/>
              <w:ind w:right="-29"/>
              <w:jc w:val="center"/>
              <w:rPr>
                <w:noProof/>
                <w:sz w:val="18"/>
              </w:rPr>
            </w:pPr>
          </w:p>
        </w:tc>
        <w:tc>
          <w:tcPr>
            <w:tcW w:w="432"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noProof/>
                <w:sz w:val="18"/>
              </w:rPr>
            </w:pPr>
          </w:p>
        </w:tc>
        <w:tc>
          <w:tcPr>
            <w:tcW w:w="540"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noProof/>
                <w:sz w:val="18"/>
              </w:rPr>
            </w:pPr>
          </w:p>
        </w:tc>
        <w:tc>
          <w:tcPr>
            <w:tcW w:w="900" w:type="dxa"/>
            <w:tcBorders>
              <w:top w:val="single" w:sz="12" w:space="0" w:color="auto"/>
              <w:bottom w:val="single" w:sz="12" w:space="0" w:color="auto"/>
              <w:right w:val="single" w:sz="12" w:space="0" w:color="auto"/>
            </w:tcBorders>
          </w:tcPr>
          <w:p>
            <w:pPr>
              <w:jc w:val="center"/>
              <w:rPr>
                <w:rFonts w:ascii="Calibri" w:hAnsi="Calibri"/>
                <w:b/>
                <w:bCs/>
                <w:noProof/>
                <w:color w:val="000000"/>
                <w:sz w:val="22"/>
              </w:rPr>
            </w:pPr>
            <w:r>
              <w:rPr>
                <w:rFonts w:ascii="Calibri" w:hAnsi="Calibri"/>
                <w:b/>
                <w:noProof/>
                <w:color w:val="000000"/>
                <w:sz w:val="22"/>
              </w:rPr>
              <w:t>0,115</w:t>
            </w:r>
          </w:p>
          <w:p>
            <w:pPr>
              <w:spacing w:before="180" w:after="180"/>
              <w:ind w:right="-29"/>
              <w:jc w:val="center"/>
              <w:rPr>
                <w:noProof/>
                <w:sz w:val="18"/>
              </w:rPr>
            </w:pPr>
          </w:p>
        </w:tc>
      </w:tr>
    </w:tbl>
    <w:p>
      <w:pPr>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170"/>
        <w:gridCol w:w="708"/>
        <w:gridCol w:w="327"/>
        <w:gridCol w:w="720"/>
        <w:gridCol w:w="540"/>
        <w:gridCol w:w="720"/>
        <w:gridCol w:w="720"/>
        <w:gridCol w:w="720"/>
        <w:gridCol w:w="900"/>
        <w:gridCol w:w="720"/>
        <w:gridCol w:w="540"/>
        <w:gridCol w:w="648"/>
        <w:gridCol w:w="432"/>
        <w:gridCol w:w="720"/>
        <w:gridCol w:w="540"/>
        <w:gridCol w:w="720"/>
        <w:gridCol w:w="720"/>
        <w:gridCol w:w="900"/>
      </w:tblGrid>
      <w:tr>
        <w:trPr>
          <w:gridAfter w:val="19"/>
          <w:wAfter w:w="12185" w:type="dxa"/>
          <w:jc w:val="center"/>
        </w:trPr>
        <w:tc>
          <w:tcPr>
            <w:tcW w:w="1423" w:type="dxa"/>
            <w:vAlign w:val="center"/>
          </w:tcPr>
          <w:p>
            <w:pPr>
              <w:ind w:right="-29"/>
              <w:jc w:val="center"/>
              <w:rPr>
                <w:b/>
                <w:noProof/>
                <w:sz w:val="18"/>
              </w:rPr>
            </w:pPr>
            <w:r>
              <w:rPr>
                <w:b/>
                <w:noProof/>
                <w:sz w:val="22"/>
              </w:rPr>
              <w:t>ESMA</w:t>
            </w:r>
          </w:p>
        </w:tc>
      </w:tr>
      <w:tr>
        <w:trPr>
          <w:jc w:val="center"/>
        </w:trPr>
        <w:tc>
          <w:tcPr>
            <w:tcW w:w="1423" w:type="dxa"/>
            <w:vMerge w:val="restart"/>
            <w:vAlign w:val="center"/>
          </w:tcPr>
          <w:p>
            <w:pPr>
              <w:ind w:right="-29"/>
              <w:jc w:val="center"/>
              <w:rPr>
                <w:b/>
                <w:noProof/>
                <w:sz w:val="18"/>
              </w:rPr>
            </w:pPr>
            <w:r>
              <w:rPr>
                <w:b/>
                <w:noProof/>
                <w:sz w:val="18"/>
              </w:rPr>
              <w:t xml:space="preserve">Cilji in realizacije </w:t>
            </w:r>
          </w:p>
          <w:p>
            <w:pPr>
              <w:ind w:right="-29"/>
              <w:jc w:val="center"/>
              <w:rPr>
                <w:b/>
                <w:noProof/>
                <w:sz w:val="18"/>
              </w:rPr>
            </w:pPr>
          </w:p>
          <w:p>
            <w:pPr>
              <w:ind w:right="-29"/>
              <w:jc w:val="center"/>
              <w:rPr>
                <w:noProof/>
                <w:sz w:val="18"/>
              </w:rPr>
            </w:pPr>
            <w:r>
              <w:rPr>
                <w:noProof/>
                <w:sz w:val="18"/>
              </w:rPr>
              <w:sym w:font="Wingdings" w:char="F0F2"/>
            </w:r>
          </w:p>
        </w:tc>
        <w:tc>
          <w:tcPr>
            <w:tcW w:w="720" w:type="dxa"/>
            <w:vAlign w:val="center"/>
          </w:tcPr>
          <w:p>
            <w:pPr>
              <w:ind w:right="-29"/>
              <w:jc w:val="center"/>
              <w:rPr>
                <w:noProof/>
                <w:sz w:val="18"/>
              </w:rPr>
            </w:pPr>
          </w:p>
        </w:tc>
        <w:tc>
          <w:tcPr>
            <w:tcW w:w="878" w:type="dxa"/>
            <w:gridSpan w:val="2"/>
            <w:vAlign w:val="center"/>
          </w:tcPr>
          <w:p>
            <w:pPr>
              <w:ind w:right="-29"/>
              <w:jc w:val="center"/>
              <w:rPr>
                <w:noProof/>
                <w:sz w:val="18"/>
              </w:rPr>
            </w:pPr>
          </w:p>
        </w:tc>
        <w:tc>
          <w:tcPr>
            <w:tcW w:w="1047" w:type="dxa"/>
            <w:gridSpan w:val="2"/>
            <w:tcBorders>
              <w:left w:val="nil"/>
            </w:tcBorders>
            <w:vAlign w:val="center"/>
          </w:tcPr>
          <w:p>
            <w:pPr>
              <w:ind w:right="-29"/>
              <w:jc w:val="center"/>
              <w:rPr>
                <w:noProof/>
                <w:sz w:val="18"/>
              </w:rPr>
            </w:pPr>
            <w:r>
              <w:rPr>
                <w:noProof/>
                <w:sz w:val="18"/>
              </w:rPr>
              <w:t>Leto</w:t>
            </w:r>
            <w:r>
              <w:rPr>
                <w:noProof/>
                <w:sz w:val="22"/>
              </w:rPr>
              <w:br/>
            </w:r>
            <w:r>
              <w:rPr>
                <w:b/>
                <w:noProof/>
                <w:sz w:val="18"/>
              </w:rPr>
              <w:t>2020</w:t>
            </w:r>
          </w:p>
        </w:tc>
        <w:tc>
          <w:tcPr>
            <w:tcW w:w="1260" w:type="dxa"/>
            <w:gridSpan w:val="2"/>
            <w:vAlign w:val="center"/>
          </w:tcPr>
          <w:p>
            <w:pPr>
              <w:ind w:right="-29"/>
              <w:jc w:val="center"/>
              <w:rPr>
                <w:noProof/>
                <w:sz w:val="18"/>
              </w:rPr>
            </w:pPr>
            <w:r>
              <w:rPr>
                <w:noProof/>
                <w:sz w:val="18"/>
              </w:rPr>
              <w:t>Leto</w:t>
            </w:r>
            <w:r>
              <w:rPr>
                <w:noProof/>
                <w:sz w:val="22"/>
              </w:rPr>
              <w:br/>
            </w:r>
            <w:r>
              <w:rPr>
                <w:b/>
                <w:noProof/>
                <w:sz w:val="18"/>
              </w:rPr>
              <w:t>2021</w:t>
            </w:r>
          </w:p>
        </w:tc>
        <w:tc>
          <w:tcPr>
            <w:tcW w:w="1440" w:type="dxa"/>
            <w:gridSpan w:val="2"/>
            <w:vAlign w:val="center"/>
          </w:tcPr>
          <w:p>
            <w:pPr>
              <w:ind w:right="-29"/>
              <w:jc w:val="center"/>
              <w:rPr>
                <w:noProof/>
                <w:sz w:val="18"/>
              </w:rPr>
            </w:pPr>
            <w:r>
              <w:rPr>
                <w:noProof/>
                <w:sz w:val="18"/>
              </w:rPr>
              <w:t>Leto</w:t>
            </w:r>
            <w:r>
              <w:rPr>
                <w:noProof/>
                <w:sz w:val="22"/>
              </w:rPr>
              <w:br/>
            </w:r>
            <w:r>
              <w:rPr>
                <w:b/>
                <w:noProof/>
                <w:sz w:val="18"/>
              </w:rPr>
              <w:t>2022</w:t>
            </w:r>
          </w:p>
        </w:tc>
        <w:tc>
          <w:tcPr>
            <w:tcW w:w="1620" w:type="dxa"/>
            <w:gridSpan w:val="2"/>
            <w:vAlign w:val="center"/>
          </w:tcPr>
          <w:p>
            <w:pPr>
              <w:ind w:right="-29"/>
              <w:jc w:val="center"/>
              <w:rPr>
                <w:noProof/>
                <w:sz w:val="18"/>
              </w:rPr>
            </w:pPr>
            <w:r>
              <w:rPr>
                <w:noProof/>
                <w:sz w:val="18"/>
              </w:rPr>
              <w:t>Leto</w:t>
            </w:r>
            <w:r>
              <w:rPr>
                <w:noProof/>
                <w:sz w:val="22"/>
              </w:rPr>
              <w:br/>
            </w:r>
            <w:r>
              <w:rPr>
                <w:b/>
                <w:noProof/>
                <w:sz w:val="18"/>
              </w:rPr>
              <w:t>2023</w:t>
            </w:r>
          </w:p>
        </w:tc>
        <w:tc>
          <w:tcPr>
            <w:tcW w:w="3600" w:type="dxa"/>
            <w:gridSpan w:val="6"/>
            <w:vAlign w:val="center"/>
          </w:tcPr>
          <w:p>
            <w:pPr>
              <w:jc w:val="center"/>
              <w:rPr>
                <w:b/>
                <w:noProof/>
                <w:sz w:val="18"/>
              </w:rPr>
            </w:pPr>
            <w:r>
              <w:rPr>
                <w:noProof/>
                <w:sz w:val="18"/>
              </w:rPr>
              <w:t>Vstavite ustrezno število let glede na trajanje posledic (gl. točko 1.6)</w:t>
            </w:r>
          </w:p>
        </w:tc>
        <w:tc>
          <w:tcPr>
            <w:tcW w:w="1620" w:type="dxa"/>
            <w:gridSpan w:val="2"/>
            <w:tcBorders>
              <w:left w:val="nil"/>
              <w:bottom w:val="nil"/>
            </w:tcBorders>
            <w:vAlign w:val="center"/>
          </w:tcPr>
          <w:p>
            <w:pPr>
              <w:ind w:right="-29"/>
              <w:jc w:val="center"/>
              <w:rPr>
                <w:noProof/>
                <w:sz w:val="18"/>
              </w:rPr>
            </w:pPr>
            <w:r>
              <w:rPr>
                <w:b/>
                <w:noProof/>
                <w:sz w:val="18"/>
              </w:rPr>
              <w:t>SKUPAJ</w:t>
            </w:r>
          </w:p>
        </w:tc>
      </w:tr>
      <w:tr>
        <w:trPr>
          <w:jc w:val="center"/>
        </w:trPr>
        <w:tc>
          <w:tcPr>
            <w:tcW w:w="1423" w:type="dxa"/>
            <w:vMerge/>
            <w:vAlign w:val="center"/>
          </w:tcPr>
          <w:p>
            <w:pPr>
              <w:rPr>
                <w:noProof/>
                <w:sz w:val="18"/>
              </w:rPr>
            </w:pPr>
          </w:p>
        </w:tc>
        <w:tc>
          <w:tcPr>
            <w:tcW w:w="12185" w:type="dxa"/>
            <w:gridSpan w:val="19"/>
            <w:vAlign w:val="center"/>
          </w:tcPr>
          <w:p>
            <w:pPr>
              <w:spacing w:before="60" w:after="60"/>
              <w:ind w:right="-29"/>
              <w:jc w:val="center"/>
              <w:rPr>
                <w:noProof/>
                <w:sz w:val="18"/>
              </w:rPr>
            </w:pPr>
            <w:r>
              <w:rPr>
                <w:b/>
                <w:noProof/>
                <w:sz w:val="18"/>
              </w:rPr>
              <w:t>REALIZACIJE</w:t>
            </w:r>
          </w:p>
        </w:tc>
      </w:tr>
      <w:tr>
        <w:trPr>
          <w:cantSplit/>
          <w:trHeight w:val="1134"/>
          <w:jc w:val="center"/>
        </w:trPr>
        <w:tc>
          <w:tcPr>
            <w:tcW w:w="1423" w:type="dxa"/>
            <w:vMerge/>
            <w:vAlign w:val="center"/>
          </w:tcPr>
          <w:p>
            <w:pPr>
              <w:rPr>
                <w:noProof/>
                <w:sz w:val="18"/>
              </w:rPr>
            </w:pPr>
          </w:p>
        </w:tc>
        <w:tc>
          <w:tcPr>
            <w:tcW w:w="720" w:type="dxa"/>
            <w:vAlign w:val="center"/>
          </w:tcPr>
          <w:p>
            <w:pPr>
              <w:jc w:val="center"/>
              <w:rPr>
                <w:noProof/>
                <w:sz w:val="18"/>
              </w:rPr>
            </w:pPr>
            <w:r>
              <w:rPr>
                <w:noProof/>
                <w:sz w:val="18"/>
              </w:rPr>
              <w:t>vrsta</w:t>
            </w:r>
            <w:r>
              <w:rPr>
                <w:rStyle w:val="FootnoteReference"/>
                <w:noProof/>
                <w:sz w:val="18"/>
              </w:rPr>
              <w:footnoteReference w:id="76"/>
            </w:r>
          </w:p>
        </w:tc>
        <w:tc>
          <w:tcPr>
            <w:tcW w:w="878" w:type="dxa"/>
            <w:gridSpan w:val="2"/>
            <w:vAlign w:val="center"/>
          </w:tcPr>
          <w:p>
            <w:pPr>
              <w:jc w:val="center"/>
              <w:rPr>
                <w:noProof/>
              </w:rPr>
            </w:pPr>
            <w:r>
              <w:rPr>
                <w:noProof/>
                <w:sz w:val="18"/>
              </w:rPr>
              <w:t>povprečni stroški</w:t>
            </w:r>
          </w:p>
        </w:tc>
        <w:tc>
          <w:tcPr>
            <w:tcW w:w="327" w:type="dxa"/>
            <w:tcBorders>
              <w:left w:val="nil"/>
              <w:right w:val="dashSmallGap" w:sz="4" w:space="0" w:color="auto"/>
            </w:tcBorders>
            <w:shd w:val="pct10" w:color="auto" w:fill="auto"/>
            <w:textDirection w:val="btLr"/>
            <w:vAlign w:val="center"/>
          </w:tcPr>
          <w:p>
            <w:pPr>
              <w:ind w:left="113" w:right="113"/>
              <w:jc w:val="center"/>
              <w:rPr>
                <w:noProof/>
              </w:rPr>
            </w:pPr>
            <w:r>
              <w:rPr>
                <w:noProof/>
                <w:sz w:val="18"/>
              </w:rPr>
              <w:t>število</w:t>
            </w:r>
          </w:p>
        </w:tc>
        <w:tc>
          <w:tcPr>
            <w:tcW w:w="720" w:type="dxa"/>
            <w:tcBorders>
              <w:left w:val="dashSmallGap" w:sz="4" w:space="0" w:color="auto"/>
            </w:tcBorders>
            <w:shd w:val="pct10" w:color="auto" w:fill="auto"/>
            <w:vAlign w:val="center"/>
          </w:tcPr>
          <w:p>
            <w:pPr>
              <w:jc w:val="center"/>
              <w:rPr>
                <w:noProof/>
                <w:sz w:val="18"/>
              </w:rPr>
            </w:pPr>
            <w:r>
              <w:rPr>
                <w:noProof/>
                <w:sz w:val="18"/>
              </w:rPr>
              <w:t>stroški</w:t>
            </w:r>
          </w:p>
        </w:tc>
        <w:tc>
          <w:tcPr>
            <w:tcW w:w="540" w:type="dxa"/>
            <w:tcBorders>
              <w:right w:val="dashSmallGap" w:sz="4" w:space="0" w:color="auto"/>
            </w:tcBorders>
            <w:shd w:val="pct10" w:color="auto" w:fill="auto"/>
            <w:textDirection w:val="btLr"/>
            <w:vAlign w:val="center"/>
          </w:tcPr>
          <w:p>
            <w:pPr>
              <w:ind w:left="113" w:right="113"/>
              <w:jc w:val="center"/>
              <w:rPr>
                <w:noProof/>
              </w:rPr>
            </w:pPr>
            <w:r>
              <w:rPr>
                <w:noProof/>
                <w:sz w:val="18"/>
              </w:rPr>
              <w:t>število</w:t>
            </w:r>
          </w:p>
        </w:tc>
        <w:tc>
          <w:tcPr>
            <w:tcW w:w="720" w:type="dxa"/>
            <w:tcBorders>
              <w:left w:val="dashSmallGap" w:sz="4" w:space="0" w:color="auto"/>
            </w:tcBorders>
            <w:shd w:val="pct10" w:color="auto" w:fill="auto"/>
            <w:vAlign w:val="center"/>
          </w:tcPr>
          <w:p>
            <w:pPr>
              <w:jc w:val="center"/>
              <w:rPr>
                <w:noProof/>
                <w:sz w:val="18"/>
              </w:rPr>
            </w:pPr>
            <w:r>
              <w:rPr>
                <w:noProof/>
                <w:sz w:val="18"/>
              </w:rPr>
              <w:t>stroški</w:t>
            </w:r>
          </w:p>
        </w:tc>
        <w:tc>
          <w:tcPr>
            <w:tcW w:w="720" w:type="dxa"/>
            <w:tcBorders>
              <w:right w:val="dashSmallGap" w:sz="4" w:space="0" w:color="auto"/>
            </w:tcBorders>
            <w:shd w:val="pct10" w:color="auto" w:fill="auto"/>
            <w:textDirection w:val="btLr"/>
            <w:vAlign w:val="center"/>
          </w:tcPr>
          <w:p>
            <w:pPr>
              <w:ind w:left="113" w:right="113"/>
              <w:jc w:val="center"/>
              <w:rPr>
                <w:noProof/>
              </w:rPr>
            </w:pPr>
            <w:r>
              <w:rPr>
                <w:noProof/>
                <w:sz w:val="18"/>
              </w:rPr>
              <w:t>število</w:t>
            </w:r>
          </w:p>
        </w:tc>
        <w:tc>
          <w:tcPr>
            <w:tcW w:w="720" w:type="dxa"/>
            <w:tcBorders>
              <w:left w:val="dashSmallGap" w:sz="4" w:space="0" w:color="auto"/>
            </w:tcBorders>
            <w:shd w:val="pct10" w:color="auto" w:fill="auto"/>
            <w:vAlign w:val="center"/>
          </w:tcPr>
          <w:p>
            <w:pPr>
              <w:jc w:val="center"/>
              <w:rPr>
                <w:noProof/>
                <w:sz w:val="18"/>
              </w:rPr>
            </w:pPr>
            <w:r>
              <w:rPr>
                <w:noProof/>
                <w:sz w:val="18"/>
              </w:rPr>
              <w:t>stroški</w:t>
            </w:r>
          </w:p>
        </w:tc>
        <w:tc>
          <w:tcPr>
            <w:tcW w:w="900" w:type="dxa"/>
            <w:tcBorders>
              <w:right w:val="dashSmallGap" w:sz="4" w:space="0" w:color="auto"/>
            </w:tcBorders>
            <w:shd w:val="pct10" w:color="auto" w:fill="auto"/>
            <w:textDirection w:val="btLr"/>
            <w:vAlign w:val="center"/>
          </w:tcPr>
          <w:p>
            <w:pPr>
              <w:ind w:left="113" w:right="113"/>
              <w:jc w:val="center"/>
              <w:rPr>
                <w:noProof/>
              </w:rPr>
            </w:pPr>
            <w:r>
              <w:rPr>
                <w:noProof/>
                <w:sz w:val="18"/>
              </w:rPr>
              <w:t>število</w:t>
            </w:r>
          </w:p>
        </w:tc>
        <w:tc>
          <w:tcPr>
            <w:tcW w:w="720" w:type="dxa"/>
            <w:tcBorders>
              <w:left w:val="dashSmallGap" w:sz="4" w:space="0" w:color="auto"/>
            </w:tcBorders>
            <w:shd w:val="pct10" w:color="auto" w:fill="auto"/>
            <w:vAlign w:val="center"/>
          </w:tcPr>
          <w:p>
            <w:pPr>
              <w:jc w:val="center"/>
              <w:rPr>
                <w:noProof/>
                <w:sz w:val="18"/>
              </w:rPr>
            </w:pPr>
            <w:r>
              <w:rPr>
                <w:noProof/>
                <w:sz w:val="18"/>
              </w:rPr>
              <w:t>stroški</w:t>
            </w:r>
          </w:p>
        </w:tc>
        <w:tc>
          <w:tcPr>
            <w:tcW w:w="540" w:type="dxa"/>
            <w:tcBorders>
              <w:right w:val="dashSmallGap" w:sz="4" w:space="0" w:color="auto"/>
            </w:tcBorders>
            <w:shd w:val="pct10" w:color="auto" w:fill="auto"/>
            <w:textDirection w:val="btLr"/>
            <w:vAlign w:val="center"/>
          </w:tcPr>
          <w:p>
            <w:pPr>
              <w:ind w:left="113" w:right="113"/>
              <w:jc w:val="center"/>
              <w:rPr>
                <w:noProof/>
              </w:rPr>
            </w:pPr>
            <w:r>
              <w:rPr>
                <w:noProof/>
                <w:sz w:val="18"/>
              </w:rPr>
              <w:t>število</w:t>
            </w:r>
          </w:p>
        </w:tc>
        <w:tc>
          <w:tcPr>
            <w:tcW w:w="648" w:type="dxa"/>
            <w:tcBorders>
              <w:left w:val="dashSmallGap" w:sz="4" w:space="0" w:color="auto"/>
            </w:tcBorders>
            <w:shd w:val="pct10" w:color="auto" w:fill="auto"/>
            <w:vAlign w:val="center"/>
          </w:tcPr>
          <w:p>
            <w:pPr>
              <w:jc w:val="center"/>
              <w:rPr>
                <w:noProof/>
                <w:sz w:val="18"/>
              </w:rPr>
            </w:pPr>
            <w:r>
              <w:rPr>
                <w:noProof/>
                <w:sz w:val="18"/>
              </w:rPr>
              <w:t>stroški</w:t>
            </w:r>
          </w:p>
        </w:tc>
        <w:tc>
          <w:tcPr>
            <w:tcW w:w="432" w:type="dxa"/>
            <w:tcBorders>
              <w:right w:val="dashSmallGap" w:sz="4" w:space="0" w:color="auto"/>
            </w:tcBorders>
            <w:shd w:val="pct10" w:color="auto" w:fill="auto"/>
            <w:textDirection w:val="btLr"/>
            <w:vAlign w:val="center"/>
          </w:tcPr>
          <w:p>
            <w:pPr>
              <w:ind w:left="113" w:right="113"/>
              <w:jc w:val="center"/>
              <w:rPr>
                <w:noProof/>
              </w:rPr>
            </w:pPr>
            <w:r>
              <w:rPr>
                <w:noProof/>
                <w:sz w:val="18"/>
              </w:rPr>
              <w:t>število</w:t>
            </w:r>
          </w:p>
        </w:tc>
        <w:tc>
          <w:tcPr>
            <w:tcW w:w="720" w:type="dxa"/>
            <w:tcBorders>
              <w:left w:val="dashSmallGap" w:sz="4" w:space="0" w:color="auto"/>
            </w:tcBorders>
            <w:shd w:val="pct10" w:color="auto" w:fill="auto"/>
            <w:vAlign w:val="center"/>
          </w:tcPr>
          <w:p>
            <w:pPr>
              <w:jc w:val="center"/>
              <w:rPr>
                <w:noProof/>
                <w:sz w:val="18"/>
              </w:rPr>
            </w:pPr>
            <w:r>
              <w:rPr>
                <w:noProof/>
                <w:sz w:val="18"/>
              </w:rPr>
              <w:t>stroški</w:t>
            </w:r>
          </w:p>
        </w:tc>
        <w:tc>
          <w:tcPr>
            <w:tcW w:w="540" w:type="dxa"/>
            <w:tcBorders>
              <w:right w:val="dashSmallGap" w:sz="4" w:space="0" w:color="auto"/>
            </w:tcBorders>
            <w:shd w:val="pct10" w:color="auto" w:fill="auto"/>
            <w:textDirection w:val="btLr"/>
            <w:vAlign w:val="center"/>
          </w:tcPr>
          <w:p>
            <w:pPr>
              <w:ind w:left="113" w:right="113"/>
              <w:jc w:val="center"/>
              <w:rPr>
                <w:noProof/>
              </w:rPr>
            </w:pPr>
            <w:r>
              <w:rPr>
                <w:noProof/>
                <w:sz w:val="18"/>
              </w:rPr>
              <w:t>število</w:t>
            </w:r>
          </w:p>
        </w:tc>
        <w:tc>
          <w:tcPr>
            <w:tcW w:w="720" w:type="dxa"/>
            <w:tcBorders>
              <w:left w:val="dashSmallGap" w:sz="4" w:space="0" w:color="auto"/>
            </w:tcBorders>
            <w:shd w:val="pct10" w:color="auto" w:fill="auto"/>
            <w:vAlign w:val="center"/>
          </w:tcPr>
          <w:p>
            <w:pPr>
              <w:jc w:val="center"/>
              <w:rPr>
                <w:noProof/>
                <w:sz w:val="18"/>
              </w:rPr>
            </w:pPr>
            <w:r>
              <w:rPr>
                <w:noProof/>
                <w:sz w:val="18"/>
              </w:rPr>
              <w:t>stroški</w:t>
            </w:r>
          </w:p>
        </w:tc>
        <w:tc>
          <w:tcPr>
            <w:tcW w:w="720" w:type="dxa"/>
            <w:tcBorders>
              <w:right w:val="dashSmallGap" w:sz="4" w:space="0" w:color="auto"/>
            </w:tcBorders>
            <w:shd w:val="pct10" w:color="auto" w:fill="auto"/>
            <w:vAlign w:val="center"/>
          </w:tcPr>
          <w:p>
            <w:pPr>
              <w:jc w:val="center"/>
              <w:rPr>
                <w:noProof/>
                <w:sz w:val="18"/>
              </w:rPr>
            </w:pPr>
            <w:r>
              <w:rPr>
                <w:noProof/>
                <w:sz w:val="18"/>
              </w:rPr>
              <w:t>število realizacij skupaj</w:t>
            </w:r>
          </w:p>
        </w:tc>
        <w:tc>
          <w:tcPr>
            <w:tcW w:w="900" w:type="dxa"/>
            <w:tcBorders>
              <w:left w:val="dashSmallGap" w:sz="4" w:space="0" w:color="auto"/>
            </w:tcBorders>
            <w:shd w:val="pct10" w:color="auto" w:fill="auto"/>
            <w:vAlign w:val="center"/>
          </w:tcPr>
          <w:p>
            <w:pPr>
              <w:jc w:val="center"/>
              <w:rPr>
                <w:noProof/>
              </w:rPr>
            </w:pPr>
            <w:r>
              <w:rPr>
                <w:noProof/>
                <w:sz w:val="18"/>
              </w:rPr>
              <w:t>stroški realizacij skupaj</w:t>
            </w:r>
          </w:p>
        </w:tc>
      </w:tr>
      <w:tr>
        <w:trPr>
          <w:jc w:val="center"/>
        </w:trPr>
        <w:tc>
          <w:tcPr>
            <w:tcW w:w="3021" w:type="dxa"/>
            <w:gridSpan w:val="4"/>
            <w:vAlign w:val="center"/>
          </w:tcPr>
          <w:p>
            <w:pPr>
              <w:spacing w:before="60" w:after="60"/>
              <w:ind w:right="-29"/>
              <w:jc w:val="center"/>
              <w:rPr>
                <w:noProof/>
                <w:sz w:val="18"/>
              </w:rPr>
            </w:pPr>
            <w:r>
              <w:rPr>
                <w:noProof/>
                <w:sz w:val="18"/>
              </w:rPr>
              <w:t>SPECIFIČNI CILJ št. 1</w:t>
            </w:r>
            <w:r>
              <w:rPr>
                <w:rStyle w:val="FootnoteReference"/>
                <w:noProof/>
                <w:sz w:val="18"/>
              </w:rPr>
              <w:footnoteReference w:id="77"/>
            </w:r>
            <w:r>
              <w:rPr>
                <w:noProof/>
                <w:sz w:val="18"/>
              </w:rPr>
              <w:t xml:space="preserve"> Podpora platformi pri delu v zvezi s taksonomijo, zagotovitev vhodnih podatkov za opazovalnico za financiranje trajnostne rasti ter izvajanje ukrepov akcijskega načrta za financiranje trajnostne rasti</w:t>
            </w:r>
          </w:p>
        </w:tc>
        <w:tc>
          <w:tcPr>
            <w:tcW w:w="327"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54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90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540" w:type="dxa"/>
            <w:tcBorders>
              <w:top w:val="nil"/>
              <w:left w:val="nil"/>
              <w:bottom w:val="nil"/>
              <w:right w:val="nil"/>
            </w:tcBorders>
          </w:tcPr>
          <w:p>
            <w:pPr>
              <w:spacing w:before="60" w:after="60"/>
              <w:ind w:right="-29"/>
              <w:jc w:val="center"/>
              <w:rPr>
                <w:noProof/>
                <w:sz w:val="18"/>
              </w:rPr>
            </w:pPr>
          </w:p>
        </w:tc>
        <w:tc>
          <w:tcPr>
            <w:tcW w:w="648" w:type="dxa"/>
            <w:tcBorders>
              <w:top w:val="nil"/>
              <w:left w:val="nil"/>
              <w:bottom w:val="nil"/>
              <w:right w:val="nil"/>
            </w:tcBorders>
          </w:tcPr>
          <w:p>
            <w:pPr>
              <w:spacing w:before="60" w:after="60"/>
              <w:ind w:right="-29"/>
              <w:jc w:val="center"/>
              <w:rPr>
                <w:noProof/>
                <w:sz w:val="18"/>
              </w:rPr>
            </w:pPr>
          </w:p>
        </w:tc>
        <w:tc>
          <w:tcPr>
            <w:tcW w:w="432"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54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900" w:type="dxa"/>
            <w:tcBorders>
              <w:top w:val="nil"/>
              <w:left w:val="nil"/>
              <w:bottom w:val="nil"/>
              <w:right w:val="nil"/>
            </w:tcBorders>
          </w:tcPr>
          <w:p>
            <w:pPr>
              <w:spacing w:before="60" w:after="60"/>
              <w:ind w:right="-29"/>
              <w:jc w:val="center"/>
              <w:rPr>
                <w:noProof/>
                <w:sz w:val="18"/>
              </w:rPr>
            </w:pPr>
          </w:p>
        </w:tc>
      </w:tr>
      <w:tr>
        <w:trPr>
          <w:trHeight w:hRule="exact" w:val="1408"/>
          <w:jc w:val="center"/>
        </w:trPr>
        <w:tc>
          <w:tcPr>
            <w:tcW w:w="1423" w:type="dxa"/>
          </w:tcPr>
          <w:p>
            <w:pPr>
              <w:ind w:right="-29"/>
              <w:jc w:val="center"/>
              <w:rPr>
                <w:noProof/>
                <w:sz w:val="18"/>
              </w:rPr>
            </w:pPr>
            <w:r>
              <w:rPr>
                <w:noProof/>
                <w:sz w:val="18"/>
              </w:rPr>
              <w:t>zagotoviti analizo, smernice, poročila, podatke in svetovanje</w:t>
            </w:r>
          </w:p>
        </w:tc>
        <w:tc>
          <w:tcPr>
            <w:tcW w:w="890" w:type="dxa"/>
            <w:gridSpan w:val="2"/>
          </w:tcPr>
          <w:p>
            <w:pPr>
              <w:ind w:right="-29"/>
              <w:jc w:val="center"/>
              <w:rPr>
                <w:noProof/>
                <w:sz w:val="18"/>
              </w:rPr>
            </w:pPr>
            <w:r>
              <w:rPr>
                <w:noProof/>
                <w:sz w:val="18"/>
              </w:rPr>
              <w:t>analize, poročila, podatki in svetovanje</w:t>
            </w:r>
          </w:p>
          <w:p>
            <w:pPr>
              <w:ind w:right="-29"/>
              <w:jc w:val="center"/>
              <w:rPr>
                <w:noProof/>
                <w:sz w:val="18"/>
              </w:rPr>
            </w:pPr>
          </w:p>
        </w:tc>
        <w:tc>
          <w:tcPr>
            <w:tcW w:w="708" w:type="dxa"/>
            <w:vAlign w:val="center"/>
          </w:tcPr>
          <w:p>
            <w:pPr>
              <w:ind w:right="-29"/>
              <w:jc w:val="center"/>
              <w:rPr>
                <w:noProof/>
                <w:sz w:val="18"/>
                <w:szCs w:val="18"/>
              </w:rPr>
            </w:pPr>
            <w:r>
              <w:rPr>
                <w:noProof/>
                <w:sz w:val="18"/>
              </w:rPr>
              <w:t>0,066 (na EPDČ)</w:t>
            </w:r>
          </w:p>
        </w:tc>
        <w:tc>
          <w:tcPr>
            <w:tcW w:w="327" w:type="dxa"/>
            <w:tcBorders>
              <w:right w:val="dashSmallGap" w:sz="4" w:space="0" w:color="auto"/>
            </w:tcBorders>
            <w:vAlign w:val="center"/>
          </w:tcPr>
          <w:p>
            <w:pPr>
              <w:ind w:right="-29"/>
              <w:jc w:val="center"/>
              <w:rPr>
                <w:noProof/>
                <w:sz w:val="18"/>
              </w:rPr>
            </w:pPr>
            <w:r>
              <w:rPr>
                <w:noProof/>
                <w:sz w:val="18"/>
              </w:rPr>
              <w:t>1</w:t>
            </w:r>
          </w:p>
        </w:tc>
        <w:tc>
          <w:tcPr>
            <w:tcW w:w="720" w:type="dxa"/>
            <w:tcBorders>
              <w:left w:val="dashSmallGap" w:sz="4" w:space="0" w:color="auto"/>
            </w:tcBorders>
            <w:vAlign w:val="center"/>
          </w:tcPr>
          <w:p>
            <w:pPr>
              <w:ind w:right="-29"/>
              <w:jc w:val="center"/>
              <w:rPr>
                <w:noProof/>
                <w:sz w:val="18"/>
              </w:rPr>
            </w:pPr>
            <w:r>
              <w:rPr>
                <w:noProof/>
                <w:sz w:val="18"/>
              </w:rPr>
              <w:t>0,066</w:t>
            </w:r>
          </w:p>
        </w:tc>
        <w:tc>
          <w:tcPr>
            <w:tcW w:w="540" w:type="dxa"/>
            <w:tcBorders>
              <w:right w:val="dashSmallGap" w:sz="4" w:space="0" w:color="auto"/>
            </w:tcBorders>
            <w:vAlign w:val="center"/>
          </w:tcPr>
          <w:p>
            <w:pPr>
              <w:ind w:right="-29"/>
              <w:jc w:val="center"/>
              <w:rPr>
                <w:noProof/>
                <w:sz w:val="18"/>
              </w:rPr>
            </w:pPr>
            <w:r>
              <w:rPr>
                <w:noProof/>
                <w:sz w:val="18"/>
              </w:rPr>
              <w:t>1</w:t>
            </w:r>
          </w:p>
        </w:tc>
        <w:tc>
          <w:tcPr>
            <w:tcW w:w="720" w:type="dxa"/>
            <w:tcBorders>
              <w:left w:val="dashSmallGap" w:sz="4" w:space="0" w:color="auto"/>
            </w:tcBorders>
            <w:vAlign w:val="center"/>
          </w:tcPr>
          <w:p>
            <w:pPr>
              <w:ind w:right="-29"/>
              <w:jc w:val="center"/>
              <w:rPr>
                <w:noProof/>
                <w:sz w:val="18"/>
              </w:rPr>
            </w:pPr>
            <w:r>
              <w:rPr>
                <w:noProof/>
                <w:sz w:val="18"/>
              </w:rPr>
              <w:t>0,066</w:t>
            </w:r>
          </w:p>
        </w:tc>
        <w:tc>
          <w:tcPr>
            <w:tcW w:w="720" w:type="dxa"/>
            <w:tcBorders>
              <w:right w:val="dashSmallGap" w:sz="4" w:space="0" w:color="auto"/>
            </w:tcBorders>
            <w:vAlign w:val="center"/>
          </w:tcPr>
          <w:p>
            <w:pPr>
              <w:ind w:right="-29"/>
              <w:jc w:val="center"/>
              <w:rPr>
                <w:noProof/>
                <w:sz w:val="18"/>
              </w:rPr>
            </w:pPr>
            <w:r>
              <w:rPr>
                <w:noProof/>
                <w:sz w:val="18"/>
              </w:rPr>
              <w:t>1</w:t>
            </w:r>
          </w:p>
        </w:tc>
        <w:tc>
          <w:tcPr>
            <w:tcW w:w="720" w:type="dxa"/>
            <w:tcBorders>
              <w:left w:val="dashSmallGap" w:sz="4" w:space="0" w:color="auto"/>
            </w:tcBorders>
            <w:vAlign w:val="center"/>
          </w:tcPr>
          <w:p>
            <w:pPr>
              <w:ind w:right="-29"/>
              <w:jc w:val="center"/>
              <w:rPr>
                <w:noProof/>
                <w:sz w:val="18"/>
              </w:rPr>
            </w:pPr>
            <w:r>
              <w:rPr>
                <w:noProof/>
                <w:sz w:val="18"/>
              </w:rPr>
              <w:t>0,066</w:t>
            </w:r>
          </w:p>
        </w:tc>
        <w:tc>
          <w:tcPr>
            <w:tcW w:w="900" w:type="dxa"/>
            <w:tcBorders>
              <w:right w:val="dashSmallGap" w:sz="4" w:space="0" w:color="auto"/>
            </w:tcBorders>
            <w:vAlign w:val="center"/>
          </w:tcPr>
          <w:p>
            <w:pPr>
              <w:ind w:right="-29"/>
              <w:jc w:val="center"/>
              <w:rPr>
                <w:noProof/>
                <w:sz w:val="18"/>
              </w:rPr>
            </w:pPr>
            <w:r>
              <w:rPr>
                <w:noProof/>
                <w:sz w:val="18"/>
              </w:rPr>
              <w:t>1</w:t>
            </w:r>
          </w:p>
        </w:tc>
        <w:tc>
          <w:tcPr>
            <w:tcW w:w="720" w:type="dxa"/>
            <w:tcBorders>
              <w:left w:val="dashSmallGap" w:sz="4" w:space="0" w:color="auto"/>
            </w:tcBorders>
            <w:vAlign w:val="center"/>
          </w:tcPr>
          <w:p>
            <w:pPr>
              <w:ind w:right="-29"/>
              <w:jc w:val="center"/>
              <w:rPr>
                <w:noProof/>
                <w:sz w:val="18"/>
              </w:rPr>
            </w:pPr>
            <w:r>
              <w:rPr>
                <w:noProof/>
                <w:sz w:val="18"/>
              </w:rPr>
              <w:t>0,066</w:t>
            </w:r>
          </w:p>
        </w:tc>
        <w:tc>
          <w:tcPr>
            <w:tcW w:w="540" w:type="dxa"/>
            <w:tcBorders>
              <w:right w:val="dashSmallGap" w:sz="4" w:space="0" w:color="auto"/>
            </w:tcBorders>
          </w:tcPr>
          <w:p>
            <w:pPr>
              <w:ind w:right="-29"/>
              <w:jc w:val="center"/>
              <w:rPr>
                <w:noProof/>
                <w:sz w:val="18"/>
              </w:rPr>
            </w:pPr>
          </w:p>
        </w:tc>
        <w:tc>
          <w:tcPr>
            <w:tcW w:w="648" w:type="dxa"/>
            <w:tcBorders>
              <w:left w:val="dashSmallGap" w:sz="4" w:space="0" w:color="auto"/>
            </w:tcBorders>
          </w:tcPr>
          <w:p>
            <w:pPr>
              <w:ind w:right="-29"/>
              <w:jc w:val="center"/>
              <w:rPr>
                <w:noProof/>
                <w:sz w:val="18"/>
              </w:rPr>
            </w:pPr>
          </w:p>
        </w:tc>
        <w:tc>
          <w:tcPr>
            <w:tcW w:w="432" w:type="dxa"/>
            <w:tcBorders>
              <w:right w:val="dashSmallGap" w:sz="4" w:space="0" w:color="auto"/>
            </w:tcBorders>
          </w:tcPr>
          <w:p>
            <w:pPr>
              <w:ind w:right="-29"/>
              <w:jc w:val="center"/>
              <w:rPr>
                <w:noProof/>
                <w:sz w:val="18"/>
              </w:rPr>
            </w:pPr>
          </w:p>
        </w:tc>
        <w:tc>
          <w:tcPr>
            <w:tcW w:w="720" w:type="dxa"/>
            <w:tcBorders>
              <w:left w:val="dashSmallGap" w:sz="4" w:space="0" w:color="auto"/>
            </w:tcBorders>
          </w:tcPr>
          <w:p>
            <w:pPr>
              <w:ind w:right="-29"/>
              <w:jc w:val="center"/>
              <w:rPr>
                <w:noProof/>
                <w:sz w:val="18"/>
              </w:rPr>
            </w:pPr>
          </w:p>
        </w:tc>
        <w:tc>
          <w:tcPr>
            <w:tcW w:w="540" w:type="dxa"/>
            <w:tcBorders>
              <w:right w:val="dashSmallGap" w:sz="4" w:space="0" w:color="auto"/>
            </w:tcBorders>
          </w:tcPr>
          <w:p>
            <w:pPr>
              <w:ind w:right="-29"/>
              <w:jc w:val="center"/>
              <w:rPr>
                <w:noProof/>
                <w:sz w:val="18"/>
              </w:rPr>
            </w:pPr>
          </w:p>
        </w:tc>
        <w:tc>
          <w:tcPr>
            <w:tcW w:w="720" w:type="dxa"/>
            <w:tcBorders>
              <w:left w:val="dashSmallGap" w:sz="4" w:space="0" w:color="auto"/>
            </w:tcBorders>
          </w:tcPr>
          <w:p>
            <w:pPr>
              <w:ind w:right="-29"/>
              <w:jc w:val="center"/>
              <w:rPr>
                <w:noProof/>
                <w:sz w:val="18"/>
              </w:rPr>
            </w:pPr>
          </w:p>
        </w:tc>
        <w:tc>
          <w:tcPr>
            <w:tcW w:w="720" w:type="dxa"/>
            <w:vAlign w:val="center"/>
          </w:tcPr>
          <w:p>
            <w:pPr>
              <w:ind w:right="-29"/>
              <w:jc w:val="center"/>
              <w:rPr>
                <w:b/>
                <w:bCs/>
                <w:noProof/>
                <w:sz w:val="18"/>
              </w:rPr>
            </w:pPr>
            <w:r>
              <w:rPr>
                <w:b/>
                <w:noProof/>
                <w:sz w:val="18"/>
              </w:rPr>
              <w:t>1</w:t>
            </w:r>
          </w:p>
        </w:tc>
        <w:tc>
          <w:tcPr>
            <w:tcW w:w="900" w:type="dxa"/>
            <w:vAlign w:val="center"/>
          </w:tcPr>
          <w:p>
            <w:pPr>
              <w:ind w:right="-29"/>
              <w:jc w:val="center"/>
              <w:rPr>
                <w:b/>
                <w:bCs/>
                <w:noProof/>
                <w:sz w:val="18"/>
              </w:rPr>
            </w:pPr>
            <w:r>
              <w:rPr>
                <w:b/>
                <w:noProof/>
                <w:sz w:val="18"/>
              </w:rPr>
              <w:t>0,263</w:t>
            </w:r>
          </w:p>
        </w:tc>
      </w:tr>
      <w:tr>
        <w:trPr>
          <w:jc w:val="center"/>
        </w:trPr>
        <w:tc>
          <w:tcPr>
            <w:tcW w:w="3021" w:type="dxa"/>
            <w:gridSpan w:val="4"/>
            <w:tcBorders>
              <w:bottom w:val="single" w:sz="12" w:space="0" w:color="auto"/>
            </w:tcBorders>
            <w:vAlign w:val="center"/>
          </w:tcPr>
          <w:p>
            <w:pPr>
              <w:ind w:right="-29"/>
              <w:jc w:val="center"/>
              <w:rPr>
                <w:noProof/>
                <w:sz w:val="18"/>
              </w:rPr>
            </w:pPr>
            <w:r>
              <w:rPr>
                <w:noProof/>
                <w:sz w:val="18"/>
              </w:rPr>
              <w:t>Seštevek za specifični cilj št. 1</w:t>
            </w:r>
          </w:p>
        </w:tc>
        <w:tc>
          <w:tcPr>
            <w:tcW w:w="327" w:type="dxa"/>
            <w:tcBorders>
              <w:bottom w:val="single" w:sz="12" w:space="0" w:color="auto"/>
            </w:tcBorders>
          </w:tcPr>
          <w:p>
            <w:pPr>
              <w:ind w:right="-29"/>
              <w:jc w:val="center"/>
              <w:rPr>
                <w:b/>
                <w:bCs/>
                <w:noProof/>
                <w:sz w:val="18"/>
              </w:rPr>
            </w:pPr>
          </w:p>
        </w:tc>
        <w:tc>
          <w:tcPr>
            <w:tcW w:w="720" w:type="dxa"/>
            <w:tcBorders>
              <w:bottom w:val="single" w:sz="12" w:space="0" w:color="auto"/>
            </w:tcBorders>
          </w:tcPr>
          <w:p>
            <w:pPr>
              <w:ind w:right="-29"/>
              <w:jc w:val="center"/>
              <w:rPr>
                <w:b/>
                <w:bCs/>
                <w:noProof/>
                <w:sz w:val="18"/>
              </w:rPr>
            </w:pPr>
            <w:r>
              <w:rPr>
                <w:b/>
                <w:noProof/>
                <w:sz w:val="18"/>
              </w:rPr>
              <w:t>0,066</w:t>
            </w:r>
          </w:p>
        </w:tc>
        <w:tc>
          <w:tcPr>
            <w:tcW w:w="540" w:type="dxa"/>
            <w:tcBorders>
              <w:bottom w:val="single" w:sz="12" w:space="0" w:color="auto"/>
            </w:tcBorders>
          </w:tcPr>
          <w:p>
            <w:pPr>
              <w:ind w:right="-29"/>
              <w:jc w:val="center"/>
              <w:rPr>
                <w:b/>
                <w:bCs/>
                <w:noProof/>
                <w:sz w:val="18"/>
              </w:rPr>
            </w:pPr>
          </w:p>
        </w:tc>
        <w:tc>
          <w:tcPr>
            <w:tcW w:w="720" w:type="dxa"/>
            <w:tcBorders>
              <w:bottom w:val="single" w:sz="12" w:space="0" w:color="auto"/>
            </w:tcBorders>
          </w:tcPr>
          <w:p>
            <w:pPr>
              <w:ind w:right="-29"/>
              <w:jc w:val="center"/>
              <w:rPr>
                <w:b/>
                <w:bCs/>
                <w:noProof/>
                <w:sz w:val="18"/>
              </w:rPr>
            </w:pPr>
            <w:r>
              <w:rPr>
                <w:b/>
                <w:noProof/>
                <w:sz w:val="18"/>
              </w:rPr>
              <w:t>0,066</w:t>
            </w:r>
          </w:p>
        </w:tc>
        <w:tc>
          <w:tcPr>
            <w:tcW w:w="720" w:type="dxa"/>
            <w:tcBorders>
              <w:bottom w:val="single" w:sz="12" w:space="0" w:color="auto"/>
            </w:tcBorders>
          </w:tcPr>
          <w:p>
            <w:pPr>
              <w:ind w:right="-29"/>
              <w:jc w:val="center"/>
              <w:rPr>
                <w:b/>
                <w:bCs/>
                <w:noProof/>
                <w:sz w:val="18"/>
              </w:rPr>
            </w:pPr>
          </w:p>
        </w:tc>
        <w:tc>
          <w:tcPr>
            <w:tcW w:w="720" w:type="dxa"/>
            <w:tcBorders>
              <w:bottom w:val="single" w:sz="12" w:space="0" w:color="auto"/>
            </w:tcBorders>
          </w:tcPr>
          <w:p>
            <w:pPr>
              <w:ind w:right="-29"/>
              <w:jc w:val="center"/>
              <w:rPr>
                <w:b/>
                <w:bCs/>
                <w:noProof/>
                <w:sz w:val="18"/>
              </w:rPr>
            </w:pPr>
            <w:r>
              <w:rPr>
                <w:b/>
                <w:noProof/>
                <w:sz w:val="18"/>
              </w:rPr>
              <w:t>0,066</w:t>
            </w:r>
          </w:p>
        </w:tc>
        <w:tc>
          <w:tcPr>
            <w:tcW w:w="900" w:type="dxa"/>
            <w:tcBorders>
              <w:bottom w:val="single" w:sz="12" w:space="0" w:color="auto"/>
            </w:tcBorders>
          </w:tcPr>
          <w:p>
            <w:pPr>
              <w:ind w:right="-29"/>
              <w:jc w:val="center"/>
              <w:rPr>
                <w:b/>
                <w:bCs/>
                <w:noProof/>
                <w:sz w:val="18"/>
              </w:rPr>
            </w:pPr>
          </w:p>
        </w:tc>
        <w:tc>
          <w:tcPr>
            <w:tcW w:w="720" w:type="dxa"/>
            <w:tcBorders>
              <w:bottom w:val="single" w:sz="12" w:space="0" w:color="auto"/>
            </w:tcBorders>
          </w:tcPr>
          <w:p>
            <w:pPr>
              <w:ind w:right="-29"/>
              <w:jc w:val="center"/>
              <w:rPr>
                <w:b/>
                <w:bCs/>
                <w:noProof/>
                <w:sz w:val="18"/>
              </w:rPr>
            </w:pPr>
            <w:r>
              <w:rPr>
                <w:b/>
                <w:noProof/>
                <w:sz w:val="18"/>
              </w:rPr>
              <w:t>0,066</w:t>
            </w:r>
          </w:p>
        </w:tc>
        <w:tc>
          <w:tcPr>
            <w:tcW w:w="540" w:type="dxa"/>
            <w:tcBorders>
              <w:bottom w:val="single" w:sz="12" w:space="0" w:color="auto"/>
            </w:tcBorders>
          </w:tcPr>
          <w:p>
            <w:pPr>
              <w:ind w:right="-29"/>
              <w:jc w:val="center"/>
              <w:rPr>
                <w:noProof/>
                <w:sz w:val="18"/>
              </w:rPr>
            </w:pPr>
          </w:p>
        </w:tc>
        <w:tc>
          <w:tcPr>
            <w:tcW w:w="648" w:type="dxa"/>
            <w:tcBorders>
              <w:bottom w:val="single" w:sz="12" w:space="0" w:color="auto"/>
            </w:tcBorders>
          </w:tcPr>
          <w:p>
            <w:pPr>
              <w:ind w:right="-29"/>
              <w:jc w:val="center"/>
              <w:rPr>
                <w:noProof/>
                <w:sz w:val="18"/>
              </w:rPr>
            </w:pPr>
          </w:p>
        </w:tc>
        <w:tc>
          <w:tcPr>
            <w:tcW w:w="432" w:type="dxa"/>
            <w:tcBorders>
              <w:bottom w:val="single" w:sz="12" w:space="0" w:color="auto"/>
            </w:tcBorders>
          </w:tcPr>
          <w:p>
            <w:pPr>
              <w:ind w:right="-29"/>
              <w:jc w:val="center"/>
              <w:rPr>
                <w:noProof/>
                <w:sz w:val="18"/>
              </w:rPr>
            </w:pPr>
          </w:p>
        </w:tc>
        <w:tc>
          <w:tcPr>
            <w:tcW w:w="720" w:type="dxa"/>
            <w:tcBorders>
              <w:bottom w:val="single" w:sz="12" w:space="0" w:color="auto"/>
            </w:tcBorders>
          </w:tcPr>
          <w:p>
            <w:pPr>
              <w:ind w:right="-29"/>
              <w:jc w:val="center"/>
              <w:rPr>
                <w:noProof/>
                <w:sz w:val="18"/>
              </w:rPr>
            </w:pPr>
          </w:p>
        </w:tc>
        <w:tc>
          <w:tcPr>
            <w:tcW w:w="540" w:type="dxa"/>
            <w:tcBorders>
              <w:bottom w:val="single" w:sz="12" w:space="0" w:color="auto"/>
            </w:tcBorders>
          </w:tcPr>
          <w:p>
            <w:pPr>
              <w:ind w:right="-29"/>
              <w:jc w:val="center"/>
              <w:rPr>
                <w:noProof/>
                <w:sz w:val="18"/>
              </w:rPr>
            </w:pPr>
          </w:p>
        </w:tc>
        <w:tc>
          <w:tcPr>
            <w:tcW w:w="720" w:type="dxa"/>
            <w:tcBorders>
              <w:bottom w:val="single" w:sz="12" w:space="0" w:color="auto"/>
            </w:tcBorders>
          </w:tcPr>
          <w:p>
            <w:pPr>
              <w:ind w:right="-29"/>
              <w:jc w:val="center"/>
              <w:rPr>
                <w:noProof/>
                <w:sz w:val="18"/>
              </w:rPr>
            </w:pPr>
          </w:p>
        </w:tc>
        <w:tc>
          <w:tcPr>
            <w:tcW w:w="720" w:type="dxa"/>
            <w:tcBorders>
              <w:bottom w:val="single" w:sz="12" w:space="0" w:color="auto"/>
            </w:tcBorders>
          </w:tcPr>
          <w:p>
            <w:pPr>
              <w:ind w:right="-29"/>
              <w:jc w:val="center"/>
              <w:rPr>
                <w:noProof/>
                <w:sz w:val="18"/>
              </w:rPr>
            </w:pPr>
          </w:p>
        </w:tc>
        <w:tc>
          <w:tcPr>
            <w:tcW w:w="900" w:type="dxa"/>
            <w:tcBorders>
              <w:bottom w:val="single" w:sz="12" w:space="0" w:color="auto"/>
            </w:tcBorders>
          </w:tcPr>
          <w:p>
            <w:pPr>
              <w:ind w:right="-29"/>
              <w:jc w:val="center"/>
              <w:rPr>
                <w:b/>
                <w:bCs/>
                <w:noProof/>
                <w:sz w:val="18"/>
              </w:rPr>
            </w:pPr>
            <w:r>
              <w:rPr>
                <w:b/>
                <w:noProof/>
                <w:sz w:val="18"/>
              </w:rPr>
              <w:t>0,263</w:t>
            </w:r>
          </w:p>
        </w:tc>
      </w:tr>
      <w:tr>
        <w:trPr>
          <w:jc w:val="center"/>
        </w:trPr>
        <w:tc>
          <w:tcPr>
            <w:tcW w:w="3021" w:type="dxa"/>
            <w:gridSpan w:val="4"/>
            <w:tcBorders>
              <w:top w:val="single" w:sz="12" w:space="0" w:color="auto"/>
              <w:left w:val="single" w:sz="12" w:space="0" w:color="auto"/>
              <w:bottom w:val="single" w:sz="12" w:space="0" w:color="auto"/>
            </w:tcBorders>
            <w:vAlign w:val="center"/>
          </w:tcPr>
          <w:p>
            <w:pPr>
              <w:ind w:right="-29"/>
              <w:jc w:val="center"/>
              <w:rPr>
                <w:noProof/>
                <w:sz w:val="18"/>
              </w:rPr>
            </w:pPr>
            <w:r>
              <w:rPr>
                <w:b/>
                <w:noProof/>
                <w:sz w:val="18"/>
              </w:rPr>
              <w:t>STROŠKI SKUPAJ</w:t>
            </w:r>
          </w:p>
        </w:tc>
        <w:tc>
          <w:tcPr>
            <w:tcW w:w="327"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ind w:right="-29"/>
              <w:jc w:val="center"/>
              <w:rPr>
                <w:b/>
                <w:bCs/>
                <w:noProof/>
                <w:sz w:val="18"/>
              </w:rPr>
            </w:pPr>
            <w:r>
              <w:rPr>
                <w:b/>
                <w:noProof/>
                <w:sz w:val="18"/>
              </w:rPr>
              <w:t>0,066</w:t>
            </w:r>
          </w:p>
        </w:tc>
        <w:tc>
          <w:tcPr>
            <w:tcW w:w="540" w:type="dxa"/>
            <w:tcBorders>
              <w:top w:val="single" w:sz="12" w:space="0" w:color="auto"/>
              <w:bottom w:val="single" w:sz="12" w:space="0" w:color="auto"/>
            </w:tcBorders>
          </w:tcPr>
          <w:p>
            <w:pPr>
              <w:ind w:right="-29"/>
              <w:jc w:val="center"/>
              <w:rPr>
                <w:b/>
                <w:bCs/>
                <w:noProof/>
                <w:sz w:val="18"/>
              </w:rPr>
            </w:pPr>
          </w:p>
        </w:tc>
        <w:tc>
          <w:tcPr>
            <w:tcW w:w="720" w:type="dxa"/>
            <w:tcBorders>
              <w:top w:val="single" w:sz="12" w:space="0" w:color="auto"/>
              <w:bottom w:val="single" w:sz="12" w:space="0" w:color="auto"/>
            </w:tcBorders>
          </w:tcPr>
          <w:p>
            <w:pPr>
              <w:ind w:right="-29"/>
              <w:jc w:val="center"/>
              <w:rPr>
                <w:b/>
                <w:bCs/>
                <w:noProof/>
                <w:sz w:val="18"/>
              </w:rPr>
            </w:pPr>
            <w:r>
              <w:rPr>
                <w:b/>
                <w:noProof/>
                <w:sz w:val="18"/>
              </w:rPr>
              <w:t>0,066</w:t>
            </w:r>
          </w:p>
        </w:tc>
        <w:tc>
          <w:tcPr>
            <w:tcW w:w="720" w:type="dxa"/>
            <w:tcBorders>
              <w:top w:val="single" w:sz="12" w:space="0" w:color="auto"/>
              <w:bottom w:val="single" w:sz="12" w:space="0" w:color="auto"/>
            </w:tcBorders>
          </w:tcPr>
          <w:p>
            <w:pPr>
              <w:ind w:right="-29"/>
              <w:jc w:val="center"/>
              <w:rPr>
                <w:b/>
                <w:bCs/>
                <w:noProof/>
                <w:sz w:val="18"/>
              </w:rPr>
            </w:pPr>
          </w:p>
        </w:tc>
        <w:tc>
          <w:tcPr>
            <w:tcW w:w="720" w:type="dxa"/>
            <w:tcBorders>
              <w:top w:val="single" w:sz="12" w:space="0" w:color="auto"/>
              <w:bottom w:val="single" w:sz="12" w:space="0" w:color="auto"/>
            </w:tcBorders>
          </w:tcPr>
          <w:p>
            <w:pPr>
              <w:ind w:right="-29"/>
              <w:jc w:val="center"/>
              <w:rPr>
                <w:b/>
                <w:bCs/>
                <w:noProof/>
                <w:sz w:val="18"/>
              </w:rPr>
            </w:pPr>
            <w:r>
              <w:rPr>
                <w:b/>
                <w:noProof/>
                <w:sz w:val="18"/>
              </w:rPr>
              <w:t>0,066</w:t>
            </w:r>
          </w:p>
        </w:tc>
        <w:tc>
          <w:tcPr>
            <w:tcW w:w="900" w:type="dxa"/>
            <w:tcBorders>
              <w:top w:val="single" w:sz="12" w:space="0" w:color="auto"/>
              <w:bottom w:val="single" w:sz="12" w:space="0" w:color="auto"/>
            </w:tcBorders>
          </w:tcPr>
          <w:p>
            <w:pPr>
              <w:ind w:right="-29"/>
              <w:jc w:val="center"/>
              <w:rPr>
                <w:b/>
                <w:bCs/>
                <w:noProof/>
                <w:sz w:val="18"/>
              </w:rPr>
            </w:pPr>
          </w:p>
        </w:tc>
        <w:tc>
          <w:tcPr>
            <w:tcW w:w="720" w:type="dxa"/>
            <w:tcBorders>
              <w:top w:val="single" w:sz="12" w:space="0" w:color="auto"/>
              <w:bottom w:val="single" w:sz="12" w:space="0" w:color="auto"/>
            </w:tcBorders>
          </w:tcPr>
          <w:p>
            <w:pPr>
              <w:ind w:right="-29"/>
              <w:jc w:val="center"/>
              <w:rPr>
                <w:b/>
                <w:bCs/>
                <w:noProof/>
                <w:sz w:val="18"/>
              </w:rPr>
            </w:pPr>
            <w:r>
              <w:rPr>
                <w:b/>
                <w:noProof/>
                <w:sz w:val="18"/>
              </w:rPr>
              <w:t>0,066</w:t>
            </w:r>
          </w:p>
        </w:tc>
        <w:tc>
          <w:tcPr>
            <w:tcW w:w="540" w:type="dxa"/>
            <w:tcBorders>
              <w:top w:val="single" w:sz="12" w:space="0" w:color="auto"/>
              <w:bottom w:val="single" w:sz="12" w:space="0" w:color="auto"/>
            </w:tcBorders>
          </w:tcPr>
          <w:p>
            <w:pPr>
              <w:spacing w:before="180" w:after="180"/>
              <w:ind w:right="-29"/>
              <w:jc w:val="center"/>
              <w:rPr>
                <w:noProof/>
                <w:sz w:val="18"/>
              </w:rPr>
            </w:pPr>
          </w:p>
        </w:tc>
        <w:tc>
          <w:tcPr>
            <w:tcW w:w="648" w:type="dxa"/>
            <w:tcBorders>
              <w:top w:val="single" w:sz="12" w:space="0" w:color="auto"/>
              <w:bottom w:val="single" w:sz="12" w:space="0" w:color="auto"/>
            </w:tcBorders>
          </w:tcPr>
          <w:p>
            <w:pPr>
              <w:spacing w:before="180" w:after="180"/>
              <w:ind w:right="-29"/>
              <w:jc w:val="center"/>
              <w:rPr>
                <w:noProof/>
                <w:sz w:val="18"/>
              </w:rPr>
            </w:pPr>
          </w:p>
        </w:tc>
        <w:tc>
          <w:tcPr>
            <w:tcW w:w="432"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noProof/>
                <w:sz w:val="18"/>
              </w:rPr>
            </w:pPr>
          </w:p>
        </w:tc>
        <w:tc>
          <w:tcPr>
            <w:tcW w:w="540"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noProof/>
                <w:sz w:val="18"/>
              </w:rPr>
            </w:pPr>
          </w:p>
        </w:tc>
        <w:tc>
          <w:tcPr>
            <w:tcW w:w="900" w:type="dxa"/>
            <w:tcBorders>
              <w:top w:val="single" w:sz="12" w:space="0" w:color="auto"/>
              <w:bottom w:val="single" w:sz="12" w:space="0" w:color="auto"/>
              <w:right w:val="single" w:sz="12" w:space="0" w:color="auto"/>
            </w:tcBorders>
          </w:tcPr>
          <w:p>
            <w:pPr>
              <w:ind w:right="-29"/>
              <w:jc w:val="center"/>
              <w:rPr>
                <w:b/>
                <w:bCs/>
                <w:noProof/>
                <w:sz w:val="18"/>
              </w:rPr>
            </w:pPr>
            <w:r>
              <w:rPr>
                <w:b/>
                <w:noProof/>
                <w:sz w:val="18"/>
              </w:rPr>
              <w:t>0,263</w:t>
            </w:r>
          </w:p>
        </w:tc>
      </w:tr>
    </w:tbl>
    <w:p>
      <w:pPr>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890"/>
        <w:gridCol w:w="708"/>
        <w:gridCol w:w="327"/>
        <w:gridCol w:w="720"/>
        <w:gridCol w:w="540"/>
        <w:gridCol w:w="720"/>
        <w:gridCol w:w="720"/>
        <w:gridCol w:w="720"/>
        <w:gridCol w:w="900"/>
        <w:gridCol w:w="720"/>
        <w:gridCol w:w="540"/>
        <w:gridCol w:w="648"/>
        <w:gridCol w:w="432"/>
        <w:gridCol w:w="720"/>
        <w:gridCol w:w="540"/>
        <w:gridCol w:w="720"/>
        <w:gridCol w:w="720"/>
        <w:gridCol w:w="900"/>
      </w:tblGrid>
      <w:tr>
        <w:trPr>
          <w:gridAfter w:val="18"/>
          <w:wAfter w:w="12185" w:type="dxa"/>
          <w:jc w:val="center"/>
        </w:trPr>
        <w:tc>
          <w:tcPr>
            <w:tcW w:w="1423" w:type="dxa"/>
            <w:vAlign w:val="center"/>
          </w:tcPr>
          <w:p>
            <w:pPr>
              <w:ind w:right="-29"/>
              <w:jc w:val="center"/>
              <w:rPr>
                <w:b/>
                <w:noProof/>
                <w:sz w:val="18"/>
              </w:rPr>
            </w:pPr>
            <w:r>
              <w:rPr>
                <w:b/>
                <w:noProof/>
                <w:sz w:val="22"/>
              </w:rPr>
              <w:t>EEA</w:t>
            </w:r>
          </w:p>
        </w:tc>
      </w:tr>
      <w:tr>
        <w:trPr>
          <w:jc w:val="center"/>
        </w:trPr>
        <w:tc>
          <w:tcPr>
            <w:tcW w:w="1423" w:type="dxa"/>
            <w:vMerge w:val="restart"/>
            <w:vAlign w:val="center"/>
          </w:tcPr>
          <w:p>
            <w:pPr>
              <w:ind w:right="-29"/>
              <w:jc w:val="center"/>
              <w:rPr>
                <w:b/>
                <w:noProof/>
                <w:sz w:val="18"/>
              </w:rPr>
            </w:pPr>
            <w:r>
              <w:rPr>
                <w:b/>
                <w:noProof/>
                <w:sz w:val="18"/>
              </w:rPr>
              <w:t xml:space="preserve">Cilji in realizacije </w:t>
            </w:r>
          </w:p>
          <w:p>
            <w:pPr>
              <w:ind w:right="-29"/>
              <w:jc w:val="center"/>
              <w:rPr>
                <w:b/>
                <w:noProof/>
                <w:sz w:val="18"/>
              </w:rPr>
            </w:pPr>
          </w:p>
          <w:p>
            <w:pPr>
              <w:ind w:right="-29"/>
              <w:jc w:val="center"/>
              <w:rPr>
                <w:noProof/>
                <w:sz w:val="18"/>
              </w:rPr>
            </w:pPr>
            <w:r>
              <w:rPr>
                <w:noProof/>
                <w:sz w:val="18"/>
              </w:rPr>
              <w:sym w:font="Wingdings" w:char="F0F2"/>
            </w:r>
          </w:p>
        </w:tc>
        <w:tc>
          <w:tcPr>
            <w:tcW w:w="890" w:type="dxa"/>
            <w:vAlign w:val="center"/>
          </w:tcPr>
          <w:p>
            <w:pPr>
              <w:ind w:right="-29"/>
              <w:jc w:val="center"/>
              <w:rPr>
                <w:noProof/>
                <w:sz w:val="18"/>
              </w:rPr>
            </w:pPr>
          </w:p>
        </w:tc>
        <w:tc>
          <w:tcPr>
            <w:tcW w:w="708" w:type="dxa"/>
            <w:vAlign w:val="center"/>
          </w:tcPr>
          <w:p>
            <w:pPr>
              <w:ind w:right="-29"/>
              <w:jc w:val="center"/>
              <w:rPr>
                <w:noProof/>
                <w:sz w:val="18"/>
              </w:rPr>
            </w:pPr>
          </w:p>
        </w:tc>
        <w:tc>
          <w:tcPr>
            <w:tcW w:w="1047" w:type="dxa"/>
            <w:gridSpan w:val="2"/>
            <w:tcBorders>
              <w:left w:val="nil"/>
            </w:tcBorders>
            <w:vAlign w:val="center"/>
          </w:tcPr>
          <w:p>
            <w:pPr>
              <w:ind w:right="-29"/>
              <w:jc w:val="center"/>
              <w:rPr>
                <w:noProof/>
                <w:sz w:val="18"/>
              </w:rPr>
            </w:pPr>
            <w:r>
              <w:rPr>
                <w:noProof/>
                <w:sz w:val="18"/>
              </w:rPr>
              <w:t>Leto</w:t>
            </w:r>
            <w:r>
              <w:rPr>
                <w:noProof/>
                <w:sz w:val="22"/>
              </w:rPr>
              <w:br/>
            </w:r>
            <w:r>
              <w:rPr>
                <w:b/>
                <w:noProof/>
                <w:sz w:val="18"/>
              </w:rPr>
              <w:t>2020</w:t>
            </w:r>
          </w:p>
        </w:tc>
        <w:tc>
          <w:tcPr>
            <w:tcW w:w="1260" w:type="dxa"/>
            <w:gridSpan w:val="2"/>
            <w:vAlign w:val="center"/>
          </w:tcPr>
          <w:p>
            <w:pPr>
              <w:ind w:right="-29"/>
              <w:jc w:val="center"/>
              <w:rPr>
                <w:noProof/>
                <w:sz w:val="18"/>
              </w:rPr>
            </w:pPr>
            <w:r>
              <w:rPr>
                <w:noProof/>
                <w:sz w:val="18"/>
              </w:rPr>
              <w:t>Leto</w:t>
            </w:r>
            <w:r>
              <w:rPr>
                <w:noProof/>
                <w:sz w:val="22"/>
              </w:rPr>
              <w:br/>
            </w:r>
            <w:r>
              <w:rPr>
                <w:b/>
                <w:noProof/>
                <w:sz w:val="18"/>
              </w:rPr>
              <w:t>2021</w:t>
            </w:r>
          </w:p>
        </w:tc>
        <w:tc>
          <w:tcPr>
            <w:tcW w:w="1440" w:type="dxa"/>
            <w:gridSpan w:val="2"/>
            <w:vAlign w:val="center"/>
          </w:tcPr>
          <w:p>
            <w:pPr>
              <w:ind w:right="-29"/>
              <w:jc w:val="center"/>
              <w:rPr>
                <w:noProof/>
                <w:sz w:val="18"/>
              </w:rPr>
            </w:pPr>
            <w:r>
              <w:rPr>
                <w:noProof/>
                <w:sz w:val="18"/>
              </w:rPr>
              <w:t>Leto</w:t>
            </w:r>
            <w:r>
              <w:rPr>
                <w:noProof/>
                <w:sz w:val="22"/>
              </w:rPr>
              <w:br/>
            </w:r>
            <w:r>
              <w:rPr>
                <w:b/>
                <w:noProof/>
                <w:sz w:val="18"/>
              </w:rPr>
              <w:t>2022</w:t>
            </w:r>
          </w:p>
        </w:tc>
        <w:tc>
          <w:tcPr>
            <w:tcW w:w="1620" w:type="dxa"/>
            <w:gridSpan w:val="2"/>
            <w:vAlign w:val="center"/>
          </w:tcPr>
          <w:p>
            <w:pPr>
              <w:ind w:right="-29"/>
              <w:jc w:val="center"/>
              <w:rPr>
                <w:noProof/>
                <w:sz w:val="18"/>
              </w:rPr>
            </w:pPr>
            <w:r>
              <w:rPr>
                <w:noProof/>
                <w:sz w:val="18"/>
              </w:rPr>
              <w:t>Leto</w:t>
            </w:r>
            <w:r>
              <w:rPr>
                <w:noProof/>
                <w:sz w:val="22"/>
              </w:rPr>
              <w:br/>
            </w:r>
            <w:r>
              <w:rPr>
                <w:b/>
                <w:noProof/>
                <w:sz w:val="18"/>
              </w:rPr>
              <w:t>2023</w:t>
            </w:r>
          </w:p>
        </w:tc>
        <w:tc>
          <w:tcPr>
            <w:tcW w:w="3600" w:type="dxa"/>
            <w:gridSpan w:val="6"/>
            <w:vAlign w:val="center"/>
          </w:tcPr>
          <w:p>
            <w:pPr>
              <w:jc w:val="center"/>
              <w:rPr>
                <w:b/>
                <w:noProof/>
                <w:sz w:val="18"/>
              </w:rPr>
            </w:pPr>
            <w:r>
              <w:rPr>
                <w:noProof/>
                <w:sz w:val="18"/>
              </w:rPr>
              <w:t>Vstavite ustrezno število let glede na trajanje posledic (gl. točko 1.6)</w:t>
            </w:r>
          </w:p>
        </w:tc>
        <w:tc>
          <w:tcPr>
            <w:tcW w:w="1620" w:type="dxa"/>
            <w:gridSpan w:val="2"/>
            <w:tcBorders>
              <w:left w:val="nil"/>
              <w:bottom w:val="nil"/>
            </w:tcBorders>
            <w:vAlign w:val="center"/>
          </w:tcPr>
          <w:p>
            <w:pPr>
              <w:ind w:right="-29"/>
              <w:jc w:val="center"/>
              <w:rPr>
                <w:noProof/>
                <w:sz w:val="18"/>
              </w:rPr>
            </w:pPr>
            <w:r>
              <w:rPr>
                <w:b/>
                <w:noProof/>
                <w:sz w:val="18"/>
              </w:rPr>
              <w:t>SKUPAJ</w:t>
            </w:r>
          </w:p>
        </w:tc>
      </w:tr>
      <w:tr>
        <w:trPr>
          <w:jc w:val="center"/>
        </w:trPr>
        <w:tc>
          <w:tcPr>
            <w:tcW w:w="1423" w:type="dxa"/>
            <w:vMerge/>
            <w:vAlign w:val="center"/>
          </w:tcPr>
          <w:p>
            <w:pPr>
              <w:rPr>
                <w:noProof/>
                <w:sz w:val="18"/>
              </w:rPr>
            </w:pPr>
          </w:p>
        </w:tc>
        <w:tc>
          <w:tcPr>
            <w:tcW w:w="12185" w:type="dxa"/>
            <w:gridSpan w:val="18"/>
            <w:vAlign w:val="center"/>
          </w:tcPr>
          <w:p>
            <w:pPr>
              <w:spacing w:before="60" w:after="60"/>
              <w:ind w:right="-29"/>
              <w:jc w:val="center"/>
              <w:rPr>
                <w:noProof/>
                <w:sz w:val="18"/>
              </w:rPr>
            </w:pPr>
            <w:r>
              <w:rPr>
                <w:b/>
                <w:noProof/>
                <w:sz w:val="18"/>
              </w:rPr>
              <w:t>REALIZACIJE</w:t>
            </w:r>
          </w:p>
        </w:tc>
      </w:tr>
      <w:tr>
        <w:trPr>
          <w:cantSplit/>
          <w:trHeight w:val="1134"/>
          <w:jc w:val="center"/>
        </w:trPr>
        <w:tc>
          <w:tcPr>
            <w:tcW w:w="1423" w:type="dxa"/>
            <w:vMerge/>
            <w:vAlign w:val="center"/>
          </w:tcPr>
          <w:p>
            <w:pPr>
              <w:rPr>
                <w:noProof/>
                <w:sz w:val="18"/>
              </w:rPr>
            </w:pPr>
          </w:p>
        </w:tc>
        <w:tc>
          <w:tcPr>
            <w:tcW w:w="890" w:type="dxa"/>
            <w:vAlign w:val="center"/>
          </w:tcPr>
          <w:p>
            <w:pPr>
              <w:jc w:val="center"/>
              <w:rPr>
                <w:noProof/>
                <w:sz w:val="18"/>
              </w:rPr>
            </w:pPr>
            <w:r>
              <w:rPr>
                <w:noProof/>
                <w:sz w:val="18"/>
              </w:rPr>
              <w:t>vrsta</w:t>
            </w:r>
            <w:r>
              <w:rPr>
                <w:rStyle w:val="FootnoteReference"/>
                <w:noProof/>
                <w:sz w:val="18"/>
              </w:rPr>
              <w:footnoteReference w:id="78"/>
            </w:r>
          </w:p>
        </w:tc>
        <w:tc>
          <w:tcPr>
            <w:tcW w:w="708" w:type="dxa"/>
            <w:vAlign w:val="center"/>
          </w:tcPr>
          <w:p>
            <w:pPr>
              <w:jc w:val="center"/>
              <w:rPr>
                <w:noProof/>
              </w:rPr>
            </w:pPr>
            <w:r>
              <w:rPr>
                <w:noProof/>
                <w:sz w:val="18"/>
              </w:rPr>
              <w:t>povprečni stroški</w:t>
            </w:r>
          </w:p>
        </w:tc>
        <w:tc>
          <w:tcPr>
            <w:tcW w:w="327" w:type="dxa"/>
            <w:tcBorders>
              <w:left w:val="nil"/>
              <w:right w:val="dashSmallGap" w:sz="4" w:space="0" w:color="auto"/>
            </w:tcBorders>
            <w:shd w:val="pct10" w:color="auto" w:fill="auto"/>
            <w:textDirection w:val="btLr"/>
            <w:vAlign w:val="center"/>
          </w:tcPr>
          <w:p>
            <w:pPr>
              <w:ind w:left="113" w:right="113"/>
              <w:jc w:val="center"/>
              <w:rPr>
                <w:noProof/>
              </w:rPr>
            </w:pPr>
            <w:r>
              <w:rPr>
                <w:noProof/>
                <w:sz w:val="18"/>
              </w:rPr>
              <w:t>število</w:t>
            </w:r>
          </w:p>
        </w:tc>
        <w:tc>
          <w:tcPr>
            <w:tcW w:w="720" w:type="dxa"/>
            <w:tcBorders>
              <w:left w:val="dashSmallGap" w:sz="4" w:space="0" w:color="auto"/>
            </w:tcBorders>
            <w:shd w:val="pct10" w:color="auto" w:fill="auto"/>
            <w:vAlign w:val="center"/>
          </w:tcPr>
          <w:p>
            <w:pPr>
              <w:jc w:val="center"/>
              <w:rPr>
                <w:noProof/>
                <w:sz w:val="18"/>
              </w:rPr>
            </w:pPr>
            <w:r>
              <w:rPr>
                <w:noProof/>
                <w:sz w:val="18"/>
              </w:rPr>
              <w:t>stroški</w:t>
            </w:r>
          </w:p>
        </w:tc>
        <w:tc>
          <w:tcPr>
            <w:tcW w:w="540" w:type="dxa"/>
            <w:tcBorders>
              <w:right w:val="dashSmallGap" w:sz="4" w:space="0" w:color="auto"/>
            </w:tcBorders>
            <w:shd w:val="pct10" w:color="auto" w:fill="auto"/>
            <w:textDirection w:val="btLr"/>
            <w:vAlign w:val="center"/>
          </w:tcPr>
          <w:p>
            <w:pPr>
              <w:ind w:left="113" w:right="113"/>
              <w:jc w:val="center"/>
              <w:rPr>
                <w:noProof/>
              </w:rPr>
            </w:pPr>
            <w:r>
              <w:rPr>
                <w:noProof/>
                <w:sz w:val="18"/>
              </w:rPr>
              <w:t>število</w:t>
            </w:r>
          </w:p>
        </w:tc>
        <w:tc>
          <w:tcPr>
            <w:tcW w:w="720" w:type="dxa"/>
            <w:tcBorders>
              <w:left w:val="dashSmallGap" w:sz="4" w:space="0" w:color="auto"/>
            </w:tcBorders>
            <w:shd w:val="pct10" w:color="auto" w:fill="auto"/>
            <w:vAlign w:val="center"/>
          </w:tcPr>
          <w:p>
            <w:pPr>
              <w:jc w:val="center"/>
              <w:rPr>
                <w:noProof/>
                <w:sz w:val="18"/>
              </w:rPr>
            </w:pPr>
            <w:r>
              <w:rPr>
                <w:noProof/>
                <w:sz w:val="18"/>
              </w:rPr>
              <w:t>stroški</w:t>
            </w:r>
          </w:p>
        </w:tc>
        <w:tc>
          <w:tcPr>
            <w:tcW w:w="720" w:type="dxa"/>
            <w:tcBorders>
              <w:right w:val="dashSmallGap" w:sz="4" w:space="0" w:color="auto"/>
            </w:tcBorders>
            <w:shd w:val="pct10" w:color="auto" w:fill="auto"/>
            <w:textDirection w:val="btLr"/>
            <w:vAlign w:val="center"/>
          </w:tcPr>
          <w:p>
            <w:pPr>
              <w:ind w:left="113" w:right="113"/>
              <w:jc w:val="center"/>
              <w:rPr>
                <w:noProof/>
              </w:rPr>
            </w:pPr>
            <w:r>
              <w:rPr>
                <w:noProof/>
                <w:sz w:val="18"/>
              </w:rPr>
              <w:t>število</w:t>
            </w:r>
          </w:p>
        </w:tc>
        <w:tc>
          <w:tcPr>
            <w:tcW w:w="720" w:type="dxa"/>
            <w:tcBorders>
              <w:left w:val="dashSmallGap" w:sz="4" w:space="0" w:color="auto"/>
            </w:tcBorders>
            <w:shd w:val="pct10" w:color="auto" w:fill="auto"/>
            <w:vAlign w:val="center"/>
          </w:tcPr>
          <w:p>
            <w:pPr>
              <w:jc w:val="center"/>
              <w:rPr>
                <w:noProof/>
                <w:sz w:val="18"/>
              </w:rPr>
            </w:pPr>
            <w:r>
              <w:rPr>
                <w:noProof/>
                <w:sz w:val="18"/>
              </w:rPr>
              <w:t>stroški</w:t>
            </w:r>
          </w:p>
        </w:tc>
        <w:tc>
          <w:tcPr>
            <w:tcW w:w="900" w:type="dxa"/>
            <w:tcBorders>
              <w:right w:val="dashSmallGap" w:sz="4" w:space="0" w:color="auto"/>
            </w:tcBorders>
            <w:shd w:val="pct10" w:color="auto" w:fill="auto"/>
            <w:textDirection w:val="btLr"/>
            <w:vAlign w:val="center"/>
          </w:tcPr>
          <w:p>
            <w:pPr>
              <w:ind w:left="113" w:right="113"/>
              <w:jc w:val="center"/>
              <w:rPr>
                <w:noProof/>
              </w:rPr>
            </w:pPr>
            <w:r>
              <w:rPr>
                <w:noProof/>
                <w:sz w:val="18"/>
              </w:rPr>
              <w:t>število</w:t>
            </w:r>
          </w:p>
        </w:tc>
        <w:tc>
          <w:tcPr>
            <w:tcW w:w="720" w:type="dxa"/>
            <w:tcBorders>
              <w:left w:val="dashSmallGap" w:sz="4" w:space="0" w:color="auto"/>
            </w:tcBorders>
            <w:shd w:val="pct10" w:color="auto" w:fill="auto"/>
            <w:vAlign w:val="center"/>
          </w:tcPr>
          <w:p>
            <w:pPr>
              <w:jc w:val="center"/>
              <w:rPr>
                <w:noProof/>
                <w:sz w:val="18"/>
              </w:rPr>
            </w:pPr>
            <w:r>
              <w:rPr>
                <w:noProof/>
                <w:sz w:val="18"/>
              </w:rPr>
              <w:t>stroški</w:t>
            </w:r>
          </w:p>
        </w:tc>
        <w:tc>
          <w:tcPr>
            <w:tcW w:w="540" w:type="dxa"/>
            <w:tcBorders>
              <w:right w:val="dashSmallGap" w:sz="4" w:space="0" w:color="auto"/>
            </w:tcBorders>
            <w:shd w:val="pct10" w:color="auto" w:fill="auto"/>
            <w:textDirection w:val="btLr"/>
            <w:vAlign w:val="center"/>
          </w:tcPr>
          <w:p>
            <w:pPr>
              <w:ind w:left="113" w:right="113"/>
              <w:jc w:val="center"/>
              <w:rPr>
                <w:noProof/>
              </w:rPr>
            </w:pPr>
            <w:r>
              <w:rPr>
                <w:noProof/>
                <w:sz w:val="18"/>
              </w:rPr>
              <w:t>število</w:t>
            </w:r>
          </w:p>
        </w:tc>
        <w:tc>
          <w:tcPr>
            <w:tcW w:w="648" w:type="dxa"/>
            <w:tcBorders>
              <w:left w:val="dashSmallGap" w:sz="4" w:space="0" w:color="auto"/>
            </w:tcBorders>
            <w:shd w:val="pct10" w:color="auto" w:fill="auto"/>
            <w:vAlign w:val="center"/>
          </w:tcPr>
          <w:p>
            <w:pPr>
              <w:jc w:val="center"/>
              <w:rPr>
                <w:noProof/>
                <w:sz w:val="18"/>
              </w:rPr>
            </w:pPr>
            <w:r>
              <w:rPr>
                <w:noProof/>
                <w:sz w:val="18"/>
              </w:rPr>
              <w:t>stroški</w:t>
            </w:r>
          </w:p>
        </w:tc>
        <w:tc>
          <w:tcPr>
            <w:tcW w:w="432" w:type="dxa"/>
            <w:tcBorders>
              <w:right w:val="dashSmallGap" w:sz="4" w:space="0" w:color="auto"/>
            </w:tcBorders>
            <w:shd w:val="pct10" w:color="auto" w:fill="auto"/>
            <w:textDirection w:val="btLr"/>
            <w:vAlign w:val="center"/>
          </w:tcPr>
          <w:p>
            <w:pPr>
              <w:ind w:left="113" w:right="113"/>
              <w:jc w:val="center"/>
              <w:rPr>
                <w:noProof/>
              </w:rPr>
            </w:pPr>
            <w:r>
              <w:rPr>
                <w:noProof/>
                <w:sz w:val="18"/>
              </w:rPr>
              <w:t>število</w:t>
            </w:r>
          </w:p>
        </w:tc>
        <w:tc>
          <w:tcPr>
            <w:tcW w:w="720" w:type="dxa"/>
            <w:tcBorders>
              <w:left w:val="dashSmallGap" w:sz="4" w:space="0" w:color="auto"/>
            </w:tcBorders>
            <w:shd w:val="pct10" w:color="auto" w:fill="auto"/>
            <w:vAlign w:val="center"/>
          </w:tcPr>
          <w:p>
            <w:pPr>
              <w:jc w:val="center"/>
              <w:rPr>
                <w:noProof/>
                <w:sz w:val="18"/>
              </w:rPr>
            </w:pPr>
            <w:r>
              <w:rPr>
                <w:noProof/>
                <w:sz w:val="18"/>
              </w:rPr>
              <w:t>stroški</w:t>
            </w:r>
          </w:p>
        </w:tc>
        <w:tc>
          <w:tcPr>
            <w:tcW w:w="540" w:type="dxa"/>
            <w:tcBorders>
              <w:right w:val="dashSmallGap" w:sz="4" w:space="0" w:color="auto"/>
            </w:tcBorders>
            <w:shd w:val="pct10" w:color="auto" w:fill="auto"/>
            <w:textDirection w:val="btLr"/>
            <w:vAlign w:val="center"/>
          </w:tcPr>
          <w:p>
            <w:pPr>
              <w:ind w:left="113" w:right="113"/>
              <w:jc w:val="center"/>
              <w:rPr>
                <w:noProof/>
              </w:rPr>
            </w:pPr>
            <w:r>
              <w:rPr>
                <w:noProof/>
                <w:sz w:val="18"/>
              </w:rPr>
              <w:t>število</w:t>
            </w:r>
          </w:p>
        </w:tc>
        <w:tc>
          <w:tcPr>
            <w:tcW w:w="720" w:type="dxa"/>
            <w:tcBorders>
              <w:left w:val="dashSmallGap" w:sz="4" w:space="0" w:color="auto"/>
            </w:tcBorders>
            <w:shd w:val="pct10" w:color="auto" w:fill="auto"/>
            <w:vAlign w:val="center"/>
          </w:tcPr>
          <w:p>
            <w:pPr>
              <w:jc w:val="center"/>
              <w:rPr>
                <w:noProof/>
                <w:sz w:val="18"/>
              </w:rPr>
            </w:pPr>
            <w:r>
              <w:rPr>
                <w:noProof/>
                <w:sz w:val="18"/>
              </w:rPr>
              <w:t>stroški</w:t>
            </w:r>
          </w:p>
        </w:tc>
        <w:tc>
          <w:tcPr>
            <w:tcW w:w="720" w:type="dxa"/>
            <w:tcBorders>
              <w:right w:val="dashSmallGap" w:sz="4" w:space="0" w:color="auto"/>
            </w:tcBorders>
            <w:shd w:val="pct10" w:color="auto" w:fill="auto"/>
            <w:vAlign w:val="center"/>
          </w:tcPr>
          <w:p>
            <w:pPr>
              <w:jc w:val="center"/>
              <w:rPr>
                <w:noProof/>
                <w:sz w:val="18"/>
              </w:rPr>
            </w:pPr>
            <w:r>
              <w:rPr>
                <w:noProof/>
                <w:sz w:val="18"/>
              </w:rPr>
              <w:t>število realizacij skupaj</w:t>
            </w:r>
          </w:p>
        </w:tc>
        <w:tc>
          <w:tcPr>
            <w:tcW w:w="900" w:type="dxa"/>
            <w:tcBorders>
              <w:left w:val="dashSmallGap" w:sz="4" w:space="0" w:color="auto"/>
            </w:tcBorders>
            <w:shd w:val="pct10" w:color="auto" w:fill="auto"/>
            <w:vAlign w:val="center"/>
          </w:tcPr>
          <w:p>
            <w:pPr>
              <w:jc w:val="center"/>
              <w:rPr>
                <w:noProof/>
              </w:rPr>
            </w:pPr>
            <w:r>
              <w:rPr>
                <w:noProof/>
                <w:sz w:val="18"/>
              </w:rPr>
              <w:t>stroški realizacij skupaj</w:t>
            </w:r>
          </w:p>
        </w:tc>
      </w:tr>
      <w:tr>
        <w:trPr>
          <w:jc w:val="center"/>
        </w:trPr>
        <w:tc>
          <w:tcPr>
            <w:tcW w:w="3021" w:type="dxa"/>
            <w:gridSpan w:val="3"/>
            <w:vAlign w:val="center"/>
          </w:tcPr>
          <w:p>
            <w:pPr>
              <w:spacing w:before="60" w:after="60"/>
              <w:ind w:right="-29"/>
              <w:jc w:val="center"/>
              <w:rPr>
                <w:noProof/>
                <w:sz w:val="18"/>
              </w:rPr>
            </w:pPr>
            <w:r>
              <w:rPr>
                <w:noProof/>
                <w:sz w:val="18"/>
              </w:rPr>
              <w:t>SPECIFIČNI CILJ št. 1</w:t>
            </w:r>
            <w:r>
              <w:rPr>
                <w:rStyle w:val="FootnoteReference"/>
                <w:noProof/>
                <w:sz w:val="18"/>
              </w:rPr>
              <w:footnoteReference w:id="79"/>
            </w:r>
            <w:r>
              <w:rPr>
                <w:noProof/>
                <w:sz w:val="18"/>
              </w:rPr>
              <w:t xml:space="preserve"> Podpora platformi pri delu v zvezi s taksonomijo, standardi in znaki ter zagotoviti vhodne podatke za opazovalnico za financiranje trajnostne rasti in svetovanje državam članicam pri oblikovanju njihovih strategij za nizkoogljične in trajnostne naložbe</w:t>
            </w:r>
          </w:p>
        </w:tc>
        <w:tc>
          <w:tcPr>
            <w:tcW w:w="327"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54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90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540" w:type="dxa"/>
            <w:tcBorders>
              <w:top w:val="nil"/>
              <w:left w:val="nil"/>
              <w:bottom w:val="nil"/>
              <w:right w:val="nil"/>
            </w:tcBorders>
          </w:tcPr>
          <w:p>
            <w:pPr>
              <w:spacing w:before="60" w:after="60"/>
              <w:ind w:right="-29"/>
              <w:jc w:val="center"/>
              <w:rPr>
                <w:noProof/>
                <w:sz w:val="18"/>
              </w:rPr>
            </w:pPr>
          </w:p>
        </w:tc>
        <w:tc>
          <w:tcPr>
            <w:tcW w:w="648" w:type="dxa"/>
            <w:tcBorders>
              <w:top w:val="nil"/>
              <w:left w:val="nil"/>
              <w:bottom w:val="nil"/>
              <w:right w:val="nil"/>
            </w:tcBorders>
          </w:tcPr>
          <w:p>
            <w:pPr>
              <w:spacing w:before="60" w:after="60"/>
              <w:ind w:right="-29"/>
              <w:jc w:val="center"/>
              <w:rPr>
                <w:noProof/>
                <w:sz w:val="18"/>
              </w:rPr>
            </w:pPr>
          </w:p>
        </w:tc>
        <w:tc>
          <w:tcPr>
            <w:tcW w:w="432"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54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900" w:type="dxa"/>
            <w:tcBorders>
              <w:top w:val="nil"/>
              <w:left w:val="nil"/>
              <w:bottom w:val="nil"/>
              <w:right w:val="nil"/>
            </w:tcBorders>
          </w:tcPr>
          <w:p>
            <w:pPr>
              <w:spacing w:before="60" w:after="60"/>
              <w:ind w:right="-29"/>
              <w:jc w:val="center"/>
              <w:rPr>
                <w:noProof/>
                <w:sz w:val="18"/>
              </w:rPr>
            </w:pPr>
          </w:p>
        </w:tc>
      </w:tr>
      <w:tr>
        <w:trPr>
          <w:trHeight w:hRule="exact" w:val="1371"/>
          <w:jc w:val="center"/>
        </w:trPr>
        <w:tc>
          <w:tcPr>
            <w:tcW w:w="1423" w:type="dxa"/>
          </w:tcPr>
          <w:p>
            <w:pPr>
              <w:ind w:right="-29"/>
              <w:jc w:val="center"/>
              <w:rPr>
                <w:noProof/>
                <w:sz w:val="18"/>
              </w:rPr>
            </w:pPr>
            <w:r>
              <w:rPr>
                <w:noProof/>
                <w:sz w:val="18"/>
              </w:rPr>
              <w:t>zagotoviti analizo, smernice, poročila, podatke in svetovanje</w:t>
            </w:r>
          </w:p>
        </w:tc>
        <w:tc>
          <w:tcPr>
            <w:tcW w:w="890" w:type="dxa"/>
          </w:tcPr>
          <w:p>
            <w:pPr>
              <w:ind w:right="-29"/>
              <w:jc w:val="center"/>
              <w:rPr>
                <w:noProof/>
                <w:sz w:val="18"/>
              </w:rPr>
            </w:pPr>
            <w:r>
              <w:rPr>
                <w:noProof/>
                <w:sz w:val="18"/>
              </w:rPr>
              <w:t>analize, poročila, podatki in svetovanje</w:t>
            </w:r>
          </w:p>
          <w:p>
            <w:pPr>
              <w:ind w:right="-29"/>
              <w:jc w:val="center"/>
              <w:rPr>
                <w:noProof/>
                <w:sz w:val="18"/>
              </w:rPr>
            </w:pPr>
          </w:p>
        </w:tc>
        <w:tc>
          <w:tcPr>
            <w:tcW w:w="708" w:type="dxa"/>
            <w:vAlign w:val="center"/>
          </w:tcPr>
          <w:p>
            <w:pPr>
              <w:ind w:right="-29"/>
              <w:jc w:val="center"/>
              <w:rPr>
                <w:noProof/>
                <w:sz w:val="18"/>
                <w:szCs w:val="18"/>
              </w:rPr>
            </w:pPr>
            <w:r>
              <w:rPr>
                <w:noProof/>
                <w:sz w:val="18"/>
              </w:rPr>
              <w:t>0,145</w:t>
            </w:r>
          </w:p>
        </w:tc>
        <w:tc>
          <w:tcPr>
            <w:tcW w:w="327" w:type="dxa"/>
            <w:tcBorders>
              <w:right w:val="dashSmallGap" w:sz="4" w:space="0" w:color="auto"/>
            </w:tcBorders>
            <w:vAlign w:val="center"/>
          </w:tcPr>
          <w:p>
            <w:pPr>
              <w:ind w:right="-29"/>
              <w:jc w:val="center"/>
              <w:rPr>
                <w:noProof/>
                <w:sz w:val="18"/>
              </w:rPr>
            </w:pPr>
            <w:r>
              <w:rPr>
                <w:noProof/>
                <w:sz w:val="18"/>
              </w:rPr>
              <w:t>2</w:t>
            </w:r>
          </w:p>
        </w:tc>
        <w:tc>
          <w:tcPr>
            <w:tcW w:w="720" w:type="dxa"/>
            <w:tcBorders>
              <w:left w:val="dashSmallGap" w:sz="4" w:space="0" w:color="auto"/>
            </w:tcBorders>
            <w:vAlign w:val="center"/>
          </w:tcPr>
          <w:p>
            <w:pPr>
              <w:ind w:right="-29"/>
              <w:jc w:val="center"/>
              <w:rPr>
                <w:noProof/>
                <w:sz w:val="18"/>
              </w:rPr>
            </w:pPr>
            <w:r>
              <w:rPr>
                <w:noProof/>
                <w:sz w:val="18"/>
              </w:rPr>
              <w:t>0,291</w:t>
            </w:r>
          </w:p>
        </w:tc>
        <w:tc>
          <w:tcPr>
            <w:tcW w:w="540" w:type="dxa"/>
            <w:tcBorders>
              <w:right w:val="dashSmallGap" w:sz="4" w:space="0" w:color="auto"/>
            </w:tcBorders>
            <w:vAlign w:val="center"/>
          </w:tcPr>
          <w:p>
            <w:pPr>
              <w:ind w:right="-29"/>
              <w:jc w:val="center"/>
              <w:rPr>
                <w:noProof/>
                <w:sz w:val="18"/>
              </w:rPr>
            </w:pPr>
            <w:r>
              <w:rPr>
                <w:noProof/>
                <w:sz w:val="18"/>
              </w:rPr>
              <w:t>2</w:t>
            </w:r>
          </w:p>
        </w:tc>
        <w:tc>
          <w:tcPr>
            <w:tcW w:w="720" w:type="dxa"/>
            <w:tcBorders>
              <w:left w:val="dashSmallGap" w:sz="4" w:space="0" w:color="auto"/>
            </w:tcBorders>
            <w:vAlign w:val="center"/>
          </w:tcPr>
          <w:p>
            <w:pPr>
              <w:ind w:right="-29"/>
              <w:jc w:val="center"/>
              <w:rPr>
                <w:noProof/>
                <w:sz w:val="18"/>
              </w:rPr>
            </w:pPr>
            <w:r>
              <w:rPr>
                <w:noProof/>
                <w:sz w:val="18"/>
              </w:rPr>
              <w:t>0,291</w:t>
            </w:r>
          </w:p>
        </w:tc>
        <w:tc>
          <w:tcPr>
            <w:tcW w:w="720" w:type="dxa"/>
            <w:tcBorders>
              <w:right w:val="dashSmallGap" w:sz="4" w:space="0" w:color="auto"/>
            </w:tcBorders>
            <w:vAlign w:val="center"/>
          </w:tcPr>
          <w:p>
            <w:pPr>
              <w:ind w:right="-29"/>
              <w:jc w:val="center"/>
              <w:rPr>
                <w:noProof/>
                <w:sz w:val="18"/>
              </w:rPr>
            </w:pPr>
            <w:r>
              <w:rPr>
                <w:noProof/>
                <w:sz w:val="18"/>
              </w:rPr>
              <w:t>2</w:t>
            </w:r>
          </w:p>
        </w:tc>
        <w:tc>
          <w:tcPr>
            <w:tcW w:w="720" w:type="dxa"/>
            <w:tcBorders>
              <w:left w:val="dashSmallGap" w:sz="4" w:space="0" w:color="auto"/>
            </w:tcBorders>
            <w:vAlign w:val="center"/>
          </w:tcPr>
          <w:p>
            <w:pPr>
              <w:ind w:right="-29"/>
              <w:jc w:val="center"/>
              <w:rPr>
                <w:noProof/>
                <w:sz w:val="18"/>
              </w:rPr>
            </w:pPr>
            <w:r>
              <w:rPr>
                <w:noProof/>
                <w:sz w:val="18"/>
              </w:rPr>
              <w:t>0,291</w:t>
            </w:r>
          </w:p>
        </w:tc>
        <w:tc>
          <w:tcPr>
            <w:tcW w:w="900" w:type="dxa"/>
            <w:tcBorders>
              <w:right w:val="dashSmallGap" w:sz="4" w:space="0" w:color="auto"/>
            </w:tcBorders>
            <w:vAlign w:val="center"/>
          </w:tcPr>
          <w:p>
            <w:pPr>
              <w:ind w:right="-29"/>
              <w:jc w:val="center"/>
              <w:rPr>
                <w:noProof/>
                <w:sz w:val="18"/>
              </w:rPr>
            </w:pPr>
            <w:r>
              <w:rPr>
                <w:noProof/>
                <w:sz w:val="18"/>
              </w:rPr>
              <w:t>2</w:t>
            </w:r>
          </w:p>
        </w:tc>
        <w:tc>
          <w:tcPr>
            <w:tcW w:w="720" w:type="dxa"/>
            <w:tcBorders>
              <w:left w:val="dashSmallGap" w:sz="4" w:space="0" w:color="auto"/>
            </w:tcBorders>
            <w:vAlign w:val="center"/>
          </w:tcPr>
          <w:p>
            <w:pPr>
              <w:ind w:right="-29"/>
              <w:jc w:val="center"/>
              <w:rPr>
                <w:noProof/>
                <w:sz w:val="18"/>
              </w:rPr>
            </w:pPr>
            <w:r>
              <w:rPr>
                <w:noProof/>
                <w:sz w:val="18"/>
              </w:rPr>
              <w:t>0,291</w:t>
            </w:r>
          </w:p>
        </w:tc>
        <w:tc>
          <w:tcPr>
            <w:tcW w:w="540" w:type="dxa"/>
            <w:tcBorders>
              <w:right w:val="dashSmallGap" w:sz="4" w:space="0" w:color="auto"/>
            </w:tcBorders>
          </w:tcPr>
          <w:p>
            <w:pPr>
              <w:ind w:right="-29"/>
              <w:jc w:val="center"/>
              <w:rPr>
                <w:noProof/>
                <w:sz w:val="18"/>
              </w:rPr>
            </w:pPr>
          </w:p>
        </w:tc>
        <w:tc>
          <w:tcPr>
            <w:tcW w:w="648" w:type="dxa"/>
            <w:tcBorders>
              <w:left w:val="dashSmallGap" w:sz="4" w:space="0" w:color="auto"/>
            </w:tcBorders>
          </w:tcPr>
          <w:p>
            <w:pPr>
              <w:ind w:right="-29"/>
              <w:jc w:val="center"/>
              <w:rPr>
                <w:noProof/>
                <w:sz w:val="18"/>
              </w:rPr>
            </w:pPr>
          </w:p>
        </w:tc>
        <w:tc>
          <w:tcPr>
            <w:tcW w:w="432" w:type="dxa"/>
            <w:tcBorders>
              <w:right w:val="dashSmallGap" w:sz="4" w:space="0" w:color="auto"/>
            </w:tcBorders>
          </w:tcPr>
          <w:p>
            <w:pPr>
              <w:ind w:right="-29"/>
              <w:jc w:val="center"/>
              <w:rPr>
                <w:noProof/>
                <w:sz w:val="18"/>
              </w:rPr>
            </w:pPr>
          </w:p>
        </w:tc>
        <w:tc>
          <w:tcPr>
            <w:tcW w:w="720" w:type="dxa"/>
            <w:tcBorders>
              <w:left w:val="dashSmallGap" w:sz="4" w:space="0" w:color="auto"/>
            </w:tcBorders>
          </w:tcPr>
          <w:p>
            <w:pPr>
              <w:ind w:right="-29"/>
              <w:jc w:val="center"/>
              <w:rPr>
                <w:noProof/>
                <w:sz w:val="18"/>
              </w:rPr>
            </w:pPr>
          </w:p>
        </w:tc>
        <w:tc>
          <w:tcPr>
            <w:tcW w:w="540" w:type="dxa"/>
            <w:tcBorders>
              <w:right w:val="dashSmallGap" w:sz="4" w:space="0" w:color="auto"/>
            </w:tcBorders>
          </w:tcPr>
          <w:p>
            <w:pPr>
              <w:ind w:right="-29"/>
              <w:jc w:val="center"/>
              <w:rPr>
                <w:noProof/>
                <w:sz w:val="18"/>
              </w:rPr>
            </w:pPr>
          </w:p>
        </w:tc>
        <w:tc>
          <w:tcPr>
            <w:tcW w:w="720" w:type="dxa"/>
            <w:tcBorders>
              <w:left w:val="dashSmallGap" w:sz="4" w:space="0" w:color="auto"/>
            </w:tcBorders>
          </w:tcPr>
          <w:p>
            <w:pPr>
              <w:ind w:right="-29"/>
              <w:jc w:val="center"/>
              <w:rPr>
                <w:noProof/>
                <w:sz w:val="18"/>
              </w:rPr>
            </w:pPr>
          </w:p>
        </w:tc>
        <w:tc>
          <w:tcPr>
            <w:tcW w:w="720" w:type="dxa"/>
            <w:vAlign w:val="center"/>
          </w:tcPr>
          <w:p>
            <w:pPr>
              <w:ind w:right="-29"/>
              <w:jc w:val="center"/>
              <w:rPr>
                <w:b/>
                <w:bCs/>
                <w:noProof/>
                <w:sz w:val="18"/>
              </w:rPr>
            </w:pPr>
            <w:r>
              <w:rPr>
                <w:b/>
                <w:noProof/>
                <w:sz w:val="18"/>
              </w:rPr>
              <w:t>2</w:t>
            </w:r>
          </w:p>
        </w:tc>
        <w:tc>
          <w:tcPr>
            <w:tcW w:w="900" w:type="dxa"/>
            <w:vAlign w:val="center"/>
          </w:tcPr>
          <w:p>
            <w:pPr>
              <w:ind w:right="-29"/>
              <w:jc w:val="center"/>
              <w:rPr>
                <w:b/>
                <w:bCs/>
                <w:noProof/>
                <w:sz w:val="18"/>
              </w:rPr>
            </w:pPr>
            <w:r>
              <w:rPr>
                <w:b/>
                <w:noProof/>
                <w:sz w:val="18"/>
              </w:rPr>
              <w:t>1,164</w:t>
            </w:r>
          </w:p>
        </w:tc>
      </w:tr>
      <w:tr>
        <w:trPr>
          <w:jc w:val="center"/>
        </w:trPr>
        <w:tc>
          <w:tcPr>
            <w:tcW w:w="3021" w:type="dxa"/>
            <w:gridSpan w:val="3"/>
            <w:tcBorders>
              <w:bottom w:val="single" w:sz="12" w:space="0" w:color="auto"/>
            </w:tcBorders>
            <w:vAlign w:val="center"/>
          </w:tcPr>
          <w:p>
            <w:pPr>
              <w:ind w:right="-29"/>
              <w:jc w:val="center"/>
              <w:rPr>
                <w:noProof/>
                <w:sz w:val="18"/>
              </w:rPr>
            </w:pPr>
            <w:r>
              <w:rPr>
                <w:noProof/>
                <w:sz w:val="18"/>
              </w:rPr>
              <w:t>Seštevek za specifični cilj št. 1</w:t>
            </w:r>
          </w:p>
        </w:tc>
        <w:tc>
          <w:tcPr>
            <w:tcW w:w="327" w:type="dxa"/>
            <w:tcBorders>
              <w:bottom w:val="single" w:sz="12" w:space="0" w:color="auto"/>
            </w:tcBorders>
          </w:tcPr>
          <w:p>
            <w:pPr>
              <w:ind w:right="-29"/>
              <w:jc w:val="center"/>
              <w:rPr>
                <w:b/>
                <w:bCs/>
                <w:noProof/>
                <w:sz w:val="18"/>
              </w:rPr>
            </w:pPr>
          </w:p>
        </w:tc>
        <w:tc>
          <w:tcPr>
            <w:tcW w:w="720" w:type="dxa"/>
            <w:tcBorders>
              <w:bottom w:val="single" w:sz="12" w:space="0" w:color="auto"/>
            </w:tcBorders>
          </w:tcPr>
          <w:p>
            <w:pPr>
              <w:ind w:right="-29"/>
              <w:jc w:val="center"/>
              <w:rPr>
                <w:b/>
                <w:bCs/>
                <w:noProof/>
                <w:sz w:val="18"/>
              </w:rPr>
            </w:pPr>
            <w:r>
              <w:rPr>
                <w:b/>
                <w:noProof/>
                <w:sz w:val="18"/>
              </w:rPr>
              <w:t>0,291</w:t>
            </w:r>
          </w:p>
        </w:tc>
        <w:tc>
          <w:tcPr>
            <w:tcW w:w="540" w:type="dxa"/>
            <w:tcBorders>
              <w:bottom w:val="single" w:sz="12" w:space="0" w:color="auto"/>
            </w:tcBorders>
          </w:tcPr>
          <w:p>
            <w:pPr>
              <w:ind w:right="-29"/>
              <w:jc w:val="center"/>
              <w:rPr>
                <w:b/>
                <w:bCs/>
                <w:noProof/>
                <w:sz w:val="18"/>
              </w:rPr>
            </w:pPr>
          </w:p>
        </w:tc>
        <w:tc>
          <w:tcPr>
            <w:tcW w:w="720" w:type="dxa"/>
            <w:tcBorders>
              <w:bottom w:val="single" w:sz="12" w:space="0" w:color="auto"/>
            </w:tcBorders>
          </w:tcPr>
          <w:p>
            <w:pPr>
              <w:ind w:right="-29"/>
              <w:jc w:val="center"/>
              <w:rPr>
                <w:b/>
                <w:bCs/>
                <w:noProof/>
                <w:sz w:val="18"/>
              </w:rPr>
            </w:pPr>
            <w:r>
              <w:rPr>
                <w:b/>
                <w:noProof/>
                <w:sz w:val="18"/>
              </w:rPr>
              <w:t>0,291</w:t>
            </w:r>
          </w:p>
        </w:tc>
        <w:tc>
          <w:tcPr>
            <w:tcW w:w="720" w:type="dxa"/>
            <w:tcBorders>
              <w:bottom w:val="single" w:sz="12" w:space="0" w:color="auto"/>
            </w:tcBorders>
          </w:tcPr>
          <w:p>
            <w:pPr>
              <w:ind w:right="-29"/>
              <w:jc w:val="center"/>
              <w:rPr>
                <w:b/>
                <w:bCs/>
                <w:noProof/>
                <w:sz w:val="18"/>
              </w:rPr>
            </w:pPr>
          </w:p>
        </w:tc>
        <w:tc>
          <w:tcPr>
            <w:tcW w:w="720" w:type="dxa"/>
            <w:tcBorders>
              <w:bottom w:val="single" w:sz="12" w:space="0" w:color="auto"/>
            </w:tcBorders>
          </w:tcPr>
          <w:p>
            <w:pPr>
              <w:ind w:right="-29"/>
              <w:jc w:val="center"/>
              <w:rPr>
                <w:b/>
                <w:bCs/>
                <w:noProof/>
                <w:sz w:val="18"/>
              </w:rPr>
            </w:pPr>
            <w:r>
              <w:rPr>
                <w:b/>
                <w:noProof/>
                <w:sz w:val="18"/>
              </w:rPr>
              <w:t>0,291</w:t>
            </w:r>
          </w:p>
        </w:tc>
        <w:tc>
          <w:tcPr>
            <w:tcW w:w="900" w:type="dxa"/>
            <w:tcBorders>
              <w:bottom w:val="single" w:sz="12" w:space="0" w:color="auto"/>
            </w:tcBorders>
          </w:tcPr>
          <w:p>
            <w:pPr>
              <w:ind w:right="-29"/>
              <w:jc w:val="center"/>
              <w:rPr>
                <w:b/>
                <w:bCs/>
                <w:noProof/>
                <w:sz w:val="18"/>
              </w:rPr>
            </w:pPr>
          </w:p>
        </w:tc>
        <w:tc>
          <w:tcPr>
            <w:tcW w:w="720" w:type="dxa"/>
            <w:tcBorders>
              <w:bottom w:val="single" w:sz="12" w:space="0" w:color="auto"/>
            </w:tcBorders>
          </w:tcPr>
          <w:p>
            <w:pPr>
              <w:ind w:right="-29"/>
              <w:jc w:val="center"/>
              <w:rPr>
                <w:b/>
                <w:bCs/>
                <w:noProof/>
                <w:sz w:val="18"/>
              </w:rPr>
            </w:pPr>
            <w:r>
              <w:rPr>
                <w:b/>
                <w:noProof/>
                <w:sz w:val="18"/>
              </w:rPr>
              <w:t>0,291</w:t>
            </w:r>
          </w:p>
        </w:tc>
        <w:tc>
          <w:tcPr>
            <w:tcW w:w="540" w:type="dxa"/>
            <w:tcBorders>
              <w:bottom w:val="single" w:sz="12" w:space="0" w:color="auto"/>
            </w:tcBorders>
          </w:tcPr>
          <w:p>
            <w:pPr>
              <w:ind w:right="-29"/>
              <w:jc w:val="center"/>
              <w:rPr>
                <w:b/>
                <w:bCs/>
                <w:noProof/>
                <w:sz w:val="18"/>
              </w:rPr>
            </w:pPr>
          </w:p>
        </w:tc>
        <w:tc>
          <w:tcPr>
            <w:tcW w:w="648" w:type="dxa"/>
            <w:tcBorders>
              <w:bottom w:val="single" w:sz="12" w:space="0" w:color="auto"/>
            </w:tcBorders>
          </w:tcPr>
          <w:p>
            <w:pPr>
              <w:ind w:right="-29"/>
              <w:jc w:val="center"/>
              <w:rPr>
                <w:b/>
                <w:bCs/>
                <w:noProof/>
                <w:sz w:val="18"/>
              </w:rPr>
            </w:pPr>
          </w:p>
        </w:tc>
        <w:tc>
          <w:tcPr>
            <w:tcW w:w="432" w:type="dxa"/>
            <w:tcBorders>
              <w:bottom w:val="single" w:sz="12" w:space="0" w:color="auto"/>
            </w:tcBorders>
          </w:tcPr>
          <w:p>
            <w:pPr>
              <w:ind w:right="-29"/>
              <w:jc w:val="center"/>
              <w:rPr>
                <w:b/>
                <w:bCs/>
                <w:noProof/>
                <w:sz w:val="18"/>
              </w:rPr>
            </w:pPr>
          </w:p>
        </w:tc>
        <w:tc>
          <w:tcPr>
            <w:tcW w:w="720" w:type="dxa"/>
            <w:tcBorders>
              <w:bottom w:val="single" w:sz="12" w:space="0" w:color="auto"/>
            </w:tcBorders>
          </w:tcPr>
          <w:p>
            <w:pPr>
              <w:ind w:right="-29"/>
              <w:jc w:val="center"/>
              <w:rPr>
                <w:b/>
                <w:bCs/>
                <w:noProof/>
                <w:sz w:val="18"/>
              </w:rPr>
            </w:pPr>
          </w:p>
        </w:tc>
        <w:tc>
          <w:tcPr>
            <w:tcW w:w="540" w:type="dxa"/>
            <w:tcBorders>
              <w:bottom w:val="single" w:sz="12" w:space="0" w:color="auto"/>
            </w:tcBorders>
          </w:tcPr>
          <w:p>
            <w:pPr>
              <w:ind w:right="-29"/>
              <w:jc w:val="center"/>
              <w:rPr>
                <w:b/>
                <w:bCs/>
                <w:noProof/>
                <w:sz w:val="18"/>
              </w:rPr>
            </w:pPr>
          </w:p>
        </w:tc>
        <w:tc>
          <w:tcPr>
            <w:tcW w:w="720" w:type="dxa"/>
            <w:tcBorders>
              <w:bottom w:val="single" w:sz="12" w:space="0" w:color="auto"/>
            </w:tcBorders>
          </w:tcPr>
          <w:p>
            <w:pPr>
              <w:ind w:right="-29"/>
              <w:jc w:val="center"/>
              <w:rPr>
                <w:b/>
                <w:bCs/>
                <w:noProof/>
                <w:sz w:val="18"/>
              </w:rPr>
            </w:pPr>
          </w:p>
        </w:tc>
        <w:tc>
          <w:tcPr>
            <w:tcW w:w="720" w:type="dxa"/>
            <w:tcBorders>
              <w:bottom w:val="single" w:sz="12" w:space="0" w:color="auto"/>
            </w:tcBorders>
          </w:tcPr>
          <w:p>
            <w:pPr>
              <w:ind w:right="-29"/>
              <w:jc w:val="center"/>
              <w:rPr>
                <w:b/>
                <w:bCs/>
                <w:noProof/>
                <w:sz w:val="18"/>
              </w:rPr>
            </w:pPr>
          </w:p>
        </w:tc>
        <w:tc>
          <w:tcPr>
            <w:tcW w:w="900" w:type="dxa"/>
            <w:tcBorders>
              <w:bottom w:val="single" w:sz="12" w:space="0" w:color="auto"/>
            </w:tcBorders>
          </w:tcPr>
          <w:p>
            <w:pPr>
              <w:ind w:right="-29"/>
              <w:jc w:val="center"/>
              <w:rPr>
                <w:noProof/>
                <w:sz w:val="18"/>
              </w:rPr>
            </w:pPr>
            <w:r>
              <w:rPr>
                <w:b/>
                <w:noProof/>
                <w:sz w:val="18"/>
              </w:rPr>
              <w:t>1,164</w:t>
            </w:r>
          </w:p>
        </w:tc>
      </w:tr>
      <w:tr>
        <w:trPr>
          <w:jc w:val="center"/>
        </w:trPr>
        <w:tc>
          <w:tcPr>
            <w:tcW w:w="3021" w:type="dxa"/>
            <w:gridSpan w:val="3"/>
            <w:tcBorders>
              <w:top w:val="single" w:sz="12" w:space="0" w:color="auto"/>
              <w:left w:val="single" w:sz="12" w:space="0" w:color="auto"/>
              <w:bottom w:val="single" w:sz="12" w:space="0" w:color="auto"/>
            </w:tcBorders>
            <w:vAlign w:val="center"/>
          </w:tcPr>
          <w:p>
            <w:pPr>
              <w:ind w:right="-29"/>
              <w:jc w:val="center"/>
              <w:rPr>
                <w:noProof/>
                <w:sz w:val="18"/>
              </w:rPr>
            </w:pPr>
            <w:r>
              <w:rPr>
                <w:b/>
                <w:noProof/>
                <w:sz w:val="18"/>
              </w:rPr>
              <w:t>STROŠKI SKUPAJ</w:t>
            </w:r>
          </w:p>
        </w:tc>
        <w:tc>
          <w:tcPr>
            <w:tcW w:w="327"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b/>
                <w:bCs/>
                <w:noProof/>
                <w:sz w:val="18"/>
              </w:rPr>
            </w:pPr>
            <w:r>
              <w:rPr>
                <w:b/>
                <w:noProof/>
                <w:sz w:val="18"/>
              </w:rPr>
              <w:t>0,291</w:t>
            </w:r>
          </w:p>
        </w:tc>
        <w:tc>
          <w:tcPr>
            <w:tcW w:w="540" w:type="dxa"/>
            <w:tcBorders>
              <w:top w:val="single" w:sz="12" w:space="0" w:color="auto"/>
              <w:bottom w:val="single" w:sz="12" w:space="0" w:color="auto"/>
            </w:tcBorders>
          </w:tcPr>
          <w:p>
            <w:pPr>
              <w:spacing w:before="180" w:after="180"/>
              <w:ind w:right="-29"/>
              <w:jc w:val="center"/>
              <w:rPr>
                <w:b/>
                <w:bCs/>
                <w:noProof/>
                <w:sz w:val="18"/>
              </w:rPr>
            </w:pPr>
          </w:p>
        </w:tc>
        <w:tc>
          <w:tcPr>
            <w:tcW w:w="720" w:type="dxa"/>
            <w:tcBorders>
              <w:top w:val="single" w:sz="12" w:space="0" w:color="auto"/>
              <w:bottom w:val="single" w:sz="12" w:space="0" w:color="auto"/>
            </w:tcBorders>
          </w:tcPr>
          <w:p>
            <w:pPr>
              <w:spacing w:before="180" w:after="180"/>
              <w:ind w:right="-29"/>
              <w:jc w:val="center"/>
              <w:rPr>
                <w:b/>
                <w:bCs/>
                <w:noProof/>
                <w:sz w:val="18"/>
              </w:rPr>
            </w:pPr>
            <w:r>
              <w:rPr>
                <w:b/>
                <w:noProof/>
                <w:sz w:val="18"/>
              </w:rPr>
              <w:t>0,291</w:t>
            </w:r>
          </w:p>
        </w:tc>
        <w:tc>
          <w:tcPr>
            <w:tcW w:w="720" w:type="dxa"/>
            <w:tcBorders>
              <w:top w:val="single" w:sz="12" w:space="0" w:color="auto"/>
              <w:bottom w:val="single" w:sz="12" w:space="0" w:color="auto"/>
            </w:tcBorders>
          </w:tcPr>
          <w:p>
            <w:pPr>
              <w:spacing w:before="180" w:after="180"/>
              <w:ind w:right="-29"/>
              <w:jc w:val="center"/>
              <w:rPr>
                <w:b/>
                <w:bCs/>
                <w:noProof/>
                <w:sz w:val="18"/>
              </w:rPr>
            </w:pPr>
          </w:p>
        </w:tc>
        <w:tc>
          <w:tcPr>
            <w:tcW w:w="720" w:type="dxa"/>
            <w:tcBorders>
              <w:top w:val="single" w:sz="12" w:space="0" w:color="auto"/>
              <w:bottom w:val="single" w:sz="12" w:space="0" w:color="auto"/>
            </w:tcBorders>
          </w:tcPr>
          <w:p>
            <w:pPr>
              <w:spacing w:before="180" w:after="180"/>
              <w:ind w:right="-29"/>
              <w:jc w:val="center"/>
              <w:rPr>
                <w:b/>
                <w:bCs/>
                <w:noProof/>
                <w:sz w:val="18"/>
              </w:rPr>
            </w:pPr>
            <w:r>
              <w:rPr>
                <w:b/>
                <w:noProof/>
                <w:sz w:val="18"/>
              </w:rPr>
              <w:t>0,291</w:t>
            </w:r>
          </w:p>
        </w:tc>
        <w:tc>
          <w:tcPr>
            <w:tcW w:w="900" w:type="dxa"/>
            <w:tcBorders>
              <w:top w:val="single" w:sz="12" w:space="0" w:color="auto"/>
              <w:bottom w:val="single" w:sz="12" w:space="0" w:color="auto"/>
            </w:tcBorders>
          </w:tcPr>
          <w:p>
            <w:pPr>
              <w:spacing w:before="180" w:after="180"/>
              <w:ind w:right="-29"/>
              <w:jc w:val="center"/>
              <w:rPr>
                <w:b/>
                <w:bCs/>
                <w:noProof/>
                <w:sz w:val="18"/>
              </w:rPr>
            </w:pPr>
          </w:p>
        </w:tc>
        <w:tc>
          <w:tcPr>
            <w:tcW w:w="720" w:type="dxa"/>
            <w:tcBorders>
              <w:top w:val="single" w:sz="12" w:space="0" w:color="auto"/>
              <w:bottom w:val="single" w:sz="12" w:space="0" w:color="auto"/>
            </w:tcBorders>
          </w:tcPr>
          <w:p>
            <w:pPr>
              <w:spacing w:before="180" w:after="180"/>
              <w:ind w:right="-29"/>
              <w:jc w:val="center"/>
              <w:rPr>
                <w:b/>
                <w:bCs/>
                <w:noProof/>
                <w:sz w:val="18"/>
              </w:rPr>
            </w:pPr>
            <w:r>
              <w:rPr>
                <w:b/>
                <w:noProof/>
                <w:sz w:val="18"/>
              </w:rPr>
              <w:t>0,291</w:t>
            </w:r>
          </w:p>
        </w:tc>
        <w:tc>
          <w:tcPr>
            <w:tcW w:w="540" w:type="dxa"/>
            <w:tcBorders>
              <w:top w:val="single" w:sz="12" w:space="0" w:color="auto"/>
              <w:bottom w:val="single" w:sz="12" w:space="0" w:color="auto"/>
            </w:tcBorders>
          </w:tcPr>
          <w:p>
            <w:pPr>
              <w:spacing w:before="180" w:after="180"/>
              <w:ind w:right="-29"/>
              <w:jc w:val="center"/>
              <w:rPr>
                <w:noProof/>
                <w:sz w:val="18"/>
              </w:rPr>
            </w:pPr>
          </w:p>
        </w:tc>
        <w:tc>
          <w:tcPr>
            <w:tcW w:w="648" w:type="dxa"/>
            <w:tcBorders>
              <w:top w:val="single" w:sz="12" w:space="0" w:color="auto"/>
              <w:bottom w:val="single" w:sz="12" w:space="0" w:color="auto"/>
            </w:tcBorders>
          </w:tcPr>
          <w:p>
            <w:pPr>
              <w:spacing w:before="180" w:after="180"/>
              <w:ind w:right="-29"/>
              <w:jc w:val="center"/>
              <w:rPr>
                <w:noProof/>
                <w:sz w:val="18"/>
              </w:rPr>
            </w:pPr>
          </w:p>
        </w:tc>
        <w:tc>
          <w:tcPr>
            <w:tcW w:w="432"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noProof/>
                <w:sz w:val="18"/>
              </w:rPr>
            </w:pPr>
          </w:p>
        </w:tc>
        <w:tc>
          <w:tcPr>
            <w:tcW w:w="540"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noProof/>
                <w:sz w:val="18"/>
              </w:rPr>
            </w:pPr>
          </w:p>
        </w:tc>
        <w:tc>
          <w:tcPr>
            <w:tcW w:w="900" w:type="dxa"/>
            <w:tcBorders>
              <w:top w:val="single" w:sz="12" w:space="0" w:color="auto"/>
              <w:bottom w:val="single" w:sz="12" w:space="0" w:color="auto"/>
              <w:right w:val="single" w:sz="12" w:space="0" w:color="auto"/>
            </w:tcBorders>
          </w:tcPr>
          <w:p>
            <w:pPr>
              <w:spacing w:before="180" w:after="180"/>
              <w:ind w:right="-29"/>
              <w:jc w:val="center"/>
              <w:rPr>
                <w:noProof/>
                <w:sz w:val="18"/>
              </w:rPr>
            </w:pPr>
            <w:r>
              <w:rPr>
                <w:b/>
                <w:noProof/>
                <w:sz w:val="18"/>
              </w:rPr>
              <w:t>1,164</w:t>
            </w:r>
          </w:p>
        </w:tc>
      </w:tr>
    </w:tbl>
    <w:p>
      <w:pPr>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720"/>
        <w:gridCol w:w="540"/>
        <w:gridCol w:w="648"/>
        <w:gridCol w:w="432"/>
        <w:gridCol w:w="720"/>
        <w:gridCol w:w="540"/>
        <w:gridCol w:w="720"/>
        <w:gridCol w:w="720"/>
        <w:gridCol w:w="900"/>
      </w:tblGrid>
      <w:tr>
        <w:trPr>
          <w:gridAfter w:val="18"/>
          <w:wAfter w:w="12185" w:type="dxa"/>
          <w:jc w:val="center"/>
        </w:trPr>
        <w:tc>
          <w:tcPr>
            <w:tcW w:w="1423" w:type="dxa"/>
            <w:vAlign w:val="center"/>
          </w:tcPr>
          <w:p>
            <w:pPr>
              <w:ind w:right="-29"/>
              <w:jc w:val="center"/>
              <w:rPr>
                <w:b/>
                <w:noProof/>
                <w:sz w:val="22"/>
              </w:rPr>
            </w:pPr>
            <w:r>
              <w:rPr>
                <w:b/>
                <w:noProof/>
                <w:sz w:val="22"/>
              </w:rPr>
              <w:t xml:space="preserve">FISMA </w:t>
            </w:r>
          </w:p>
        </w:tc>
      </w:tr>
      <w:tr>
        <w:trPr>
          <w:jc w:val="center"/>
        </w:trPr>
        <w:tc>
          <w:tcPr>
            <w:tcW w:w="1423" w:type="dxa"/>
            <w:vMerge w:val="restart"/>
            <w:vAlign w:val="center"/>
          </w:tcPr>
          <w:p>
            <w:pPr>
              <w:ind w:right="-29"/>
              <w:jc w:val="center"/>
              <w:rPr>
                <w:b/>
                <w:noProof/>
                <w:sz w:val="18"/>
              </w:rPr>
            </w:pPr>
            <w:r>
              <w:rPr>
                <w:b/>
                <w:noProof/>
                <w:sz w:val="18"/>
              </w:rPr>
              <w:t xml:space="preserve">Cilji in realizacije </w:t>
            </w:r>
          </w:p>
          <w:p>
            <w:pPr>
              <w:ind w:right="-29"/>
              <w:jc w:val="center"/>
              <w:rPr>
                <w:b/>
                <w:noProof/>
                <w:sz w:val="18"/>
              </w:rPr>
            </w:pPr>
          </w:p>
          <w:p>
            <w:pPr>
              <w:ind w:right="-29"/>
              <w:jc w:val="center"/>
              <w:rPr>
                <w:noProof/>
                <w:sz w:val="18"/>
              </w:rPr>
            </w:pPr>
            <w:r>
              <w:rPr>
                <w:noProof/>
                <w:sz w:val="18"/>
              </w:rPr>
              <w:sym w:font="Wingdings" w:char="F0F2"/>
            </w:r>
          </w:p>
        </w:tc>
        <w:tc>
          <w:tcPr>
            <w:tcW w:w="720" w:type="dxa"/>
            <w:vAlign w:val="center"/>
          </w:tcPr>
          <w:p>
            <w:pPr>
              <w:ind w:right="-29"/>
              <w:jc w:val="center"/>
              <w:rPr>
                <w:noProof/>
                <w:sz w:val="18"/>
              </w:rPr>
            </w:pPr>
          </w:p>
        </w:tc>
        <w:tc>
          <w:tcPr>
            <w:tcW w:w="701" w:type="dxa"/>
            <w:vAlign w:val="center"/>
          </w:tcPr>
          <w:p>
            <w:pPr>
              <w:ind w:right="-29"/>
              <w:jc w:val="center"/>
              <w:rPr>
                <w:noProof/>
                <w:sz w:val="18"/>
              </w:rPr>
            </w:pPr>
          </w:p>
        </w:tc>
        <w:tc>
          <w:tcPr>
            <w:tcW w:w="1224" w:type="dxa"/>
            <w:gridSpan w:val="2"/>
            <w:tcBorders>
              <w:left w:val="nil"/>
            </w:tcBorders>
            <w:vAlign w:val="center"/>
          </w:tcPr>
          <w:p>
            <w:pPr>
              <w:ind w:right="-29"/>
              <w:jc w:val="center"/>
              <w:rPr>
                <w:noProof/>
                <w:sz w:val="18"/>
              </w:rPr>
            </w:pPr>
            <w:r>
              <w:rPr>
                <w:noProof/>
                <w:sz w:val="18"/>
              </w:rPr>
              <w:t>Leto</w:t>
            </w:r>
            <w:r>
              <w:rPr>
                <w:noProof/>
                <w:sz w:val="22"/>
              </w:rPr>
              <w:br/>
            </w:r>
            <w:r>
              <w:rPr>
                <w:b/>
                <w:noProof/>
                <w:sz w:val="18"/>
              </w:rPr>
              <w:t>2020</w:t>
            </w:r>
          </w:p>
        </w:tc>
        <w:tc>
          <w:tcPr>
            <w:tcW w:w="1260" w:type="dxa"/>
            <w:gridSpan w:val="2"/>
            <w:vAlign w:val="center"/>
          </w:tcPr>
          <w:p>
            <w:pPr>
              <w:ind w:right="-29"/>
              <w:jc w:val="center"/>
              <w:rPr>
                <w:noProof/>
                <w:sz w:val="18"/>
              </w:rPr>
            </w:pPr>
            <w:r>
              <w:rPr>
                <w:noProof/>
                <w:sz w:val="18"/>
              </w:rPr>
              <w:t>Leto</w:t>
            </w:r>
            <w:r>
              <w:rPr>
                <w:noProof/>
                <w:sz w:val="22"/>
              </w:rPr>
              <w:br/>
            </w:r>
            <w:r>
              <w:rPr>
                <w:b/>
                <w:noProof/>
                <w:sz w:val="18"/>
              </w:rPr>
              <w:t>2021</w:t>
            </w:r>
          </w:p>
        </w:tc>
        <w:tc>
          <w:tcPr>
            <w:tcW w:w="1440" w:type="dxa"/>
            <w:gridSpan w:val="2"/>
            <w:vAlign w:val="center"/>
          </w:tcPr>
          <w:p>
            <w:pPr>
              <w:ind w:right="-29"/>
              <w:jc w:val="center"/>
              <w:rPr>
                <w:noProof/>
                <w:sz w:val="18"/>
              </w:rPr>
            </w:pPr>
            <w:r>
              <w:rPr>
                <w:noProof/>
                <w:sz w:val="18"/>
              </w:rPr>
              <w:t>Leto</w:t>
            </w:r>
            <w:r>
              <w:rPr>
                <w:noProof/>
                <w:sz w:val="22"/>
              </w:rPr>
              <w:br/>
            </w:r>
            <w:r>
              <w:rPr>
                <w:b/>
                <w:noProof/>
                <w:sz w:val="18"/>
              </w:rPr>
              <w:t>2022</w:t>
            </w:r>
          </w:p>
        </w:tc>
        <w:tc>
          <w:tcPr>
            <w:tcW w:w="1620" w:type="dxa"/>
            <w:gridSpan w:val="2"/>
            <w:vAlign w:val="center"/>
          </w:tcPr>
          <w:p>
            <w:pPr>
              <w:ind w:right="-29"/>
              <w:jc w:val="center"/>
              <w:rPr>
                <w:noProof/>
                <w:sz w:val="18"/>
              </w:rPr>
            </w:pPr>
            <w:r>
              <w:rPr>
                <w:noProof/>
                <w:sz w:val="18"/>
              </w:rPr>
              <w:t>Leto</w:t>
            </w:r>
            <w:r>
              <w:rPr>
                <w:noProof/>
                <w:sz w:val="22"/>
              </w:rPr>
              <w:br/>
            </w:r>
            <w:r>
              <w:rPr>
                <w:b/>
                <w:noProof/>
                <w:sz w:val="18"/>
              </w:rPr>
              <w:t>2023</w:t>
            </w:r>
          </w:p>
        </w:tc>
        <w:tc>
          <w:tcPr>
            <w:tcW w:w="3600" w:type="dxa"/>
            <w:gridSpan w:val="6"/>
            <w:vAlign w:val="center"/>
          </w:tcPr>
          <w:p>
            <w:pPr>
              <w:jc w:val="center"/>
              <w:rPr>
                <w:b/>
                <w:noProof/>
                <w:sz w:val="18"/>
              </w:rPr>
            </w:pPr>
            <w:r>
              <w:rPr>
                <w:noProof/>
                <w:sz w:val="18"/>
              </w:rPr>
              <w:t>Vstavite ustrezno število let glede na trajanje posledic (gl. točko 1.6)</w:t>
            </w:r>
          </w:p>
        </w:tc>
        <w:tc>
          <w:tcPr>
            <w:tcW w:w="1620" w:type="dxa"/>
            <w:gridSpan w:val="2"/>
            <w:tcBorders>
              <w:left w:val="nil"/>
              <w:bottom w:val="nil"/>
            </w:tcBorders>
            <w:vAlign w:val="center"/>
          </w:tcPr>
          <w:p>
            <w:pPr>
              <w:ind w:right="-29"/>
              <w:jc w:val="center"/>
              <w:rPr>
                <w:noProof/>
                <w:sz w:val="18"/>
              </w:rPr>
            </w:pPr>
            <w:r>
              <w:rPr>
                <w:b/>
                <w:noProof/>
                <w:sz w:val="18"/>
              </w:rPr>
              <w:t>SKUPAJ</w:t>
            </w:r>
          </w:p>
        </w:tc>
      </w:tr>
      <w:tr>
        <w:trPr>
          <w:jc w:val="center"/>
        </w:trPr>
        <w:tc>
          <w:tcPr>
            <w:tcW w:w="1423" w:type="dxa"/>
            <w:vMerge/>
            <w:vAlign w:val="center"/>
          </w:tcPr>
          <w:p>
            <w:pPr>
              <w:rPr>
                <w:noProof/>
                <w:sz w:val="18"/>
              </w:rPr>
            </w:pPr>
          </w:p>
        </w:tc>
        <w:tc>
          <w:tcPr>
            <w:tcW w:w="12185" w:type="dxa"/>
            <w:gridSpan w:val="18"/>
            <w:vAlign w:val="center"/>
          </w:tcPr>
          <w:p>
            <w:pPr>
              <w:spacing w:before="60" w:after="60"/>
              <w:ind w:right="-29"/>
              <w:jc w:val="center"/>
              <w:rPr>
                <w:noProof/>
                <w:sz w:val="18"/>
              </w:rPr>
            </w:pPr>
            <w:r>
              <w:rPr>
                <w:b/>
                <w:noProof/>
                <w:sz w:val="18"/>
              </w:rPr>
              <w:t>REALIZACIJE</w:t>
            </w:r>
          </w:p>
        </w:tc>
      </w:tr>
      <w:tr>
        <w:trPr>
          <w:cantSplit/>
          <w:trHeight w:val="1134"/>
          <w:jc w:val="center"/>
        </w:trPr>
        <w:tc>
          <w:tcPr>
            <w:tcW w:w="1423" w:type="dxa"/>
            <w:vMerge/>
            <w:vAlign w:val="center"/>
          </w:tcPr>
          <w:p>
            <w:pPr>
              <w:rPr>
                <w:noProof/>
                <w:sz w:val="18"/>
              </w:rPr>
            </w:pPr>
          </w:p>
        </w:tc>
        <w:tc>
          <w:tcPr>
            <w:tcW w:w="720" w:type="dxa"/>
            <w:vAlign w:val="center"/>
          </w:tcPr>
          <w:p>
            <w:pPr>
              <w:jc w:val="center"/>
              <w:rPr>
                <w:noProof/>
                <w:sz w:val="18"/>
              </w:rPr>
            </w:pPr>
            <w:r>
              <w:rPr>
                <w:noProof/>
                <w:sz w:val="18"/>
              </w:rPr>
              <w:t>vrsta</w:t>
            </w:r>
            <w:r>
              <w:rPr>
                <w:rStyle w:val="FootnoteReference"/>
                <w:noProof/>
                <w:sz w:val="18"/>
              </w:rPr>
              <w:footnoteReference w:id="80"/>
            </w:r>
          </w:p>
        </w:tc>
        <w:tc>
          <w:tcPr>
            <w:tcW w:w="701" w:type="dxa"/>
            <w:vAlign w:val="center"/>
          </w:tcPr>
          <w:p>
            <w:pPr>
              <w:jc w:val="center"/>
              <w:rPr>
                <w:noProof/>
              </w:rPr>
            </w:pPr>
            <w:r>
              <w:rPr>
                <w:noProof/>
                <w:sz w:val="18"/>
              </w:rPr>
              <w:t>povprečni stroški</w:t>
            </w:r>
          </w:p>
        </w:tc>
        <w:tc>
          <w:tcPr>
            <w:tcW w:w="504" w:type="dxa"/>
            <w:tcBorders>
              <w:left w:val="nil"/>
              <w:right w:val="dashSmallGap" w:sz="4" w:space="0" w:color="auto"/>
            </w:tcBorders>
            <w:shd w:val="pct10" w:color="auto" w:fill="auto"/>
            <w:textDirection w:val="btLr"/>
            <w:vAlign w:val="center"/>
          </w:tcPr>
          <w:p>
            <w:pPr>
              <w:ind w:left="113" w:right="113"/>
              <w:jc w:val="center"/>
              <w:rPr>
                <w:noProof/>
              </w:rPr>
            </w:pPr>
            <w:r>
              <w:rPr>
                <w:noProof/>
                <w:sz w:val="18"/>
              </w:rPr>
              <w:t>število</w:t>
            </w:r>
          </w:p>
        </w:tc>
        <w:tc>
          <w:tcPr>
            <w:tcW w:w="720" w:type="dxa"/>
            <w:tcBorders>
              <w:left w:val="dashSmallGap" w:sz="4" w:space="0" w:color="auto"/>
            </w:tcBorders>
            <w:shd w:val="pct10" w:color="auto" w:fill="auto"/>
            <w:vAlign w:val="center"/>
          </w:tcPr>
          <w:p>
            <w:pPr>
              <w:jc w:val="center"/>
              <w:rPr>
                <w:noProof/>
                <w:sz w:val="18"/>
              </w:rPr>
            </w:pPr>
            <w:r>
              <w:rPr>
                <w:noProof/>
                <w:sz w:val="18"/>
              </w:rPr>
              <w:t>stroški</w:t>
            </w:r>
          </w:p>
        </w:tc>
        <w:tc>
          <w:tcPr>
            <w:tcW w:w="540" w:type="dxa"/>
            <w:tcBorders>
              <w:right w:val="dashSmallGap" w:sz="4" w:space="0" w:color="auto"/>
            </w:tcBorders>
            <w:shd w:val="pct10" w:color="auto" w:fill="auto"/>
            <w:textDirection w:val="btLr"/>
            <w:vAlign w:val="center"/>
          </w:tcPr>
          <w:p>
            <w:pPr>
              <w:ind w:left="113" w:right="113"/>
              <w:jc w:val="center"/>
              <w:rPr>
                <w:noProof/>
              </w:rPr>
            </w:pPr>
            <w:r>
              <w:rPr>
                <w:noProof/>
                <w:sz w:val="18"/>
              </w:rPr>
              <w:t>število</w:t>
            </w:r>
          </w:p>
        </w:tc>
        <w:tc>
          <w:tcPr>
            <w:tcW w:w="720" w:type="dxa"/>
            <w:tcBorders>
              <w:left w:val="dashSmallGap" w:sz="4" w:space="0" w:color="auto"/>
            </w:tcBorders>
            <w:shd w:val="pct10" w:color="auto" w:fill="auto"/>
            <w:vAlign w:val="center"/>
          </w:tcPr>
          <w:p>
            <w:pPr>
              <w:jc w:val="center"/>
              <w:rPr>
                <w:noProof/>
                <w:sz w:val="18"/>
              </w:rPr>
            </w:pPr>
            <w:r>
              <w:rPr>
                <w:noProof/>
                <w:sz w:val="18"/>
              </w:rPr>
              <w:t>stroški</w:t>
            </w:r>
          </w:p>
        </w:tc>
        <w:tc>
          <w:tcPr>
            <w:tcW w:w="720" w:type="dxa"/>
            <w:tcBorders>
              <w:right w:val="dashSmallGap" w:sz="4" w:space="0" w:color="auto"/>
            </w:tcBorders>
            <w:shd w:val="pct10" w:color="auto" w:fill="auto"/>
            <w:textDirection w:val="btLr"/>
            <w:vAlign w:val="center"/>
          </w:tcPr>
          <w:p>
            <w:pPr>
              <w:ind w:left="113" w:right="113"/>
              <w:jc w:val="center"/>
              <w:rPr>
                <w:noProof/>
              </w:rPr>
            </w:pPr>
            <w:r>
              <w:rPr>
                <w:noProof/>
                <w:sz w:val="18"/>
              </w:rPr>
              <w:t>število</w:t>
            </w:r>
          </w:p>
        </w:tc>
        <w:tc>
          <w:tcPr>
            <w:tcW w:w="720" w:type="dxa"/>
            <w:tcBorders>
              <w:left w:val="dashSmallGap" w:sz="4" w:space="0" w:color="auto"/>
            </w:tcBorders>
            <w:shd w:val="pct10" w:color="auto" w:fill="auto"/>
            <w:vAlign w:val="center"/>
          </w:tcPr>
          <w:p>
            <w:pPr>
              <w:jc w:val="center"/>
              <w:rPr>
                <w:noProof/>
                <w:sz w:val="18"/>
              </w:rPr>
            </w:pPr>
            <w:r>
              <w:rPr>
                <w:noProof/>
                <w:sz w:val="18"/>
              </w:rPr>
              <w:t>stroški</w:t>
            </w:r>
          </w:p>
        </w:tc>
        <w:tc>
          <w:tcPr>
            <w:tcW w:w="900" w:type="dxa"/>
            <w:tcBorders>
              <w:right w:val="dashSmallGap" w:sz="4" w:space="0" w:color="auto"/>
            </w:tcBorders>
            <w:shd w:val="pct10" w:color="auto" w:fill="auto"/>
            <w:textDirection w:val="btLr"/>
            <w:vAlign w:val="center"/>
          </w:tcPr>
          <w:p>
            <w:pPr>
              <w:ind w:left="113" w:right="113"/>
              <w:jc w:val="center"/>
              <w:rPr>
                <w:noProof/>
              </w:rPr>
            </w:pPr>
            <w:r>
              <w:rPr>
                <w:noProof/>
                <w:sz w:val="18"/>
              </w:rPr>
              <w:t>število</w:t>
            </w:r>
          </w:p>
        </w:tc>
        <w:tc>
          <w:tcPr>
            <w:tcW w:w="720" w:type="dxa"/>
            <w:tcBorders>
              <w:left w:val="dashSmallGap" w:sz="4" w:space="0" w:color="auto"/>
            </w:tcBorders>
            <w:shd w:val="pct10" w:color="auto" w:fill="auto"/>
            <w:vAlign w:val="center"/>
          </w:tcPr>
          <w:p>
            <w:pPr>
              <w:jc w:val="center"/>
              <w:rPr>
                <w:noProof/>
                <w:sz w:val="18"/>
              </w:rPr>
            </w:pPr>
            <w:r>
              <w:rPr>
                <w:noProof/>
                <w:sz w:val="18"/>
              </w:rPr>
              <w:t>stroški</w:t>
            </w:r>
          </w:p>
        </w:tc>
        <w:tc>
          <w:tcPr>
            <w:tcW w:w="540" w:type="dxa"/>
            <w:tcBorders>
              <w:right w:val="dashSmallGap" w:sz="4" w:space="0" w:color="auto"/>
            </w:tcBorders>
            <w:shd w:val="pct10" w:color="auto" w:fill="auto"/>
            <w:textDirection w:val="btLr"/>
            <w:vAlign w:val="center"/>
          </w:tcPr>
          <w:p>
            <w:pPr>
              <w:ind w:left="113" w:right="113"/>
              <w:jc w:val="center"/>
              <w:rPr>
                <w:noProof/>
              </w:rPr>
            </w:pPr>
            <w:r>
              <w:rPr>
                <w:noProof/>
                <w:sz w:val="18"/>
              </w:rPr>
              <w:t>število</w:t>
            </w:r>
          </w:p>
        </w:tc>
        <w:tc>
          <w:tcPr>
            <w:tcW w:w="648" w:type="dxa"/>
            <w:tcBorders>
              <w:left w:val="dashSmallGap" w:sz="4" w:space="0" w:color="auto"/>
            </w:tcBorders>
            <w:shd w:val="pct10" w:color="auto" w:fill="auto"/>
            <w:vAlign w:val="center"/>
          </w:tcPr>
          <w:p>
            <w:pPr>
              <w:jc w:val="center"/>
              <w:rPr>
                <w:noProof/>
                <w:sz w:val="18"/>
              </w:rPr>
            </w:pPr>
            <w:r>
              <w:rPr>
                <w:noProof/>
                <w:sz w:val="18"/>
              </w:rPr>
              <w:t>stroški</w:t>
            </w:r>
          </w:p>
        </w:tc>
        <w:tc>
          <w:tcPr>
            <w:tcW w:w="432" w:type="dxa"/>
            <w:tcBorders>
              <w:right w:val="dashSmallGap" w:sz="4" w:space="0" w:color="auto"/>
            </w:tcBorders>
            <w:shd w:val="pct10" w:color="auto" w:fill="auto"/>
            <w:textDirection w:val="btLr"/>
            <w:vAlign w:val="center"/>
          </w:tcPr>
          <w:p>
            <w:pPr>
              <w:ind w:left="113" w:right="113"/>
              <w:jc w:val="center"/>
              <w:rPr>
                <w:noProof/>
              </w:rPr>
            </w:pPr>
            <w:r>
              <w:rPr>
                <w:noProof/>
                <w:sz w:val="18"/>
              </w:rPr>
              <w:t>število</w:t>
            </w:r>
          </w:p>
        </w:tc>
        <w:tc>
          <w:tcPr>
            <w:tcW w:w="720" w:type="dxa"/>
            <w:tcBorders>
              <w:left w:val="dashSmallGap" w:sz="4" w:space="0" w:color="auto"/>
            </w:tcBorders>
            <w:shd w:val="pct10" w:color="auto" w:fill="auto"/>
            <w:vAlign w:val="center"/>
          </w:tcPr>
          <w:p>
            <w:pPr>
              <w:jc w:val="center"/>
              <w:rPr>
                <w:noProof/>
                <w:sz w:val="18"/>
              </w:rPr>
            </w:pPr>
            <w:r>
              <w:rPr>
                <w:noProof/>
                <w:sz w:val="18"/>
              </w:rPr>
              <w:t>stroški</w:t>
            </w:r>
          </w:p>
        </w:tc>
        <w:tc>
          <w:tcPr>
            <w:tcW w:w="540" w:type="dxa"/>
            <w:tcBorders>
              <w:right w:val="dashSmallGap" w:sz="4" w:space="0" w:color="auto"/>
            </w:tcBorders>
            <w:shd w:val="pct10" w:color="auto" w:fill="auto"/>
            <w:textDirection w:val="btLr"/>
            <w:vAlign w:val="center"/>
          </w:tcPr>
          <w:p>
            <w:pPr>
              <w:ind w:left="113" w:right="113"/>
              <w:jc w:val="center"/>
              <w:rPr>
                <w:noProof/>
              </w:rPr>
            </w:pPr>
            <w:r>
              <w:rPr>
                <w:noProof/>
                <w:sz w:val="18"/>
              </w:rPr>
              <w:t>število</w:t>
            </w:r>
          </w:p>
        </w:tc>
        <w:tc>
          <w:tcPr>
            <w:tcW w:w="720" w:type="dxa"/>
            <w:tcBorders>
              <w:left w:val="dashSmallGap" w:sz="4" w:space="0" w:color="auto"/>
            </w:tcBorders>
            <w:shd w:val="pct10" w:color="auto" w:fill="auto"/>
            <w:vAlign w:val="center"/>
          </w:tcPr>
          <w:p>
            <w:pPr>
              <w:jc w:val="center"/>
              <w:rPr>
                <w:noProof/>
                <w:sz w:val="18"/>
              </w:rPr>
            </w:pPr>
            <w:r>
              <w:rPr>
                <w:noProof/>
                <w:sz w:val="18"/>
              </w:rPr>
              <w:t>stroški</w:t>
            </w:r>
          </w:p>
        </w:tc>
        <w:tc>
          <w:tcPr>
            <w:tcW w:w="720" w:type="dxa"/>
            <w:tcBorders>
              <w:right w:val="dashSmallGap" w:sz="4" w:space="0" w:color="auto"/>
            </w:tcBorders>
            <w:shd w:val="pct10" w:color="auto" w:fill="auto"/>
            <w:vAlign w:val="center"/>
          </w:tcPr>
          <w:p>
            <w:pPr>
              <w:jc w:val="center"/>
              <w:rPr>
                <w:noProof/>
                <w:sz w:val="18"/>
              </w:rPr>
            </w:pPr>
            <w:r>
              <w:rPr>
                <w:noProof/>
                <w:sz w:val="18"/>
              </w:rPr>
              <w:t>število realizacij skupaj</w:t>
            </w:r>
          </w:p>
        </w:tc>
        <w:tc>
          <w:tcPr>
            <w:tcW w:w="900" w:type="dxa"/>
            <w:tcBorders>
              <w:left w:val="dashSmallGap" w:sz="4" w:space="0" w:color="auto"/>
            </w:tcBorders>
            <w:shd w:val="pct10" w:color="auto" w:fill="auto"/>
            <w:vAlign w:val="center"/>
          </w:tcPr>
          <w:p>
            <w:pPr>
              <w:jc w:val="center"/>
              <w:rPr>
                <w:noProof/>
              </w:rPr>
            </w:pPr>
            <w:r>
              <w:rPr>
                <w:noProof/>
                <w:sz w:val="18"/>
              </w:rPr>
              <w:t>stroški realizacij skupaj</w:t>
            </w:r>
          </w:p>
        </w:tc>
      </w:tr>
      <w:tr>
        <w:trPr>
          <w:jc w:val="center"/>
        </w:trPr>
        <w:tc>
          <w:tcPr>
            <w:tcW w:w="2844" w:type="dxa"/>
            <w:gridSpan w:val="3"/>
            <w:vAlign w:val="center"/>
          </w:tcPr>
          <w:p>
            <w:pPr>
              <w:spacing w:before="60" w:after="60"/>
              <w:ind w:right="-29"/>
              <w:jc w:val="center"/>
              <w:rPr>
                <w:noProof/>
                <w:sz w:val="18"/>
              </w:rPr>
            </w:pPr>
            <w:r>
              <w:rPr>
                <w:noProof/>
                <w:sz w:val="18"/>
              </w:rPr>
              <w:t>SPECIFIČNI CILJ št. 1</w:t>
            </w:r>
            <w:r>
              <w:rPr>
                <w:rStyle w:val="FootnoteReference"/>
                <w:noProof/>
                <w:sz w:val="18"/>
              </w:rPr>
              <w:footnoteReference w:id="81"/>
            </w:r>
            <w:r>
              <w:rPr>
                <w:noProof/>
                <w:sz w:val="18"/>
              </w:rPr>
              <w:t xml:space="preserve"> Uporaba informacijskega sistema za komunikacijo med člani/opazovalci platforme</w:t>
            </w:r>
          </w:p>
        </w:tc>
        <w:tc>
          <w:tcPr>
            <w:tcW w:w="504"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54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90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540" w:type="dxa"/>
            <w:tcBorders>
              <w:top w:val="nil"/>
              <w:left w:val="nil"/>
              <w:bottom w:val="nil"/>
              <w:right w:val="nil"/>
            </w:tcBorders>
          </w:tcPr>
          <w:p>
            <w:pPr>
              <w:spacing w:before="60" w:after="60"/>
              <w:ind w:right="-29"/>
              <w:jc w:val="center"/>
              <w:rPr>
                <w:noProof/>
                <w:sz w:val="18"/>
              </w:rPr>
            </w:pPr>
          </w:p>
        </w:tc>
        <w:tc>
          <w:tcPr>
            <w:tcW w:w="648" w:type="dxa"/>
            <w:tcBorders>
              <w:top w:val="nil"/>
              <w:left w:val="nil"/>
              <w:bottom w:val="nil"/>
              <w:right w:val="nil"/>
            </w:tcBorders>
          </w:tcPr>
          <w:p>
            <w:pPr>
              <w:spacing w:before="60" w:after="60"/>
              <w:ind w:right="-29"/>
              <w:jc w:val="center"/>
              <w:rPr>
                <w:noProof/>
                <w:sz w:val="18"/>
              </w:rPr>
            </w:pPr>
          </w:p>
        </w:tc>
        <w:tc>
          <w:tcPr>
            <w:tcW w:w="432"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54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900" w:type="dxa"/>
            <w:tcBorders>
              <w:top w:val="nil"/>
              <w:left w:val="nil"/>
              <w:bottom w:val="nil"/>
              <w:right w:val="nil"/>
            </w:tcBorders>
          </w:tcPr>
          <w:p>
            <w:pPr>
              <w:spacing w:before="60" w:after="60"/>
              <w:ind w:right="-29"/>
              <w:jc w:val="center"/>
              <w:rPr>
                <w:noProof/>
                <w:sz w:val="18"/>
              </w:rPr>
            </w:pPr>
          </w:p>
        </w:tc>
      </w:tr>
      <w:tr>
        <w:trPr>
          <w:trHeight w:hRule="exact" w:val="1102"/>
          <w:jc w:val="center"/>
        </w:trPr>
        <w:tc>
          <w:tcPr>
            <w:tcW w:w="1423" w:type="dxa"/>
          </w:tcPr>
          <w:p>
            <w:pPr>
              <w:ind w:right="-29"/>
              <w:jc w:val="center"/>
              <w:rPr>
                <w:noProof/>
                <w:sz w:val="18"/>
              </w:rPr>
            </w:pPr>
            <w:r>
              <w:rPr>
                <w:noProof/>
                <w:sz w:val="18"/>
              </w:rPr>
              <w:t xml:space="preserve">– Dodatki za platformo za sodelovanje Confluence </w:t>
            </w:r>
          </w:p>
        </w:tc>
        <w:tc>
          <w:tcPr>
            <w:tcW w:w="720" w:type="dxa"/>
          </w:tcPr>
          <w:p>
            <w:pPr>
              <w:ind w:right="-29"/>
              <w:jc w:val="center"/>
              <w:rPr>
                <w:noProof/>
                <w:sz w:val="18"/>
                <w:szCs w:val="18"/>
              </w:rPr>
            </w:pPr>
          </w:p>
          <w:p>
            <w:pPr>
              <w:ind w:right="-29"/>
              <w:jc w:val="center"/>
              <w:rPr>
                <w:noProof/>
                <w:sz w:val="18"/>
              </w:rPr>
            </w:pPr>
            <w:r>
              <w:rPr>
                <w:noProof/>
                <w:sz w:val="18"/>
              </w:rPr>
              <w:t>dodatki</w:t>
            </w:r>
          </w:p>
        </w:tc>
        <w:tc>
          <w:tcPr>
            <w:tcW w:w="701" w:type="dxa"/>
            <w:vAlign w:val="center"/>
          </w:tcPr>
          <w:p>
            <w:pPr>
              <w:ind w:right="-29"/>
              <w:jc w:val="center"/>
              <w:rPr>
                <w:noProof/>
                <w:sz w:val="18"/>
                <w:szCs w:val="18"/>
              </w:rPr>
            </w:pPr>
            <w:r>
              <w:rPr>
                <w:noProof/>
                <w:sz w:val="18"/>
              </w:rPr>
              <w:t>0,025</w:t>
            </w:r>
          </w:p>
        </w:tc>
        <w:tc>
          <w:tcPr>
            <w:tcW w:w="504" w:type="dxa"/>
            <w:tcBorders>
              <w:right w:val="dashSmallGap" w:sz="4" w:space="0" w:color="auto"/>
            </w:tcBorders>
            <w:vAlign w:val="center"/>
          </w:tcPr>
          <w:p>
            <w:pPr>
              <w:ind w:right="-29"/>
              <w:jc w:val="center"/>
              <w:rPr>
                <w:noProof/>
                <w:sz w:val="18"/>
              </w:rPr>
            </w:pPr>
            <w:r>
              <w:rPr>
                <w:noProof/>
                <w:sz w:val="18"/>
              </w:rPr>
              <w:t>2</w:t>
            </w:r>
          </w:p>
        </w:tc>
        <w:tc>
          <w:tcPr>
            <w:tcW w:w="720" w:type="dxa"/>
            <w:tcBorders>
              <w:left w:val="dashSmallGap" w:sz="4" w:space="0" w:color="auto"/>
            </w:tcBorders>
            <w:vAlign w:val="center"/>
          </w:tcPr>
          <w:p>
            <w:pPr>
              <w:ind w:right="-29"/>
              <w:jc w:val="center"/>
              <w:rPr>
                <w:noProof/>
                <w:sz w:val="18"/>
              </w:rPr>
            </w:pPr>
            <w:r>
              <w:rPr>
                <w:noProof/>
                <w:sz w:val="18"/>
              </w:rPr>
              <w:t>0,050</w:t>
            </w:r>
          </w:p>
        </w:tc>
        <w:tc>
          <w:tcPr>
            <w:tcW w:w="540" w:type="dxa"/>
            <w:tcBorders>
              <w:right w:val="dashSmallGap" w:sz="4" w:space="0" w:color="auto"/>
            </w:tcBorders>
            <w:vAlign w:val="center"/>
          </w:tcPr>
          <w:p>
            <w:pPr>
              <w:ind w:right="-29"/>
              <w:jc w:val="center"/>
              <w:rPr>
                <w:noProof/>
                <w:sz w:val="18"/>
              </w:rPr>
            </w:pPr>
            <w:r>
              <w:rPr>
                <w:noProof/>
                <w:sz w:val="18"/>
              </w:rPr>
              <w:t>2</w:t>
            </w:r>
          </w:p>
        </w:tc>
        <w:tc>
          <w:tcPr>
            <w:tcW w:w="720" w:type="dxa"/>
            <w:tcBorders>
              <w:left w:val="dashSmallGap" w:sz="4" w:space="0" w:color="auto"/>
            </w:tcBorders>
            <w:vAlign w:val="center"/>
          </w:tcPr>
          <w:p>
            <w:pPr>
              <w:ind w:right="-29"/>
              <w:jc w:val="center"/>
              <w:rPr>
                <w:noProof/>
                <w:sz w:val="18"/>
              </w:rPr>
            </w:pPr>
            <w:r>
              <w:rPr>
                <w:noProof/>
                <w:sz w:val="18"/>
              </w:rPr>
              <w:t>0,050</w:t>
            </w:r>
          </w:p>
        </w:tc>
        <w:tc>
          <w:tcPr>
            <w:tcW w:w="720" w:type="dxa"/>
            <w:tcBorders>
              <w:right w:val="dashSmallGap" w:sz="4" w:space="0" w:color="auto"/>
            </w:tcBorders>
            <w:vAlign w:val="center"/>
          </w:tcPr>
          <w:p>
            <w:pPr>
              <w:ind w:right="-29"/>
              <w:jc w:val="center"/>
              <w:rPr>
                <w:noProof/>
                <w:sz w:val="18"/>
              </w:rPr>
            </w:pPr>
            <w:r>
              <w:rPr>
                <w:noProof/>
                <w:sz w:val="18"/>
              </w:rPr>
              <w:t>2</w:t>
            </w:r>
          </w:p>
        </w:tc>
        <w:tc>
          <w:tcPr>
            <w:tcW w:w="720" w:type="dxa"/>
            <w:tcBorders>
              <w:left w:val="dashSmallGap" w:sz="4" w:space="0" w:color="auto"/>
            </w:tcBorders>
            <w:vAlign w:val="center"/>
          </w:tcPr>
          <w:p>
            <w:pPr>
              <w:ind w:right="-29"/>
              <w:jc w:val="center"/>
              <w:rPr>
                <w:noProof/>
                <w:sz w:val="18"/>
              </w:rPr>
            </w:pPr>
            <w:r>
              <w:rPr>
                <w:noProof/>
                <w:sz w:val="18"/>
              </w:rPr>
              <w:t>0,050</w:t>
            </w:r>
          </w:p>
        </w:tc>
        <w:tc>
          <w:tcPr>
            <w:tcW w:w="900" w:type="dxa"/>
            <w:tcBorders>
              <w:right w:val="dashSmallGap" w:sz="4" w:space="0" w:color="auto"/>
            </w:tcBorders>
            <w:vAlign w:val="center"/>
          </w:tcPr>
          <w:p>
            <w:pPr>
              <w:ind w:right="-29"/>
              <w:jc w:val="center"/>
              <w:rPr>
                <w:noProof/>
                <w:sz w:val="18"/>
              </w:rPr>
            </w:pPr>
            <w:r>
              <w:rPr>
                <w:noProof/>
                <w:sz w:val="18"/>
              </w:rPr>
              <w:t>2</w:t>
            </w:r>
          </w:p>
        </w:tc>
        <w:tc>
          <w:tcPr>
            <w:tcW w:w="720" w:type="dxa"/>
            <w:tcBorders>
              <w:left w:val="dashSmallGap" w:sz="4" w:space="0" w:color="auto"/>
            </w:tcBorders>
            <w:vAlign w:val="center"/>
          </w:tcPr>
          <w:p>
            <w:pPr>
              <w:ind w:right="-29"/>
              <w:jc w:val="center"/>
              <w:rPr>
                <w:noProof/>
                <w:sz w:val="18"/>
              </w:rPr>
            </w:pPr>
            <w:r>
              <w:rPr>
                <w:noProof/>
                <w:sz w:val="18"/>
              </w:rPr>
              <w:t>0,050</w:t>
            </w:r>
          </w:p>
        </w:tc>
        <w:tc>
          <w:tcPr>
            <w:tcW w:w="540" w:type="dxa"/>
            <w:tcBorders>
              <w:right w:val="dashSmallGap" w:sz="4" w:space="0" w:color="auto"/>
            </w:tcBorders>
          </w:tcPr>
          <w:p>
            <w:pPr>
              <w:ind w:right="-29"/>
              <w:jc w:val="center"/>
              <w:rPr>
                <w:noProof/>
                <w:sz w:val="18"/>
              </w:rPr>
            </w:pPr>
          </w:p>
        </w:tc>
        <w:tc>
          <w:tcPr>
            <w:tcW w:w="648" w:type="dxa"/>
            <w:tcBorders>
              <w:left w:val="dashSmallGap" w:sz="4" w:space="0" w:color="auto"/>
            </w:tcBorders>
          </w:tcPr>
          <w:p>
            <w:pPr>
              <w:ind w:right="-29"/>
              <w:jc w:val="center"/>
              <w:rPr>
                <w:noProof/>
                <w:sz w:val="18"/>
              </w:rPr>
            </w:pPr>
          </w:p>
        </w:tc>
        <w:tc>
          <w:tcPr>
            <w:tcW w:w="432" w:type="dxa"/>
            <w:tcBorders>
              <w:right w:val="dashSmallGap" w:sz="4" w:space="0" w:color="auto"/>
            </w:tcBorders>
          </w:tcPr>
          <w:p>
            <w:pPr>
              <w:ind w:right="-29"/>
              <w:jc w:val="center"/>
              <w:rPr>
                <w:noProof/>
                <w:sz w:val="18"/>
              </w:rPr>
            </w:pPr>
          </w:p>
        </w:tc>
        <w:tc>
          <w:tcPr>
            <w:tcW w:w="720" w:type="dxa"/>
            <w:tcBorders>
              <w:left w:val="dashSmallGap" w:sz="4" w:space="0" w:color="auto"/>
            </w:tcBorders>
          </w:tcPr>
          <w:p>
            <w:pPr>
              <w:ind w:right="-29"/>
              <w:jc w:val="center"/>
              <w:rPr>
                <w:noProof/>
                <w:sz w:val="18"/>
              </w:rPr>
            </w:pPr>
          </w:p>
        </w:tc>
        <w:tc>
          <w:tcPr>
            <w:tcW w:w="540" w:type="dxa"/>
            <w:tcBorders>
              <w:right w:val="dashSmallGap" w:sz="4" w:space="0" w:color="auto"/>
            </w:tcBorders>
          </w:tcPr>
          <w:p>
            <w:pPr>
              <w:ind w:right="-29"/>
              <w:jc w:val="center"/>
              <w:rPr>
                <w:noProof/>
                <w:sz w:val="18"/>
              </w:rPr>
            </w:pPr>
          </w:p>
        </w:tc>
        <w:tc>
          <w:tcPr>
            <w:tcW w:w="720" w:type="dxa"/>
            <w:tcBorders>
              <w:left w:val="dashSmallGap" w:sz="4" w:space="0" w:color="auto"/>
            </w:tcBorders>
          </w:tcPr>
          <w:p>
            <w:pPr>
              <w:ind w:right="-29"/>
              <w:jc w:val="center"/>
              <w:rPr>
                <w:noProof/>
                <w:sz w:val="18"/>
              </w:rPr>
            </w:pPr>
          </w:p>
        </w:tc>
        <w:tc>
          <w:tcPr>
            <w:tcW w:w="720" w:type="dxa"/>
            <w:vAlign w:val="center"/>
          </w:tcPr>
          <w:p>
            <w:pPr>
              <w:ind w:right="-29"/>
              <w:jc w:val="center"/>
              <w:rPr>
                <w:b/>
                <w:bCs/>
                <w:noProof/>
                <w:sz w:val="18"/>
              </w:rPr>
            </w:pPr>
            <w:r>
              <w:rPr>
                <w:b/>
                <w:noProof/>
                <w:sz w:val="18"/>
              </w:rPr>
              <w:t>8</w:t>
            </w:r>
          </w:p>
        </w:tc>
        <w:tc>
          <w:tcPr>
            <w:tcW w:w="900" w:type="dxa"/>
            <w:vAlign w:val="center"/>
          </w:tcPr>
          <w:p>
            <w:pPr>
              <w:ind w:right="-29"/>
              <w:jc w:val="center"/>
              <w:rPr>
                <w:b/>
                <w:bCs/>
                <w:noProof/>
                <w:sz w:val="18"/>
              </w:rPr>
            </w:pPr>
            <w:r>
              <w:rPr>
                <w:b/>
                <w:noProof/>
                <w:sz w:val="18"/>
              </w:rPr>
              <w:t>0,200</w:t>
            </w:r>
          </w:p>
        </w:tc>
      </w:tr>
      <w:tr>
        <w:trPr>
          <w:jc w:val="center"/>
        </w:trPr>
        <w:tc>
          <w:tcPr>
            <w:tcW w:w="2844" w:type="dxa"/>
            <w:gridSpan w:val="3"/>
            <w:tcBorders>
              <w:top w:val="single" w:sz="12" w:space="0" w:color="auto"/>
              <w:left w:val="single" w:sz="12" w:space="0" w:color="auto"/>
              <w:bottom w:val="single" w:sz="12" w:space="0" w:color="auto"/>
            </w:tcBorders>
            <w:vAlign w:val="center"/>
          </w:tcPr>
          <w:p>
            <w:pPr>
              <w:ind w:right="-29"/>
              <w:jc w:val="center"/>
              <w:rPr>
                <w:noProof/>
                <w:sz w:val="18"/>
              </w:rPr>
            </w:pPr>
            <w:r>
              <w:rPr>
                <w:b/>
                <w:noProof/>
                <w:sz w:val="18"/>
              </w:rPr>
              <w:t>STROŠKI SKUPAJ</w:t>
            </w:r>
          </w:p>
        </w:tc>
        <w:tc>
          <w:tcPr>
            <w:tcW w:w="504"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noProof/>
                <w:sz w:val="18"/>
              </w:rPr>
            </w:pPr>
            <w:r>
              <w:rPr>
                <w:b/>
                <w:noProof/>
                <w:sz w:val="18"/>
              </w:rPr>
              <w:t>0,050</w:t>
            </w:r>
          </w:p>
        </w:tc>
        <w:tc>
          <w:tcPr>
            <w:tcW w:w="540"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noProof/>
                <w:sz w:val="18"/>
              </w:rPr>
            </w:pPr>
            <w:r>
              <w:rPr>
                <w:b/>
                <w:noProof/>
                <w:sz w:val="18"/>
              </w:rPr>
              <w:t>0,050</w:t>
            </w:r>
          </w:p>
        </w:tc>
        <w:tc>
          <w:tcPr>
            <w:tcW w:w="720"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noProof/>
                <w:sz w:val="18"/>
              </w:rPr>
            </w:pPr>
            <w:r>
              <w:rPr>
                <w:b/>
                <w:noProof/>
                <w:sz w:val="18"/>
              </w:rPr>
              <w:t>0,050</w:t>
            </w:r>
          </w:p>
        </w:tc>
        <w:tc>
          <w:tcPr>
            <w:tcW w:w="900"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noProof/>
                <w:sz w:val="18"/>
              </w:rPr>
            </w:pPr>
            <w:r>
              <w:rPr>
                <w:b/>
                <w:noProof/>
                <w:sz w:val="18"/>
              </w:rPr>
              <w:t>0,050</w:t>
            </w:r>
          </w:p>
        </w:tc>
        <w:tc>
          <w:tcPr>
            <w:tcW w:w="540" w:type="dxa"/>
            <w:tcBorders>
              <w:top w:val="single" w:sz="12" w:space="0" w:color="auto"/>
              <w:bottom w:val="single" w:sz="12" w:space="0" w:color="auto"/>
            </w:tcBorders>
          </w:tcPr>
          <w:p>
            <w:pPr>
              <w:spacing w:before="180" w:after="180"/>
              <w:ind w:right="-29"/>
              <w:jc w:val="center"/>
              <w:rPr>
                <w:noProof/>
                <w:sz w:val="18"/>
              </w:rPr>
            </w:pPr>
          </w:p>
        </w:tc>
        <w:tc>
          <w:tcPr>
            <w:tcW w:w="648" w:type="dxa"/>
            <w:tcBorders>
              <w:top w:val="single" w:sz="12" w:space="0" w:color="auto"/>
              <w:bottom w:val="single" w:sz="12" w:space="0" w:color="auto"/>
            </w:tcBorders>
          </w:tcPr>
          <w:p>
            <w:pPr>
              <w:spacing w:before="180" w:after="180"/>
              <w:ind w:right="-29"/>
              <w:jc w:val="center"/>
              <w:rPr>
                <w:noProof/>
                <w:sz w:val="18"/>
              </w:rPr>
            </w:pPr>
          </w:p>
        </w:tc>
        <w:tc>
          <w:tcPr>
            <w:tcW w:w="432"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noProof/>
                <w:sz w:val="18"/>
              </w:rPr>
            </w:pPr>
          </w:p>
        </w:tc>
        <w:tc>
          <w:tcPr>
            <w:tcW w:w="540"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noProof/>
                <w:sz w:val="18"/>
              </w:rPr>
            </w:pPr>
          </w:p>
        </w:tc>
        <w:tc>
          <w:tcPr>
            <w:tcW w:w="900" w:type="dxa"/>
            <w:tcBorders>
              <w:top w:val="single" w:sz="12" w:space="0" w:color="auto"/>
              <w:bottom w:val="single" w:sz="12" w:space="0" w:color="auto"/>
              <w:right w:val="single" w:sz="12" w:space="0" w:color="auto"/>
            </w:tcBorders>
          </w:tcPr>
          <w:p>
            <w:pPr>
              <w:spacing w:before="180" w:after="180"/>
              <w:ind w:right="-29"/>
              <w:jc w:val="center"/>
              <w:rPr>
                <w:noProof/>
                <w:sz w:val="18"/>
              </w:rPr>
            </w:pPr>
            <w:r>
              <w:rPr>
                <w:b/>
                <w:noProof/>
                <w:sz w:val="18"/>
              </w:rPr>
              <w:t>0,200</w:t>
            </w:r>
          </w:p>
        </w:tc>
      </w:tr>
    </w:tbl>
    <w:p>
      <w:pPr>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720"/>
        <w:gridCol w:w="540"/>
        <w:gridCol w:w="648"/>
        <w:gridCol w:w="432"/>
        <w:gridCol w:w="720"/>
        <w:gridCol w:w="540"/>
        <w:gridCol w:w="720"/>
        <w:gridCol w:w="720"/>
        <w:gridCol w:w="900"/>
      </w:tblGrid>
      <w:tr>
        <w:trPr>
          <w:gridAfter w:val="18"/>
          <w:wAfter w:w="12185" w:type="dxa"/>
          <w:jc w:val="center"/>
        </w:trPr>
        <w:tc>
          <w:tcPr>
            <w:tcW w:w="1423" w:type="dxa"/>
            <w:vAlign w:val="center"/>
          </w:tcPr>
          <w:p>
            <w:pPr>
              <w:ind w:right="-29"/>
              <w:jc w:val="center"/>
              <w:rPr>
                <w:b/>
                <w:noProof/>
                <w:sz w:val="18"/>
              </w:rPr>
            </w:pPr>
            <w:r>
              <w:rPr>
                <w:b/>
                <w:noProof/>
                <w:sz w:val="22"/>
              </w:rPr>
              <w:t>GD ENV</w:t>
            </w:r>
          </w:p>
        </w:tc>
      </w:tr>
      <w:tr>
        <w:trPr>
          <w:jc w:val="center"/>
        </w:trPr>
        <w:tc>
          <w:tcPr>
            <w:tcW w:w="1423" w:type="dxa"/>
            <w:vMerge w:val="restart"/>
            <w:vAlign w:val="center"/>
          </w:tcPr>
          <w:p>
            <w:pPr>
              <w:ind w:right="-29"/>
              <w:jc w:val="center"/>
              <w:rPr>
                <w:b/>
                <w:noProof/>
                <w:sz w:val="18"/>
              </w:rPr>
            </w:pPr>
            <w:r>
              <w:rPr>
                <w:b/>
                <w:noProof/>
                <w:sz w:val="18"/>
              </w:rPr>
              <w:t xml:space="preserve">Cilji in realizacije </w:t>
            </w:r>
          </w:p>
          <w:p>
            <w:pPr>
              <w:ind w:right="-29"/>
              <w:jc w:val="center"/>
              <w:rPr>
                <w:b/>
                <w:noProof/>
                <w:sz w:val="18"/>
              </w:rPr>
            </w:pPr>
          </w:p>
          <w:p>
            <w:pPr>
              <w:ind w:right="-29"/>
              <w:jc w:val="center"/>
              <w:rPr>
                <w:noProof/>
                <w:sz w:val="18"/>
              </w:rPr>
            </w:pPr>
            <w:r>
              <w:rPr>
                <w:noProof/>
                <w:sz w:val="18"/>
              </w:rPr>
              <w:sym w:font="Wingdings" w:char="F0F2"/>
            </w:r>
          </w:p>
        </w:tc>
        <w:tc>
          <w:tcPr>
            <w:tcW w:w="720" w:type="dxa"/>
            <w:vAlign w:val="center"/>
          </w:tcPr>
          <w:p>
            <w:pPr>
              <w:ind w:right="-29"/>
              <w:jc w:val="center"/>
              <w:rPr>
                <w:noProof/>
                <w:sz w:val="18"/>
              </w:rPr>
            </w:pPr>
          </w:p>
        </w:tc>
        <w:tc>
          <w:tcPr>
            <w:tcW w:w="701" w:type="dxa"/>
            <w:vAlign w:val="center"/>
          </w:tcPr>
          <w:p>
            <w:pPr>
              <w:ind w:right="-29"/>
              <w:jc w:val="center"/>
              <w:rPr>
                <w:noProof/>
                <w:sz w:val="18"/>
              </w:rPr>
            </w:pPr>
          </w:p>
        </w:tc>
        <w:tc>
          <w:tcPr>
            <w:tcW w:w="1224" w:type="dxa"/>
            <w:gridSpan w:val="2"/>
            <w:tcBorders>
              <w:left w:val="nil"/>
            </w:tcBorders>
            <w:vAlign w:val="center"/>
          </w:tcPr>
          <w:p>
            <w:pPr>
              <w:ind w:right="-29"/>
              <w:jc w:val="center"/>
              <w:rPr>
                <w:noProof/>
                <w:sz w:val="18"/>
              </w:rPr>
            </w:pPr>
            <w:r>
              <w:rPr>
                <w:noProof/>
                <w:sz w:val="18"/>
              </w:rPr>
              <w:t>Leto</w:t>
            </w:r>
            <w:r>
              <w:rPr>
                <w:noProof/>
                <w:sz w:val="22"/>
              </w:rPr>
              <w:br/>
            </w:r>
            <w:r>
              <w:rPr>
                <w:b/>
                <w:noProof/>
                <w:sz w:val="18"/>
              </w:rPr>
              <w:t>2020</w:t>
            </w:r>
          </w:p>
        </w:tc>
        <w:tc>
          <w:tcPr>
            <w:tcW w:w="1260" w:type="dxa"/>
            <w:gridSpan w:val="2"/>
            <w:vAlign w:val="center"/>
          </w:tcPr>
          <w:p>
            <w:pPr>
              <w:ind w:right="-29"/>
              <w:jc w:val="center"/>
              <w:rPr>
                <w:noProof/>
                <w:sz w:val="18"/>
              </w:rPr>
            </w:pPr>
            <w:r>
              <w:rPr>
                <w:noProof/>
                <w:sz w:val="18"/>
              </w:rPr>
              <w:t>Leto</w:t>
            </w:r>
            <w:r>
              <w:rPr>
                <w:noProof/>
                <w:sz w:val="22"/>
              </w:rPr>
              <w:br/>
            </w:r>
            <w:r>
              <w:rPr>
                <w:b/>
                <w:noProof/>
                <w:sz w:val="18"/>
              </w:rPr>
              <w:t>2021</w:t>
            </w:r>
          </w:p>
        </w:tc>
        <w:tc>
          <w:tcPr>
            <w:tcW w:w="1440" w:type="dxa"/>
            <w:gridSpan w:val="2"/>
            <w:vAlign w:val="center"/>
          </w:tcPr>
          <w:p>
            <w:pPr>
              <w:ind w:right="-29"/>
              <w:jc w:val="center"/>
              <w:rPr>
                <w:noProof/>
                <w:sz w:val="18"/>
              </w:rPr>
            </w:pPr>
            <w:r>
              <w:rPr>
                <w:noProof/>
                <w:sz w:val="18"/>
              </w:rPr>
              <w:t>Leto</w:t>
            </w:r>
            <w:r>
              <w:rPr>
                <w:noProof/>
                <w:sz w:val="22"/>
              </w:rPr>
              <w:br/>
            </w:r>
            <w:r>
              <w:rPr>
                <w:b/>
                <w:noProof/>
                <w:sz w:val="18"/>
              </w:rPr>
              <w:t>2022</w:t>
            </w:r>
          </w:p>
        </w:tc>
        <w:tc>
          <w:tcPr>
            <w:tcW w:w="1620" w:type="dxa"/>
            <w:gridSpan w:val="2"/>
            <w:vAlign w:val="center"/>
          </w:tcPr>
          <w:p>
            <w:pPr>
              <w:ind w:right="-29"/>
              <w:jc w:val="center"/>
              <w:rPr>
                <w:noProof/>
                <w:sz w:val="18"/>
              </w:rPr>
            </w:pPr>
            <w:r>
              <w:rPr>
                <w:noProof/>
                <w:sz w:val="18"/>
              </w:rPr>
              <w:t>Leto</w:t>
            </w:r>
            <w:r>
              <w:rPr>
                <w:noProof/>
                <w:sz w:val="22"/>
              </w:rPr>
              <w:br/>
            </w:r>
            <w:r>
              <w:rPr>
                <w:b/>
                <w:noProof/>
                <w:sz w:val="18"/>
              </w:rPr>
              <w:t>2023</w:t>
            </w:r>
          </w:p>
        </w:tc>
        <w:tc>
          <w:tcPr>
            <w:tcW w:w="3600" w:type="dxa"/>
            <w:gridSpan w:val="6"/>
            <w:vAlign w:val="center"/>
          </w:tcPr>
          <w:p>
            <w:pPr>
              <w:jc w:val="center"/>
              <w:rPr>
                <w:b/>
                <w:noProof/>
                <w:sz w:val="18"/>
              </w:rPr>
            </w:pPr>
            <w:r>
              <w:rPr>
                <w:noProof/>
                <w:sz w:val="18"/>
              </w:rPr>
              <w:t>Vstavite ustrezno število let glede na trajanje posledic (gl. točko 1.6)</w:t>
            </w:r>
          </w:p>
        </w:tc>
        <w:tc>
          <w:tcPr>
            <w:tcW w:w="1620" w:type="dxa"/>
            <w:gridSpan w:val="2"/>
            <w:tcBorders>
              <w:left w:val="nil"/>
              <w:bottom w:val="nil"/>
            </w:tcBorders>
            <w:vAlign w:val="center"/>
          </w:tcPr>
          <w:p>
            <w:pPr>
              <w:ind w:right="-29"/>
              <w:jc w:val="center"/>
              <w:rPr>
                <w:noProof/>
                <w:sz w:val="18"/>
              </w:rPr>
            </w:pPr>
            <w:r>
              <w:rPr>
                <w:b/>
                <w:noProof/>
                <w:sz w:val="18"/>
              </w:rPr>
              <w:t>SKUPAJ</w:t>
            </w:r>
          </w:p>
        </w:tc>
      </w:tr>
      <w:tr>
        <w:trPr>
          <w:jc w:val="center"/>
        </w:trPr>
        <w:tc>
          <w:tcPr>
            <w:tcW w:w="1423" w:type="dxa"/>
            <w:vMerge/>
            <w:vAlign w:val="center"/>
          </w:tcPr>
          <w:p>
            <w:pPr>
              <w:rPr>
                <w:noProof/>
                <w:sz w:val="18"/>
              </w:rPr>
            </w:pPr>
          </w:p>
        </w:tc>
        <w:tc>
          <w:tcPr>
            <w:tcW w:w="12185" w:type="dxa"/>
            <w:gridSpan w:val="18"/>
            <w:vAlign w:val="center"/>
          </w:tcPr>
          <w:p>
            <w:pPr>
              <w:spacing w:before="60" w:after="60"/>
              <w:ind w:right="-29"/>
              <w:jc w:val="center"/>
              <w:rPr>
                <w:noProof/>
                <w:sz w:val="18"/>
              </w:rPr>
            </w:pPr>
            <w:r>
              <w:rPr>
                <w:b/>
                <w:noProof/>
                <w:sz w:val="18"/>
              </w:rPr>
              <w:t>REALIZACIJE</w:t>
            </w:r>
          </w:p>
        </w:tc>
      </w:tr>
      <w:tr>
        <w:trPr>
          <w:cantSplit/>
          <w:trHeight w:val="1134"/>
          <w:jc w:val="center"/>
        </w:trPr>
        <w:tc>
          <w:tcPr>
            <w:tcW w:w="1423" w:type="dxa"/>
            <w:vMerge/>
            <w:vAlign w:val="center"/>
          </w:tcPr>
          <w:p>
            <w:pPr>
              <w:rPr>
                <w:noProof/>
                <w:sz w:val="18"/>
              </w:rPr>
            </w:pPr>
          </w:p>
        </w:tc>
        <w:tc>
          <w:tcPr>
            <w:tcW w:w="720" w:type="dxa"/>
            <w:vAlign w:val="center"/>
          </w:tcPr>
          <w:p>
            <w:pPr>
              <w:jc w:val="center"/>
              <w:rPr>
                <w:noProof/>
                <w:sz w:val="18"/>
              </w:rPr>
            </w:pPr>
            <w:r>
              <w:rPr>
                <w:noProof/>
                <w:sz w:val="18"/>
              </w:rPr>
              <w:t>vrsta</w:t>
            </w:r>
            <w:r>
              <w:rPr>
                <w:rStyle w:val="FootnoteReference"/>
                <w:noProof/>
                <w:sz w:val="18"/>
              </w:rPr>
              <w:footnoteReference w:id="82"/>
            </w:r>
          </w:p>
        </w:tc>
        <w:tc>
          <w:tcPr>
            <w:tcW w:w="701" w:type="dxa"/>
            <w:vAlign w:val="center"/>
          </w:tcPr>
          <w:p>
            <w:pPr>
              <w:jc w:val="center"/>
              <w:rPr>
                <w:noProof/>
              </w:rPr>
            </w:pPr>
            <w:r>
              <w:rPr>
                <w:noProof/>
                <w:sz w:val="18"/>
              </w:rPr>
              <w:t>povprečni stroški</w:t>
            </w:r>
          </w:p>
        </w:tc>
        <w:tc>
          <w:tcPr>
            <w:tcW w:w="504" w:type="dxa"/>
            <w:tcBorders>
              <w:left w:val="nil"/>
              <w:right w:val="dashSmallGap" w:sz="4" w:space="0" w:color="auto"/>
            </w:tcBorders>
            <w:shd w:val="pct10" w:color="auto" w:fill="auto"/>
            <w:textDirection w:val="btLr"/>
            <w:vAlign w:val="center"/>
          </w:tcPr>
          <w:p>
            <w:pPr>
              <w:ind w:left="113" w:right="113"/>
              <w:jc w:val="center"/>
              <w:rPr>
                <w:noProof/>
              </w:rPr>
            </w:pPr>
            <w:r>
              <w:rPr>
                <w:noProof/>
                <w:sz w:val="18"/>
              </w:rPr>
              <w:t>število</w:t>
            </w:r>
          </w:p>
        </w:tc>
        <w:tc>
          <w:tcPr>
            <w:tcW w:w="720" w:type="dxa"/>
            <w:tcBorders>
              <w:left w:val="dashSmallGap" w:sz="4" w:space="0" w:color="auto"/>
            </w:tcBorders>
            <w:shd w:val="pct10" w:color="auto" w:fill="auto"/>
            <w:vAlign w:val="center"/>
          </w:tcPr>
          <w:p>
            <w:pPr>
              <w:jc w:val="center"/>
              <w:rPr>
                <w:noProof/>
                <w:sz w:val="18"/>
              </w:rPr>
            </w:pPr>
            <w:r>
              <w:rPr>
                <w:noProof/>
                <w:sz w:val="18"/>
              </w:rPr>
              <w:t>stroški</w:t>
            </w:r>
          </w:p>
        </w:tc>
        <w:tc>
          <w:tcPr>
            <w:tcW w:w="540" w:type="dxa"/>
            <w:tcBorders>
              <w:right w:val="dashSmallGap" w:sz="4" w:space="0" w:color="auto"/>
            </w:tcBorders>
            <w:shd w:val="pct10" w:color="auto" w:fill="auto"/>
            <w:textDirection w:val="btLr"/>
            <w:vAlign w:val="center"/>
          </w:tcPr>
          <w:p>
            <w:pPr>
              <w:ind w:left="113" w:right="113"/>
              <w:jc w:val="center"/>
              <w:rPr>
                <w:noProof/>
              </w:rPr>
            </w:pPr>
            <w:r>
              <w:rPr>
                <w:noProof/>
                <w:sz w:val="18"/>
              </w:rPr>
              <w:t>število</w:t>
            </w:r>
          </w:p>
        </w:tc>
        <w:tc>
          <w:tcPr>
            <w:tcW w:w="720" w:type="dxa"/>
            <w:tcBorders>
              <w:left w:val="dashSmallGap" w:sz="4" w:space="0" w:color="auto"/>
            </w:tcBorders>
            <w:shd w:val="pct10" w:color="auto" w:fill="auto"/>
            <w:vAlign w:val="center"/>
          </w:tcPr>
          <w:p>
            <w:pPr>
              <w:jc w:val="center"/>
              <w:rPr>
                <w:noProof/>
                <w:sz w:val="18"/>
              </w:rPr>
            </w:pPr>
            <w:r>
              <w:rPr>
                <w:noProof/>
                <w:sz w:val="18"/>
              </w:rPr>
              <w:t>stroški</w:t>
            </w:r>
          </w:p>
        </w:tc>
        <w:tc>
          <w:tcPr>
            <w:tcW w:w="720" w:type="dxa"/>
            <w:tcBorders>
              <w:right w:val="dashSmallGap" w:sz="4" w:space="0" w:color="auto"/>
            </w:tcBorders>
            <w:shd w:val="pct10" w:color="auto" w:fill="auto"/>
            <w:textDirection w:val="btLr"/>
            <w:vAlign w:val="center"/>
          </w:tcPr>
          <w:p>
            <w:pPr>
              <w:ind w:left="113" w:right="113"/>
              <w:jc w:val="center"/>
              <w:rPr>
                <w:noProof/>
              </w:rPr>
            </w:pPr>
            <w:r>
              <w:rPr>
                <w:noProof/>
                <w:sz w:val="18"/>
              </w:rPr>
              <w:t>število</w:t>
            </w:r>
          </w:p>
        </w:tc>
        <w:tc>
          <w:tcPr>
            <w:tcW w:w="720" w:type="dxa"/>
            <w:tcBorders>
              <w:left w:val="dashSmallGap" w:sz="4" w:space="0" w:color="auto"/>
            </w:tcBorders>
            <w:shd w:val="pct10" w:color="auto" w:fill="auto"/>
            <w:vAlign w:val="center"/>
          </w:tcPr>
          <w:p>
            <w:pPr>
              <w:jc w:val="center"/>
              <w:rPr>
                <w:noProof/>
                <w:sz w:val="18"/>
              </w:rPr>
            </w:pPr>
            <w:r>
              <w:rPr>
                <w:noProof/>
                <w:sz w:val="18"/>
              </w:rPr>
              <w:t>stroški</w:t>
            </w:r>
          </w:p>
        </w:tc>
        <w:tc>
          <w:tcPr>
            <w:tcW w:w="900" w:type="dxa"/>
            <w:tcBorders>
              <w:right w:val="dashSmallGap" w:sz="4" w:space="0" w:color="auto"/>
            </w:tcBorders>
            <w:shd w:val="pct10" w:color="auto" w:fill="auto"/>
            <w:textDirection w:val="btLr"/>
            <w:vAlign w:val="center"/>
          </w:tcPr>
          <w:p>
            <w:pPr>
              <w:ind w:left="113" w:right="113"/>
              <w:jc w:val="center"/>
              <w:rPr>
                <w:noProof/>
              </w:rPr>
            </w:pPr>
            <w:r>
              <w:rPr>
                <w:noProof/>
                <w:sz w:val="18"/>
              </w:rPr>
              <w:t>število</w:t>
            </w:r>
          </w:p>
        </w:tc>
        <w:tc>
          <w:tcPr>
            <w:tcW w:w="720" w:type="dxa"/>
            <w:tcBorders>
              <w:left w:val="dashSmallGap" w:sz="4" w:space="0" w:color="auto"/>
            </w:tcBorders>
            <w:shd w:val="pct10" w:color="auto" w:fill="auto"/>
            <w:vAlign w:val="center"/>
          </w:tcPr>
          <w:p>
            <w:pPr>
              <w:jc w:val="center"/>
              <w:rPr>
                <w:noProof/>
                <w:sz w:val="18"/>
              </w:rPr>
            </w:pPr>
            <w:r>
              <w:rPr>
                <w:noProof/>
                <w:sz w:val="18"/>
              </w:rPr>
              <w:t>stroški</w:t>
            </w:r>
          </w:p>
        </w:tc>
        <w:tc>
          <w:tcPr>
            <w:tcW w:w="540" w:type="dxa"/>
            <w:tcBorders>
              <w:right w:val="dashSmallGap" w:sz="4" w:space="0" w:color="auto"/>
            </w:tcBorders>
            <w:shd w:val="pct10" w:color="auto" w:fill="auto"/>
            <w:textDirection w:val="btLr"/>
            <w:vAlign w:val="center"/>
          </w:tcPr>
          <w:p>
            <w:pPr>
              <w:ind w:left="113" w:right="113"/>
              <w:jc w:val="center"/>
              <w:rPr>
                <w:noProof/>
              </w:rPr>
            </w:pPr>
            <w:r>
              <w:rPr>
                <w:noProof/>
                <w:sz w:val="18"/>
              </w:rPr>
              <w:t>število</w:t>
            </w:r>
          </w:p>
        </w:tc>
        <w:tc>
          <w:tcPr>
            <w:tcW w:w="648" w:type="dxa"/>
            <w:tcBorders>
              <w:left w:val="dashSmallGap" w:sz="4" w:space="0" w:color="auto"/>
            </w:tcBorders>
            <w:shd w:val="pct10" w:color="auto" w:fill="auto"/>
            <w:vAlign w:val="center"/>
          </w:tcPr>
          <w:p>
            <w:pPr>
              <w:jc w:val="center"/>
              <w:rPr>
                <w:noProof/>
                <w:sz w:val="18"/>
              </w:rPr>
            </w:pPr>
            <w:r>
              <w:rPr>
                <w:noProof/>
                <w:sz w:val="18"/>
              </w:rPr>
              <w:t>stroški</w:t>
            </w:r>
          </w:p>
        </w:tc>
        <w:tc>
          <w:tcPr>
            <w:tcW w:w="432" w:type="dxa"/>
            <w:tcBorders>
              <w:right w:val="dashSmallGap" w:sz="4" w:space="0" w:color="auto"/>
            </w:tcBorders>
            <w:shd w:val="pct10" w:color="auto" w:fill="auto"/>
            <w:textDirection w:val="btLr"/>
            <w:vAlign w:val="center"/>
          </w:tcPr>
          <w:p>
            <w:pPr>
              <w:ind w:left="113" w:right="113"/>
              <w:jc w:val="center"/>
              <w:rPr>
                <w:noProof/>
              </w:rPr>
            </w:pPr>
            <w:r>
              <w:rPr>
                <w:noProof/>
                <w:sz w:val="18"/>
              </w:rPr>
              <w:t>število</w:t>
            </w:r>
          </w:p>
        </w:tc>
        <w:tc>
          <w:tcPr>
            <w:tcW w:w="720" w:type="dxa"/>
            <w:tcBorders>
              <w:left w:val="dashSmallGap" w:sz="4" w:space="0" w:color="auto"/>
            </w:tcBorders>
            <w:shd w:val="pct10" w:color="auto" w:fill="auto"/>
            <w:vAlign w:val="center"/>
          </w:tcPr>
          <w:p>
            <w:pPr>
              <w:jc w:val="center"/>
              <w:rPr>
                <w:noProof/>
                <w:sz w:val="18"/>
              </w:rPr>
            </w:pPr>
            <w:r>
              <w:rPr>
                <w:noProof/>
                <w:sz w:val="18"/>
              </w:rPr>
              <w:t>stroški</w:t>
            </w:r>
          </w:p>
        </w:tc>
        <w:tc>
          <w:tcPr>
            <w:tcW w:w="540" w:type="dxa"/>
            <w:tcBorders>
              <w:right w:val="dashSmallGap" w:sz="4" w:space="0" w:color="auto"/>
            </w:tcBorders>
            <w:shd w:val="pct10" w:color="auto" w:fill="auto"/>
            <w:textDirection w:val="btLr"/>
            <w:vAlign w:val="center"/>
          </w:tcPr>
          <w:p>
            <w:pPr>
              <w:ind w:left="113" w:right="113"/>
              <w:jc w:val="center"/>
              <w:rPr>
                <w:noProof/>
              </w:rPr>
            </w:pPr>
            <w:r>
              <w:rPr>
                <w:noProof/>
                <w:sz w:val="18"/>
              </w:rPr>
              <w:t>število</w:t>
            </w:r>
          </w:p>
        </w:tc>
        <w:tc>
          <w:tcPr>
            <w:tcW w:w="720" w:type="dxa"/>
            <w:tcBorders>
              <w:left w:val="dashSmallGap" w:sz="4" w:space="0" w:color="auto"/>
            </w:tcBorders>
            <w:shd w:val="pct10" w:color="auto" w:fill="auto"/>
            <w:vAlign w:val="center"/>
          </w:tcPr>
          <w:p>
            <w:pPr>
              <w:jc w:val="center"/>
              <w:rPr>
                <w:noProof/>
                <w:sz w:val="18"/>
              </w:rPr>
            </w:pPr>
            <w:r>
              <w:rPr>
                <w:noProof/>
                <w:sz w:val="18"/>
              </w:rPr>
              <w:t>stroški</w:t>
            </w:r>
          </w:p>
        </w:tc>
        <w:tc>
          <w:tcPr>
            <w:tcW w:w="720" w:type="dxa"/>
            <w:tcBorders>
              <w:right w:val="dashSmallGap" w:sz="4" w:space="0" w:color="auto"/>
            </w:tcBorders>
            <w:shd w:val="pct10" w:color="auto" w:fill="auto"/>
            <w:vAlign w:val="center"/>
          </w:tcPr>
          <w:p>
            <w:pPr>
              <w:jc w:val="center"/>
              <w:rPr>
                <w:noProof/>
                <w:sz w:val="18"/>
              </w:rPr>
            </w:pPr>
            <w:r>
              <w:rPr>
                <w:noProof/>
                <w:sz w:val="18"/>
              </w:rPr>
              <w:t>število realizacij skupaj</w:t>
            </w:r>
          </w:p>
        </w:tc>
        <w:tc>
          <w:tcPr>
            <w:tcW w:w="900" w:type="dxa"/>
            <w:tcBorders>
              <w:left w:val="dashSmallGap" w:sz="4" w:space="0" w:color="auto"/>
            </w:tcBorders>
            <w:shd w:val="pct10" w:color="auto" w:fill="auto"/>
            <w:vAlign w:val="center"/>
          </w:tcPr>
          <w:p>
            <w:pPr>
              <w:jc w:val="center"/>
              <w:rPr>
                <w:noProof/>
              </w:rPr>
            </w:pPr>
            <w:r>
              <w:rPr>
                <w:noProof/>
                <w:sz w:val="18"/>
              </w:rPr>
              <w:t>stroški realizacij skupaj</w:t>
            </w:r>
          </w:p>
        </w:tc>
      </w:tr>
      <w:tr>
        <w:trPr>
          <w:jc w:val="center"/>
        </w:trPr>
        <w:tc>
          <w:tcPr>
            <w:tcW w:w="2844" w:type="dxa"/>
            <w:gridSpan w:val="3"/>
            <w:vAlign w:val="center"/>
          </w:tcPr>
          <w:p>
            <w:pPr>
              <w:spacing w:before="60" w:after="60"/>
              <w:ind w:right="-29"/>
              <w:jc w:val="center"/>
              <w:rPr>
                <w:noProof/>
                <w:sz w:val="18"/>
              </w:rPr>
            </w:pPr>
            <w:r>
              <w:rPr>
                <w:noProof/>
                <w:sz w:val="18"/>
              </w:rPr>
              <w:t>SPECIFIČNI CILJ št. 1 Uporaba raziskav, anket in študij, na katerih temelji delo platforme</w:t>
            </w:r>
          </w:p>
        </w:tc>
        <w:tc>
          <w:tcPr>
            <w:tcW w:w="504"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54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90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540" w:type="dxa"/>
            <w:tcBorders>
              <w:top w:val="nil"/>
              <w:left w:val="nil"/>
              <w:bottom w:val="nil"/>
              <w:right w:val="nil"/>
            </w:tcBorders>
          </w:tcPr>
          <w:p>
            <w:pPr>
              <w:spacing w:before="60" w:after="60"/>
              <w:ind w:right="-29"/>
              <w:jc w:val="center"/>
              <w:rPr>
                <w:noProof/>
                <w:sz w:val="18"/>
              </w:rPr>
            </w:pPr>
          </w:p>
        </w:tc>
        <w:tc>
          <w:tcPr>
            <w:tcW w:w="648" w:type="dxa"/>
            <w:tcBorders>
              <w:top w:val="nil"/>
              <w:left w:val="nil"/>
              <w:bottom w:val="nil"/>
              <w:right w:val="nil"/>
            </w:tcBorders>
          </w:tcPr>
          <w:p>
            <w:pPr>
              <w:spacing w:before="60" w:after="60"/>
              <w:ind w:right="-29"/>
              <w:jc w:val="center"/>
              <w:rPr>
                <w:noProof/>
                <w:sz w:val="18"/>
              </w:rPr>
            </w:pPr>
          </w:p>
        </w:tc>
        <w:tc>
          <w:tcPr>
            <w:tcW w:w="432"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54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720" w:type="dxa"/>
            <w:tcBorders>
              <w:top w:val="nil"/>
              <w:left w:val="nil"/>
              <w:bottom w:val="nil"/>
              <w:right w:val="nil"/>
            </w:tcBorders>
          </w:tcPr>
          <w:p>
            <w:pPr>
              <w:spacing w:before="60" w:after="60"/>
              <w:ind w:right="-29"/>
              <w:jc w:val="center"/>
              <w:rPr>
                <w:noProof/>
                <w:sz w:val="18"/>
              </w:rPr>
            </w:pPr>
          </w:p>
        </w:tc>
        <w:tc>
          <w:tcPr>
            <w:tcW w:w="900" w:type="dxa"/>
            <w:tcBorders>
              <w:top w:val="nil"/>
              <w:left w:val="nil"/>
              <w:bottom w:val="nil"/>
              <w:right w:val="nil"/>
            </w:tcBorders>
          </w:tcPr>
          <w:p>
            <w:pPr>
              <w:spacing w:before="60" w:after="60"/>
              <w:ind w:right="-29"/>
              <w:jc w:val="center"/>
              <w:rPr>
                <w:noProof/>
                <w:sz w:val="18"/>
              </w:rPr>
            </w:pPr>
          </w:p>
        </w:tc>
      </w:tr>
      <w:tr>
        <w:trPr>
          <w:trHeight w:hRule="exact" w:val="1050"/>
          <w:jc w:val="center"/>
        </w:trPr>
        <w:tc>
          <w:tcPr>
            <w:tcW w:w="1423" w:type="dxa"/>
          </w:tcPr>
          <w:p>
            <w:pPr>
              <w:ind w:right="-29"/>
              <w:jc w:val="center"/>
              <w:rPr>
                <w:noProof/>
                <w:sz w:val="18"/>
              </w:rPr>
            </w:pPr>
            <w:r>
              <w:rPr>
                <w:noProof/>
                <w:sz w:val="18"/>
              </w:rPr>
              <w:t>– izvajanje raziskav/raziskave/študij</w:t>
            </w:r>
          </w:p>
        </w:tc>
        <w:tc>
          <w:tcPr>
            <w:tcW w:w="720" w:type="dxa"/>
          </w:tcPr>
          <w:p>
            <w:pPr>
              <w:ind w:right="-29"/>
              <w:jc w:val="center"/>
              <w:rPr>
                <w:noProof/>
                <w:sz w:val="18"/>
              </w:rPr>
            </w:pPr>
            <w:r>
              <w:rPr>
                <w:noProof/>
                <w:sz w:val="18"/>
              </w:rPr>
              <w:t>raziskave/ankete/študije</w:t>
            </w:r>
          </w:p>
        </w:tc>
        <w:tc>
          <w:tcPr>
            <w:tcW w:w="701" w:type="dxa"/>
            <w:vAlign w:val="center"/>
          </w:tcPr>
          <w:p>
            <w:pPr>
              <w:ind w:right="-29"/>
              <w:jc w:val="center"/>
              <w:rPr>
                <w:noProof/>
                <w:sz w:val="18"/>
              </w:rPr>
            </w:pPr>
            <w:r>
              <w:rPr>
                <w:noProof/>
                <w:sz w:val="18"/>
              </w:rPr>
              <w:t>0,250</w:t>
            </w:r>
          </w:p>
        </w:tc>
        <w:tc>
          <w:tcPr>
            <w:tcW w:w="504" w:type="dxa"/>
            <w:vAlign w:val="center"/>
          </w:tcPr>
          <w:p>
            <w:pPr>
              <w:ind w:right="-29"/>
              <w:jc w:val="center"/>
              <w:rPr>
                <w:noProof/>
                <w:sz w:val="18"/>
              </w:rPr>
            </w:pPr>
            <w:r>
              <w:rPr>
                <w:noProof/>
                <w:sz w:val="18"/>
              </w:rPr>
              <w:t>2</w:t>
            </w:r>
          </w:p>
        </w:tc>
        <w:tc>
          <w:tcPr>
            <w:tcW w:w="720" w:type="dxa"/>
            <w:vAlign w:val="center"/>
          </w:tcPr>
          <w:p>
            <w:pPr>
              <w:ind w:right="-29"/>
              <w:jc w:val="center"/>
              <w:rPr>
                <w:noProof/>
                <w:sz w:val="18"/>
              </w:rPr>
            </w:pPr>
            <w:r>
              <w:rPr>
                <w:noProof/>
                <w:sz w:val="18"/>
              </w:rPr>
              <w:t>0,500</w:t>
            </w:r>
          </w:p>
        </w:tc>
        <w:tc>
          <w:tcPr>
            <w:tcW w:w="540" w:type="dxa"/>
            <w:vAlign w:val="center"/>
          </w:tcPr>
          <w:p>
            <w:pPr>
              <w:ind w:right="-29"/>
              <w:jc w:val="center"/>
              <w:rPr>
                <w:noProof/>
                <w:sz w:val="18"/>
              </w:rPr>
            </w:pPr>
            <w:r>
              <w:rPr>
                <w:noProof/>
                <w:sz w:val="18"/>
              </w:rPr>
              <w:t>2</w:t>
            </w:r>
          </w:p>
        </w:tc>
        <w:tc>
          <w:tcPr>
            <w:tcW w:w="720" w:type="dxa"/>
            <w:vAlign w:val="center"/>
          </w:tcPr>
          <w:p>
            <w:pPr>
              <w:ind w:right="-29"/>
              <w:jc w:val="center"/>
              <w:rPr>
                <w:noProof/>
                <w:sz w:val="18"/>
              </w:rPr>
            </w:pPr>
            <w:r>
              <w:rPr>
                <w:noProof/>
                <w:sz w:val="18"/>
              </w:rPr>
              <w:t>0,500</w:t>
            </w:r>
          </w:p>
        </w:tc>
        <w:tc>
          <w:tcPr>
            <w:tcW w:w="720" w:type="dxa"/>
            <w:vAlign w:val="center"/>
          </w:tcPr>
          <w:p>
            <w:pPr>
              <w:ind w:right="-29"/>
              <w:jc w:val="center"/>
              <w:rPr>
                <w:noProof/>
                <w:sz w:val="18"/>
              </w:rPr>
            </w:pPr>
            <w:r>
              <w:rPr>
                <w:noProof/>
                <w:sz w:val="18"/>
              </w:rPr>
              <w:t>2</w:t>
            </w:r>
          </w:p>
        </w:tc>
        <w:tc>
          <w:tcPr>
            <w:tcW w:w="720" w:type="dxa"/>
            <w:vAlign w:val="center"/>
          </w:tcPr>
          <w:p>
            <w:pPr>
              <w:ind w:right="-29"/>
              <w:jc w:val="center"/>
              <w:rPr>
                <w:noProof/>
                <w:sz w:val="18"/>
              </w:rPr>
            </w:pPr>
            <w:r>
              <w:rPr>
                <w:noProof/>
                <w:sz w:val="18"/>
              </w:rPr>
              <w:t>0,500</w:t>
            </w:r>
          </w:p>
        </w:tc>
        <w:tc>
          <w:tcPr>
            <w:tcW w:w="900" w:type="dxa"/>
            <w:vAlign w:val="center"/>
          </w:tcPr>
          <w:p>
            <w:pPr>
              <w:ind w:right="-29"/>
              <w:jc w:val="center"/>
              <w:rPr>
                <w:noProof/>
                <w:sz w:val="18"/>
              </w:rPr>
            </w:pPr>
            <w:r>
              <w:rPr>
                <w:noProof/>
                <w:sz w:val="18"/>
              </w:rPr>
              <w:t>2</w:t>
            </w:r>
          </w:p>
        </w:tc>
        <w:tc>
          <w:tcPr>
            <w:tcW w:w="720" w:type="dxa"/>
            <w:vAlign w:val="center"/>
          </w:tcPr>
          <w:p>
            <w:pPr>
              <w:ind w:right="-29"/>
              <w:jc w:val="center"/>
              <w:rPr>
                <w:noProof/>
                <w:sz w:val="18"/>
              </w:rPr>
            </w:pPr>
            <w:r>
              <w:rPr>
                <w:noProof/>
                <w:sz w:val="18"/>
              </w:rPr>
              <w:t>0,500</w:t>
            </w:r>
          </w:p>
        </w:tc>
        <w:tc>
          <w:tcPr>
            <w:tcW w:w="540" w:type="dxa"/>
          </w:tcPr>
          <w:p>
            <w:pPr>
              <w:ind w:right="-29"/>
              <w:jc w:val="center"/>
              <w:rPr>
                <w:noProof/>
                <w:sz w:val="18"/>
              </w:rPr>
            </w:pPr>
          </w:p>
        </w:tc>
        <w:tc>
          <w:tcPr>
            <w:tcW w:w="648" w:type="dxa"/>
          </w:tcPr>
          <w:p>
            <w:pPr>
              <w:ind w:right="-29"/>
              <w:jc w:val="center"/>
              <w:rPr>
                <w:noProof/>
                <w:sz w:val="18"/>
              </w:rPr>
            </w:pPr>
          </w:p>
        </w:tc>
        <w:tc>
          <w:tcPr>
            <w:tcW w:w="432" w:type="dxa"/>
          </w:tcPr>
          <w:p>
            <w:pPr>
              <w:ind w:right="-29"/>
              <w:jc w:val="center"/>
              <w:rPr>
                <w:noProof/>
                <w:sz w:val="18"/>
              </w:rPr>
            </w:pPr>
          </w:p>
        </w:tc>
        <w:tc>
          <w:tcPr>
            <w:tcW w:w="720" w:type="dxa"/>
          </w:tcPr>
          <w:p>
            <w:pPr>
              <w:ind w:right="-29"/>
              <w:jc w:val="center"/>
              <w:rPr>
                <w:noProof/>
                <w:sz w:val="18"/>
              </w:rPr>
            </w:pPr>
          </w:p>
        </w:tc>
        <w:tc>
          <w:tcPr>
            <w:tcW w:w="540" w:type="dxa"/>
          </w:tcPr>
          <w:p>
            <w:pPr>
              <w:ind w:right="-29"/>
              <w:jc w:val="center"/>
              <w:rPr>
                <w:noProof/>
                <w:sz w:val="18"/>
              </w:rPr>
            </w:pPr>
          </w:p>
        </w:tc>
        <w:tc>
          <w:tcPr>
            <w:tcW w:w="720" w:type="dxa"/>
          </w:tcPr>
          <w:p>
            <w:pPr>
              <w:ind w:right="-29"/>
              <w:jc w:val="center"/>
              <w:rPr>
                <w:noProof/>
                <w:sz w:val="18"/>
              </w:rPr>
            </w:pPr>
          </w:p>
        </w:tc>
        <w:tc>
          <w:tcPr>
            <w:tcW w:w="720" w:type="dxa"/>
            <w:vAlign w:val="center"/>
          </w:tcPr>
          <w:p>
            <w:pPr>
              <w:ind w:right="-29"/>
              <w:jc w:val="center"/>
              <w:rPr>
                <w:b/>
                <w:bCs/>
                <w:noProof/>
                <w:sz w:val="18"/>
              </w:rPr>
            </w:pPr>
            <w:r>
              <w:rPr>
                <w:b/>
                <w:noProof/>
                <w:sz w:val="18"/>
              </w:rPr>
              <w:t>8</w:t>
            </w:r>
          </w:p>
        </w:tc>
        <w:tc>
          <w:tcPr>
            <w:tcW w:w="900" w:type="dxa"/>
            <w:vAlign w:val="center"/>
          </w:tcPr>
          <w:p>
            <w:pPr>
              <w:ind w:right="-29"/>
              <w:jc w:val="center"/>
              <w:rPr>
                <w:b/>
                <w:bCs/>
                <w:noProof/>
                <w:sz w:val="18"/>
              </w:rPr>
            </w:pPr>
            <w:r>
              <w:rPr>
                <w:b/>
                <w:noProof/>
                <w:sz w:val="18"/>
              </w:rPr>
              <w:t>2,000</w:t>
            </w:r>
          </w:p>
        </w:tc>
      </w:tr>
      <w:tr>
        <w:trPr>
          <w:jc w:val="center"/>
        </w:trPr>
        <w:tc>
          <w:tcPr>
            <w:tcW w:w="2844" w:type="dxa"/>
            <w:gridSpan w:val="3"/>
            <w:tcBorders>
              <w:top w:val="single" w:sz="12" w:space="0" w:color="auto"/>
              <w:left w:val="single" w:sz="12" w:space="0" w:color="auto"/>
              <w:bottom w:val="single" w:sz="12" w:space="0" w:color="auto"/>
            </w:tcBorders>
            <w:vAlign w:val="center"/>
          </w:tcPr>
          <w:p>
            <w:pPr>
              <w:ind w:right="-29"/>
              <w:jc w:val="center"/>
              <w:rPr>
                <w:noProof/>
                <w:sz w:val="18"/>
              </w:rPr>
            </w:pPr>
            <w:r>
              <w:rPr>
                <w:b/>
                <w:noProof/>
                <w:sz w:val="18"/>
              </w:rPr>
              <w:t>STROŠKI SKUPAJ</w:t>
            </w:r>
          </w:p>
        </w:tc>
        <w:tc>
          <w:tcPr>
            <w:tcW w:w="504"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noProof/>
                <w:sz w:val="18"/>
              </w:rPr>
            </w:pPr>
            <w:r>
              <w:rPr>
                <w:rFonts w:asciiTheme="majorBidi" w:hAnsiTheme="majorBidi" w:cstheme="majorBidi"/>
                <w:b/>
                <w:noProof/>
                <w:sz w:val="18"/>
              </w:rPr>
              <w:t>0,500</w:t>
            </w:r>
          </w:p>
        </w:tc>
        <w:tc>
          <w:tcPr>
            <w:tcW w:w="540"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noProof/>
                <w:sz w:val="18"/>
              </w:rPr>
            </w:pPr>
            <w:r>
              <w:rPr>
                <w:rFonts w:asciiTheme="majorBidi" w:hAnsiTheme="majorBidi" w:cstheme="majorBidi"/>
                <w:b/>
                <w:noProof/>
                <w:sz w:val="18"/>
              </w:rPr>
              <w:t>0,500</w:t>
            </w:r>
          </w:p>
        </w:tc>
        <w:tc>
          <w:tcPr>
            <w:tcW w:w="720"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noProof/>
                <w:sz w:val="18"/>
              </w:rPr>
            </w:pPr>
            <w:r>
              <w:rPr>
                <w:rFonts w:asciiTheme="majorBidi" w:hAnsiTheme="majorBidi" w:cstheme="majorBidi"/>
                <w:b/>
                <w:noProof/>
                <w:sz w:val="18"/>
              </w:rPr>
              <w:t>0,500</w:t>
            </w:r>
          </w:p>
        </w:tc>
        <w:tc>
          <w:tcPr>
            <w:tcW w:w="900"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noProof/>
                <w:sz w:val="18"/>
              </w:rPr>
            </w:pPr>
            <w:r>
              <w:rPr>
                <w:rFonts w:asciiTheme="majorBidi" w:hAnsiTheme="majorBidi" w:cstheme="majorBidi"/>
                <w:b/>
                <w:noProof/>
                <w:sz w:val="18"/>
              </w:rPr>
              <w:t>0,500</w:t>
            </w:r>
          </w:p>
        </w:tc>
        <w:tc>
          <w:tcPr>
            <w:tcW w:w="540" w:type="dxa"/>
            <w:tcBorders>
              <w:top w:val="single" w:sz="12" w:space="0" w:color="auto"/>
              <w:bottom w:val="single" w:sz="12" w:space="0" w:color="auto"/>
            </w:tcBorders>
          </w:tcPr>
          <w:p>
            <w:pPr>
              <w:spacing w:before="180" w:after="180"/>
              <w:ind w:right="-29"/>
              <w:jc w:val="center"/>
              <w:rPr>
                <w:noProof/>
                <w:sz w:val="18"/>
              </w:rPr>
            </w:pPr>
          </w:p>
        </w:tc>
        <w:tc>
          <w:tcPr>
            <w:tcW w:w="648" w:type="dxa"/>
            <w:tcBorders>
              <w:top w:val="single" w:sz="12" w:space="0" w:color="auto"/>
              <w:bottom w:val="single" w:sz="12" w:space="0" w:color="auto"/>
            </w:tcBorders>
          </w:tcPr>
          <w:p>
            <w:pPr>
              <w:spacing w:before="180" w:after="180"/>
              <w:ind w:right="-29"/>
              <w:jc w:val="center"/>
              <w:rPr>
                <w:noProof/>
                <w:sz w:val="18"/>
              </w:rPr>
            </w:pPr>
          </w:p>
        </w:tc>
        <w:tc>
          <w:tcPr>
            <w:tcW w:w="432"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noProof/>
                <w:sz w:val="18"/>
              </w:rPr>
            </w:pPr>
          </w:p>
        </w:tc>
        <w:tc>
          <w:tcPr>
            <w:tcW w:w="540"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noProof/>
                <w:sz w:val="18"/>
              </w:rPr>
            </w:pPr>
          </w:p>
        </w:tc>
        <w:tc>
          <w:tcPr>
            <w:tcW w:w="720" w:type="dxa"/>
            <w:tcBorders>
              <w:top w:val="single" w:sz="12" w:space="0" w:color="auto"/>
              <w:bottom w:val="single" w:sz="12" w:space="0" w:color="auto"/>
            </w:tcBorders>
          </w:tcPr>
          <w:p>
            <w:pPr>
              <w:spacing w:before="180" w:after="180"/>
              <w:ind w:right="-29"/>
              <w:jc w:val="center"/>
              <w:rPr>
                <w:noProof/>
                <w:sz w:val="18"/>
              </w:rPr>
            </w:pPr>
          </w:p>
        </w:tc>
        <w:tc>
          <w:tcPr>
            <w:tcW w:w="900" w:type="dxa"/>
            <w:tcBorders>
              <w:top w:val="single" w:sz="12" w:space="0" w:color="auto"/>
              <w:bottom w:val="single" w:sz="12" w:space="0" w:color="auto"/>
              <w:right w:val="single" w:sz="12" w:space="0" w:color="auto"/>
            </w:tcBorders>
          </w:tcPr>
          <w:p>
            <w:pPr>
              <w:spacing w:before="180" w:after="180"/>
              <w:ind w:right="-29"/>
              <w:jc w:val="center"/>
              <w:rPr>
                <w:noProof/>
                <w:sz w:val="18"/>
              </w:rPr>
            </w:pPr>
            <w:r>
              <w:rPr>
                <w:b/>
                <w:noProof/>
                <w:sz w:val="18"/>
              </w:rPr>
              <w:t>2,000</w:t>
            </w:r>
          </w:p>
        </w:tc>
      </w:tr>
    </w:tbl>
    <w:p>
      <w:pPr>
        <w:rPr>
          <w:noProof/>
        </w:rPr>
        <w:sectPr>
          <w:headerReference w:type="default" r:id="rId32"/>
          <w:footerReference w:type="default" r:id="rId33"/>
          <w:headerReference w:type="first" r:id="rId34"/>
          <w:footerReference w:type="first" r:id="rId35"/>
          <w:pgSz w:w="16839" w:h="11907" w:orient="landscape" w:code="9"/>
          <w:pgMar w:top="1418" w:right="902" w:bottom="902" w:left="567" w:header="709" w:footer="709" w:gutter="0"/>
          <w:cols w:space="720"/>
          <w:docGrid w:linePitch="326"/>
        </w:sectPr>
      </w:pPr>
    </w:p>
    <w:p>
      <w:pPr>
        <w:pStyle w:val="ManualHeading3"/>
        <w:rPr>
          <w:bCs/>
          <w:noProof/>
          <w:szCs w:val="24"/>
        </w:rPr>
      </w:pPr>
      <w:r>
        <w:t>3.2.3.</w:t>
      </w:r>
      <w:r>
        <w:tab/>
      </w:r>
      <w:r>
        <w:rPr>
          <w:noProof/>
        </w:rPr>
        <w:t xml:space="preserve">Ocenjene posledice za človeške vire </w:t>
      </w:r>
    </w:p>
    <w:p>
      <w:pPr>
        <w:pStyle w:val="ManualHeading4"/>
        <w:rPr>
          <w:bCs/>
          <w:noProof/>
          <w:szCs w:val="24"/>
        </w:rPr>
      </w:pPr>
      <w:r>
        <w:t>3.2.3.1.</w:t>
      </w:r>
      <w:r>
        <w:tab/>
      </w:r>
      <w:r>
        <w:rPr>
          <w:noProof/>
        </w:rPr>
        <w:t xml:space="preserve">Povzetek </w:t>
      </w:r>
    </w:p>
    <w:p>
      <w:pPr>
        <w:pStyle w:val="ListDash1"/>
        <w:rPr>
          <w:noProof/>
        </w:rPr>
      </w:pPr>
      <w:r>
        <w:rPr>
          <w:noProof/>
        </w:rPr>
        <w:sym w:font="Wingdings" w:char="F0A8"/>
      </w:r>
      <w:r>
        <w:rPr>
          <w:noProof/>
        </w:rPr>
        <w:tab/>
        <w:t xml:space="preserve">Za predlog/pobudo niso potrebne odobritve za upravne zadeve. </w:t>
      </w:r>
    </w:p>
    <w:p>
      <w:pPr>
        <w:pStyle w:val="ListDash1"/>
        <w:rPr>
          <w:noProof/>
        </w:rPr>
      </w:pPr>
      <w:r>
        <w:rPr>
          <w:noProof/>
        </w:rPr>
        <w:sym w:font="Wingdings" w:char="F0FE"/>
      </w:r>
      <w:r>
        <w:rPr>
          <w:noProof/>
        </w:rPr>
        <w:tab/>
        <w:t>Za predlog/pobudo so potrebne odobritve za upravne zadeve, kot je pojasnjeno v nadaljevanju:</w:t>
      </w:r>
    </w:p>
    <w:p>
      <w:pPr>
        <w:rPr>
          <w:noProof/>
          <w:sz w:val="20"/>
        </w:rPr>
      </w:pPr>
      <w:r>
        <w:rPr>
          <w:noProof/>
          <w:sz w:val="20"/>
        </w:rPr>
        <w:t>v mio. EUR (na tri decimalna mesta natančno)</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vAlign w:val="center"/>
          </w:tcPr>
          <w:p>
            <w:pPr>
              <w:spacing w:before="60" w:after="60"/>
              <w:jc w:val="center"/>
              <w:rPr>
                <w:b/>
                <w:bCs/>
                <w:noProof/>
                <w:sz w:val="20"/>
              </w:rPr>
            </w:pPr>
            <w:r>
              <w:rPr>
                <w:b/>
                <w:noProof/>
                <w:sz w:val="20"/>
              </w:rPr>
              <w:t>EBA (1 pogodbeni uslužbenec)</w:t>
            </w:r>
          </w:p>
        </w:tc>
        <w:tc>
          <w:tcPr>
            <w:tcW w:w="1080" w:type="dxa"/>
            <w:vAlign w:val="center"/>
          </w:tcPr>
          <w:p>
            <w:pPr>
              <w:spacing w:before="60" w:after="60"/>
              <w:jc w:val="center"/>
              <w:rPr>
                <w:noProof/>
                <w:sz w:val="20"/>
              </w:rPr>
            </w:pPr>
            <w:r>
              <w:rPr>
                <w:noProof/>
                <w:sz w:val="20"/>
              </w:rPr>
              <w:t>Leto</w:t>
            </w:r>
            <w:r>
              <w:rPr>
                <w:noProof/>
                <w:sz w:val="22"/>
              </w:rPr>
              <w:br/>
            </w:r>
            <w:r>
              <w:rPr>
                <w:b/>
                <w:noProof/>
                <w:sz w:val="20"/>
              </w:rPr>
              <w:t>2020</w:t>
            </w:r>
          </w:p>
        </w:tc>
        <w:tc>
          <w:tcPr>
            <w:tcW w:w="1080" w:type="dxa"/>
            <w:vAlign w:val="center"/>
          </w:tcPr>
          <w:p>
            <w:pPr>
              <w:spacing w:before="60" w:after="60"/>
              <w:jc w:val="center"/>
              <w:rPr>
                <w:noProof/>
                <w:sz w:val="20"/>
              </w:rPr>
            </w:pPr>
            <w:r>
              <w:rPr>
                <w:noProof/>
                <w:sz w:val="20"/>
              </w:rPr>
              <w:t>Leto</w:t>
            </w:r>
            <w:r>
              <w:rPr>
                <w:noProof/>
                <w:sz w:val="22"/>
              </w:rPr>
              <w:br/>
            </w:r>
            <w:r>
              <w:rPr>
                <w:b/>
                <w:noProof/>
                <w:sz w:val="20"/>
              </w:rPr>
              <w:t>2021</w:t>
            </w:r>
            <w:r>
              <w:rPr>
                <w:rStyle w:val="FootnoteReference"/>
                <w:b/>
                <w:noProof/>
                <w:sz w:val="20"/>
              </w:rPr>
              <w:footnoteReference w:id="83"/>
            </w:r>
          </w:p>
        </w:tc>
        <w:tc>
          <w:tcPr>
            <w:tcW w:w="1080" w:type="dxa"/>
            <w:vAlign w:val="center"/>
          </w:tcPr>
          <w:p>
            <w:pPr>
              <w:spacing w:before="60" w:after="60"/>
              <w:jc w:val="center"/>
              <w:rPr>
                <w:noProof/>
                <w:sz w:val="20"/>
              </w:rPr>
            </w:pPr>
            <w:r>
              <w:rPr>
                <w:noProof/>
                <w:sz w:val="20"/>
              </w:rPr>
              <w:t>Leto</w:t>
            </w:r>
            <w:r>
              <w:rPr>
                <w:noProof/>
                <w:sz w:val="22"/>
              </w:rPr>
              <w:br/>
            </w:r>
            <w:r>
              <w:rPr>
                <w:b/>
                <w:noProof/>
                <w:sz w:val="20"/>
              </w:rPr>
              <w:t>2022</w:t>
            </w:r>
          </w:p>
        </w:tc>
        <w:tc>
          <w:tcPr>
            <w:tcW w:w="1080" w:type="dxa"/>
            <w:vAlign w:val="center"/>
          </w:tcPr>
          <w:p>
            <w:pPr>
              <w:spacing w:before="60" w:after="60"/>
              <w:jc w:val="center"/>
              <w:rPr>
                <w:noProof/>
                <w:sz w:val="20"/>
              </w:rPr>
            </w:pPr>
            <w:r>
              <w:rPr>
                <w:noProof/>
                <w:sz w:val="20"/>
              </w:rPr>
              <w:t>Leto</w:t>
            </w:r>
            <w:r>
              <w:rPr>
                <w:noProof/>
                <w:sz w:val="22"/>
              </w:rPr>
              <w:br/>
            </w:r>
            <w:r>
              <w:rPr>
                <w:b/>
                <w:noProof/>
                <w:sz w:val="20"/>
              </w:rPr>
              <w:t>2023</w:t>
            </w:r>
          </w:p>
        </w:tc>
        <w:tc>
          <w:tcPr>
            <w:tcW w:w="3240" w:type="dxa"/>
            <w:gridSpan w:val="3"/>
            <w:vAlign w:val="center"/>
          </w:tcPr>
          <w:p>
            <w:pPr>
              <w:jc w:val="center"/>
              <w:rPr>
                <w:b/>
                <w:noProof/>
                <w:sz w:val="20"/>
              </w:rPr>
            </w:pPr>
            <w:r>
              <w:rPr>
                <w:noProof/>
                <w:sz w:val="20"/>
              </w:rPr>
              <w:t>Vstavite ustrezno število let glede na trajanje posledic (gl. točko 1.6)</w:t>
            </w:r>
            <w:r>
              <w:rPr>
                <w:rStyle w:val="FootnoteReference"/>
                <w:noProof/>
                <w:sz w:val="20"/>
              </w:rPr>
              <w:footnoteReference w:id="84"/>
            </w:r>
          </w:p>
        </w:tc>
        <w:tc>
          <w:tcPr>
            <w:tcW w:w="1080" w:type="dxa"/>
            <w:vAlign w:val="center"/>
          </w:tcPr>
          <w:p>
            <w:pPr>
              <w:spacing w:before="60" w:after="60"/>
              <w:jc w:val="center"/>
              <w:rPr>
                <w:b/>
                <w:noProof/>
                <w:sz w:val="20"/>
              </w:rPr>
            </w:pPr>
            <w:r>
              <w:rPr>
                <w:b/>
                <w:noProof/>
                <w:sz w:val="20"/>
              </w:rPr>
              <w:t>SKUPAJ</w:t>
            </w:r>
          </w:p>
        </w:tc>
      </w:tr>
      <w:tr>
        <w:trPr>
          <w:trHeight w:val="585"/>
        </w:trPr>
        <w:tc>
          <w:tcPr>
            <w:tcW w:w="1980" w:type="dxa"/>
            <w:shd w:val="clear" w:color="auto" w:fill="CCCCCC"/>
            <w:vAlign w:val="center"/>
          </w:tcPr>
          <w:p>
            <w:pPr>
              <w:spacing w:before="60" w:after="60"/>
              <w:jc w:val="center"/>
              <w:rPr>
                <w:noProof/>
              </w:rPr>
            </w:pPr>
            <w:r>
              <w:rPr>
                <w:noProof/>
                <w:sz w:val="18"/>
              </w:rPr>
              <w:t>Uradniki (razredi AD)</w:t>
            </w: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b/>
                <w:noProof/>
                <w:sz w:val="20"/>
              </w:rPr>
            </w:pPr>
          </w:p>
        </w:tc>
        <w:tc>
          <w:tcPr>
            <w:tcW w:w="1080" w:type="dxa"/>
            <w:vAlign w:val="center"/>
          </w:tcPr>
          <w:p>
            <w:pPr>
              <w:jc w:val="center"/>
              <w:rPr>
                <w:rFonts w:ascii="Calibri" w:hAnsi="Calibri"/>
                <w:b/>
                <w:bCs/>
                <w:noProof/>
                <w:color w:val="000000"/>
                <w:sz w:val="22"/>
              </w:rPr>
            </w:pPr>
          </w:p>
        </w:tc>
      </w:tr>
      <w:tr>
        <w:trPr>
          <w:trHeight w:val="585"/>
        </w:trPr>
        <w:tc>
          <w:tcPr>
            <w:tcW w:w="1980" w:type="dxa"/>
            <w:vAlign w:val="center"/>
          </w:tcPr>
          <w:p>
            <w:pPr>
              <w:spacing w:before="60" w:after="60"/>
              <w:ind w:left="72"/>
              <w:rPr>
                <w:noProof/>
              </w:rPr>
            </w:pPr>
            <w:r>
              <w:rPr>
                <w:noProof/>
                <w:sz w:val="20"/>
              </w:rPr>
              <w:t>Uradniki (razredi AST)</w:t>
            </w: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b/>
                <w:noProof/>
                <w:sz w:val="20"/>
              </w:rPr>
            </w:pPr>
          </w:p>
        </w:tc>
        <w:tc>
          <w:tcPr>
            <w:tcW w:w="1080" w:type="dxa"/>
            <w:vAlign w:val="center"/>
          </w:tcPr>
          <w:p>
            <w:pPr>
              <w:spacing w:before="60" w:after="60"/>
              <w:jc w:val="right"/>
              <w:rPr>
                <w:b/>
                <w:noProof/>
                <w:sz w:val="20"/>
              </w:rPr>
            </w:pPr>
          </w:p>
        </w:tc>
      </w:tr>
      <w:tr>
        <w:trPr>
          <w:trHeight w:val="585"/>
        </w:trPr>
        <w:tc>
          <w:tcPr>
            <w:tcW w:w="1980" w:type="dxa"/>
            <w:vAlign w:val="center"/>
          </w:tcPr>
          <w:p>
            <w:pPr>
              <w:spacing w:before="60" w:after="60"/>
              <w:ind w:left="72"/>
              <w:rPr>
                <w:noProof/>
              </w:rPr>
            </w:pPr>
            <w:r>
              <w:rPr>
                <w:noProof/>
                <w:sz w:val="20"/>
              </w:rPr>
              <w:t>Pogodbeni uslužbenci</w:t>
            </w:r>
          </w:p>
        </w:tc>
        <w:tc>
          <w:tcPr>
            <w:tcW w:w="1080" w:type="dxa"/>
            <w:vAlign w:val="center"/>
          </w:tcPr>
          <w:p>
            <w:pPr>
              <w:spacing w:before="60" w:after="60"/>
              <w:jc w:val="center"/>
              <w:rPr>
                <w:noProof/>
                <w:sz w:val="20"/>
              </w:rPr>
            </w:pPr>
            <w:r>
              <w:rPr>
                <w:rFonts w:ascii="Calibri" w:hAnsi="Calibri"/>
                <w:noProof/>
                <w:color w:val="000000"/>
                <w:sz w:val="22"/>
              </w:rPr>
              <w:t>0,034</w:t>
            </w:r>
          </w:p>
        </w:tc>
        <w:tc>
          <w:tcPr>
            <w:tcW w:w="1080" w:type="dxa"/>
            <w:vAlign w:val="center"/>
          </w:tcPr>
          <w:p>
            <w:pPr>
              <w:spacing w:before="60" w:after="60"/>
              <w:jc w:val="center"/>
              <w:rPr>
                <w:noProof/>
                <w:sz w:val="20"/>
              </w:rPr>
            </w:pPr>
            <w:r>
              <w:rPr>
                <w:rFonts w:ascii="Calibri" w:hAnsi="Calibri"/>
                <w:noProof/>
                <w:color w:val="000000"/>
                <w:sz w:val="22"/>
              </w:rPr>
              <w:t>0,034</w:t>
            </w:r>
          </w:p>
        </w:tc>
        <w:tc>
          <w:tcPr>
            <w:tcW w:w="1080" w:type="dxa"/>
            <w:vAlign w:val="center"/>
          </w:tcPr>
          <w:p>
            <w:pPr>
              <w:spacing w:before="60" w:after="60"/>
              <w:jc w:val="center"/>
              <w:rPr>
                <w:noProof/>
                <w:sz w:val="20"/>
              </w:rPr>
            </w:pPr>
            <w:r>
              <w:rPr>
                <w:rFonts w:ascii="Calibri" w:hAnsi="Calibri"/>
                <w:noProof/>
                <w:color w:val="000000"/>
                <w:sz w:val="22"/>
              </w:rPr>
              <w:t>0,034</w:t>
            </w:r>
          </w:p>
        </w:tc>
        <w:tc>
          <w:tcPr>
            <w:tcW w:w="1080" w:type="dxa"/>
            <w:vAlign w:val="center"/>
          </w:tcPr>
          <w:p>
            <w:pPr>
              <w:spacing w:before="60" w:after="60"/>
              <w:jc w:val="center"/>
              <w:rPr>
                <w:noProof/>
                <w:sz w:val="20"/>
              </w:rPr>
            </w:pPr>
            <w:r>
              <w:rPr>
                <w:rFonts w:ascii="Calibri" w:hAnsi="Calibri"/>
                <w:noProof/>
                <w:color w:val="000000"/>
                <w:sz w:val="22"/>
              </w:rPr>
              <w:t>0,034</w:t>
            </w: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b/>
                <w:noProof/>
                <w:sz w:val="20"/>
              </w:rPr>
            </w:pPr>
          </w:p>
        </w:tc>
        <w:tc>
          <w:tcPr>
            <w:tcW w:w="1080" w:type="dxa"/>
            <w:vAlign w:val="center"/>
          </w:tcPr>
          <w:p>
            <w:pPr>
              <w:spacing w:before="60" w:after="60"/>
              <w:jc w:val="center"/>
              <w:rPr>
                <w:b/>
                <w:noProof/>
                <w:sz w:val="20"/>
              </w:rPr>
            </w:pPr>
            <w:r>
              <w:rPr>
                <w:rFonts w:ascii="Calibri" w:hAnsi="Calibri"/>
                <w:b/>
                <w:noProof/>
                <w:color w:val="000000"/>
                <w:sz w:val="22"/>
              </w:rPr>
              <w:t>0,136</w:t>
            </w:r>
          </w:p>
        </w:tc>
      </w:tr>
      <w:tr>
        <w:trPr>
          <w:trHeight w:val="585"/>
        </w:trPr>
        <w:tc>
          <w:tcPr>
            <w:tcW w:w="1980" w:type="dxa"/>
            <w:shd w:val="clear" w:color="auto" w:fill="CCCCCC"/>
            <w:vAlign w:val="center"/>
          </w:tcPr>
          <w:p>
            <w:pPr>
              <w:spacing w:before="60" w:after="60"/>
              <w:jc w:val="center"/>
              <w:rPr>
                <w:noProof/>
              </w:rPr>
            </w:pPr>
            <w:r>
              <w:rPr>
                <w:noProof/>
                <w:sz w:val="18"/>
              </w:rPr>
              <w:t xml:space="preserve">Začasni uslužbenci </w:t>
            </w: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b/>
                <w:noProof/>
                <w:sz w:val="20"/>
              </w:rPr>
            </w:pPr>
          </w:p>
        </w:tc>
        <w:tc>
          <w:tcPr>
            <w:tcW w:w="1080" w:type="dxa"/>
            <w:vAlign w:val="center"/>
          </w:tcPr>
          <w:p>
            <w:pPr>
              <w:spacing w:before="60" w:after="60"/>
              <w:jc w:val="right"/>
              <w:rPr>
                <w:b/>
                <w:noProof/>
                <w:sz w:val="20"/>
              </w:rPr>
            </w:pPr>
          </w:p>
        </w:tc>
      </w:tr>
      <w:tr>
        <w:trPr>
          <w:trHeight w:val="585"/>
        </w:trPr>
        <w:tc>
          <w:tcPr>
            <w:tcW w:w="1980" w:type="dxa"/>
            <w:shd w:val="clear" w:color="auto" w:fill="CCCCCC"/>
            <w:vAlign w:val="center"/>
          </w:tcPr>
          <w:p>
            <w:pPr>
              <w:spacing w:before="60" w:after="60"/>
              <w:jc w:val="center"/>
              <w:rPr>
                <w:noProof/>
              </w:rPr>
            </w:pPr>
            <w:r>
              <w:rPr>
                <w:noProof/>
                <w:sz w:val="18"/>
              </w:rPr>
              <w:t>Napoteni nacionalni strokovnjaki</w:t>
            </w:r>
          </w:p>
        </w:tc>
        <w:tc>
          <w:tcPr>
            <w:tcW w:w="1080" w:type="dxa"/>
            <w:vAlign w:val="center"/>
          </w:tcPr>
          <w:p>
            <w:pPr>
              <w:spacing w:before="60" w:after="60"/>
              <w:jc w:val="center"/>
              <w:rPr>
                <w:b/>
                <w:bCs/>
                <w:noProof/>
                <w:sz w:val="20"/>
              </w:rPr>
            </w:pPr>
          </w:p>
        </w:tc>
        <w:tc>
          <w:tcPr>
            <w:tcW w:w="1080" w:type="dxa"/>
            <w:vAlign w:val="center"/>
          </w:tcPr>
          <w:p>
            <w:pPr>
              <w:spacing w:before="60" w:after="60"/>
              <w:jc w:val="center"/>
              <w:rPr>
                <w:b/>
                <w:bCs/>
                <w:noProof/>
                <w:sz w:val="20"/>
              </w:rPr>
            </w:pPr>
          </w:p>
        </w:tc>
        <w:tc>
          <w:tcPr>
            <w:tcW w:w="1080" w:type="dxa"/>
            <w:vAlign w:val="center"/>
          </w:tcPr>
          <w:p>
            <w:pPr>
              <w:spacing w:before="60" w:after="60"/>
              <w:jc w:val="center"/>
              <w:rPr>
                <w:b/>
                <w:bCs/>
                <w:noProof/>
                <w:sz w:val="20"/>
              </w:rPr>
            </w:pPr>
          </w:p>
        </w:tc>
        <w:tc>
          <w:tcPr>
            <w:tcW w:w="1080" w:type="dxa"/>
            <w:vAlign w:val="center"/>
          </w:tcPr>
          <w:p>
            <w:pPr>
              <w:spacing w:before="60" w:after="60"/>
              <w:jc w:val="center"/>
              <w:rPr>
                <w:b/>
                <w:bCs/>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b/>
                <w:noProof/>
                <w:sz w:val="20"/>
              </w:rPr>
            </w:pPr>
          </w:p>
        </w:tc>
        <w:tc>
          <w:tcPr>
            <w:tcW w:w="1080" w:type="dxa"/>
            <w:vAlign w:val="center"/>
          </w:tcPr>
          <w:p>
            <w:pPr>
              <w:jc w:val="right"/>
              <w:rPr>
                <w:rFonts w:ascii="Calibri" w:hAnsi="Calibri"/>
                <w:b/>
                <w:bCs/>
                <w:noProof/>
                <w:color w:val="000000"/>
                <w:sz w:val="22"/>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pPr>
              <w:spacing w:before="60" w:after="60"/>
              <w:jc w:val="center"/>
              <w:rPr>
                <w:noProof/>
                <w:sz w:val="20"/>
              </w:rPr>
            </w:pPr>
            <w:r>
              <w:rPr>
                <w:b/>
                <w:noProof/>
                <w:sz w:val="20"/>
              </w:rPr>
              <w:t>SKUPAJ</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bCs/>
                <w:noProof/>
                <w:sz w:val="20"/>
              </w:rPr>
            </w:pPr>
            <w:r>
              <w:rPr>
                <w:rFonts w:ascii="Calibri" w:hAnsi="Calibri"/>
                <w:b/>
                <w:noProof/>
                <w:color w:val="000000"/>
                <w:sz w:val="22"/>
              </w:rPr>
              <w:t>0,034</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bCs/>
                <w:noProof/>
                <w:sz w:val="20"/>
              </w:rPr>
            </w:pPr>
            <w:r>
              <w:rPr>
                <w:rFonts w:ascii="Calibri" w:hAnsi="Calibri"/>
                <w:b/>
                <w:noProof/>
                <w:color w:val="000000"/>
                <w:sz w:val="22"/>
              </w:rPr>
              <w:t>0,034</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bCs/>
                <w:noProof/>
                <w:sz w:val="20"/>
              </w:rPr>
            </w:pPr>
            <w:r>
              <w:rPr>
                <w:rFonts w:ascii="Calibri" w:hAnsi="Calibri"/>
                <w:b/>
                <w:noProof/>
                <w:color w:val="000000"/>
                <w:sz w:val="22"/>
              </w:rPr>
              <w:t>0,034</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bCs/>
                <w:noProof/>
                <w:sz w:val="20"/>
              </w:rPr>
            </w:pPr>
            <w:r>
              <w:rPr>
                <w:rFonts w:ascii="Calibri" w:hAnsi="Calibri"/>
                <w:b/>
                <w:noProof/>
                <w:color w:val="000000"/>
                <w:sz w:val="22"/>
              </w:rPr>
              <w:t>0,034</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noProof/>
                <w:sz w:val="20"/>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noProof/>
                <w:sz w:val="20"/>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noProof/>
                <w:sz w:val="20"/>
              </w:rPr>
            </w:pPr>
          </w:p>
        </w:tc>
        <w:tc>
          <w:tcPr>
            <w:tcW w:w="1080" w:type="dxa"/>
            <w:tcBorders>
              <w:top w:val="single" w:sz="12" w:space="0" w:color="auto"/>
              <w:left w:val="single" w:sz="2" w:space="0" w:color="auto"/>
              <w:bottom w:val="single" w:sz="12" w:space="0" w:color="auto"/>
              <w:right w:val="single" w:sz="12" w:space="0" w:color="auto"/>
            </w:tcBorders>
            <w:vAlign w:val="center"/>
          </w:tcPr>
          <w:p>
            <w:pPr>
              <w:spacing w:before="60" w:after="60"/>
              <w:jc w:val="center"/>
              <w:rPr>
                <w:b/>
                <w:noProof/>
                <w:sz w:val="20"/>
              </w:rPr>
            </w:pPr>
            <w:r>
              <w:rPr>
                <w:rFonts w:ascii="Calibri" w:hAnsi="Calibri"/>
                <w:b/>
                <w:noProof/>
                <w:color w:val="000000"/>
                <w:sz w:val="22"/>
              </w:rPr>
              <w:t>0,136</w:t>
            </w:r>
          </w:p>
        </w:tc>
      </w:tr>
    </w:tbl>
    <w:p>
      <w:pPr>
        <w:rPr>
          <w:b/>
          <w:bCs/>
          <w:noProof/>
        </w:rPr>
      </w:pPr>
      <w:r>
        <w:rPr>
          <w:b/>
          <w:noProof/>
        </w:rPr>
        <w:t>Predpostavlja se, da je načrtovani datum zaposlitve 1. januar 2020.</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vAlign w:val="center"/>
          </w:tcPr>
          <w:p>
            <w:pPr>
              <w:spacing w:before="60" w:after="60"/>
              <w:jc w:val="center"/>
              <w:rPr>
                <w:b/>
                <w:bCs/>
                <w:noProof/>
                <w:sz w:val="20"/>
              </w:rPr>
            </w:pPr>
            <w:r>
              <w:rPr>
                <w:b/>
                <w:noProof/>
                <w:sz w:val="20"/>
              </w:rPr>
              <w:t>EIOPA (1 pogodbeni uslužbenec)</w:t>
            </w:r>
          </w:p>
        </w:tc>
        <w:tc>
          <w:tcPr>
            <w:tcW w:w="1080" w:type="dxa"/>
            <w:vAlign w:val="center"/>
          </w:tcPr>
          <w:p>
            <w:pPr>
              <w:spacing w:before="60" w:after="60"/>
              <w:jc w:val="center"/>
              <w:rPr>
                <w:noProof/>
                <w:sz w:val="20"/>
              </w:rPr>
            </w:pPr>
            <w:r>
              <w:rPr>
                <w:noProof/>
                <w:sz w:val="20"/>
              </w:rPr>
              <w:t>Leto</w:t>
            </w:r>
            <w:r>
              <w:rPr>
                <w:noProof/>
                <w:sz w:val="22"/>
              </w:rPr>
              <w:br/>
            </w:r>
            <w:r>
              <w:rPr>
                <w:b/>
                <w:noProof/>
                <w:sz w:val="20"/>
              </w:rPr>
              <w:t xml:space="preserve">2020 </w:t>
            </w:r>
          </w:p>
        </w:tc>
        <w:tc>
          <w:tcPr>
            <w:tcW w:w="1080" w:type="dxa"/>
            <w:vAlign w:val="center"/>
          </w:tcPr>
          <w:p>
            <w:pPr>
              <w:spacing w:before="60" w:after="60"/>
              <w:jc w:val="center"/>
              <w:rPr>
                <w:noProof/>
                <w:sz w:val="20"/>
              </w:rPr>
            </w:pPr>
            <w:r>
              <w:rPr>
                <w:noProof/>
                <w:sz w:val="20"/>
              </w:rPr>
              <w:t>Leto</w:t>
            </w:r>
            <w:r>
              <w:rPr>
                <w:noProof/>
                <w:sz w:val="22"/>
              </w:rPr>
              <w:br/>
            </w:r>
            <w:r>
              <w:rPr>
                <w:b/>
                <w:noProof/>
                <w:sz w:val="20"/>
              </w:rPr>
              <w:t>2021</w:t>
            </w:r>
          </w:p>
        </w:tc>
        <w:tc>
          <w:tcPr>
            <w:tcW w:w="1080" w:type="dxa"/>
            <w:vAlign w:val="center"/>
          </w:tcPr>
          <w:p>
            <w:pPr>
              <w:spacing w:before="60" w:after="60"/>
              <w:jc w:val="center"/>
              <w:rPr>
                <w:noProof/>
                <w:sz w:val="20"/>
              </w:rPr>
            </w:pPr>
            <w:r>
              <w:rPr>
                <w:noProof/>
                <w:sz w:val="20"/>
              </w:rPr>
              <w:t>Leto</w:t>
            </w:r>
            <w:r>
              <w:rPr>
                <w:noProof/>
                <w:sz w:val="22"/>
              </w:rPr>
              <w:br/>
            </w:r>
            <w:r>
              <w:rPr>
                <w:b/>
                <w:noProof/>
                <w:sz w:val="20"/>
              </w:rPr>
              <w:t>2022</w:t>
            </w:r>
          </w:p>
        </w:tc>
        <w:tc>
          <w:tcPr>
            <w:tcW w:w="1080" w:type="dxa"/>
            <w:vAlign w:val="center"/>
          </w:tcPr>
          <w:p>
            <w:pPr>
              <w:spacing w:before="60" w:after="60"/>
              <w:jc w:val="center"/>
              <w:rPr>
                <w:noProof/>
                <w:sz w:val="20"/>
              </w:rPr>
            </w:pPr>
            <w:r>
              <w:rPr>
                <w:noProof/>
                <w:sz w:val="20"/>
              </w:rPr>
              <w:t>Leto</w:t>
            </w:r>
            <w:r>
              <w:rPr>
                <w:noProof/>
                <w:sz w:val="22"/>
              </w:rPr>
              <w:br/>
            </w:r>
            <w:r>
              <w:rPr>
                <w:b/>
                <w:noProof/>
                <w:sz w:val="20"/>
              </w:rPr>
              <w:t>2023</w:t>
            </w:r>
          </w:p>
        </w:tc>
        <w:tc>
          <w:tcPr>
            <w:tcW w:w="3240" w:type="dxa"/>
            <w:gridSpan w:val="3"/>
            <w:vAlign w:val="center"/>
          </w:tcPr>
          <w:p>
            <w:pPr>
              <w:jc w:val="center"/>
              <w:rPr>
                <w:b/>
                <w:noProof/>
                <w:sz w:val="20"/>
              </w:rPr>
            </w:pPr>
            <w:r>
              <w:rPr>
                <w:noProof/>
                <w:sz w:val="20"/>
              </w:rPr>
              <w:t>Vstavite ustrezno število let glede na trajanje posledic (gl. točko 1.6)</w:t>
            </w:r>
          </w:p>
        </w:tc>
        <w:tc>
          <w:tcPr>
            <w:tcW w:w="1080" w:type="dxa"/>
            <w:vAlign w:val="center"/>
          </w:tcPr>
          <w:p>
            <w:pPr>
              <w:spacing w:before="60" w:after="60"/>
              <w:jc w:val="center"/>
              <w:rPr>
                <w:b/>
                <w:noProof/>
                <w:sz w:val="20"/>
              </w:rPr>
            </w:pPr>
            <w:r>
              <w:rPr>
                <w:b/>
                <w:noProof/>
                <w:sz w:val="20"/>
              </w:rPr>
              <w:t>SKUPAJ</w:t>
            </w:r>
          </w:p>
        </w:tc>
      </w:tr>
      <w:tr>
        <w:trPr>
          <w:trHeight w:val="585"/>
        </w:trPr>
        <w:tc>
          <w:tcPr>
            <w:tcW w:w="1980" w:type="dxa"/>
            <w:shd w:val="clear" w:color="auto" w:fill="CCCCCC"/>
            <w:vAlign w:val="center"/>
          </w:tcPr>
          <w:p>
            <w:pPr>
              <w:spacing w:before="60" w:after="60"/>
              <w:jc w:val="center"/>
              <w:rPr>
                <w:noProof/>
              </w:rPr>
            </w:pPr>
            <w:r>
              <w:rPr>
                <w:noProof/>
                <w:sz w:val="18"/>
              </w:rPr>
              <w:t>Uradniki (razredi AD)</w:t>
            </w: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b/>
                <w:noProof/>
                <w:sz w:val="20"/>
              </w:rPr>
            </w:pPr>
          </w:p>
        </w:tc>
        <w:tc>
          <w:tcPr>
            <w:tcW w:w="1080" w:type="dxa"/>
            <w:vAlign w:val="center"/>
          </w:tcPr>
          <w:p>
            <w:pPr>
              <w:jc w:val="center"/>
              <w:rPr>
                <w:rFonts w:ascii="Calibri" w:hAnsi="Calibri"/>
                <w:b/>
                <w:bCs/>
                <w:noProof/>
                <w:color w:val="000000"/>
                <w:sz w:val="22"/>
              </w:rPr>
            </w:pPr>
          </w:p>
        </w:tc>
      </w:tr>
      <w:tr>
        <w:trPr>
          <w:trHeight w:val="585"/>
        </w:trPr>
        <w:tc>
          <w:tcPr>
            <w:tcW w:w="1980" w:type="dxa"/>
            <w:vAlign w:val="center"/>
          </w:tcPr>
          <w:p>
            <w:pPr>
              <w:spacing w:before="60" w:after="60"/>
              <w:ind w:left="72"/>
              <w:rPr>
                <w:noProof/>
              </w:rPr>
            </w:pPr>
            <w:r>
              <w:rPr>
                <w:noProof/>
                <w:sz w:val="20"/>
              </w:rPr>
              <w:t>Uradniki (razredi AST)</w:t>
            </w: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b/>
                <w:noProof/>
                <w:sz w:val="20"/>
              </w:rPr>
            </w:pPr>
          </w:p>
        </w:tc>
        <w:tc>
          <w:tcPr>
            <w:tcW w:w="1080" w:type="dxa"/>
            <w:vAlign w:val="center"/>
          </w:tcPr>
          <w:p>
            <w:pPr>
              <w:spacing w:before="60" w:after="60"/>
              <w:jc w:val="right"/>
              <w:rPr>
                <w:b/>
                <w:noProof/>
                <w:sz w:val="20"/>
              </w:rPr>
            </w:pPr>
          </w:p>
        </w:tc>
      </w:tr>
      <w:tr>
        <w:trPr>
          <w:trHeight w:val="585"/>
        </w:trPr>
        <w:tc>
          <w:tcPr>
            <w:tcW w:w="1980" w:type="dxa"/>
            <w:vAlign w:val="center"/>
          </w:tcPr>
          <w:p>
            <w:pPr>
              <w:spacing w:before="60" w:after="60"/>
              <w:ind w:left="72"/>
              <w:rPr>
                <w:noProof/>
              </w:rPr>
            </w:pPr>
            <w:r>
              <w:rPr>
                <w:noProof/>
                <w:sz w:val="20"/>
              </w:rPr>
              <w:t>Pogodbeni uslužbenci</w:t>
            </w:r>
          </w:p>
        </w:tc>
        <w:tc>
          <w:tcPr>
            <w:tcW w:w="1080" w:type="dxa"/>
            <w:vAlign w:val="center"/>
          </w:tcPr>
          <w:p>
            <w:pPr>
              <w:spacing w:before="60" w:after="60"/>
              <w:jc w:val="center"/>
              <w:rPr>
                <w:noProof/>
                <w:sz w:val="20"/>
              </w:rPr>
            </w:pPr>
            <w:r>
              <w:rPr>
                <w:rFonts w:ascii="Calibri" w:hAnsi="Calibri"/>
                <w:noProof/>
                <w:color w:val="000000"/>
                <w:sz w:val="22"/>
              </w:rPr>
              <w:t>0,029</w:t>
            </w:r>
          </w:p>
        </w:tc>
        <w:tc>
          <w:tcPr>
            <w:tcW w:w="1080" w:type="dxa"/>
            <w:vAlign w:val="center"/>
          </w:tcPr>
          <w:p>
            <w:pPr>
              <w:spacing w:before="60" w:after="60"/>
              <w:jc w:val="center"/>
              <w:rPr>
                <w:noProof/>
                <w:sz w:val="20"/>
              </w:rPr>
            </w:pPr>
            <w:r>
              <w:rPr>
                <w:rFonts w:ascii="Calibri" w:hAnsi="Calibri"/>
                <w:noProof/>
                <w:color w:val="000000"/>
                <w:sz w:val="22"/>
              </w:rPr>
              <w:t>0,029</w:t>
            </w:r>
          </w:p>
        </w:tc>
        <w:tc>
          <w:tcPr>
            <w:tcW w:w="1080" w:type="dxa"/>
            <w:vAlign w:val="center"/>
          </w:tcPr>
          <w:p>
            <w:pPr>
              <w:spacing w:before="60" w:after="60"/>
              <w:jc w:val="center"/>
              <w:rPr>
                <w:noProof/>
                <w:sz w:val="20"/>
              </w:rPr>
            </w:pPr>
            <w:r>
              <w:rPr>
                <w:rFonts w:ascii="Calibri" w:hAnsi="Calibri"/>
                <w:noProof/>
                <w:color w:val="000000"/>
                <w:sz w:val="22"/>
              </w:rPr>
              <w:t>0,029</w:t>
            </w:r>
          </w:p>
        </w:tc>
        <w:tc>
          <w:tcPr>
            <w:tcW w:w="1080" w:type="dxa"/>
            <w:vAlign w:val="center"/>
          </w:tcPr>
          <w:p>
            <w:pPr>
              <w:spacing w:before="60" w:after="60"/>
              <w:jc w:val="center"/>
              <w:rPr>
                <w:noProof/>
                <w:sz w:val="20"/>
              </w:rPr>
            </w:pPr>
            <w:r>
              <w:rPr>
                <w:rFonts w:ascii="Calibri" w:hAnsi="Calibri"/>
                <w:noProof/>
                <w:color w:val="000000"/>
                <w:sz w:val="22"/>
              </w:rPr>
              <w:t>0,029</w:t>
            </w: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b/>
                <w:noProof/>
                <w:sz w:val="20"/>
              </w:rPr>
            </w:pPr>
          </w:p>
        </w:tc>
        <w:tc>
          <w:tcPr>
            <w:tcW w:w="1080" w:type="dxa"/>
            <w:vAlign w:val="center"/>
          </w:tcPr>
          <w:p>
            <w:pPr>
              <w:jc w:val="center"/>
              <w:rPr>
                <w:rFonts w:ascii="Calibri" w:hAnsi="Calibri"/>
                <w:b/>
                <w:bCs/>
                <w:noProof/>
                <w:color w:val="000000"/>
                <w:sz w:val="22"/>
              </w:rPr>
            </w:pPr>
            <w:r>
              <w:rPr>
                <w:rFonts w:ascii="Calibri" w:hAnsi="Calibri"/>
                <w:b/>
                <w:noProof/>
                <w:color w:val="000000"/>
                <w:sz w:val="22"/>
              </w:rPr>
              <w:t>0,116</w:t>
            </w:r>
          </w:p>
          <w:p>
            <w:pPr>
              <w:spacing w:before="60" w:after="60"/>
              <w:jc w:val="center"/>
              <w:rPr>
                <w:b/>
                <w:noProof/>
                <w:sz w:val="20"/>
              </w:rPr>
            </w:pPr>
          </w:p>
        </w:tc>
      </w:tr>
      <w:tr>
        <w:trPr>
          <w:trHeight w:val="585"/>
        </w:trPr>
        <w:tc>
          <w:tcPr>
            <w:tcW w:w="1980" w:type="dxa"/>
            <w:shd w:val="clear" w:color="auto" w:fill="CCCCCC"/>
            <w:vAlign w:val="center"/>
          </w:tcPr>
          <w:p>
            <w:pPr>
              <w:spacing w:before="60" w:after="60"/>
              <w:jc w:val="center"/>
              <w:rPr>
                <w:noProof/>
              </w:rPr>
            </w:pPr>
            <w:r>
              <w:rPr>
                <w:noProof/>
                <w:sz w:val="18"/>
              </w:rPr>
              <w:t xml:space="preserve">Začasni uslužbenci </w:t>
            </w: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b/>
                <w:noProof/>
                <w:sz w:val="20"/>
              </w:rPr>
            </w:pPr>
          </w:p>
        </w:tc>
        <w:tc>
          <w:tcPr>
            <w:tcW w:w="1080" w:type="dxa"/>
            <w:vAlign w:val="center"/>
          </w:tcPr>
          <w:p>
            <w:pPr>
              <w:spacing w:before="60" w:after="60"/>
              <w:jc w:val="right"/>
              <w:rPr>
                <w:b/>
                <w:noProof/>
                <w:sz w:val="20"/>
              </w:rPr>
            </w:pPr>
          </w:p>
        </w:tc>
      </w:tr>
      <w:tr>
        <w:trPr>
          <w:trHeight w:val="585"/>
        </w:trPr>
        <w:tc>
          <w:tcPr>
            <w:tcW w:w="1980" w:type="dxa"/>
            <w:shd w:val="clear" w:color="auto" w:fill="CCCCCC"/>
            <w:vAlign w:val="center"/>
          </w:tcPr>
          <w:p>
            <w:pPr>
              <w:spacing w:before="60" w:after="60"/>
              <w:jc w:val="center"/>
              <w:rPr>
                <w:noProof/>
              </w:rPr>
            </w:pPr>
            <w:r>
              <w:rPr>
                <w:noProof/>
                <w:sz w:val="18"/>
              </w:rPr>
              <w:t>Napoteni nacionalni strokovnjaki</w:t>
            </w:r>
          </w:p>
        </w:tc>
        <w:tc>
          <w:tcPr>
            <w:tcW w:w="1080" w:type="dxa"/>
            <w:vAlign w:val="center"/>
          </w:tcPr>
          <w:p>
            <w:pPr>
              <w:spacing w:before="60" w:after="60"/>
              <w:jc w:val="center"/>
              <w:rPr>
                <w:b/>
                <w:bCs/>
                <w:noProof/>
                <w:sz w:val="20"/>
              </w:rPr>
            </w:pPr>
          </w:p>
        </w:tc>
        <w:tc>
          <w:tcPr>
            <w:tcW w:w="1080" w:type="dxa"/>
            <w:vAlign w:val="center"/>
          </w:tcPr>
          <w:p>
            <w:pPr>
              <w:spacing w:before="60" w:after="60"/>
              <w:jc w:val="center"/>
              <w:rPr>
                <w:b/>
                <w:bCs/>
                <w:noProof/>
                <w:sz w:val="20"/>
              </w:rPr>
            </w:pPr>
          </w:p>
        </w:tc>
        <w:tc>
          <w:tcPr>
            <w:tcW w:w="1080" w:type="dxa"/>
            <w:vAlign w:val="center"/>
          </w:tcPr>
          <w:p>
            <w:pPr>
              <w:spacing w:before="60" w:after="60"/>
              <w:jc w:val="center"/>
              <w:rPr>
                <w:b/>
                <w:bCs/>
                <w:noProof/>
                <w:sz w:val="20"/>
              </w:rPr>
            </w:pPr>
          </w:p>
        </w:tc>
        <w:tc>
          <w:tcPr>
            <w:tcW w:w="1080" w:type="dxa"/>
            <w:vAlign w:val="center"/>
          </w:tcPr>
          <w:p>
            <w:pPr>
              <w:spacing w:before="60" w:after="60"/>
              <w:jc w:val="center"/>
              <w:rPr>
                <w:b/>
                <w:bCs/>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b/>
                <w:noProof/>
                <w:sz w:val="20"/>
              </w:rPr>
            </w:pPr>
          </w:p>
        </w:tc>
        <w:tc>
          <w:tcPr>
            <w:tcW w:w="1080" w:type="dxa"/>
            <w:vAlign w:val="center"/>
          </w:tcPr>
          <w:p>
            <w:pPr>
              <w:jc w:val="right"/>
              <w:rPr>
                <w:rFonts w:ascii="Calibri" w:hAnsi="Calibri"/>
                <w:b/>
                <w:bCs/>
                <w:noProof/>
                <w:color w:val="000000"/>
                <w:sz w:val="22"/>
              </w:rPr>
            </w:pPr>
          </w:p>
        </w:tc>
      </w:tr>
      <w:tr>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pPr>
              <w:spacing w:before="60" w:after="60"/>
              <w:jc w:val="center"/>
              <w:rPr>
                <w:noProof/>
                <w:sz w:val="20"/>
              </w:rPr>
            </w:pPr>
            <w:r>
              <w:rPr>
                <w:b/>
                <w:noProof/>
                <w:sz w:val="20"/>
              </w:rPr>
              <w:t>SKUPAJ</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bCs/>
                <w:noProof/>
                <w:sz w:val="20"/>
              </w:rPr>
            </w:pPr>
            <w:r>
              <w:rPr>
                <w:rFonts w:ascii="Calibri" w:hAnsi="Calibri"/>
                <w:b/>
                <w:noProof/>
                <w:color w:val="000000"/>
                <w:sz w:val="22"/>
              </w:rPr>
              <w:t>0,029</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bCs/>
                <w:noProof/>
                <w:sz w:val="20"/>
              </w:rPr>
            </w:pPr>
            <w:r>
              <w:rPr>
                <w:rFonts w:ascii="Calibri" w:hAnsi="Calibri"/>
                <w:b/>
                <w:noProof/>
                <w:color w:val="000000"/>
                <w:sz w:val="22"/>
              </w:rPr>
              <w:t>0,029</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bCs/>
                <w:noProof/>
                <w:sz w:val="20"/>
              </w:rPr>
            </w:pPr>
            <w:r>
              <w:rPr>
                <w:rFonts w:ascii="Calibri" w:hAnsi="Calibri"/>
                <w:b/>
                <w:noProof/>
                <w:color w:val="000000"/>
                <w:sz w:val="22"/>
              </w:rPr>
              <w:t>0,029</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bCs/>
                <w:noProof/>
                <w:sz w:val="20"/>
              </w:rPr>
            </w:pPr>
            <w:r>
              <w:rPr>
                <w:rFonts w:ascii="Calibri" w:hAnsi="Calibri"/>
                <w:b/>
                <w:noProof/>
                <w:color w:val="000000"/>
                <w:sz w:val="22"/>
              </w:rPr>
              <w:t>0,029</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bCs/>
                <w:noProof/>
                <w:sz w:val="20"/>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bCs/>
                <w:noProof/>
                <w:sz w:val="20"/>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bCs/>
                <w:noProof/>
                <w:sz w:val="20"/>
              </w:rPr>
            </w:pPr>
          </w:p>
        </w:tc>
        <w:tc>
          <w:tcPr>
            <w:tcW w:w="1080" w:type="dxa"/>
            <w:tcBorders>
              <w:top w:val="single" w:sz="12" w:space="0" w:color="auto"/>
              <w:left w:val="single" w:sz="2" w:space="0" w:color="auto"/>
              <w:bottom w:val="single" w:sz="12" w:space="0" w:color="auto"/>
              <w:right w:val="single" w:sz="12" w:space="0" w:color="auto"/>
            </w:tcBorders>
            <w:vAlign w:val="center"/>
          </w:tcPr>
          <w:p>
            <w:pPr>
              <w:jc w:val="center"/>
              <w:rPr>
                <w:rFonts w:ascii="Calibri" w:hAnsi="Calibri"/>
                <w:b/>
                <w:bCs/>
                <w:noProof/>
                <w:color w:val="000000"/>
                <w:sz w:val="22"/>
              </w:rPr>
            </w:pPr>
            <w:r>
              <w:rPr>
                <w:rFonts w:ascii="Calibri" w:hAnsi="Calibri"/>
                <w:b/>
                <w:noProof/>
                <w:color w:val="000000"/>
                <w:sz w:val="22"/>
              </w:rPr>
              <w:t>0,116</w:t>
            </w:r>
          </w:p>
          <w:p>
            <w:pPr>
              <w:spacing w:before="60" w:after="60"/>
              <w:jc w:val="center"/>
              <w:rPr>
                <w:b/>
                <w:bCs/>
                <w:noProof/>
                <w:sz w:val="20"/>
              </w:rPr>
            </w:pPr>
          </w:p>
        </w:tc>
      </w:tr>
    </w:tbl>
    <w:p>
      <w:pPr>
        <w:rPr>
          <w:b/>
          <w:bCs/>
          <w:noProof/>
        </w:rPr>
      </w:pPr>
      <w:r>
        <w:rPr>
          <w:b/>
          <w:noProof/>
        </w:rPr>
        <w:t>Predpostavlja se, da je načrtovani datum zaposlitve 1. januar 2020.</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vAlign w:val="center"/>
          </w:tcPr>
          <w:p>
            <w:pPr>
              <w:spacing w:before="60" w:after="60"/>
              <w:jc w:val="center"/>
              <w:rPr>
                <w:b/>
                <w:bCs/>
                <w:noProof/>
                <w:sz w:val="20"/>
              </w:rPr>
            </w:pPr>
            <w:r>
              <w:rPr>
                <w:b/>
                <w:noProof/>
                <w:sz w:val="20"/>
              </w:rPr>
              <w:t>ESMA (1 začasni uslužbenec)</w:t>
            </w:r>
          </w:p>
        </w:tc>
        <w:tc>
          <w:tcPr>
            <w:tcW w:w="1080" w:type="dxa"/>
            <w:vAlign w:val="center"/>
          </w:tcPr>
          <w:p>
            <w:pPr>
              <w:spacing w:before="60" w:after="60"/>
              <w:jc w:val="center"/>
              <w:rPr>
                <w:noProof/>
                <w:sz w:val="20"/>
              </w:rPr>
            </w:pPr>
            <w:r>
              <w:rPr>
                <w:noProof/>
                <w:sz w:val="20"/>
              </w:rPr>
              <w:t>Leto</w:t>
            </w:r>
            <w:r>
              <w:rPr>
                <w:noProof/>
                <w:sz w:val="22"/>
              </w:rPr>
              <w:br/>
            </w:r>
            <w:r>
              <w:rPr>
                <w:b/>
                <w:noProof/>
                <w:sz w:val="20"/>
              </w:rPr>
              <w:t xml:space="preserve">2020 </w:t>
            </w:r>
          </w:p>
        </w:tc>
        <w:tc>
          <w:tcPr>
            <w:tcW w:w="1080" w:type="dxa"/>
            <w:vAlign w:val="center"/>
          </w:tcPr>
          <w:p>
            <w:pPr>
              <w:spacing w:before="60" w:after="60"/>
              <w:jc w:val="center"/>
              <w:rPr>
                <w:noProof/>
                <w:sz w:val="20"/>
              </w:rPr>
            </w:pPr>
            <w:r>
              <w:rPr>
                <w:noProof/>
                <w:sz w:val="20"/>
              </w:rPr>
              <w:t>Leto</w:t>
            </w:r>
            <w:r>
              <w:rPr>
                <w:noProof/>
                <w:sz w:val="22"/>
              </w:rPr>
              <w:br/>
            </w:r>
            <w:r>
              <w:rPr>
                <w:b/>
                <w:noProof/>
                <w:sz w:val="20"/>
              </w:rPr>
              <w:t>2021</w:t>
            </w:r>
          </w:p>
        </w:tc>
        <w:tc>
          <w:tcPr>
            <w:tcW w:w="1080" w:type="dxa"/>
            <w:vAlign w:val="center"/>
          </w:tcPr>
          <w:p>
            <w:pPr>
              <w:spacing w:before="60" w:after="60"/>
              <w:jc w:val="center"/>
              <w:rPr>
                <w:noProof/>
                <w:sz w:val="20"/>
              </w:rPr>
            </w:pPr>
            <w:r>
              <w:rPr>
                <w:noProof/>
                <w:sz w:val="20"/>
              </w:rPr>
              <w:t>Leto</w:t>
            </w:r>
            <w:r>
              <w:rPr>
                <w:noProof/>
                <w:sz w:val="22"/>
              </w:rPr>
              <w:br/>
            </w:r>
            <w:r>
              <w:rPr>
                <w:b/>
                <w:noProof/>
                <w:sz w:val="20"/>
              </w:rPr>
              <w:t>2022</w:t>
            </w:r>
          </w:p>
        </w:tc>
        <w:tc>
          <w:tcPr>
            <w:tcW w:w="1080" w:type="dxa"/>
            <w:vAlign w:val="center"/>
          </w:tcPr>
          <w:p>
            <w:pPr>
              <w:spacing w:before="60" w:after="60"/>
              <w:jc w:val="center"/>
              <w:rPr>
                <w:noProof/>
                <w:sz w:val="20"/>
              </w:rPr>
            </w:pPr>
            <w:r>
              <w:rPr>
                <w:noProof/>
                <w:sz w:val="20"/>
              </w:rPr>
              <w:t>Leto</w:t>
            </w:r>
            <w:r>
              <w:rPr>
                <w:noProof/>
                <w:sz w:val="22"/>
              </w:rPr>
              <w:br/>
            </w:r>
            <w:r>
              <w:rPr>
                <w:b/>
                <w:noProof/>
                <w:sz w:val="20"/>
              </w:rPr>
              <w:t>2023</w:t>
            </w:r>
          </w:p>
        </w:tc>
        <w:tc>
          <w:tcPr>
            <w:tcW w:w="3240" w:type="dxa"/>
            <w:gridSpan w:val="3"/>
            <w:vAlign w:val="center"/>
          </w:tcPr>
          <w:p>
            <w:pPr>
              <w:jc w:val="center"/>
              <w:rPr>
                <w:b/>
                <w:noProof/>
                <w:sz w:val="20"/>
              </w:rPr>
            </w:pPr>
            <w:r>
              <w:rPr>
                <w:noProof/>
                <w:sz w:val="20"/>
              </w:rPr>
              <w:t>Vstavite ustrezno število let glede na trajanje posledic (gl. točko 1.6)</w:t>
            </w:r>
          </w:p>
        </w:tc>
        <w:tc>
          <w:tcPr>
            <w:tcW w:w="1080" w:type="dxa"/>
            <w:vAlign w:val="center"/>
          </w:tcPr>
          <w:p>
            <w:pPr>
              <w:spacing w:before="60" w:after="60"/>
              <w:jc w:val="center"/>
              <w:rPr>
                <w:b/>
                <w:noProof/>
                <w:sz w:val="20"/>
              </w:rPr>
            </w:pPr>
            <w:r>
              <w:rPr>
                <w:b/>
                <w:noProof/>
                <w:sz w:val="20"/>
              </w:rPr>
              <w:t>SKUPAJ</w:t>
            </w:r>
          </w:p>
        </w:tc>
      </w:tr>
      <w:tr>
        <w:trPr>
          <w:trHeight w:val="585"/>
        </w:trPr>
        <w:tc>
          <w:tcPr>
            <w:tcW w:w="1980" w:type="dxa"/>
            <w:shd w:val="clear" w:color="auto" w:fill="CCCCCC"/>
            <w:vAlign w:val="center"/>
          </w:tcPr>
          <w:p>
            <w:pPr>
              <w:spacing w:before="60" w:after="60"/>
              <w:jc w:val="center"/>
              <w:rPr>
                <w:noProof/>
              </w:rPr>
            </w:pPr>
            <w:r>
              <w:rPr>
                <w:noProof/>
                <w:sz w:val="18"/>
              </w:rPr>
              <w:t>Uradniki (razredi AD)</w:t>
            </w:r>
          </w:p>
        </w:tc>
        <w:tc>
          <w:tcPr>
            <w:tcW w:w="1080" w:type="dxa"/>
            <w:vAlign w:val="center"/>
          </w:tcPr>
          <w:p>
            <w:pPr>
              <w:spacing w:before="60" w:after="60"/>
              <w:jc w:val="center"/>
              <w:rPr>
                <w:rFonts w:ascii="Calibri" w:hAnsi="Calibri"/>
                <w:noProof/>
                <w:color w:val="000000"/>
                <w:sz w:val="22"/>
              </w:rPr>
            </w:pPr>
          </w:p>
        </w:tc>
        <w:tc>
          <w:tcPr>
            <w:tcW w:w="1080" w:type="dxa"/>
            <w:vAlign w:val="center"/>
          </w:tcPr>
          <w:p>
            <w:pPr>
              <w:spacing w:before="60" w:after="60"/>
              <w:jc w:val="center"/>
              <w:rPr>
                <w:rFonts w:ascii="Calibri" w:hAnsi="Calibri"/>
                <w:noProof/>
                <w:color w:val="000000"/>
                <w:sz w:val="22"/>
              </w:rPr>
            </w:pPr>
          </w:p>
        </w:tc>
        <w:tc>
          <w:tcPr>
            <w:tcW w:w="1080" w:type="dxa"/>
            <w:vAlign w:val="center"/>
          </w:tcPr>
          <w:p>
            <w:pPr>
              <w:spacing w:before="60" w:after="60"/>
              <w:jc w:val="center"/>
              <w:rPr>
                <w:rFonts w:ascii="Calibri" w:hAnsi="Calibri"/>
                <w:noProof/>
                <w:color w:val="000000"/>
                <w:sz w:val="22"/>
              </w:rPr>
            </w:pPr>
          </w:p>
        </w:tc>
        <w:tc>
          <w:tcPr>
            <w:tcW w:w="1080" w:type="dxa"/>
            <w:vAlign w:val="center"/>
          </w:tcPr>
          <w:p>
            <w:pPr>
              <w:spacing w:before="60" w:after="60"/>
              <w:jc w:val="center"/>
              <w:rPr>
                <w:rFonts w:ascii="Calibri" w:hAnsi="Calibri"/>
                <w:noProof/>
                <w:color w:val="000000"/>
                <w:sz w:val="22"/>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b/>
                <w:noProof/>
                <w:sz w:val="20"/>
              </w:rPr>
            </w:pPr>
          </w:p>
        </w:tc>
        <w:tc>
          <w:tcPr>
            <w:tcW w:w="1080" w:type="dxa"/>
            <w:vAlign w:val="center"/>
          </w:tcPr>
          <w:p>
            <w:pPr>
              <w:jc w:val="center"/>
              <w:rPr>
                <w:rFonts w:ascii="Calibri" w:hAnsi="Calibri"/>
                <w:b/>
                <w:bCs/>
                <w:noProof/>
                <w:color w:val="000000"/>
                <w:sz w:val="22"/>
              </w:rPr>
            </w:pPr>
          </w:p>
        </w:tc>
      </w:tr>
      <w:tr>
        <w:trPr>
          <w:trHeight w:val="585"/>
        </w:trPr>
        <w:tc>
          <w:tcPr>
            <w:tcW w:w="1980" w:type="dxa"/>
            <w:vAlign w:val="center"/>
          </w:tcPr>
          <w:p>
            <w:pPr>
              <w:spacing w:before="60" w:after="60"/>
              <w:ind w:left="72"/>
              <w:rPr>
                <w:noProof/>
              </w:rPr>
            </w:pPr>
            <w:r>
              <w:rPr>
                <w:noProof/>
                <w:sz w:val="20"/>
              </w:rPr>
              <w:t>Uradniki (razredi AST)</w:t>
            </w: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b/>
                <w:noProof/>
                <w:sz w:val="20"/>
              </w:rPr>
            </w:pPr>
          </w:p>
        </w:tc>
        <w:tc>
          <w:tcPr>
            <w:tcW w:w="1080" w:type="dxa"/>
            <w:vAlign w:val="center"/>
          </w:tcPr>
          <w:p>
            <w:pPr>
              <w:spacing w:before="60" w:after="60"/>
              <w:jc w:val="right"/>
              <w:rPr>
                <w:b/>
                <w:noProof/>
                <w:sz w:val="20"/>
              </w:rPr>
            </w:pPr>
          </w:p>
        </w:tc>
      </w:tr>
      <w:tr>
        <w:trPr>
          <w:trHeight w:val="585"/>
        </w:trPr>
        <w:tc>
          <w:tcPr>
            <w:tcW w:w="1980" w:type="dxa"/>
            <w:vAlign w:val="center"/>
          </w:tcPr>
          <w:p>
            <w:pPr>
              <w:spacing w:before="60" w:after="60"/>
              <w:ind w:left="72"/>
              <w:rPr>
                <w:noProof/>
              </w:rPr>
            </w:pPr>
            <w:r>
              <w:rPr>
                <w:noProof/>
                <w:sz w:val="20"/>
              </w:rPr>
              <w:t>Pogodbeni uslužbenci</w:t>
            </w: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b/>
                <w:noProof/>
                <w:sz w:val="20"/>
              </w:rPr>
            </w:pPr>
          </w:p>
        </w:tc>
        <w:tc>
          <w:tcPr>
            <w:tcW w:w="1080" w:type="dxa"/>
            <w:vAlign w:val="center"/>
          </w:tcPr>
          <w:p>
            <w:pPr>
              <w:spacing w:before="60" w:after="60"/>
              <w:jc w:val="right"/>
              <w:rPr>
                <w:b/>
                <w:noProof/>
                <w:sz w:val="20"/>
              </w:rPr>
            </w:pPr>
          </w:p>
        </w:tc>
      </w:tr>
      <w:tr>
        <w:trPr>
          <w:trHeight w:val="585"/>
        </w:trPr>
        <w:tc>
          <w:tcPr>
            <w:tcW w:w="1980" w:type="dxa"/>
            <w:shd w:val="clear" w:color="auto" w:fill="CCCCCC"/>
            <w:vAlign w:val="center"/>
          </w:tcPr>
          <w:p>
            <w:pPr>
              <w:spacing w:before="60" w:after="60"/>
              <w:jc w:val="center"/>
              <w:rPr>
                <w:noProof/>
              </w:rPr>
            </w:pPr>
            <w:r>
              <w:rPr>
                <w:noProof/>
                <w:sz w:val="18"/>
              </w:rPr>
              <w:t xml:space="preserve">Začasni uslužbenci </w:t>
            </w:r>
          </w:p>
        </w:tc>
        <w:tc>
          <w:tcPr>
            <w:tcW w:w="1080" w:type="dxa"/>
            <w:vAlign w:val="center"/>
          </w:tcPr>
          <w:p>
            <w:pPr>
              <w:spacing w:before="60" w:after="60"/>
              <w:jc w:val="right"/>
              <w:rPr>
                <w:noProof/>
                <w:sz w:val="20"/>
              </w:rPr>
            </w:pPr>
            <w:r>
              <w:rPr>
                <w:rFonts w:ascii="Calibri" w:hAnsi="Calibri"/>
                <w:noProof/>
                <w:color w:val="000000"/>
                <w:sz w:val="22"/>
              </w:rPr>
              <w:t>0,066</w:t>
            </w:r>
          </w:p>
        </w:tc>
        <w:tc>
          <w:tcPr>
            <w:tcW w:w="1080" w:type="dxa"/>
            <w:vAlign w:val="center"/>
          </w:tcPr>
          <w:p>
            <w:pPr>
              <w:spacing w:before="60" w:after="60"/>
              <w:jc w:val="right"/>
              <w:rPr>
                <w:noProof/>
                <w:sz w:val="20"/>
              </w:rPr>
            </w:pPr>
            <w:r>
              <w:rPr>
                <w:rFonts w:ascii="Calibri" w:hAnsi="Calibri"/>
                <w:noProof/>
                <w:color w:val="000000"/>
                <w:sz w:val="22"/>
              </w:rPr>
              <w:t>0,066</w:t>
            </w:r>
          </w:p>
        </w:tc>
        <w:tc>
          <w:tcPr>
            <w:tcW w:w="1080" w:type="dxa"/>
            <w:vAlign w:val="center"/>
          </w:tcPr>
          <w:p>
            <w:pPr>
              <w:spacing w:before="60" w:after="60"/>
              <w:jc w:val="right"/>
              <w:rPr>
                <w:noProof/>
                <w:sz w:val="20"/>
              </w:rPr>
            </w:pPr>
            <w:r>
              <w:rPr>
                <w:rFonts w:ascii="Calibri" w:hAnsi="Calibri"/>
                <w:noProof/>
                <w:color w:val="000000"/>
                <w:sz w:val="22"/>
              </w:rPr>
              <w:t>0,066</w:t>
            </w:r>
          </w:p>
        </w:tc>
        <w:tc>
          <w:tcPr>
            <w:tcW w:w="1080" w:type="dxa"/>
            <w:vAlign w:val="center"/>
          </w:tcPr>
          <w:p>
            <w:pPr>
              <w:spacing w:before="60" w:after="60"/>
              <w:jc w:val="right"/>
              <w:rPr>
                <w:noProof/>
                <w:sz w:val="20"/>
              </w:rPr>
            </w:pPr>
            <w:r>
              <w:rPr>
                <w:rFonts w:ascii="Calibri" w:hAnsi="Calibri"/>
                <w:noProof/>
                <w:color w:val="000000"/>
                <w:sz w:val="22"/>
              </w:rPr>
              <w:t>0,066</w:t>
            </w: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b/>
                <w:noProof/>
                <w:sz w:val="20"/>
              </w:rPr>
            </w:pPr>
          </w:p>
        </w:tc>
        <w:tc>
          <w:tcPr>
            <w:tcW w:w="1080" w:type="dxa"/>
            <w:vAlign w:val="center"/>
          </w:tcPr>
          <w:p>
            <w:pPr>
              <w:spacing w:before="60" w:after="60"/>
              <w:jc w:val="right"/>
              <w:rPr>
                <w:b/>
                <w:noProof/>
                <w:sz w:val="20"/>
              </w:rPr>
            </w:pPr>
            <w:r>
              <w:rPr>
                <w:rFonts w:ascii="Calibri" w:hAnsi="Calibri"/>
                <w:b/>
                <w:noProof/>
                <w:color w:val="000000"/>
                <w:sz w:val="22"/>
              </w:rPr>
              <w:t>0,264</w:t>
            </w:r>
          </w:p>
        </w:tc>
      </w:tr>
      <w:tr>
        <w:trPr>
          <w:trHeight w:val="585"/>
        </w:trPr>
        <w:tc>
          <w:tcPr>
            <w:tcW w:w="1980" w:type="dxa"/>
            <w:shd w:val="clear" w:color="auto" w:fill="CCCCCC"/>
            <w:vAlign w:val="center"/>
          </w:tcPr>
          <w:p>
            <w:pPr>
              <w:spacing w:before="60" w:after="60"/>
              <w:jc w:val="center"/>
              <w:rPr>
                <w:noProof/>
              </w:rPr>
            </w:pPr>
            <w:r>
              <w:rPr>
                <w:noProof/>
                <w:sz w:val="18"/>
              </w:rPr>
              <w:t>Napoteni nacionalni strokovnjaki</w:t>
            </w:r>
          </w:p>
        </w:tc>
        <w:tc>
          <w:tcPr>
            <w:tcW w:w="1080" w:type="dxa"/>
            <w:vAlign w:val="center"/>
          </w:tcPr>
          <w:p>
            <w:pPr>
              <w:spacing w:before="60" w:after="60"/>
              <w:jc w:val="center"/>
              <w:rPr>
                <w:b/>
                <w:bCs/>
                <w:noProof/>
                <w:sz w:val="20"/>
              </w:rPr>
            </w:pPr>
          </w:p>
        </w:tc>
        <w:tc>
          <w:tcPr>
            <w:tcW w:w="1080" w:type="dxa"/>
            <w:vAlign w:val="center"/>
          </w:tcPr>
          <w:p>
            <w:pPr>
              <w:spacing w:before="60" w:after="60"/>
              <w:jc w:val="center"/>
              <w:rPr>
                <w:b/>
                <w:bCs/>
                <w:noProof/>
                <w:sz w:val="20"/>
              </w:rPr>
            </w:pPr>
          </w:p>
        </w:tc>
        <w:tc>
          <w:tcPr>
            <w:tcW w:w="1080" w:type="dxa"/>
            <w:vAlign w:val="center"/>
          </w:tcPr>
          <w:p>
            <w:pPr>
              <w:spacing w:before="60" w:after="60"/>
              <w:jc w:val="center"/>
              <w:rPr>
                <w:b/>
                <w:bCs/>
                <w:noProof/>
                <w:sz w:val="20"/>
              </w:rPr>
            </w:pPr>
          </w:p>
        </w:tc>
        <w:tc>
          <w:tcPr>
            <w:tcW w:w="1080" w:type="dxa"/>
            <w:vAlign w:val="center"/>
          </w:tcPr>
          <w:p>
            <w:pPr>
              <w:spacing w:before="60" w:after="60"/>
              <w:jc w:val="center"/>
              <w:rPr>
                <w:b/>
                <w:bCs/>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b/>
                <w:noProof/>
                <w:sz w:val="20"/>
              </w:rPr>
            </w:pPr>
          </w:p>
        </w:tc>
        <w:tc>
          <w:tcPr>
            <w:tcW w:w="1080" w:type="dxa"/>
            <w:vAlign w:val="center"/>
          </w:tcPr>
          <w:p>
            <w:pPr>
              <w:jc w:val="right"/>
              <w:rPr>
                <w:rFonts w:ascii="Calibri" w:hAnsi="Calibri"/>
                <w:b/>
                <w:bCs/>
                <w:noProof/>
                <w:color w:val="000000"/>
                <w:sz w:val="22"/>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pPr>
              <w:spacing w:before="60" w:after="60"/>
              <w:jc w:val="center"/>
              <w:rPr>
                <w:noProof/>
                <w:sz w:val="20"/>
              </w:rPr>
            </w:pPr>
            <w:r>
              <w:rPr>
                <w:b/>
                <w:noProof/>
                <w:sz w:val="20"/>
              </w:rPr>
              <w:t>SKUPAJ</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bCs/>
                <w:noProof/>
                <w:sz w:val="20"/>
              </w:rPr>
            </w:pPr>
            <w:r>
              <w:rPr>
                <w:rFonts w:ascii="Calibri" w:hAnsi="Calibri"/>
                <w:b/>
                <w:noProof/>
                <w:color w:val="000000"/>
                <w:sz w:val="22"/>
              </w:rPr>
              <w:t>0,066</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bCs/>
                <w:noProof/>
                <w:sz w:val="20"/>
              </w:rPr>
            </w:pPr>
            <w:r>
              <w:rPr>
                <w:rFonts w:ascii="Calibri" w:hAnsi="Calibri"/>
                <w:b/>
                <w:noProof/>
                <w:color w:val="000000"/>
                <w:sz w:val="22"/>
              </w:rPr>
              <w:t>0,066</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bCs/>
                <w:noProof/>
                <w:sz w:val="20"/>
              </w:rPr>
            </w:pPr>
            <w:r>
              <w:rPr>
                <w:rFonts w:ascii="Calibri" w:hAnsi="Calibri"/>
                <w:b/>
                <w:noProof/>
                <w:color w:val="000000"/>
                <w:sz w:val="22"/>
              </w:rPr>
              <w:t>0,066</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bCs/>
                <w:noProof/>
                <w:sz w:val="20"/>
              </w:rPr>
            </w:pPr>
            <w:r>
              <w:rPr>
                <w:rFonts w:ascii="Calibri" w:hAnsi="Calibri"/>
                <w:b/>
                <w:noProof/>
                <w:color w:val="000000"/>
                <w:sz w:val="22"/>
              </w:rPr>
              <w:t>0,066</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noProof/>
                <w:sz w:val="20"/>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noProof/>
                <w:sz w:val="20"/>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noProof/>
                <w:sz w:val="20"/>
              </w:rPr>
            </w:pPr>
          </w:p>
        </w:tc>
        <w:tc>
          <w:tcPr>
            <w:tcW w:w="1080" w:type="dxa"/>
            <w:tcBorders>
              <w:top w:val="single" w:sz="12" w:space="0" w:color="auto"/>
              <w:left w:val="single" w:sz="2" w:space="0" w:color="auto"/>
              <w:bottom w:val="single" w:sz="12" w:space="0" w:color="auto"/>
              <w:right w:val="single" w:sz="12" w:space="0" w:color="auto"/>
            </w:tcBorders>
            <w:vAlign w:val="center"/>
          </w:tcPr>
          <w:p>
            <w:pPr>
              <w:spacing w:before="60" w:after="60"/>
              <w:jc w:val="center"/>
              <w:rPr>
                <w:b/>
                <w:noProof/>
                <w:sz w:val="20"/>
              </w:rPr>
            </w:pPr>
            <w:r>
              <w:rPr>
                <w:rFonts w:ascii="Calibri" w:hAnsi="Calibri"/>
                <w:b/>
                <w:noProof/>
                <w:color w:val="000000"/>
                <w:sz w:val="22"/>
              </w:rPr>
              <w:t>0,264</w:t>
            </w:r>
          </w:p>
        </w:tc>
      </w:tr>
    </w:tbl>
    <w:p>
      <w:pPr>
        <w:rPr>
          <w:noProof/>
        </w:rPr>
      </w:pPr>
      <w:r>
        <w:rPr>
          <w:b/>
          <w:noProof/>
        </w:rPr>
        <w:t xml:space="preserve">Predpostavlja se, da je </w:t>
      </w:r>
      <w:r>
        <w:rPr>
          <w:noProof/>
        </w:rPr>
        <w:t>načrtovani datum zaposlitve 1. januar 2020.</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vAlign w:val="center"/>
          </w:tcPr>
          <w:p>
            <w:pPr>
              <w:spacing w:before="60" w:after="60"/>
              <w:jc w:val="center"/>
              <w:rPr>
                <w:b/>
                <w:bCs/>
                <w:noProof/>
                <w:sz w:val="20"/>
              </w:rPr>
            </w:pPr>
            <w:r>
              <w:rPr>
                <w:b/>
                <w:noProof/>
                <w:sz w:val="20"/>
              </w:rPr>
              <w:t>EEA (1 začasni uslužbenec in 1 pogodbeni uslužbenec)</w:t>
            </w:r>
          </w:p>
        </w:tc>
        <w:tc>
          <w:tcPr>
            <w:tcW w:w="1080" w:type="dxa"/>
            <w:vAlign w:val="center"/>
          </w:tcPr>
          <w:p>
            <w:pPr>
              <w:spacing w:before="60" w:after="60"/>
              <w:jc w:val="center"/>
              <w:rPr>
                <w:noProof/>
                <w:sz w:val="20"/>
              </w:rPr>
            </w:pPr>
            <w:r>
              <w:rPr>
                <w:noProof/>
                <w:sz w:val="20"/>
              </w:rPr>
              <w:t>Leto</w:t>
            </w:r>
            <w:r>
              <w:rPr>
                <w:noProof/>
                <w:sz w:val="22"/>
              </w:rPr>
              <w:br/>
            </w:r>
            <w:r>
              <w:rPr>
                <w:b/>
                <w:noProof/>
                <w:sz w:val="20"/>
              </w:rPr>
              <w:t xml:space="preserve">2020 </w:t>
            </w:r>
          </w:p>
        </w:tc>
        <w:tc>
          <w:tcPr>
            <w:tcW w:w="1080" w:type="dxa"/>
            <w:vAlign w:val="center"/>
          </w:tcPr>
          <w:p>
            <w:pPr>
              <w:spacing w:before="60" w:after="60"/>
              <w:jc w:val="center"/>
              <w:rPr>
                <w:noProof/>
                <w:sz w:val="20"/>
              </w:rPr>
            </w:pPr>
            <w:r>
              <w:rPr>
                <w:noProof/>
                <w:sz w:val="20"/>
              </w:rPr>
              <w:t>Leto</w:t>
            </w:r>
            <w:r>
              <w:rPr>
                <w:noProof/>
                <w:sz w:val="22"/>
              </w:rPr>
              <w:br/>
            </w:r>
            <w:r>
              <w:rPr>
                <w:b/>
                <w:noProof/>
                <w:sz w:val="20"/>
              </w:rPr>
              <w:t>2021</w:t>
            </w:r>
          </w:p>
        </w:tc>
        <w:tc>
          <w:tcPr>
            <w:tcW w:w="1080" w:type="dxa"/>
            <w:vAlign w:val="center"/>
          </w:tcPr>
          <w:p>
            <w:pPr>
              <w:spacing w:before="60" w:after="60"/>
              <w:jc w:val="center"/>
              <w:rPr>
                <w:noProof/>
                <w:sz w:val="20"/>
              </w:rPr>
            </w:pPr>
            <w:r>
              <w:rPr>
                <w:noProof/>
                <w:sz w:val="20"/>
              </w:rPr>
              <w:t>Leto</w:t>
            </w:r>
            <w:r>
              <w:rPr>
                <w:noProof/>
                <w:sz w:val="22"/>
              </w:rPr>
              <w:br/>
            </w:r>
            <w:r>
              <w:rPr>
                <w:b/>
                <w:noProof/>
                <w:sz w:val="20"/>
              </w:rPr>
              <w:t>2022</w:t>
            </w:r>
          </w:p>
        </w:tc>
        <w:tc>
          <w:tcPr>
            <w:tcW w:w="1080" w:type="dxa"/>
            <w:vAlign w:val="center"/>
          </w:tcPr>
          <w:p>
            <w:pPr>
              <w:spacing w:before="60" w:after="60"/>
              <w:jc w:val="center"/>
              <w:rPr>
                <w:noProof/>
                <w:sz w:val="20"/>
              </w:rPr>
            </w:pPr>
            <w:r>
              <w:rPr>
                <w:noProof/>
                <w:sz w:val="20"/>
              </w:rPr>
              <w:t>Leto</w:t>
            </w:r>
            <w:r>
              <w:rPr>
                <w:noProof/>
                <w:sz w:val="22"/>
              </w:rPr>
              <w:br/>
            </w:r>
            <w:r>
              <w:rPr>
                <w:b/>
                <w:noProof/>
                <w:sz w:val="20"/>
              </w:rPr>
              <w:t>2023</w:t>
            </w:r>
          </w:p>
        </w:tc>
        <w:tc>
          <w:tcPr>
            <w:tcW w:w="3240" w:type="dxa"/>
            <w:gridSpan w:val="3"/>
            <w:vAlign w:val="center"/>
          </w:tcPr>
          <w:p>
            <w:pPr>
              <w:jc w:val="center"/>
              <w:rPr>
                <w:b/>
                <w:noProof/>
                <w:sz w:val="20"/>
              </w:rPr>
            </w:pPr>
            <w:r>
              <w:rPr>
                <w:noProof/>
                <w:sz w:val="20"/>
              </w:rPr>
              <w:t>Vstavite ustrezno število let glede na trajanje posledic (gl. točko 1.6)</w:t>
            </w:r>
          </w:p>
        </w:tc>
        <w:tc>
          <w:tcPr>
            <w:tcW w:w="1080" w:type="dxa"/>
            <w:vAlign w:val="center"/>
          </w:tcPr>
          <w:p>
            <w:pPr>
              <w:spacing w:before="60" w:after="60"/>
              <w:jc w:val="center"/>
              <w:rPr>
                <w:b/>
                <w:noProof/>
                <w:sz w:val="20"/>
              </w:rPr>
            </w:pPr>
            <w:r>
              <w:rPr>
                <w:b/>
                <w:noProof/>
                <w:sz w:val="20"/>
              </w:rPr>
              <w:t>SKUPAJ</w:t>
            </w:r>
          </w:p>
        </w:tc>
      </w:tr>
      <w:tr>
        <w:trPr>
          <w:trHeight w:val="585"/>
        </w:trPr>
        <w:tc>
          <w:tcPr>
            <w:tcW w:w="1980" w:type="dxa"/>
            <w:shd w:val="clear" w:color="auto" w:fill="CCCCCC"/>
            <w:vAlign w:val="center"/>
          </w:tcPr>
          <w:p>
            <w:pPr>
              <w:spacing w:before="60" w:after="60"/>
              <w:jc w:val="center"/>
              <w:rPr>
                <w:noProof/>
              </w:rPr>
            </w:pPr>
            <w:r>
              <w:rPr>
                <w:noProof/>
                <w:sz w:val="18"/>
              </w:rPr>
              <w:t>Uradniki (razredi AD)</w:t>
            </w:r>
          </w:p>
        </w:tc>
        <w:tc>
          <w:tcPr>
            <w:tcW w:w="1080" w:type="dxa"/>
            <w:vAlign w:val="center"/>
          </w:tcPr>
          <w:p>
            <w:pPr>
              <w:spacing w:before="60" w:after="60"/>
              <w:jc w:val="center"/>
              <w:rPr>
                <w:rFonts w:asciiTheme="minorHAnsi" w:hAnsiTheme="minorHAnsi"/>
                <w:noProof/>
                <w:sz w:val="22"/>
              </w:rPr>
            </w:pPr>
          </w:p>
        </w:tc>
        <w:tc>
          <w:tcPr>
            <w:tcW w:w="1080" w:type="dxa"/>
            <w:vAlign w:val="center"/>
          </w:tcPr>
          <w:p>
            <w:pPr>
              <w:spacing w:before="60" w:after="60"/>
              <w:jc w:val="center"/>
              <w:rPr>
                <w:rFonts w:asciiTheme="minorHAnsi" w:hAnsiTheme="minorHAnsi"/>
                <w:noProof/>
                <w:sz w:val="22"/>
              </w:rPr>
            </w:pPr>
          </w:p>
        </w:tc>
        <w:tc>
          <w:tcPr>
            <w:tcW w:w="1080" w:type="dxa"/>
            <w:vAlign w:val="center"/>
          </w:tcPr>
          <w:p>
            <w:pPr>
              <w:spacing w:before="60" w:after="60"/>
              <w:jc w:val="center"/>
              <w:rPr>
                <w:rFonts w:asciiTheme="minorHAnsi" w:hAnsiTheme="minorHAnsi"/>
                <w:noProof/>
                <w:sz w:val="22"/>
              </w:rPr>
            </w:pPr>
          </w:p>
        </w:tc>
        <w:tc>
          <w:tcPr>
            <w:tcW w:w="1080" w:type="dxa"/>
            <w:vAlign w:val="center"/>
          </w:tcPr>
          <w:p>
            <w:pPr>
              <w:spacing w:before="60" w:after="60"/>
              <w:jc w:val="center"/>
              <w:rPr>
                <w:rFonts w:asciiTheme="minorHAnsi" w:hAnsiTheme="minorHAnsi"/>
                <w:noProof/>
                <w:sz w:val="22"/>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b/>
                <w:noProof/>
                <w:sz w:val="20"/>
              </w:rPr>
            </w:pPr>
          </w:p>
        </w:tc>
        <w:tc>
          <w:tcPr>
            <w:tcW w:w="1080" w:type="dxa"/>
            <w:vAlign w:val="center"/>
          </w:tcPr>
          <w:p>
            <w:pPr>
              <w:jc w:val="center"/>
              <w:rPr>
                <w:rFonts w:ascii="Calibri" w:hAnsi="Calibri"/>
                <w:b/>
                <w:bCs/>
                <w:noProof/>
                <w:color w:val="000000"/>
                <w:sz w:val="22"/>
              </w:rPr>
            </w:pPr>
          </w:p>
        </w:tc>
      </w:tr>
      <w:tr>
        <w:trPr>
          <w:trHeight w:val="585"/>
        </w:trPr>
        <w:tc>
          <w:tcPr>
            <w:tcW w:w="1980" w:type="dxa"/>
            <w:vAlign w:val="center"/>
          </w:tcPr>
          <w:p>
            <w:pPr>
              <w:spacing w:before="60" w:after="60"/>
              <w:ind w:left="72"/>
              <w:rPr>
                <w:noProof/>
              </w:rPr>
            </w:pPr>
            <w:r>
              <w:rPr>
                <w:noProof/>
                <w:sz w:val="20"/>
              </w:rPr>
              <w:t>Uradniki (razredi AST)</w:t>
            </w: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center"/>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b/>
                <w:noProof/>
                <w:sz w:val="20"/>
              </w:rPr>
            </w:pPr>
          </w:p>
        </w:tc>
        <w:tc>
          <w:tcPr>
            <w:tcW w:w="1080" w:type="dxa"/>
            <w:vAlign w:val="center"/>
          </w:tcPr>
          <w:p>
            <w:pPr>
              <w:spacing w:before="60" w:after="60"/>
              <w:jc w:val="right"/>
              <w:rPr>
                <w:b/>
                <w:noProof/>
                <w:sz w:val="20"/>
              </w:rPr>
            </w:pPr>
          </w:p>
        </w:tc>
      </w:tr>
      <w:tr>
        <w:trPr>
          <w:trHeight w:val="585"/>
        </w:trPr>
        <w:tc>
          <w:tcPr>
            <w:tcW w:w="1980" w:type="dxa"/>
            <w:vAlign w:val="center"/>
          </w:tcPr>
          <w:p>
            <w:pPr>
              <w:spacing w:before="60" w:after="60"/>
              <w:ind w:left="72"/>
              <w:rPr>
                <w:noProof/>
              </w:rPr>
            </w:pPr>
            <w:r>
              <w:rPr>
                <w:noProof/>
                <w:sz w:val="20"/>
              </w:rPr>
              <w:t>Pogodbeni uslužbenci</w:t>
            </w:r>
          </w:p>
        </w:tc>
        <w:tc>
          <w:tcPr>
            <w:tcW w:w="1080" w:type="dxa"/>
            <w:vAlign w:val="center"/>
          </w:tcPr>
          <w:p>
            <w:pPr>
              <w:spacing w:before="60" w:after="60"/>
              <w:jc w:val="center"/>
              <w:rPr>
                <w:noProof/>
                <w:sz w:val="20"/>
              </w:rPr>
            </w:pPr>
            <w:r>
              <w:rPr>
                <w:noProof/>
                <w:sz w:val="20"/>
              </w:rPr>
              <w:t>0,099</w:t>
            </w:r>
          </w:p>
        </w:tc>
        <w:tc>
          <w:tcPr>
            <w:tcW w:w="1080" w:type="dxa"/>
            <w:vAlign w:val="center"/>
          </w:tcPr>
          <w:p>
            <w:pPr>
              <w:spacing w:before="60" w:after="60"/>
              <w:jc w:val="center"/>
              <w:rPr>
                <w:noProof/>
                <w:sz w:val="20"/>
              </w:rPr>
            </w:pPr>
            <w:r>
              <w:rPr>
                <w:noProof/>
                <w:sz w:val="20"/>
              </w:rPr>
              <w:t>0,099</w:t>
            </w:r>
          </w:p>
        </w:tc>
        <w:tc>
          <w:tcPr>
            <w:tcW w:w="1080" w:type="dxa"/>
            <w:vAlign w:val="center"/>
          </w:tcPr>
          <w:p>
            <w:pPr>
              <w:spacing w:before="60" w:after="60"/>
              <w:jc w:val="center"/>
              <w:rPr>
                <w:noProof/>
                <w:sz w:val="20"/>
              </w:rPr>
            </w:pPr>
            <w:r>
              <w:rPr>
                <w:noProof/>
                <w:sz w:val="20"/>
              </w:rPr>
              <w:t>0,099</w:t>
            </w:r>
          </w:p>
        </w:tc>
        <w:tc>
          <w:tcPr>
            <w:tcW w:w="1080" w:type="dxa"/>
            <w:vAlign w:val="center"/>
          </w:tcPr>
          <w:p>
            <w:pPr>
              <w:spacing w:before="60" w:after="60"/>
              <w:jc w:val="center"/>
              <w:rPr>
                <w:noProof/>
                <w:sz w:val="20"/>
              </w:rPr>
            </w:pPr>
            <w:r>
              <w:rPr>
                <w:noProof/>
                <w:sz w:val="20"/>
              </w:rPr>
              <w:t>0,099</w:t>
            </w: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b/>
                <w:noProof/>
                <w:sz w:val="20"/>
              </w:rPr>
            </w:pPr>
          </w:p>
        </w:tc>
        <w:tc>
          <w:tcPr>
            <w:tcW w:w="1080" w:type="dxa"/>
            <w:vAlign w:val="center"/>
          </w:tcPr>
          <w:p>
            <w:pPr>
              <w:spacing w:before="60" w:after="60"/>
              <w:jc w:val="center"/>
              <w:rPr>
                <w:b/>
                <w:noProof/>
                <w:sz w:val="20"/>
              </w:rPr>
            </w:pPr>
            <w:r>
              <w:rPr>
                <w:b/>
                <w:noProof/>
                <w:sz w:val="20"/>
              </w:rPr>
              <w:t>0,396</w:t>
            </w:r>
          </w:p>
        </w:tc>
      </w:tr>
      <w:tr>
        <w:trPr>
          <w:trHeight w:val="585"/>
        </w:trPr>
        <w:tc>
          <w:tcPr>
            <w:tcW w:w="1980" w:type="dxa"/>
            <w:shd w:val="clear" w:color="auto" w:fill="CCCCCC"/>
            <w:vAlign w:val="center"/>
          </w:tcPr>
          <w:p>
            <w:pPr>
              <w:spacing w:before="60" w:after="60"/>
              <w:jc w:val="center"/>
              <w:rPr>
                <w:noProof/>
              </w:rPr>
            </w:pPr>
            <w:r>
              <w:rPr>
                <w:noProof/>
                <w:sz w:val="18"/>
              </w:rPr>
              <w:t xml:space="preserve">Začasni uslužbenci </w:t>
            </w:r>
          </w:p>
        </w:tc>
        <w:tc>
          <w:tcPr>
            <w:tcW w:w="1080" w:type="dxa"/>
            <w:vAlign w:val="center"/>
          </w:tcPr>
          <w:p>
            <w:pPr>
              <w:spacing w:before="60" w:after="60"/>
              <w:jc w:val="right"/>
              <w:rPr>
                <w:noProof/>
                <w:sz w:val="20"/>
              </w:rPr>
            </w:pPr>
            <w:r>
              <w:rPr>
                <w:rFonts w:asciiTheme="minorHAnsi" w:hAnsiTheme="minorHAnsi"/>
                <w:noProof/>
                <w:sz w:val="22"/>
              </w:rPr>
              <w:t>0,191</w:t>
            </w:r>
          </w:p>
        </w:tc>
        <w:tc>
          <w:tcPr>
            <w:tcW w:w="1080" w:type="dxa"/>
            <w:vAlign w:val="center"/>
          </w:tcPr>
          <w:p>
            <w:pPr>
              <w:spacing w:before="60" w:after="60"/>
              <w:jc w:val="right"/>
              <w:rPr>
                <w:noProof/>
                <w:sz w:val="20"/>
              </w:rPr>
            </w:pPr>
            <w:r>
              <w:rPr>
                <w:rFonts w:asciiTheme="minorHAnsi" w:hAnsiTheme="minorHAnsi"/>
                <w:noProof/>
                <w:sz w:val="22"/>
              </w:rPr>
              <w:t>0,191</w:t>
            </w:r>
          </w:p>
        </w:tc>
        <w:tc>
          <w:tcPr>
            <w:tcW w:w="1080" w:type="dxa"/>
            <w:vAlign w:val="center"/>
          </w:tcPr>
          <w:p>
            <w:pPr>
              <w:spacing w:before="60" w:after="60"/>
              <w:jc w:val="right"/>
              <w:rPr>
                <w:noProof/>
                <w:sz w:val="20"/>
              </w:rPr>
            </w:pPr>
            <w:r>
              <w:rPr>
                <w:rFonts w:asciiTheme="minorHAnsi" w:hAnsiTheme="minorHAnsi"/>
                <w:noProof/>
                <w:sz w:val="22"/>
              </w:rPr>
              <w:t>0,191</w:t>
            </w:r>
          </w:p>
        </w:tc>
        <w:tc>
          <w:tcPr>
            <w:tcW w:w="1080" w:type="dxa"/>
            <w:vAlign w:val="center"/>
          </w:tcPr>
          <w:p>
            <w:pPr>
              <w:spacing w:before="60" w:after="60"/>
              <w:jc w:val="right"/>
              <w:rPr>
                <w:noProof/>
                <w:sz w:val="20"/>
              </w:rPr>
            </w:pPr>
            <w:r>
              <w:rPr>
                <w:rFonts w:asciiTheme="minorHAnsi" w:hAnsiTheme="minorHAnsi"/>
                <w:noProof/>
                <w:sz w:val="22"/>
              </w:rPr>
              <w:t>0,191</w:t>
            </w: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b/>
                <w:noProof/>
                <w:sz w:val="20"/>
              </w:rPr>
            </w:pPr>
          </w:p>
        </w:tc>
        <w:tc>
          <w:tcPr>
            <w:tcW w:w="1080" w:type="dxa"/>
            <w:vAlign w:val="center"/>
          </w:tcPr>
          <w:p>
            <w:pPr>
              <w:jc w:val="center"/>
              <w:rPr>
                <w:rFonts w:ascii="Calibri" w:hAnsi="Calibri"/>
                <w:b/>
                <w:bCs/>
                <w:noProof/>
                <w:color w:val="000000"/>
                <w:sz w:val="22"/>
              </w:rPr>
            </w:pPr>
          </w:p>
          <w:p>
            <w:pPr>
              <w:jc w:val="center"/>
              <w:rPr>
                <w:rFonts w:ascii="Calibri" w:hAnsi="Calibri"/>
                <w:b/>
                <w:bCs/>
                <w:noProof/>
                <w:color w:val="000000"/>
                <w:sz w:val="22"/>
              </w:rPr>
            </w:pPr>
            <w:r>
              <w:rPr>
                <w:rFonts w:ascii="Calibri" w:hAnsi="Calibri"/>
                <w:b/>
                <w:noProof/>
                <w:color w:val="000000"/>
                <w:sz w:val="22"/>
              </w:rPr>
              <w:t>0,764</w:t>
            </w:r>
          </w:p>
          <w:p>
            <w:pPr>
              <w:spacing w:before="60" w:after="60"/>
              <w:jc w:val="right"/>
              <w:rPr>
                <w:b/>
                <w:noProof/>
                <w:sz w:val="20"/>
              </w:rPr>
            </w:pPr>
          </w:p>
        </w:tc>
      </w:tr>
      <w:tr>
        <w:trPr>
          <w:trHeight w:val="585"/>
        </w:trPr>
        <w:tc>
          <w:tcPr>
            <w:tcW w:w="1980" w:type="dxa"/>
            <w:shd w:val="clear" w:color="auto" w:fill="CCCCCC"/>
            <w:vAlign w:val="center"/>
          </w:tcPr>
          <w:p>
            <w:pPr>
              <w:spacing w:before="60" w:after="60"/>
              <w:jc w:val="center"/>
              <w:rPr>
                <w:noProof/>
              </w:rPr>
            </w:pPr>
            <w:r>
              <w:rPr>
                <w:noProof/>
                <w:sz w:val="18"/>
              </w:rPr>
              <w:t>Napoteni nacionalni strokovnjaki</w:t>
            </w:r>
          </w:p>
        </w:tc>
        <w:tc>
          <w:tcPr>
            <w:tcW w:w="1080" w:type="dxa"/>
            <w:vAlign w:val="center"/>
          </w:tcPr>
          <w:p>
            <w:pPr>
              <w:spacing w:before="60" w:after="60"/>
              <w:jc w:val="center"/>
              <w:rPr>
                <w:b/>
                <w:bCs/>
                <w:noProof/>
                <w:sz w:val="20"/>
              </w:rPr>
            </w:pPr>
          </w:p>
        </w:tc>
        <w:tc>
          <w:tcPr>
            <w:tcW w:w="1080" w:type="dxa"/>
            <w:vAlign w:val="center"/>
          </w:tcPr>
          <w:p>
            <w:pPr>
              <w:spacing w:before="60" w:after="60"/>
              <w:jc w:val="center"/>
              <w:rPr>
                <w:b/>
                <w:bCs/>
                <w:noProof/>
                <w:sz w:val="20"/>
              </w:rPr>
            </w:pPr>
          </w:p>
        </w:tc>
        <w:tc>
          <w:tcPr>
            <w:tcW w:w="1080" w:type="dxa"/>
            <w:vAlign w:val="center"/>
          </w:tcPr>
          <w:p>
            <w:pPr>
              <w:spacing w:before="60" w:after="60"/>
              <w:jc w:val="center"/>
              <w:rPr>
                <w:b/>
                <w:bCs/>
                <w:noProof/>
                <w:sz w:val="20"/>
              </w:rPr>
            </w:pPr>
          </w:p>
        </w:tc>
        <w:tc>
          <w:tcPr>
            <w:tcW w:w="1080" w:type="dxa"/>
            <w:vAlign w:val="center"/>
          </w:tcPr>
          <w:p>
            <w:pPr>
              <w:spacing w:before="60" w:after="60"/>
              <w:jc w:val="center"/>
              <w:rPr>
                <w:b/>
                <w:bCs/>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noProof/>
                <w:sz w:val="20"/>
              </w:rPr>
            </w:pPr>
          </w:p>
        </w:tc>
        <w:tc>
          <w:tcPr>
            <w:tcW w:w="1080" w:type="dxa"/>
            <w:vAlign w:val="center"/>
          </w:tcPr>
          <w:p>
            <w:pPr>
              <w:spacing w:before="60" w:after="60"/>
              <w:jc w:val="right"/>
              <w:rPr>
                <w:b/>
                <w:noProof/>
                <w:sz w:val="20"/>
              </w:rPr>
            </w:pPr>
          </w:p>
        </w:tc>
        <w:tc>
          <w:tcPr>
            <w:tcW w:w="1080" w:type="dxa"/>
            <w:vAlign w:val="center"/>
          </w:tcPr>
          <w:p>
            <w:pPr>
              <w:jc w:val="right"/>
              <w:rPr>
                <w:rFonts w:ascii="Calibri" w:hAnsi="Calibri"/>
                <w:b/>
                <w:bCs/>
                <w:noProof/>
                <w:color w:val="000000"/>
                <w:sz w:val="22"/>
              </w:rPr>
            </w:pPr>
          </w:p>
        </w:tc>
      </w:tr>
      <w:tr>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pPr>
              <w:spacing w:before="60" w:after="60"/>
              <w:jc w:val="center"/>
              <w:rPr>
                <w:noProof/>
                <w:sz w:val="20"/>
              </w:rPr>
            </w:pPr>
            <w:r>
              <w:rPr>
                <w:b/>
                <w:noProof/>
                <w:sz w:val="20"/>
              </w:rPr>
              <w:t>SKUPAJ</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rFonts w:ascii="Calibri" w:hAnsi="Calibri"/>
                <w:b/>
                <w:bCs/>
                <w:noProof/>
                <w:color w:val="000000"/>
                <w:sz w:val="22"/>
              </w:rPr>
            </w:pPr>
            <w:r>
              <w:rPr>
                <w:rFonts w:ascii="Calibri" w:hAnsi="Calibri"/>
                <w:b/>
                <w:noProof/>
                <w:color w:val="000000"/>
                <w:sz w:val="22"/>
              </w:rPr>
              <w:t>0,291</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rFonts w:ascii="Calibri" w:hAnsi="Calibri"/>
                <w:b/>
                <w:bCs/>
                <w:noProof/>
                <w:color w:val="000000"/>
                <w:sz w:val="22"/>
              </w:rPr>
            </w:pPr>
            <w:r>
              <w:rPr>
                <w:rFonts w:ascii="Calibri" w:hAnsi="Calibri"/>
                <w:b/>
                <w:noProof/>
                <w:color w:val="000000"/>
                <w:sz w:val="22"/>
              </w:rPr>
              <w:t>0,291</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rFonts w:ascii="Calibri" w:hAnsi="Calibri"/>
                <w:b/>
                <w:bCs/>
                <w:noProof/>
                <w:color w:val="000000"/>
                <w:sz w:val="22"/>
              </w:rPr>
            </w:pPr>
            <w:r>
              <w:rPr>
                <w:rFonts w:ascii="Calibri" w:hAnsi="Calibri"/>
                <w:b/>
                <w:noProof/>
                <w:color w:val="000000"/>
                <w:sz w:val="22"/>
              </w:rPr>
              <w:t>0,291</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rFonts w:ascii="Calibri" w:hAnsi="Calibri"/>
                <w:b/>
                <w:bCs/>
                <w:noProof/>
                <w:color w:val="000000"/>
                <w:sz w:val="22"/>
              </w:rPr>
            </w:pPr>
            <w:r>
              <w:rPr>
                <w:rFonts w:ascii="Calibri" w:hAnsi="Calibri"/>
                <w:b/>
                <w:noProof/>
                <w:color w:val="000000"/>
                <w:sz w:val="22"/>
              </w:rPr>
              <w:t>0,291</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bCs/>
                <w:noProof/>
                <w:sz w:val="20"/>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bCs/>
                <w:noProof/>
                <w:sz w:val="20"/>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b/>
                <w:bCs/>
                <w:noProof/>
                <w:sz w:val="20"/>
              </w:rPr>
            </w:pPr>
          </w:p>
        </w:tc>
        <w:tc>
          <w:tcPr>
            <w:tcW w:w="1080" w:type="dxa"/>
            <w:tcBorders>
              <w:top w:val="single" w:sz="12" w:space="0" w:color="auto"/>
              <w:left w:val="single" w:sz="2" w:space="0" w:color="auto"/>
              <w:bottom w:val="single" w:sz="12" w:space="0" w:color="auto"/>
              <w:right w:val="single" w:sz="12" w:space="0" w:color="auto"/>
            </w:tcBorders>
            <w:vAlign w:val="center"/>
          </w:tcPr>
          <w:p>
            <w:pPr>
              <w:spacing w:before="60" w:after="60"/>
              <w:jc w:val="center"/>
              <w:rPr>
                <w:b/>
                <w:bCs/>
                <w:noProof/>
                <w:sz w:val="20"/>
              </w:rPr>
            </w:pPr>
            <w:r>
              <w:rPr>
                <w:rFonts w:ascii="Calibri" w:hAnsi="Calibri"/>
                <w:b/>
                <w:noProof/>
                <w:color w:val="000000"/>
                <w:sz w:val="22"/>
              </w:rPr>
              <w:t>1,164</w:t>
            </w:r>
          </w:p>
        </w:tc>
      </w:tr>
    </w:tbl>
    <w:p>
      <w:pPr>
        <w:rPr>
          <w:noProof/>
        </w:rPr>
      </w:pPr>
      <w:r>
        <w:rPr>
          <w:b/>
          <w:noProof/>
        </w:rPr>
        <w:t xml:space="preserve">Predpostavlja se, da je </w:t>
      </w:r>
      <w:r>
        <w:rPr>
          <w:noProof/>
        </w:rPr>
        <w:t>načrtovani datum zaposlitve 1. januar 2020.</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vAlign w:val="center"/>
          </w:tcPr>
          <w:p>
            <w:pPr>
              <w:spacing w:before="60" w:after="60"/>
              <w:jc w:val="center"/>
              <w:rPr>
                <w:b/>
                <w:bCs/>
                <w:noProof/>
                <w:sz w:val="20"/>
              </w:rPr>
            </w:pPr>
            <w:r>
              <w:rPr>
                <w:b/>
                <w:noProof/>
                <w:sz w:val="20"/>
              </w:rPr>
              <w:t>Evropska komisija (10 uradnikov)</w:t>
            </w:r>
            <w:r>
              <w:rPr>
                <w:rStyle w:val="FootnoteReference"/>
                <w:b/>
                <w:noProof/>
                <w:sz w:val="20"/>
              </w:rPr>
              <w:footnoteReference w:id="85"/>
            </w:r>
            <w:r>
              <w:rPr>
                <w:b/>
                <w:noProof/>
                <w:sz w:val="20"/>
              </w:rPr>
              <w:t xml:space="preserve"> </w:t>
            </w:r>
          </w:p>
        </w:tc>
        <w:tc>
          <w:tcPr>
            <w:tcW w:w="1080" w:type="dxa"/>
            <w:vAlign w:val="center"/>
          </w:tcPr>
          <w:p>
            <w:pPr>
              <w:spacing w:before="60" w:after="60"/>
              <w:jc w:val="center"/>
              <w:rPr>
                <w:noProof/>
                <w:sz w:val="20"/>
              </w:rPr>
            </w:pPr>
            <w:r>
              <w:rPr>
                <w:noProof/>
                <w:sz w:val="20"/>
              </w:rPr>
              <w:t>Leto</w:t>
            </w:r>
            <w:r>
              <w:rPr>
                <w:noProof/>
                <w:sz w:val="22"/>
              </w:rPr>
              <w:br/>
            </w:r>
            <w:r>
              <w:rPr>
                <w:b/>
                <w:noProof/>
                <w:sz w:val="20"/>
              </w:rPr>
              <w:t xml:space="preserve">2020 </w:t>
            </w:r>
            <w:r>
              <w:rPr>
                <w:rStyle w:val="FootnoteReference"/>
                <w:b/>
                <w:noProof/>
                <w:sz w:val="20"/>
              </w:rPr>
              <w:footnoteReference w:id="86"/>
            </w:r>
          </w:p>
        </w:tc>
        <w:tc>
          <w:tcPr>
            <w:tcW w:w="1080" w:type="dxa"/>
            <w:vAlign w:val="center"/>
          </w:tcPr>
          <w:p>
            <w:pPr>
              <w:spacing w:before="60" w:after="60"/>
              <w:jc w:val="center"/>
              <w:rPr>
                <w:noProof/>
                <w:sz w:val="20"/>
              </w:rPr>
            </w:pPr>
            <w:r>
              <w:rPr>
                <w:noProof/>
                <w:sz w:val="20"/>
              </w:rPr>
              <w:t>Leto</w:t>
            </w:r>
            <w:r>
              <w:rPr>
                <w:noProof/>
                <w:sz w:val="22"/>
              </w:rPr>
              <w:br/>
            </w:r>
            <w:r>
              <w:rPr>
                <w:b/>
                <w:noProof/>
                <w:sz w:val="20"/>
              </w:rPr>
              <w:t>2021</w:t>
            </w:r>
          </w:p>
        </w:tc>
        <w:tc>
          <w:tcPr>
            <w:tcW w:w="1080" w:type="dxa"/>
            <w:vAlign w:val="center"/>
          </w:tcPr>
          <w:p>
            <w:pPr>
              <w:spacing w:before="60" w:after="60"/>
              <w:jc w:val="center"/>
              <w:rPr>
                <w:noProof/>
                <w:sz w:val="20"/>
              </w:rPr>
            </w:pPr>
            <w:r>
              <w:rPr>
                <w:noProof/>
                <w:sz w:val="20"/>
              </w:rPr>
              <w:t>Leto</w:t>
            </w:r>
            <w:r>
              <w:rPr>
                <w:noProof/>
                <w:sz w:val="22"/>
              </w:rPr>
              <w:br/>
            </w:r>
            <w:r>
              <w:rPr>
                <w:b/>
                <w:noProof/>
                <w:sz w:val="20"/>
              </w:rPr>
              <w:t>2022</w:t>
            </w:r>
          </w:p>
        </w:tc>
        <w:tc>
          <w:tcPr>
            <w:tcW w:w="1080" w:type="dxa"/>
            <w:vAlign w:val="center"/>
          </w:tcPr>
          <w:p>
            <w:pPr>
              <w:spacing w:before="60" w:after="60"/>
              <w:jc w:val="center"/>
              <w:rPr>
                <w:noProof/>
                <w:sz w:val="20"/>
              </w:rPr>
            </w:pPr>
            <w:r>
              <w:rPr>
                <w:noProof/>
                <w:sz w:val="20"/>
              </w:rPr>
              <w:t>Leto</w:t>
            </w:r>
            <w:r>
              <w:rPr>
                <w:noProof/>
                <w:sz w:val="22"/>
              </w:rPr>
              <w:br/>
            </w:r>
            <w:r>
              <w:rPr>
                <w:b/>
                <w:noProof/>
                <w:sz w:val="20"/>
              </w:rPr>
              <w:t>2023</w:t>
            </w:r>
          </w:p>
        </w:tc>
        <w:tc>
          <w:tcPr>
            <w:tcW w:w="3240" w:type="dxa"/>
            <w:gridSpan w:val="3"/>
            <w:vAlign w:val="center"/>
          </w:tcPr>
          <w:p>
            <w:pPr>
              <w:jc w:val="center"/>
              <w:rPr>
                <w:b/>
                <w:noProof/>
                <w:sz w:val="20"/>
              </w:rPr>
            </w:pPr>
            <w:r>
              <w:rPr>
                <w:noProof/>
                <w:sz w:val="20"/>
              </w:rPr>
              <w:t>Vstavite ustrezno število let glede na trajanje posledic (gl. točko 1.6)</w:t>
            </w:r>
          </w:p>
        </w:tc>
        <w:tc>
          <w:tcPr>
            <w:tcW w:w="1080" w:type="dxa"/>
            <w:vAlign w:val="center"/>
          </w:tcPr>
          <w:p>
            <w:pPr>
              <w:spacing w:before="60" w:after="60"/>
              <w:jc w:val="center"/>
              <w:rPr>
                <w:b/>
                <w:noProof/>
                <w:sz w:val="20"/>
              </w:rPr>
            </w:pPr>
            <w:r>
              <w:rPr>
                <w:b/>
                <w:noProof/>
                <w:sz w:val="20"/>
              </w:rPr>
              <w:t>SKUPAJ</w:t>
            </w:r>
          </w:p>
        </w:tc>
      </w:tr>
      <w:tr>
        <w:trPr>
          <w:trHeight w:val="585"/>
        </w:trPr>
        <w:tc>
          <w:tcPr>
            <w:tcW w:w="1980" w:type="dxa"/>
            <w:shd w:val="clear" w:color="auto" w:fill="CCCCCC"/>
            <w:vAlign w:val="center"/>
          </w:tcPr>
          <w:p>
            <w:pPr>
              <w:spacing w:before="60" w:after="60"/>
              <w:jc w:val="center"/>
              <w:rPr>
                <w:noProof/>
              </w:rPr>
            </w:pPr>
            <w:r>
              <w:rPr>
                <w:noProof/>
                <w:sz w:val="18"/>
              </w:rPr>
              <w:t>Uradniki (razredi AD)</w:t>
            </w:r>
          </w:p>
        </w:tc>
        <w:tc>
          <w:tcPr>
            <w:tcW w:w="1080" w:type="dxa"/>
            <w:vAlign w:val="center"/>
          </w:tcPr>
          <w:p>
            <w:pPr>
              <w:spacing w:before="60" w:after="60"/>
              <w:jc w:val="center"/>
              <w:rPr>
                <w:rFonts w:asciiTheme="minorHAnsi" w:hAnsiTheme="minorHAnsi"/>
                <w:noProof/>
                <w:sz w:val="22"/>
              </w:rPr>
            </w:pPr>
            <w:r>
              <w:rPr>
                <w:rFonts w:asciiTheme="minorHAnsi" w:hAnsiTheme="minorHAnsi"/>
                <w:noProof/>
                <w:color w:val="000000"/>
                <w:sz w:val="22"/>
              </w:rPr>
              <w:t>1,144</w:t>
            </w:r>
          </w:p>
        </w:tc>
        <w:tc>
          <w:tcPr>
            <w:tcW w:w="1080" w:type="dxa"/>
            <w:vAlign w:val="center"/>
          </w:tcPr>
          <w:p>
            <w:pPr>
              <w:spacing w:before="60" w:after="60"/>
              <w:jc w:val="center"/>
              <w:rPr>
                <w:rFonts w:asciiTheme="minorHAnsi" w:hAnsiTheme="minorHAnsi"/>
                <w:noProof/>
                <w:sz w:val="22"/>
              </w:rPr>
            </w:pPr>
            <w:r>
              <w:rPr>
                <w:rFonts w:asciiTheme="minorHAnsi" w:hAnsiTheme="minorHAnsi"/>
                <w:noProof/>
                <w:color w:val="000000"/>
                <w:sz w:val="22"/>
              </w:rPr>
              <w:t>1,144</w:t>
            </w:r>
          </w:p>
        </w:tc>
        <w:tc>
          <w:tcPr>
            <w:tcW w:w="1080" w:type="dxa"/>
            <w:vAlign w:val="center"/>
          </w:tcPr>
          <w:p>
            <w:pPr>
              <w:spacing w:before="60" w:after="60"/>
              <w:jc w:val="center"/>
              <w:rPr>
                <w:rFonts w:asciiTheme="minorHAnsi" w:hAnsiTheme="minorHAnsi"/>
                <w:noProof/>
                <w:sz w:val="22"/>
              </w:rPr>
            </w:pPr>
            <w:r>
              <w:rPr>
                <w:rFonts w:asciiTheme="minorHAnsi" w:hAnsiTheme="minorHAnsi"/>
                <w:noProof/>
                <w:color w:val="000000"/>
                <w:sz w:val="22"/>
              </w:rPr>
              <w:t>1,144</w:t>
            </w:r>
          </w:p>
        </w:tc>
        <w:tc>
          <w:tcPr>
            <w:tcW w:w="1080" w:type="dxa"/>
            <w:vAlign w:val="center"/>
          </w:tcPr>
          <w:p>
            <w:pPr>
              <w:spacing w:before="60" w:after="60"/>
              <w:jc w:val="center"/>
              <w:rPr>
                <w:rFonts w:asciiTheme="minorHAnsi" w:hAnsiTheme="minorHAnsi"/>
                <w:noProof/>
                <w:color w:val="000000"/>
                <w:sz w:val="22"/>
              </w:rPr>
            </w:pPr>
            <w:r>
              <w:rPr>
                <w:rFonts w:asciiTheme="minorHAnsi" w:hAnsiTheme="minorHAnsi"/>
                <w:noProof/>
                <w:color w:val="000000"/>
                <w:sz w:val="22"/>
              </w:rPr>
              <w:t>1,144</w:t>
            </w:r>
          </w:p>
        </w:tc>
        <w:tc>
          <w:tcPr>
            <w:tcW w:w="1080" w:type="dxa"/>
            <w:vAlign w:val="center"/>
          </w:tcPr>
          <w:p>
            <w:pPr>
              <w:spacing w:before="60" w:after="60"/>
              <w:jc w:val="center"/>
              <w:rPr>
                <w:rFonts w:asciiTheme="minorHAnsi" w:hAnsiTheme="minorHAnsi"/>
                <w:noProof/>
                <w:sz w:val="22"/>
              </w:rPr>
            </w:pPr>
            <w:r>
              <w:rPr>
                <w:rFonts w:asciiTheme="minorHAnsi" w:hAnsiTheme="minorHAnsi"/>
                <w:noProof/>
                <w:color w:val="000000"/>
                <w:sz w:val="22"/>
              </w:rPr>
              <w:t> </w:t>
            </w:r>
          </w:p>
        </w:tc>
        <w:tc>
          <w:tcPr>
            <w:tcW w:w="1080" w:type="dxa"/>
            <w:vAlign w:val="center"/>
          </w:tcPr>
          <w:p>
            <w:pPr>
              <w:spacing w:before="60" w:after="60"/>
              <w:jc w:val="center"/>
              <w:rPr>
                <w:rFonts w:asciiTheme="minorHAnsi" w:hAnsiTheme="minorHAnsi"/>
                <w:noProof/>
                <w:sz w:val="22"/>
              </w:rPr>
            </w:pPr>
            <w:r>
              <w:rPr>
                <w:rFonts w:asciiTheme="minorHAnsi" w:hAnsiTheme="minorHAnsi"/>
                <w:noProof/>
                <w:color w:val="000000"/>
                <w:sz w:val="22"/>
              </w:rPr>
              <w:t> </w:t>
            </w:r>
          </w:p>
        </w:tc>
        <w:tc>
          <w:tcPr>
            <w:tcW w:w="1080" w:type="dxa"/>
            <w:vAlign w:val="center"/>
          </w:tcPr>
          <w:p>
            <w:pPr>
              <w:spacing w:before="60" w:after="60"/>
              <w:jc w:val="center"/>
              <w:rPr>
                <w:rFonts w:asciiTheme="minorHAnsi" w:hAnsiTheme="minorHAnsi"/>
                <w:b/>
                <w:noProof/>
                <w:sz w:val="22"/>
              </w:rPr>
            </w:pPr>
            <w:r>
              <w:rPr>
                <w:rFonts w:asciiTheme="minorHAnsi" w:hAnsiTheme="minorHAnsi"/>
                <w:b/>
                <w:noProof/>
                <w:color w:val="000000"/>
                <w:sz w:val="22"/>
              </w:rPr>
              <w:t> </w:t>
            </w:r>
          </w:p>
        </w:tc>
        <w:tc>
          <w:tcPr>
            <w:tcW w:w="1080" w:type="dxa"/>
            <w:vAlign w:val="center"/>
          </w:tcPr>
          <w:p>
            <w:pPr>
              <w:jc w:val="center"/>
              <w:rPr>
                <w:rFonts w:asciiTheme="minorHAnsi" w:hAnsiTheme="minorHAnsi"/>
                <w:b/>
                <w:bCs/>
                <w:noProof/>
                <w:color w:val="000000"/>
                <w:sz w:val="22"/>
              </w:rPr>
            </w:pPr>
            <w:r>
              <w:rPr>
                <w:rFonts w:asciiTheme="minorHAnsi" w:hAnsiTheme="minorHAnsi"/>
                <w:b/>
                <w:noProof/>
                <w:color w:val="000000"/>
                <w:sz w:val="22"/>
              </w:rPr>
              <w:t>4,576</w:t>
            </w:r>
          </w:p>
        </w:tc>
      </w:tr>
      <w:tr>
        <w:trPr>
          <w:trHeight w:val="585"/>
        </w:trPr>
        <w:tc>
          <w:tcPr>
            <w:tcW w:w="1980" w:type="dxa"/>
            <w:vAlign w:val="center"/>
          </w:tcPr>
          <w:p>
            <w:pPr>
              <w:spacing w:before="60" w:after="60"/>
              <w:ind w:left="72"/>
              <w:rPr>
                <w:noProof/>
                <w:sz w:val="18"/>
                <w:szCs w:val="18"/>
              </w:rPr>
            </w:pPr>
            <w:r>
              <w:rPr>
                <w:noProof/>
                <w:sz w:val="18"/>
              </w:rPr>
              <w:t>Uradniki (razredi AST)</w:t>
            </w:r>
          </w:p>
        </w:tc>
        <w:tc>
          <w:tcPr>
            <w:tcW w:w="1080" w:type="dxa"/>
            <w:vAlign w:val="center"/>
          </w:tcPr>
          <w:p>
            <w:pPr>
              <w:spacing w:before="60" w:after="60"/>
              <w:jc w:val="center"/>
              <w:rPr>
                <w:rFonts w:asciiTheme="minorHAnsi" w:hAnsiTheme="minorHAnsi"/>
                <w:noProof/>
                <w:sz w:val="22"/>
              </w:rPr>
            </w:pPr>
            <w:r>
              <w:rPr>
                <w:rFonts w:asciiTheme="minorHAnsi" w:hAnsiTheme="minorHAnsi"/>
                <w:noProof/>
                <w:color w:val="000000"/>
                <w:sz w:val="22"/>
              </w:rPr>
              <w:t>0,286</w:t>
            </w:r>
          </w:p>
        </w:tc>
        <w:tc>
          <w:tcPr>
            <w:tcW w:w="1080" w:type="dxa"/>
            <w:vAlign w:val="center"/>
          </w:tcPr>
          <w:p>
            <w:pPr>
              <w:spacing w:before="60" w:after="60"/>
              <w:jc w:val="center"/>
              <w:rPr>
                <w:rFonts w:asciiTheme="minorHAnsi" w:hAnsiTheme="minorHAnsi"/>
                <w:noProof/>
                <w:sz w:val="22"/>
              </w:rPr>
            </w:pPr>
            <w:r>
              <w:rPr>
                <w:rFonts w:asciiTheme="minorHAnsi" w:hAnsiTheme="minorHAnsi"/>
                <w:noProof/>
                <w:color w:val="000000"/>
                <w:sz w:val="22"/>
              </w:rPr>
              <w:t>0,286</w:t>
            </w:r>
          </w:p>
        </w:tc>
        <w:tc>
          <w:tcPr>
            <w:tcW w:w="1080" w:type="dxa"/>
            <w:vAlign w:val="center"/>
          </w:tcPr>
          <w:p>
            <w:pPr>
              <w:spacing w:before="60" w:after="60"/>
              <w:jc w:val="center"/>
              <w:rPr>
                <w:rFonts w:asciiTheme="minorHAnsi" w:hAnsiTheme="minorHAnsi"/>
                <w:noProof/>
                <w:sz w:val="22"/>
              </w:rPr>
            </w:pPr>
            <w:r>
              <w:rPr>
                <w:rFonts w:asciiTheme="minorHAnsi" w:hAnsiTheme="minorHAnsi"/>
                <w:noProof/>
                <w:color w:val="000000"/>
                <w:sz w:val="22"/>
              </w:rPr>
              <w:t>0,286</w:t>
            </w:r>
          </w:p>
        </w:tc>
        <w:tc>
          <w:tcPr>
            <w:tcW w:w="1080" w:type="dxa"/>
            <w:vAlign w:val="center"/>
          </w:tcPr>
          <w:p>
            <w:pPr>
              <w:spacing w:before="60" w:after="60"/>
              <w:jc w:val="center"/>
              <w:rPr>
                <w:rFonts w:asciiTheme="minorHAnsi" w:hAnsiTheme="minorHAnsi"/>
                <w:noProof/>
                <w:sz w:val="22"/>
              </w:rPr>
            </w:pPr>
            <w:r>
              <w:rPr>
                <w:rFonts w:asciiTheme="minorHAnsi" w:hAnsiTheme="minorHAnsi"/>
                <w:noProof/>
                <w:color w:val="000000"/>
                <w:sz w:val="22"/>
              </w:rPr>
              <w:t>0,286</w:t>
            </w:r>
          </w:p>
        </w:tc>
        <w:tc>
          <w:tcPr>
            <w:tcW w:w="1080" w:type="dxa"/>
            <w:vAlign w:val="center"/>
          </w:tcPr>
          <w:p>
            <w:pPr>
              <w:spacing w:before="60" w:after="60"/>
              <w:jc w:val="right"/>
              <w:rPr>
                <w:rFonts w:asciiTheme="minorHAnsi" w:hAnsiTheme="minorHAnsi"/>
                <w:noProof/>
                <w:sz w:val="22"/>
              </w:rPr>
            </w:pPr>
            <w:r>
              <w:rPr>
                <w:rFonts w:asciiTheme="minorHAnsi" w:hAnsiTheme="minorHAnsi"/>
                <w:noProof/>
                <w:color w:val="000000"/>
                <w:sz w:val="22"/>
              </w:rPr>
              <w:t> </w:t>
            </w:r>
          </w:p>
        </w:tc>
        <w:tc>
          <w:tcPr>
            <w:tcW w:w="1080" w:type="dxa"/>
            <w:vAlign w:val="center"/>
          </w:tcPr>
          <w:p>
            <w:pPr>
              <w:spacing w:before="60" w:after="60"/>
              <w:jc w:val="right"/>
              <w:rPr>
                <w:rFonts w:asciiTheme="minorHAnsi" w:hAnsiTheme="minorHAnsi"/>
                <w:noProof/>
                <w:sz w:val="22"/>
              </w:rPr>
            </w:pPr>
            <w:r>
              <w:rPr>
                <w:rFonts w:asciiTheme="minorHAnsi" w:hAnsiTheme="minorHAnsi"/>
                <w:noProof/>
                <w:color w:val="000000"/>
                <w:sz w:val="22"/>
              </w:rPr>
              <w:t> </w:t>
            </w:r>
          </w:p>
        </w:tc>
        <w:tc>
          <w:tcPr>
            <w:tcW w:w="1080" w:type="dxa"/>
            <w:vAlign w:val="center"/>
          </w:tcPr>
          <w:p>
            <w:pPr>
              <w:spacing w:before="60" w:after="60"/>
              <w:jc w:val="right"/>
              <w:rPr>
                <w:rFonts w:asciiTheme="minorHAnsi" w:hAnsiTheme="minorHAnsi"/>
                <w:b/>
                <w:noProof/>
                <w:sz w:val="22"/>
              </w:rPr>
            </w:pPr>
            <w:r>
              <w:rPr>
                <w:rFonts w:asciiTheme="minorHAnsi" w:hAnsiTheme="minorHAnsi"/>
                <w:b/>
                <w:noProof/>
                <w:color w:val="000000"/>
                <w:sz w:val="22"/>
              </w:rPr>
              <w:t> </w:t>
            </w:r>
          </w:p>
        </w:tc>
        <w:tc>
          <w:tcPr>
            <w:tcW w:w="1080" w:type="dxa"/>
            <w:vAlign w:val="center"/>
          </w:tcPr>
          <w:p>
            <w:pPr>
              <w:spacing w:before="60" w:after="60"/>
              <w:jc w:val="center"/>
              <w:rPr>
                <w:rFonts w:asciiTheme="minorHAnsi" w:hAnsiTheme="minorHAnsi"/>
                <w:b/>
                <w:noProof/>
                <w:sz w:val="22"/>
              </w:rPr>
            </w:pPr>
            <w:r>
              <w:rPr>
                <w:rFonts w:asciiTheme="minorHAnsi" w:hAnsiTheme="minorHAnsi"/>
                <w:b/>
                <w:noProof/>
                <w:color w:val="000000"/>
                <w:sz w:val="22"/>
              </w:rPr>
              <w:t>1,144</w:t>
            </w:r>
          </w:p>
        </w:tc>
      </w:tr>
      <w:tr>
        <w:trPr>
          <w:trHeight w:val="585"/>
        </w:trPr>
        <w:tc>
          <w:tcPr>
            <w:tcW w:w="1980" w:type="dxa"/>
            <w:vAlign w:val="center"/>
          </w:tcPr>
          <w:p>
            <w:pPr>
              <w:spacing w:before="60" w:after="60"/>
              <w:ind w:left="72"/>
              <w:rPr>
                <w:noProof/>
              </w:rPr>
            </w:pPr>
            <w:r>
              <w:rPr>
                <w:noProof/>
                <w:sz w:val="20"/>
              </w:rPr>
              <w:t>Pogodbeni uslužbenci</w:t>
            </w:r>
          </w:p>
        </w:tc>
        <w:tc>
          <w:tcPr>
            <w:tcW w:w="1080" w:type="dxa"/>
            <w:vAlign w:val="center"/>
          </w:tcPr>
          <w:p>
            <w:pPr>
              <w:spacing w:before="60" w:after="60"/>
              <w:jc w:val="right"/>
              <w:rPr>
                <w:rFonts w:asciiTheme="minorHAnsi" w:hAnsiTheme="minorHAnsi"/>
                <w:noProof/>
                <w:sz w:val="22"/>
              </w:rPr>
            </w:pPr>
            <w:r>
              <w:rPr>
                <w:rFonts w:asciiTheme="minorHAnsi" w:hAnsiTheme="minorHAnsi"/>
                <w:noProof/>
                <w:color w:val="000000"/>
                <w:sz w:val="22"/>
              </w:rPr>
              <w:t> </w:t>
            </w:r>
          </w:p>
        </w:tc>
        <w:tc>
          <w:tcPr>
            <w:tcW w:w="1080" w:type="dxa"/>
            <w:vAlign w:val="center"/>
          </w:tcPr>
          <w:p>
            <w:pPr>
              <w:spacing w:before="60" w:after="60"/>
              <w:jc w:val="right"/>
              <w:rPr>
                <w:rFonts w:asciiTheme="minorHAnsi" w:hAnsiTheme="minorHAnsi"/>
                <w:noProof/>
                <w:sz w:val="22"/>
              </w:rPr>
            </w:pPr>
            <w:r>
              <w:rPr>
                <w:rFonts w:asciiTheme="minorHAnsi" w:hAnsiTheme="minorHAnsi"/>
                <w:noProof/>
                <w:color w:val="000000"/>
                <w:sz w:val="22"/>
              </w:rPr>
              <w:t> </w:t>
            </w:r>
          </w:p>
        </w:tc>
        <w:tc>
          <w:tcPr>
            <w:tcW w:w="1080" w:type="dxa"/>
            <w:vAlign w:val="center"/>
          </w:tcPr>
          <w:p>
            <w:pPr>
              <w:spacing w:before="60" w:after="60"/>
              <w:jc w:val="right"/>
              <w:rPr>
                <w:rFonts w:asciiTheme="minorHAnsi" w:hAnsiTheme="minorHAnsi"/>
                <w:noProof/>
                <w:sz w:val="22"/>
              </w:rPr>
            </w:pPr>
            <w:r>
              <w:rPr>
                <w:rFonts w:asciiTheme="minorHAnsi" w:hAnsiTheme="minorHAnsi"/>
                <w:noProof/>
                <w:color w:val="000000"/>
                <w:sz w:val="22"/>
              </w:rPr>
              <w:t> </w:t>
            </w:r>
          </w:p>
        </w:tc>
        <w:tc>
          <w:tcPr>
            <w:tcW w:w="1080" w:type="dxa"/>
            <w:vAlign w:val="center"/>
          </w:tcPr>
          <w:p>
            <w:pPr>
              <w:spacing w:before="60" w:after="60"/>
              <w:jc w:val="right"/>
              <w:rPr>
                <w:rFonts w:asciiTheme="minorHAnsi" w:hAnsiTheme="minorHAnsi"/>
                <w:noProof/>
                <w:sz w:val="22"/>
              </w:rPr>
            </w:pPr>
            <w:r>
              <w:rPr>
                <w:rFonts w:asciiTheme="minorHAnsi" w:hAnsiTheme="minorHAnsi"/>
                <w:noProof/>
                <w:color w:val="000000"/>
                <w:sz w:val="22"/>
              </w:rPr>
              <w:t> </w:t>
            </w:r>
          </w:p>
        </w:tc>
        <w:tc>
          <w:tcPr>
            <w:tcW w:w="1080" w:type="dxa"/>
            <w:vAlign w:val="center"/>
          </w:tcPr>
          <w:p>
            <w:pPr>
              <w:spacing w:before="60" w:after="60"/>
              <w:jc w:val="right"/>
              <w:rPr>
                <w:rFonts w:asciiTheme="minorHAnsi" w:hAnsiTheme="minorHAnsi"/>
                <w:noProof/>
                <w:sz w:val="22"/>
              </w:rPr>
            </w:pPr>
            <w:r>
              <w:rPr>
                <w:rFonts w:asciiTheme="minorHAnsi" w:hAnsiTheme="minorHAnsi"/>
                <w:noProof/>
                <w:color w:val="000000"/>
                <w:sz w:val="22"/>
              </w:rPr>
              <w:t> </w:t>
            </w:r>
          </w:p>
        </w:tc>
        <w:tc>
          <w:tcPr>
            <w:tcW w:w="1080" w:type="dxa"/>
            <w:vAlign w:val="center"/>
          </w:tcPr>
          <w:p>
            <w:pPr>
              <w:spacing w:before="60" w:after="60"/>
              <w:jc w:val="right"/>
              <w:rPr>
                <w:rFonts w:asciiTheme="minorHAnsi" w:hAnsiTheme="minorHAnsi"/>
                <w:noProof/>
                <w:sz w:val="22"/>
              </w:rPr>
            </w:pPr>
            <w:r>
              <w:rPr>
                <w:rFonts w:asciiTheme="minorHAnsi" w:hAnsiTheme="minorHAnsi"/>
                <w:noProof/>
                <w:color w:val="000000"/>
                <w:sz w:val="22"/>
              </w:rPr>
              <w:t> </w:t>
            </w:r>
          </w:p>
        </w:tc>
        <w:tc>
          <w:tcPr>
            <w:tcW w:w="1080" w:type="dxa"/>
            <w:vAlign w:val="center"/>
          </w:tcPr>
          <w:p>
            <w:pPr>
              <w:spacing w:before="60" w:after="60"/>
              <w:jc w:val="right"/>
              <w:rPr>
                <w:rFonts w:asciiTheme="minorHAnsi" w:hAnsiTheme="minorHAnsi"/>
                <w:b/>
                <w:noProof/>
                <w:sz w:val="22"/>
              </w:rPr>
            </w:pPr>
            <w:r>
              <w:rPr>
                <w:rFonts w:asciiTheme="minorHAnsi" w:hAnsiTheme="minorHAnsi"/>
                <w:b/>
                <w:noProof/>
                <w:color w:val="000000"/>
                <w:sz w:val="22"/>
              </w:rPr>
              <w:t> </w:t>
            </w:r>
          </w:p>
        </w:tc>
        <w:tc>
          <w:tcPr>
            <w:tcW w:w="1080" w:type="dxa"/>
            <w:vAlign w:val="center"/>
          </w:tcPr>
          <w:p>
            <w:pPr>
              <w:spacing w:before="60" w:after="60"/>
              <w:jc w:val="center"/>
              <w:rPr>
                <w:rFonts w:asciiTheme="minorHAnsi" w:hAnsiTheme="minorHAnsi"/>
                <w:b/>
                <w:noProof/>
                <w:sz w:val="22"/>
              </w:rPr>
            </w:pPr>
          </w:p>
        </w:tc>
      </w:tr>
      <w:tr>
        <w:trPr>
          <w:trHeight w:val="585"/>
        </w:trPr>
        <w:tc>
          <w:tcPr>
            <w:tcW w:w="1980" w:type="dxa"/>
            <w:shd w:val="clear" w:color="auto" w:fill="CCCCCC"/>
            <w:vAlign w:val="center"/>
          </w:tcPr>
          <w:p>
            <w:pPr>
              <w:spacing w:before="60" w:after="60"/>
              <w:jc w:val="left"/>
              <w:rPr>
                <w:noProof/>
              </w:rPr>
            </w:pPr>
            <w:r>
              <w:rPr>
                <w:noProof/>
                <w:sz w:val="18"/>
              </w:rPr>
              <w:t xml:space="preserve">Začasni uslužbenci </w:t>
            </w:r>
          </w:p>
        </w:tc>
        <w:tc>
          <w:tcPr>
            <w:tcW w:w="1080" w:type="dxa"/>
            <w:vAlign w:val="center"/>
          </w:tcPr>
          <w:p>
            <w:pPr>
              <w:spacing w:before="60" w:after="60"/>
              <w:jc w:val="right"/>
              <w:rPr>
                <w:rFonts w:asciiTheme="minorHAnsi" w:hAnsiTheme="minorHAnsi"/>
                <w:noProof/>
                <w:sz w:val="22"/>
              </w:rPr>
            </w:pPr>
            <w:r>
              <w:rPr>
                <w:rFonts w:asciiTheme="minorHAnsi" w:hAnsiTheme="minorHAnsi"/>
                <w:noProof/>
                <w:color w:val="000000"/>
                <w:sz w:val="22"/>
              </w:rPr>
              <w:t> </w:t>
            </w:r>
          </w:p>
        </w:tc>
        <w:tc>
          <w:tcPr>
            <w:tcW w:w="1080" w:type="dxa"/>
            <w:vAlign w:val="center"/>
          </w:tcPr>
          <w:p>
            <w:pPr>
              <w:spacing w:before="60" w:after="60"/>
              <w:jc w:val="right"/>
              <w:rPr>
                <w:rFonts w:asciiTheme="minorHAnsi" w:hAnsiTheme="minorHAnsi"/>
                <w:noProof/>
                <w:sz w:val="22"/>
              </w:rPr>
            </w:pPr>
            <w:r>
              <w:rPr>
                <w:rFonts w:asciiTheme="minorHAnsi" w:hAnsiTheme="minorHAnsi"/>
                <w:noProof/>
                <w:color w:val="000000"/>
                <w:sz w:val="22"/>
              </w:rPr>
              <w:t> </w:t>
            </w:r>
          </w:p>
        </w:tc>
        <w:tc>
          <w:tcPr>
            <w:tcW w:w="1080" w:type="dxa"/>
            <w:vAlign w:val="center"/>
          </w:tcPr>
          <w:p>
            <w:pPr>
              <w:spacing w:before="60" w:after="60"/>
              <w:jc w:val="right"/>
              <w:rPr>
                <w:rFonts w:asciiTheme="minorHAnsi" w:hAnsiTheme="minorHAnsi"/>
                <w:noProof/>
                <w:sz w:val="22"/>
              </w:rPr>
            </w:pPr>
            <w:r>
              <w:rPr>
                <w:rFonts w:asciiTheme="minorHAnsi" w:hAnsiTheme="minorHAnsi"/>
                <w:noProof/>
                <w:color w:val="000000"/>
                <w:sz w:val="22"/>
              </w:rPr>
              <w:t> </w:t>
            </w:r>
          </w:p>
        </w:tc>
        <w:tc>
          <w:tcPr>
            <w:tcW w:w="1080" w:type="dxa"/>
            <w:vAlign w:val="center"/>
          </w:tcPr>
          <w:p>
            <w:pPr>
              <w:spacing w:before="60" w:after="60"/>
              <w:jc w:val="right"/>
              <w:rPr>
                <w:rFonts w:asciiTheme="minorHAnsi" w:hAnsiTheme="minorHAnsi"/>
                <w:noProof/>
                <w:sz w:val="22"/>
              </w:rPr>
            </w:pPr>
            <w:r>
              <w:rPr>
                <w:rFonts w:asciiTheme="minorHAnsi" w:hAnsiTheme="minorHAnsi"/>
                <w:noProof/>
                <w:color w:val="000000"/>
                <w:sz w:val="22"/>
              </w:rPr>
              <w:t> </w:t>
            </w:r>
          </w:p>
        </w:tc>
        <w:tc>
          <w:tcPr>
            <w:tcW w:w="1080" w:type="dxa"/>
            <w:vAlign w:val="center"/>
          </w:tcPr>
          <w:p>
            <w:pPr>
              <w:spacing w:before="60" w:after="60"/>
              <w:jc w:val="right"/>
              <w:rPr>
                <w:rFonts w:asciiTheme="minorHAnsi" w:hAnsiTheme="minorHAnsi"/>
                <w:noProof/>
                <w:sz w:val="22"/>
              </w:rPr>
            </w:pPr>
            <w:r>
              <w:rPr>
                <w:rFonts w:asciiTheme="minorHAnsi" w:hAnsiTheme="minorHAnsi"/>
                <w:noProof/>
                <w:color w:val="000000"/>
                <w:sz w:val="22"/>
              </w:rPr>
              <w:t> </w:t>
            </w:r>
          </w:p>
        </w:tc>
        <w:tc>
          <w:tcPr>
            <w:tcW w:w="1080" w:type="dxa"/>
            <w:vAlign w:val="center"/>
          </w:tcPr>
          <w:p>
            <w:pPr>
              <w:spacing w:before="60" w:after="60"/>
              <w:jc w:val="right"/>
              <w:rPr>
                <w:rFonts w:asciiTheme="minorHAnsi" w:hAnsiTheme="minorHAnsi"/>
                <w:noProof/>
                <w:sz w:val="22"/>
              </w:rPr>
            </w:pPr>
            <w:r>
              <w:rPr>
                <w:rFonts w:asciiTheme="minorHAnsi" w:hAnsiTheme="minorHAnsi"/>
                <w:noProof/>
                <w:color w:val="000000"/>
                <w:sz w:val="22"/>
              </w:rPr>
              <w:t> </w:t>
            </w:r>
          </w:p>
        </w:tc>
        <w:tc>
          <w:tcPr>
            <w:tcW w:w="1080" w:type="dxa"/>
            <w:vAlign w:val="center"/>
          </w:tcPr>
          <w:p>
            <w:pPr>
              <w:spacing w:before="60" w:after="60"/>
              <w:jc w:val="right"/>
              <w:rPr>
                <w:rFonts w:asciiTheme="minorHAnsi" w:hAnsiTheme="minorHAnsi"/>
                <w:b/>
                <w:noProof/>
                <w:sz w:val="22"/>
              </w:rPr>
            </w:pPr>
            <w:r>
              <w:rPr>
                <w:rFonts w:asciiTheme="minorHAnsi" w:hAnsiTheme="minorHAnsi"/>
                <w:b/>
                <w:noProof/>
                <w:color w:val="000000"/>
                <w:sz w:val="22"/>
              </w:rPr>
              <w:t> </w:t>
            </w:r>
          </w:p>
        </w:tc>
        <w:tc>
          <w:tcPr>
            <w:tcW w:w="1080" w:type="dxa"/>
            <w:vAlign w:val="center"/>
          </w:tcPr>
          <w:p>
            <w:pPr>
              <w:spacing w:before="60" w:after="60"/>
              <w:jc w:val="center"/>
              <w:rPr>
                <w:rFonts w:asciiTheme="minorHAnsi" w:hAnsiTheme="minorHAnsi"/>
                <w:b/>
                <w:noProof/>
                <w:sz w:val="22"/>
              </w:rPr>
            </w:pPr>
          </w:p>
        </w:tc>
      </w:tr>
      <w:tr>
        <w:trPr>
          <w:trHeight w:val="585"/>
        </w:trPr>
        <w:tc>
          <w:tcPr>
            <w:tcW w:w="1980" w:type="dxa"/>
            <w:shd w:val="clear" w:color="auto" w:fill="CCCCCC"/>
            <w:vAlign w:val="center"/>
          </w:tcPr>
          <w:p>
            <w:pPr>
              <w:spacing w:before="60" w:after="60"/>
              <w:jc w:val="left"/>
              <w:rPr>
                <w:noProof/>
              </w:rPr>
            </w:pPr>
            <w:r>
              <w:rPr>
                <w:noProof/>
                <w:sz w:val="18"/>
              </w:rPr>
              <w:t>Napoteni nacionalni strokovnjaki</w:t>
            </w:r>
          </w:p>
        </w:tc>
        <w:tc>
          <w:tcPr>
            <w:tcW w:w="1080" w:type="dxa"/>
            <w:vAlign w:val="center"/>
          </w:tcPr>
          <w:p>
            <w:pPr>
              <w:spacing w:before="60" w:after="60"/>
              <w:jc w:val="center"/>
              <w:rPr>
                <w:rFonts w:asciiTheme="minorHAnsi" w:hAnsiTheme="minorHAnsi"/>
                <w:b/>
                <w:bCs/>
                <w:noProof/>
                <w:sz w:val="22"/>
              </w:rPr>
            </w:pPr>
            <w:r>
              <w:rPr>
                <w:rFonts w:asciiTheme="minorHAnsi" w:hAnsiTheme="minorHAnsi"/>
                <w:b/>
                <w:noProof/>
                <w:color w:val="000000"/>
                <w:sz w:val="22"/>
              </w:rPr>
              <w:t> </w:t>
            </w:r>
          </w:p>
        </w:tc>
        <w:tc>
          <w:tcPr>
            <w:tcW w:w="1080" w:type="dxa"/>
            <w:vAlign w:val="center"/>
          </w:tcPr>
          <w:p>
            <w:pPr>
              <w:spacing w:before="60" w:after="60"/>
              <w:jc w:val="center"/>
              <w:rPr>
                <w:rFonts w:asciiTheme="minorHAnsi" w:hAnsiTheme="minorHAnsi"/>
                <w:b/>
                <w:bCs/>
                <w:noProof/>
                <w:sz w:val="22"/>
              </w:rPr>
            </w:pPr>
            <w:r>
              <w:rPr>
                <w:rFonts w:asciiTheme="minorHAnsi" w:hAnsiTheme="minorHAnsi"/>
                <w:b/>
                <w:noProof/>
                <w:color w:val="000000"/>
                <w:sz w:val="22"/>
              </w:rPr>
              <w:t> </w:t>
            </w:r>
          </w:p>
        </w:tc>
        <w:tc>
          <w:tcPr>
            <w:tcW w:w="1080" w:type="dxa"/>
            <w:vAlign w:val="center"/>
          </w:tcPr>
          <w:p>
            <w:pPr>
              <w:spacing w:before="60" w:after="60"/>
              <w:jc w:val="center"/>
              <w:rPr>
                <w:rFonts w:asciiTheme="minorHAnsi" w:hAnsiTheme="minorHAnsi"/>
                <w:b/>
                <w:bCs/>
                <w:noProof/>
                <w:sz w:val="22"/>
              </w:rPr>
            </w:pPr>
            <w:r>
              <w:rPr>
                <w:rFonts w:asciiTheme="minorHAnsi" w:hAnsiTheme="minorHAnsi"/>
                <w:b/>
                <w:noProof/>
                <w:color w:val="000000"/>
                <w:sz w:val="22"/>
              </w:rPr>
              <w:t> </w:t>
            </w:r>
          </w:p>
        </w:tc>
        <w:tc>
          <w:tcPr>
            <w:tcW w:w="1080" w:type="dxa"/>
            <w:vAlign w:val="center"/>
          </w:tcPr>
          <w:p>
            <w:pPr>
              <w:spacing w:before="60" w:after="60"/>
              <w:jc w:val="center"/>
              <w:rPr>
                <w:rFonts w:asciiTheme="minorHAnsi" w:hAnsiTheme="minorHAnsi"/>
                <w:b/>
                <w:bCs/>
                <w:noProof/>
                <w:sz w:val="22"/>
              </w:rPr>
            </w:pPr>
            <w:r>
              <w:rPr>
                <w:rFonts w:asciiTheme="minorHAnsi" w:hAnsiTheme="minorHAnsi"/>
                <w:b/>
                <w:noProof/>
                <w:color w:val="000000"/>
                <w:sz w:val="22"/>
              </w:rPr>
              <w:t> </w:t>
            </w:r>
          </w:p>
        </w:tc>
        <w:tc>
          <w:tcPr>
            <w:tcW w:w="1080" w:type="dxa"/>
            <w:vAlign w:val="center"/>
          </w:tcPr>
          <w:p>
            <w:pPr>
              <w:spacing w:before="60" w:after="60"/>
              <w:jc w:val="right"/>
              <w:rPr>
                <w:rFonts w:asciiTheme="minorHAnsi" w:hAnsiTheme="minorHAnsi"/>
                <w:noProof/>
                <w:sz w:val="22"/>
              </w:rPr>
            </w:pPr>
            <w:r>
              <w:rPr>
                <w:rFonts w:asciiTheme="minorHAnsi" w:hAnsiTheme="minorHAnsi"/>
                <w:noProof/>
                <w:color w:val="000000"/>
                <w:sz w:val="22"/>
              </w:rPr>
              <w:t> </w:t>
            </w:r>
          </w:p>
        </w:tc>
        <w:tc>
          <w:tcPr>
            <w:tcW w:w="1080" w:type="dxa"/>
            <w:vAlign w:val="center"/>
          </w:tcPr>
          <w:p>
            <w:pPr>
              <w:spacing w:before="60" w:after="60"/>
              <w:jc w:val="right"/>
              <w:rPr>
                <w:rFonts w:asciiTheme="minorHAnsi" w:hAnsiTheme="minorHAnsi"/>
                <w:noProof/>
                <w:sz w:val="22"/>
              </w:rPr>
            </w:pPr>
            <w:r>
              <w:rPr>
                <w:rFonts w:asciiTheme="minorHAnsi" w:hAnsiTheme="minorHAnsi"/>
                <w:noProof/>
                <w:color w:val="000000"/>
                <w:sz w:val="22"/>
              </w:rPr>
              <w:t> </w:t>
            </w:r>
          </w:p>
        </w:tc>
        <w:tc>
          <w:tcPr>
            <w:tcW w:w="1080" w:type="dxa"/>
            <w:vAlign w:val="center"/>
          </w:tcPr>
          <w:p>
            <w:pPr>
              <w:spacing w:before="60" w:after="60"/>
              <w:jc w:val="right"/>
              <w:rPr>
                <w:rFonts w:asciiTheme="minorHAnsi" w:hAnsiTheme="minorHAnsi"/>
                <w:b/>
                <w:noProof/>
                <w:sz w:val="22"/>
              </w:rPr>
            </w:pPr>
            <w:r>
              <w:rPr>
                <w:rFonts w:asciiTheme="minorHAnsi" w:hAnsiTheme="minorHAnsi"/>
                <w:b/>
                <w:noProof/>
                <w:color w:val="000000"/>
                <w:sz w:val="22"/>
              </w:rPr>
              <w:t> </w:t>
            </w:r>
          </w:p>
        </w:tc>
        <w:tc>
          <w:tcPr>
            <w:tcW w:w="1080" w:type="dxa"/>
            <w:vAlign w:val="center"/>
          </w:tcPr>
          <w:p>
            <w:pPr>
              <w:jc w:val="center"/>
              <w:rPr>
                <w:rFonts w:asciiTheme="minorHAnsi" w:hAnsiTheme="minorHAnsi"/>
                <w:b/>
                <w:bCs/>
                <w:noProof/>
                <w:color w:val="000000"/>
                <w:sz w:val="22"/>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pPr>
              <w:spacing w:before="60" w:after="60"/>
              <w:jc w:val="center"/>
              <w:rPr>
                <w:noProof/>
                <w:sz w:val="20"/>
              </w:rPr>
            </w:pPr>
            <w:r>
              <w:rPr>
                <w:b/>
                <w:noProof/>
                <w:sz w:val="20"/>
              </w:rPr>
              <w:t>SKUPAJ</w:t>
            </w:r>
          </w:p>
        </w:tc>
        <w:tc>
          <w:tcPr>
            <w:tcW w:w="1080" w:type="dxa"/>
            <w:tcBorders>
              <w:top w:val="single" w:sz="12" w:space="0" w:color="auto"/>
              <w:left w:val="single" w:sz="2" w:space="0" w:color="auto"/>
              <w:bottom w:val="single" w:sz="12" w:space="0" w:color="auto"/>
              <w:right w:val="single" w:sz="2" w:space="0" w:color="auto"/>
            </w:tcBorders>
          </w:tcPr>
          <w:p>
            <w:pPr>
              <w:spacing w:before="60" w:after="60"/>
              <w:jc w:val="center"/>
              <w:rPr>
                <w:rFonts w:asciiTheme="minorHAnsi" w:hAnsiTheme="minorHAnsi"/>
                <w:b/>
                <w:bCs/>
                <w:noProof/>
                <w:color w:val="000000"/>
                <w:sz w:val="22"/>
              </w:rPr>
            </w:pPr>
            <w:r>
              <w:rPr>
                <w:rFonts w:asciiTheme="minorHAnsi" w:hAnsiTheme="minorHAnsi"/>
                <w:b/>
                <w:noProof/>
                <w:color w:val="000000"/>
                <w:sz w:val="22"/>
              </w:rPr>
              <w:t>1,430</w:t>
            </w:r>
          </w:p>
        </w:tc>
        <w:tc>
          <w:tcPr>
            <w:tcW w:w="1080" w:type="dxa"/>
            <w:tcBorders>
              <w:top w:val="single" w:sz="12" w:space="0" w:color="auto"/>
              <w:left w:val="single" w:sz="2" w:space="0" w:color="auto"/>
              <w:bottom w:val="single" w:sz="12" w:space="0" w:color="auto"/>
              <w:right w:val="single" w:sz="2" w:space="0" w:color="auto"/>
            </w:tcBorders>
          </w:tcPr>
          <w:p>
            <w:pPr>
              <w:spacing w:before="60" w:after="60"/>
              <w:jc w:val="center"/>
              <w:rPr>
                <w:rFonts w:asciiTheme="minorHAnsi" w:hAnsiTheme="minorHAnsi"/>
                <w:b/>
                <w:bCs/>
                <w:noProof/>
                <w:color w:val="000000"/>
                <w:sz w:val="22"/>
              </w:rPr>
            </w:pPr>
            <w:r>
              <w:rPr>
                <w:rFonts w:asciiTheme="minorHAnsi" w:hAnsiTheme="minorHAnsi"/>
                <w:b/>
                <w:noProof/>
                <w:color w:val="000000"/>
                <w:sz w:val="22"/>
              </w:rPr>
              <w:t>1,430</w:t>
            </w:r>
          </w:p>
        </w:tc>
        <w:tc>
          <w:tcPr>
            <w:tcW w:w="1080" w:type="dxa"/>
            <w:tcBorders>
              <w:top w:val="single" w:sz="12" w:space="0" w:color="auto"/>
              <w:left w:val="single" w:sz="2" w:space="0" w:color="auto"/>
              <w:bottom w:val="single" w:sz="12" w:space="0" w:color="auto"/>
              <w:right w:val="single" w:sz="2" w:space="0" w:color="auto"/>
            </w:tcBorders>
          </w:tcPr>
          <w:p>
            <w:pPr>
              <w:spacing w:before="60" w:after="60"/>
              <w:jc w:val="center"/>
              <w:rPr>
                <w:rFonts w:asciiTheme="minorHAnsi" w:hAnsiTheme="minorHAnsi"/>
                <w:b/>
                <w:bCs/>
                <w:noProof/>
                <w:color w:val="000000"/>
                <w:sz w:val="22"/>
              </w:rPr>
            </w:pPr>
            <w:r>
              <w:rPr>
                <w:rFonts w:asciiTheme="minorHAnsi" w:hAnsiTheme="minorHAnsi"/>
                <w:b/>
                <w:noProof/>
                <w:color w:val="000000"/>
                <w:sz w:val="22"/>
              </w:rPr>
              <w:t>1,430</w:t>
            </w:r>
          </w:p>
        </w:tc>
        <w:tc>
          <w:tcPr>
            <w:tcW w:w="1080" w:type="dxa"/>
            <w:tcBorders>
              <w:top w:val="single" w:sz="12" w:space="0" w:color="auto"/>
              <w:left w:val="single" w:sz="2" w:space="0" w:color="auto"/>
              <w:bottom w:val="single" w:sz="12" w:space="0" w:color="auto"/>
              <w:right w:val="single" w:sz="2" w:space="0" w:color="auto"/>
            </w:tcBorders>
          </w:tcPr>
          <w:p>
            <w:pPr>
              <w:spacing w:before="60" w:after="60"/>
              <w:jc w:val="center"/>
              <w:rPr>
                <w:rFonts w:asciiTheme="minorHAnsi" w:hAnsiTheme="minorHAnsi"/>
                <w:b/>
                <w:bCs/>
                <w:noProof/>
                <w:color w:val="000000"/>
                <w:sz w:val="22"/>
              </w:rPr>
            </w:pPr>
            <w:r>
              <w:rPr>
                <w:rFonts w:asciiTheme="minorHAnsi" w:hAnsiTheme="minorHAnsi"/>
                <w:b/>
                <w:noProof/>
                <w:color w:val="000000"/>
                <w:sz w:val="22"/>
              </w:rPr>
              <w:t>1,430</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rFonts w:asciiTheme="minorHAnsi" w:hAnsiTheme="minorHAnsi"/>
                <w:b/>
                <w:noProof/>
                <w:sz w:val="22"/>
              </w:rPr>
            </w:pPr>
            <w:r>
              <w:rPr>
                <w:rFonts w:asciiTheme="minorHAnsi" w:hAnsiTheme="minorHAnsi"/>
                <w:b/>
                <w:noProof/>
                <w:color w:val="000000"/>
                <w:sz w:val="22"/>
              </w:rPr>
              <w:t> </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rFonts w:asciiTheme="minorHAnsi" w:hAnsiTheme="minorHAnsi"/>
                <w:b/>
                <w:noProof/>
                <w:sz w:val="22"/>
              </w:rPr>
            </w:pPr>
            <w:r>
              <w:rPr>
                <w:rFonts w:asciiTheme="minorHAnsi" w:hAnsiTheme="minorHAnsi"/>
                <w:b/>
                <w:noProof/>
                <w:color w:val="000000"/>
                <w:sz w:val="22"/>
              </w:rPr>
              <w:t> </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jc w:val="center"/>
              <w:rPr>
                <w:rFonts w:asciiTheme="minorHAnsi" w:hAnsiTheme="minorHAnsi"/>
                <w:b/>
                <w:noProof/>
                <w:sz w:val="22"/>
              </w:rPr>
            </w:pPr>
            <w:r>
              <w:rPr>
                <w:rFonts w:asciiTheme="minorHAnsi" w:hAnsiTheme="minorHAnsi"/>
                <w:b/>
                <w:noProof/>
                <w:color w:val="000000"/>
                <w:sz w:val="22"/>
              </w:rPr>
              <w:t> </w:t>
            </w:r>
          </w:p>
        </w:tc>
        <w:tc>
          <w:tcPr>
            <w:tcW w:w="1080" w:type="dxa"/>
            <w:tcBorders>
              <w:top w:val="single" w:sz="12" w:space="0" w:color="auto"/>
              <w:left w:val="single" w:sz="2" w:space="0" w:color="auto"/>
              <w:bottom w:val="single" w:sz="12" w:space="0" w:color="auto"/>
              <w:right w:val="single" w:sz="12" w:space="0" w:color="auto"/>
            </w:tcBorders>
            <w:vAlign w:val="center"/>
          </w:tcPr>
          <w:p>
            <w:pPr>
              <w:jc w:val="center"/>
              <w:rPr>
                <w:rFonts w:ascii="Calibri" w:hAnsi="Calibri"/>
                <w:b/>
                <w:bCs/>
                <w:noProof/>
                <w:color w:val="000000"/>
                <w:sz w:val="22"/>
              </w:rPr>
            </w:pPr>
            <w:r>
              <w:rPr>
                <w:rFonts w:ascii="Calibri" w:hAnsi="Calibri"/>
                <w:b/>
                <w:noProof/>
                <w:color w:val="000000"/>
                <w:sz w:val="22"/>
              </w:rPr>
              <w:t>5,720</w:t>
            </w:r>
          </w:p>
          <w:p>
            <w:pPr>
              <w:spacing w:before="60" w:after="60"/>
              <w:jc w:val="center"/>
              <w:rPr>
                <w:rFonts w:asciiTheme="minorHAnsi" w:hAnsiTheme="minorHAnsi"/>
                <w:b/>
                <w:noProof/>
                <w:sz w:val="22"/>
              </w:rPr>
            </w:pPr>
          </w:p>
        </w:tc>
      </w:tr>
    </w:tbl>
    <w:p>
      <w:pPr>
        <w:rPr>
          <w:noProof/>
        </w:rPr>
      </w:pPr>
    </w:p>
    <w:p>
      <w:pPr>
        <w:rPr>
          <w:noProof/>
        </w:rPr>
        <w:sectPr>
          <w:headerReference w:type="default" r:id="rId36"/>
          <w:footerReference w:type="default" r:id="rId37"/>
          <w:headerReference w:type="first" r:id="rId38"/>
          <w:footerReference w:type="first" r:id="rId39"/>
          <w:pgSz w:w="11907" w:h="16839"/>
          <w:pgMar w:top="1134" w:right="1417" w:bottom="1134" w:left="1417" w:header="709" w:footer="709" w:gutter="0"/>
          <w:cols w:space="720"/>
          <w:docGrid w:linePitch="326"/>
        </w:sectPr>
      </w:pPr>
    </w:p>
    <w:p>
      <w:pPr>
        <w:pStyle w:val="ManualHeading4"/>
        <w:rPr>
          <w:bCs/>
          <w:noProof/>
          <w:szCs w:val="24"/>
        </w:rPr>
      </w:pPr>
      <w:r>
        <w:t>3.2.3.2.</w:t>
      </w:r>
      <w:r>
        <w:tab/>
      </w:r>
      <w:r>
        <w:rPr>
          <w:noProof/>
        </w:rPr>
        <w:t xml:space="preserve">Ocenjene potrebe po človeških virih za matični GD in z njimi povezani generalni direktorati/službe </w:t>
      </w:r>
    </w:p>
    <w:p>
      <w:pPr>
        <w:pStyle w:val="ListDash1"/>
        <w:rPr>
          <w:noProof/>
        </w:rPr>
      </w:pPr>
      <w:r>
        <w:rPr>
          <w:noProof/>
        </w:rPr>
        <w:sym w:font="Wingdings" w:char="F0A8"/>
      </w:r>
      <w:r>
        <w:rPr>
          <w:noProof/>
        </w:rPr>
        <w:tab/>
        <w:t xml:space="preserve">Za predlog/pobudo niso potrebni človeški viri. </w:t>
      </w:r>
    </w:p>
    <w:p>
      <w:pPr>
        <w:pStyle w:val="ListDash1"/>
        <w:rPr>
          <w:noProof/>
        </w:rPr>
      </w:pPr>
      <w:r>
        <w:rPr>
          <w:noProof/>
        </w:rPr>
        <w:sym w:font="Wingdings" w:char="F0FE"/>
      </w:r>
      <w:r>
        <w:rPr>
          <w:noProof/>
        </w:rPr>
        <w:tab/>
        <w:t>Za predlog/pobudo so potrebni človeški viri, kot je pojasnjeno v nadaljevanju:</w:t>
      </w:r>
    </w:p>
    <w:p>
      <w:pPr>
        <w:spacing w:after="60"/>
        <w:jc w:val="right"/>
        <w:rPr>
          <w:i/>
          <w:noProof/>
          <w:sz w:val="20"/>
        </w:rPr>
      </w:pPr>
      <w:r>
        <w:rPr>
          <w:i/>
          <w:noProof/>
          <w:sz w:val="20"/>
        </w:rPr>
        <w:t>ocena, izražena v celih številkah (ali na največ eno decimalno mesto natančno)</w:t>
      </w:r>
    </w:p>
    <w:tbl>
      <w:tblPr>
        <w:tblW w:w="5402"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043"/>
        <w:gridCol w:w="2059"/>
        <w:gridCol w:w="757"/>
        <w:gridCol w:w="757"/>
        <w:gridCol w:w="815"/>
        <w:gridCol w:w="998"/>
        <w:gridCol w:w="851"/>
        <w:gridCol w:w="849"/>
        <w:gridCol w:w="897"/>
        <w:gridCol w:w="10"/>
      </w:tblGrid>
      <w:tr>
        <w:trPr>
          <w:gridAfter w:val="1"/>
          <w:wAfter w:w="5" w:type="pct"/>
          <w:trHeight w:val="289"/>
          <w:jc w:val="center"/>
        </w:trPr>
        <w:tc>
          <w:tcPr>
            <w:tcW w:w="2044" w:type="pct"/>
            <w:gridSpan w:val="2"/>
            <w:shd w:val="clear" w:color="auto" w:fill="auto"/>
          </w:tcPr>
          <w:p>
            <w:pPr>
              <w:pStyle w:val="Text1"/>
              <w:spacing w:before="40" w:after="40"/>
              <w:ind w:left="0"/>
              <w:jc w:val="center"/>
              <w:rPr>
                <w:i/>
                <w:noProof/>
                <w:sz w:val="20"/>
              </w:rPr>
            </w:pPr>
          </w:p>
        </w:tc>
        <w:tc>
          <w:tcPr>
            <w:tcW w:w="377" w:type="pct"/>
            <w:shd w:val="clear" w:color="auto" w:fill="auto"/>
            <w:vAlign w:val="center"/>
          </w:tcPr>
          <w:p>
            <w:pPr>
              <w:spacing w:before="20" w:after="20"/>
              <w:jc w:val="center"/>
              <w:rPr>
                <w:noProof/>
                <w:sz w:val="20"/>
              </w:rPr>
            </w:pPr>
            <w:r>
              <w:rPr>
                <w:noProof/>
                <w:sz w:val="20"/>
              </w:rPr>
              <w:t>Leto</w:t>
            </w:r>
            <w:r>
              <w:rPr>
                <w:noProof/>
                <w:sz w:val="20"/>
              </w:rPr>
              <w:br/>
            </w:r>
            <w:r>
              <w:rPr>
                <w:b/>
                <w:noProof/>
                <w:sz w:val="20"/>
              </w:rPr>
              <w:t>2020</w:t>
            </w:r>
          </w:p>
        </w:tc>
        <w:tc>
          <w:tcPr>
            <w:tcW w:w="377" w:type="pct"/>
            <w:shd w:val="clear" w:color="auto" w:fill="auto"/>
            <w:vAlign w:val="center"/>
          </w:tcPr>
          <w:p>
            <w:pPr>
              <w:spacing w:before="20" w:after="20"/>
              <w:jc w:val="center"/>
              <w:rPr>
                <w:noProof/>
                <w:sz w:val="20"/>
              </w:rPr>
            </w:pPr>
            <w:r>
              <w:rPr>
                <w:noProof/>
                <w:sz w:val="20"/>
              </w:rPr>
              <w:t>Leto</w:t>
            </w:r>
            <w:r>
              <w:rPr>
                <w:noProof/>
                <w:sz w:val="20"/>
              </w:rPr>
              <w:br/>
            </w:r>
            <w:r>
              <w:rPr>
                <w:b/>
                <w:noProof/>
                <w:sz w:val="20"/>
              </w:rPr>
              <w:t>2021</w:t>
            </w:r>
            <w:r>
              <w:rPr>
                <w:rStyle w:val="FootnoteReference"/>
                <w:b/>
                <w:noProof/>
                <w:sz w:val="20"/>
              </w:rPr>
              <w:footnoteReference w:id="87"/>
            </w:r>
          </w:p>
        </w:tc>
        <w:tc>
          <w:tcPr>
            <w:tcW w:w="406" w:type="pct"/>
            <w:shd w:val="clear" w:color="auto" w:fill="auto"/>
            <w:vAlign w:val="center"/>
          </w:tcPr>
          <w:p>
            <w:pPr>
              <w:spacing w:before="20" w:after="20"/>
              <w:jc w:val="center"/>
              <w:rPr>
                <w:noProof/>
                <w:sz w:val="20"/>
              </w:rPr>
            </w:pPr>
            <w:r>
              <w:rPr>
                <w:noProof/>
                <w:sz w:val="20"/>
              </w:rPr>
              <w:t xml:space="preserve">Leto </w:t>
            </w:r>
            <w:r>
              <w:rPr>
                <w:b/>
                <w:noProof/>
                <w:sz w:val="20"/>
              </w:rPr>
              <w:t>2022</w:t>
            </w:r>
          </w:p>
        </w:tc>
        <w:tc>
          <w:tcPr>
            <w:tcW w:w="497" w:type="pct"/>
            <w:shd w:val="clear" w:color="auto" w:fill="auto"/>
            <w:vAlign w:val="center"/>
          </w:tcPr>
          <w:p>
            <w:pPr>
              <w:spacing w:before="20" w:after="20"/>
              <w:jc w:val="center"/>
              <w:rPr>
                <w:noProof/>
                <w:sz w:val="20"/>
              </w:rPr>
            </w:pPr>
            <w:r>
              <w:rPr>
                <w:noProof/>
                <w:sz w:val="20"/>
              </w:rPr>
              <w:t xml:space="preserve">Leto </w:t>
            </w:r>
            <w:r>
              <w:rPr>
                <w:b/>
                <w:noProof/>
                <w:sz w:val="20"/>
              </w:rPr>
              <w:t>2023</w:t>
            </w:r>
          </w:p>
        </w:tc>
        <w:tc>
          <w:tcPr>
            <w:tcW w:w="1294" w:type="pct"/>
            <w:gridSpan w:val="3"/>
            <w:shd w:val="clear" w:color="auto" w:fill="auto"/>
            <w:vAlign w:val="center"/>
          </w:tcPr>
          <w:p>
            <w:pPr>
              <w:tabs>
                <w:tab w:val="left" w:pos="685"/>
              </w:tabs>
              <w:jc w:val="center"/>
              <w:rPr>
                <w:b/>
                <w:noProof/>
                <w:sz w:val="20"/>
              </w:rPr>
            </w:pPr>
            <w:r>
              <w:rPr>
                <w:noProof/>
                <w:sz w:val="20"/>
              </w:rPr>
              <w:t>Vstavite ustrezno število let glede na trajanje posledic (gl. točko 1.6)</w:t>
            </w:r>
            <w:r>
              <w:rPr>
                <w:rStyle w:val="FootnoteReference"/>
                <w:noProof/>
                <w:sz w:val="20"/>
              </w:rPr>
              <w:footnoteReference w:id="88"/>
            </w:r>
          </w:p>
        </w:tc>
      </w:tr>
      <w:tr>
        <w:trPr>
          <w:trHeight w:val="289"/>
          <w:jc w:val="center"/>
        </w:trPr>
        <w:tc>
          <w:tcPr>
            <w:tcW w:w="2044" w:type="pct"/>
            <w:gridSpan w:val="2"/>
            <w:shd w:val="clear" w:color="auto" w:fill="auto"/>
            <w:vAlign w:val="center"/>
          </w:tcPr>
          <w:p>
            <w:pPr>
              <w:pStyle w:val="Text1"/>
              <w:numPr>
                <w:ilvl w:val="0"/>
                <w:numId w:val="17"/>
              </w:numPr>
              <w:tabs>
                <w:tab w:val="left" w:pos="208"/>
              </w:tabs>
              <w:spacing w:beforeLines="20" w:before="48" w:afterLines="20" w:after="48"/>
              <w:ind w:left="208" w:hanging="120"/>
              <w:jc w:val="left"/>
              <w:rPr>
                <w:b/>
                <w:noProof/>
                <w:sz w:val="20"/>
              </w:rPr>
            </w:pPr>
            <w:r>
              <w:rPr>
                <w:b/>
                <w:noProof/>
                <w:sz w:val="20"/>
              </w:rPr>
              <w:t>Delovna mesta v skladu s kadrovskim načrtom (uradniki in začasni uslužbenci)</w:t>
            </w:r>
            <w:r>
              <w:rPr>
                <w:rStyle w:val="FootnoteReference"/>
                <w:b/>
                <w:noProof/>
                <w:sz w:val="20"/>
              </w:rPr>
              <w:footnoteReference w:id="89"/>
            </w:r>
          </w:p>
        </w:tc>
        <w:tc>
          <w:tcPr>
            <w:tcW w:w="377" w:type="pct"/>
            <w:shd w:val="clear" w:color="auto" w:fill="auto"/>
            <w:vAlign w:val="center"/>
          </w:tcPr>
          <w:p>
            <w:pPr>
              <w:spacing w:beforeLines="20" w:before="48" w:afterLines="20" w:after="48"/>
              <w:jc w:val="center"/>
              <w:rPr>
                <w:noProof/>
                <w:sz w:val="20"/>
              </w:rPr>
            </w:pPr>
          </w:p>
        </w:tc>
        <w:tc>
          <w:tcPr>
            <w:tcW w:w="377" w:type="pct"/>
            <w:shd w:val="clear" w:color="auto" w:fill="auto"/>
            <w:vAlign w:val="center"/>
          </w:tcPr>
          <w:p>
            <w:pPr>
              <w:spacing w:beforeLines="20" w:before="48" w:afterLines="20" w:after="48"/>
              <w:jc w:val="center"/>
              <w:rPr>
                <w:noProof/>
                <w:sz w:val="20"/>
              </w:rPr>
            </w:pPr>
          </w:p>
        </w:tc>
        <w:tc>
          <w:tcPr>
            <w:tcW w:w="406" w:type="pct"/>
            <w:shd w:val="clear" w:color="auto" w:fill="auto"/>
            <w:vAlign w:val="center"/>
          </w:tcPr>
          <w:p>
            <w:pPr>
              <w:spacing w:beforeLines="20" w:before="48" w:afterLines="20" w:after="48"/>
              <w:jc w:val="center"/>
              <w:rPr>
                <w:noProof/>
                <w:sz w:val="20"/>
              </w:rPr>
            </w:pPr>
          </w:p>
        </w:tc>
        <w:tc>
          <w:tcPr>
            <w:tcW w:w="497" w:type="pct"/>
            <w:shd w:val="clear" w:color="auto" w:fill="auto"/>
            <w:vAlign w:val="center"/>
          </w:tcPr>
          <w:p>
            <w:pPr>
              <w:spacing w:beforeLines="20" w:before="48" w:afterLines="20" w:after="48"/>
              <w:jc w:val="center"/>
              <w:rPr>
                <w:noProof/>
                <w:sz w:val="20"/>
              </w:rPr>
            </w:pPr>
          </w:p>
        </w:tc>
        <w:tc>
          <w:tcPr>
            <w:tcW w:w="424" w:type="pct"/>
            <w:shd w:val="clear" w:color="auto" w:fill="auto"/>
            <w:vAlign w:val="center"/>
          </w:tcPr>
          <w:p>
            <w:pPr>
              <w:spacing w:beforeLines="20" w:before="48" w:afterLines="20" w:after="48"/>
              <w:jc w:val="center"/>
              <w:rPr>
                <w:noProof/>
                <w:sz w:val="20"/>
              </w:rPr>
            </w:pPr>
          </w:p>
        </w:tc>
        <w:tc>
          <w:tcPr>
            <w:tcW w:w="423" w:type="pct"/>
            <w:shd w:val="clear" w:color="auto" w:fill="auto"/>
            <w:vAlign w:val="center"/>
          </w:tcPr>
          <w:p>
            <w:pPr>
              <w:spacing w:beforeLines="20" w:before="48" w:afterLines="20" w:after="48"/>
              <w:jc w:val="center"/>
              <w:rPr>
                <w:noProof/>
                <w:sz w:val="20"/>
              </w:rPr>
            </w:pPr>
          </w:p>
        </w:tc>
        <w:tc>
          <w:tcPr>
            <w:tcW w:w="452" w:type="pct"/>
            <w:gridSpan w:val="2"/>
            <w:shd w:val="clear" w:color="auto" w:fill="auto"/>
            <w:vAlign w:val="center"/>
          </w:tcPr>
          <w:p>
            <w:pPr>
              <w:spacing w:beforeLines="20" w:before="48" w:afterLines="20" w:after="48"/>
              <w:jc w:val="center"/>
              <w:rPr>
                <w:noProof/>
                <w:sz w:val="20"/>
              </w:rPr>
            </w:pPr>
          </w:p>
        </w:tc>
      </w:tr>
      <w:tr>
        <w:trPr>
          <w:trHeight w:val="289"/>
          <w:jc w:val="center"/>
        </w:trPr>
        <w:tc>
          <w:tcPr>
            <w:tcW w:w="2044" w:type="pct"/>
            <w:gridSpan w:val="2"/>
            <w:shd w:val="clear" w:color="auto" w:fill="auto"/>
            <w:vAlign w:val="center"/>
          </w:tcPr>
          <w:p>
            <w:pPr>
              <w:pStyle w:val="Text1"/>
              <w:spacing w:beforeLines="20" w:before="48" w:afterLines="20" w:after="48"/>
              <w:ind w:left="984"/>
              <w:jc w:val="left"/>
              <w:rPr>
                <w:b/>
                <w:noProof/>
                <w:sz w:val="20"/>
              </w:rPr>
            </w:pPr>
            <w:r>
              <w:rPr>
                <w:noProof/>
                <w:sz w:val="20"/>
              </w:rPr>
              <w:t>12 01 01 01 FISMA</w:t>
            </w:r>
          </w:p>
        </w:tc>
        <w:tc>
          <w:tcPr>
            <w:tcW w:w="377" w:type="pct"/>
            <w:shd w:val="clear" w:color="auto" w:fill="auto"/>
            <w:vAlign w:val="center"/>
          </w:tcPr>
          <w:p>
            <w:pPr>
              <w:spacing w:beforeLines="20" w:before="48" w:afterLines="20" w:after="48"/>
              <w:jc w:val="center"/>
              <w:rPr>
                <w:rFonts w:asciiTheme="majorBidi" w:hAnsiTheme="majorBidi" w:cstheme="majorBidi"/>
                <w:noProof/>
                <w:sz w:val="20"/>
                <w:szCs w:val="20"/>
              </w:rPr>
            </w:pPr>
            <w:r>
              <w:rPr>
                <w:rFonts w:asciiTheme="majorBidi" w:hAnsiTheme="majorBidi" w:cstheme="majorBidi"/>
                <w:noProof/>
                <w:sz w:val="20"/>
              </w:rPr>
              <w:t>5</w:t>
            </w:r>
          </w:p>
        </w:tc>
        <w:tc>
          <w:tcPr>
            <w:tcW w:w="377" w:type="pct"/>
            <w:shd w:val="clear" w:color="auto" w:fill="auto"/>
            <w:vAlign w:val="center"/>
          </w:tcPr>
          <w:p>
            <w:pPr>
              <w:spacing w:beforeLines="20" w:before="48" w:afterLines="20" w:after="48"/>
              <w:jc w:val="center"/>
              <w:rPr>
                <w:rFonts w:asciiTheme="majorBidi" w:hAnsiTheme="majorBidi" w:cstheme="majorBidi"/>
                <w:noProof/>
                <w:sz w:val="20"/>
                <w:szCs w:val="20"/>
              </w:rPr>
            </w:pPr>
            <w:r>
              <w:rPr>
                <w:rFonts w:asciiTheme="majorBidi" w:hAnsiTheme="majorBidi" w:cstheme="majorBidi"/>
                <w:noProof/>
                <w:sz w:val="20"/>
              </w:rPr>
              <w:t>5</w:t>
            </w:r>
          </w:p>
        </w:tc>
        <w:tc>
          <w:tcPr>
            <w:tcW w:w="406" w:type="pct"/>
            <w:shd w:val="clear" w:color="auto" w:fill="auto"/>
            <w:vAlign w:val="center"/>
          </w:tcPr>
          <w:p>
            <w:pPr>
              <w:spacing w:beforeLines="20" w:before="48" w:afterLines="20" w:after="48"/>
              <w:jc w:val="center"/>
              <w:rPr>
                <w:rFonts w:asciiTheme="majorBidi" w:hAnsiTheme="majorBidi" w:cstheme="majorBidi"/>
                <w:noProof/>
                <w:sz w:val="20"/>
                <w:szCs w:val="20"/>
              </w:rPr>
            </w:pPr>
            <w:r>
              <w:rPr>
                <w:rFonts w:asciiTheme="majorBidi" w:hAnsiTheme="majorBidi" w:cstheme="majorBidi"/>
                <w:noProof/>
                <w:sz w:val="20"/>
              </w:rPr>
              <w:t>5</w:t>
            </w:r>
          </w:p>
        </w:tc>
        <w:tc>
          <w:tcPr>
            <w:tcW w:w="497" w:type="pct"/>
            <w:shd w:val="clear" w:color="auto" w:fill="auto"/>
            <w:vAlign w:val="center"/>
          </w:tcPr>
          <w:p>
            <w:pPr>
              <w:spacing w:beforeLines="20" w:before="48" w:afterLines="20" w:after="48"/>
              <w:jc w:val="center"/>
              <w:rPr>
                <w:rFonts w:asciiTheme="majorBidi" w:hAnsiTheme="majorBidi" w:cstheme="majorBidi"/>
                <w:noProof/>
                <w:sz w:val="20"/>
                <w:szCs w:val="20"/>
              </w:rPr>
            </w:pPr>
            <w:r>
              <w:rPr>
                <w:rFonts w:asciiTheme="majorBidi" w:hAnsiTheme="majorBidi" w:cstheme="majorBidi"/>
                <w:noProof/>
                <w:sz w:val="20"/>
              </w:rPr>
              <w:t>5</w:t>
            </w:r>
          </w:p>
        </w:tc>
        <w:tc>
          <w:tcPr>
            <w:tcW w:w="424" w:type="pct"/>
            <w:shd w:val="clear" w:color="auto" w:fill="auto"/>
            <w:vAlign w:val="center"/>
          </w:tcPr>
          <w:p>
            <w:pPr>
              <w:spacing w:beforeLines="20" w:before="48" w:afterLines="20" w:after="48"/>
              <w:jc w:val="center"/>
              <w:rPr>
                <w:noProof/>
                <w:sz w:val="20"/>
              </w:rPr>
            </w:pPr>
          </w:p>
        </w:tc>
        <w:tc>
          <w:tcPr>
            <w:tcW w:w="423" w:type="pct"/>
            <w:shd w:val="clear" w:color="auto" w:fill="auto"/>
            <w:vAlign w:val="center"/>
          </w:tcPr>
          <w:p>
            <w:pPr>
              <w:spacing w:beforeLines="20" w:before="48" w:afterLines="20" w:after="48"/>
              <w:jc w:val="center"/>
              <w:rPr>
                <w:noProof/>
                <w:sz w:val="20"/>
              </w:rPr>
            </w:pPr>
          </w:p>
        </w:tc>
        <w:tc>
          <w:tcPr>
            <w:tcW w:w="452" w:type="pct"/>
            <w:gridSpan w:val="2"/>
            <w:shd w:val="clear" w:color="auto" w:fill="auto"/>
            <w:vAlign w:val="center"/>
          </w:tcPr>
          <w:p>
            <w:pPr>
              <w:spacing w:beforeLines="20" w:before="48" w:afterLines="20" w:after="48"/>
              <w:jc w:val="center"/>
              <w:rPr>
                <w:noProof/>
                <w:sz w:val="20"/>
              </w:rPr>
            </w:pPr>
          </w:p>
        </w:tc>
      </w:tr>
      <w:tr>
        <w:trPr>
          <w:trHeight w:val="289"/>
          <w:jc w:val="center"/>
        </w:trPr>
        <w:tc>
          <w:tcPr>
            <w:tcW w:w="2044" w:type="pct"/>
            <w:gridSpan w:val="2"/>
            <w:shd w:val="clear" w:color="auto" w:fill="auto"/>
          </w:tcPr>
          <w:p>
            <w:pPr>
              <w:pStyle w:val="Text1"/>
              <w:spacing w:beforeLines="20" w:before="48" w:afterLines="20" w:after="48"/>
              <w:ind w:left="984"/>
              <w:jc w:val="left"/>
              <w:rPr>
                <w:noProof/>
                <w:sz w:val="20"/>
                <w:szCs w:val="20"/>
              </w:rPr>
            </w:pPr>
            <w:r>
              <w:rPr>
                <w:noProof/>
                <w:sz w:val="20"/>
              </w:rPr>
              <w:t>07 01 01 01 ENV</w:t>
            </w:r>
          </w:p>
        </w:tc>
        <w:tc>
          <w:tcPr>
            <w:tcW w:w="377" w:type="pct"/>
            <w:shd w:val="clear" w:color="auto" w:fill="auto"/>
            <w:vAlign w:val="center"/>
          </w:tcPr>
          <w:p>
            <w:pPr>
              <w:spacing w:beforeLines="20" w:before="48" w:afterLines="20" w:after="48"/>
              <w:jc w:val="center"/>
              <w:rPr>
                <w:rFonts w:asciiTheme="majorBidi" w:hAnsiTheme="majorBidi" w:cstheme="majorBidi"/>
                <w:noProof/>
                <w:sz w:val="20"/>
                <w:szCs w:val="20"/>
              </w:rPr>
            </w:pPr>
            <w:r>
              <w:rPr>
                <w:noProof/>
                <w:sz w:val="20"/>
              </w:rPr>
              <w:t>2</w:t>
            </w:r>
          </w:p>
        </w:tc>
        <w:tc>
          <w:tcPr>
            <w:tcW w:w="377" w:type="pct"/>
            <w:shd w:val="clear" w:color="auto" w:fill="auto"/>
            <w:vAlign w:val="center"/>
          </w:tcPr>
          <w:p>
            <w:pPr>
              <w:spacing w:beforeLines="20" w:before="48" w:afterLines="20" w:after="48"/>
              <w:jc w:val="center"/>
              <w:rPr>
                <w:rFonts w:asciiTheme="majorBidi" w:hAnsiTheme="majorBidi" w:cstheme="majorBidi"/>
                <w:noProof/>
                <w:sz w:val="20"/>
                <w:szCs w:val="20"/>
              </w:rPr>
            </w:pPr>
            <w:r>
              <w:rPr>
                <w:noProof/>
                <w:sz w:val="20"/>
              </w:rPr>
              <w:t>2</w:t>
            </w:r>
          </w:p>
        </w:tc>
        <w:tc>
          <w:tcPr>
            <w:tcW w:w="406" w:type="pct"/>
            <w:shd w:val="clear" w:color="auto" w:fill="auto"/>
            <w:vAlign w:val="center"/>
          </w:tcPr>
          <w:p>
            <w:pPr>
              <w:spacing w:beforeLines="20" w:before="48" w:afterLines="20" w:after="48"/>
              <w:jc w:val="center"/>
              <w:rPr>
                <w:rFonts w:asciiTheme="majorBidi" w:hAnsiTheme="majorBidi" w:cstheme="majorBidi"/>
                <w:noProof/>
                <w:sz w:val="20"/>
                <w:szCs w:val="20"/>
              </w:rPr>
            </w:pPr>
            <w:r>
              <w:rPr>
                <w:noProof/>
                <w:sz w:val="20"/>
              </w:rPr>
              <w:t>2</w:t>
            </w:r>
          </w:p>
        </w:tc>
        <w:tc>
          <w:tcPr>
            <w:tcW w:w="497" w:type="pct"/>
            <w:shd w:val="clear" w:color="auto" w:fill="auto"/>
            <w:vAlign w:val="center"/>
          </w:tcPr>
          <w:p>
            <w:pPr>
              <w:spacing w:beforeLines="20" w:before="48" w:afterLines="20" w:after="48"/>
              <w:jc w:val="center"/>
              <w:rPr>
                <w:rFonts w:asciiTheme="majorBidi" w:hAnsiTheme="majorBidi" w:cstheme="majorBidi"/>
                <w:noProof/>
                <w:sz w:val="20"/>
                <w:szCs w:val="20"/>
              </w:rPr>
            </w:pPr>
            <w:r>
              <w:rPr>
                <w:noProof/>
                <w:sz w:val="20"/>
              </w:rPr>
              <w:t>2</w:t>
            </w:r>
          </w:p>
        </w:tc>
        <w:tc>
          <w:tcPr>
            <w:tcW w:w="424" w:type="pct"/>
            <w:shd w:val="clear" w:color="auto" w:fill="auto"/>
            <w:vAlign w:val="center"/>
          </w:tcPr>
          <w:p>
            <w:pPr>
              <w:spacing w:beforeLines="20" w:before="48" w:afterLines="20" w:after="48"/>
              <w:jc w:val="center"/>
              <w:rPr>
                <w:noProof/>
                <w:sz w:val="20"/>
              </w:rPr>
            </w:pPr>
          </w:p>
        </w:tc>
        <w:tc>
          <w:tcPr>
            <w:tcW w:w="423" w:type="pct"/>
            <w:shd w:val="clear" w:color="auto" w:fill="auto"/>
            <w:vAlign w:val="center"/>
          </w:tcPr>
          <w:p>
            <w:pPr>
              <w:spacing w:beforeLines="20" w:before="48" w:afterLines="20" w:after="48"/>
              <w:jc w:val="center"/>
              <w:rPr>
                <w:noProof/>
                <w:sz w:val="20"/>
              </w:rPr>
            </w:pPr>
          </w:p>
        </w:tc>
        <w:tc>
          <w:tcPr>
            <w:tcW w:w="452" w:type="pct"/>
            <w:gridSpan w:val="2"/>
            <w:shd w:val="clear" w:color="auto" w:fill="auto"/>
            <w:vAlign w:val="center"/>
          </w:tcPr>
          <w:p>
            <w:pPr>
              <w:spacing w:beforeLines="20" w:before="48" w:afterLines="20" w:after="48"/>
              <w:jc w:val="center"/>
              <w:rPr>
                <w:noProof/>
                <w:sz w:val="20"/>
              </w:rPr>
            </w:pPr>
          </w:p>
        </w:tc>
      </w:tr>
      <w:tr>
        <w:trPr>
          <w:trHeight w:val="289"/>
          <w:jc w:val="center"/>
        </w:trPr>
        <w:tc>
          <w:tcPr>
            <w:tcW w:w="2044" w:type="pct"/>
            <w:gridSpan w:val="2"/>
            <w:shd w:val="clear" w:color="auto" w:fill="auto"/>
          </w:tcPr>
          <w:p>
            <w:pPr>
              <w:pStyle w:val="Text1"/>
              <w:spacing w:beforeLines="20" w:before="48" w:afterLines="20" w:after="48"/>
              <w:ind w:left="984"/>
              <w:jc w:val="left"/>
              <w:rPr>
                <w:noProof/>
                <w:sz w:val="20"/>
                <w:szCs w:val="20"/>
              </w:rPr>
            </w:pPr>
            <w:r>
              <w:rPr>
                <w:noProof/>
                <w:sz w:val="20"/>
              </w:rPr>
              <w:t>34 01 01 01 CLIMA</w:t>
            </w:r>
          </w:p>
        </w:tc>
        <w:tc>
          <w:tcPr>
            <w:tcW w:w="377" w:type="pct"/>
            <w:shd w:val="clear" w:color="auto" w:fill="auto"/>
            <w:vAlign w:val="center"/>
          </w:tcPr>
          <w:p>
            <w:pPr>
              <w:spacing w:beforeLines="20" w:before="48" w:afterLines="20" w:after="48"/>
              <w:jc w:val="center"/>
              <w:rPr>
                <w:rFonts w:asciiTheme="majorBidi" w:hAnsiTheme="majorBidi" w:cstheme="majorBidi"/>
                <w:noProof/>
                <w:sz w:val="20"/>
                <w:szCs w:val="20"/>
              </w:rPr>
            </w:pPr>
            <w:r>
              <w:rPr>
                <w:noProof/>
                <w:sz w:val="20"/>
              </w:rPr>
              <w:t>2</w:t>
            </w:r>
          </w:p>
        </w:tc>
        <w:tc>
          <w:tcPr>
            <w:tcW w:w="377" w:type="pct"/>
            <w:shd w:val="clear" w:color="auto" w:fill="auto"/>
            <w:vAlign w:val="center"/>
          </w:tcPr>
          <w:p>
            <w:pPr>
              <w:spacing w:beforeLines="20" w:before="48" w:afterLines="20" w:after="48"/>
              <w:jc w:val="center"/>
              <w:rPr>
                <w:rFonts w:asciiTheme="majorBidi" w:hAnsiTheme="majorBidi" w:cstheme="majorBidi"/>
                <w:noProof/>
                <w:sz w:val="20"/>
                <w:szCs w:val="20"/>
              </w:rPr>
            </w:pPr>
            <w:r>
              <w:rPr>
                <w:noProof/>
                <w:sz w:val="20"/>
              </w:rPr>
              <w:t>2</w:t>
            </w:r>
          </w:p>
        </w:tc>
        <w:tc>
          <w:tcPr>
            <w:tcW w:w="406" w:type="pct"/>
            <w:shd w:val="clear" w:color="auto" w:fill="auto"/>
            <w:vAlign w:val="center"/>
          </w:tcPr>
          <w:p>
            <w:pPr>
              <w:spacing w:beforeLines="20" w:before="48" w:afterLines="20" w:after="48"/>
              <w:jc w:val="center"/>
              <w:rPr>
                <w:rFonts w:asciiTheme="majorBidi" w:hAnsiTheme="majorBidi" w:cstheme="majorBidi"/>
                <w:noProof/>
                <w:sz w:val="20"/>
                <w:szCs w:val="20"/>
              </w:rPr>
            </w:pPr>
            <w:r>
              <w:rPr>
                <w:noProof/>
                <w:sz w:val="20"/>
              </w:rPr>
              <w:t>2</w:t>
            </w:r>
          </w:p>
        </w:tc>
        <w:tc>
          <w:tcPr>
            <w:tcW w:w="497" w:type="pct"/>
            <w:shd w:val="clear" w:color="auto" w:fill="auto"/>
            <w:vAlign w:val="center"/>
          </w:tcPr>
          <w:p>
            <w:pPr>
              <w:spacing w:beforeLines="20" w:before="48" w:afterLines="20" w:after="48"/>
              <w:jc w:val="center"/>
              <w:rPr>
                <w:rFonts w:asciiTheme="majorBidi" w:hAnsiTheme="majorBidi" w:cstheme="majorBidi"/>
                <w:noProof/>
                <w:sz w:val="20"/>
                <w:szCs w:val="20"/>
              </w:rPr>
            </w:pPr>
            <w:r>
              <w:rPr>
                <w:noProof/>
                <w:sz w:val="20"/>
              </w:rPr>
              <w:t>2</w:t>
            </w:r>
          </w:p>
        </w:tc>
        <w:tc>
          <w:tcPr>
            <w:tcW w:w="424" w:type="pct"/>
            <w:shd w:val="clear" w:color="auto" w:fill="auto"/>
            <w:vAlign w:val="center"/>
          </w:tcPr>
          <w:p>
            <w:pPr>
              <w:spacing w:beforeLines="20" w:before="48" w:afterLines="20" w:after="48"/>
              <w:jc w:val="center"/>
              <w:rPr>
                <w:noProof/>
                <w:sz w:val="20"/>
              </w:rPr>
            </w:pPr>
          </w:p>
        </w:tc>
        <w:tc>
          <w:tcPr>
            <w:tcW w:w="423" w:type="pct"/>
            <w:shd w:val="clear" w:color="auto" w:fill="auto"/>
            <w:vAlign w:val="center"/>
          </w:tcPr>
          <w:p>
            <w:pPr>
              <w:spacing w:beforeLines="20" w:before="48" w:afterLines="20" w:after="48"/>
              <w:jc w:val="center"/>
              <w:rPr>
                <w:noProof/>
                <w:sz w:val="20"/>
              </w:rPr>
            </w:pPr>
          </w:p>
        </w:tc>
        <w:tc>
          <w:tcPr>
            <w:tcW w:w="452" w:type="pct"/>
            <w:gridSpan w:val="2"/>
            <w:shd w:val="clear" w:color="auto" w:fill="auto"/>
            <w:vAlign w:val="center"/>
          </w:tcPr>
          <w:p>
            <w:pPr>
              <w:spacing w:beforeLines="20" w:before="48" w:afterLines="20" w:after="48"/>
              <w:jc w:val="center"/>
              <w:rPr>
                <w:noProof/>
                <w:sz w:val="20"/>
              </w:rPr>
            </w:pPr>
          </w:p>
        </w:tc>
      </w:tr>
      <w:tr>
        <w:trPr>
          <w:trHeight w:val="289"/>
          <w:jc w:val="center"/>
        </w:trPr>
        <w:tc>
          <w:tcPr>
            <w:tcW w:w="2044" w:type="pct"/>
            <w:gridSpan w:val="2"/>
            <w:shd w:val="clear" w:color="auto" w:fill="auto"/>
          </w:tcPr>
          <w:p>
            <w:pPr>
              <w:pStyle w:val="Text1"/>
              <w:spacing w:beforeLines="20" w:before="48" w:afterLines="20" w:after="48"/>
              <w:ind w:left="984"/>
              <w:jc w:val="left"/>
              <w:rPr>
                <w:noProof/>
                <w:sz w:val="20"/>
                <w:szCs w:val="20"/>
              </w:rPr>
            </w:pPr>
            <w:r>
              <w:rPr>
                <w:noProof/>
                <w:sz w:val="20"/>
              </w:rPr>
              <w:t>29 01 01 01 EUROSTAT</w:t>
            </w:r>
          </w:p>
        </w:tc>
        <w:tc>
          <w:tcPr>
            <w:tcW w:w="377" w:type="pct"/>
            <w:shd w:val="clear" w:color="auto" w:fill="auto"/>
            <w:vAlign w:val="center"/>
          </w:tcPr>
          <w:p>
            <w:pPr>
              <w:spacing w:beforeLines="20" w:before="48" w:afterLines="20" w:after="48"/>
              <w:jc w:val="center"/>
              <w:rPr>
                <w:rFonts w:asciiTheme="majorBidi" w:hAnsiTheme="majorBidi" w:cstheme="majorBidi"/>
                <w:noProof/>
                <w:sz w:val="20"/>
                <w:szCs w:val="20"/>
              </w:rPr>
            </w:pPr>
            <w:r>
              <w:rPr>
                <w:noProof/>
                <w:sz w:val="20"/>
              </w:rPr>
              <w:t>1</w:t>
            </w:r>
          </w:p>
        </w:tc>
        <w:tc>
          <w:tcPr>
            <w:tcW w:w="377" w:type="pct"/>
            <w:shd w:val="clear" w:color="auto" w:fill="auto"/>
            <w:vAlign w:val="center"/>
          </w:tcPr>
          <w:p>
            <w:pPr>
              <w:spacing w:beforeLines="20" w:before="48" w:afterLines="20" w:after="48"/>
              <w:jc w:val="center"/>
              <w:rPr>
                <w:rFonts w:asciiTheme="majorBidi" w:hAnsiTheme="majorBidi" w:cstheme="majorBidi"/>
                <w:noProof/>
                <w:sz w:val="20"/>
                <w:szCs w:val="20"/>
              </w:rPr>
            </w:pPr>
            <w:r>
              <w:rPr>
                <w:noProof/>
                <w:sz w:val="20"/>
              </w:rPr>
              <w:t>1</w:t>
            </w:r>
          </w:p>
        </w:tc>
        <w:tc>
          <w:tcPr>
            <w:tcW w:w="406" w:type="pct"/>
            <w:shd w:val="clear" w:color="auto" w:fill="auto"/>
            <w:vAlign w:val="center"/>
          </w:tcPr>
          <w:p>
            <w:pPr>
              <w:spacing w:beforeLines="20" w:before="48" w:afterLines="20" w:after="48"/>
              <w:jc w:val="center"/>
              <w:rPr>
                <w:rFonts w:asciiTheme="majorBidi" w:hAnsiTheme="majorBidi" w:cstheme="majorBidi"/>
                <w:noProof/>
                <w:sz w:val="20"/>
                <w:szCs w:val="20"/>
              </w:rPr>
            </w:pPr>
            <w:r>
              <w:rPr>
                <w:noProof/>
                <w:sz w:val="20"/>
              </w:rPr>
              <w:t>1</w:t>
            </w:r>
          </w:p>
        </w:tc>
        <w:tc>
          <w:tcPr>
            <w:tcW w:w="497" w:type="pct"/>
            <w:shd w:val="clear" w:color="auto" w:fill="auto"/>
            <w:vAlign w:val="center"/>
          </w:tcPr>
          <w:p>
            <w:pPr>
              <w:spacing w:beforeLines="20" w:before="48" w:afterLines="20" w:after="48"/>
              <w:jc w:val="center"/>
              <w:rPr>
                <w:rFonts w:asciiTheme="majorBidi" w:hAnsiTheme="majorBidi" w:cstheme="majorBidi"/>
                <w:noProof/>
                <w:sz w:val="20"/>
                <w:szCs w:val="20"/>
              </w:rPr>
            </w:pPr>
            <w:r>
              <w:rPr>
                <w:noProof/>
                <w:sz w:val="20"/>
              </w:rPr>
              <w:t>1</w:t>
            </w:r>
          </w:p>
        </w:tc>
        <w:tc>
          <w:tcPr>
            <w:tcW w:w="424" w:type="pct"/>
            <w:shd w:val="clear" w:color="auto" w:fill="auto"/>
            <w:vAlign w:val="center"/>
          </w:tcPr>
          <w:p>
            <w:pPr>
              <w:spacing w:beforeLines="20" w:before="48" w:afterLines="20" w:after="48"/>
              <w:jc w:val="center"/>
              <w:rPr>
                <w:noProof/>
                <w:sz w:val="20"/>
              </w:rPr>
            </w:pPr>
          </w:p>
        </w:tc>
        <w:tc>
          <w:tcPr>
            <w:tcW w:w="423" w:type="pct"/>
            <w:shd w:val="clear" w:color="auto" w:fill="auto"/>
            <w:vAlign w:val="center"/>
          </w:tcPr>
          <w:p>
            <w:pPr>
              <w:spacing w:beforeLines="20" w:before="48" w:afterLines="20" w:after="48"/>
              <w:jc w:val="center"/>
              <w:rPr>
                <w:noProof/>
                <w:sz w:val="20"/>
              </w:rPr>
            </w:pPr>
          </w:p>
        </w:tc>
        <w:tc>
          <w:tcPr>
            <w:tcW w:w="452" w:type="pct"/>
            <w:gridSpan w:val="2"/>
            <w:shd w:val="clear" w:color="auto" w:fill="auto"/>
            <w:vAlign w:val="center"/>
          </w:tcPr>
          <w:p>
            <w:pPr>
              <w:spacing w:beforeLines="20" w:before="48" w:afterLines="20" w:after="48"/>
              <w:jc w:val="center"/>
              <w:rPr>
                <w:noProof/>
                <w:sz w:val="20"/>
              </w:rPr>
            </w:pPr>
          </w:p>
        </w:tc>
      </w:tr>
      <w:tr>
        <w:trPr>
          <w:trHeight w:val="289"/>
          <w:jc w:val="center"/>
        </w:trPr>
        <w:tc>
          <w:tcPr>
            <w:tcW w:w="2044" w:type="pct"/>
            <w:gridSpan w:val="2"/>
            <w:shd w:val="clear" w:color="auto" w:fill="auto"/>
            <w:vAlign w:val="center"/>
          </w:tcPr>
          <w:p>
            <w:pPr>
              <w:pStyle w:val="Text1"/>
              <w:spacing w:beforeLines="20" w:before="48" w:afterLines="20" w:after="48"/>
              <w:ind w:left="984"/>
              <w:jc w:val="left"/>
              <w:rPr>
                <w:noProof/>
                <w:sz w:val="20"/>
              </w:rPr>
            </w:pPr>
            <w:r>
              <w:rPr>
                <w:noProof/>
                <w:sz w:val="20"/>
              </w:rPr>
              <w:t>XX 01 01 02 (delegacije)</w:t>
            </w:r>
          </w:p>
        </w:tc>
        <w:tc>
          <w:tcPr>
            <w:tcW w:w="377" w:type="pct"/>
            <w:shd w:val="clear" w:color="auto" w:fill="auto"/>
            <w:vAlign w:val="center"/>
          </w:tcPr>
          <w:p>
            <w:pPr>
              <w:spacing w:beforeLines="20" w:before="48" w:afterLines="20" w:after="48"/>
              <w:jc w:val="center"/>
              <w:rPr>
                <w:noProof/>
                <w:sz w:val="20"/>
              </w:rPr>
            </w:pPr>
          </w:p>
        </w:tc>
        <w:tc>
          <w:tcPr>
            <w:tcW w:w="377" w:type="pct"/>
            <w:shd w:val="clear" w:color="auto" w:fill="auto"/>
            <w:vAlign w:val="center"/>
          </w:tcPr>
          <w:p>
            <w:pPr>
              <w:spacing w:beforeLines="20" w:before="48" w:afterLines="20" w:after="48"/>
              <w:jc w:val="center"/>
              <w:rPr>
                <w:noProof/>
                <w:sz w:val="20"/>
              </w:rPr>
            </w:pPr>
          </w:p>
        </w:tc>
        <w:tc>
          <w:tcPr>
            <w:tcW w:w="406" w:type="pct"/>
            <w:shd w:val="clear" w:color="auto" w:fill="auto"/>
            <w:vAlign w:val="center"/>
          </w:tcPr>
          <w:p>
            <w:pPr>
              <w:spacing w:beforeLines="20" w:before="48" w:afterLines="20" w:after="48"/>
              <w:jc w:val="center"/>
              <w:rPr>
                <w:noProof/>
                <w:sz w:val="20"/>
              </w:rPr>
            </w:pPr>
          </w:p>
        </w:tc>
        <w:tc>
          <w:tcPr>
            <w:tcW w:w="497" w:type="pct"/>
            <w:shd w:val="clear" w:color="auto" w:fill="auto"/>
            <w:vAlign w:val="center"/>
          </w:tcPr>
          <w:p>
            <w:pPr>
              <w:spacing w:beforeLines="20" w:before="48" w:afterLines="20" w:after="48"/>
              <w:jc w:val="center"/>
              <w:rPr>
                <w:noProof/>
                <w:sz w:val="20"/>
              </w:rPr>
            </w:pPr>
          </w:p>
        </w:tc>
        <w:tc>
          <w:tcPr>
            <w:tcW w:w="424" w:type="pct"/>
            <w:shd w:val="clear" w:color="auto" w:fill="auto"/>
            <w:vAlign w:val="center"/>
          </w:tcPr>
          <w:p>
            <w:pPr>
              <w:spacing w:beforeLines="20" w:before="48" w:afterLines="20" w:after="48"/>
              <w:jc w:val="center"/>
              <w:rPr>
                <w:noProof/>
                <w:sz w:val="20"/>
              </w:rPr>
            </w:pPr>
          </w:p>
        </w:tc>
        <w:tc>
          <w:tcPr>
            <w:tcW w:w="423" w:type="pct"/>
            <w:shd w:val="clear" w:color="auto" w:fill="auto"/>
            <w:vAlign w:val="center"/>
          </w:tcPr>
          <w:p>
            <w:pPr>
              <w:spacing w:beforeLines="20" w:before="48" w:afterLines="20" w:after="48"/>
              <w:jc w:val="center"/>
              <w:rPr>
                <w:noProof/>
                <w:sz w:val="20"/>
              </w:rPr>
            </w:pPr>
          </w:p>
        </w:tc>
        <w:tc>
          <w:tcPr>
            <w:tcW w:w="452" w:type="pct"/>
            <w:gridSpan w:val="2"/>
            <w:shd w:val="clear" w:color="auto" w:fill="auto"/>
            <w:vAlign w:val="center"/>
          </w:tcPr>
          <w:p>
            <w:pPr>
              <w:spacing w:beforeLines="20" w:before="48" w:afterLines="20" w:after="48"/>
              <w:jc w:val="center"/>
              <w:rPr>
                <w:noProof/>
                <w:sz w:val="20"/>
              </w:rPr>
            </w:pPr>
          </w:p>
        </w:tc>
      </w:tr>
      <w:tr>
        <w:trPr>
          <w:trHeight w:val="953"/>
          <w:jc w:val="center"/>
        </w:trPr>
        <w:tc>
          <w:tcPr>
            <w:tcW w:w="2044" w:type="pct"/>
            <w:gridSpan w:val="2"/>
            <w:shd w:val="clear" w:color="auto" w:fill="auto"/>
            <w:vAlign w:val="center"/>
          </w:tcPr>
          <w:p>
            <w:pPr>
              <w:pStyle w:val="Text1"/>
              <w:spacing w:beforeLines="20" w:before="48" w:afterLines="20" w:after="48"/>
              <w:ind w:left="984"/>
              <w:jc w:val="left"/>
              <w:rPr>
                <w:noProof/>
                <w:sz w:val="20"/>
              </w:rPr>
            </w:pPr>
            <w:r>
              <w:rPr>
                <w:noProof/>
                <w:sz w:val="20"/>
              </w:rPr>
              <w:t>XX 01 05 01 (posredne raziskave)</w:t>
            </w:r>
          </w:p>
        </w:tc>
        <w:tc>
          <w:tcPr>
            <w:tcW w:w="377" w:type="pct"/>
            <w:shd w:val="clear" w:color="auto" w:fill="auto"/>
            <w:vAlign w:val="center"/>
          </w:tcPr>
          <w:p>
            <w:pPr>
              <w:spacing w:beforeLines="20" w:before="48" w:afterLines="20" w:after="48"/>
              <w:jc w:val="center"/>
              <w:rPr>
                <w:noProof/>
                <w:sz w:val="20"/>
              </w:rPr>
            </w:pPr>
          </w:p>
        </w:tc>
        <w:tc>
          <w:tcPr>
            <w:tcW w:w="377" w:type="pct"/>
            <w:shd w:val="clear" w:color="auto" w:fill="auto"/>
            <w:vAlign w:val="center"/>
          </w:tcPr>
          <w:p>
            <w:pPr>
              <w:spacing w:beforeLines="20" w:before="48" w:afterLines="20" w:after="48"/>
              <w:jc w:val="center"/>
              <w:rPr>
                <w:noProof/>
                <w:sz w:val="20"/>
              </w:rPr>
            </w:pPr>
          </w:p>
        </w:tc>
        <w:tc>
          <w:tcPr>
            <w:tcW w:w="406" w:type="pct"/>
            <w:shd w:val="clear" w:color="auto" w:fill="auto"/>
            <w:vAlign w:val="center"/>
          </w:tcPr>
          <w:p>
            <w:pPr>
              <w:spacing w:beforeLines="20" w:before="48" w:afterLines="20" w:after="48"/>
              <w:jc w:val="center"/>
              <w:rPr>
                <w:noProof/>
                <w:sz w:val="20"/>
              </w:rPr>
            </w:pPr>
          </w:p>
        </w:tc>
        <w:tc>
          <w:tcPr>
            <w:tcW w:w="497" w:type="pct"/>
            <w:shd w:val="clear" w:color="auto" w:fill="auto"/>
            <w:vAlign w:val="center"/>
          </w:tcPr>
          <w:p>
            <w:pPr>
              <w:spacing w:beforeLines="20" w:before="48" w:afterLines="20" w:after="48"/>
              <w:jc w:val="center"/>
              <w:rPr>
                <w:noProof/>
                <w:sz w:val="20"/>
              </w:rPr>
            </w:pPr>
          </w:p>
        </w:tc>
        <w:tc>
          <w:tcPr>
            <w:tcW w:w="424" w:type="pct"/>
            <w:shd w:val="clear" w:color="auto" w:fill="auto"/>
            <w:vAlign w:val="center"/>
          </w:tcPr>
          <w:p>
            <w:pPr>
              <w:spacing w:beforeLines="20" w:before="48" w:afterLines="20" w:after="48"/>
              <w:jc w:val="center"/>
              <w:rPr>
                <w:noProof/>
                <w:sz w:val="20"/>
              </w:rPr>
            </w:pPr>
          </w:p>
        </w:tc>
        <w:tc>
          <w:tcPr>
            <w:tcW w:w="423" w:type="pct"/>
            <w:shd w:val="clear" w:color="auto" w:fill="auto"/>
            <w:vAlign w:val="center"/>
          </w:tcPr>
          <w:p>
            <w:pPr>
              <w:spacing w:beforeLines="20" w:before="48" w:afterLines="20" w:after="48"/>
              <w:jc w:val="center"/>
              <w:rPr>
                <w:noProof/>
                <w:sz w:val="20"/>
              </w:rPr>
            </w:pPr>
          </w:p>
        </w:tc>
        <w:tc>
          <w:tcPr>
            <w:tcW w:w="452" w:type="pct"/>
            <w:gridSpan w:val="2"/>
            <w:shd w:val="clear" w:color="auto" w:fill="auto"/>
            <w:vAlign w:val="center"/>
          </w:tcPr>
          <w:p>
            <w:pPr>
              <w:spacing w:beforeLines="20" w:before="48" w:afterLines="20" w:after="48"/>
              <w:jc w:val="center"/>
              <w:rPr>
                <w:noProof/>
                <w:sz w:val="20"/>
              </w:rPr>
            </w:pPr>
          </w:p>
        </w:tc>
      </w:tr>
      <w:tr>
        <w:trPr>
          <w:trHeight w:val="289"/>
          <w:jc w:val="center"/>
        </w:trPr>
        <w:tc>
          <w:tcPr>
            <w:tcW w:w="2044" w:type="pct"/>
            <w:gridSpan w:val="2"/>
            <w:shd w:val="clear" w:color="auto" w:fill="auto"/>
            <w:vAlign w:val="center"/>
          </w:tcPr>
          <w:p>
            <w:pPr>
              <w:pStyle w:val="Text1"/>
              <w:spacing w:beforeLines="20" w:before="48" w:afterLines="20" w:after="48"/>
              <w:ind w:left="984"/>
              <w:jc w:val="left"/>
              <w:rPr>
                <w:noProof/>
                <w:sz w:val="20"/>
              </w:rPr>
            </w:pPr>
            <w:r>
              <w:rPr>
                <w:noProof/>
                <w:sz w:val="20"/>
              </w:rPr>
              <w:t>10 01 05 01 (neposredne raziskave)</w:t>
            </w:r>
          </w:p>
        </w:tc>
        <w:tc>
          <w:tcPr>
            <w:tcW w:w="377" w:type="pct"/>
            <w:shd w:val="clear" w:color="auto" w:fill="auto"/>
            <w:vAlign w:val="center"/>
          </w:tcPr>
          <w:p>
            <w:pPr>
              <w:spacing w:beforeLines="20" w:before="48" w:afterLines="20" w:after="48"/>
              <w:jc w:val="center"/>
              <w:rPr>
                <w:noProof/>
                <w:sz w:val="20"/>
              </w:rPr>
            </w:pPr>
          </w:p>
        </w:tc>
        <w:tc>
          <w:tcPr>
            <w:tcW w:w="377" w:type="pct"/>
            <w:shd w:val="clear" w:color="auto" w:fill="auto"/>
            <w:vAlign w:val="center"/>
          </w:tcPr>
          <w:p>
            <w:pPr>
              <w:spacing w:beforeLines="20" w:before="48" w:afterLines="20" w:after="48"/>
              <w:jc w:val="center"/>
              <w:rPr>
                <w:noProof/>
                <w:sz w:val="20"/>
              </w:rPr>
            </w:pPr>
          </w:p>
        </w:tc>
        <w:tc>
          <w:tcPr>
            <w:tcW w:w="406" w:type="pct"/>
            <w:shd w:val="clear" w:color="auto" w:fill="auto"/>
            <w:vAlign w:val="center"/>
          </w:tcPr>
          <w:p>
            <w:pPr>
              <w:spacing w:beforeLines="20" w:before="48" w:afterLines="20" w:after="48"/>
              <w:jc w:val="center"/>
              <w:rPr>
                <w:noProof/>
                <w:sz w:val="20"/>
              </w:rPr>
            </w:pPr>
          </w:p>
        </w:tc>
        <w:tc>
          <w:tcPr>
            <w:tcW w:w="497" w:type="pct"/>
            <w:shd w:val="clear" w:color="auto" w:fill="auto"/>
            <w:vAlign w:val="center"/>
          </w:tcPr>
          <w:p>
            <w:pPr>
              <w:spacing w:beforeLines="20" w:before="48" w:afterLines="20" w:after="48"/>
              <w:jc w:val="center"/>
              <w:rPr>
                <w:noProof/>
                <w:sz w:val="20"/>
              </w:rPr>
            </w:pPr>
          </w:p>
        </w:tc>
        <w:tc>
          <w:tcPr>
            <w:tcW w:w="424" w:type="pct"/>
            <w:shd w:val="clear" w:color="auto" w:fill="auto"/>
            <w:vAlign w:val="center"/>
          </w:tcPr>
          <w:p>
            <w:pPr>
              <w:spacing w:beforeLines="20" w:before="48" w:afterLines="20" w:after="48"/>
              <w:jc w:val="center"/>
              <w:rPr>
                <w:noProof/>
                <w:sz w:val="20"/>
              </w:rPr>
            </w:pPr>
          </w:p>
        </w:tc>
        <w:tc>
          <w:tcPr>
            <w:tcW w:w="423" w:type="pct"/>
            <w:shd w:val="clear" w:color="auto" w:fill="auto"/>
            <w:vAlign w:val="center"/>
          </w:tcPr>
          <w:p>
            <w:pPr>
              <w:spacing w:beforeLines="20" w:before="48" w:afterLines="20" w:after="48"/>
              <w:jc w:val="center"/>
              <w:rPr>
                <w:noProof/>
                <w:sz w:val="20"/>
              </w:rPr>
            </w:pPr>
          </w:p>
        </w:tc>
        <w:tc>
          <w:tcPr>
            <w:tcW w:w="452" w:type="pct"/>
            <w:gridSpan w:val="2"/>
            <w:shd w:val="clear" w:color="auto" w:fill="auto"/>
            <w:vAlign w:val="center"/>
          </w:tcPr>
          <w:p>
            <w:pPr>
              <w:spacing w:beforeLines="20" w:before="48" w:afterLines="20" w:after="48"/>
              <w:jc w:val="center"/>
              <w:rPr>
                <w:noProof/>
                <w:sz w:val="20"/>
              </w:rPr>
            </w:pPr>
          </w:p>
        </w:tc>
      </w:tr>
      <w:tr>
        <w:trPr>
          <w:trHeight w:val="289"/>
          <w:jc w:val="center"/>
        </w:trPr>
        <w:tc>
          <w:tcPr>
            <w:tcW w:w="2044" w:type="pct"/>
            <w:gridSpan w:val="2"/>
            <w:shd w:val="clear" w:color="auto" w:fill="auto"/>
            <w:vAlign w:val="center"/>
          </w:tcPr>
          <w:p>
            <w:pPr>
              <w:pStyle w:val="Text1"/>
              <w:spacing w:beforeLines="20" w:before="48" w:afterLines="20" w:after="48"/>
              <w:ind w:left="984"/>
              <w:jc w:val="left"/>
              <w:rPr>
                <w:noProof/>
                <w:sz w:val="20"/>
              </w:rPr>
            </w:pPr>
          </w:p>
        </w:tc>
        <w:tc>
          <w:tcPr>
            <w:tcW w:w="377" w:type="pct"/>
            <w:shd w:val="clear" w:color="auto" w:fill="auto"/>
            <w:vAlign w:val="center"/>
          </w:tcPr>
          <w:p>
            <w:pPr>
              <w:spacing w:beforeLines="20" w:before="48" w:afterLines="20" w:after="48"/>
              <w:jc w:val="center"/>
              <w:rPr>
                <w:noProof/>
                <w:sz w:val="20"/>
              </w:rPr>
            </w:pPr>
          </w:p>
        </w:tc>
        <w:tc>
          <w:tcPr>
            <w:tcW w:w="377" w:type="pct"/>
            <w:shd w:val="clear" w:color="auto" w:fill="auto"/>
            <w:vAlign w:val="center"/>
          </w:tcPr>
          <w:p>
            <w:pPr>
              <w:spacing w:beforeLines="20" w:before="48" w:afterLines="20" w:after="48"/>
              <w:jc w:val="center"/>
              <w:rPr>
                <w:noProof/>
                <w:sz w:val="20"/>
              </w:rPr>
            </w:pPr>
          </w:p>
        </w:tc>
        <w:tc>
          <w:tcPr>
            <w:tcW w:w="406" w:type="pct"/>
            <w:shd w:val="clear" w:color="auto" w:fill="auto"/>
            <w:vAlign w:val="center"/>
          </w:tcPr>
          <w:p>
            <w:pPr>
              <w:spacing w:beforeLines="20" w:before="48" w:afterLines="20" w:after="48"/>
              <w:jc w:val="center"/>
              <w:rPr>
                <w:noProof/>
                <w:sz w:val="20"/>
              </w:rPr>
            </w:pPr>
          </w:p>
        </w:tc>
        <w:tc>
          <w:tcPr>
            <w:tcW w:w="497" w:type="pct"/>
            <w:shd w:val="clear" w:color="auto" w:fill="auto"/>
            <w:vAlign w:val="center"/>
          </w:tcPr>
          <w:p>
            <w:pPr>
              <w:spacing w:beforeLines="20" w:before="48" w:afterLines="20" w:after="48"/>
              <w:jc w:val="center"/>
              <w:rPr>
                <w:noProof/>
                <w:sz w:val="20"/>
              </w:rPr>
            </w:pPr>
          </w:p>
        </w:tc>
        <w:tc>
          <w:tcPr>
            <w:tcW w:w="424" w:type="pct"/>
            <w:shd w:val="clear" w:color="auto" w:fill="auto"/>
            <w:vAlign w:val="center"/>
          </w:tcPr>
          <w:p>
            <w:pPr>
              <w:spacing w:beforeLines="20" w:before="48" w:afterLines="20" w:after="48"/>
              <w:jc w:val="center"/>
              <w:rPr>
                <w:noProof/>
                <w:sz w:val="20"/>
              </w:rPr>
            </w:pPr>
          </w:p>
        </w:tc>
        <w:tc>
          <w:tcPr>
            <w:tcW w:w="423" w:type="pct"/>
            <w:shd w:val="clear" w:color="auto" w:fill="auto"/>
            <w:vAlign w:val="center"/>
          </w:tcPr>
          <w:p>
            <w:pPr>
              <w:spacing w:beforeLines="20" w:before="48" w:afterLines="20" w:after="48"/>
              <w:jc w:val="center"/>
              <w:rPr>
                <w:noProof/>
                <w:sz w:val="20"/>
              </w:rPr>
            </w:pPr>
          </w:p>
        </w:tc>
        <w:tc>
          <w:tcPr>
            <w:tcW w:w="452" w:type="pct"/>
            <w:gridSpan w:val="2"/>
            <w:shd w:val="clear" w:color="auto" w:fill="auto"/>
            <w:vAlign w:val="center"/>
          </w:tcPr>
          <w:p>
            <w:pPr>
              <w:spacing w:beforeLines="20" w:before="48" w:afterLines="20" w:after="48"/>
              <w:jc w:val="center"/>
              <w:rPr>
                <w:noProof/>
                <w:sz w:val="20"/>
              </w:rPr>
            </w:pPr>
          </w:p>
        </w:tc>
      </w:tr>
      <w:tr>
        <w:trPr>
          <w:trHeight w:val="289"/>
          <w:jc w:val="center"/>
        </w:trPr>
        <w:tc>
          <w:tcPr>
            <w:tcW w:w="2044" w:type="pct"/>
            <w:gridSpan w:val="2"/>
            <w:shd w:val="clear" w:color="auto" w:fill="auto"/>
            <w:vAlign w:val="center"/>
          </w:tcPr>
          <w:p>
            <w:pPr>
              <w:pStyle w:val="Text1"/>
              <w:spacing w:beforeLines="20" w:before="48" w:afterLines="20" w:after="48"/>
              <w:ind w:left="208" w:hanging="120"/>
              <w:jc w:val="left"/>
              <w:rPr>
                <w:noProof/>
                <w:sz w:val="20"/>
              </w:rPr>
            </w:pPr>
            <w:r>
              <w:rPr>
                <w:b/>
                <w:noProof/>
                <w:sz w:val="20"/>
              </w:rPr>
              <w:sym w:font="Wingdings" w:char="F09F"/>
            </w:r>
            <w:r>
              <w:rPr>
                <w:b/>
                <w:noProof/>
                <w:sz w:val="20"/>
              </w:rPr>
              <w:t xml:space="preserve"> Zunanji sodelavci (v ekvivalentu polnega delovnega časa: EPDČ)</w:t>
            </w:r>
            <w:r>
              <w:rPr>
                <w:rStyle w:val="FootnoteReference"/>
                <w:b/>
                <w:noProof/>
                <w:sz w:val="20"/>
              </w:rPr>
              <w:footnoteReference w:id="90"/>
            </w:r>
          </w:p>
        </w:tc>
        <w:tc>
          <w:tcPr>
            <w:tcW w:w="377" w:type="pct"/>
            <w:shd w:val="clear" w:color="auto" w:fill="auto"/>
            <w:vAlign w:val="center"/>
          </w:tcPr>
          <w:p>
            <w:pPr>
              <w:spacing w:beforeLines="20" w:before="48" w:afterLines="20" w:after="48"/>
              <w:jc w:val="center"/>
              <w:rPr>
                <w:noProof/>
                <w:sz w:val="20"/>
              </w:rPr>
            </w:pPr>
          </w:p>
        </w:tc>
        <w:tc>
          <w:tcPr>
            <w:tcW w:w="377" w:type="pct"/>
            <w:shd w:val="clear" w:color="auto" w:fill="auto"/>
            <w:vAlign w:val="center"/>
          </w:tcPr>
          <w:p>
            <w:pPr>
              <w:spacing w:beforeLines="20" w:before="48" w:afterLines="20" w:after="48"/>
              <w:jc w:val="center"/>
              <w:rPr>
                <w:noProof/>
                <w:sz w:val="20"/>
              </w:rPr>
            </w:pPr>
          </w:p>
        </w:tc>
        <w:tc>
          <w:tcPr>
            <w:tcW w:w="406" w:type="pct"/>
            <w:shd w:val="clear" w:color="auto" w:fill="auto"/>
            <w:vAlign w:val="center"/>
          </w:tcPr>
          <w:p>
            <w:pPr>
              <w:spacing w:beforeLines="20" w:before="48" w:afterLines="20" w:after="48"/>
              <w:jc w:val="center"/>
              <w:rPr>
                <w:noProof/>
                <w:sz w:val="20"/>
              </w:rPr>
            </w:pPr>
          </w:p>
        </w:tc>
        <w:tc>
          <w:tcPr>
            <w:tcW w:w="497" w:type="pct"/>
            <w:shd w:val="clear" w:color="auto" w:fill="auto"/>
            <w:vAlign w:val="center"/>
          </w:tcPr>
          <w:p>
            <w:pPr>
              <w:spacing w:beforeLines="20" w:before="48" w:afterLines="20" w:after="48"/>
              <w:jc w:val="center"/>
              <w:rPr>
                <w:noProof/>
                <w:sz w:val="20"/>
              </w:rPr>
            </w:pPr>
          </w:p>
        </w:tc>
        <w:tc>
          <w:tcPr>
            <w:tcW w:w="424" w:type="pct"/>
            <w:shd w:val="clear" w:color="auto" w:fill="auto"/>
            <w:vAlign w:val="center"/>
          </w:tcPr>
          <w:p>
            <w:pPr>
              <w:spacing w:beforeLines="20" w:before="48" w:afterLines="20" w:after="48"/>
              <w:jc w:val="center"/>
              <w:rPr>
                <w:noProof/>
                <w:sz w:val="20"/>
              </w:rPr>
            </w:pPr>
          </w:p>
        </w:tc>
        <w:tc>
          <w:tcPr>
            <w:tcW w:w="423" w:type="pct"/>
            <w:shd w:val="clear" w:color="auto" w:fill="auto"/>
            <w:vAlign w:val="center"/>
          </w:tcPr>
          <w:p>
            <w:pPr>
              <w:spacing w:beforeLines="20" w:before="48" w:afterLines="20" w:after="48"/>
              <w:jc w:val="center"/>
              <w:rPr>
                <w:noProof/>
                <w:sz w:val="20"/>
              </w:rPr>
            </w:pPr>
          </w:p>
        </w:tc>
        <w:tc>
          <w:tcPr>
            <w:tcW w:w="452" w:type="pct"/>
            <w:gridSpan w:val="2"/>
            <w:shd w:val="clear" w:color="auto" w:fill="auto"/>
            <w:vAlign w:val="center"/>
          </w:tcPr>
          <w:p>
            <w:pPr>
              <w:spacing w:beforeLines="20" w:before="48" w:afterLines="20" w:after="48"/>
              <w:jc w:val="center"/>
              <w:rPr>
                <w:noProof/>
                <w:sz w:val="20"/>
              </w:rPr>
            </w:pPr>
          </w:p>
        </w:tc>
      </w:tr>
      <w:tr>
        <w:trPr>
          <w:trHeight w:val="289"/>
          <w:jc w:val="center"/>
        </w:trPr>
        <w:tc>
          <w:tcPr>
            <w:tcW w:w="2044" w:type="pct"/>
            <w:gridSpan w:val="2"/>
            <w:shd w:val="clear" w:color="auto" w:fill="auto"/>
            <w:vAlign w:val="center"/>
          </w:tcPr>
          <w:p>
            <w:pPr>
              <w:pStyle w:val="Text1"/>
              <w:spacing w:beforeLines="20" w:before="48" w:afterLines="20" w:after="48"/>
              <w:ind w:left="986"/>
              <w:jc w:val="left"/>
              <w:rPr>
                <w:b/>
                <w:noProof/>
                <w:sz w:val="20"/>
              </w:rPr>
            </w:pPr>
            <w:r>
              <w:rPr>
                <w:noProof/>
                <w:sz w:val="20"/>
              </w:rPr>
              <w:t>XX 01 02 01 (PU, NNS, ZU iz splošnih sredstev)</w:t>
            </w:r>
          </w:p>
        </w:tc>
        <w:tc>
          <w:tcPr>
            <w:tcW w:w="377" w:type="pct"/>
            <w:shd w:val="clear" w:color="auto" w:fill="auto"/>
            <w:vAlign w:val="center"/>
          </w:tcPr>
          <w:p>
            <w:pPr>
              <w:spacing w:beforeLines="20" w:before="48" w:afterLines="20" w:after="48"/>
              <w:jc w:val="center"/>
              <w:rPr>
                <w:noProof/>
                <w:sz w:val="20"/>
              </w:rPr>
            </w:pPr>
          </w:p>
        </w:tc>
        <w:tc>
          <w:tcPr>
            <w:tcW w:w="377" w:type="pct"/>
            <w:shd w:val="clear" w:color="auto" w:fill="auto"/>
            <w:vAlign w:val="center"/>
          </w:tcPr>
          <w:p>
            <w:pPr>
              <w:spacing w:beforeLines="20" w:before="48" w:afterLines="20" w:after="48"/>
              <w:jc w:val="center"/>
              <w:rPr>
                <w:noProof/>
                <w:sz w:val="20"/>
              </w:rPr>
            </w:pPr>
          </w:p>
        </w:tc>
        <w:tc>
          <w:tcPr>
            <w:tcW w:w="406" w:type="pct"/>
            <w:shd w:val="clear" w:color="auto" w:fill="auto"/>
            <w:vAlign w:val="center"/>
          </w:tcPr>
          <w:p>
            <w:pPr>
              <w:spacing w:beforeLines="20" w:before="48" w:afterLines="20" w:after="48"/>
              <w:jc w:val="center"/>
              <w:rPr>
                <w:noProof/>
                <w:sz w:val="20"/>
              </w:rPr>
            </w:pPr>
          </w:p>
        </w:tc>
        <w:tc>
          <w:tcPr>
            <w:tcW w:w="497" w:type="pct"/>
            <w:shd w:val="clear" w:color="auto" w:fill="auto"/>
            <w:vAlign w:val="center"/>
          </w:tcPr>
          <w:p>
            <w:pPr>
              <w:spacing w:beforeLines="20" w:before="48" w:afterLines="20" w:after="48"/>
              <w:jc w:val="center"/>
              <w:rPr>
                <w:noProof/>
                <w:sz w:val="20"/>
              </w:rPr>
            </w:pPr>
          </w:p>
        </w:tc>
        <w:tc>
          <w:tcPr>
            <w:tcW w:w="424" w:type="pct"/>
            <w:shd w:val="clear" w:color="auto" w:fill="auto"/>
            <w:vAlign w:val="center"/>
          </w:tcPr>
          <w:p>
            <w:pPr>
              <w:spacing w:beforeLines="20" w:before="48" w:afterLines="20" w:after="48"/>
              <w:jc w:val="center"/>
              <w:rPr>
                <w:noProof/>
                <w:sz w:val="20"/>
              </w:rPr>
            </w:pPr>
          </w:p>
        </w:tc>
        <w:tc>
          <w:tcPr>
            <w:tcW w:w="423" w:type="pct"/>
            <w:shd w:val="clear" w:color="auto" w:fill="auto"/>
            <w:vAlign w:val="center"/>
          </w:tcPr>
          <w:p>
            <w:pPr>
              <w:spacing w:beforeLines="20" w:before="48" w:afterLines="20" w:after="48"/>
              <w:jc w:val="center"/>
              <w:rPr>
                <w:noProof/>
                <w:sz w:val="20"/>
              </w:rPr>
            </w:pPr>
          </w:p>
        </w:tc>
        <w:tc>
          <w:tcPr>
            <w:tcW w:w="452" w:type="pct"/>
            <w:gridSpan w:val="2"/>
            <w:shd w:val="clear" w:color="auto" w:fill="auto"/>
            <w:vAlign w:val="center"/>
          </w:tcPr>
          <w:p>
            <w:pPr>
              <w:spacing w:beforeLines="20" w:before="48" w:afterLines="20" w:after="48"/>
              <w:jc w:val="center"/>
              <w:rPr>
                <w:noProof/>
                <w:sz w:val="20"/>
              </w:rPr>
            </w:pPr>
          </w:p>
        </w:tc>
      </w:tr>
      <w:tr>
        <w:trPr>
          <w:trHeight w:val="289"/>
          <w:jc w:val="center"/>
        </w:trPr>
        <w:tc>
          <w:tcPr>
            <w:tcW w:w="2044" w:type="pct"/>
            <w:gridSpan w:val="2"/>
            <w:shd w:val="clear" w:color="auto" w:fill="auto"/>
            <w:vAlign w:val="center"/>
          </w:tcPr>
          <w:p>
            <w:pPr>
              <w:pStyle w:val="Text1"/>
              <w:spacing w:beforeLines="20" w:before="48" w:afterLines="20" w:after="48"/>
              <w:ind w:left="986"/>
              <w:jc w:val="left"/>
              <w:rPr>
                <w:noProof/>
                <w:sz w:val="20"/>
              </w:rPr>
            </w:pPr>
            <w:r>
              <w:rPr>
                <w:noProof/>
                <w:sz w:val="20"/>
              </w:rPr>
              <w:t>XX 01 02 02 (PU, LU, NNS, ZU in MSD na delegacijah)</w:t>
            </w:r>
          </w:p>
        </w:tc>
        <w:tc>
          <w:tcPr>
            <w:tcW w:w="377" w:type="pct"/>
            <w:shd w:val="clear" w:color="auto" w:fill="auto"/>
            <w:vAlign w:val="center"/>
          </w:tcPr>
          <w:p>
            <w:pPr>
              <w:spacing w:beforeLines="20" w:before="48" w:afterLines="20" w:after="48"/>
              <w:jc w:val="center"/>
              <w:rPr>
                <w:noProof/>
                <w:sz w:val="20"/>
              </w:rPr>
            </w:pPr>
          </w:p>
        </w:tc>
        <w:tc>
          <w:tcPr>
            <w:tcW w:w="377" w:type="pct"/>
            <w:shd w:val="clear" w:color="auto" w:fill="auto"/>
            <w:vAlign w:val="center"/>
          </w:tcPr>
          <w:p>
            <w:pPr>
              <w:spacing w:beforeLines="20" w:before="48" w:afterLines="20" w:after="48"/>
              <w:jc w:val="center"/>
              <w:rPr>
                <w:noProof/>
                <w:sz w:val="20"/>
              </w:rPr>
            </w:pPr>
          </w:p>
        </w:tc>
        <w:tc>
          <w:tcPr>
            <w:tcW w:w="406" w:type="pct"/>
            <w:shd w:val="clear" w:color="auto" w:fill="auto"/>
            <w:vAlign w:val="center"/>
          </w:tcPr>
          <w:p>
            <w:pPr>
              <w:spacing w:beforeLines="20" w:before="48" w:afterLines="20" w:after="48"/>
              <w:jc w:val="center"/>
              <w:rPr>
                <w:noProof/>
                <w:sz w:val="20"/>
              </w:rPr>
            </w:pPr>
          </w:p>
        </w:tc>
        <w:tc>
          <w:tcPr>
            <w:tcW w:w="497" w:type="pct"/>
            <w:shd w:val="clear" w:color="auto" w:fill="auto"/>
            <w:vAlign w:val="center"/>
          </w:tcPr>
          <w:p>
            <w:pPr>
              <w:spacing w:beforeLines="20" w:before="48" w:afterLines="20" w:after="48"/>
              <w:jc w:val="center"/>
              <w:rPr>
                <w:noProof/>
                <w:sz w:val="20"/>
              </w:rPr>
            </w:pPr>
          </w:p>
        </w:tc>
        <w:tc>
          <w:tcPr>
            <w:tcW w:w="424" w:type="pct"/>
            <w:shd w:val="clear" w:color="auto" w:fill="auto"/>
            <w:vAlign w:val="center"/>
          </w:tcPr>
          <w:p>
            <w:pPr>
              <w:spacing w:beforeLines="20" w:before="48" w:afterLines="20" w:after="48"/>
              <w:jc w:val="center"/>
              <w:rPr>
                <w:noProof/>
                <w:sz w:val="20"/>
              </w:rPr>
            </w:pPr>
          </w:p>
        </w:tc>
        <w:tc>
          <w:tcPr>
            <w:tcW w:w="423" w:type="pct"/>
            <w:shd w:val="clear" w:color="auto" w:fill="auto"/>
            <w:vAlign w:val="center"/>
          </w:tcPr>
          <w:p>
            <w:pPr>
              <w:spacing w:beforeLines="20" w:before="48" w:afterLines="20" w:after="48"/>
              <w:jc w:val="center"/>
              <w:rPr>
                <w:noProof/>
                <w:sz w:val="20"/>
              </w:rPr>
            </w:pPr>
          </w:p>
        </w:tc>
        <w:tc>
          <w:tcPr>
            <w:tcW w:w="452" w:type="pct"/>
            <w:gridSpan w:val="2"/>
            <w:shd w:val="clear" w:color="auto" w:fill="auto"/>
            <w:vAlign w:val="center"/>
          </w:tcPr>
          <w:p>
            <w:pPr>
              <w:spacing w:beforeLines="20" w:before="48" w:afterLines="20" w:after="48"/>
              <w:jc w:val="center"/>
              <w:rPr>
                <w:noProof/>
                <w:sz w:val="20"/>
              </w:rPr>
            </w:pPr>
          </w:p>
        </w:tc>
      </w:tr>
      <w:tr>
        <w:trPr>
          <w:trHeight w:val="289"/>
          <w:jc w:val="center"/>
        </w:trPr>
        <w:tc>
          <w:tcPr>
            <w:tcW w:w="1018" w:type="pct"/>
            <w:vMerge w:val="restart"/>
            <w:shd w:val="clear" w:color="auto" w:fill="auto"/>
            <w:vAlign w:val="center"/>
          </w:tcPr>
          <w:p>
            <w:pPr>
              <w:pStyle w:val="Text1"/>
              <w:spacing w:beforeLines="20" w:before="48" w:afterLines="20" w:after="48"/>
              <w:ind w:left="986"/>
              <w:jc w:val="left"/>
              <w:rPr>
                <w:b/>
                <w:noProof/>
                <w:sz w:val="20"/>
              </w:rPr>
            </w:pPr>
            <w:r>
              <w:rPr>
                <w:b/>
                <w:noProof/>
                <w:sz w:val="20"/>
              </w:rPr>
              <w:t>XX</w:t>
            </w:r>
            <w:r>
              <w:rPr>
                <w:noProof/>
                <w:sz w:val="20"/>
              </w:rPr>
              <w:t> 01 04</w:t>
            </w:r>
            <w:r>
              <w:rPr>
                <w:b/>
                <w:i/>
                <w:noProof/>
                <w:sz w:val="20"/>
              </w:rPr>
              <w:t>yy</w:t>
            </w:r>
            <w:r>
              <w:rPr>
                <w:rStyle w:val="FootnoteReference"/>
                <w:b/>
                <w:i/>
                <w:noProof/>
                <w:sz w:val="20"/>
              </w:rPr>
              <w:footnoteReference w:id="91"/>
            </w:r>
          </w:p>
        </w:tc>
        <w:tc>
          <w:tcPr>
            <w:tcW w:w="1026" w:type="pct"/>
            <w:shd w:val="clear" w:color="auto" w:fill="auto"/>
            <w:vAlign w:val="center"/>
          </w:tcPr>
          <w:p>
            <w:pPr>
              <w:pStyle w:val="Text1"/>
              <w:spacing w:beforeLines="20" w:before="48" w:afterLines="20" w:after="48"/>
              <w:ind w:left="598"/>
              <w:jc w:val="left"/>
              <w:rPr>
                <w:b/>
                <w:noProof/>
                <w:sz w:val="20"/>
              </w:rPr>
            </w:pPr>
            <w:r>
              <w:rPr>
                <w:noProof/>
                <w:sz w:val="20"/>
              </w:rPr>
              <w:t>– na sedežu</w:t>
            </w:r>
            <w:r>
              <w:rPr>
                <w:rStyle w:val="FootnoteReference"/>
                <w:noProof/>
                <w:sz w:val="20"/>
              </w:rPr>
              <w:footnoteReference w:id="92"/>
            </w:r>
            <w:r>
              <w:rPr>
                <w:noProof/>
                <w:sz w:val="20"/>
              </w:rPr>
              <w:br/>
            </w:r>
          </w:p>
        </w:tc>
        <w:tc>
          <w:tcPr>
            <w:tcW w:w="377" w:type="pct"/>
            <w:shd w:val="clear" w:color="auto" w:fill="auto"/>
            <w:vAlign w:val="center"/>
          </w:tcPr>
          <w:p>
            <w:pPr>
              <w:pStyle w:val="Text1"/>
              <w:spacing w:beforeLines="20" w:before="48" w:afterLines="20" w:after="48"/>
              <w:rPr>
                <w:noProof/>
                <w:sz w:val="20"/>
              </w:rPr>
            </w:pPr>
          </w:p>
        </w:tc>
        <w:tc>
          <w:tcPr>
            <w:tcW w:w="377" w:type="pct"/>
            <w:shd w:val="clear" w:color="auto" w:fill="auto"/>
            <w:vAlign w:val="center"/>
          </w:tcPr>
          <w:p>
            <w:pPr>
              <w:spacing w:beforeLines="20" w:before="48" w:afterLines="20" w:after="48"/>
              <w:jc w:val="center"/>
              <w:rPr>
                <w:noProof/>
                <w:sz w:val="20"/>
              </w:rPr>
            </w:pPr>
          </w:p>
        </w:tc>
        <w:tc>
          <w:tcPr>
            <w:tcW w:w="406" w:type="pct"/>
            <w:shd w:val="clear" w:color="auto" w:fill="auto"/>
            <w:vAlign w:val="center"/>
          </w:tcPr>
          <w:p>
            <w:pPr>
              <w:spacing w:beforeLines="20" w:before="48" w:afterLines="20" w:after="48"/>
              <w:jc w:val="center"/>
              <w:rPr>
                <w:noProof/>
                <w:sz w:val="20"/>
              </w:rPr>
            </w:pPr>
          </w:p>
        </w:tc>
        <w:tc>
          <w:tcPr>
            <w:tcW w:w="497" w:type="pct"/>
            <w:shd w:val="clear" w:color="auto" w:fill="auto"/>
            <w:vAlign w:val="center"/>
          </w:tcPr>
          <w:p>
            <w:pPr>
              <w:spacing w:beforeLines="20" w:before="48" w:afterLines="20" w:after="48"/>
              <w:jc w:val="center"/>
              <w:rPr>
                <w:noProof/>
                <w:sz w:val="20"/>
              </w:rPr>
            </w:pPr>
          </w:p>
        </w:tc>
        <w:tc>
          <w:tcPr>
            <w:tcW w:w="424" w:type="pct"/>
            <w:shd w:val="clear" w:color="auto" w:fill="auto"/>
            <w:vAlign w:val="center"/>
          </w:tcPr>
          <w:p>
            <w:pPr>
              <w:spacing w:beforeLines="20" w:before="48" w:afterLines="20" w:after="48"/>
              <w:jc w:val="center"/>
              <w:rPr>
                <w:noProof/>
                <w:sz w:val="20"/>
              </w:rPr>
            </w:pPr>
          </w:p>
        </w:tc>
        <w:tc>
          <w:tcPr>
            <w:tcW w:w="423" w:type="pct"/>
            <w:shd w:val="clear" w:color="auto" w:fill="auto"/>
            <w:vAlign w:val="center"/>
          </w:tcPr>
          <w:p>
            <w:pPr>
              <w:spacing w:beforeLines="20" w:before="48" w:afterLines="20" w:after="48"/>
              <w:jc w:val="center"/>
              <w:rPr>
                <w:noProof/>
                <w:sz w:val="20"/>
              </w:rPr>
            </w:pPr>
          </w:p>
        </w:tc>
        <w:tc>
          <w:tcPr>
            <w:tcW w:w="452" w:type="pct"/>
            <w:gridSpan w:val="2"/>
            <w:shd w:val="clear" w:color="auto" w:fill="auto"/>
            <w:vAlign w:val="center"/>
          </w:tcPr>
          <w:p>
            <w:pPr>
              <w:spacing w:beforeLines="20" w:before="48" w:afterLines="20" w:after="48"/>
              <w:jc w:val="center"/>
              <w:rPr>
                <w:noProof/>
                <w:sz w:val="20"/>
              </w:rPr>
            </w:pPr>
          </w:p>
        </w:tc>
      </w:tr>
      <w:tr>
        <w:trPr>
          <w:trHeight w:val="289"/>
          <w:jc w:val="center"/>
        </w:trPr>
        <w:tc>
          <w:tcPr>
            <w:tcW w:w="1018" w:type="pct"/>
            <w:vMerge/>
            <w:shd w:val="clear" w:color="auto" w:fill="auto"/>
            <w:vAlign w:val="center"/>
          </w:tcPr>
          <w:p>
            <w:pPr>
              <w:rPr>
                <w:b/>
                <w:noProof/>
                <w:sz w:val="20"/>
              </w:rPr>
            </w:pPr>
          </w:p>
        </w:tc>
        <w:tc>
          <w:tcPr>
            <w:tcW w:w="1026" w:type="pct"/>
            <w:shd w:val="clear" w:color="auto" w:fill="auto"/>
            <w:vAlign w:val="center"/>
          </w:tcPr>
          <w:p>
            <w:pPr>
              <w:pStyle w:val="Text1"/>
              <w:spacing w:beforeLines="20" w:before="48" w:afterLines="20" w:after="48"/>
              <w:ind w:left="598"/>
              <w:jc w:val="left"/>
              <w:rPr>
                <w:b/>
                <w:noProof/>
                <w:sz w:val="20"/>
              </w:rPr>
            </w:pPr>
            <w:r>
              <w:rPr>
                <w:noProof/>
                <w:sz w:val="20"/>
              </w:rPr>
              <w:t xml:space="preserve">– na delegacijah </w:t>
            </w:r>
          </w:p>
        </w:tc>
        <w:tc>
          <w:tcPr>
            <w:tcW w:w="377" w:type="pct"/>
            <w:shd w:val="clear" w:color="auto" w:fill="auto"/>
            <w:vAlign w:val="center"/>
          </w:tcPr>
          <w:p>
            <w:pPr>
              <w:pStyle w:val="Text1"/>
              <w:spacing w:beforeLines="20" w:before="48" w:afterLines="20" w:after="48"/>
              <w:rPr>
                <w:noProof/>
                <w:sz w:val="20"/>
              </w:rPr>
            </w:pPr>
          </w:p>
        </w:tc>
        <w:tc>
          <w:tcPr>
            <w:tcW w:w="377" w:type="pct"/>
            <w:shd w:val="clear" w:color="auto" w:fill="auto"/>
            <w:vAlign w:val="center"/>
          </w:tcPr>
          <w:p>
            <w:pPr>
              <w:spacing w:beforeLines="20" w:before="48" w:afterLines="20" w:after="48"/>
              <w:jc w:val="center"/>
              <w:rPr>
                <w:noProof/>
                <w:sz w:val="20"/>
              </w:rPr>
            </w:pPr>
          </w:p>
        </w:tc>
        <w:tc>
          <w:tcPr>
            <w:tcW w:w="406" w:type="pct"/>
            <w:shd w:val="clear" w:color="auto" w:fill="auto"/>
            <w:vAlign w:val="center"/>
          </w:tcPr>
          <w:p>
            <w:pPr>
              <w:spacing w:beforeLines="20" w:before="48" w:afterLines="20" w:after="48"/>
              <w:jc w:val="center"/>
              <w:rPr>
                <w:noProof/>
                <w:sz w:val="20"/>
              </w:rPr>
            </w:pPr>
          </w:p>
        </w:tc>
        <w:tc>
          <w:tcPr>
            <w:tcW w:w="497" w:type="pct"/>
            <w:shd w:val="clear" w:color="auto" w:fill="auto"/>
            <w:vAlign w:val="center"/>
          </w:tcPr>
          <w:p>
            <w:pPr>
              <w:spacing w:beforeLines="20" w:before="48" w:afterLines="20" w:after="48"/>
              <w:jc w:val="center"/>
              <w:rPr>
                <w:noProof/>
                <w:sz w:val="20"/>
              </w:rPr>
            </w:pPr>
          </w:p>
        </w:tc>
        <w:tc>
          <w:tcPr>
            <w:tcW w:w="424" w:type="pct"/>
            <w:shd w:val="clear" w:color="auto" w:fill="auto"/>
            <w:vAlign w:val="center"/>
          </w:tcPr>
          <w:p>
            <w:pPr>
              <w:spacing w:beforeLines="20" w:before="48" w:afterLines="20" w:after="48"/>
              <w:jc w:val="center"/>
              <w:rPr>
                <w:noProof/>
                <w:sz w:val="20"/>
              </w:rPr>
            </w:pPr>
          </w:p>
        </w:tc>
        <w:tc>
          <w:tcPr>
            <w:tcW w:w="423" w:type="pct"/>
            <w:shd w:val="clear" w:color="auto" w:fill="auto"/>
            <w:vAlign w:val="center"/>
          </w:tcPr>
          <w:p>
            <w:pPr>
              <w:spacing w:beforeLines="20" w:before="48" w:afterLines="20" w:after="48"/>
              <w:jc w:val="center"/>
              <w:rPr>
                <w:noProof/>
                <w:sz w:val="20"/>
              </w:rPr>
            </w:pPr>
          </w:p>
        </w:tc>
        <w:tc>
          <w:tcPr>
            <w:tcW w:w="452" w:type="pct"/>
            <w:gridSpan w:val="2"/>
            <w:shd w:val="clear" w:color="auto" w:fill="auto"/>
            <w:vAlign w:val="center"/>
          </w:tcPr>
          <w:p>
            <w:pPr>
              <w:spacing w:beforeLines="20" w:before="48" w:afterLines="20" w:after="48"/>
              <w:jc w:val="center"/>
              <w:rPr>
                <w:noProof/>
                <w:sz w:val="20"/>
              </w:rPr>
            </w:pPr>
          </w:p>
        </w:tc>
      </w:tr>
      <w:tr>
        <w:trPr>
          <w:trHeight w:val="289"/>
          <w:jc w:val="center"/>
        </w:trPr>
        <w:tc>
          <w:tcPr>
            <w:tcW w:w="2044" w:type="pct"/>
            <w:gridSpan w:val="2"/>
            <w:shd w:val="clear" w:color="auto" w:fill="auto"/>
            <w:vAlign w:val="center"/>
          </w:tcPr>
          <w:p>
            <w:pPr>
              <w:pStyle w:val="Text1"/>
              <w:spacing w:beforeLines="20" w:before="48" w:afterLines="20" w:after="48"/>
              <w:ind w:left="986"/>
              <w:jc w:val="left"/>
              <w:rPr>
                <w:noProof/>
                <w:sz w:val="20"/>
              </w:rPr>
            </w:pPr>
            <w:r>
              <w:rPr>
                <w:b/>
                <w:noProof/>
                <w:sz w:val="20"/>
              </w:rPr>
              <w:t>XX</w:t>
            </w:r>
            <w:r>
              <w:rPr>
                <w:noProof/>
                <w:sz w:val="20"/>
              </w:rPr>
              <w:t> 01 05 02 (PU, NNS, ZU – za posredne raziskave)</w:t>
            </w:r>
          </w:p>
        </w:tc>
        <w:tc>
          <w:tcPr>
            <w:tcW w:w="377" w:type="pct"/>
            <w:shd w:val="clear" w:color="auto" w:fill="auto"/>
            <w:vAlign w:val="center"/>
          </w:tcPr>
          <w:p>
            <w:pPr>
              <w:spacing w:beforeLines="20" w:before="48" w:afterLines="20" w:after="48"/>
              <w:jc w:val="center"/>
              <w:rPr>
                <w:noProof/>
                <w:sz w:val="20"/>
              </w:rPr>
            </w:pPr>
          </w:p>
        </w:tc>
        <w:tc>
          <w:tcPr>
            <w:tcW w:w="377" w:type="pct"/>
            <w:shd w:val="clear" w:color="auto" w:fill="auto"/>
            <w:vAlign w:val="center"/>
          </w:tcPr>
          <w:p>
            <w:pPr>
              <w:spacing w:beforeLines="20" w:before="48" w:afterLines="20" w:after="48"/>
              <w:jc w:val="center"/>
              <w:rPr>
                <w:noProof/>
                <w:sz w:val="20"/>
              </w:rPr>
            </w:pPr>
          </w:p>
        </w:tc>
        <w:tc>
          <w:tcPr>
            <w:tcW w:w="406" w:type="pct"/>
            <w:shd w:val="clear" w:color="auto" w:fill="auto"/>
            <w:vAlign w:val="center"/>
          </w:tcPr>
          <w:p>
            <w:pPr>
              <w:spacing w:beforeLines="20" w:before="48" w:afterLines="20" w:after="48"/>
              <w:jc w:val="center"/>
              <w:rPr>
                <w:noProof/>
                <w:sz w:val="20"/>
              </w:rPr>
            </w:pPr>
          </w:p>
        </w:tc>
        <w:tc>
          <w:tcPr>
            <w:tcW w:w="497" w:type="pct"/>
            <w:shd w:val="clear" w:color="auto" w:fill="auto"/>
            <w:vAlign w:val="center"/>
          </w:tcPr>
          <w:p>
            <w:pPr>
              <w:spacing w:beforeLines="20" w:before="48" w:afterLines="20" w:after="48"/>
              <w:jc w:val="center"/>
              <w:rPr>
                <w:noProof/>
                <w:sz w:val="20"/>
              </w:rPr>
            </w:pPr>
          </w:p>
        </w:tc>
        <w:tc>
          <w:tcPr>
            <w:tcW w:w="424" w:type="pct"/>
            <w:shd w:val="clear" w:color="auto" w:fill="auto"/>
            <w:vAlign w:val="center"/>
          </w:tcPr>
          <w:p>
            <w:pPr>
              <w:spacing w:beforeLines="20" w:before="48" w:afterLines="20" w:after="48"/>
              <w:jc w:val="center"/>
              <w:rPr>
                <w:noProof/>
                <w:sz w:val="20"/>
              </w:rPr>
            </w:pPr>
          </w:p>
        </w:tc>
        <w:tc>
          <w:tcPr>
            <w:tcW w:w="423" w:type="pct"/>
            <w:shd w:val="clear" w:color="auto" w:fill="auto"/>
            <w:vAlign w:val="center"/>
          </w:tcPr>
          <w:p>
            <w:pPr>
              <w:spacing w:beforeLines="20" w:before="48" w:afterLines="20" w:after="48"/>
              <w:jc w:val="center"/>
              <w:rPr>
                <w:noProof/>
                <w:sz w:val="20"/>
              </w:rPr>
            </w:pPr>
          </w:p>
        </w:tc>
        <w:tc>
          <w:tcPr>
            <w:tcW w:w="452" w:type="pct"/>
            <w:gridSpan w:val="2"/>
            <w:shd w:val="clear" w:color="auto" w:fill="auto"/>
            <w:vAlign w:val="center"/>
          </w:tcPr>
          <w:p>
            <w:pPr>
              <w:spacing w:beforeLines="20" w:before="48" w:afterLines="20" w:after="48"/>
              <w:jc w:val="center"/>
              <w:rPr>
                <w:noProof/>
                <w:sz w:val="20"/>
              </w:rPr>
            </w:pPr>
          </w:p>
        </w:tc>
      </w:tr>
      <w:tr>
        <w:trPr>
          <w:trHeight w:val="289"/>
          <w:jc w:val="center"/>
        </w:trPr>
        <w:tc>
          <w:tcPr>
            <w:tcW w:w="2044" w:type="pct"/>
            <w:gridSpan w:val="2"/>
            <w:shd w:val="clear" w:color="auto" w:fill="auto"/>
            <w:vAlign w:val="center"/>
          </w:tcPr>
          <w:p>
            <w:pPr>
              <w:pStyle w:val="Text1"/>
              <w:spacing w:beforeLines="20" w:before="48" w:afterLines="20" w:after="48"/>
              <w:ind w:left="986"/>
              <w:jc w:val="left"/>
              <w:rPr>
                <w:noProof/>
                <w:sz w:val="20"/>
              </w:rPr>
            </w:pPr>
            <w:r>
              <w:rPr>
                <w:noProof/>
                <w:sz w:val="20"/>
              </w:rPr>
              <w:t>10 01 05 02 (PU, NNS, ZU za neposredne raziskave)</w:t>
            </w:r>
          </w:p>
        </w:tc>
        <w:tc>
          <w:tcPr>
            <w:tcW w:w="377" w:type="pct"/>
            <w:shd w:val="clear" w:color="auto" w:fill="auto"/>
            <w:vAlign w:val="center"/>
          </w:tcPr>
          <w:p>
            <w:pPr>
              <w:spacing w:beforeLines="20" w:before="48" w:afterLines="20" w:after="48"/>
              <w:jc w:val="center"/>
              <w:rPr>
                <w:noProof/>
                <w:sz w:val="20"/>
              </w:rPr>
            </w:pPr>
          </w:p>
        </w:tc>
        <w:tc>
          <w:tcPr>
            <w:tcW w:w="377" w:type="pct"/>
            <w:shd w:val="clear" w:color="auto" w:fill="auto"/>
            <w:vAlign w:val="center"/>
          </w:tcPr>
          <w:p>
            <w:pPr>
              <w:spacing w:beforeLines="20" w:before="48" w:afterLines="20" w:after="48"/>
              <w:jc w:val="center"/>
              <w:rPr>
                <w:noProof/>
                <w:sz w:val="20"/>
              </w:rPr>
            </w:pPr>
          </w:p>
        </w:tc>
        <w:tc>
          <w:tcPr>
            <w:tcW w:w="406" w:type="pct"/>
            <w:shd w:val="clear" w:color="auto" w:fill="auto"/>
            <w:vAlign w:val="center"/>
          </w:tcPr>
          <w:p>
            <w:pPr>
              <w:spacing w:beforeLines="20" w:before="48" w:afterLines="20" w:after="48"/>
              <w:jc w:val="center"/>
              <w:rPr>
                <w:noProof/>
                <w:sz w:val="20"/>
              </w:rPr>
            </w:pPr>
          </w:p>
        </w:tc>
        <w:tc>
          <w:tcPr>
            <w:tcW w:w="497" w:type="pct"/>
            <w:shd w:val="clear" w:color="auto" w:fill="auto"/>
            <w:vAlign w:val="center"/>
          </w:tcPr>
          <w:p>
            <w:pPr>
              <w:spacing w:beforeLines="20" w:before="48" w:afterLines="20" w:after="48"/>
              <w:jc w:val="center"/>
              <w:rPr>
                <w:noProof/>
                <w:sz w:val="20"/>
              </w:rPr>
            </w:pPr>
          </w:p>
        </w:tc>
        <w:tc>
          <w:tcPr>
            <w:tcW w:w="424" w:type="pct"/>
            <w:shd w:val="clear" w:color="auto" w:fill="auto"/>
            <w:vAlign w:val="center"/>
          </w:tcPr>
          <w:p>
            <w:pPr>
              <w:spacing w:beforeLines="20" w:before="48" w:afterLines="20" w:after="48"/>
              <w:jc w:val="center"/>
              <w:rPr>
                <w:noProof/>
                <w:sz w:val="20"/>
              </w:rPr>
            </w:pPr>
          </w:p>
        </w:tc>
        <w:tc>
          <w:tcPr>
            <w:tcW w:w="423" w:type="pct"/>
            <w:shd w:val="clear" w:color="auto" w:fill="auto"/>
            <w:vAlign w:val="center"/>
          </w:tcPr>
          <w:p>
            <w:pPr>
              <w:spacing w:beforeLines="20" w:before="48" w:afterLines="20" w:after="48"/>
              <w:jc w:val="center"/>
              <w:rPr>
                <w:noProof/>
                <w:sz w:val="20"/>
              </w:rPr>
            </w:pPr>
          </w:p>
        </w:tc>
        <w:tc>
          <w:tcPr>
            <w:tcW w:w="452" w:type="pct"/>
            <w:gridSpan w:val="2"/>
            <w:shd w:val="clear" w:color="auto" w:fill="auto"/>
            <w:vAlign w:val="center"/>
          </w:tcPr>
          <w:p>
            <w:pPr>
              <w:spacing w:beforeLines="20" w:before="48" w:afterLines="20" w:after="48"/>
              <w:jc w:val="center"/>
              <w:rPr>
                <w:noProof/>
                <w:sz w:val="20"/>
              </w:rPr>
            </w:pPr>
          </w:p>
        </w:tc>
      </w:tr>
      <w:tr>
        <w:trPr>
          <w:trHeight w:val="289"/>
          <w:jc w:val="center"/>
        </w:trPr>
        <w:tc>
          <w:tcPr>
            <w:tcW w:w="2044" w:type="pct"/>
            <w:gridSpan w:val="2"/>
            <w:tcBorders>
              <w:bottom w:val="double" w:sz="4" w:space="0" w:color="auto"/>
            </w:tcBorders>
            <w:shd w:val="clear" w:color="auto" w:fill="auto"/>
            <w:vAlign w:val="center"/>
          </w:tcPr>
          <w:p>
            <w:pPr>
              <w:pStyle w:val="Text1"/>
              <w:spacing w:beforeLines="20" w:before="48" w:afterLines="20" w:after="48"/>
              <w:ind w:left="984"/>
              <w:jc w:val="left"/>
              <w:rPr>
                <w:noProof/>
                <w:sz w:val="20"/>
              </w:rPr>
            </w:pPr>
            <w:r>
              <w:rPr>
                <w:noProof/>
                <w:sz w:val="20"/>
              </w:rPr>
              <w:t>Druge proračunske vrstice (navedite)</w:t>
            </w:r>
          </w:p>
        </w:tc>
        <w:tc>
          <w:tcPr>
            <w:tcW w:w="377" w:type="pct"/>
            <w:tcBorders>
              <w:bottom w:val="double" w:sz="4" w:space="0" w:color="auto"/>
            </w:tcBorders>
            <w:shd w:val="clear" w:color="auto" w:fill="auto"/>
            <w:vAlign w:val="center"/>
          </w:tcPr>
          <w:p>
            <w:pPr>
              <w:spacing w:beforeLines="20" w:before="48" w:afterLines="20" w:after="48"/>
              <w:jc w:val="center"/>
              <w:rPr>
                <w:noProof/>
                <w:sz w:val="20"/>
              </w:rPr>
            </w:pPr>
          </w:p>
        </w:tc>
        <w:tc>
          <w:tcPr>
            <w:tcW w:w="377" w:type="pct"/>
            <w:tcBorders>
              <w:bottom w:val="double" w:sz="4" w:space="0" w:color="auto"/>
            </w:tcBorders>
            <w:shd w:val="clear" w:color="auto" w:fill="auto"/>
            <w:vAlign w:val="center"/>
          </w:tcPr>
          <w:p>
            <w:pPr>
              <w:spacing w:beforeLines="20" w:before="48" w:afterLines="20" w:after="48"/>
              <w:jc w:val="center"/>
              <w:rPr>
                <w:noProof/>
                <w:sz w:val="20"/>
              </w:rPr>
            </w:pPr>
          </w:p>
        </w:tc>
        <w:tc>
          <w:tcPr>
            <w:tcW w:w="406" w:type="pct"/>
            <w:tcBorders>
              <w:bottom w:val="double" w:sz="4" w:space="0" w:color="auto"/>
            </w:tcBorders>
            <w:shd w:val="clear" w:color="auto" w:fill="auto"/>
            <w:vAlign w:val="center"/>
          </w:tcPr>
          <w:p>
            <w:pPr>
              <w:spacing w:beforeLines="20" w:before="48" w:afterLines="20" w:after="48"/>
              <w:jc w:val="center"/>
              <w:rPr>
                <w:noProof/>
                <w:sz w:val="20"/>
              </w:rPr>
            </w:pPr>
          </w:p>
        </w:tc>
        <w:tc>
          <w:tcPr>
            <w:tcW w:w="497" w:type="pct"/>
            <w:tcBorders>
              <w:bottom w:val="double" w:sz="4" w:space="0" w:color="auto"/>
            </w:tcBorders>
            <w:shd w:val="clear" w:color="auto" w:fill="auto"/>
            <w:vAlign w:val="center"/>
          </w:tcPr>
          <w:p>
            <w:pPr>
              <w:spacing w:beforeLines="20" w:before="48" w:afterLines="20" w:after="48"/>
              <w:jc w:val="center"/>
              <w:rPr>
                <w:noProof/>
                <w:sz w:val="20"/>
              </w:rPr>
            </w:pPr>
          </w:p>
        </w:tc>
        <w:tc>
          <w:tcPr>
            <w:tcW w:w="424" w:type="pct"/>
            <w:tcBorders>
              <w:bottom w:val="double" w:sz="4" w:space="0" w:color="auto"/>
            </w:tcBorders>
            <w:shd w:val="clear" w:color="auto" w:fill="auto"/>
            <w:vAlign w:val="center"/>
          </w:tcPr>
          <w:p>
            <w:pPr>
              <w:spacing w:beforeLines="20" w:before="48" w:afterLines="20" w:after="48"/>
              <w:jc w:val="center"/>
              <w:rPr>
                <w:noProof/>
                <w:sz w:val="20"/>
              </w:rPr>
            </w:pPr>
          </w:p>
        </w:tc>
        <w:tc>
          <w:tcPr>
            <w:tcW w:w="423" w:type="pct"/>
            <w:tcBorders>
              <w:bottom w:val="double" w:sz="4" w:space="0" w:color="auto"/>
            </w:tcBorders>
            <w:shd w:val="clear" w:color="auto" w:fill="auto"/>
            <w:vAlign w:val="center"/>
          </w:tcPr>
          <w:p>
            <w:pPr>
              <w:spacing w:beforeLines="20" w:before="48" w:afterLines="20" w:after="48"/>
              <w:jc w:val="center"/>
              <w:rPr>
                <w:noProof/>
                <w:sz w:val="20"/>
              </w:rPr>
            </w:pPr>
          </w:p>
        </w:tc>
        <w:tc>
          <w:tcPr>
            <w:tcW w:w="452" w:type="pct"/>
            <w:gridSpan w:val="2"/>
            <w:tcBorders>
              <w:bottom w:val="double" w:sz="4" w:space="0" w:color="auto"/>
            </w:tcBorders>
            <w:shd w:val="clear" w:color="auto" w:fill="auto"/>
            <w:vAlign w:val="center"/>
          </w:tcPr>
          <w:p>
            <w:pPr>
              <w:spacing w:beforeLines="20" w:before="48" w:afterLines="20" w:after="48"/>
              <w:jc w:val="center"/>
              <w:rPr>
                <w:noProof/>
                <w:sz w:val="20"/>
              </w:rPr>
            </w:pPr>
          </w:p>
        </w:tc>
      </w:tr>
      <w:tr>
        <w:trPr>
          <w:trHeight w:val="289"/>
          <w:jc w:val="center"/>
        </w:trPr>
        <w:tc>
          <w:tcPr>
            <w:tcW w:w="2044" w:type="pct"/>
            <w:gridSpan w:val="2"/>
            <w:tcBorders>
              <w:top w:val="double" w:sz="4" w:space="0" w:color="auto"/>
            </w:tcBorders>
            <w:shd w:val="clear" w:color="auto" w:fill="auto"/>
            <w:vAlign w:val="center"/>
          </w:tcPr>
          <w:p>
            <w:pPr>
              <w:pStyle w:val="Text1"/>
              <w:spacing w:beforeLines="20" w:before="48" w:afterLines="20" w:after="48"/>
              <w:ind w:left="986"/>
              <w:jc w:val="left"/>
              <w:rPr>
                <w:noProof/>
                <w:sz w:val="20"/>
              </w:rPr>
            </w:pPr>
            <w:r>
              <w:rPr>
                <w:b/>
                <w:noProof/>
                <w:sz w:val="20"/>
              </w:rPr>
              <w:t>SKUPAJ</w:t>
            </w:r>
          </w:p>
        </w:tc>
        <w:tc>
          <w:tcPr>
            <w:tcW w:w="377" w:type="pct"/>
            <w:tcBorders>
              <w:top w:val="double" w:sz="4" w:space="0" w:color="auto"/>
            </w:tcBorders>
            <w:shd w:val="clear" w:color="auto" w:fill="auto"/>
            <w:vAlign w:val="center"/>
          </w:tcPr>
          <w:p>
            <w:pPr>
              <w:spacing w:beforeLines="20" w:before="48" w:afterLines="20" w:after="48"/>
              <w:jc w:val="center"/>
              <w:rPr>
                <w:b/>
                <w:noProof/>
                <w:sz w:val="20"/>
              </w:rPr>
            </w:pPr>
            <w:r>
              <w:rPr>
                <w:b/>
                <w:noProof/>
                <w:sz w:val="20"/>
              </w:rPr>
              <w:t>10</w:t>
            </w:r>
          </w:p>
        </w:tc>
        <w:tc>
          <w:tcPr>
            <w:tcW w:w="377" w:type="pct"/>
            <w:tcBorders>
              <w:top w:val="double" w:sz="4" w:space="0" w:color="auto"/>
            </w:tcBorders>
            <w:shd w:val="clear" w:color="auto" w:fill="auto"/>
            <w:vAlign w:val="center"/>
          </w:tcPr>
          <w:p>
            <w:pPr>
              <w:spacing w:beforeLines="20" w:before="48" w:afterLines="20" w:after="48"/>
              <w:jc w:val="center"/>
              <w:rPr>
                <w:b/>
                <w:noProof/>
                <w:sz w:val="20"/>
              </w:rPr>
            </w:pPr>
            <w:r>
              <w:rPr>
                <w:b/>
                <w:noProof/>
                <w:sz w:val="20"/>
              </w:rPr>
              <w:t>10</w:t>
            </w:r>
          </w:p>
        </w:tc>
        <w:tc>
          <w:tcPr>
            <w:tcW w:w="406" w:type="pct"/>
            <w:tcBorders>
              <w:top w:val="double" w:sz="4" w:space="0" w:color="auto"/>
            </w:tcBorders>
            <w:shd w:val="clear" w:color="auto" w:fill="auto"/>
            <w:vAlign w:val="center"/>
          </w:tcPr>
          <w:p>
            <w:pPr>
              <w:spacing w:beforeLines="20" w:before="48" w:afterLines="20" w:after="48"/>
              <w:jc w:val="center"/>
              <w:rPr>
                <w:b/>
                <w:noProof/>
                <w:sz w:val="20"/>
              </w:rPr>
            </w:pPr>
            <w:r>
              <w:rPr>
                <w:b/>
                <w:noProof/>
                <w:sz w:val="20"/>
              </w:rPr>
              <w:t>10</w:t>
            </w:r>
          </w:p>
        </w:tc>
        <w:tc>
          <w:tcPr>
            <w:tcW w:w="497" w:type="pct"/>
            <w:tcBorders>
              <w:top w:val="double" w:sz="4" w:space="0" w:color="auto"/>
            </w:tcBorders>
            <w:shd w:val="clear" w:color="auto" w:fill="auto"/>
            <w:vAlign w:val="center"/>
          </w:tcPr>
          <w:p>
            <w:pPr>
              <w:spacing w:beforeLines="20" w:before="48" w:afterLines="20" w:after="48"/>
              <w:jc w:val="center"/>
              <w:rPr>
                <w:b/>
                <w:noProof/>
                <w:sz w:val="20"/>
              </w:rPr>
            </w:pPr>
            <w:r>
              <w:rPr>
                <w:b/>
                <w:noProof/>
                <w:sz w:val="20"/>
              </w:rPr>
              <w:t>10</w:t>
            </w:r>
          </w:p>
        </w:tc>
        <w:tc>
          <w:tcPr>
            <w:tcW w:w="424" w:type="pct"/>
            <w:tcBorders>
              <w:top w:val="double" w:sz="4" w:space="0" w:color="auto"/>
            </w:tcBorders>
            <w:shd w:val="clear" w:color="auto" w:fill="auto"/>
            <w:vAlign w:val="center"/>
          </w:tcPr>
          <w:p>
            <w:pPr>
              <w:spacing w:beforeLines="20" w:before="48" w:afterLines="20" w:after="48"/>
              <w:jc w:val="center"/>
              <w:rPr>
                <w:b/>
                <w:noProof/>
                <w:sz w:val="20"/>
              </w:rPr>
            </w:pPr>
          </w:p>
        </w:tc>
        <w:tc>
          <w:tcPr>
            <w:tcW w:w="423" w:type="pct"/>
            <w:tcBorders>
              <w:top w:val="double" w:sz="4" w:space="0" w:color="auto"/>
            </w:tcBorders>
            <w:shd w:val="clear" w:color="auto" w:fill="auto"/>
            <w:vAlign w:val="center"/>
          </w:tcPr>
          <w:p>
            <w:pPr>
              <w:spacing w:beforeLines="20" w:before="48" w:afterLines="20" w:after="48"/>
              <w:jc w:val="center"/>
              <w:rPr>
                <w:b/>
                <w:noProof/>
                <w:sz w:val="20"/>
              </w:rPr>
            </w:pPr>
          </w:p>
        </w:tc>
        <w:tc>
          <w:tcPr>
            <w:tcW w:w="452" w:type="pct"/>
            <w:gridSpan w:val="2"/>
            <w:tcBorders>
              <w:top w:val="double" w:sz="4" w:space="0" w:color="auto"/>
            </w:tcBorders>
            <w:shd w:val="clear" w:color="auto" w:fill="auto"/>
            <w:vAlign w:val="center"/>
          </w:tcPr>
          <w:p>
            <w:pPr>
              <w:spacing w:beforeLines="20" w:before="48" w:afterLines="20" w:after="48"/>
              <w:jc w:val="center"/>
              <w:rPr>
                <w:b/>
                <w:noProof/>
                <w:sz w:val="20"/>
              </w:rPr>
            </w:pPr>
          </w:p>
        </w:tc>
      </w:tr>
    </w:tbl>
    <w:p>
      <w:pPr>
        <w:pStyle w:val="Text1"/>
        <w:spacing w:before="60" w:after="60"/>
        <w:ind w:left="851"/>
        <w:rPr>
          <w:b/>
          <w:noProof/>
        </w:rPr>
      </w:pPr>
    </w:p>
    <w:p>
      <w:pPr>
        <w:pStyle w:val="Text1"/>
        <w:spacing w:before="60" w:after="60"/>
        <w:ind w:left="851"/>
        <w:rPr>
          <w:noProof/>
        </w:rPr>
      </w:pPr>
      <w:r>
        <w:rPr>
          <w:b/>
          <w:noProof/>
        </w:rPr>
        <w:t>XX</w:t>
      </w:r>
      <w:r>
        <w:rPr>
          <w:noProof/>
        </w:rPr>
        <w:t xml:space="preserve"> je zadevno področje ali naslov.</w:t>
      </w:r>
    </w:p>
    <w:p>
      <w:pPr>
        <w:rPr>
          <w:noProof/>
          <w:sz w:val="20"/>
        </w:rPr>
      </w:pPr>
      <w:r>
        <w:rPr>
          <w:noProof/>
          <w:sz w:val="20"/>
        </w:rPr>
        <w:t>Opis nalog:</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tc>
          <w:tcPr>
            <w:tcW w:w="3240" w:type="dxa"/>
          </w:tcPr>
          <w:p>
            <w:pPr>
              <w:rPr>
                <w:noProof/>
                <w:sz w:val="20"/>
              </w:rPr>
            </w:pPr>
            <w:r>
              <w:rPr>
                <w:noProof/>
                <w:sz w:val="20"/>
              </w:rPr>
              <w:t>Uradniki in začasni uslužbenci</w:t>
            </w:r>
          </w:p>
        </w:tc>
        <w:tc>
          <w:tcPr>
            <w:tcW w:w="7200" w:type="dxa"/>
          </w:tcPr>
          <w:p>
            <w:pPr>
              <w:jc w:val="left"/>
              <w:rPr>
                <w:noProof/>
                <w:sz w:val="20"/>
              </w:rPr>
            </w:pPr>
            <w:r>
              <w:rPr>
                <w:noProof/>
                <w:sz w:val="20"/>
              </w:rPr>
              <w:t>Komisija bo udeležena pri vseh ciljno usmerjenih ukrepih, ki so navedeni v točki 1.4.2, zlasti pa pri upravljanju zgoraj omenjene zasebne/javne platforme (npr. organizacija sej za platformo in vse podskupine, poročanje o rezultatih, posvetovanja z zainteresiranimi stranmi, priprava zakonodajnih predlogov, podpiranje opazovalne/svetovalne funkcije, povezovanje z evropskimi nadzornimi organi in EEA, vzdrževanje informacijskega orodja za sodelovanje, povračilo stroškov strokovnjakom in druge naloge sekretariata itd.).</w:t>
            </w:r>
          </w:p>
        </w:tc>
      </w:tr>
      <w:tr>
        <w:trPr>
          <w:trHeight w:val="716"/>
        </w:trPr>
        <w:tc>
          <w:tcPr>
            <w:tcW w:w="3240" w:type="dxa"/>
          </w:tcPr>
          <w:p>
            <w:pPr>
              <w:spacing w:before="60" w:after="60"/>
              <w:rPr>
                <w:noProof/>
                <w:sz w:val="20"/>
              </w:rPr>
            </w:pPr>
            <w:r>
              <w:rPr>
                <w:noProof/>
                <w:sz w:val="20"/>
              </w:rPr>
              <w:t>Zunanji sodelavci</w:t>
            </w:r>
          </w:p>
        </w:tc>
        <w:tc>
          <w:tcPr>
            <w:tcW w:w="7200" w:type="dxa"/>
          </w:tcPr>
          <w:p>
            <w:pPr>
              <w:rPr>
                <w:noProof/>
                <w:sz w:val="20"/>
              </w:rPr>
            </w:pPr>
          </w:p>
        </w:tc>
      </w:tr>
    </w:tbl>
    <w:p>
      <w:pPr>
        <w:rPr>
          <w:noProof/>
        </w:rPr>
      </w:pPr>
    </w:p>
    <w:p>
      <w:pPr>
        <w:rPr>
          <w:noProof/>
        </w:rPr>
      </w:pPr>
      <w:r>
        <w:rPr>
          <w:noProof/>
        </w:rPr>
        <w:t xml:space="preserve">Opis izračuna stroškov za enote EPDČ bi moral biti vključen v oddelek 3 Priloge V. </w:t>
      </w:r>
    </w:p>
    <w:p>
      <w:pPr>
        <w:rPr>
          <w:noProof/>
        </w:rPr>
        <w:sectPr>
          <w:pgSz w:w="11907" w:h="16839"/>
          <w:pgMar w:top="1134" w:right="1417" w:bottom="1134" w:left="1417" w:header="709" w:footer="709" w:gutter="0"/>
          <w:cols w:space="720"/>
          <w:docGrid w:linePitch="326"/>
        </w:sectPr>
      </w:pPr>
    </w:p>
    <w:p>
      <w:pPr>
        <w:pStyle w:val="ManualHeading3"/>
        <w:rPr>
          <w:bCs/>
          <w:noProof/>
          <w:szCs w:val="24"/>
        </w:rPr>
      </w:pPr>
      <w:r>
        <w:t>3.2.4.</w:t>
      </w:r>
      <w:r>
        <w:tab/>
      </w:r>
      <w:r>
        <w:rPr>
          <w:noProof/>
        </w:rPr>
        <w:t xml:space="preserve">Skladnost z veljavnim večletnim finančnim okvirom </w:t>
      </w:r>
    </w:p>
    <w:p>
      <w:pPr>
        <w:pStyle w:val="ListDash1"/>
        <w:rPr>
          <w:noProof/>
        </w:rPr>
      </w:pPr>
      <w:r>
        <w:rPr>
          <w:noProof/>
        </w:rPr>
        <w:sym w:font="Wingdings" w:char="F0FE"/>
      </w:r>
      <w:r>
        <w:rPr>
          <w:noProof/>
        </w:rPr>
        <w:tab/>
        <w:t xml:space="preserve">Predlog/pobuda je v skladu z veljavnim večletnim finančnim okvirom in predlogom večletnega finančnega okvira za obdobje po letu 2020. </w:t>
      </w:r>
    </w:p>
    <w:p>
      <w:pPr>
        <w:pStyle w:val="ListDash1"/>
        <w:rPr>
          <w:noProof/>
        </w:rPr>
      </w:pPr>
      <w:r>
        <w:rPr>
          <w:noProof/>
        </w:rPr>
        <w:sym w:font="Wingdings" w:char="F0A8"/>
      </w:r>
      <w:r>
        <w:rPr>
          <w:noProof/>
        </w:rPr>
        <w:tab/>
        <w:t>Za predlog/pobudo je potrebna sprememba zadevnega razdelka večletnega finančnega okvira.</w:t>
      </w:r>
    </w:p>
    <w:p>
      <w:pPr>
        <w:pStyle w:val="Text1"/>
        <w:pBdr>
          <w:top w:val="single" w:sz="4" w:space="1" w:color="auto"/>
          <w:left w:val="single" w:sz="4" w:space="4" w:color="auto"/>
          <w:bottom w:val="single" w:sz="4" w:space="1" w:color="auto"/>
          <w:right w:val="single" w:sz="4" w:space="4" w:color="auto"/>
        </w:pBdr>
        <w:rPr>
          <w:noProof/>
          <w:sz w:val="20"/>
        </w:rPr>
      </w:pPr>
      <w:r>
        <w:rPr>
          <w:noProof/>
          <w:sz w:val="20"/>
        </w:rPr>
        <w:t>Pojasnite zahtevano spremembo ter navedite zadevne proračunske vrstice in ustrezne zneske.</w:t>
      </w:r>
    </w:p>
    <w:p>
      <w:pPr>
        <w:pStyle w:val="ListDash1"/>
        <w:rPr>
          <w:noProof/>
        </w:rPr>
      </w:pPr>
      <w:r>
        <w:rPr>
          <w:noProof/>
        </w:rPr>
        <w:sym w:font="Wingdings" w:char="F0A8"/>
      </w:r>
      <w:r>
        <w:rPr>
          <w:noProof/>
        </w:rPr>
        <w:tab/>
        <w:t>Za predlog/pobudo je potrebna uporaba instrumenta prilagodljivosti ali sprememba večletnega finančnega okvira</w:t>
      </w:r>
      <w:r>
        <w:rPr>
          <w:rStyle w:val="FootnoteReference"/>
          <w:noProof/>
        </w:rPr>
        <w:footnoteReference w:id="93"/>
      </w:r>
      <w:r>
        <w:rPr>
          <w:noProof/>
        </w:rPr>
        <w:t>.</w:t>
      </w:r>
    </w:p>
    <w:p>
      <w:pPr>
        <w:pStyle w:val="Text1"/>
        <w:pBdr>
          <w:top w:val="single" w:sz="4" w:space="1" w:color="auto"/>
          <w:left w:val="single" w:sz="4" w:space="4" w:color="auto"/>
          <w:bottom w:val="single" w:sz="4" w:space="1" w:color="auto"/>
          <w:right w:val="single" w:sz="4" w:space="4" w:color="auto"/>
        </w:pBdr>
        <w:rPr>
          <w:noProof/>
        </w:rPr>
      </w:pPr>
      <w:r>
        <w:rPr>
          <w:noProof/>
          <w:sz w:val="20"/>
        </w:rPr>
        <w:t>Pojasnite te zahteve ter navedite zadevne razdelke in proračunske vrstice ter ustrezne zneske.</w:t>
      </w:r>
    </w:p>
    <w:p>
      <w:pPr>
        <w:pStyle w:val="ManualHeading3"/>
        <w:rPr>
          <w:bCs/>
          <w:noProof/>
          <w:szCs w:val="24"/>
        </w:rPr>
      </w:pPr>
      <w:r>
        <w:t>3.2.5.</w:t>
      </w:r>
      <w:r>
        <w:tab/>
      </w:r>
      <w:r>
        <w:rPr>
          <w:noProof/>
        </w:rPr>
        <w:t xml:space="preserve">Udeležba tretjih oseb pri financiranju </w:t>
      </w:r>
    </w:p>
    <w:p>
      <w:pPr>
        <w:pStyle w:val="ListDash1"/>
        <w:rPr>
          <w:noProof/>
        </w:rPr>
      </w:pPr>
      <w:r>
        <w:rPr>
          <w:noProof/>
        </w:rPr>
        <w:sym w:font="Wingdings" w:char="F0A8"/>
      </w:r>
      <w:r>
        <w:rPr>
          <w:noProof/>
        </w:rPr>
        <w:t xml:space="preserve"> V predlogu/pobudi ni načrtovano sofinanciranje tretjih oseb. </w:t>
      </w:r>
    </w:p>
    <w:p>
      <w:pPr>
        <w:pStyle w:val="ListDash1"/>
        <w:rPr>
          <w:noProof/>
        </w:rPr>
      </w:pPr>
      <w:r>
        <w:rPr>
          <w:noProof/>
        </w:rPr>
        <w:sym w:font="Wingdings" w:char="F0FE"/>
      </w:r>
      <w:r>
        <w:rPr>
          <w:noProof/>
        </w:rPr>
        <w:t xml:space="preserve"> V predlogu/pobudi je načrtovano sofinanciranje, kot je ocenjeno v nadaljevanju:</w:t>
      </w:r>
    </w:p>
    <w:p>
      <w:pPr>
        <w:jc w:val="right"/>
        <w:rPr>
          <w:noProof/>
          <w:sz w:val="20"/>
        </w:rPr>
      </w:pPr>
      <w:r>
        <w:rPr>
          <w:noProof/>
          <w:sz w:val="20"/>
        </w:rPr>
        <w:t>v mio. EUR (na tri decimalna mesta natančno)</w:t>
      </w:r>
    </w:p>
    <w:tbl>
      <w:tblPr>
        <w:tblW w:w="10246" w:type="dxa"/>
        <w:tblInd w:w="-4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40"/>
        <w:gridCol w:w="964"/>
        <w:gridCol w:w="964"/>
        <w:gridCol w:w="964"/>
        <w:gridCol w:w="964"/>
        <w:gridCol w:w="964"/>
        <w:gridCol w:w="964"/>
        <w:gridCol w:w="964"/>
        <w:gridCol w:w="1158"/>
      </w:tblGrid>
      <w:tr>
        <w:trPr>
          <w:cantSplit/>
        </w:trPr>
        <w:tc>
          <w:tcPr>
            <w:tcW w:w="2340" w:type="dxa"/>
            <w:vAlign w:val="center"/>
          </w:tcPr>
          <w:p>
            <w:pPr>
              <w:spacing w:before="60" w:after="60"/>
              <w:jc w:val="center"/>
              <w:rPr>
                <w:noProof/>
                <w:sz w:val="20"/>
              </w:rPr>
            </w:pPr>
            <w:r>
              <w:rPr>
                <w:noProof/>
                <w:sz w:val="20"/>
              </w:rPr>
              <w:t>Nacionalni pristojni organi</w:t>
            </w:r>
            <w:r>
              <w:rPr>
                <w:rStyle w:val="FootnoteReference"/>
                <w:noProof/>
                <w:sz w:val="20"/>
              </w:rPr>
              <w:footnoteReference w:id="94"/>
            </w:r>
          </w:p>
        </w:tc>
        <w:tc>
          <w:tcPr>
            <w:tcW w:w="964" w:type="dxa"/>
            <w:vAlign w:val="center"/>
          </w:tcPr>
          <w:p>
            <w:pPr>
              <w:jc w:val="center"/>
              <w:rPr>
                <w:noProof/>
                <w:sz w:val="20"/>
              </w:rPr>
            </w:pPr>
            <w:r>
              <w:rPr>
                <w:noProof/>
                <w:sz w:val="20"/>
              </w:rPr>
              <w:t>Leto</w:t>
            </w:r>
            <w:r>
              <w:rPr>
                <w:noProof/>
                <w:sz w:val="22"/>
              </w:rPr>
              <w:br/>
            </w:r>
            <w:r>
              <w:rPr>
                <w:b/>
                <w:noProof/>
                <w:sz w:val="20"/>
              </w:rPr>
              <w:t>2020</w:t>
            </w:r>
          </w:p>
        </w:tc>
        <w:tc>
          <w:tcPr>
            <w:tcW w:w="964" w:type="dxa"/>
            <w:vAlign w:val="center"/>
          </w:tcPr>
          <w:p>
            <w:pPr>
              <w:jc w:val="center"/>
              <w:rPr>
                <w:noProof/>
                <w:sz w:val="20"/>
              </w:rPr>
            </w:pPr>
            <w:r>
              <w:rPr>
                <w:noProof/>
                <w:sz w:val="20"/>
              </w:rPr>
              <w:t>Leto</w:t>
            </w:r>
            <w:r>
              <w:rPr>
                <w:noProof/>
                <w:sz w:val="22"/>
              </w:rPr>
              <w:br/>
            </w:r>
            <w:r>
              <w:rPr>
                <w:b/>
                <w:noProof/>
                <w:sz w:val="20"/>
              </w:rPr>
              <w:t>2021</w:t>
            </w:r>
            <w:r>
              <w:rPr>
                <w:rStyle w:val="FootnoteReference"/>
                <w:b/>
                <w:noProof/>
                <w:sz w:val="20"/>
              </w:rPr>
              <w:footnoteReference w:id="95"/>
            </w:r>
          </w:p>
        </w:tc>
        <w:tc>
          <w:tcPr>
            <w:tcW w:w="964" w:type="dxa"/>
            <w:vAlign w:val="center"/>
          </w:tcPr>
          <w:p>
            <w:pPr>
              <w:jc w:val="center"/>
              <w:rPr>
                <w:noProof/>
                <w:sz w:val="20"/>
              </w:rPr>
            </w:pPr>
            <w:r>
              <w:rPr>
                <w:noProof/>
                <w:sz w:val="20"/>
              </w:rPr>
              <w:t>Leto</w:t>
            </w:r>
            <w:r>
              <w:rPr>
                <w:noProof/>
                <w:sz w:val="22"/>
              </w:rPr>
              <w:br/>
            </w:r>
            <w:r>
              <w:rPr>
                <w:b/>
                <w:noProof/>
                <w:sz w:val="20"/>
              </w:rPr>
              <w:t>2022</w:t>
            </w:r>
          </w:p>
        </w:tc>
        <w:tc>
          <w:tcPr>
            <w:tcW w:w="964" w:type="dxa"/>
            <w:vAlign w:val="center"/>
          </w:tcPr>
          <w:p>
            <w:pPr>
              <w:jc w:val="center"/>
              <w:rPr>
                <w:noProof/>
                <w:sz w:val="20"/>
              </w:rPr>
            </w:pPr>
            <w:r>
              <w:rPr>
                <w:noProof/>
                <w:sz w:val="20"/>
              </w:rPr>
              <w:t>Leto</w:t>
            </w:r>
            <w:r>
              <w:rPr>
                <w:noProof/>
                <w:sz w:val="22"/>
              </w:rPr>
              <w:br/>
            </w:r>
            <w:r>
              <w:rPr>
                <w:b/>
                <w:noProof/>
                <w:sz w:val="20"/>
              </w:rPr>
              <w:t>2023</w:t>
            </w:r>
          </w:p>
        </w:tc>
        <w:tc>
          <w:tcPr>
            <w:tcW w:w="2892" w:type="dxa"/>
            <w:gridSpan w:val="3"/>
            <w:vAlign w:val="center"/>
          </w:tcPr>
          <w:p>
            <w:pPr>
              <w:jc w:val="center"/>
              <w:rPr>
                <w:b/>
                <w:noProof/>
                <w:sz w:val="20"/>
              </w:rPr>
            </w:pPr>
            <w:r>
              <w:rPr>
                <w:noProof/>
                <w:sz w:val="20"/>
              </w:rPr>
              <w:t>Vstavite ustrezno število let glede na trajanje posledic (gl. točko 1.6)</w:t>
            </w:r>
            <w:r>
              <w:rPr>
                <w:rStyle w:val="FootnoteReference"/>
                <w:noProof/>
                <w:sz w:val="20"/>
              </w:rPr>
              <w:footnoteReference w:id="96"/>
            </w:r>
          </w:p>
        </w:tc>
        <w:tc>
          <w:tcPr>
            <w:tcW w:w="1158" w:type="dxa"/>
            <w:vAlign w:val="center"/>
          </w:tcPr>
          <w:p>
            <w:pPr>
              <w:spacing w:before="60" w:after="60"/>
              <w:jc w:val="center"/>
              <w:rPr>
                <w:noProof/>
                <w:sz w:val="20"/>
              </w:rPr>
            </w:pPr>
            <w:r>
              <w:rPr>
                <w:b/>
                <w:noProof/>
                <w:sz w:val="20"/>
              </w:rPr>
              <w:t>Skupaj</w:t>
            </w:r>
            <w:r>
              <w:rPr>
                <w:noProof/>
                <w:sz w:val="20"/>
              </w:rPr>
              <w:t xml:space="preserve"> </w:t>
            </w:r>
            <w:r>
              <w:rPr>
                <w:noProof/>
                <w:sz w:val="18"/>
              </w:rPr>
              <w:t>(zaradi sofinanciranja 60/40 se tu omenja le 60 %)</w:t>
            </w:r>
          </w:p>
        </w:tc>
      </w:tr>
      <w:tr>
        <w:trPr>
          <w:cantSplit/>
        </w:trPr>
        <w:tc>
          <w:tcPr>
            <w:tcW w:w="2340" w:type="dxa"/>
          </w:tcPr>
          <w:p>
            <w:pPr>
              <w:spacing w:before="60" w:after="60"/>
              <w:rPr>
                <w:noProof/>
                <w:sz w:val="20"/>
              </w:rPr>
            </w:pPr>
            <w:r>
              <w:rPr>
                <w:noProof/>
                <w:sz w:val="20"/>
              </w:rPr>
              <w:t>EBA</w:t>
            </w:r>
          </w:p>
        </w:tc>
        <w:tc>
          <w:tcPr>
            <w:tcW w:w="964" w:type="dxa"/>
          </w:tcPr>
          <w:p>
            <w:pPr>
              <w:spacing w:before="60" w:after="60"/>
              <w:jc w:val="center"/>
              <w:rPr>
                <w:noProof/>
                <w:sz w:val="20"/>
              </w:rPr>
            </w:pPr>
            <w:r>
              <w:rPr>
                <w:noProof/>
                <w:sz w:val="20"/>
              </w:rPr>
              <w:t>0,051</w:t>
            </w:r>
          </w:p>
        </w:tc>
        <w:tc>
          <w:tcPr>
            <w:tcW w:w="964" w:type="dxa"/>
          </w:tcPr>
          <w:p>
            <w:pPr>
              <w:spacing w:before="60" w:after="60"/>
              <w:jc w:val="center"/>
              <w:rPr>
                <w:noProof/>
                <w:sz w:val="20"/>
              </w:rPr>
            </w:pPr>
            <w:r>
              <w:rPr>
                <w:noProof/>
                <w:sz w:val="20"/>
              </w:rPr>
              <w:t>0,051</w:t>
            </w:r>
          </w:p>
        </w:tc>
        <w:tc>
          <w:tcPr>
            <w:tcW w:w="964" w:type="dxa"/>
          </w:tcPr>
          <w:p>
            <w:pPr>
              <w:spacing w:before="60" w:after="60"/>
              <w:jc w:val="center"/>
              <w:rPr>
                <w:noProof/>
                <w:sz w:val="20"/>
              </w:rPr>
            </w:pPr>
            <w:r>
              <w:rPr>
                <w:noProof/>
                <w:sz w:val="20"/>
              </w:rPr>
              <w:t>0,051</w:t>
            </w:r>
          </w:p>
        </w:tc>
        <w:tc>
          <w:tcPr>
            <w:tcW w:w="964" w:type="dxa"/>
          </w:tcPr>
          <w:p>
            <w:pPr>
              <w:spacing w:before="60" w:after="60"/>
              <w:jc w:val="center"/>
              <w:rPr>
                <w:noProof/>
                <w:sz w:val="20"/>
              </w:rPr>
            </w:pPr>
            <w:r>
              <w:rPr>
                <w:noProof/>
                <w:sz w:val="20"/>
              </w:rPr>
              <w:t>0,051</w:t>
            </w: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1158" w:type="dxa"/>
            <w:vAlign w:val="center"/>
          </w:tcPr>
          <w:p>
            <w:pPr>
              <w:spacing w:before="60" w:after="60"/>
              <w:jc w:val="center"/>
              <w:rPr>
                <w:noProof/>
                <w:sz w:val="20"/>
              </w:rPr>
            </w:pPr>
            <w:r>
              <w:rPr>
                <w:b/>
                <w:noProof/>
                <w:sz w:val="20"/>
              </w:rPr>
              <w:t>0,204</w:t>
            </w:r>
          </w:p>
        </w:tc>
      </w:tr>
      <w:tr>
        <w:trPr>
          <w:cantSplit/>
        </w:trPr>
        <w:tc>
          <w:tcPr>
            <w:tcW w:w="2340" w:type="dxa"/>
          </w:tcPr>
          <w:p>
            <w:pPr>
              <w:spacing w:before="60" w:after="60"/>
              <w:rPr>
                <w:noProof/>
                <w:sz w:val="20"/>
              </w:rPr>
            </w:pPr>
            <w:r>
              <w:rPr>
                <w:noProof/>
                <w:sz w:val="20"/>
              </w:rPr>
              <w:t>EIOPA</w:t>
            </w:r>
          </w:p>
        </w:tc>
        <w:tc>
          <w:tcPr>
            <w:tcW w:w="964" w:type="dxa"/>
          </w:tcPr>
          <w:p>
            <w:pPr>
              <w:spacing w:before="60" w:after="60"/>
              <w:jc w:val="center"/>
              <w:rPr>
                <w:noProof/>
                <w:sz w:val="20"/>
              </w:rPr>
            </w:pPr>
            <w:r>
              <w:rPr>
                <w:noProof/>
                <w:sz w:val="20"/>
              </w:rPr>
              <w:t>0,043</w:t>
            </w:r>
          </w:p>
        </w:tc>
        <w:tc>
          <w:tcPr>
            <w:tcW w:w="964" w:type="dxa"/>
          </w:tcPr>
          <w:p>
            <w:pPr>
              <w:spacing w:before="60" w:after="60"/>
              <w:jc w:val="center"/>
              <w:rPr>
                <w:noProof/>
                <w:sz w:val="20"/>
              </w:rPr>
            </w:pPr>
            <w:r>
              <w:rPr>
                <w:noProof/>
                <w:sz w:val="20"/>
              </w:rPr>
              <w:t>0,043</w:t>
            </w:r>
          </w:p>
        </w:tc>
        <w:tc>
          <w:tcPr>
            <w:tcW w:w="964" w:type="dxa"/>
          </w:tcPr>
          <w:p>
            <w:pPr>
              <w:spacing w:before="60" w:after="60"/>
              <w:jc w:val="center"/>
              <w:rPr>
                <w:noProof/>
                <w:sz w:val="20"/>
              </w:rPr>
            </w:pPr>
            <w:r>
              <w:rPr>
                <w:noProof/>
                <w:sz w:val="20"/>
              </w:rPr>
              <w:t>0,043</w:t>
            </w:r>
          </w:p>
        </w:tc>
        <w:tc>
          <w:tcPr>
            <w:tcW w:w="964" w:type="dxa"/>
          </w:tcPr>
          <w:p>
            <w:pPr>
              <w:spacing w:before="60" w:after="60"/>
              <w:jc w:val="center"/>
              <w:rPr>
                <w:noProof/>
                <w:sz w:val="20"/>
              </w:rPr>
            </w:pPr>
            <w:r>
              <w:rPr>
                <w:noProof/>
                <w:sz w:val="20"/>
              </w:rPr>
              <w:t>0,043</w:t>
            </w: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1158" w:type="dxa"/>
            <w:vAlign w:val="center"/>
          </w:tcPr>
          <w:p>
            <w:pPr>
              <w:spacing w:before="60" w:after="60"/>
              <w:jc w:val="center"/>
              <w:rPr>
                <w:noProof/>
                <w:sz w:val="20"/>
              </w:rPr>
            </w:pPr>
            <w:r>
              <w:rPr>
                <w:b/>
                <w:noProof/>
                <w:sz w:val="20"/>
              </w:rPr>
              <w:t>0,173</w:t>
            </w:r>
          </w:p>
        </w:tc>
      </w:tr>
      <w:tr>
        <w:trPr>
          <w:cantSplit/>
        </w:trPr>
        <w:tc>
          <w:tcPr>
            <w:tcW w:w="2340" w:type="dxa"/>
          </w:tcPr>
          <w:p>
            <w:pPr>
              <w:spacing w:before="60" w:after="60"/>
              <w:rPr>
                <w:noProof/>
                <w:sz w:val="20"/>
              </w:rPr>
            </w:pPr>
            <w:r>
              <w:rPr>
                <w:noProof/>
                <w:sz w:val="20"/>
              </w:rPr>
              <w:t>ESMA</w:t>
            </w:r>
          </w:p>
        </w:tc>
        <w:tc>
          <w:tcPr>
            <w:tcW w:w="964" w:type="dxa"/>
          </w:tcPr>
          <w:p>
            <w:pPr>
              <w:spacing w:before="60" w:after="60"/>
              <w:jc w:val="center"/>
              <w:rPr>
                <w:noProof/>
                <w:sz w:val="20"/>
              </w:rPr>
            </w:pPr>
            <w:r>
              <w:rPr>
                <w:noProof/>
                <w:sz w:val="20"/>
              </w:rPr>
              <w:t>0,098</w:t>
            </w:r>
          </w:p>
        </w:tc>
        <w:tc>
          <w:tcPr>
            <w:tcW w:w="964" w:type="dxa"/>
          </w:tcPr>
          <w:p>
            <w:pPr>
              <w:spacing w:before="60" w:after="60"/>
              <w:jc w:val="center"/>
              <w:rPr>
                <w:noProof/>
                <w:sz w:val="20"/>
              </w:rPr>
            </w:pPr>
            <w:r>
              <w:rPr>
                <w:noProof/>
                <w:sz w:val="20"/>
              </w:rPr>
              <w:t>0,098</w:t>
            </w:r>
          </w:p>
        </w:tc>
        <w:tc>
          <w:tcPr>
            <w:tcW w:w="964" w:type="dxa"/>
          </w:tcPr>
          <w:p>
            <w:pPr>
              <w:spacing w:before="60" w:after="60"/>
              <w:jc w:val="center"/>
              <w:rPr>
                <w:noProof/>
                <w:sz w:val="20"/>
              </w:rPr>
            </w:pPr>
            <w:r>
              <w:rPr>
                <w:noProof/>
                <w:sz w:val="20"/>
              </w:rPr>
              <w:t>0,098</w:t>
            </w:r>
          </w:p>
        </w:tc>
        <w:tc>
          <w:tcPr>
            <w:tcW w:w="964" w:type="dxa"/>
          </w:tcPr>
          <w:p>
            <w:pPr>
              <w:spacing w:before="60" w:after="60"/>
              <w:jc w:val="center"/>
              <w:rPr>
                <w:noProof/>
                <w:sz w:val="20"/>
              </w:rPr>
            </w:pPr>
            <w:r>
              <w:rPr>
                <w:noProof/>
                <w:sz w:val="20"/>
              </w:rPr>
              <w:t>0,098</w:t>
            </w: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1158" w:type="dxa"/>
            <w:vAlign w:val="center"/>
          </w:tcPr>
          <w:p>
            <w:pPr>
              <w:spacing w:before="60" w:after="60"/>
              <w:jc w:val="center"/>
              <w:rPr>
                <w:noProof/>
                <w:sz w:val="20"/>
              </w:rPr>
            </w:pPr>
            <w:r>
              <w:rPr>
                <w:b/>
                <w:noProof/>
                <w:sz w:val="20"/>
              </w:rPr>
              <w:t>0,394</w:t>
            </w:r>
          </w:p>
        </w:tc>
      </w:tr>
      <w:tr>
        <w:trPr>
          <w:cantSplit/>
        </w:trPr>
        <w:tc>
          <w:tcPr>
            <w:tcW w:w="2340" w:type="dxa"/>
          </w:tcPr>
          <w:p>
            <w:pPr>
              <w:spacing w:before="60" w:after="60"/>
              <w:rPr>
                <w:b/>
                <w:bCs/>
                <w:noProof/>
                <w:sz w:val="20"/>
              </w:rPr>
            </w:pPr>
            <w:r>
              <w:rPr>
                <w:b/>
                <w:noProof/>
                <w:sz w:val="20"/>
              </w:rPr>
              <w:t xml:space="preserve">Sofinancirane odobritve SKUPAJ </w:t>
            </w:r>
          </w:p>
        </w:tc>
        <w:tc>
          <w:tcPr>
            <w:tcW w:w="964" w:type="dxa"/>
            <w:vAlign w:val="center"/>
          </w:tcPr>
          <w:p>
            <w:pPr>
              <w:spacing w:before="60" w:after="60"/>
              <w:jc w:val="center"/>
              <w:rPr>
                <w:noProof/>
                <w:sz w:val="20"/>
              </w:rPr>
            </w:pPr>
            <w:r>
              <w:rPr>
                <w:b/>
                <w:noProof/>
                <w:sz w:val="20"/>
              </w:rPr>
              <w:t>0,193</w:t>
            </w:r>
          </w:p>
        </w:tc>
        <w:tc>
          <w:tcPr>
            <w:tcW w:w="964" w:type="dxa"/>
            <w:vAlign w:val="center"/>
          </w:tcPr>
          <w:p>
            <w:pPr>
              <w:spacing w:before="60" w:after="60"/>
              <w:jc w:val="center"/>
              <w:rPr>
                <w:b/>
                <w:noProof/>
                <w:sz w:val="20"/>
              </w:rPr>
            </w:pPr>
            <w:r>
              <w:rPr>
                <w:b/>
                <w:noProof/>
                <w:sz w:val="20"/>
              </w:rPr>
              <w:t>0,193</w:t>
            </w:r>
          </w:p>
        </w:tc>
        <w:tc>
          <w:tcPr>
            <w:tcW w:w="964" w:type="dxa"/>
            <w:vAlign w:val="center"/>
          </w:tcPr>
          <w:p>
            <w:pPr>
              <w:spacing w:before="60" w:after="60"/>
              <w:jc w:val="center"/>
              <w:rPr>
                <w:b/>
                <w:noProof/>
                <w:sz w:val="20"/>
              </w:rPr>
            </w:pPr>
            <w:r>
              <w:rPr>
                <w:b/>
                <w:noProof/>
                <w:sz w:val="20"/>
              </w:rPr>
              <w:t>0,193</w:t>
            </w:r>
          </w:p>
        </w:tc>
        <w:tc>
          <w:tcPr>
            <w:tcW w:w="964" w:type="dxa"/>
            <w:vAlign w:val="center"/>
          </w:tcPr>
          <w:p>
            <w:pPr>
              <w:spacing w:before="60" w:after="60"/>
              <w:jc w:val="center"/>
              <w:rPr>
                <w:b/>
                <w:noProof/>
                <w:sz w:val="20"/>
              </w:rPr>
            </w:pPr>
            <w:r>
              <w:rPr>
                <w:b/>
                <w:noProof/>
                <w:sz w:val="20"/>
              </w:rPr>
              <w:t>0,193</w:t>
            </w: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1158" w:type="dxa"/>
            <w:vAlign w:val="center"/>
          </w:tcPr>
          <w:p>
            <w:pPr>
              <w:spacing w:before="60" w:after="60"/>
              <w:jc w:val="center"/>
              <w:rPr>
                <w:noProof/>
                <w:sz w:val="20"/>
              </w:rPr>
            </w:pPr>
            <w:r>
              <w:rPr>
                <w:b/>
                <w:noProof/>
                <w:sz w:val="20"/>
              </w:rPr>
              <w:t>0,771</w:t>
            </w:r>
          </w:p>
        </w:tc>
      </w:tr>
    </w:tbl>
    <w:p>
      <w:pPr>
        <w:rPr>
          <w:noProof/>
        </w:rPr>
      </w:pPr>
      <w:r>
        <w:rPr>
          <w:noProof/>
        </w:rPr>
        <w:br/>
      </w:r>
    </w:p>
    <w:p>
      <w:pPr>
        <w:pStyle w:val="ManualHeading2"/>
        <w:rPr>
          <w:bCs/>
          <w:noProof/>
          <w:szCs w:val="24"/>
        </w:rPr>
      </w:pPr>
      <w:r>
        <w:rPr>
          <w:noProof/>
        </w:rPr>
        <w:br w:type="page"/>
      </w:r>
      <w:r>
        <w:t>3.3.</w:t>
      </w:r>
      <w:r>
        <w:tab/>
      </w:r>
      <w:r>
        <w:rPr>
          <w:noProof/>
        </w:rPr>
        <w:t xml:space="preserve">Ocenjene posledice za prihodke </w:t>
      </w:r>
    </w:p>
    <w:p>
      <w:pPr>
        <w:pStyle w:val="ListDash1"/>
        <w:rPr>
          <w:noProof/>
        </w:rPr>
      </w:pPr>
      <w:r>
        <w:rPr>
          <w:noProof/>
        </w:rPr>
        <w:sym w:font="Wingdings" w:char="F0FE"/>
      </w:r>
      <w:r>
        <w:rPr>
          <w:noProof/>
        </w:rPr>
        <w:tab/>
        <w:t>Predlog/pobuda nima finančnih posledic za prihodke.</w:t>
      </w:r>
    </w:p>
    <w:p>
      <w:pPr>
        <w:pStyle w:val="ListDash1"/>
        <w:rPr>
          <w:noProof/>
        </w:rPr>
      </w:pPr>
      <w:r>
        <w:rPr>
          <w:noProof/>
        </w:rPr>
        <w:sym w:font="Wingdings" w:char="F0A8"/>
      </w:r>
      <w:r>
        <w:rPr>
          <w:noProof/>
        </w:rPr>
        <w:tab/>
        <w:t>Predlog/pobuda ima finančne posledice, kot je pojasnjeno v nadaljevanju:</w:t>
      </w:r>
    </w:p>
    <w:p>
      <w:pPr>
        <w:pStyle w:val="ListNumberLevel3"/>
        <w:rPr>
          <w:noProof/>
        </w:rPr>
      </w:pPr>
      <w:r>
        <w:rPr>
          <w:noProof/>
        </w:rPr>
        <w:sym w:font="Wingdings" w:char="F0A8"/>
      </w:r>
      <w:r>
        <w:rPr>
          <w:noProof/>
        </w:rPr>
        <w:tab/>
        <w:t xml:space="preserve">za lastna sredstva, </w:t>
      </w:r>
    </w:p>
    <w:p>
      <w:pPr>
        <w:pStyle w:val="ListNumberLevel3"/>
        <w:rPr>
          <w:noProof/>
        </w:rPr>
      </w:pPr>
      <w:r>
        <w:rPr>
          <w:noProof/>
        </w:rPr>
        <w:sym w:font="Wingdings" w:char="F0A8"/>
      </w:r>
      <w:r>
        <w:rPr>
          <w:noProof/>
        </w:rPr>
        <w:tab/>
        <w:t xml:space="preserve">za razne prihodke. </w:t>
      </w:r>
    </w:p>
    <w:p>
      <w:pPr>
        <w:jc w:val="right"/>
        <w:rPr>
          <w:i/>
          <w:noProof/>
          <w:sz w:val="20"/>
        </w:rPr>
      </w:pPr>
      <w:r>
        <w:rPr>
          <w:noProof/>
          <w:sz w:val="20"/>
        </w:rPr>
        <w:t>v mio. EUR (na tri decimalna mesta natančno)</w:t>
      </w: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4"/>
        <w:gridCol w:w="1276"/>
        <w:gridCol w:w="1080"/>
        <w:gridCol w:w="900"/>
        <w:gridCol w:w="900"/>
        <w:gridCol w:w="1080"/>
        <w:gridCol w:w="1080"/>
        <w:gridCol w:w="1080"/>
        <w:gridCol w:w="1080"/>
      </w:tblGrid>
      <w:tr>
        <w:trPr>
          <w:trHeight w:val="388"/>
        </w:trPr>
        <w:tc>
          <w:tcPr>
            <w:tcW w:w="2144" w:type="dxa"/>
            <w:vMerge w:val="restart"/>
            <w:vAlign w:val="center"/>
          </w:tcPr>
          <w:p>
            <w:pPr>
              <w:spacing w:before="40" w:after="40"/>
              <w:rPr>
                <w:noProof/>
                <w:sz w:val="18"/>
              </w:rPr>
            </w:pPr>
            <w:r>
              <w:rPr>
                <w:noProof/>
                <w:sz w:val="18"/>
              </w:rPr>
              <w:t>Prihodkovna proračunska vrstica</w:t>
            </w:r>
          </w:p>
        </w:tc>
        <w:tc>
          <w:tcPr>
            <w:tcW w:w="1276" w:type="dxa"/>
            <w:vMerge w:val="restart"/>
            <w:vAlign w:val="center"/>
          </w:tcPr>
          <w:p>
            <w:pPr>
              <w:jc w:val="center"/>
              <w:rPr>
                <w:noProof/>
                <w:sz w:val="18"/>
              </w:rPr>
            </w:pPr>
            <w:r>
              <w:rPr>
                <w:noProof/>
                <w:sz w:val="18"/>
              </w:rPr>
              <w:t>Odobritve na voljo za tekoče proračunsko leto</w:t>
            </w:r>
          </w:p>
        </w:tc>
        <w:tc>
          <w:tcPr>
            <w:tcW w:w="7200" w:type="dxa"/>
            <w:gridSpan w:val="7"/>
            <w:vAlign w:val="center"/>
          </w:tcPr>
          <w:p>
            <w:pPr>
              <w:jc w:val="center"/>
              <w:rPr>
                <w:noProof/>
                <w:sz w:val="18"/>
              </w:rPr>
            </w:pPr>
            <w:r>
              <w:rPr>
                <w:noProof/>
                <w:sz w:val="18"/>
              </w:rPr>
              <w:t>Posledice predloga/pobude</w:t>
            </w:r>
            <w:r>
              <w:rPr>
                <w:rStyle w:val="FootnoteReference"/>
                <w:noProof/>
                <w:sz w:val="18"/>
              </w:rPr>
              <w:footnoteReference w:id="97"/>
            </w:r>
          </w:p>
        </w:tc>
      </w:tr>
      <w:tr>
        <w:trPr>
          <w:trHeight w:val="388"/>
        </w:trPr>
        <w:tc>
          <w:tcPr>
            <w:tcW w:w="2144" w:type="dxa"/>
            <w:vMerge/>
            <w:vAlign w:val="center"/>
          </w:tcPr>
          <w:p>
            <w:pPr>
              <w:rPr>
                <w:noProof/>
                <w:sz w:val="18"/>
              </w:rPr>
            </w:pPr>
          </w:p>
        </w:tc>
        <w:tc>
          <w:tcPr>
            <w:tcW w:w="1276" w:type="dxa"/>
            <w:vMerge/>
            <w:vAlign w:val="center"/>
          </w:tcPr>
          <w:p>
            <w:pPr>
              <w:rPr>
                <w:noProof/>
                <w:sz w:val="18"/>
              </w:rPr>
            </w:pPr>
          </w:p>
        </w:tc>
        <w:tc>
          <w:tcPr>
            <w:tcW w:w="1080" w:type="dxa"/>
            <w:vAlign w:val="center"/>
          </w:tcPr>
          <w:p>
            <w:pPr>
              <w:jc w:val="center"/>
              <w:rPr>
                <w:noProof/>
                <w:sz w:val="18"/>
              </w:rPr>
            </w:pPr>
            <w:r>
              <w:rPr>
                <w:noProof/>
                <w:sz w:val="18"/>
              </w:rPr>
              <w:t>Leto</w:t>
            </w:r>
            <w:r>
              <w:rPr>
                <w:noProof/>
                <w:sz w:val="22"/>
              </w:rPr>
              <w:br/>
            </w:r>
            <w:r>
              <w:rPr>
                <w:b/>
                <w:noProof/>
                <w:sz w:val="18"/>
              </w:rPr>
              <w:t>2020</w:t>
            </w:r>
          </w:p>
        </w:tc>
        <w:tc>
          <w:tcPr>
            <w:tcW w:w="900" w:type="dxa"/>
            <w:vAlign w:val="center"/>
          </w:tcPr>
          <w:p>
            <w:pPr>
              <w:jc w:val="center"/>
              <w:rPr>
                <w:noProof/>
                <w:sz w:val="18"/>
              </w:rPr>
            </w:pPr>
            <w:r>
              <w:rPr>
                <w:noProof/>
                <w:sz w:val="18"/>
              </w:rPr>
              <w:t>Leto</w:t>
            </w:r>
            <w:r>
              <w:rPr>
                <w:noProof/>
                <w:sz w:val="22"/>
              </w:rPr>
              <w:br/>
            </w:r>
            <w:r>
              <w:rPr>
                <w:b/>
                <w:noProof/>
                <w:sz w:val="18"/>
              </w:rPr>
              <w:t>2021</w:t>
            </w:r>
          </w:p>
        </w:tc>
        <w:tc>
          <w:tcPr>
            <w:tcW w:w="900" w:type="dxa"/>
            <w:vAlign w:val="center"/>
          </w:tcPr>
          <w:p>
            <w:pPr>
              <w:jc w:val="center"/>
              <w:rPr>
                <w:noProof/>
                <w:sz w:val="18"/>
              </w:rPr>
            </w:pPr>
            <w:r>
              <w:rPr>
                <w:noProof/>
                <w:sz w:val="18"/>
              </w:rPr>
              <w:t>Leto</w:t>
            </w:r>
            <w:r>
              <w:rPr>
                <w:noProof/>
                <w:sz w:val="22"/>
              </w:rPr>
              <w:br/>
            </w:r>
            <w:r>
              <w:rPr>
                <w:b/>
                <w:noProof/>
                <w:sz w:val="18"/>
              </w:rPr>
              <w:t>2022</w:t>
            </w:r>
          </w:p>
        </w:tc>
        <w:tc>
          <w:tcPr>
            <w:tcW w:w="1080" w:type="dxa"/>
            <w:vAlign w:val="center"/>
          </w:tcPr>
          <w:p>
            <w:pPr>
              <w:jc w:val="center"/>
              <w:rPr>
                <w:noProof/>
                <w:sz w:val="18"/>
              </w:rPr>
            </w:pPr>
            <w:r>
              <w:rPr>
                <w:noProof/>
                <w:sz w:val="18"/>
              </w:rPr>
              <w:t>Leto</w:t>
            </w:r>
            <w:r>
              <w:rPr>
                <w:noProof/>
                <w:sz w:val="22"/>
              </w:rPr>
              <w:br/>
            </w:r>
            <w:r>
              <w:rPr>
                <w:b/>
                <w:noProof/>
                <w:sz w:val="18"/>
              </w:rPr>
              <w:t>2023</w:t>
            </w:r>
          </w:p>
        </w:tc>
        <w:tc>
          <w:tcPr>
            <w:tcW w:w="3240" w:type="dxa"/>
            <w:gridSpan w:val="3"/>
            <w:vAlign w:val="center"/>
          </w:tcPr>
          <w:p>
            <w:pPr>
              <w:jc w:val="center"/>
              <w:rPr>
                <w:b/>
                <w:noProof/>
                <w:sz w:val="18"/>
              </w:rPr>
            </w:pPr>
            <w:r>
              <w:rPr>
                <w:noProof/>
                <w:sz w:val="18"/>
              </w:rPr>
              <w:t>Vstavite ustrezno število let glede na trajanje posledic (gl. točko 1.6)</w:t>
            </w:r>
          </w:p>
        </w:tc>
      </w:tr>
      <w:tr>
        <w:trPr>
          <w:trHeight w:val="388"/>
        </w:trPr>
        <w:tc>
          <w:tcPr>
            <w:tcW w:w="2144" w:type="dxa"/>
            <w:vAlign w:val="center"/>
          </w:tcPr>
          <w:p>
            <w:pPr>
              <w:spacing w:before="40" w:after="40"/>
              <w:rPr>
                <w:noProof/>
                <w:sz w:val="18"/>
              </w:rPr>
            </w:pPr>
            <w:r>
              <w:rPr>
                <w:noProof/>
                <w:sz w:val="18"/>
              </w:rPr>
              <w:t>Člen …</w:t>
            </w:r>
          </w:p>
        </w:tc>
        <w:tc>
          <w:tcPr>
            <w:tcW w:w="1276" w:type="dxa"/>
          </w:tcPr>
          <w:p>
            <w:pPr>
              <w:spacing w:beforeLines="40" w:before="96" w:afterLines="40" w:after="96"/>
              <w:jc w:val="center"/>
              <w:rPr>
                <w:i/>
                <w:noProof/>
                <w:sz w:val="18"/>
              </w:rPr>
            </w:pPr>
          </w:p>
        </w:tc>
        <w:tc>
          <w:tcPr>
            <w:tcW w:w="1080" w:type="dxa"/>
          </w:tcPr>
          <w:p>
            <w:pPr>
              <w:spacing w:beforeLines="40" w:before="96" w:afterLines="40" w:after="96"/>
              <w:jc w:val="center"/>
              <w:rPr>
                <w:noProof/>
                <w:sz w:val="18"/>
              </w:rPr>
            </w:pPr>
          </w:p>
        </w:tc>
        <w:tc>
          <w:tcPr>
            <w:tcW w:w="900" w:type="dxa"/>
          </w:tcPr>
          <w:p>
            <w:pPr>
              <w:spacing w:beforeLines="40" w:before="96" w:afterLines="40" w:after="96"/>
              <w:jc w:val="center"/>
              <w:rPr>
                <w:noProof/>
                <w:sz w:val="18"/>
              </w:rPr>
            </w:pPr>
          </w:p>
        </w:tc>
        <w:tc>
          <w:tcPr>
            <w:tcW w:w="90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r>
    </w:tbl>
    <w:p>
      <w:pPr>
        <w:pStyle w:val="Text1"/>
        <w:rPr>
          <w:noProof/>
          <w:sz w:val="20"/>
        </w:rPr>
      </w:pPr>
      <w:r>
        <w:rPr>
          <w:noProof/>
          <w:sz w:val="20"/>
        </w:rPr>
        <w:t>Za razne namenske prejemke navedite zadevne odhodkovne proračunske vrstice.</w:t>
      </w:r>
    </w:p>
    <w:p>
      <w:pPr>
        <w:pStyle w:val="Text1"/>
        <w:rPr>
          <w:noProof/>
        </w:rPr>
      </w:pPr>
      <w:r>
        <w:rPr>
          <w:noProof/>
          <w:sz w:val="20"/>
        </w:rPr>
        <w:t>Navedite metodo za izračun posledic za prihodke.</w:t>
      </w:r>
      <w:r>
        <w:rPr>
          <w:rStyle w:val="CommentReference"/>
          <w:noProof/>
        </w:rPr>
        <w:t xml:space="preserve"> </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SL</w:t>
    </w:r>
    <w:r>
      <w:rPr>
        <w:rFonts w:ascii="Arial" w:hAnsi="Arial" w:cs="Arial"/>
        <w:b/>
        <w:sz w:val="48"/>
      </w:rPr>
      <w:tab/>
    </w:r>
    <w:r>
      <w:rPr>
        <w:rFonts w:ascii="Arial" w:hAnsi="Arial" w:cs="Arial"/>
        <w:b/>
        <w:sz w:val="48"/>
      </w:rPr>
      <w:tab/>
    </w:r>
    <w:r>
      <w:tab/>
    </w:r>
    <w:r>
      <w:rPr>
        <w:rFonts w:ascii="Arial" w:hAnsi="Arial" w:cs="Arial"/>
        <w:b/>
        <w:sz w:val="48"/>
      </w:rPr>
      <w:t>SL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SL</w:t>
    </w:r>
    <w:r>
      <w:rPr>
        <w:rFonts w:ascii="Arial" w:hAnsi="Arial" w:cs="Arial"/>
        <w:b/>
        <w:sz w:val="48"/>
      </w:rPr>
      <w:tab/>
    </w:r>
    <w:r>
      <w:fldChar w:fldCharType="begin"/>
    </w:r>
    <w:r>
      <w:instrText xml:space="preserve"> PAGE  \* MERGEFORMAT </w:instrText>
    </w:r>
    <w:r>
      <w:fldChar w:fldCharType="separate"/>
    </w:r>
    <w:r>
      <w:rPr>
        <w:noProof/>
      </w:rPr>
      <w:t>33</w:t>
    </w:r>
    <w:r>
      <w:fldChar w:fldCharType="end"/>
    </w:r>
    <w:r>
      <w:tab/>
    </w:r>
    <w:r>
      <w:tab/>
    </w:r>
    <w:r>
      <w:rPr>
        <w:rFonts w:ascii="Arial" w:hAnsi="Arial" w:cs="Arial"/>
        <w:b/>
        <w:sz w:val="48"/>
      </w:rPr>
      <w:t>SL</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rPr>
        <w:rFonts w:ascii="Arial" w:hAnsi="Arial" w:cs="Arial"/>
        <w:b/>
        <w:sz w:val="48"/>
      </w:rPr>
    </w:pPr>
    <w:r>
      <w:rPr>
        <w:rFonts w:ascii="Arial" w:hAnsi="Arial" w:cs="Arial"/>
        <w:b/>
        <w:sz w:val="48"/>
      </w:rPr>
      <w:t>SL</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SL</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rPr>
        <w:rFonts w:ascii="Arial" w:hAnsi="Arial" w:cs="Arial"/>
        <w:b/>
        <w:sz w:val="48"/>
      </w:rPr>
    </w:pPr>
    <w:r>
      <w:rPr>
        <w:rFonts w:ascii="Arial" w:hAnsi="Arial" w:cs="Arial"/>
        <w:b/>
        <w:sz w:val="48"/>
      </w:rPr>
      <w:t>SL</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SL</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SL</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SL</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17 ciljev trajnostnega razvoja vključuje kvalitativne in kvantitativne cilje za naslednjih 15 let, da se pripravimo na prihodnost in si prizadevamo za človekovo dostojanstvo, stabilnost, zdrav planet, pravične in odporne družbe ter uspešna gospodarstva.</w:t>
      </w:r>
    </w:p>
  </w:footnote>
  <w:footnote w:id="2">
    <w:p>
      <w:pPr>
        <w:pStyle w:val="FootnoteText"/>
      </w:pPr>
      <w:r>
        <w:rPr>
          <w:rStyle w:val="FootnoteReference"/>
        </w:rPr>
        <w:footnoteRef/>
      </w:r>
      <w:r>
        <w:tab/>
        <w:t>Nov začetek za Evropo: moj načrt za delovna mesta, rast, pravičnost in demokratične spremembe – Politične usmeritve naslednje Evropske komisije, Strasbourg, 15. julij 2014, na voljo na:</w:t>
      </w:r>
    </w:p>
    <w:p>
      <w:pPr>
        <w:pStyle w:val="FootnoteText"/>
      </w:pPr>
      <w:hyperlink r:id="rId1">
        <w:r>
          <w:rPr>
            <w:rStyle w:val="Hyperlink"/>
          </w:rPr>
          <w:t>https://ec.europa.eu/commission/sites/beta-political/files/juncker-political-guidelines-speech_sl.pdf.</w:t>
        </w:r>
      </w:hyperlink>
      <w:r>
        <w:t xml:space="preserve"> </w:t>
      </w:r>
    </w:p>
  </w:footnote>
  <w:footnote w:id="3">
    <w:p>
      <w:pPr>
        <w:pStyle w:val="FootnoteText"/>
        <w:rPr>
          <w:lang w:val="pt-PT"/>
        </w:rPr>
      </w:pPr>
      <w:r>
        <w:rPr>
          <w:rStyle w:val="FootnoteReference"/>
        </w:rPr>
        <w:footnoteRef/>
      </w:r>
      <w:r>
        <w:tab/>
        <w:t xml:space="preserve">COM(2014) 903 final. </w:t>
      </w:r>
    </w:p>
  </w:footnote>
  <w:footnote w:id="4">
    <w:p>
      <w:pPr>
        <w:pStyle w:val="FootnoteText"/>
        <w:rPr>
          <w:lang w:val="pt-PT"/>
        </w:rPr>
      </w:pPr>
      <w:r>
        <w:rPr>
          <w:rStyle w:val="FootnoteReference"/>
        </w:rPr>
        <w:footnoteRef/>
      </w:r>
      <w:r>
        <w:tab/>
        <w:t>COM(2015) 614 final.</w:t>
      </w:r>
    </w:p>
  </w:footnote>
  <w:footnote w:id="5">
    <w:p>
      <w:pPr>
        <w:pStyle w:val="FootnoteText"/>
        <w:rPr>
          <w:lang w:val="pt-PT"/>
        </w:rPr>
      </w:pPr>
      <w:r>
        <w:rPr>
          <w:rStyle w:val="FootnoteReference"/>
        </w:rPr>
        <w:footnoteRef/>
      </w:r>
      <w:r>
        <w:tab/>
        <w:t>COM(2015) 80 final.</w:t>
      </w:r>
    </w:p>
  </w:footnote>
  <w:footnote w:id="6">
    <w:p>
      <w:pPr>
        <w:pStyle w:val="FootnoteText"/>
        <w:rPr>
          <w:lang w:val="pt-PT"/>
        </w:rPr>
      </w:pPr>
      <w:r>
        <w:rPr>
          <w:rStyle w:val="FootnoteReference"/>
        </w:rPr>
        <w:footnoteRef/>
      </w:r>
      <w:r>
        <w:tab/>
        <w:t>Delovni dokument služb Komisije o pregledu strategije za biogospodarstvo iz leta 2012 (SWD(2017) 374 final).</w:t>
      </w:r>
    </w:p>
  </w:footnote>
  <w:footnote w:id="7">
    <w:p>
      <w:pPr>
        <w:pStyle w:val="FootnoteText"/>
      </w:pPr>
      <w:r>
        <w:rPr>
          <w:rStyle w:val="FootnoteReference"/>
        </w:rPr>
        <w:footnoteRef/>
      </w:r>
      <w:r>
        <w:tab/>
        <w:t>COM(2015) 468 final.</w:t>
      </w:r>
    </w:p>
  </w:footnote>
  <w:footnote w:id="8">
    <w:p>
      <w:pPr>
        <w:pStyle w:val="FootnoteText"/>
      </w:pPr>
      <w:r>
        <w:rPr>
          <w:rStyle w:val="FootnoteReference"/>
        </w:rPr>
        <w:footnoteRef/>
      </w:r>
      <w:r>
        <w:tab/>
        <w:t xml:space="preserve">Ocena se nanaša na povprečno letno naložbeno vrzel za obdobje 2021–2030 in temelji na napovedih modela PRIMES, ki jih je Evropska komisija uporabila za oceno učinka predloga direktive o energetski učinkovitosti (2016), ki je na voljo na naslovu: </w:t>
      </w:r>
      <w:hyperlink r:id="rId2">
        <w:r>
          <w:rPr>
            <w:rStyle w:val="Hyperlink"/>
          </w:rPr>
          <w:t>http://eur-lex.europa.eu/legal-content/EN/TXT/?qid=1483696687107&amp;uri=CELEX:52016SC0405</w:t>
        </w:r>
      </w:hyperlink>
      <w:r>
        <w:t>.</w:t>
      </w:r>
    </w:p>
  </w:footnote>
  <w:footnote w:id="9">
    <w:p>
      <w:pPr>
        <w:pStyle w:val="FootnoteText"/>
      </w:pPr>
      <w:r>
        <w:rPr>
          <w:rStyle w:val="FootnoteReference"/>
        </w:rPr>
        <w:footnoteRef/>
      </w:r>
      <w:r>
        <w:tab/>
        <w:t xml:space="preserve">Končno poročilo strokovne skupine na visoki ravni za financiranje trajnostne rasti EU „Financiranje trajnostnega evropskega gospodarstva“ je na voljo na naslovu: </w:t>
      </w:r>
      <w:hyperlink r:id="rId3">
        <w:r>
          <w:rPr>
            <w:rStyle w:val="Hyperlink"/>
          </w:rPr>
          <w:t>https://ec.europa.eu/info/sites/info/files/180131-sustainable-finance-final-report_en.pdf.</w:t>
        </w:r>
      </w:hyperlink>
      <w:r>
        <w:t xml:space="preserve"> </w:t>
      </w:r>
    </w:p>
  </w:footnote>
  <w:footnote w:id="10">
    <w:p>
      <w:pPr>
        <w:pStyle w:val="FootnoteText"/>
        <w:rPr>
          <w:lang w:val="pt-PT"/>
        </w:rPr>
      </w:pPr>
      <w:r>
        <w:rPr>
          <w:rStyle w:val="FootnoteReference"/>
        </w:rPr>
        <w:footnoteRef/>
      </w:r>
      <w:r>
        <w:tab/>
        <w:t>COM(2018) 97 final.</w:t>
      </w:r>
    </w:p>
  </w:footnote>
  <w:footnote w:id="11">
    <w:p>
      <w:pPr>
        <w:pStyle w:val="FootnoteText"/>
        <w:rPr>
          <w:lang w:val="pt-PT"/>
        </w:rPr>
      </w:pPr>
      <w:r>
        <w:rPr>
          <w:rStyle w:val="FootnoteReference"/>
        </w:rPr>
        <w:footnoteRef/>
      </w:r>
      <w:r>
        <w:tab/>
        <w:t>Sklep št. 1386/2013/EU.</w:t>
      </w:r>
    </w:p>
  </w:footnote>
  <w:footnote w:id="12">
    <w:p>
      <w:pPr>
        <w:pStyle w:val="FootnoteText"/>
        <w:rPr>
          <w:lang w:val="pt-PT"/>
        </w:rPr>
      </w:pPr>
      <w:r>
        <w:rPr>
          <w:rStyle w:val="FootnoteReference"/>
        </w:rPr>
        <w:footnoteRef/>
      </w:r>
      <w:r>
        <w:tab/>
        <w:t>Direktiva 2000/60/ES.</w:t>
      </w:r>
    </w:p>
  </w:footnote>
  <w:footnote w:id="13">
    <w:p>
      <w:pPr>
        <w:pStyle w:val="FootnoteText"/>
        <w:rPr>
          <w:lang w:val="pt-PT"/>
        </w:rPr>
      </w:pPr>
      <w:r>
        <w:rPr>
          <w:rStyle w:val="FootnoteReference"/>
        </w:rPr>
        <w:footnoteRef/>
      </w:r>
      <w:r>
        <w:tab/>
        <w:t>COM(2015) 614 final.</w:t>
      </w:r>
    </w:p>
  </w:footnote>
  <w:footnote w:id="14">
    <w:p>
      <w:pPr>
        <w:pStyle w:val="FootnoteText"/>
        <w:rPr>
          <w:lang w:val="pt-PT"/>
        </w:rPr>
      </w:pPr>
      <w:r>
        <w:rPr>
          <w:rStyle w:val="FootnoteReference"/>
        </w:rPr>
        <w:footnoteRef/>
      </w:r>
      <w:r>
        <w:tab/>
        <w:t>Direktiva 2010/75/EU.</w:t>
      </w:r>
    </w:p>
  </w:footnote>
  <w:footnote w:id="15">
    <w:p>
      <w:pPr>
        <w:pStyle w:val="FootnoteText"/>
      </w:pPr>
      <w:r>
        <w:rPr>
          <w:rStyle w:val="FootnoteReference"/>
        </w:rPr>
        <w:footnoteRef/>
      </w:r>
      <w:r>
        <w:tab/>
        <w:t xml:space="preserve">Uredba (ES) št. 66/2010. </w:t>
      </w:r>
    </w:p>
  </w:footnote>
  <w:footnote w:id="16">
    <w:p>
      <w:pPr>
        <w:pStyle w:val="FootnoteText"/>
      </w:pPr>
      <w:r>
        <w:rPr>
          <w:rStyle w:val="FootnoteReference"/>
        </w:rPr>
        <w:footnoteRef/>
      </w:r>
      <w:r>
        <w:tab/>
        <w:t>Uredba (ES) št. 1893/2006 Evropskega parlamenta in Sveta z dne 20. decembra 2006 o uvedbi statistične klasifikacije gospodarskih dejavnosti NACE Revizija 2 in o spremembi Uredbe Sveta (EGS) št. 3037/90 kakor tudi nekaterih uredb ES o posebnih statističnih področjih (UL L 393/1, 30.12.2006, str. 1).</w:t>
      </w:r>
    </w:p>
  </w:footnote>
  <w:footnote w:id="17">
    <w:p>
      <w:pPr>
        <w:pStyle w:val="FootnoteText"/>
      </w:pPr>
      <w:r>
        <w:rPr>
          <w:rStyle w:val="FootnoteReference"/>
        </w:rPr>
        <w:footnoteRef/>
      </w:r>
      <w:r>
        <w:tab/>
        <w:t>Prilogi 4 in 5 k Uredbi (EU) št. 538/2014 Evropskega parlamenta in Sveta z dne 16. aprila 2014 o spremembi Uredbe (EU) št. 691/2011 o evropskih okoljsko-ekonomskih računih (UL L 158, 27.5.2014).</w:t>
      </w:r>
    </w:p>
  </w:footnote>
  <w:footnote w:id="18">
    <w:p>
      <w:pPr>
        <w:pStyle w:val="FootnoteText"/>
      </w:pPr>
      <w:r>
        <w:rPr>
          <w:rStyle w:val="FootnoteReference"/>
        </w:rPr>
        <w:footnoteRef/>
      </w:r>
      <w:r>
        <w:tab/>
        <w:t>UL C , , str. .</w:t>
      </w:r>
    </w:p>
  </w:footnote>
  <w:footnote w:id="19">
    <w:p>
      <w:pPr>
        <w:pStyle w:val="FootnoteText"/>
      </w:pPr>
      <w:r>
        <w:rPr>
          <w:rStyle w:val="FootnoteReference"/>
        </w:rPr>
        <w:footnoteRef/>
      </w:r>
      <w:r>
        <w:tab/>
        <w:t>UL C , , str. .</w:t>
      </w:r>
    </w:p>
  </w:footnote>
  <w:footnote w:id="20">
    <w:p>
      <w:pPr>
        <w:pStyle w:val="FootnoteText"/>
      </w:pPr>
      <w:r>
        <w:rPr>
          <w:rStyle w:val="FootnoteReference"/>
        </w:rPr>
        <w:footnoteRef/>
      </w:r>
      <w:r>
        <w:tab/>
        <w:t>Spreminjamo naš svet: Agenda za trajnostni razvoj do leta 2030</w:t>
      </w:r>
      <w:r>
        <w:rPr>
          <w:i/>
        </w:rPr>
        <w:t xml:space="preserve"> </w:t>
      </w:r>
      <w:r>
        <w:t>(UN 2015), na voljo na: https://sustainabledevelopment.un.org/post2015/transformingourworld.</w:t>
      </w:r>
    </w:p>
  </w:footnote>
  <w:footnote w:id="21">
    <w:p>
      <w:pPr>
        <w:pStyle w:val="FootnoteText"/>
        <w:rPr>
          <w:lang w:val="pt-PT"/>
        </w:rPr>
      </w:pPr>
      <w:r>
        <w:rPr>
          <w:rStyle w:val="FootnoteReference"/>
        </w:rPr>
        <w:footnoteRef/>
      </w:r>
      <w:r>
        <w:tab/>
        <w:t>COM(2016) 739 final.</w:t>
      </w:r>
    </w:p>
  </w:footnote>
  <w:footnote w:id="22">
    <w:p>
      <w:pPr>
        <w:pStyle w:val="FootnoteText"/>
      </w:pPr>
      <w:r>
        <w:rPr>
          <w:rStyle w:val="FootnoteReference"/>
        </w:rPr>
        <w:footnoteRef/>
      </w:r>
      <w:r>
        <w:tab/>
        <w:t>CO EUR 17, CONCL. 5.</w:t>
      </w:r>
    </w:p>
  </w:footnote>
  <w:footnote w:id="23">
    <w:p>
      <w:pPr>
        <w:pStyle w:val="FootnoteText"/>
      </w:pPr>
      <w:r>
        <w:rPr>
          <w:rStyle w:val="FootnoteReference"/>
        </w:rPr>
        <w:footnoteRef/>
      </w:r>
      <w:r>
        <w:tab/>
        <w:t>Sklep Sveta (EU) 2016/1841 z dne 5. oktobra 2016 o sklenitvi Pariškega sporazuma, sprejetega na podlagi Okvirne konvencije Združenih narodov o spremembi podnebja, v imenu Evropske unije (UL L 282, 19.10.2016, str. 4.).</w:t>
      </w:r>
    </w:p>
  </w:footnote>
  <w:footnote w:id="24">
    <w:p>
      <w:pPr>
        <w:pStyle w:val="FootnoteText"/>
      </w:pPr>
      <w:r>
        <w:rPr>
          <w:rStyle w:val="FootnoteReference"/>
        </w:rPr>
        <w:footnoteRef/>
      </w:r>
      <w:r>
        <w:tab/>
        <w:t xml:space="preserve">Končno poročilo strokovne skupine na visoki ravni za financiranje trajnostne rasti EU „Financiranje trajnostnega evropskega gospodarstva“ je na voljo na naslovu: </w:t>
      </w:r>
      <w:hyperlink r:id="rId4">
        <w:r>
          <w:rPr>
            <w:rStyle w:val="Hyperlink"/>
          </w:rPr>
          <w:t>https://ec.europa.eu/info/sites/info/files/180131-sustainable-finance-final-report_en.pdf</w:t>
        </w:r>
      </w:hyperlink>
      <w:r>
        <w:rPr>
          <w:rStyle w:val="Hyperlink"/>
        </w:rPr>
        <w:t>.</w:t>
      </w:r>
    </w:p>
  </w:footnote>
  <w:footnote w:id="25">
    <w:p>
      <w:pPr>
        <w:pStyle w:val="FootnoteText"/>
      </w:pPr>
      <w:r>
        <w:rPr>
          <w:rStyle w:val="FootnoteReference"/>
        </w:rPr>
        <w:footnoteRef/>
      </w:r>
      <w:r>
        <w:tab/>
        <w:t>COM(2018) 97 final.</w:t>
      </w:r>
    </w:p>
  </w:footnote>
  <w:footnote w:id="26">
    <w:p>
      <w:pPr>
        <w:pStyle w:val="FootnoteText"/>
      </w:pPr>
      <w:r>
        <w:rPr>
          <w:rStyle w:val="FootnoteReference"/>
        </w:rPr>
        <w:footnoteRef/>
      </w:r>
      <w:r>
        <w:tab/>
        <w:t>Sklep št. 1386/2013/EU Evropskega parlamenta in Sveta z dne 20. novembra 2013 o splošnem okoljskem akcijskem programu Unije do leta 2020 „Dobro živeti ob upoštevanju omejitev našega planeta“ (UL L 354/171, 28.12.2013).</w:t>
      </w:r>
    </w:p>
  </w:footnote>
  <w:footnote w:id="27">
    <w:p>
      <w:pPr>
        <w:pStyle w:val="FootnoteText"/>
      </w:pPr>
      <w:r>
        <w:rPr>
          <w:rStyle w:val="FootnoteReference"/>
        </w:rPr>
        <w:footnoteRef/>
      </w:r>
      <w:r>
        <w:tab/>
        <w:t>Uredba (EU) 2017/2396 Evropskega parlamenta in Sveta z dne 13. decembra 2017 o spremembi uredb (EU) št. 1316/2013 in (EU) 2015/1017 v zvezi s podaljšanjem obstoja Evropskega sklada za strateške naložbe ter uvedbo tehničnih izboljšav za ta sklad in Evropsko svetovalno vozlišče za naložbe (UL L 345, 27.12.2017, str. 34).</w:t>
      </w:r>
    </w:p>
  </w:footnote>
  <w:footnote w:id="28">
    <w:p>
      <w:pPr>
        <w:pStyle w:val="FootnoteText"/>
      </w:pPr>
      <w:r>
        <w:rPr>
          <w:rStyle w:val="FootnoteReference"/>
        </w:rPr>
        <w:footnoteRef/>
      </w:r>
      <w:r>
        <w:tab/>
        <w:t>Direktiva 2009/147/ES Evropskega parlamenta in Sveta z dne 30. novembra 2009 o ohranjanju prosto živečih ptic (UL L 020, 26.1.2010, str. 7).</w:t>
      </w:r>
    </w:p>
  </w:footnote>
  <w:footnote w:id="29">
    <w:p>
      <w:pPr>
        <w:pStyle w:val="FootnoteText"/>
      </w:pPr>
      <w:r>
        <w:rPr>
          <w:rStyle w:val="FootnoteReference"/>
        </w:rPr>
        <w:footnoteRef/>
      </w:r>
      <w:r>
        <w:tab/>
        <w:t>Direktiva Sveta 92/43/EGS z dne 21. maja 1992 o ohranjanju naravnih habitatov ter prosto živečih živalskih in rastlinskih vrst (UL L 206, 22.7.1992, str. 7).</w:t>
      </w:r>
    </w:p>
  </w:footnote>
  <w:footnote w:id="30">
    <w:p>
      <w:pPr>
        <w:pStyle w:val="FootnoteText"/>
      </w:pPr>
      <w:r>
        <w:rPr>
          <w:rStyle w:val="FootnoteReference"/>
        </w:rPr>
        <w:footnoteRef/>
      </w:r>
      <w:r>
        <w:tab/>
        <w:t>Uredba (EU) št. 1143/2014 Evropskega parlamenta in Sveta z dne 22. oktobra 2014 o preprečevanju in obvladovanju vnosa in širjenja invazivnih tujerodnih vrst (UL L 317, 4.11.2014, str. 35).</w:t>
      </w:r>
    </w:p>
  </w:footnote>
  <w:footnote w:id="31">
    <w:p>
      <w:pPr>
        <w:pStyle w:val="FootnoteText"/>
        <w:tabs>
          <w:tab w:val="left" w:pos="0"/>
        </w:tabs>
      </w:pPr>
      <w:r>
        <w:rPr>
          <w:rStyle w:val="FootnoteReference"/>
        </w:rPr>
        <w:footnoteRef/>
      </w:r>
      <w:r>
        <w:tab/>
        <w:t>Sporočilo Komisije Evropskemu parlamentu, Svetu, Evropskemu ekonomsko-socialnemu odboru in Odboru regij „Naše življenjsko zavarovanje, naš naravni kapital: strategija EU za biotsko raznovrstnost do leta 2020“ (COM(2011) 244 final).</w:t>
      </w:r>
    </w:p>
  </w:footnote>
  <w:footnote w:id="32">
    <w:p>
      <w:pPr>
        <w:pStyle w:val="FootnoteText"/>
      </w:pPr>
      <w:r>
        <w:rPr>
          <w:rStyle w:val="FootnoteReference"/>
        </w:rPr>
        <w:footnoteRef/>
      </w:r>
      <w:r>
        <w:tab/>
      </w:r>
      <w:r>
        <w:rPr>
          <w:rStyle w:val="Strong"/>
          <w:b w:val="0"/>
        </w:rPr>
        <w:t xml:space="preserve">Direktiva Sveta 91/676/EGS z dne 12. decembra 1991 o varstvu voda pred onesnaževanjem z nitrati iz kmetijskih virov </w:t>
      </w:r>
      <w:r>
        <w:t>(UL L 375, 31.12.1991, str. 1).</w:t>
      </w:r>
    </w:p>
  </w:footnote>
  <w:footnote w:id="33">
    <w:p>
      <w:pPr>
        <w:pStyle w:val="FootnoteText"/>
      </w:pPr>
      <w:r>
        <w:rPr>
          <w:rStyle w:val="FootnoteReference"/>
        </w:rPr>
        <w:footnoteRef/>
      </w:r>
      <w:r>
        <w:tab/>
      </w:r>
      <w:r>
        <w:rPr>
          <w:rStyle w:val="Strong"/>
          <w:b w:val="0"/>
        </w:rPr>
        <w:t>Uredba (EU) št. 511/2014 Evropskega parlamenta in Sveta z dne 16. aprila 2014 o ukrepih za izpolnjevanje obveznosti uporabnikov iz Nagojskega protokola o dostopu do genskih virov ter pošteni in pravični delitvi koristi, ki izhajajo iz njihove uporabe, v Uniji (</w:t>
      </w:r>
      <w:r>
        <w:t>UL L 150, 20.5.2014, str. 59).</w:t>
      </w:r>
    </w:p>
  </w:footnote>
  <w:footnote w:id="34">
    <w:p>
      <w:pPr>
        <w:pStyle w:val="FootnoteText"/>
      </w:pPr>
      <w:r>
        <w:rPr>
          <w:rStyle w:val="FootnoteReference"/>
        </w:rPr>
        <w:footnoteRef/>
      </w:r>
      <w:r>
        <w:tab/>
        <w:t>Uredba (EU) št. 995/2010 Evropskega parlamenta in Sveta z dne 20. oktobra 2010 o določitvi obveznosti gospodarskih subjektov, ki dajejo na trg les in lesne proizvode (UL L 295, 12.11.2010, str. 23).</w:t>
      </w:r>
    </w:p>
  </w:footnote>
  <w:footnote w:id="35">
    <w:p>
      <w:pPr>
        <w:pStyle w:val="FootnoteText"/>
      </w:pPr>
      <w:r>
        <w:rPr>
          <w:rStyle w:val="FootnoteReference"/>
        </w:rPr>
        <w:footnoteRef/>
      </w:r>
      <w:r>
        <w:tab/>
        <w:t>Sporočilo Komisije Svetu in Evropskemu parlamentu „Izvrševanje zakonodaje, upravljanje in trgovanje na področju gozdov (FLEGT): predlog akcijskega načrta EU“ (COM(2003) 251 final).</w:t>
      </w:r>
    </w:p>
  </w:footnote>
  <w:footnote w:id="36">
    <w:p>
      <w:pPr>
        <w:pStyle w:val="FootnoteText"/>
      </w:pPr>
      <w:r>
        <w:rPr>
          <w:rStyle w:val="FootnoteReference"/>
        </w:rPr>
        <w:footnoteRef/>
      </w:r>
      <w:r>
        <w:tab/>
        <w:t>Sporočilo Komisije Evropskemu parlamentu, Svetu, Evropskemu ekonomsko-socialnemu odboru in Odboru regij „Akcijski načrt EU za boj proti nezakoniti trgovini s prostoživečimi vrstami“ (COM(2016) 87 final).</w:t>
      </w:r>
    </w:p>
  </w:footnote>
  <w:footnote w:id="37">
    <w:p>
      <w:pPr>
        <w:pStyle w:val="FootnoteText"/>
      </w:pPr>
      <w:r>
        <w:rPr>
          <w:rStyle w:val="FootnoteReference"/>
        </w:rPr>
        <w:footnoteRef/>
      </w:r>
      <w:r>
        <w:tab/>
      </w:r>
      <w:r>
        <w:rPr>
          <w:rStyle w:val="Strong"/>
          <w:b w:val="0"/>
          <w:color w:val="444444"/>
        </w:rPr>
        <w:t>Uredba (ES) št. 66/2010 Evropskega parlamenta in Sveta z dne 25. novembra 2009 o znaku EU za okolje (</w:t>
      </w:r>
      <w:r>
        <w:rPr>
          <w:color w:val="444444"/>
        </w:rPr>
        <w:t>UL L 27, 30.1.2010, str. 1).</w:t>
      </w:r>
    </w:p>
  </w:footnote>
  <w:footnote w:id="38">
    <w:p>
      <w:pPr>
        <w:pStyle w:val="FootnoteText"/>
      </w:pPr>
      <w:r>
        <w:rPr>
          <w:rStyle w:val="FootnoteReference"/>
        </w:rPr>
        <w:footnoteRef/>
      </w:r>
      <w:r>
        <w:tab/>
        <w:t>Uredba (ES) št. 1221/2009 Evropskega parlamenta in Sveta z dne 25. novembra 2009 o prostovoljnem sodelovanju organizacij v Sistemu Skupnosti za okoljsko ravnanje in presojo (EMAS), razveljavitvi Uredbe (ES) št. 761/2001 ter odločb Komisije 2001/681/ES in 2006/193/ES (UL L 342, 22.12.2009, str. 1–45).</w:t>
      </w:r>
    </w:p>
  </w:footnote>
  <w:footnote w:id="39">
    <w:p>
      <w:pPr>
        <w:pStyle w:val="FootnoteText"/>
      </w:pPr>
      <w:r>
        <w:rPr>
          <w:rStyle w:val="FootnoteReference"/>
        </w:rPr>
        <w:footnoteRef/>
      </w:r>
      <w:r>
        <w:tab/>
        <w:t>Sporočilo Komisije Evropskemu parlamentu, Svetu, Evropskemu ekonomsko-socialnemu odboru in Odboru regij „Javna naročila za boljše okolje“ {SEC(2008) 2124} {SEC(2008) 2125} {SEC(2008) 2126} COM(2008) 400 final.</w:t>
      </w:r>
    </w:p>
  </w:footnote>
  <w:footnote w:id="40">
    <w:p>
      <w:pPr>
        <w:pStyle w:val="FootnoteText"/>
      </w:pPr>
      <w:r>
        <w:rPr>
          <w:rStyle w:val="FootnoteReference"/>
        </w:rPr>
        <w:footnoteRef/>
      </w:r>
      <w:r>
        <w:tab/>
        <w:t>2013/179/EU: Priporočilo Komisije z dne 9. aprila 2013 o uporabi skupnih metod za merjenje in sporočanje okoljske uspešnosti izdelkov in organizacij v njihovem življenjskem krogu (UL L 124, 4.5.2013, str. 1-210).</w:t>
      </w:r>
    </w:p>
  </w:footnote>
  <w:footnote w:id="41">
    <w:p>
      <w:pPr>
        <w:pStyle w:val="FootnoteText"/>
      </w:pPr>
      <w:r>
        <w:rPr>
          <w:rStyle w:val="FootnoteReference"/>
        </w:rPr>
        <w:footnoteRef/>
      </w:r>
      <w:r>
        <w:tab/>
        <w:t>Prilogi 4 in 5 k Uredbi (EU) št. 538/2014 Evropskega parlamenta in Sveta z dne 16. aprila 2014 o spremembi Uredbe (EU) št. 691/2011 o evropskih okoljsko-ekonomskih računih (UL L 158, 27.5.2014).</w:t>
      </w:r>
    </w:p>
  </w:footnote>
  <w:footnote w:id="42">
    <w:p>
      <w:pPr>
        <w:pStyle w:val="FootnoteText"/>
      </w:pPr>
      <w:r>
        <w:rPr>
          <w:rStyle w:val="FootnoteReference"/>
        </w:rPr>
        <w:footnoteRef/>
      </w:r>
      <w:r>
        <w:tab/>
      </w:r>
      <w:r>
        <w:rPr>
          <w:rStyle w:val="Strong"/>
          <w:b w:val="0"/>
        </w:rPr>
        <w:t>Direktiva 2001/42/ES Evropskega parlamenta in Sveta z dne 27. junija 2001 o presoji vplivov nekaterih načrtov in programov na okolje (</w:t>
      </w:r>
      <w:r>
        <w:t>UL L 197, 21.7.2001, str. 30).</w:t>
      </w:r>
    </w:p>
  </w:footnote>
  <w:footnote w:id="43">
    <w:p>
      <w:pPr>
        <w:pStyle w:val="FootnoteText"/>
      </w:pPr>
      <w:r>
        <w:rPr>
          <w:rStyle w:val="FootnoteReference"/>
        </w:rPr>
        <w:footnoteRef/>
      </w:r>
      <w:r>
        <w:tab/>
      </w:r>
      <w:r>
        <w:rPr>
          <w:rStyle w:val="Strong"/>
          <w:b w:val="0"/>
        </w:rPr>
        <w:t>Direktiva 2011/92/EU Evropskega parlamenta in Sveta z dne 13. decembra 2011 o presoji vplivov nekaterih javnih in zasebnih projektov na okolje (</w:t>
      </w:r>
      <w:r>
        <w:t>UL L 26, 28.1.2012, str. 1).</w:t>
      </w:r>
    </w:p>
  </w:footnote>
  <w:footnote w:id="44">
    <w:p>
      <w:pPr>
        <w:pStyle w:val="FootnoteText"/>
      </w:pPr>
      <w:r>
        <w:rPr>
          <w:rStyle w:val="FootnoteReference"/>
        </w:rPr>
        <w:footnoteRef/>
      </w:r>
      <w:r>
        <w:tab/>
      </w:r>
      <w:r>
        <w:rPr>
          <w:rStyle w:val="Strong"/>
          <w:b w:val="0"/>
        </w:rPr>
        <w:t>Direktiva 2014/23/EU Evropskega parlamenta in Sveta z dne 26. februarja 2014 o podeljevanju koncesijskih pogodb (</w:t>
      </w:r>
      <w:r>
        <w:t>UL L 94, 28.3.2014, str. 1).</w:t>
      </w:r>
    </w:p>
  </w:footnote>
  <w:footnote w:id="45">
    <w:p>
      <w:pPr>
        <w:pStyle w:val="FootnoteText"/>
        <w:rPr>
          <w:u w:val="single"/>
        </w:rPr>
      </w:pPr>
      <w:r>
        <w:rPr>
          <w:rStyle w:val="FootnoteReference"/>
        </w:rPr>
        <w:footnoteRef/>
      </w:r>
      <w:r>
        <w:tab/>
      </w:r>
      <w:r>
        <w:rPr>
          <w:rStyle w:val="Strong"/>
          <w:b w:val="0"/>
        </w:rPr>
        <w:t>Direktiva 2014/24/EU Evropskega parlamenta in Sveta z dne 26. februarja 2014 o javnem naročanju in razveljavitvi Direktive 2004/18/ES (</w:t>
      </w:r>
      <w:r>
        <w:t>UL L 94, 28.3.2014, str. 65).</w:t>
      </w:r>
    </w:p>
  </w:footnote>
  <w:footnote w:id="46">
    <w:p>
      <w:pPr>
        <w:pStyle w:val="FootnoteText"/>
      </w:pPr>
      <w:r>
        <w:rPr>
          <w:rStyle w:val="FootnoteReference"/>
        </w:rPr>
        <w:footnoteRef/>
      </w:r>
      <w:r>
        <w:tab/>
      </w:r>
      <w:r>
        <w:rPr>
          <w:rStyle w:val="Strong"/>
          <w:b w:val="0"/>
        </w:rPr>
        <w:t>Direktiva 2014/25/EU Evropskega parlamenta in Sveta z dne 26. februarja 2014 o javnem naročanju naročnikov, ki opravljajo dejavnosti v vodnem, energetskem in prometnem sektorju ter sektorju poštnih storitev ter o razveljavitvi Direktive 2004/17/ES (</w:t>
      </w:r>
      <w:r>
        <w:t>UL L 94, 28.3.2014, str. 243).</w:t>
      </w:r>
    </w:p>
  </w:footnote>
  <w:footnote w:id="47">
    <w:p>
      <w:pPr>
        <w:pStyle w:val="FootnoteText"/>
      </w:pPr>
      <w:r>
        <w:rPr>
          <w:rStyle w:val="FootnoteReference"/>
        </w:rPr>
        <w:footnoteRef/>
      </w:r>
      <w:r>
        <w:tab/>
        <w:t>https://www.unpri.org/download?ac=1534.</w:t>
      </w:r>
    </w:p>
  </w:footnote>
  <w:footnote w:id="48">
    <w:p>
      <w:pPr>
        <w:pStyle w:val="FootnoteText"/>
      </w:pPr>
      <w:r>
        <w:rPr>
          <w:rStyle w:val="FootnoteReference"/>
        </w:rPr>
        <w:footnoteRef/>
      </w:r>
      <w:r>
        <w:tab/>
        <w:t>COM(2018) 97 final.</w:t>
      </w:r>
    </w:p>
  </w:footnote>
  <w:footnote w:id="49">
    <w:p>
      <w:pPr>
        <w:pStyle w:val="FootnoteText"/>
      </w:pPr>
      <w:r>
        <w:rPr>
          <w:rStyle w:val="FootnoteReference"/>
        </w:rPr>
        <w:footnoteRef/>
      </w:r>
      <w:r>
        <w:tab/>
        <w:t>Uredba (EU) št. 525/2013 Evropskega parlamenta in Sveta o mehanizmu za spremljanje emisij toplogrednih plinov in poročanje o njih ter za sporočanje drugih informacij v zvezi s podnebnimi spremembami na nacionalni ravni in ravni Unije ter o razveljavitvi Sklepa št. 280/2004/ES (UL L 165, 18.6.2013, str. 13).</w:t>
      </w:r>
    </w:p>
  </w:footnote>
  <w:footnote w:id="50">
    <w:p>
      <w:pPr>
        <w:pStyle w:val="FootnoteText"/>
      </w:pPr>
      <w:r>
        <w:rPr>
          <w:rStyle w:val="FootnoteReference"/>
        </w:rPr>
        <w:footnoteRef/>
      </w:r>
      <w:r>
        <w:tab/>
        <w:t>Direktiva 2008/98/ES Evropskega parlamenta in Sveta z dne 19. novembra 2008 o odpadkih in razveljavitvi nekaterih direktiv (UL L 312, 22.11.2008, str. 3).</w:t>
      </w:r>
    </w:p>
  </w:footnote>
  <w:footnote w:id="51">
    <w:p>
      <w:pPr>
        <w:pStyle w:val="FootnoteText"/>
      </w:pPr>
      <w:r>
        <w:rPr>
          <w:rStyle w:val="FootnoteReference"/>
        </w:rPr>
        <w:footnoteRef/>
      </w:r>
      <w:r>
        <w:tab/>
        <w:t>Direktiva 2008/56/ES Evropskega parlamenta in Sveta z dne 17. junija 2008 o določitvi okvira za ukrepe Skupnosti na področju politike morskega okolja (Okvirna direktiva o morski strategiji) (UL L 164, 25.6.2008, str. 19–40).</w:t>
      </w:r>
    </w:p>
  </w:footnote>
  <w:footnote w:id="52">
    <w:p>
      <w:pPr>
        <w:pStyle w:val="FootnoteText"/>
      </w:pPr>
      <w:r>
        <w:rPr>
          <w:rStyle w:val="FootnoteReference"/>
        </w:rPr>
        <w:footnoteRef/>
      </w:r>
      <w:r>
        <w:tab/>
      </w:r>
      <w:r>
        <w:rPr>
          <w:rStyle w:val="Strong"/>
          <w:b w:val="0"/>
          <w:color w:val="444444"/>
          <w:sz w:val="19"/>
        </w:rPr>
        <w:t>Direktiva 2000/60/ES Evropskega parlamenta in Sveta z dne 23. oktobra 2000 o določitvi okvira za ukrepe Skupnosti na področju vodne politike (</w:t>
      </w:r>
      <w:r>
        <w:rPr>
          <w:color w:val="444444"/>
        </w:rPr>
        <w:t>UL L 327, 22.12.2000, str. 1).</w:t>
      </w:r>
    </w:p>
  </w:footnote>
  <w:footnote w:id="53">
    <w:p>
      <w:pPr>
        <w:pStyle w:val="FootnoteText"/>
      </w:pPr>
      <w:r>
        <w:rPr>
          <w:rStyle w:val="FootnoteReference"/>
        </w:rPr>
        <w:footnoteRef/>
      </w:r>
      <w:r>
        <w:tab/>
        <w:t>Direktiva Sveta 91/271/EGS z dne 21. maja 1991 o čiščenju komunalne odpadne vode (UL L 135, 30.5.1991, str. 40).</w:t>
      </w:r>
    </w:p>
  </w:footnote>
  <w:footnote w:id="54">
    <w:p>
      <w:pPr>
        <w:pStyle w:val="FootnoteText"/>
      </w:pPr>
      <w:r>
        <w:rPr>
          <w:rStyle w:val="FootnoteReference"/>
        </w:rPr>
        <w:footnoteRef/>
      </w:r>
      <w:r>
        <w:tab/>
        <w:t xml:space="preserve">Direktiva Sveta 98/83/ES z dne 3. novembra 1998 o kakovosti vode, namenjene za prehrano ljudi (UL L 330, 5.12.1998, str. 32). </w:t>
      </w:r>
    </w:p>
  </w:footnote>
  <w:footnote w:id="55">
    <w:p>
      <w:pPr>
        <w:pStyle w:val="FootnoteText"/>
      </w:pPr>
      <w:r>
        <w:rPr>
          <w:rStyle w:val="FootnoteReference"/>
        </w:rPr>
        <w:footnoteRef/>
      </w:r>
      <w:r>
        <w:tab/>
        <w:t>Sklep Komisije (EU) 2017/848 z dne 17. maja 2017 o merilih in metodoloških standardih na področju dobrega okoljskega stanja morskih voda ter specifikacijah in standardiziranih metodah za spremljanje ter presojo in razveljavitvi Sklepa 2010/477/EU (UL L 125, 18.5.2017, str. 43).</w:t>
      </w:r>
    </w:p>
  </w:footnote>
  <w:footnote w:id="56">
    <w:p>
      <w:pPr>
        <w:pStyle w:val="FootnoteText"/>
        <w:rPr>
          <w:szCs w:val="24"/>
        </w:rPr>
      </w:pPr>
      <w:r>
        <w:rPr>
          <w:rStyle w:val="FootnoteReference"/>
        </w:rPr>
        <w:footnoteRef/>
      </w:r>
      <w:r>
        <w:tab/>
        <w:t>Po členu 54(2)(a) oz. (b) finančne uredbe.</w:t>
      </w:r>
    </w:p>
  </w:footnote>
  <w:footnote w:id="57">
    <w:p>
      <w:pPr>
        <w:pStyle w:val="FootnoteText"/>
        <w:rPr>
          <w:szCs w:val="24"/>
        </w:rPr>
      </w:pPr>
      <w:r>
        <w:rPr>
          <w:rStyle w:val="FootnoteReference"/>
        </w:rPr>
        <w:footnoteRef/>
      </w:r>
      <w:r>
        <w:tab/>
        <w:t xml:space="preserve">Pojasnila o načinih upravljanja in sklici na finančno uredbo so na voljo na spletišču BudgWeb: </w:t>
      </w:r>
      <w:hyperlink r:id="rId5">
        <w:r>
          <w:rPr>
            <w:rStyle w:val="Hyperlink"/>
          </w:rPr>
          <w:t>https://myintracomm.ec.europa.eu/budgweb/EN/man/budgmanag/Pages/budgmanag.aspx</w:t>
        </w:r>
      </w:hyperlink>
      <w:r>
        <w:t>.</w:t>
      </w:r>
    </w:p>
  </w:footnote>
  <w:footnote w:id="58">
    <w:p>
      <w:pPr>
        <w:pStyle w:val="FootnoteText"/>
        <w:rPr>
          <w:szCs w:val="24"/>
        </w:rPr>
      </w:pPr>
      <w:r>
        <w:rPr>
          <w:rStyle w:val="FootnoteReference"/>
        </w:rPr>
        <w:footnoteRef/>
      </w:r>
      <w:r>
        <w:tab/>
        <w:t>Dif. = diferencirana sredstva / nedif. = nediferencirana sredstva.</w:t>
      </w:r>
    </w:p>
  </w:footnote>
  <w:footnote w:id="59">
    <w:p>
      <w:pPr>
        <w:pStyle w:val="FootnoteText"/>
        <w:rPr>
          <w:szCs w:val="24"/>
        </w:rPr>
      </w:pPr>
      <w:r>
        <w:rPr>
          <w:rStyle w:val="FootnoteReference"/>
        </w:rPr>
        <w:footnoteRef/>
      </w:r>
      <w:r>
        <w:tab/>
        <w:t xml:space="preserve">Efta: Evropsko združenje za prosto trgovino. </w:t>
      </w:r>
    </w:p>
  </w:footnote>
  <w:footnote w:id="60">
    <w:p>
      <w:pPr>
        <w:pStyle w:val="FootnoteText"/>
        <w:rPr>
          <w:szCs w:val="24"/>
        </w:rPr>
      </w:pPr>
      <w:r>
        <w:rPr>
          <w:rStyle w:val="FootnoteReference"/>
        </w:rPr>
        <w:footnoteRef/>
      </w:r>
      <w:r>
        <w:tab/>
        <w:t>Države kandidatke in po potrebi potencialne kandidatke z Zahodnega Balkana.</w:t>
      </w:r>
    </w:p>
  </w:footnote>
  <w:footnote w:id="61">
    <w:p>
      <w:pPr>
        <w:pStyle w:val="FootnoteText"/>
        <w:rPr>
          <w:szCs w:val="24"/>
        </w:rPr>
      </w:pPr>
      <w:r>
        <w:rPr>
          <w:rStyle w:val="FootnoteReference"/>
        </w:rPr>
        <w:footnoteRef/>
      </w:r>
      <w:r>
        <w:tab/>
        <w:t>Dif. = diferencirana sredstva / nedif. = nediferencirana sredstva.</w:t>
      </w:r>
    </w:p>
  </w:footnote>
  <w:footnote w:id="62">
    <w:p>
      <w:pPr>
        <w:pStyle w:val="FootnoteText"/>
        <w:rPr>
          <w:szCs w:val="24"/>
        </w:rPr>
      </w:pPr>
      <w:r>
        <w:rPr>
          <w:rStyle w:val="FootnoteReference"/>
        </w:rPr>
        <w:footnoteRef/>
      </w:r>
      <w:r>
        <w:tab/>
        <w:t xml:space="preserve">Efta: Evropsko združenje za prosto trgovino. </w:t>
      </w:r>
    </w:p>
  </w:footnote>
  <w:footnote w:id="63">
    <w:p>
      <w:pPr>
        <w:pStyle w:val="FootnoteText"/>
        <w:rPr>
          <w:szCs w:val="24"/>
        </w:rPr>
      </w:pPr>
      <w:r>
        <w:rPr>
          <w:rStyle w:val="FootnoteReference"/>
        </w:rPr>
        <w:footnoteRef/>
      </w:r>
      <w:r>
        <w:tab/>
        <w:t>Države kandidatke in po potrebi potencialne kandidatke z Zahodnega Balkana.</w:t>
      </w:r>
    </w:p>
  </w:footnote>
  <w:footnote w:id="64">
    <w:p>
      <w:pPr>
        <w:pStyle w:val="FootnoteText"/>
        <w:rPr>
          <w:szCs w:val="24"/>
        </w:rPr>
      </w:pPr>
      <w:r>
        <w:rPr>
          <w:rStyle w:val="FootnoteReference"/>
        </w:rPr>
        <w:footnoteRef/>
      </w:r>
      <w:r>
        <w:tab/>
        <w:t>Dif. = diferencirana sredstva / nedif. = nediferencirana sredstva.</w:t>
      </w:r>
    </w:p>
  </w:footnote>
  <w:footnote w:id="65">
    <w:p>
      <w:pPr>
        <w:pStyle w:val="FootnoteText"/>
        <w:rPr>
          <w:szCs w:val="24"/>
        </w:rPr>
      </w:pPr>
      <w:r>
        <w:rPr>
          <w:rStyle w:val="FootnoteReference"/>
        </w:rPr>
        <w:footnoteRef/>
      </w:r>
      <w:r>
        <w:tab/>
        <w:t xml:space="preserve">Efta: Evropsko združenje za prosto trgovino. </w:t>
      </w:r>
    </w:p>
  </w:footnote>
  <w:footnote w:id="66">
    <w:p>
      <w:pPr>
        <w:pStyle w:val="FootnoteText"/>
        <w:rPr>
          <w:szCs w:val="24"/>
        </w:rPr>
      </w:pPr>
      <w:r>
        <w:rPr>
          <w:rStyle w:val="FootnoteReference"/>
        </w:rPr>
        <w:footnoteRef/>
      </w:r>
      <w:r>
        <w:tab/>
        <w:t>Države kandidatke in po potrebi potencialne kandidatke z Zahodnega Balkana.</w:t>
      </w:r>
    </w:p>
  </w:footnote>
  <w:footnote w:id="67">
    <w:p>
      <w:pPr>
        <w:pStyle w:val="FootnoteText"/>
      </w:pPr>
      <w:r>
        <w:rPr>
          <w:rStyle w:val="FootnoteReference"/>
        </w:rPr>
        <w:footnoteRef/>
      </w:r>
      <w:r>
        <w:tab/>
        <w:t>Majhne razlike v skupnem znesku so posledica zaokroževanja številk na tri decimalna mesta.</w:t>
      </w:r>
    </w:p>
  </w:footnote>
  <w:footnote w:id="68">
    <w:p>
      <w:pPr>
        <w:pStyle w:val="FootnoteText"/>
        <w:jc w:val="left"/>
      </w:pPr>
      <w:r>
        <w:rPr>
          <w:rStyle w:val="FootnoteReference"/>
        </w:rPr>
        <w:footnoteRef/>
      </w:r>
      <w:r>
        <w:tab/>
        <w:t>Odhodki za obdobje po letu 2020 so skladni s predlogi Komisije za naslednji večletni finančni okvir (2021–2027), objavljenimi 2. maja 2018.</w:t>
      </w:r>
    </w:p>
  </w:footnote>
  <w:footnote w:id="69">
    <w:p>
      <w:pPr>
        <w:pStyle w:val="FootnoteText"/>
      </w:pPr>
      <w:r>
        <w:rPr>
          <w:rStyle w:val="FootnoteReference"/>
        </w:rPr>
        <w:footnoteRef/>
      </w:r>
      <w:r>
        <w:tab/>
        <w:t>Števila let za dokončanje delovanja platforme trenutno ni mogoče oceniti, zato preglednica kaže vpliv na odhodke le za prva štiri leta obstoja platforme. Pričakuje se, da bo platforma obstajala vsaj v obdobju prihodnjega večletnega finančnega okvira (tj. do leta 2027).</w:t>
      </w:r>
    </w:p>
  </w:footnote>
  <w:footnote w:id="70">
    <w:p>
      <w:pPr>
        <w:pStyle w:val="FootnoteText"/>
      </w:pPr>
      <w:r>
        <w:rPr>
          <w:rStyle w:val="FootnoteReference"/>
        </w:rPr>
        <w:footnoteRef/>
      </w:r>
      <w:r>
        <w:tab/>
        <w:t>Odhodki za obdobje po letu 2020 so skladni s predlogi Komisije za naslednji večletni finančni okvir (2021–2027), objavljenimi 2. maja 2018.</w:t>
      </w:r>
    </w:p>
  </w:footnote>
  <w:footnote w:id="71">
    <w:p>
      <w:pPr>
        <w:pStyle w:val="FootnoteText"/>
      </w:pPr>
      <w:r>
        <w:rPr>
          <w:rStyle w:val="FootnoteReference"/>
        </w:rPr>
        <w:footnoteRef/>
      </w:r>
      <w:r>
        <w:tab/>
        <w:t>Števila let za dokončanje delovanja platforme trenutno ni mogoče oceniti, zato preglednica kaže vpliv na odhodke le za prva štiri leta obstoja platforme. Pričakuje se, da bo platforma obstajala vsaj v obdobju prihodnjega večletnega finančnega okvira (tj. do leta 2027).</w:t>
      </w:r>
    </w:p>
  </w:footnote>
  <w:footnote w:id="72">
    <w:p>
      <w:pPr>
        <w:pStyle w:val="FootnoteText"/>
        <w:rPr>
          <w:szCs w:val="24"/>
        </w:rPr>
      </w:pPr>
      <w:r>
        <w:rPr>
          <w:rStyle w:val="FootnoteReference"/>
        </w:rPr>
        <w:footnoteRef/>
      </w:r>
      <w:r>
        <w:tab/>
        <w:t>Realizacije so dobavljeni proizvodi in opravljene storitve (npr. število financiranih izmenjav študentov, število kilometrov novozgrajenih cest itd.).</w:t>
      </w:r>
    </w:p>
  </w:footnote>
  <w:footnote w:id="73">
    <w:p>
      <w:pPr>
        <w:pStyle w:val="FootnoteText"/>
        <w:rPr>
          <w:szCs w:val="24"/>
        </w:rPr>
      </w:pPr>
      <w:r>
        <w:rPr>
          <w:rStyle w:val="FootnoteReference"/>
        </w:rPr>
        <w:footnoteRef/>
      </w:r>
      <w:r>
        <w:tab/>
        <w:t>Kot je opisano v točki 1.4.2. „Specifični cilji …“.</w:t>
      </w:r>
    </w:p>
  </w:footnote>
  <w:footnote w:id="74">
    <w:p>
      <w:pPr>
        <w:pStyle w:val="FootnoteText"/>
        <w:rPr>
          <w:szCs w:val="24"/>
        </w:rPr>
      </w:pPr>
      <w:r>
        <w:rPr>
          <w:rStyle w:val="FootnoteReference"/>
        </w:rPr>
        <w:footnoteRef/>
      </w:r>
      <w:r>
        <w:tab/>
        <w:t>Realizacije so dobavljeni proizvodi in opravljene storitve (npr. število financiranih izmenjav študentov, število kilometrov novozgrajenih cest itd.).</w:t>
      </w:r>
    </w:p>
  </w:footnote>
  <w:footnote w:id="75">
    <w:p>
      <w:pPr>
        <w:pStyle w:val="FootnoteText"/>
        <w:rPr>
          <w:szCs w:val="24"/>
        </w:rPr>
      </w:pPr>
      <w:r>
        <w:rPr>
          <w:rStyle w:val="FootnoteReference"/>
        </w:rPr>
        <w:footnoteRef/>
      </w:r>
      <w:r>
        <w:tab/>
        <w:t>Kot je opisano v točki 1.4.2. „Specifični cilji …“.</w:t>
      </w:r>
    </w:p>
  </w:footnote>
  <w:footnote w:id="76">
    <w:p>
      <w:pPr>
        <w:pStyle w:val="FootnoteText"/>
        <w:rPr>
          <w:szCs w:val="24"/>
        </w:rPr>
      </w:pPr>
      <w:r>
        <w:rPr>
          <w:rStyle w:val="FootnoteReference"/>
        </w:rPr>
        <w:footnoteRef/>
      </w:r>
      <w:r>
        <w:tab/>
        <w:t>Realizacije so dobavljeni proizvodi in opravljene storitve (npr. število financiranih izmenjav študentov, število kilometrov novozgrajenih cest itd.).</w:t>
      </w:r>
    </w:p>
  </w:footnote>
  <w:footnote w:id="77">
    <w:p>
      <w:pPr>
        <w:pStyle w:val="FootnoteText"/>
        <w:rPr>
          <w:szCs w:val="24"/>
        </w:rPr>
      </w:pPr>
      <w:r>
        <w:rPr>
          <w:rStyle w:val="FootnoteReference"/>
        </w:rPr>
        <w:footnoteRef/>
      </w:r>
      <w:r>
        <w:tab/>
        <w:t>Kot je opisano v točki 1.4.2. „Specifični cilji …“.</w:t>
      </w:r>
    </w:p>
  </w:footnote>
  <w:footnote w:id="78">
    <w:p>
      <w:pPr>
        <w:pStyle w:val="FootnoteText"/>
        <w:rPr>
          <w:szCs w:val="24"/>
        </w:rPr>
      </w:pPr>
      <w:r>
        <w:rPr>
          <w:rStyle w:val="FootnoteReference"/>
        </w:rPr>
        <w:footnoteRef/>
      </w:r>
      <w:r>
        <w:tab/>
        <w:t>Realizacije so dobavljeni proizvodi in opravljene storitve (npr. število financiranih izmenjav študentov, število kilometrov novozgrajenih cest itd.).</w:t>
      </w:r>
    </w:p>
  </w:footnote>
  <w:footnote w:id="79">
    <w:p>
      <w:pPr>
        <w:pStyle w:val="FootnoteText"/>
        <w:rPr>
          <w:szCs w:val="24"/>
        </w:rPr>
      </w:pPr>
      <w:r>
        <w:rPr>
          <w:rStyle w:val="FootnoteReference"/>
        </w:rPr>
        <w:footnoteRef/>
      </w:r>
      <w:r>
        <w:tab/>
        <w:t>Kot je opisano v točki 1.4.2. „Specifični cilji …“.</w:t>
      </w:r>
    </w:p>
  </w:footnote>
  <w:footnote w:id="80">
    <w:p>
      <w:pPr>
        <w:pStyle w:val="FootnoteText"/>
        <w:rPr>
          <w:szCs w:val="24"/>
        </w:rPr>
      </w:pPr>
      <w:r>
        <w:rPr>
          <w:rStyle w:val="FootnoteReference"/>
        </w:rPr>
        <w:footnoteRef/>
      </w:r>
      <w:r>
        <w:tab/>
        <w:t>Realizacije so dobavljeni proizvodi in opravljene storitve (npr. število financiranih izmenjav študentov, število kilometrov novozgrajenih cest itd.).</w:t>
      </w:r>
    </w:p>
  </w:footnote>
  <w:footnote w:id="81">
    <w:p>
      <w:pPr>
        <w:pStyle w:val="FootnoteText"/>
        <w:rPr>
          <w:szCs w:val="24"/>
        </w:rPr>
      </w:pPr>
      <w:r>
        <w:rPr>
          <w:rStyle w:val="FootnoteReference"/>
        </w:rPr>
        <w:footnoteRef/>
      </w:r>
      <w:r>
        <w:tab/>
        <w:t>Kot je opisano v točki 1.4.2. „Specifični cilji …“.</w:t>
      </w:r>
    </w:p>
  </w:footnote>
  <w:footnote w:id="82">
    <w:p>
      <w:pPr>
        <w:pStyle w:val="FootnoteText"/>
        <w:rPr>
          <w:szCs w:val="24"/>
        </w:rPr>
      </w:pPr>
      <w:r>
        <w:rPr>
          <w:rStyle w:val="FootnoteReference"/>
        </w:rPr>
        <w:footnoteRef/>
      </w:r>
      <w:r>
        <w:tab/>
        <w:t>Realizacije so dobavljeni proizvodi in opravljene storitve (npr. število financiranih izmenjav študentov, število kilometrov novozgrajenih cest itd.).</w:t>
      </w:r>
    </w:p>
  </w:footnote>
  <w:footnote w:id="83">
    <w:p>
      <w:pPr>
        <w:pStyle w:val="FootnoteText"/>
      </w:pPr>
      <w:r>
        <w:rPr>
          <w:rStyle w:val="FootnoteReference"/>
        </w:rPr>
        <w:footnoteRef/>
      </w:r>
      <w:r>
        <w:tab/>
        <w:t>Odhodki za obdobje po letu 2020 so skladni s predlogi Komisije za naslednji večletni finančni okvir (2021–2027), objavljenimi 2. maja 2018.</w:t>
      </w:r>
    </w:p>
  </w:footnote>
  <w:footnote w:id="84">
    <w:p>
      <w:pPr>
        <w:pStyle w:val="FootnoteText"/>
      </w:pPr>
      <w:r>
        <w:rPr>
          <w:rStyle w:val="FootnoteReference"/>
        </w:rPr>
        <w:footnoteRef/>
      </w:r>
      <w:r>
        <w:tab/>
        <w:t xml:space="preserve">Števila let za dokončanje delovanja platforme trenutno ni mogoče oceniti, zato preglednica kaže vpliv na odhodke le za prva štiri leta obstoja platforme. Pričakuje se, da bo platforma obstajala vsaj v obdobju prihodnjega večletnega finančnega okvira (tj. do leta 2027). </w:t>
      </w:r>
    </w:p>
  </w:footnote>
  <w:footnote w:id="85">
    <w:p>
      <w:pPr>
        <w:pStyle w:val="FootnoteText"/>
      </w:pPr>
      <w:r>
        <w:rPr>
          <w:rStyle w:val="FootnoteReference"/>
        </w:rPr>
        <w:footnoteRef/>
      </w:r>
      <w:r>
        <w:tab/>
        <w:t>Potrebe po človeških virih se krijejo z osebjem GD, ki je že dodeljeno za upravljanje ukrepa in/ali je bilo prerazporejeno znotraj GD, po potrebi skupaj z dodatnimi viri, ki se lahko pristojnemu GD dodelijo v okviru postopka letne dodelitve virov glede na proračunske omejitve.</w:t>
      </w:r>
    </w:p>
  </w:footnote>
  <w:footnote w:id="86">
    <w:p>
      <w:pPr>
        <w:pStyle w:val="FootnoteText"/>
        <w:rPr>
          <w:szCs w:val="24"/>
        </w:rPr>
      </w:pPr>
      <w:r>
        <w:rPr>
          <w:rStyle w:val="FootnoteReference"/>
        </w:rPr>
        <w:footnoteRef/>
      </w:r>
      <w:r>
        <w:tab/>
      </w:r>
    </w:p>
  </w:footnote>
  <w:footnote w:id="87">
    <w:p>
      <w:pPr>
        <w:pStyle w:val="FootnoteText"/>
      </w:pPr>
      <w:r>
        <w:rPr>
          <w:rStyle w:val="FootnoteReference"/>
        </w:rPr>
        <w:footnoteRef/>
      </w:r>
      <w:r>
        <w:tab/>
        <w:t>Odhodki za obdobje po letu 2020 so skladni s predlogi Komisije za naslednji večletni finančni okvir (2021–2027), objavljenimi 2. maja 2018.</w:t>
      </w:r>
    </w:p>
  </w:footnote>
  <w:footnote w:id="88">
    <w:p>
      <w:pPr>
        <w:pStyle w:val="FootnoteText"/>
      </w:pPr>
      <w:r>
        <w:rPr>
          <w:rStyle w:val="FootnoteReference"/>
        </w:rPr>
        <w:footnoteRef/>
      </w:r>
      <w:r>
        <w:tab/>
        <w:t>Števila let za dokončanje delovanja platforme trenutno ni mogoče oceniti, zato preglednica kaže vpliv na odhodke le za prva štiri leta obstoja platforme. Pričakuje se, da bo platforma obstajala vsaj v obdobju prihodnjega večletnega finančnega okvira (tj. do leta 2027).</w:t>
      </w:r>
    </w:p>
  </w:footnote>
  <w:footnote w:id="89">
    <w:p>
      <w:pPr>
        <w:pStyle w:val="FootnoteText"/>
      </w:pPr>
      <w:r>
        <w:rPr>
          <w:rStyle w:val="FootnoteReference"/>
        </w:rPr>
        <w:footnoteRef/>
      </w:r>
      <w:r>
        <w:tab/>
        <w:t>Potrebe po človeških virih se krijejo z osebjem GD, ki je že dodeljeno za upravljanje ukrepa in/ali je bilo prerazporejeno znotraj GD, po potrebi skupaj z dodatnimi viri, ki se lahko pristojnemu GD dodelijo v okviru postopka letne dodelitve virov glede na proračunske omejitve.</w:t>
      </w:r>
    </w:p>
  </w:footnote>
  <w:footnote w:id="90">
    <w:p>
      <w:pPr>
        <w:pStyle w:val="FootnoteText"/>
        <w:rPr>
          <w:szCs w:val="24"/>
        </w:rPr>
      </w:pPr>
      <w:r>
        <w:rPr>
          <w:rStyle w:val="FootnoteReference"/>
        </w:rPr>
        <w:footnoteRef/>
      </w:r>
      <w:r>
        <w:tab/>
        <w:t xml:space="preserve">PU = pogodbeni uslužbenec; LU = lokalni uslužbenec; NNS = napoteni nacionalni strokovnjak; ZU = začasni uslužbenec; MSD = mladi strokovnjak na delegaciji. </w:t>
      </w:r>
    </w:p>
  </w:footnote>
  <w:footnote w:id="91">
    <w:p>
      <w:pPr>
        <w:pStyle w:val="FootnoteText"/>
        <w:rPr>
          <w:szCs w:val="24"/>
        </w:rPr>
      </w:pPr>
      <w:r>
        <w:rPr>
          <w:rStyle w:val="FootnoteReference"/>
        </w:rPr>
        <w:footnoteRef/>
      </w:r>
      <w:r>
        <w:tab/>
        <w:t>Dodatna zgornja meja za zunanje sodelavce v okviru odobritev za poslovanje (prej vrstice BA).</w:t>
      </w:r>
    </w:p>
  </w:footnote>
  <w:footnote w:id="92">
    <w:p>
      <w:pPr>
        <w:pStyle w:val="FootnoteText"/>
        <w:rPr>
          <w:szCs w:val="24"/>
        </w:rPr>
      </w:pPr>
      <w:r>
        <w:rPr>
          <w:rStyle w:val="FootnoteReference"/>
        </w:rPr>
        <w:footnoteRef/>
      </w:r>
      <w:r>
        <w:tab/>
        <w:t>Zlasti za strukturna sklada, Evropski kmetijski sklad za razvoj podeželja (EKSRP) in Evropski sklad za ribištvo (ESR).</w:t>
      </w:r>
    </w:p>
  </w:footnote>
  <w:footnote w:id="93">
    <w:p>
      <w:pPr>
        <w:pStyle w:val="FootnoteText"/>
        <w:rPr>
          <w:szCs w:val="24"/>
        </w:rPr>
      </w:pPr>
      <w:r>
        <w:rPr>
          <w:rStyle w:val="FootnoteReference"/>
        </w:rPr>
        <w:footnoteRef/>
      </w:r>
      <w:r>
        <w:tab/>
        <w:t>Glej člena 11 in 17 Uredbe Sveta (EU, Euratom) št. 1311/2013 o večletnem finančnem okviru za obdobje 2014–2020.</w:t>
      </w:r>
    </w:p>
  </w:footnote>
  <w:footnote w:id="94">
    <w:p>
      <w:pPr>
        <w:pStyle w:val="FootnoteText"/>
      </w:pPr>
      <w:r>
        <w:rPr>
          <w:rStyle w:val="FootnoteReference"/>
        </w:rPr>
        <w:footnoteRef/>
      </w:r>
      <w:r>
        <w:tab/>
        <w:t xml:space="preserve">Na podlagi sedanjih načinov upravljanja in financiranja (tj. 60 % sofinancirajo nacionalni pristojni organi držav članic in 40 % prispeva EU), ki ne upoštevajo predloga Komisije o pregledu evropskih nadzornih organov, ki še ni bil sprejet. </w:t>
      </w:r>
    </w:p>
  </w:footnote>
  <w:footnote w:id="95">
    <w:p>
      <w:pPr>
        <w:pStyle w:val="FootnoteText"/>
      </w:pPr>
      <w:r>
        <w:rPr>
          <w:rStyle w:val="FootnoteReference"/>
        </w:rPr>
        <w:footnoteRef/>
      </w:r>
      <w:r>
        <w:tab/>
        <w:t xml:space="preserve">Odhodki za obdobje po letu 2020 so skladni s predlogi Komisije za naslednji večletni finančni okvir (2021–2027), objavljenimi 2. maja 2018. </w:t>
      </w:r>
    </w:p>
  </w:footnote>
  <w:footnote w:id="96">
    <w:p>
      <w:pPr>
        <w:pStyle w:val="FootnoteText"/>
      </w:pPr>
      <w:r>
        <w:rPr>
          <w:rStyle w:val="FootnoteReference"/>
        </w:rPr>
        <w:footnoteRef/>
      </w:r>
      <w:r>
        <w:tab/>
        <w:t>Števila let za dokončanje delovanja platforme trenutno ni mogoče oceniti, zato preglednica kaže vpliv na odhodke le za prva štiri leta obstoja platforme. Pričakuje se, da bo platforma obstajala vsaj v obdobju prihodnjega večletnega finančnega okvira (tj. do leta 2027).</w:t>
      </w:r>
    </w:p>
  </w:footnote>
  <w:footnote w:id="97">
    <w:p>
      <w:pPr>
        <w:pStyle w:val="FootnoteText"/>
        <w:rPr>
          <w:szCs w:val="24"/>
        </w:rPr>
      </w:pPr>
      <w:r>
        <w:rPr>
          <w:rStyle w:val="FootnoteReference"/>
        </w:rPr>
        <w:footnoteRef/>
      </w:r>
      <w:r>
        <w:tab/>
        <w:t>Pri tradicionalnih lastnih sredstvih (carine, prelevmani na sladkor) se navedejo neto zneski, tj. bruto zneski po odbitku 20 % stroškov pobiranja.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5E28C186"/>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AD341C1A"/>
    <w:lvl w:ilvl="0">
      <w:start w:val="1"/>
      <w:numFmt w:val="decimal"/>
      <w:pStyle w:val="ListNumber3"/>
      <w:lvlText w:val="%1."/>
      <w:lvlJc w:val="left"/>
      <w:pPr>
        <w:tabs>
          <w:tab w:val="num" w:pos="926"/>
        </w:tabs>
        <w:ind w:left="926" w:hanging="360"/>
      </w:pPr>
    </w:lvl>
  </w:abstractNum>
  <w:abstractNum w:abstractNumId="2">
    <w:nsid w:val="FFFFFF7F"/>
    <w:multiLevelType w:val="singleLevel"/>
    <w:tmpl w:val="16D090C4"/>
    <w:lvl w:ilvl="0">
      <w:start w:val="1"/>
      <w:numFmt w:val="decimal"/>
      <w:pStyle w:val="ListNumber2"/>
      <w:lvlText w:val="%1."/>
      <w:lvlJc w:val="left"/>
      <w:pPr>
        <w:tabs>
          <w:tab w:val="num" w:pos="643"/>
        </w:tabs>
        <w:ind w:left="643" w:hanging="360"/>
      </w:pPr>
    </w:lvl>
  </w:abstractNum>
  <w:abstractNum w:abstractNumId="3">
    <w:nsid w:val="FFFFFF81"/>
    <w:multiLevelType w:val="singleLevel"/>
    <w:tmpl w:val="39C4637A"/>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44B41B30"/>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BDCE0C98"/>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9"/>
    <w:multiLevelType w:val="singleLevel"/>
    <w:tmpl w:val="B2B8F0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8">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1">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2">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3">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4">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5">
    <w:nsid w:val="596D67A1"/>
    <w:multiLevelType w:val="singleLevel"/>
    <w:tmpl w:val="9AC8831A"/>
    <w:name w:val="List Dash 2"/>
    <w:lvl w:ilvl="0">
      <w:start w:val="1"/>
      <w:numFmt w:val="bullet"/>
      <w:pStyle w:val="ListDash2"/>
      <w:lvlText w:val="–"/>
      <w:lvlJc w:val="left"/>
      <w:pPr>
        <w:tabs>
          <w:tab w:val="num" w:pos="1134"/>
        </w:tabs>
        <w:ind w:left="1134" w:hanging="283"/>
      </w:pPr>
      <w:rPr>
        <w:rFonts w:ascii="Times New Roman" w:hAnsi="Times New Roman"/>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5F8C3B69"/>
    <w:multiLevelType w:val="multilevel"/>
    <w:tmpl w:val="9B14DAA8"/>
    <w:name w:val="List Number"/>
    <w:lvl w:ilvl="0">
      <w:start w:val="1"/>
      <w:numFmt w:val="decimal"/>
      <w:pStyle w:val="ListNumber"/>
      <w:lvlText w:val="(%1)"/>
      <w:lvlJc w:val="left"/>
      <w:pPr>
        <w:tabs>
          <w:tab w:val="num" w:pos="709"/>
        </w:tabs>
        <w:ind w:left="709" w:hanging="709"/>
      </w:pPr>
      <w:rPr>
        <w:rFonts w:cs="Times New Roman"/>
      </w:rPr>
    </w:lvl>
    <w:lvl w:ilvl="1">
      <w:start w:val="1"/>
      <w:numFmt w:val="lowerLetter"/>
      <w:pStyle w:val="ListNumberLevel2"/>
      <w:lvlText w:val="(%2)"/>
      <w:lvlJc w:val="left"/>
      <w:pPr>
        <w:tabs>
          <w:tab w:val="num" w:pos="1417"/>
        </w:tabs>
        <w:ind w:left="1417" w:hanging="708"/>
      </w:pPr>
      <w:rPr>
        <w:rFonts w:cs="Times New Roman"/>
      </w:r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nsid w:val="608C30E1"/>
    <w:multiLevelType w:val="hybridMultilevel"/>
    <w:tmpl w:val="DD98B9F8"/>
    <w:lvl w:ilvl="0" w:tplc="08090001">
      <w:start w:val="1"/>
      <w:numFmt w:val="bullet"/>
      <w:lvlText w:val=""/>
      <w:lvlJc w:val="left"/>
      <w:pPr>
        <w:ind w:left="1044" w:hanging="360"/>
      </w:pPr>
      <w:rPr>
        <w:rFonts w:ascii="Symbol" w:hAnsi="Symbol" w:hint="default"/>
      </w:rPr>
    </w:lvl>
    <w:lvl w:ilvl="1" w:tplc="08090003" w:tentative="1">
      <w:start w:val="1"/>
      <w:numFmt w:val="bullet"/>
      <w:lvlText w:val="o"/>
      <w:lvlJc w:val="left"/>
      <w:pPr>
        <w:ind w:left="1764" w:hanging="360"/>
      </w:pPr>
      <w:rPr>
        <w:rFonts w:ascii="Courier New" w:hAnsi="Courier New" w:cs="Courier New" w:hint="default"/>
      </w:rPr>
    </w:lvl>
    <w:lvl w:ilvl="2" w:tplc="08090005" w:tentative="1">
      <w:start w:val="1"/>
      <w:numFmt w:val="bullet"/>
      <w:lvlText w:val=""/>
      <w:lvlJc w:val="left"/>
      <w:pPr>
        <w:ind w:left="2484" w:hanging="360"/>
      </w:pPr>
      <w:rPr>
        <w:rFonts w:ascii="Wingdings" w:hAnsi="Wingdings" w:hint="default"/>
      </w:rPr>
    </w:lvl>
    <w:lvl w:ilvl="3" w:tplc="08090001" w:tentative="1">
      <w:start w:val="1"/>
      <w:numFmt w:val="bullet"/>
      <w:lvlText w:val=""/>
      <w:lvlJc w:val="left"/>
      <w:pPr>
        <w:ind w:left="3204" w:hanging="360"/>
      </w:pPr>
      <w:rPr>
        <w:rFonts w:ascii="Symbol" w:hAnsi="Symbol" w:hint="default"/>
      </w:rPr>
    </w:lvl>
    <w:lvl w:ilvl="4" w:tplc="08090003" w:tentative="1">
      <w:start w:val="1"/>
      <w:numFmt w:val="bullet"/>
      <w:lvlText w:val="o"/>
      <w:lvlJc w:val="left"/>
      <w:pPr>
        <w:ind w:left="3924" w:hanging="360"/>
      </w:pPr>
      <w:rPr>
        <w:rFonts w:ascii="Courier New" w:hAnsi="Courier New" w:cs="Courier New" w:hint="default"/>
      </w:rPr>
    </w:lvl>
    <w:lvl w:ilvl="5" w:tplc="08090005" w:tentative="1">
      <w:start w:val="1"/>
      <w:numFmt w:val="bullet"/>
      <w:lvlText w:val=""/>
      <w:lvlJc w:val="left"/>
      <w:pPr>
        <w:ind w:left="4644" w:hanging="360"/>
      </w:pPr>
      <w:rPr>
        <w:rFonts w:ascii="Wingdings" w:hAnsi="Wingdings" w:hint="default"/>
      </w:rPr>
    </w:lvl>
    <w:lvl w:ilvl="6" w:tplc="08090001" w:tentative="1">
      <w:start w:val="1"/>
      <w:numFmt w:val="bullet"/>
      <w:lvlText w:val=""/>
      <w:lvlJc w:val="left"/>
      <w:pPr>
        <w:ind w:left="5364" w:hanging="360"/>
      </w:pPr>
      <w:rPr>
        <w:rFonts w:ascii="Symbol" w:hAnsi="Symbol" w:hint="default"/>
      </w:rPr>
    </w:lvl>
    <w:lvl w:ilvl="7" w:tplc="08090003" w:tentative="1">
      <w:start w:val="1"/>
      <w:numFmt w:val="bullet"/>
      <w:lvlText w:val="o"/>
      <w:lvlJc w:val="left"/>
      <w:pPr>
        <w:ind w:left="6084" w:hanging="360"/>
      </w:pPr>
      <w:rPr>
        <w:rFonts w:ascii="Courier New" w:hAnsi="Courier New" w:cs="Courier New" w:hint="default"/>
      </w:rPr>
    </w:lvl>
    <w:lvl w:ilvl="8" w:tplc="08090005" w:tentative="1">
      <w:start w:val="1"/>
      <w:numFmt w:val="bullet"/>
      <w:lvlText w:val=""/>
      <w:lvlJc w:val="left"/>
      <w:pPr>
        <w:ind w:left="6804" w:hanging="360"/>
      </w:pPr>
      <w:rPr>
        <w:rFonts w:ascii="Wingdings" w:hAnsi="Wingdings" w:hint="default"/>
      </w:rPr>
    </w:lvl>
  </w:abstractNum>
  <w:abstractNum w:abstractNumId="21">
    <w:nsid w:val="62A8042C"/>
    <w:multiLevelType w:val="singleLevel"/>
    <w:tmpl w:val="CCF20C06"/>
    <w:name w:val="List Dash 1"/>
    <w:lvl w:ilvl="0">
      <w:start w:val="1"/>
      <w:numFmt w:val="bullet"/>
      <w:pStyle w:val="ListDash1"/>
      <w:lvlText w:val="–"/>
      <w:lvlJc w:val="left"/>
      <w:pPr>
        <w:tabs>
          <w:tab w:val="num" w:pos="1134"/>
        </w:tabs>
        <w:ind w:left="1134" w:hanging="283"/>
      </w:pPr>
      <w:rPr>
        <w:rFonts w:ascii="Times New Roman" w:hAnsi="Times New Roman"/>
      </w:rPr>
    </w:lvl>
  </w:abstractNum>
  <w:abstractNum w:abstractNumId="22">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4">
    <w:nsid w:val="6A6901C1"/>
    <w:multiLevelType w:val="singleLevel"/>
    <w:tmpl w:val="208841AE"/>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25">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6"/>
  </w:num>
  <w:num w:numId="2">
    <w:abstractNumId w:val="5"/>
  </w:num>
  <w:num w:numId="3">
    <w:abstractNumId w:val="4"/>
  </w:num>
  <w:num w:numId="4">
    <w:abstractNumId w:val="3"/>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5"/>
    <w:lvlOverride w:ilvl="0">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4"/>
  </w:num>
  <w:num w:numId="11">
    <w:abstractNumId w:val="21"/>
  </w:num>
  <w:num w:numId="12">
    <w:abstractNumId w:val="15"/>
  </w:num>
  <w:num w:numId="13">
    <w:abstractNumId w:val="2"/>
  </w:num>
  <w:num w:numId="14">
    <w:abstractNumId w:val="1"/>
  </w:num>
  <w:num w:numId="15">
    <w:abstractNumId w:val="0"/>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6"/>
    <w:lvlOverride w:ilvl="0">
      <w:startOverride w:val="1"/>
    </w:lvlOverride>
  </w:num>
  <w:num w:numId="51">
    <w:abstractNumId w:val="23"/>
    <w:lvlOverride w:ilvl="0">
      <w:startOverride w:val="1"/>
    </w:lvlOverride>
  </w:num>
  <w:num w:numId="52">
    <w:abstractNumId w:val="22"/>
  </w:num>
  <w:num w:numId="53">
    <w:abstractNumId w:val="18"/>
  </w:num>
  <w:num w:numId="54">
    <w:abstractNumId w:val="11"/>
  </w:num>
  <w:num w:numId="55">
    <w:abstractNumId w:val="23"/>
  </w:num>
  <w:num w:numId="56">
    <w:abstractNumId w:val="10"/>
  </w:num>
  <w:num w:numId="57">
    <w:abstractNumId w:val="12"/>
  </w:num>
  <w:num w:numId="58">
    <w:abstractNumId w:val="8"/>
  </w:num>
  <w:num w:numId="59">
    <w:abstractNumId w:val="22"/>
  </w:num>
  <w:num w:numId="60">
    <w:abstractNumId w:val="7"/>
  </w:num>
  <w:num w:numId="61">
    <w:abstractNumId w:val="13"/>
  </w:num>
  <w:num w:numId="62">
    <w:abstractNumId w:val="16"/>
  </w:num>
  <w:num w:numId="63">
    <w:abstractNumId w:val="17"/>
  </w:num>
  <w:num w:numId="64">
    <w:abstractNumId w:val="9"/>
  </w:num>
  <w:num w:numId="65">
    <w:abstractNumId w:val="14"/>
  </w:num>
  <w:num w:numId="66">
    <w:abstractNumId w:val="25"/>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8-06-28 08:38:17"/>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1"/>
    <w:docVar w:name="DQCResult_ModifiedMarkers" w:val="0;0"/>
    <w:docVar w:name="DQCResult_ModifiedNumbering" w:val="0;0"/>
    <w:docVar w:name="DQCResult_Objects" w:val="0;0"/>
    <w:docVar w:name="DQCResult_Sections" w:val="0;0"/>
    <w:docVar w:name="DQCResult_StructureCheck" w:val="0;0"/>
    <w:docVar w:name="DQCResult_SuperfluousWhitespace" w:val="0;0"/>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FDFBA10E-C85F-4B00-8339-CC2419036DDA"/>
    <w:docVar w:name="LW_COVERPAGE_TYPE" w:val="1"/>
    <w:docVar w:name="LW_CROSSREFERENCE" w:val="{SEC(2018) 257 final}_x000b_{SWD(2018) 264 final}_x000b_{SWD(2018) 265 final}"/>
    <w:docVar w:name="LW_DocType" w:val="COM"/>
    <w:docVar w:name="LW_EMISSION" w:val="24.5.2018"/>
    <w:docVar w:name="LW_EMISSION_ISODATE" w:val="2018-05-24"/>
    <w:docVar w:name="LW_EMISSION_LOCATION" w:val="BRX"/>
    <w:docVar w:name="LW_EMISSION_PREFIX" w:val="Bruselj, "/>
    <w:docVar w:name="LW_EMISSION_SUFFIX" w:val="&lt;EMPTY&gt;"/>
    <w:docVar w:name="LW_ID_DOCMODEL" w:val="SJ-023"/>
    <w:docVar w:name="LW_ID_DOCSIGNATURE" w:val="SJ-023"/>
    <w:docVar w:name="LW_ID_DOCSTRUCTURE" w:val="COM/PL/ORG"/>
    <w:docVar w:name="LW_ID_DOCTYPE" w:val="SJ-023"/>
    <w:docVar w:name="LW_ID_EXP.MOTIFS.NEW" w:val="EM_PL_"/>
    <w:docVar w:name="LW_ID_STATUT" w:val="SJ-023"/>
    <w:docVar w:name="LW_INTERETEEE.CP" w:val="(Besedilo velja za EGP)"/>
    <w:docVar w:name="LW_LANGUE" w:val="SL"/>
    <w:docVar w:name="LW_LEVEL_OF_SENSITIVITY" w:val="Standard treatment"/>
    <w:docVar w:name="LW_NOM.INST" w:val="EVROPSKA KOMISIJA"/>
    <w:docVar w:name="LW_NOM.INST_JOINTDOC" w:val="&lt;EMPTY&gt;"/>
    <w:docVar w:name="LW_PART_NBR" w:val="1"/>
    <w:docVar w:name="LW_PART_NBR_TOTAL" w:val="1"/>
    <w:docVar w:name="LW_REF.II.NEW.CP" w:val="COD"/>
    <w:docVar w:name="LW_REF.II.NEW.CP_NUMBER" w:val="0178"/>
    <w:docVar w:name="LW_REF.II.NEW.CP_YEAR" w:val="2018"/>
    <w:docVar w:name="LW_REF.INST.NEW" w:val="COM"/>
    <w:docVar w:name="LW_REF.INST.NEW_ADOPTED" w:val="final"/>
    <w:docVar w:name="LW_REF.INST.NEW_TEXT" w:val="(2018) 35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TATUT.CP" w:val="Predlog"/>
    <w:docVar w:name="LW_SUPERTITRE" w:val="&lt;UNUSED&gt;"/>
    <w:docVar w:name="LW_TITRE.OBJ.CP" w:val="o vzpostavitvi okvira za spodbujanje trajnostnih nalo\u382?b"/>
    <w:docVar w:name="LW_TYPE.DOC.CP" w:val="UREDBA EVROPSKEGA PARLAMENTA IN SVETA"/>
  </w:docVar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sl-SI" w:bidi="sl-SI"/>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table of figures" w:uiPriority="0"/>
    <w:lsdException w:name="annotation reference"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5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5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5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59"/>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nhideWhenUsed/>
    <w:pPr>
      <w:numPr>
        <w:numId w:val="1"/>
      </w:numPr>
      <w:contextualSpacing/>
    </w:pPr>
  </w:style>
  <w:style w:type="paragraph" w:styleId="ListBullet2">
    <w:name w:val="List Bullet 2"/>
    <w:basedOn w:val="Normal"/>
    <w:unhideWhenUsed/>
    <w:pPr>
      <w:numPr>
        <w:numId w:val="2"/>
      </w:numPr>
      <w:contextualSpacing/>
    </w:pPr>
  </w:style>
  <w:style w:type="paragraph" w:styleId="ListBullet3">
    <w:name w:val="List Bullet 3"/>
    <w:basedOn w:val="Normal"/>
    <w:unhideWhenUsed/>
    <w:pPr>
      <w:numPr>
        <w:numId w:val="3"/>
      </w:numPr>
      <w:contextualSpacing/>
    </w:pPr>
  </w:style>
  <w:style w:type="paragraph" w:styleId="ListBullet4">
    <w:name w:val="List Bullet 4"/>
    <w:basedOn w:val="Normal"/>
    <w:unhideWhenUsed/>
    <w:pPr>
      <w:numPr>
        <w:numId w:val="4"/>
      </w:numPr>
      <w:contextualSpacing/>
    </w:pPr>
  </w:style>
  <w:style w:type="paragraph" w:styleId="BalloonText">
    <w:name w:val="Balloon Text"/>
    <w:basedOn w:val="Normal"/>
    <w:link w:val="BalloonTextChar"/>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val="sl-SI"/>
    </w:rPr>
  </w:style>
  <w:style w:type="character" w:styleId="CommentReference">
    <w:name w:val="annotation reference"/>
    <w:basedOn w:val="DefaultParagraphFont"/>
    <w:unhideWhenUsed/>
    <w:rPr>
      <w:sz w:val="16"/>
      <w:szCs w:val="16"/>
    </w:rPr>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Pr>
      <w:rFonts w:ascii="Times New Roman" w:hAnsi="Times New Roman" w:cs="Times New Roman"/>
      <w:sz w:val="20"/>
      <w:szCs w:val="20"/>
      <w:lang w:val="sl-SI"/>
    </w:rPr>
  </w:style>
  <w:style w:type="paragraph" w:styleId="CommentSubject">
    <w:name w:val="annotation subject"/>
    <w:basedOn w:val="CommentText"/>
    <w:next w:val="CommentText"/>
    <w:link w:val="CommentSubjectChar"/>
    <w:unhideWhenUsed/>
    <w:rPr>
      <w:b/>
      <w:bCs/>
    </w:rPr>
  </w:style>
  <w:style w:type="character" w:customStyle="1" w:styleId="CommentSubjectChar">
    <w:name w:val="Comment Subject Char"/>
    <w:basedOn w:val="CommentTextChar"/>
    <w:link w:val="CommentSubject"/>
    <w:rPr>
      <w:rFonts w:ascii="Times New Roman" w:hAnsi="Times New Roman" w:cs="Times New Roman"/>
      <w:b/>
      <w:bCs/>
      <w:sz w:val="20"/>
      <w:szCs w:val="20"/>
      <w:lang w:val="sl-SI"/>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customStyle="1" w:styleId="Default">
    <w:name w:val="Default"/>
    <w:pPr>
      <w:autoSpaceDE w:val="0"/>
      <w:autoSpaceDN w:val="0"/>
      <w:adjustRightInd w:val="0"/>
      <w:spacing w:after="0" w:line="240" w:lineRule="auto"/>
    </w:pPr>
    <w:rPr>
      <w:rFonts w:ascii="EUAlbertina" w:hAnsi="EUAlbertina" w:cs="EUAlbertina"/>
      <w:color w:val="000000"/>
      <w:sz w:val="24"/>
      <w:szCs w:val="24"/>
    </w:rPr>
  </w:style>
  <w:style w:type="character" w:styleId="Hyperlink">
    <w:name w:val="Hyperlink"/>
    <w:basedOn w:val="DefaultParagraphFont"/>
    <w:unhideWhenUsed/>
    <w:rPr>
      <w:color w:val="0000FF" w:themeColor="hyperlink"/>
      <w:u w:val="single"/>
    </w:rPr>
  </w:style>
  <w:style w:type="paragraph" w:customStyle="1" w:styleId="TimesNewRoman">
    <w:name w:val="Times New Roman"/>
    <w:basedOn w:val="FootnoteText"/>
    <w:pPr>
      <w:widowControl w:val="0"/>
      <w:adjustRightInd w:val="0"/>
      <w:ind w:left="0" w:firstLine="0"/>
      <w:textAlignment w:val="baseline"/>
    </w:pPr>
    <w:rPr>
      <w:rFonts w:cstheme="minorBidi"/>
      <w:vertAlign w:val="superscript"/>
    </w:rPr>
  </w:style>
  <w:style w:type="character" w:styleId="Strong">
    <w:name w:val="Strong"/>
    <w:basedOn w:val="DefaultParagraphFont"/>
    <w:uiPriority w:val="22"/>
    <w:qFormat/>
    <w:rPr>
      <w:b/>
      <w:bCs/>
    </w:rPr>
  </w:style>
  <w:style w:type="paragraph" w:styleId="ListNumber">
    <w:name w:val="List Number"/>
    <w:basedOn w:val="Normal"/>
    <w:pPr>
      <w:numPr>
        <w:numId w:val="9"/>
      </w:numPr>
    </w:pPr>
    <w:rPr>
      <w:rFonts w:eastAsia="Times New Roman"/>
    </w:rPr>
  </w:style>
  <w:style w:type="paragraph" w:customStyle="1" w:styleId="ListBullet1">
    <w:name w:val="List Bullet 1"/>
    <w:basedOn w:val="Normal"/>
    <w:pPr>
      <w:numPr>
        <w:numId w:val="10"/>
      </w:numPr>
    </w:pPr>
    <w:rPr>
      <w:rFonts w:eastAsia="Times New Roman"/>
    </w:rPr>
  </w:style>
  <w:style w:type="paragraph" w:customStyle="1" w:styleId="ListDash1">
    <w:name w:val="List Dash 1"/>
    <w:basedOn w:val="Normal"/>
    <w:pPr>
      <w:numPr>
        <w:numId w:val="11"/>
      </w:numPr>
    </w:pPr>
    <w:rPr>
      <w:rFonts w:eastAsia="Times New Roman"/>
    </w:rPr>
  </w:style>
  <w:style w:type="paragraph" w:customStyle="1" w:styleId="ListDash2">
    <w:name w:val="List Dash 2"/>
    <w:basedOn w:val="Normal"/>
    <w:pPr>
      <w:numPr>
        <w:numId w:val="12"/>
      </w:numPr>
    </w:pPr>
    <w:rPr>
      <w:rFonts w:eastAsia="Times New Roman"/>
    </w:rPr>
  </w:style>
  <w:style w:type="paragraph" w:customStyle="1" w:styleId="ListNumberLevel2">
    <w:name w:val="List Number (Level 2)"/>
    <w:basedOn w:val="Normal"/>
    <w:pPr>
      <w:numPr>
        <w:ilvl w:val="1"/>
        <w:numId w:val="9"/>
      </w:numPr>
    </w:pPr>
    <w:rPr>
      <w:rFonts w:eastAsia="Times New Roman"/>
    </w:rPr>
  </w:style>
  <w:style w:type="paragraph" w:customStyle="1" w:styleId="ListNumberLevel3">
    <w:name w:val="List Number (Level 3)"/>
    <w:basedOn w:val="Normal"/>
    <w:pPr>
      <w:numPr>
        <w:ilvl w:val="2"/>
        <w:numId w:val="9"/>
      </w:numPr>
    </w:pPr>
    <w:rPr>
      <w:rFonts w:eastAsia="Times New Roman"/>
    </w:rPr>
  </w:style>
  <w:style w:type="paragraph" w:customStyle="1" w:styleId="ListNumberLevel4">
    <w:name w:val="List Number (Level 4)"/>
    <w:basedOn w:val="Normal"/>
    <w:pPr>
      <w:numPr>
        <w:ilvl w:val="3"/>
        <w:numId w:val="9"/>
      </w:numPr>
    </w:pPr>
    <w:rPr>
      <w:rFonts w:eastAsia="Times New Roman"/>
    </w:rPr>
  </w:style>
  <w:style w:type="paragraph" w:customStyle="1" w:styleId="Fichefinancirestandardtitre">
    <w:name w:val="Fiche financière (standard) titre"/>
    <w:basedOn w:val="Normal"/>
    <w:next w:val="Normal"/>
    <w:pPr>
      <w:jc w:val="center"/>
    </w:pPr>
    <w:rPr>
      <w:rFonts w:eastAsia="Times New Roman"/>
      <w:b/>
      <w:u w:val="single"/>
    </w:rPr>
  </w:style>
  <w:style w:type="paragraph" w:styleId="Caption">
    <w:name w:val="caption"/>
    <w:basedOn w:val="Normal"/>
    <w:next w:val="Normal"/>
    <w:qFormat/>
    <w:rPr>
      <w:rFonts w:eastAsia="Times New Roman"/>
      <w:b/>
      <w:bCs/>
      <w:sz w:val="20"/>
    </w:rPr>
  </w:style>
  <w:style w:type="paragraph" w:styleId="TableofFigures">
    <w:name w:val="table of figures"/>
    <w:basedOn w:val="Normal"/>
    <w:next w:val="Normal"/>
    <w:rPr>
      <w:rFonts w:eastAsia="Times New Roman"/>
    </w:rPr>
  </w:style>
  <w:style w:type="paragraph" w:styleId="ListNumber2">
    <w:name w:val="List Number 2"/>
    <w:basedOn w:val="Normal"/>
    <w:pPr>
      <w:numPr>
        <w:numId w:val="13"/>
      </w:numPr>
      <w:contextualSpacing/>
    </w:pPr>
    <w:rPr>
      <w:rFonts w:eastAsia="Times New Roman"/>
    </w:rPr>
  </w:style>
  <w:style w:type="paragraph" w:styleId="ListNumber3">
    <w:name w:val="List Number 3"/>
    <w:basedOn w:val="Normal"/>
    <w:pPr>
      <w:numPr>
        <w:numId w:val="14"/>
      </w:numPr>
      <w:contextualSpacing/>
    </w:pPr>
    <w:rPr>
      <w:rFonts w:eastAsia="Times New Roman"/>
    </w:rPr>
  </w:style>
  <w:style w:type="paragraph" w:styleId="ListNumber4">
    <w:name w:val="List Number 4"/>
    <w:basedOn w:val="Normal"/>
    <w:pPr>
      <w:numPr>
        <w:numId w:val="15"/>
      </w:numPr>
      <w:contextualSpacing/>
    </w:pPr>
    <w:rPr>
      <w:rFonts w:eastAsia="Times New Roman"/>
    </w:rPr>
  </w:style>
  <w:style w:type="paragraph" w:customStyle="1" w:styleId="Sous-titreobjet">
    <w:name w:val="Sous-titre objet"/>
    <w:basedOn w:val="Normal"/>
    <w:pPr>
      <w:spacing w:before="0" w:after="0"/>
      <w:jc w:val="center"/>
    </w:pPr>
    <w:rPr>
      <w:rFonts w:eastAsia="Times New Roman"/>
      <w:b/>
    </w:rPr>
  </w:style>
  <w:style w:type="paragraph" w:customStyle="1" w:styleId="Sous-titreobjetPagedecouverture">
    <w:name w:val="Sous-titre objet (Page de couverture)"/>
    <w:basedOn w:val="Sous-titreobjet"/>
  </w:style>
  <w:style w:type="character" w:styleId="FollowedHyperlink">
    <w:name w:val="FollowedHyperlink"/>
    <w:rPr>
      <w:color w:val="800080"/>
      <w:u w:val="single"/>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lang w:eastAsia="en-US" w:bidi="ar-SA"/>
    </w:rPr>
  </w:style>
  <w:style w:type="character" w:customStyle="1" w:styleId="FooterChar">
    <w:name w:val="Footer Char"/>
    <w:basedOn w:val="DefaultParagraphFont"/>
    <w:link w:val="Footer"/>
    <w:uiPriority w:val="99"/>
    <w:rPr>
      <w:rFonts w:ascii="Times New Roman" w:hAnsi="Times New Roman" w:cs="Times New Roman"/>
      <w:sz w:val="24"/>
      <w:lang w:eastAsia="en-US" w:bidi="ar-SA"/>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lang w:eastAsia="en-US" w:bidi="ar-SA"/>
    </w:r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lang w:eastAsia="en-US" w:bidi="ar-SA"/>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lang w:eastAsia="en-US" w:bidi="ar-SA"/>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53"/>
      </w:numPr>
    </w:pPr>
  </w:style>
  <w:style w:type="paragraph" w:customStyle="1" w:styleId="Tiret1">
    <w:name w:val="Tiret 1"/>
    <w:basedOn w:val="Point1"/>
    <w:pPr>
      <w:numPr>
        <w:numId w:val="54"/>
      </w:numPr>
    </w:pPr>
  </w:style>
  <w:style w:type="paragraph" w:customStyle="1" w:styleId="Tiret2">
    <w:name w:val="Tiret 2"/>
    <w:basedOn w:val="Point2"/>
    <w:pPr>
      <w:numPr>
        <w:numId w:val="55"/>
      </w:numPr>
    </w:pPr>
  </w:style>
  <w:style w:type="paragraph" w:customStyle="1" w:styleId="Tiret3">
    <w:name w:val="Tiret 3"/>
    <w:basedOn w:val="Point3"/>
    <w:pPr>
      <w:numPr>
        <w:numId w:val="56"/>
      </w:numPr>
    </w:pPr>
  </w:style>
  <w:style w:type="paragraph" w:customStyle="1" w:styleId="Tiret4">
    <w:name w:val="Tiret 4"/>
    <w:basedOn w:val="Point4"/>
    <w:pPr>
      <w:numPr>
        <w:numId w:val="5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58"/>
      </w:numPr>
    </w:pPr>
  </w:style>
  <w:style w:type="paragraph" w:customStyle="1" w:styleId="NumPar2">
    <w:name w:val="NumPar 2"/>
    <w:basedOn w:val="Normal"/>
    <w:next w:val="Text1"/>
    <w:pPr>
      <w:numPr>
        <w:ilvl w:val="1"/>
        <w:numId w:val="58"/>
      </w:numPr>
    </w:pPr>
  </w:style>
  <w:style w:type="paragraph" w:customStyle="1" w:styleId="NumPar3">
    <w:name w:val="NumPar 3"/>
    <w:basedOn w:val="Normal"/>
    <w:next w:val="Text1"/>
    <w:pPr>
      <w:numPr>
        <w:ilvl w:val="2"/>
        <w:numId w:val="58"/>
      </w:numPr>
    </w:pPr>
  </w:style>
  <w:style w:type="paragraph" w:customStyle="1" w:styleId="NumPar4">
    <w:name w:val="NumPar 4"/>
    <w:basedOn w:val="Normal"/>
    <w:next w:val="Text1"/>
    <w:pPr>
      <w:numPr>
        <w:ilvl w:val="3"/>
        <w:numId w:val="5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60"/>
      </w:numPr>
    </w:pPr>
  </w:style>
  <w:style w:type="paragraph" w:customStyle="1" w:styleId="Point1number">
    <w:name w:val="Point 1 (number)"/>
    <w:basedOn w:val="Normal"/>
    <w:pPr>
      <w:numPr>
        <w:ilvl w:val="2"/>
        <w:numId w:val="60"/>
      </w:numPr>
    </w:pPr>
  </w:style>
  <w:style w:type="paragraph" w:customStyle="1" w:styleId="Point2number">
    <w:name w:val="Point 2 (number)"/>
    <w:basedOn w:val="Normal"/>
    <w:pPr>
      <w:numPr>
        <w:ilvl w:val="4"/>
        <w:numId w:val="60"/>
      </w:numPr>
    </w:pPr>
  </w:style>
  <w:style w:type="paragraph" w:customStyle="1" w:styleId="Point3number">
    <w:name w:val="Point 3 (number)"/>
    <w:basedOn w:val="Normal"/>
    <w:pPr>
      <w:numPr>
        <w:ilvl w:val="6"/>
        <w:numId w:val="60"/>
      </w:numPr>
    </w:pPr>
  </w:style>
  <w:style w:type="paragraph" w:customStyle="1" w:styleId="Point0letter">
    <w:name w:val="Point 0 (letter)"/>
    <w:basedOn w:val="Normal"/>
    <w:pPr>
      <w:numPr>
        <w:ilvl w:val="1"/>
        <w:numId w:val="60"/>
      </w:numPr>
    </w:pPr>
  </w:style>
  <w:style w:type="paragraph" w:customStyle="1" w:styleId="Point1letter">
    <w:name w:val="Point 1 (letter)"/>
    <w:basedOn w:val="Normal"/>
    <w:pPr>
      <w:numPr>
        <w:ilvl w:val="3"/>
        <w:numId w:val="60"/>
      </w:numPr>
    </w:pPr>
  </w:style>
  <w:style w:type="paragraph" w:customStyle="1" w:styleId="Point2letter">
    <w:name w:val="Point 2 (letter)"/>
    <w:basedOn w:val="Normal"/>
    <w:pPr>
      <w:numPr>
        <w:ilvl w:val="5"/>
        <w:numId w:val="60"/>
      </w:numPr>
    </w:pPr>
  </w:style>
  <w:style w:type="paragraph" w:customStyle="1" w:styleId="Point3letter">
    <w:name w:val="Point 3 (letter)"/>
    <w:basedOn w:val="Normal"/>
    <w:pPr>
      <w:numPr>
        <w:ilvl w:val="7"/>
        <w:numId w:val="60"/>
      </w:numPr>
    </w:pPr>
  </w:style>
  <w:style w:type="paragraph" w:customStyle="1" w:styleId="Point4letter">
    <w:name w:val="Point 4 (letter)"/>
    <w:basedOn w:val="Normal"/>
    <w:pPr>
      <w:numPr>
        <w:ilvl w:val="8"/>
        <w:numId w:val="60"/>
      </w:numPr>
    </w:pPr>
  </w:style>
  <w:style w:type="paragraph" w:customStyle="1" w:styleId="Bullet0">
    <w:name w:val="Bullet 0"/>
    <w:basedOn w:val="Normal"/>
    <w:pPr>
      <w:numPr>
        <w:numId w:val="61"/>
      </w:numPr>
    </w:pPr>
  </w:style>
  <w:style w:type="paragraph" w:customStyle="1" w:styleId="Bullet1">
    <w:name w:val="Bullet 1"/>
    <w:basedOn w:val="Normal"/>
    <w:pPr>
      <w:numPr>
        <w:numId w:val="62"/>
      </w:numPr>
    </w:pPr>
  </w:style>
  <w:style w:type="paragraph" w:customStyle="1" w:styleId="Bullet2">
    <w:name w:val="Bullet 2"/>
    <w:basedOn w:val="Normal"/>
    <w:pPr>
      <w:numPr>
        <w:numId w:val="63"/>
      </w:numPr>
    </w:pPr>
  </w:style>
  <w:style w:type="paragraph" w:customStyle="1" w:styleId="Bullet3">
    <w:name w:val="Bullet 3"/>
    <w:basedOn w:val="Normal"/>
    <w:pPr>
      <w:numPr>
        <w:numId w:val="64"/>
      </w:numPr>
    </w:pPr>
  </w:style>
  <w:style w:type="paragraph" w:customStyle="1" w:styleId="Bullet4">
    <w:name w:val="Bullet 4"/>
    <w:basedOn w:val="Normal"/>
    <w:pPr>
      <w:numPr>
        <w:numId w:val="6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6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sl-SI" w:bidi="sl-SI"/>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table of figures" w:uiPriority="0"/>
    <w:lsdException w:name="annotation reference"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5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5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5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59"/>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nhideWhenUsed/>
    <w:pPr>
      <w:numPr>
        <w:numId w:val="1"/>
      </w:numPr>
      <w:contextualSpacing/>
    </w:pPr>
  </w:style>
  <w:style w:type="paragraph" w:styleId="ListBullet2">
    <w:name w:val="List Bullet 2"/>
    <w:basedOn w:val="Normal"/>
    <w:unhideWhenUsed/>
    <w:pPr>
      <w:numPr>
        <w:numId w:val="2"/>
      </w:numPr>
      <w:contextualSpacing/>
    </w:pPr>
  </w:style>
  <w:style w:type="paragraph" w:styleId="ListBullet3">
    <w:name w:val="List Bullet 3"/>
    <w:basedOn w:val="Normal"/>
    <w:unhideWhenUsed/>
    <w:pPr>
      <w:numPr>
        <w:numId w:val="3"/>
      </w:numPr>
      <w:contextualSpacing/>
    </w:pPr>
  </w:style>
  <w:style w:type="paragraph" w:styleId="ListBullet4">
    <w:name w:val="List Bullet 4"/>
    <w:basedOn w:val="Normal"/>
    <w:unhideWhenUsed/>
    <w:pPr>
      <w:numPr>
        <w:numId w:val="4"/>
      </w:numPr>
      <w:contextualSpacing/>
    </w:pPr>
  </w:style>
  <w:style w:type="paragraph" w:styleId="BalloonText">
    <w:name w:val="Balloon Text"/>
    <w:basedOn w:val="Normal"/>
    <w:link w:val="BalloonTextChar"/>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val="sl-SI"/>
    </w:rPr>
  </w:style>
  <w:style w:type="character" w:styleId="CommentReference">
    <w:name w:val="annotation reference"/>
    <w:basedOn w:val="DefaultParagraphFont"/>
    <w:unhideWhenUsed/>
    <w:rPr>
      <w:sz w:val="16"/>
      <w:szCs w:val="16"/>
    </w:rPr>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Pr>
      <w:rFonts w:ascii="Times New Roman" w:hAnsi="Times New Roman" w:cs="Times New Roman"/>
      <w:sz w:val="20"/>
      <w:szCs w:val="20"/>
      <w:lang w:val="sl-SI"/>
    </w:rPr>
  </w:style>
  <w:style w:type="paragraph" w:styleId="CommentSubject">
    <w:name w:val="annotation subject"/>
    <w:basedOn w:val="CommentText"/>
    <w:next w:val="CommentText"/>
    <w:link w:val="CommentSubjectChar"/>
    <w:unhideWhenUsed/>
    <w:rPr>
      <w:b/>
      <w:bCs/>
    </w:rPr>
  </w:style>
  <w:style w:type="character" w:customStyle="1" w:styleId="CommentSubjectChar">
    <w:name w:val="Comment Subject Char"/>
    <w:basedOn w:val="CommentTextChar"/>
    <w:link w:val="CommentSubject"/>
    <w:rPr>
      <w:rFonts w:ascii="Times New Roman" w:hAnsi="Times New Roman" w:cs="Times New Roman"/>
      <w:b/>
      <w:bCs/>
      <w:sz w:val="20"/>
      <w:szCs w:val="20"/>
      <w:lang w:val="sl-SI"/>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customStyle="1" w:styleId="Default">
    <w:name w:val="Default"/>
    <w:pPr>
      <w:autoSpaceDE w:val="0"/>
      <w:autoSpaceDN w:val="0"/>
      <w:adjustRightInd w:val="0"/>
      <w:spacing w:after="0" w:line="240" w:lineRule="auto"/>
    </w:pPr>
    <w:rPr>
      <w:rFonts w:ascii="EUAlbertina" w:hAnsi="EUAlbertina" w:cs="EUAlbertina"/>
      <w:color w:val="000000"/>
      <w:sz w:val="24"/>
      <w:szCs w:val="24"/>
    </w:rPr>
  </w:style>
  <w:style w:type="character" w:styleId="Hyperlink">
    <w:name w:val="Hyperlink"/>
    <w:basedOn w:val="DefaultParagraphFont"/>
    <w:unhideWhenUsed/>
    <w:rPr>
      <w:color w:val="0000FF" w:themeColor="hyperlink"/>
      <w:u w:val="single"/>
    </w:rPr>
  </w:style>
  <w:style w:type="paragraph" w:customStyle="1" w:styleId="TimesNewRoman">
    <w:name w:val="Times New Roman"/>
    <w:basedOn w:val="FootnoteText"/>
    <w:pPr>
      <w:widowControl w:val="0"/>
      <w:adjustRightInd w:val="0"/>
      <w:ind w:left="0" w:firstLine="0"/>
      <w:textAlignment w:val="baseline"/>
    </w:pPr>
    <w:rPr>
      <w:rFonts w:cstheme="minorBidi"/>
      <w:vertAlign w:val="superscript"/>
    </w:rPr>
  </w:style>
  <w:style w:type="character" w:styleId="Strong">
    <w:name w:val="Strong"/>
    <w:basedOn w:val="DefaultParagraphFont"/>
    <w:uiPriority w:val="22"/>
    <w:qFormat/>
    <w:rPr>
      <w:b/>
      <w:bCs/>
    </w:rPr>
  </w:style>
  <w:style w:type="paragraph" w:styleId="ListNumber">
    <w:name w:val="List Number"/>
    <w:basedOn w:val="Normal"/>
    <w:pPr>
      <w:numPr>
        <w:numId w:val="9"/>
      </w:numPr>
    </w:pPr>
    <w:rPr>
      <w:rFonts w:eastAsia="Times New Roman"/>
    </w:rPr>
  </w:style>
  <w:style w:type="paragraph" w:customStyle="1" w:styleId="ListBullet1">
    <w:name w:val="List Bullet 1"/>
    <w:basedOn w:val="Normal"/>
    <w:pPr>
      <w:numPr>
        <w:numId w:val="10"/>
      </w:numPr>
    </w:pPr>
    <w:rPr>
      <w:rFonts w:eastAsia="Times New Roman"/>
    </w:rPr>
  </w:style>
  <w:style w:type="paragraph" w:customStyle="1" w:styleId="ListDash1">
    <w:name w:val="List Dash 1"/>
    <w:basedOn w:val="Normal"/>
    <w:pPr>
      <w:numPr>
        <w:numId w:val="11"/>
      </w:numPr>
    </w:pPr>
    <w:rPr>
      <w:rFonts w:eastAsia="Times New Roman"/>
    </w:rPr>
  </w:style>
  <w:style w:type="paragraph" w:customStyle="1" w:styleId="ListDash2">
    <w:name w:val="List Dash 2"/>
    <w:basedOn w:val="Normal"/>
    <w:pPr>
      <w:numPr>
        <w:numId w:val="12"/>
      </w:numPr>
    </w:pPr>
    <w:rPr>
      <w:rFonts w:eastAsia="Times New Roman"/>
    </w:rPr>
  </w:style>
  <w:style w:type="paragraph" w:customStyle="1" w:styleId="ListNumberLevel2">
    <w:name w:val="List Number (Level 2)"/>
    <w:basedOn w:val="Normal"/>
    <w:pPr>
      <w:numPr>
        <w:ilvl w:val="1"/>
        <w:numId w:val="9"/>
      </w:numPr>
    </w:pPr>
    <w:rPr>
      <w:rFonts w:eastAsia="Times New Roman"/>
    </w:rPr>
  </w:style>
  <w:style w:type="paragraph" w:customStyle="1" w:styleId="ListNumberLevel3">
    <w:name w:val="List Number (Level 3)"/>
    <w:basedOn w:val="Normal"/>
    <w:pPr>
      <w:numPr>
        <w:ilvl w:val="2"/>
        <w:numId w:val="9"/>
      </w:numPr>
    </w:pPr>
    <w:rPr>
      <w:rFonts w:eastAsia="Times New Roman"/>
    </w:rPr>
  </w:style>
  <w:style w:type="paragraph" w:customStyle="1" w:styleId="ListNumberLevel4">
    <w:name w:val="List Number (Level 4)"/>
    <w:basedOn w:val="Normal"/>
    <w:pPr>
      <w:numPr>
        <w:ilvl w:val="3"/>
        <w:numId w:val="9"/>
      </w:numPr>
    </w:pPr>
    <w:rPr>
      <w:rFonts w:eastAsia="Times New Roman"/>
    </w:rPr>
  </w:style>
  <w:style w:type="paragraph" w:customStyle="1" w:styleId="Fichefinancirestandardtitre">
    <w:name w:val="Fiche financière (standard) titre"/>
    <w:basedOn w:val="Normal"/>
    <w:next w:val="Normal"/>
    <w:pPr>
      <w:jc w:val="center"/>
    </w:pPr>
    <w:rPr>
      <w:rFonts w:eastAsia="Times New Roman"/>
      <w:b/>
      <w:u w:val="single"/>
    </w:rPr>
  </w:style>
  <w:style w:type="paragraph" w:styleId="Caption">
    <w:name w:val="caption"/>
    <w:basedOn w:val="Normal"/>
    <w:next w:val="Normal"/>
    <w:qFormat/>
    <w:rPr>
      <w:rFonts w:eastAsia="Times New Roman"/>
      <w:b/>
      <w:bCs/>
      <w:sz w:val="20"/>
    </w:rPr>
  </w:style>
  <w:style w:type="paragraph" w:styleId="TableofFigures">
    <w:name w:val="table of figures"/>
    <w:basedOn w:val="Normal"/>
    <w:next w:val="Normal"/>
    <w:rPr>
      <w:rFonts w:eastAsia="Times New Roman"/>
    </w:rPr>
  </w:style>
  <w:style w:type="paragraph" w:styleId="ListNumber2">
    <w:name w:val="List Number 2"/>
    <w:basedOn w:val="Normal"/>
    <w:pPr>
      <w:numPr>
        <w:numId w:val="13"/>
      </w:numPr>
      <w:contextualSpacing/>
    </w:pPr>
    <w:rPr>
      <w:rFonts w:eastAsia="Times New Roman"/>
    </w:rPr>
  </w:style>
  <w:style w:type="paragraph" w:styleId="ListNumber3">
    <w:name w:val="List Number 3"/>
    <w:basedOn w:val="Normal"/>
    <w:pPr>
      <w:numPr>
        <w:numId w:val="14"/>
      </w:numPr>
      <w:contextualSpacing/>
    </w:pPr>
    <w:rPr>
      <w:rFonts w:eastAsia="Times New Roman"/>
    </w:rPr>
  </w:style>
  <w:style w:type="paragraph" w:styleId="ListNumber4">
    <w:name w:val="List Number 4"/>
    <w:basedOn w:val="Normal"/>
    <w:pPr>
      <w:numPr>
        <w:numId w:val="15"/>
      </w:numPr>
      <w:contextualSpacing/>
    </w:pPr>
    <w:rPr>
      <w:rFonts w:eastAsia="Times New Roman"/>
    </w:rPr>
  </w:style>
  <w:style w:type="paragraph" w:customStyle="1" w:styleId="Sous-titreobjet">
    <w:name w:val="Sous-titre objet"/>
    <w:basedOn w:val="Normal"/>
    <w:pPr>
      <w:spacing w:before="0" w:after="0"/>
      <w:jc w:val="center"/>
    </w:pPr>
    <w:rPr>
      <w:rFonts w:eastAsia="Times New Roman"/>
      <w:b/>
    </w:rPr>
  </w:style>
  <w:style w:type="paragraph" w:customStyle="1" w:styleId="Sous-titreobjetPagedecouverture">
    <w:name w:val="Sous-titre objet (Page de couverture)"/>
    <w:basedOn w:val="Sous-titreobjet"/>
  </w:style>
  <w:style w:type="character" w:styleId="FollowedHyperlink">
    <w:name w:val="FollowedHyperlink"/>
    <w:rPr>
      <w:color w:val="800080"/>
      <w:u w:val="single"/>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lang w:eastAsia="en-US" w:bidi="ar-SA"/>
    </w:rPr>
  </w:style>
  <w:style w:type="character" w:customStyle="1" w:styleId="FooterChar">
    <w:name w:val="Footer Char"/>
    <w:basedOn w:val="DefaultParagraphFont"/>
    <w:link w:val="Footer"/>
    <w:uiPriority w:val="99"/>
    <w:rPr>
      <w:rFonts w:ascii="Times New Roman" w:hAnsi="Times New Roman" w:cs="Times New Roman"/>
      <w:sz w:val="24"/>
      <w:lang w:eastAsia="en-US" w:bidi="ar-SA"/>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lang w:eastAsia="en-US" w:bidi="ar-SA"/>
    </w:r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lang w:eastAsia="en-US" w:bidi="ar-SA"/>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lang w:eastAsia="en-US" w:bidi="ar-SA"/>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53"/>
      </w:numPr>
    </w:pPr>
  </w:style>
  <w:style w:type="paragraph" w:customStyle="1" w:styleId="Tiret1">
    <w:name w:val="Tiret 1"/>
    <w:basedOn w:val="Point1"/>
    <w:pPr>
      <w:numPr>
        <w:numId w:val="54"/>
      </w:numPr>
    </w:pPr>
  </w:style>
  <w:style w:type="paragraph" w:customStyle="1" w:styleId="Tiret2">
    <w:name w:val="Tiret 2"/>
    <w:basedOn w:val="Point2"/>
    <w:pPr>
      <w:numPr>
        <w:numId w:val="55"/>
      </w:numPr>
    </w:pPr>
  </w:style>
  <w:style w:type="paragraph" w:customStyle="1" w:styleId="Tiret3">
    <w:name w:val="Tiret 3"/>
    <w:basedOn w:val="Point3"/>
    <w:pPr>
      <w:numPr>
        <w:numId w:val="56"/>
      </w:numPr>
    </w:pPr>
  </w:style>
  <w:style w:type="paragraph" w:customStyle="1" w:styleId="Tiret4">
    <w:name w:val="Tiret 4"/>
    <w:basedOn w:val="Point4"/>
    <w:pPr>
      <w:numPr>
        <w:numId w:val="5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58"/>
      </w:numPr>
    </w:pPr>
  </w:style>
  <w:style w:type="paragraph" w:customStyle="1" w:styleId="NumPar2">
    <w:name w:val="NumPar 2"/>
    <w:basedOn w:val="Normal"/>
    <w:next w:val="Text1"/>
    <w:pPr>
      <w:numPr>
        <w:ilvl w:val="1"/>
        <w:numId w:val="58"/>
      </w:numPr>
    </w:pPr>
  </w:style>
  <w:style w:type="paragraph" w:customStyle="1" w:styleId="NumPar3">
    <w:name w:val="NumPar 3"/>
    <w:basedOn w:val="Normal"/>
    <w:next w:val="Text1"/>
    <w:pPr>
      <w:numPr>
        <w:ilvl w:val="2"/>
        <w:numId w:val="58"/>
      </w:numPr>
    </w:pPr>
  </w:style>
  <w:style w:type="paragraph" w:customStyle="1" w:styleId="NumPar4">
    <w:name w:val="NumPar 4"/>
    <w:basedOn w:val="Normal"/>
    <w:next w:val="Text1"/>
    <w:pPr>
      <w:numPr>
        <w:ilvl w:val="3"/>
        <w:numId w:val="5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60"/>
      </w:numPr>
    </w:pPr>
  </w:style>
  <w:style w:type="paragraph" w:customStyle="1" w:styleId="Point1number">
    <w:name w:val="Point 1 (number)"/>
    <w:basedOn w:val="Normal"/>
    <w:pPr>
      <w:numPr>
        <w:ilvl w:val="2"/>
        <w:numId w:val="60"/>
      </w:numPr>
    </w:pPr>
  </w:style>
  <w:style w:type="paragraph" w:customStyle="1" w:styleId="Point2number">
    <w:name w:val="Point 2 (number)"/>
    <w:basedOn w:val="Normal"/>
    <w:pPr>
      <w:numPr>
        <w:ilvl w:val="4"/>
        <w:numId w:val="60"/>
      </w:numPr>
    </w:pPr>
  </w:style>
  <w:style w:type="paragraph" w:customStyle="1" w:styleId="Point3number">
    <w:name w:val="Point 3 (number)"/>
    <w:basedOn w:val="Normal"/>
    <w:pPr>
      <w:numPr>
        <w:ilvl w:val="6"/>
        <w:numId w:val="60"/>
      </w:numPr>
    </w:pPr>
  </w:style>
  <w:style w:type="paragraph" w:customStyle="1" w:styleId="Point0letter">
    <w:name w:val="Point 0 (letter)"/>
    <w:basedOn w:val="Normal"/>
    <w:pPr>
      <w:numPr>
        <w:ilvl w:val="1"/>
        <w:numId w:val="60"/>
      </w:numPr>
    </w:pPr>
  </w:style>
  <w:style w:type="paragraph" w:customStyle="1" w:styleId="Point1letter">
    <w:name w:val="Point 1 (letter)"/>
    <w:basedOn w:val="Normal"/>
    <w:pPr>
      <w:numPr>
        <w:ilvl w:val="3"/>
        <w:numId w:val="60"/>
      </w:numPr>
    </w:pPr>
  </w:style>
  <w:style w:type="paragraph" w:customStyle="1" w:styleId="Point2letter">
    <w:name w:val="Point 2 (letter)"/>
    <w:basedOn w:val="Normal"/>
    <w:pPr>
      <w:numPr>
        <w:ilvl w:val="5"/>
        <w:numId w:val="60"/>
      </w:numPr>
    </w:pPr>
  </w:style>
  <w:style w:type="paragraph" w:customStyle="1" w:styleId="Point3letter">
    <w:name w:val="Point 3 (letter)"/>
    <w:basedOn w:val="Normal"/>
    <w:pPr>
      <w:numPr>
        <w:ilvl w:val="7"/>
        <w:numId w:val="60"/>
      </w:numPr>
    </w:pPr>
  </w:style>
  <w:style w:type="paragraph" w:customStyle="1" w:styleId="Point4letter">
    <w:name w:val="Point 4 (letter)"/>
    <w:basedOn w:val="Normal"/>
    <w:pPr>
      <w:numPr>
        <w:ilvl w:val="8"/>
        <w:numId w:val="60"/>
      </w:numPr>
    </w:pPr>
  </w:style>
  <w:style w:type="paragraph" w:customStyle="1" w:styleId="Bullet0">
    <w:name w:val="Bullet 0"/>
    <w:basedOn w:val="Normal"/>
    <w:pPr>
      <w:numPr>
        <w:numId w:val="61"/>
      </w:numPr>
    </w:pPr>
  </w:style>
  <w:style w:type="paragraph" w:customStyle="1" w:styleId="Bullet1">
    <w:name w:val="Bullet 1"/>
    <w:basedOn w:val="Normal"/>
    <w:pPr>
      <w:numPr>
        <w:numId w:val="62"/>
      </w:numPr>
    </w:pPr>
  </w:style>
  <w:style w:type="paragraph" w:customStyle="1" w:styleId="Bullet2">
    <w:name w:val="Bullet 2"/>
    <w:basedOn w:val="Normal"/>
    <w:pPr>
      <w:numPr>
        <w:numId w:val="63"/>
      </w:numPr>
    </w:pPr>
  </w:style>
  <w:style w:type="paragraph" w:customStyle="1" w:styleId="Bullet3">
    <w:name w:val="Bullet 3"/>
    <w:basedOn w:val="Normal"/>
    <w:pPr>
      <w:numPr>
        <w:numId w:val="64"/>
      </w:numPr>
    </w:pPr>
  </w:style>
  <w:style w:type="paragraph" w:customStyle="1" w:styleId="Bullet4">
    <w:name w:val="Bullet 4"/>
    <w:basedOn w:val="Normal"/>
    <w:pPr>
      <w:numPr>
        <w:numId w:val="6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6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363403">
      <w:bodyDiv w:val="1"/>
      <w:marLeft w:val="0"/>
      <w:marRight w:val="0"/>
      <w:marTop w:val="0"/>
      <w:marBottom w:val="0"/>
      <w:divBdr>
        <w:top w:val="none" w:sz="0" w:space="0" w:color="auto"/>
        <w:left w:val="none" w:sz="0" w:space="0" w:color="auto"/>
        <w:bottom w:val="none" w:sz="0" w:space="0" w:color="auto"/>
        <w:right w:val="none" w:sz="0" w:space="0" w:color="auto"/>
      </w:divBdr>
    </w:div>
    <w:div w:id="945965353">
      <w:bodyDiv w:val="1"/>
      <w:marLeft w:val="0"/>
      <w:marRight w:val="0"/>
      <w:marTop w:val="0"/>
      <w:marBottom w:val="0"/>
      <w:divBdr>
        <w:top w:val="none" w:sz="0" w:space="0" w:color="auto"/>
        <w:left w:val="none" w:sz="0" w:space="0" w:color="auto"/>
        <w:bottom w:val="none" w:sz="0" w:space="0" w:color="auto"/>
        <w:right w:val="none" w:sz="0" w:space="0" w:color="auto"/>
      </w:divBdr>
    </w:div>
    <w:div w:id="1906453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www.undp.org/content/undp/en/home/sustainable-development-goals.html" TargetMode="External"/><Relationship Id="rId26" Type="http://schemas.openxmlformats.org/officeDocument/2006/relationships/hyperlink" Target="http://ec.europa.eu/eurostat/documents/3217494/8461633/KS-04-17-780-EN-N.pdf/f7694981-6190-46fb-99d6-d092ce04083f" TargetMode="External"/><Relationship Id="rId39" Type="http://schemas.openxmlformats.org/officeDocument/2006/relationships/footer" Target="footer11.xml"/><Relationship Id="rId3" Type="http://schemas.openxmlformats.org/officeDocument/2006/relationships/styles" Target="styles.xml"/><Relationship Id="rId21" Type="http://schemas.openxmlformats.org/officeDocument/2006/relationships/hyperlink" Target="http://ec.europa.eu/transparency/regexpert/index.cfm?do=groupDetail.groupDetail&amp;groupID=3485&amp;NewSearch=1&amp;NewSearch=1&amp;Lang=SL" TargetMode="External"/><Relationship Id="rId34" Type="http://schemas.openxmlformats.org/officeDocument/2006/relationships/header" Target="head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5" Type="http://schemas.openxmlformats.org/officeDocument/2006/relationships/hyperlink" Target="https://www.eea.europa.eu/about-us/who/who-we-are" TargetMode="External"/><Relationship Id="rId33" Type="http://schemas.openxmlformats.org/officeDocument/2006/relationships/footer" Target="footer8.xml"/><Relationship Id="rId38"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yperlink" Target="http://ec.europa.eu/finance/capital-markets-union/docs/20160913-cmu-accelerating-reform_en.pdf" TargetMode="External"/><Relationship Id="rId29" Type="http://schemas.openxmlformats.org/officeDocument/2006/relationships/footer" Target="footer6.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yperlink" Target="https://ec.europa.eu/info/law/better-regulation/initiatives/com-2017-536_en" TargetMode="External"/><Relationship Id="rId32" Type="http://schemas.openxmlformats.org/officeDocument/2006/relationships/header" Target="header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yperlink" Target="http://eur-lex.europa.eu/legal-content/SL/TXT/PDF/?uri=CELEX:52018DC0097&amp;from=SL" TargetMode="External"/><Relationship Id="rId28" Type="http://schemas.openxmlformats.org/officeDocument/2006/relationships/header" Target="header4.xml"/><Relationship Id="rId36" Type="http://schemas.openxmlformats.org/officeDocument/2006/relationships/header" Target="header8.xml"/><Relationship Id="rId10" Type="http://schemas.openxmlformats.org/officeDocument/2006/relationships/header" Target="header1.xml"/><Relationship Id="rId19" Type="http://schemas.openxmlformats.org/officeDocument/2006/relationships/hyperlink" Target="http://ec.europa.eu/clima/policies/international/negotiations/paris/index_en.htm" TargetMode="Externa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hyperlink" Target="http://ec.europa.eu/transparency/regdoc/rep/1/2017/SL/COM-2017-292-F1-SL-MAIN-PART-1.PDF" TargetMode="External"/><Relationship Id="rId27" Type="http://schemas.openxmlformats.org/officeDocument/2006/relationships/hyperlink" Target="http://ec.europa.eu/eurostat/web/europe-2020-indicators/resource-efficient-europe" TargetMode="External"/><Relationship Id="rId30" Type="http://schemas.openxmlformats.org/officeDocument/2006/relationships/header" Target="header5.xml"/><Relationship Id="rId35" Type="http://schemas.openxmlformats.org/officeDocument/2006/relationships/footer" Target="footer9.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info/sites/info/files/180131-sustainable-finance-final-report_en.pdf." TargetMode="External"/><Relationship Id="rId2" Type="http://schemas.openxmlformats.org/officeDocument/2006/relationships/hyperlink" Target="http://eur-lex.europa.eu/legal-content/EN/TXT/?qid=1483696687107&amp;uri=CELEX:52016SC0405" TargetMode="External"/><Relationship Id="rId1" Type="http://schemas.openxmlformats.org/officeDocument/2006/relationships/hyperlink" Target="https://ec.europa.eu/commission/sites/beta-political/files/juncker-political-guidelines-speech_sl.pdf." TargetMode="External"/><Relationship Id="rId5" Type="http://schemas.openxmlformats.org/officeDocument/2006/relationships/hyperlink" Target="https://myintracomm.ec.europa.eu/budgweb/EN/man/budgmanag/Pages/budgmanag.aspx" TargetMode="External"/><Relationship Id="rId4" Type="http://schemas.openxmlformats.org/officeDocument/2006/relationships/hyperlink" Target="https://ec.europa.eu/info/sites/info/files/180131-sustainable-finance-final-report_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7A27DCD9-D6BB-48A6-8951-08B65684B2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51</Pages>
  <Words>19461</Words>
  <Characters>117351</Characters>
  <Application>Microsoft Office Word</Application>
  <DocSecurity>0</DocSecurity>
  <Lines>4046</Lines>
  <Paragraphs>1800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135012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2018-06-27T09:23:00Z</dcterms:created>
  <dcterms:modified xsi:type="dcterms:W3CDTF">2018-06-28T06:38:00Z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6.0, Build 20171009</vt:lpwstr>
  </property>
  <property fmtid="{D5CDD505-2E9C-101B-9397-08002B2CF9AE}" pid="3" name="Category">
    <vt:lpwstr>COM/PL/ORG</vt:lpwstr>
  </property>
  <property fmtid="{D5CDD505-2E9C-101B-9397-08002B2CF9AE}" pid="4" name="Level of sensitivity">
    <vt:lpwstr>Standard treatment</vt:lpwstr>
  </property>
  <property fmtid="{D5CDD505-2E9C-101B-9397-08002B2CF9AE}" pid="5" name="Part">
    <vt:lpwstr>1</vt:lpwstr>
  </property>
  <property fmtid="{D5CDD505-2E9C-101B-9397-08002B2CF9AE}" pid="6" name="Total parts">
    <vt:lpwstr>1</vt:lpwstr>
  </property>
  <property fmtid="{D5CDD505-2E9C-101B-9397-08002B2CF9AE}" pid="7" name="LWTemplateID">
    <vt:lpwstr>SJ-023</vt:lpwstr>
  </property>
  <property fmtid="{D5CDD505-2E9C-101B-9397-08002B2CF9AE}" pid="8" name="DQCStatus">
    <vt:lpwstr>Green (DQC version 03)</vt:lpwstr>
  </property>
</Properties>
</file>