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375CFD3D-A7CB-4488-8BF4-D0EA74898D70" style="width:450.8pt;height:365.9pt">
            <v:imagedata r:id="rId9" o:title=""/>
          </v:shape>
        </w:pict>
      </w:r>
    </w:p>
    <w:p>
      <w:pPr>
        <w:rPr>
          <w:noProof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>
      <w:pPr>
        <w:pStyle w:val="Exposdesmotifstitre"/>
        <w:rPr>
          <w:noProof/>
        </w:rPr>
      </w:pPr>
      <w:bookmarkStart w:id="0" w:name="_GoBack"/>
      <w:bookmarkEnd w:id="0"/>
      <w:r>
        <w:rPr>
          <w:noProof/>
        </w:rPr>
        <w:lastRenderedPageBreak/>
        <w:t>OBRAZLOŽITVENI MEMORANDUM</w:t>
      </w:r>
    </w:p>
    <w:p>
      <w:pPr>
        <w:pStyle w:val="ManualHeading1"/>
        <w:rPr>
          <w:noProof/>
        </w:rPr>
      </w:pPr>
      <w:r>
        <w:rPr>
          <w:noProof/>
        </w:rPr>
        <w:t>1.</w:t>
      </w:r>
      <w:r>
        <w:rPr>
          <w:noProof/>
        </w:rPr>
        <w:tab/>
        <w:t>OZADJE PREDLOGA</w:t>
      </w:r>
    </w:p>
    <w:p>
      <w:pPr>
        <w:pStyle w:val="ManualHeading2"/>
        <w:rPr>
          <w:rFonts w:eastAsia="Arial Unicode MS"/>
          <w:noProof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Razlogi za predlog in njegovi cilji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29. novembra 2012 je Svet Komisijo pooblastil, da z Japonsko začne pogajanja o prostotrgovinskem sporazumu. </w:t>
      </w:r>
    </w:p>
    <w:p>
      <w:pPr>
        <w:shd w:val="clear" w:color="auto" w:fill="FFFFFF"/>
        <w:rPr>
          <w:noProof/>
          <w:sz w:val="22"/>
        </w:rPr>
      </w:pPr>
      <w:r>
        <w:rPr>
          <w:noProof/>
        </w:rPr>
        <w:t>Na podlagi pogajalskih smernic, ki jih je Svet sprejel leta 2012</w:t>
      </w:r>
      <w:r>
        <w:rPr>
          <w:rStyle w:val="FootnoteReference"/>
          <w:noProof/>
        </w:rPr>
        <w:footnoteReference w:id="1"/>
      </w:r>
      <w:r>
        <w:rPr>
          <w:noProof/>
        </w:rPr>
        <w:t>, je Komisija z Japonsko izoblikovala ambiciozen in celovit sporazum o gospodarskem partnerstvu, in sicer z namenom ustvarjanja novih priložnosti ter pravne varnosti za trgovino in naložbe med obema partnericama. Dogovorjena besedila so bila po koncu pogajanj objavljena in so na voljo na naslednji povezavi:</w:t>
      </w:r>
    </w:p>
    <w:p>
      <w:pPr>
        <w:shd w:val="clear" w:color="auto" w:fill="FFFFFF"/>
        <w:rPr>
          <w:noProof/>
        </w:rPr>
      </w:pPr>
      <w:hyperlink r:id="rId16">
        <w:r>
          <w:rPr>
            <w:rStyle w:val="Hyperlink"/>
            <w:noProof/>
            <w:color w:val="auto"/>
          </w:rPr>
          <w:t>http://trade.ec.europa.eu/doclib/press/index.cfm?id=1684</w:t>
        </w:r>
      </w:hyperlink>
    </w:p>
    <w:p>
      <w:pPr>
        <w:shd w:val="clear" w:color="auto" w:fill="FFFFFF"/>
        <w:rPr>
          <w:noProof/>
          <w:color w:val="1F497D"/>
        </w:rPr>
      </w:pP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b/>
          <w:noProof/>
          <w:color w:val="000000"/>
          <w:u w:color="000000"/>
          <w:bdr w:val="nil"/>
        </w:rPr>
      </w:pPr>
      <w:r>
        <w:rPr>
          <w:noProof/>
          <w:color w:val="000000"/>
          <w:u w:color="000000"/>
          <w:bdr w:val="nil"/>
        </w:rPr>
        <w:t xml:space="preserve">Ta predlog je bil pripravljen vzporedno z naslednjimi predlogi: </w:t>
      </w:r>
    </w:p>
    <w:p>
      <w:pPr>
        <w:pStyle w:val="Point0"/>
        <w:rPr>
          <w:noProof/>
        </w:rPr>
      </w:pPr>
      <w:r>
        <w:rPr>
          <w:noProof/>
        </w:rPr>
        <w:t>–</w:t>
      </w:r>
      <w:r>
        <w:rPr>
          <w:noProof/>
        </w:rPr>
        <w:tab/>
        <w:t>predlogom sklepa Sveta o podpisu sporazuma o gospodarskem partnerstvu med Evropsko unijo in Japonsko v imenu Evropske unije;</w:t>
      </w:r>
    </w:p>
    <w:p>
      <w:pPr>
        <w:pStyle w:val="Point0"/>
        <w:rPr>
          <w:noProof/>
        </w:rPr>
      </w:pPr>
      <w:r>
        <w:rPr>
          <w:noProof/>
        </w:rPr>
        <w:t>–</w:t>
      </w:r>
      <w:r>
        <w:rPr>
          <w:noProof/>
        </w:rPr>
        <w:tab/>
        <w:t xml:space="preserve">predlogom sklepa Sveta o sklenitvi sporazuma o gospodarskem partnerstvu med Evropsko unijo in Japonsko; </w:t>
      </w:r>
    </w:p>
    <w:p>
      <w:pPr>
        <w:pStyle w:val="Point0"/>
        <w:rPr>
          <w:noProof/>
        </w:rPr>
      </w:pPr>
      <w:r>
        <w:rPr>
          <w:noProof/>
        </w:rPr>
        <w:t>–</w:t>
      </w:r>
      <w:r>
        <w:rPr>
          <w:noProof/>
        </w:rPr>
        <w:tab/>
        <w:t xml:space="preserve">predlogom uredbe o zaščitnih ukrepih, ki bo obsegala zaščitne ukrepe, predvidene v sporazumu o gospodarskem partnerstvu med Evropsko unijo in Japonsko. 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Ta predlog Komisije je usmerjen v izvedbene določbe sporazuma o gospodarskem partnerstvu med Evropsko unijo in Japonsko v zvezi z izvozom enojno destiliranega žganja </w:t>
      </w:r>
      <w:r>
        <w:rPr>
          <w:i/>
          <w:noProof/>
        </w:rPr>
        <w:t>šoču</w:t>
      </w:r>
      <w:r>
        <w:rPr>
          <w:noProof/>
        </w:rPr>
        <w:t xml:space="preserve"> iz Japonske v Unijo, ki se proizvaja v kotlu in stekleniči na Japonskem, v Unijo se pa izvaža v tradicionalnih steklenicah za štiri goje</w:t>
      </w:r>
      <w:r>
        <w:rPr>
          <w:rFonts w:ascii="MS Gothic" w:hAnsi="MS Gothic" w:hint="eastAsia"/>
          <w:noProof/>
        </w:rPr>
        <w:t>（合）</w:t>
      </w:r>
      <w:r>
        <w:rPr>
          <w:noProof/>
        </w:rPr>
        <w:t xml:space="preserve"> ali en šo</w:t>
      </w:r>
      <w:r>
        <w:rPr>
          <w:rFonts w:ascii="MS Gothic" w:hAnsi="MS Gothic" w:hint="eastAsia"/>
          <w:noProof/>
        </w:rPr>
        <w:t>（升</w:t>
      </w:r>
      <w:r>
        <w:rPr>
          <w:rFonts w:ascii="MS Gothic" w:hAnsi="MS Gothic"/>
          <w:noProof/>
        </w:rPr>
        <w:t>)</w:t>
      </w:r>
      <w:r>
        <w:rPr>
          <w:rStyle w:val="FootnoteReference"/>
          <w:rFonts w:ascii="MS Gothic" w:hAnsi="MS Gothic"/>
          <w:noProof/>
        </w:rPr>
        <w:footnoteReference w:id="2"/>
      </w:r>
      <w:r>
        <w:rPr>
          <w:rFonts w:ascii="MS Gothic" w:hAnsi="MS Gothic"/>
          <w:noProof/>
        </w:rPr>
        <w:t>.</w:t>
      </w:r>
    </w:p>
    <w:p>
      <w:pPr>
        <w:pStyle w:val="ManualHeading2"/>
        <w:rPr>
          <w:rFonts w:eastAsia="Arial Unicode MS"/>
          <w:noProof/>
          <w:color w:val="000000"/>
          <w:u w:color="000000"/>
          <w:bdr w:val="nil"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Skladnost z veljavnimi predpisi s področja zadevne politike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Sporazum o gospodarskem partnerstvu med EU in Japonsko je v celoti skladen s politikami Unije in od EU ne bo zahteval spremembe pravil, predpisov ali standardov na katerem koli reguliranem področju (npr. tehničnih pravil ali standardov o izdelkih, sanitarnih ali fitosanitarnih pravil, predpisov v zvezi z varnostjo živil, standardov o zdravju in varnosti, pravil glede GSO, varstva okolja, varstva porabnikov itd.), razen glede potrebe po odobritvi odstopanja, da se olajša japonski izvoz enojno destiliranega žganja </w:t>
      </w:r>
      <w:r>
        <w:rPr>
          <w:i/>
          <w:noProof/>
        </w:rPr>
        <w:t>šoču</w:t>
      </w:r>
      <w:r>
        <w:rPr>
          <w:noProof/>
        </w:rPr>
        <w:t>, ki se proizvaja v kotlu in stekleniči na Japonskem in ki ga Japonska izvaža v tradicionalnih steklenicah za štiri goje</w:t>
      </w:r>
      <w:r>
        <w:rPr>
          <w:rFonts w:ascii="MS Gothic" w:hAnsi="MS Gothic" w:hint="eastAsia"/>
          <w:noProof/>
        </w:rPr>
        <w:t>（合）</w:t>
      </w:r>
      <w:r>
        <w:rPr>
          <w:noProof/>
        </w:rPr>
        <w:t xml:space="preserve"> ali en šo</w:t>
      </w:r>
      <w:r>
        <w:rPr>
          <w:rFonts w:ascii="MS Gothic" w:hAnsi="MS Gothic" w:hint="eastAsia"/>
          <w:noProof/>
        </w:rPr>
        <w:t>（升</w:t>
      </w:r>
      <w:r>
        <w:rPr>
          <w:rFonts w:ascii="MS Gothic" w:hAnsi="MS Gothic"/>
          <w:noProof/>
        </w:rPr>
        <w:t>).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Predlog Komisije je usmerjen v odobritev odstopanja od pravil Unije za velikost steklenic za enojno destilirano žganje </w:t>
      </w:r>
      <w:r>
        <w:rPr>
          <w:i/>
          <w:noProof/>
        </w:rPr>
        <w:t>šoču</w:t>
      </w:r>
      <w:r>
        <w:rPr>
          <w:noProof/>
        </w:rPr>
        <w:t>, ki se proizvaja v kotlu in stekleniči na Japonskem ter se tradicionalno prodaja v steklenicah velikosti štirih gojev</w:t>
      </w:r>
      <w:r>
        <w:rPr>
          <w:rFonts w:ascii="MS Gothic" w:hAnsi="MS Gothic" w:hint="eastAsia"/>
          <w:noProof/>
        </w:rPr>
        <w:t>（合）</w:t>
      </w:r>
      <w:r>
        <w:rPr>
          <w:noProof/>
        </w:rPr>
        <w:t>ali enega šoja</w:t>
      </w:r>
      <w:r>
        <w:rPr>
          <w:rFonts w:ascii="MS Gothic" w:hAnsi="MS Gothic" w:hint="eastAsia"/>
          <w:noProof/>
        </w:rPr>
        <w:t>（升</w:t>
      </w:r>
      <w:r>
        <w:rPr>
          <w:rFonts w:ascii="MS Gothic" w:hAnsi="MS Gothic"/>
          <w:noProof/>
        </w:rPr>
        <w:t xml:space="preserve">) </w:t>
      </w:r>
      <w:r>
        <w:rPr>
          <w:noProof/>
        </w:rPr>
        <w:t>, kar ustreza nazivni količini</w:t>
      </w:r>
      <w:r>
        <w:rPr>
          <w:rFonts w:ascii="MS Gothic" w:hAnsi="MS Gothic"/>
          <w:noProof/>
        </w:rPr>
        <w:t xml:space="preserve"> </w:t>
      </w:r>
      <w:r>
        <w:rPr>
          <w:noProof/>
        </w:rPr>
        <w:t>720 ml (en go ustreza 180 ml) oziroma</w:t>
      </w:r>
      <w:r>
        <w:rPr>
          <w:rFonts w:ascii="MS Gothic" w:hAnsi="MS Gothic"/>
          <w:noProof/>
        </w:rPr>
        <w:t xml:space="preserve"> </w:t>
      </w:r>
      <w:r>
        <w:rPr>
          <w:noProof/>
        </w:rPr>
        <w:t xml:space="preserve">1 800 ml, in ki trenutno niso med nazivnimi količinami, dovoljenimi v Uniji na podlagi Direktive 2007/45/ES o določitvi predpisov v zvezi z nazivnimi količinami predpakiranih proizvodov. </w:t>
      </w:r>
    </w:p>
    <w:p>
      <w:pPr>
        <w:pStyle w:val="ManualHeading2"/>
        <w:rPr>
          <w:rFonts w:eastAsia="Arial Unicode MS"/>
          <w:noProof/>
        </w:rPr>
      </w:pPr>
      <w:r>
        <w:rPr>
          <w:noProof/>
          <w:color w:val="000000"/>
          <w:u w:color="000000"/>
          <w:bdr w:val="nil"/>
        </w:rPr>
        <w:t>•</w:t>
      </w:r>
      <w:r>
        <w:rPr>
          <w:noProof/>
        </w:rPr>
        <w:tab/>
        <w:t>Skladnost z drugimi politikami Unije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Sporazum o gospodarskem partnerstvu med EU in Japonsko je v celoti skladen s politikami Unije in od EU ne bo zahteval spremembe pravil, predpisov ali standardov na katerem koli reguliranem področju (npr. tehničnih pravil ali standardov o izdelkih, sanitarnih ali fitosanitarnih pravil, predpisov v zvezi z varnostjo živil, standardov o zdravju in varnosti, pravil glede GSO, varstva okolja, varstva porabnikov itd.). </w:t>
      </w:r>
    </w:p>
    <w:p>
      <w:pPr>
        <w:pStyle w:val="ManualHeading1"/>
        <w:rPr>
          <w:noProof/>
        </w:rPr>
      </w:pPr>
      <w:r>
        <w:rPr>
          <w:noProof/>
        </w:rPr>
        <w:t>2.</w:t>
      </w:r>
      <w:r>
        <w:rPr>
          <w:noProof/>
        </w:rPr>
        <w:tab/>
        <w:t>PRAVNA PODLAGA, SUBSIDIARNOST IN SORAZMERNOST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Pravna podlaga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Člen 114(1) Pogodbe o delovanju Evropske unije, saj je ta predlog sprememba Uredbe (ES) št. 110/2008 Evropskega parlamenta in Sveta z dne 15. januarja 2008 o opredelitvi, opisu, predstavitvi, označevanju in zaščiti geografskih označb žganih pijač ter razveljavitvi Uredbe Sveta (EGS) št. 1576/89 (UL L 39, 13.2.2008, str. 16).  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 xml:space="preserve">Subsidiarnost (za neizključno pristojnost) </w:t>
      </w:r>
    </w:p>
    <w:p>
      <w:pPr>
        <w:rPr>
          <w:noProof/>
        </w:rPr>
      </w:pPr>
      <w:r>
        <w:rPr>
          <w:noProof/>
        </w:rPr>
        <w:t xml:space="preserve">V skladu s členom 3 PDEU je skupna trgovinska politika, v okviru katere bo sklenjen sporazum o gospodarskem partnerstvu med EU in Japonsko, izključna pristojnost Unije. </w:t>
      </w:r>
    </w:p>
    <w:p>
      <w:pPr>
        <w:rPr>
          <w:rFonts w:eastAsia="Arial Unicode MS"/>
          <w:noProof/>
        </w:rPr>
      </w:pPr>
      <w:r>
        <w:rPr>
          <w:noProof/>
        </w:rPr>
        <w:t xml:space="preserve">Ta predlog izvaja določbo sporazuma o gospodarskem partnerstvu med EU in Japonsko, ki pomeni odstopanje za enojno destilirano žganje </w:t>
      </w:r>
      <w:r>
        <w:rPr>
          <w:i/>
          <w:noProof/>
        </w:rPr>
        <w:t>šoču</w:t>
      </w:r>
      <w:r>
        <w:rPr>
          <w:noProof/>
        </w:rPr>
        <w:t xml:space="preserve"> od sedanjih pravil Unije o nazivnih količinah žganih pijač, ki se lahko tržijo (Direktiva 2007/45/ES). Takšno odstopanje se lahko uvede samo z zakonodajo Unije.  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Sorazmernost</w:t>
      </w:r>
    </w:p>
    <w:p>
      <w:pPr>
        <w:rPr>
          <w:rFonts w:eastAsia="Arial Unicode MS"/>
          <w:noProof/>
        </w:rPr>
      </w:pPr>
      <w:r>
        <w:rPr>
          <w:noProof/>
        </w:rPr>
        <w:t xml:space="preserve">Sporazum o gospodarskem partnerstvu med EU in Japonsko je skladen z vizijo strategije Evropa 2020 in prispeva k trgovinskim ter razvojnim ciljem EU. Namen tega predloga je izvajanje določbe sporazuma o gospodarskem partnerstvu med Evropsko unijo in Japonsko v okviru pravnega reda Unije.  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Izbira instrumenta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Predlagano odstopanje za izvajanje sporazuma o gospodarskem partnerstvu med EU in Japonsko se lahko uvede samo z uredbo, saj ga morajo z začetkom veljavnosti sporazuma o gospodarskem partnerstvu med EU in Japonsko začeti uporabljati istočasno vse države članice. </w:t>
      </w:r>
    </w:p>
    <w:p>
      <w:pPr>
        <w:pStyle w:val="ManualHeading1"/>
        <w:rPr>
          <w:noProof/>
        </w:rPr>
      </w:pPr>
      <w:r>
        <w:rPr>
          <w:noProof/>
        </w:rPr>
        <w:t>3.</w:t>
      </w:r>
      <w:r>
        <w:rPr>
          <w:noProof/>
        </w:rPr>
        <w:tab/>
        <w:t>REZULTATI NAKNADNIH OCEN, POSVETOVANJ Z ZAINTERESIRANIMI STRANMI IN OCEN UČINKA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Posvetovanja z zainteresiranimi stranmi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Zbiranje in uporaba strokovnih mnenj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Ocena učinka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>Posvetovanja z zainteresiranimi stranmi in ocene učinka so potekali kot del procesa, ki vodi k sklenitvi sporazuma o gospodarskem partnerstvu med EU in Japonsko. Podrobnosti o teh posvetovanjih in ocenah so v predlogu Komisije za sklep Sveta o podpisu sporazuma o gospodarskem partnerstvu med Evropsko unijo in Japonsko v imenu Evropske unije.</w:t>
      </w:r>
    </w:p>
    <w:p>
      <w:pPr>
        <w:rPr>
          <w:noProof/>
        </w:rPr>
      </w:pPr>
      <w:r>
        <w:rPr>
          <w:noProof/>
        </w:rPr>
        <w:t>Oceno učinka trgovine iz sporazuma o gospodarskem partnerstvu med EU in Japonsko na trajnostni razvoj je pripravil zunanji izvajalec „London School of Economics Enterprises”. Podrobnosti so v predlogu Komisije za sklep Sveta o podpisu sporazuma o gospodarskem partnerstvu med Evropsko unijo in Japonsko v imenu Evropske unije.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Sporazum o gospodarskem partnerstvu med EU in Japonsko ni predmet postopkov programa ustreznosti in uspešnosti predpisov. Ta predlog tudi ni predmet postopkov programa ustreznosti in uspešnosti predpisov. 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Temeljne pravice</w:t>
      </w:r>
    </w:p>
    <w:p>
      <w:pPr>
        <w:rPr>
          <w:noProof/>
        </w:rPr>
      </w:pPr>
      <w:r>
        <w:rPr>
          <w:noProof/>
        </w:rPr>
        <w:t>Predlog ne vpliva na varstvo temeljnih pravic Unije.</w:t>
      </w:r>
    </w:p>
    <w:p>
      <w:pPr>
        <w:pStyle w:val="ManualHeading1"/>
        <w:rPr>
          <w:noProof/>
        </w:rPr>
      </w:pPr>
      <w:r>
        <w:rPr>
          <w:noProof/>
        </w:rPr>
        <w:t>4.</w:t>
      </w:r>
      <w:r>
        <w:rPr>
          <w:noProof/>
        </w:rPr>
        <w:tab/>
        <w:t>PRORAČUNSKE POSLEDICE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noProof/>
        </w:rPr>
      </w:pPr>
      <w:r>
        <w:rPr>
          <w:noProof/>
        </w:rPr>
        <w:t xml:space="preserve">Ta predlog ne bo vplival na proračun Unije. </w:t>
      </w:r>
    </w:p>
    <w:p>
      <w:pPr>
        <w:rPr>
          <w:noProof/>
        </w:rPr>
      </w:pPr>
      <w:r>
        <w:rPr>
          <w:noProof/>
        </w:rPr>
        <w:t xml:space="preserve">Sporazum o gospodarskem partnerstvu med EU in Japonsko bo imel finančne posledice na proračun EU na strani </w:t>
      </w:r>
      <w:r>
        <w:rPr>
          <w:b/>
          <w:noProof/>
        </w:rPr>
        <w:t>prihodkov</w:t>
      </w:r>
      <w:r>
        <w:rPr>
          <w:noProof/>
        </w:rPr>
        <w:t xml:space="preserve">. Ocenjuje se, da bi izpad dajatev pri polnem izvajanju sporazuma lahko dosegel 1,6 milijarde EUR. </w:t>
      </w:r>
    </w:p>
    <w:p>
      <w:pPr>
        <w:pStyle w:val="ManualHeading1"/>
        <w:rPr>
          <w:noProof/>
        </w:rPr>
      </w:pPr>
      <w:r>
        <w:rPr>
          <w:noProof/>
        </w:rPr>
        <w:t>5.</w:t>
      </w:r>
      <w:r>
        <w:rPr>
          <w:noProof/>
        </w:rPr>
        <w:tab/>
        <w:t>DRUGI ELEMENTI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Načrti za izvedbo ter ureditev spremljanja, ocenjevanja in poročanja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Za ta predlog niso predvideni nobeni posebni načrti za izvedbo in ureditve poročanja. 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Obrazložitveni dokumenti (za direktive)</w:t>
      </w:r>
    </w:p>
    <w:p>
      <w:pPr>
        <w:pBdr>
          <w:top w:val="nil"/>
          <w:left w:val="nil"/>
          <w:bottom w:val="nil"/>
          <w:right w:val="nil"/>
          <w:between w:val="nil"/>
          <w:bar w:val="nil"/>
        </w:pBdr>
        <w:spacing w:before="0" w:after="240"/>
        <w:rPr>
          <w:rFonts w:eastAsia="Arial Unicode MS"/>
          <w:noProof/>
        </w:rPr>
      </w:pPr>
      <w:r>
        <w:rPr>
          <w:noProof/>
        </w:rPr>
        <w:t xml:space="preserve">Ni relevantno. </w:t>
      </w:r>
    </w:p>
    <w:p>
      <w:pPr>
        <w:pStyle w:val="ManualHeading2"/>
        <w:rPr>
          <w:rFonts w:eastAsia="Arial Unicode MS"/>
          <w:noProof/>
          <w:u w:color="000000"/>
          <w:bdr w:val="nil"/>
        </w:rPr>
      </w:pPr>
      <w:r>
        <w:rPr>
          <w:noProof/>
        </w:rPr>
        <w:t>•</w:t>
      </w:r>
      <w:r>
        <w:rPr>
          <w:noProof/>
        </w:rPr>
        <w:tab/>
        <w:t>Natančnejša pojasnitev posameznih določb predloga</w:t>
      </w:r>
    </w:p>
    <w:p>
      <w:pPr>
        <w:pStyle w:val="Text1"/>
        <w:ind w:left="0"/>
        <w:rPr>
          <w:noProof/>
        </w:rPr>
      </w:pPr>
      <w:r>
        <w:rPr>
          <w:noProof/>
        </w:rPr>
        <w:t xml:space="preserve">Predlog uvaja posebno odstopanje od nazivnih količin za žgane pijače iz člena 3 in oddelka 1 Priloge k Direktivi 2007/45/ES za enojno destilirano žganje </w:t>
      </w:r>
      <w:r>
        <w:rPr>
          <w:i/>
          <w:noProof/>
        </w:rPr>
        <w:t>šoču</w:t>
      </w:r>
      <w:r>
        <w:rPr>
          <w:noProof/>
        </w:rPr>
        <w:t>, ki se proizvaja v kotlu in stekleniči na Japonskem, tako da se ga v Uniji lahko trži v tradicionalnih steklenicah velikosti štirih gojev</w:t>
      </w:r>
      <w:r>
        <w:rPr>
          <w:rFonts w:ascii="MS Gothic" w:hAnsi="MS Gothic" w:hint="eastAsia"/>
          <w:noProof/>
        </w:rPr>
        <w:t>（合）</w:t>
      </w:r>
      <w:r>
        <w:rPr>
          <w:noProof/>
        </w:rPr>
        <w:t xml:space="preserve"> in enega šoja</w:t>
      </w:r>
      <w:r>
        <w:rPr>
          <w:rFonts w:ascii="MS Gothic" w:hAnsi="MS Gothic" w:hint="eastAsia"/>
          <w:noProof/>
        </w:rPr>
        <w:t>（升</w:t>
      </w:r>
      <w:r>
        <w:rPr>
          <w:rFonts w:ascii="MS Gothic" w:hAnsi="MS Gothic"/>
          <w:noProof/>
        </w:rPr>
        <w:t xml:space="preserve">), </w:t>
      </w:r>
      <w:r>
        <w:rPr>
          <w:noProof/>
        </w:rPr>
        <w:t xml:space="preserve">kar ustreza nazivni količini 720 ml oziroma 1 800 ml, pod pogojem, da so izpolnjene druge zahteve Unije za takšne žgane pijače. </w:t>
      </w:r>
    </w:p>
    <w:p>
      <w:pPr>
        <w:rPr>
          <w:noProof/>
        </w:rPr>
        <w:sectPr>
          <w:footerReference w:type="default" r:id="rId17"/>
          <w:footerReference w:type="first" r:id="rId18"/>
          <w:pgSz w:w="11907" w:h="16839"/>
          <w:pgMar w:top="1134" w:right="1417" w:bottom="1134" w:left="1417" w:header="709" w:footer="709" w:gutter="0"/>
          <w:cols w:space="708"/>
          <w:docGrid w:linePitch="360"/>
        </w:sectPr>
      </w:pPr>
    </w:p>
    <w:p>
      <w:pPr>
        <w:pStyle w:val="Rfrenceinterinstitutionnelle"/>
        <w:rPr>
          <w:noProof/>
        </w:rPr>
      </w:pPr>
      <w:r>
        <w:rPr>
          <w:noProof/>
        </w:rPr>
        <w:t>2018/0097 (COD)</w:t>
      </w:r>
    </w:p>
    <w:p>
      <w:pPr>
        <w:pStyle w:val="Statut"/>
        <w:rPr>
          <w:noProof/>
        </w:rPr>
      </w:pPr>
      <w:r>
        <w:rPr>
          <w:noProof/>
        </w:rPr>
        <w:t>Predlog</w:t>
      </w:r>
    </w:p>
    <w:p>
      <w:pPr>
        <w:pStyle w:val="Typedudocument"/>
        <w:rPr>
          <w:noProof/>
        </w:rPr>
      </w:pPr>
      <w:r>
        <w:rPr>
          <w:noProof/>
        </w:rPr>
        <w:t>UREDBA EVROPSKEGA PARLAMENTA IN SVETA</w:t>
      </w:r>
    </w:p>
    <w:p>
      <w:pPr>
        <w:pStyle w:val="Titreobjet"/>
        <w:rPr>
          <w:noProof/>
        </w:rPr>
      </w:pPr>
      <w:r>
        <w:rPr>
          <w:noProof/>
        </w:rPr>
        <w:t xml:space="preserve">o spremembi Uredbe (ES) št. 110/2008 v zvezi z nazivnimi količinami za dajanje enojno destiliranega žganja </w:t>
      </w:r>
      <w:r>
        <w:rPr>
          <w:i/>
          <w:noProof/>
        </w:rPr>
        <w:t>šoču</w:t>
      </w:r>
      <w:r>
        <w:rPr>
          <w:noProof/>
        </w:rPr>
        <w:t>, ki se proizvaja v kotlu in stekleniči na Japonskem, na trg Unije</w:t>
      </w:r>
    </w:p>
    <w:p>
      <w:pPr>
        <w:pStyle w:val="Institutionquiagit"/>
        <w:rPr>
          <w:noProof/>
        </w:rPr>
      </w:pPr>
      <w:r>
        <w:rPr>
          <w:noProof/>
        </w:rPr>
        <w:t>EVROPSKI PARLAMENT IN SVET EVROPSKE UNIJE STA –</w:t>
      </w:r>
    </w:p>
    <w:p>
      <w:pPr>
        <w:rPr>
          <w:noProof/>
        </w:rPr>
      </w:pPr>
      <w:r>
        <w:rPr>
          <w:noProof/>
        </w:rPr>
        <w:t xml:space="preserve">ob upoštevanju Pogodbe o delovanju Evropske unije in zlasti člena 114(1) Pogodbe, </w:t>
      </w:r>
    </w:p>
    <w:p>
      <w:pPr>
        <w:rPr>
          <w:noProof/>
        </w:rPr>
      </w:pPr>
      <w:r>
        <w:rPr>
          <w:noProof/>
        </w:rPr>
        <w:t>ob upoštevanju predloga Evropske komisije,</w:t>
      </w:r>
    </w:p>
    <w:p>
      <w:pPr>
        <w:rPr>
          <w:noProof/>
        </w:rPr>
      </w:pPr>
      <w:r>
        <w:rPr>
          <w:noProof/>
        </w:rPr>
        <w:t>po posredovanju osnutka zakonodajnega akta nacionalnim parlamentom,</w:t>
      </w:r>
    </w:p>
    <w:p>
      <w:pPr>
        <w:rPr>
          <w:noProof/>
        </w:rPr>
      </w:pPr>
      <w:r>
        <w:rPr>
          <w:noProof/>
        </w:rPr>
        <w:t>ob upoštevanju mnenja Evropskega ekonomsko-socialnega odbora</w:t>
      </w:r>
      <w:r>
        <w:rPr>
          <w:rStyle w:val="FootnoteReference"/>
          <w:noProof/>
        </w:rPr>
        <w:footnoteReference w:id="3"/>
      </w:r>
      <w:r>
        <w:rPr>
          <w:noProof/>
        </w:rPr>
        <w:t xml:space="preserve">, </w:t>
      </w:r>
    </w:p>
    <w:p>
      <w:pPr>
        <w:rPr>
          <w:noProof/>
        </w:rPr>
      </w:pPr>
      <w:r>
        <w:rPr>
          <w:noProof/>
        </w:rPr>
        <w:t>v skladu z rednim zakonodajnim postopkom,</w:t>
      </w:r>
    </w:p>
    <w:p>
      <w:pPr>
        <w:rPr>
          <w:noProof/>
        </w:rPr>
      </w:pPr>
      <w:r>
        <w:rPr>
          <w:noProof/>
        </w:rPr>
        <w:t>ob upoštevanju naslednjega:</w:t>
      </w:r>
    </w:p>
    <w:p>
      <w:pPr>
        <w:pStyle w:val="ManualConsidrant"/>
        <w:rPr>
          <w:noProof/>
        </w:rPr>
      </w:pPr>
      <w:r>
        <w:t>(1)</w:t>
      </w:r>
      <w:r>
        <w:tab/>
      </w:r>
      <w:r>
        <w:rPr>
          <w:noProof/>
        </w:rPr>
        <w:t xml:space="preserve">S sklepom z dne 29. novembra 2012 je Svet Komisijo pooblastil, da z Japonsko začne pogajanja o prostotrgovinskem sporazumu. </w:t>
      </w:r>
    </w:p>
    <w:p>
      <w:pPr>
        <w:pStyle w:val="ManualConsidrant"/>
        <w:rPr>
          <w:noProof/>
        </w:rPr>
      </w:pPr>
      <w:r>
        <w:t>(2)</w:t>
      </w:r>
      <w:r>
        <w:tab/>
      </w:r>
      <w:r>
        <w:rPr>
          <w:noProof/>
        </w:rPr>
        <w:t xml:space="preserve">Pogajanja o sporazumu o gospodarskem partnerstvu med Evropsko unijo in Japonsko (v nadaljevanju: sporazum) so bila uspešno sklenjena. </w:t>
      </w:r>
    </w:p>
    <w:p>
      <w:pPr>
        <w:pStyle w:val="ManualConsidrant"/>
        <w:rPr>
          <w:noProof/>
        </w:rPr>
      </w:pPr>
      <w:r>
        <w:t>(3)</w:t>
      </w:r>
      <w:r>
        <w:tab/>
      </w:r>
      <w:r>
        <w:rPr>
          <w:noProof/>
        </w:rPr>
        <w:t>Priloga 2-D</w:t>
      </w:r>
      <w:r>
        <w:rPr>
          <w:i/>
          <w:noProof/>
        </w:rPr>
        <w:t xml:space="preserve"> </w:t>
      </w:r>
      <w:r>
        <w:rPr>
          <w:noProof/>
        </w:rPr>
        <w:t xml:space="preserve">k sporazumu določa, da se lahko enojno destilirano žganje </w:t>
      </w:r>
      <w:r>
        <w:rPr>
          <w:i/>
          <w:noProof/>
        </w:rPr>
        <w:t>šoču</w:t>
      </w:r>
      <w:r>
        <w:rPr>
          <w:noProof/>
        </w:rPr>
        <w:t>, kot je opredeljeno v pododstavku 10 člena 3 japonskega zakona o davku od alkoholnih pijač (zakon št. 6 iz 1953) ter ki se proizvaja v kotlu in stekleniči na Japonskem, daje na trg Evropske unije v tradicionalnih steklenicah velikosti štirih gojev</w:t>
      </w:r>
      <w:r>
        <w:rPr>
          <w:rFonts w:ascii="MS Gothic" w:eastAsia="MS Gothic" w:hAnsi="MS Gothic" w:cs="MS Gothic" w:hint="eastAsia"/>
          <w:noProof/>
          <w:sz w:val="20"/>
        </w:rPr>
        <w:t>（合</w:t>
      </w:r>
      <w:r>
        <w:rPr>
          <w:rFonts w:ascii="MS Gothic" w:hAnsi="MS Gothic"/>
          <w:noProof/>
          <w:sz w:val="20"/>
        </w:rPr>
        <w:t>)</w:t>
      </w:r>
      <w:r>
        <w:rPr>
          <w:noProof/>
        </w:rPr>
        <w:t xml:space="preserve"> in</w:t>
      </w:r>
      <w:r>
        <w:rPr>
          <w:rFonts w:ascii="MS Gothic" w:hAnsi="MS Gothic"/>
          <w:noProof/>
          <w:sz w:val="20"/>
        </w:rPr>
        <w:t xml:space="preserve"> </w:t>
      </w:r>
      <w:r>
        <w:rPr>
          <w:noProof/>
        </w:rPr>
        <w:t>enega šoja</w:t>
      </w:r>
      <w:r>
        <w:rPr>
          <w:noProof/>
          <w:sz w:val="20"/>
        </w:rPr>
        <w:t xml:space="preserve"> (</w:t>
      </w:r>
      <w:r>
        <w:rPr>
          <w:rFonts w:ascii="MS Gothic" w:eastAsia="MS Gothic" w:hAnsi="MS Gothic" w:cs="MS Gothic" w:hint="eastAsia"/>
          <w:noProof/>
          <w:sz w:val="20"/>
        </w:rPr>
        <w:t>升）</w:t>
      </w:r>
      <w:r>
        <w:rPr>
          <w:rFonts w:ascii="MS Gothic" w:hAnsi="MS Gothic"/>
          <w:noProof/>
          <w:sz w:val="20"/>
        </w:rPr>
        <w:t xml:space="preserve">, </w:t>
      </w:r>
      <w:r>
        <w:rPr>
          <w:noProof/>
        </w:rPr>
        <w:t>kar ustreza nazivni količini 720 ml oziroma 1 800 ml, pod pogojem, da so izpolnjene druge veljavne pravne zahteve Evropske unije.</w:t>
      </w:r>
    </w:p>
    <w:p>
      <w:pPr>
        <w:pStyle w:val="ManualConsidrant"/>
        <w:rPr>
          <w:noProof/>
        </w:rPr>
      </w:pPr>
      <w:r>
        <w:t>(4)</w:t>
      </w:r>
      <w:r>
        <w:tab/>
      </w:r>
      <w:r>
        <w:rPr>
          <w:noProof/>
        </w:rPr>
        <w:t>Člen 3 Direktive 2007/45/ES Evropskega parlamenta in Sveta</w:t>
      </w:r>
      <w:r>
        <w:rPr>
          <w:rStyle w:val="FootnoteReference"/>
          <w:noProof/>
        </w:rPr>
        <w:footnoteReference w:id="4"/>
      </w:r>
      <w:r>
        <w:rPr>
          <w:noProof/>
        </w:rPr>
        <w:t xml:space="preserve"> določa, da se predpakirane žgane pijače lahko dajo na trg Unije samo, če so predpakirane v nazivnih količinah, navedenih v točki 1 Priloge k navedeni direktivi. Za žgane pijače točka 1 Priloge k Direktivi 2007/45/ES vsebuje devet nazivnih količin v razponu od 100 ml do 2 000 ml. Te nazivne količine ne vključujejo 720 ml in 1 800 ml, torej nazivnih količin, v katerih se enojno destilirano žganje </w:t>
      </w:r>
      <w:r>
        <w:rPr>
          <w:i/>
          <w:noProof/>
        </w:rPr>
        <w:t>šoču</w:t>
      </w:r>
      <w:r>
        <w:rPr>
          <w:noProof/>
        </w:rPr>
        <w:t xml:space="preserve">, proizvedeno v kotlu, stekleniči in trži na Japonskem. </w:t>
      </w:r>
    </w:p>
    <w:p>
      <w:pPr>
        <w:pStyle w:val="ManualConsidrant"/>
        <w:rPr>
          <w:noProof/>
        </w:rPr>
      </w:pPr>
      <w:r>
        <w:t>(5)</w:t>
      </w:r>
      <w:r>
        <w:tab/>
      </w:r>
      <w:r>
        <w:rPr>
          <w:noProof/>
        </w:rPr>
        <w:t xml:space="preserve">Odstopanje od nazivnih količin, določenih za žgane pijače v Prilogi k Direktivi 2007/45/ES, je zato potrebno, da se zagotovi, da se enojno destilirano žganje </w:t>
      </w:r>
      <w:r>
        <w:rPr>
          <w:i/>
          <w:noProof/>
        </w:rPr>
        <w:t>šoču</w:t>
      </w:r>
      <w:r>
        <w:rPr>
          <w:noProof/>
        </w:rPr>
        <w:t>, ki se proizvaja v kotlu in stekleniči na Japonskem, lahko da na trg Unije, kot je določeno v sporazumu, in sicer v tradicionalnih steklenicah v nazivnih količinah 720 ml in 1 800 ml, ki ustrezajo japonskim steklenicam velikosti štirih gojev</w:t>
      </w:r>
      <w:r>
        <w:rPr>
          <w:rFonts w:ascii="MS Gothic" w:eastAsia="MS Gothic" w:hAnsi="MS Gothic" w:cs="MS Gothic" w:hint="eastAsia"/>
          <w:noProof/>
          <w:sz w:val="20"/>
        </w:rPr>
        <w:t>（合</w:t>
      </w:r>
      <w:r>
        <w:rPr>
          <w:rFonts w:ascii="MS Gothic" w:hAnsi="MS Gothic"/>
          <w:noProof/>
          <w:sz w:val="20"/>
        </w:rPr>
        <w:t xml:space="preserve">) </w:t>
      </w:r>
      <w:r>
        <w:rPr>
          <w:noProof/>
        </w:rPr>
        <w:t>oziroma enega šoja</w:t>
      </w:r>
      <w:r>
        <w:rPr>
          <w:noProof/>
          <w:sz w:val="20"/>
        </w:rPr>
        <w:t xml:space="preserve"> (</w:t>
      </w:r>
      <w:r>
        <w:rPr>
          <w:rFonts w:ascii="MS Gothic" w:eastAsia="MS Gothic" w:hAnsi="MS Gothic" w:cs="MS Gothic" w:hint="eastAsia"/>
          <w:noProof/>
          <w:sz w:val="20"/>
        </w:rPr>
        <w:t>升）</w:t>
      </w:r>
      <w:r>
        <w:rPr>
          <w:rFonts w:ascii="MS Gothic" w:hAnsi="MS Gothic"/>
          <w:noProof/>
          <w:sz w:val="20"/>
        </w:rPr>
        <w:t xml:space="preserve">. </w:t>
      </w:r>
      <w:r>
        <w:rPr>
          <w:noProof/>
        </w:rPr>
        <w:t xml:space="preserve"> </w:t>
      </w:r>
    </w:p>
    <w:p>
      <w:pPr>
        <w:pStyle w:val="ManualConsidrant"/>
        <w:rPr>
          <w:noProof/>
        </w:rPr>
      </w:pPr>
      <w:r>
        <w:t>(6)</w:t>
      </w:r>
      <w:r>
        <w:tab/>
      </w:r>
      <w:r>
        <w:rPr>
          <w:noProof/>
        </w:rPr>
        <w:t>To odstopanje je treba uvesti s spremembo Uredbe (ES) št. 110/2008 Evropskega parlamenta in Sveta</w:t>
      </w:r>
      <w:r>
        <w:rPr>
          <w:rStyle w:val="FootnoteReference"/>
          <w:noProof/>
        </w:rPr>
        <w:footnoteReference w:id="5"/>
      </w:r>
      <w:r>
        <w:rPr>
          <w:noProof/>
        </w:rPr>
        <w:t xml:space="preserve">, da se zagotovi, da se lahko enojno destilirano žganje </w:t>
      </w:r>
      <w:r>
        <w:rPr>
          <w:i/>
          <w:noProof/>
        </w:rPr>
        <w:t>šoču</w:t>
      </w:r>
      <w:r>
        <w:rPr>
          <w:noProof/>
        </w:rPr>
        <w:t xml:space="preserve">, ki se proizvaja v kotlu in stekleniči na Japonskem, da na trg v vseh državah članicah istočasno z začetkom veljavnosti sporazuma. </w:t>
      </w:r>
    </w:p>
    <w:p>
      <w:pPr>
        <w:pStyle w:val="ManualConsidrant"/>
        <w:rPr>
          <w:noProof/>
        </w:rPr>
      </w:pPr>
      <w:r>
        <w:t>(7)</w:t>
      </w:r>
      <w:r>
        <w:tab/>
      </w:r>
      <w:r>
        <w:rPr>
          <w:noProof/>
        </w:rPr>
        <w:t>Uredbo (ES) št. 110/2008 bi bilo zato treba spremeniti.</w:t>
      </w:r>
    </w:p>
    <w:p>
      <w:pPr>
        <w:pStyle w:val="ManualConsidrant"/>
        <w:rPr>
          <w:noProof/>
        </w:rPr>
      </w:pPr>
      <w:r>
        <w:t>(8)</w:t>
      </w:r>
      <w:r>
        <w:tab/>
      </w:r>
      <w:r>
        <w:rPr>
          <w:noProof/>
        </w:rPr>
        <w:t xml:space="preserve">Da se zagotovi izvajanje sporazuma, kar zadeva dajanje enojno destiliranega žganja </w:t>
      </w:r>
      <w:r>
        <w:rPr>
          <w:i/>
          <w:noProof/>
        </w:rPr>
        <w:t>šoču</w:t>
      </w:r>
      <w:r>
        <w:rPr>
          <w:noProof/>
        </w:rPr>
        <w:t>, ki se proizvaja v kotlu in stekleniči na Japonskem, na trg Unije, bi bilo treba to uredbo uporabljati od dneva začetka veljavnosti sporazuma –</w:t>
      </w:r>
    </w:p>
    <w:p>
      <w:pPr>
        <w:pStyle w:val="Formuledadoption"/>
        <w:rPr>
          <w:noProof/>
        </w:rPr>
      </w:pPr>
      <w:r>
        <w:rPr>
          <w:noProof/>
        </w:rPr>
        <w:t>SPREJELA NASLEDNJO UREDBO:</w:t>
      </w:r>
    </w:p>
    <w:p>
      <w:pPr>
        <w:pStyle w:val="Titrearticle"/>
        <w:rPr>
          <w:noProof/>
        </w:rPr>
      </w:pPr>
      <w:r>
        <w:rPr>
          <w:noProof/>
        </w:rPr>
        <w:t>Člen 1</w:t>
      </w:r>
    </w:p>
    <w:p>
      <w:pPr>
        <w:rPr>
          <w:noProof/>
        </w:rPr>
      </w:pPr>
      <w:r>
        <w:rPr>
          <w:noProof/>
        </w:rPr>
        <w:t xml:space="preserve">Uredba (ES) št. 110/2008 se spremeni: </w:t>
      </w:r>
    </w:p>
    <w:p>
      <w:pPr>
        <w:rPr>
          <w:noProof/>
        </w:rPr>
      </w:pPr>
      <w:r>
        <w:rPr>
          <w:noProof/>
        </w:rPr>
        <w:t>v poglavju IV se vstavi naslednji člen 24a:</w:t>
      </w:r>
    </w:p>
    <w:p>
      <w:pPr>
        <w:pStyle w:val="Titrearticle"/>
        <w:rPr>
          <w:noProof/>
        </w:rPr>
      </w:pPr>
      <w:r>
        <w:rPr>
          <w:noProof/>
        </w:rPr>
        <w:t>„Člen 24a</w:t>
      </w:r>
    </w:p>
    <w:p>
      <w:pPr>
        <w:ind w:left="1440" w:firstLine="720"/>
        <w:rPr>
          <w:b/>
          <w:noProof/>
        </w:rPr>
      </w:pPr>
      <w:r>
        <w:rPr>
          <w:b/>
          <w:noProof/>
        </w:rPr>
        <w:t xml:space="preserve">Odstopanje od Direktive 2007/45/ES </w:t>
      </w:r>
    </w:p>
    <w:p>
      <w:pPr>
        <w:rPr>
          <w:noProof/>
        </w:rPr>
      </w:pPr>
      <w:r>
        <w:rPr>
          <w:noProof/>
        </w:rPr>
        <w:t xml:space="preserve">Z odstopanjem od člena 3 Direktive 2007/45/ES Evropskega parlamenta in Sveta* in od šeste vrstice točke 1 Priloge k navedeni direktivi se lahko enojno destilirano žganje </w:t>
      </w:r>
      <w:r>
        <w:rPr>
          <w:i/>
          <w:noProof/>
        </w:rPr>
        <w:t>šoču**</w:t>
      </w:r>
      <w:r>
        <w:rPr>
          <w:noProof/>
        </w:rPr>
        <w:t>, ki se proizvaja v kotlu in stekleniči na Japonskem, daje na trg Unije v nazivnih količinah 720 ml in 1 800 ml.</w:t>
      </w:r>
    </w:p>
    <w:p>
      <w:pPr>
        <w:rPr>
          <w:noProof/>
        </w:rPr>
      </w:pPr>
      <w:r>
        <w:rPr>
          <w:noProof/>
        </w:rPr>
        <w:t>----------------------------</w:t>
      </w:r>
    </w:p>
    <w:p>
      <w:pPr>
        <w:rPr>
          <w:noProof/>
        </w:rPr>
      </w:pPr>
      <w:r>
        <w:rPr>
          <w:noProof/>
          <w:vertAlign w:val="superscript"/>
        </w:rPr>
        <w:t>*</w:t>
      </w:r>
      <w:r>
        <w:rPr>
          <w:noProof/>
        </w:rPr>
        <w:tab/>
        <w:t>Direktiva 2007/45/ES Evropskega parlamenta in Sveta z dne 5. septembra 2007 o določitvi predpisov v zvezi z nazivnimi količinami predpakiranih proizvodov, razveljavitvi direktiv Sveta 75/106/EGS in 80/232/EGS ter spremembi Direktive Sveta 76/211/EGS (UL L 247, 21.9.2007, str. 17).</w:t>
      </w:r>
    </w:p>
    <w:p>
      <w:pPr>
        <w:rPr>
          <w:noProof/>
        </w:rPr>
      </w:pPr>
      <w:r>
        <w:rPr>
          <w:noProof/>
        </w:rPr>
        <w:t>**</w:t>
      </w:r>
      <w:r>
        <w:rPr>
          <w:noProof/>
        </w:rPr>
        <w:tab/>
        <w:t>Kot je določeno v Prilogi 2-D sporazuma o gospodarskem partnerstvu med Evropsko unijo in Japonsko.</w:t>
      </w:r>
    </w:p>
    <w:p>
      <w:pPr>
        <w:rPr>
          <w:noProof/>
        </w:rPr>
      </w:pPr>
    </w:p>
    <w:p>
      <w:pPr>
        <w:pStyle w:val="Titrearticle"/>
        <w:rPr>
          <w:noProof/>
        </w:rPr>
      </w:pPr>
      <w:r>
        <w:rPr>
          <w:noProof/>
        </w:rPr>
        <w:t>Člen 2</w:t>
      </w:r>
    </w:p>
    <w:p>
      <w:pPr>
        <w:rPr>
          <w:noProof/>
        </w:rPr>
      </w:pPr>
      <w:r>
        <w:rPr>
          <w:noProof/>
        </w:rPr>
        <w:t xml:space="preserve">Ta uredba začne veljati […] dan po objavi v </w:t>
      </w:r>
      <w:r>
        <w:rPr>
          <w:i/>
          <w:noProof/>
        </w:rPr>
        <w:t>Uradnem listu Evropske unije</w:t>
      </w:r>
      <w:r>
        <w:rPr>
          <w:noProof/>
        </w:rPr>
        <w:t>.</w:t>
      </w:r>
    </w:p>
    <w:p>
      <w:pPr>
        <w:rPr>
          <w:noProof/>
        </w:rPr>
      </w:pPr>
      <w:r>
        <w:rPr>
          <w:noProof/>
        </w:rPr>
        <w:t xml:space="preserve">Uporablja se od dneva začetka veljavnosti sporazuma o gospodarskem partnerstvu med Evropsko unijo in Japonsko. </w:t>
      </w:r>
    </w:p>
    <w:p>
      <w:pPr>
        <w:pStyle w:val="Applicationdirecte"/>
        <w:keepNext/>
        <w:keepLines/>
        <w:rPr>
          <w:noProof/>
        </w:rPr>
      </w:pPr>
      <w:r>
        <w:rPr>
          <w:noProof/>
        </w:rPr>
        <w:t>Ta uredba je v celoti zavezujoča in se neposredno uporablja v vseh državah članicah.</w:t>
      </w:r>
    </w:p>
    <w:p>
      <w:pPr>
        <w:pStyle w:val="Fait"/>
        <w:rPr>
          <w:noProof/>
        </w:rPr>
      </w:pPr>
      <w:r>
        <w:t>V Bruslju,</w:t>
      </w:r>
    </w:p>
    <w:p>
      <w:pPr>
        <w:pStyle w:val="Institutionquisigne"/>
        <w:rPr>
          <w:noProof/>
        </w:rPr>
      </w:pPr>
      <w:r>
        <w:rPr>
          <w:noProof/>
        </w:rPr>
        <w:t>Za Evropski parlament</w:t>
      </w:r>
      <w:r>
        <w:rPr>
          <w:noProof/>
        </w:rPr>
        <w:tab/>
        <w:t>Za Svet</w:t>
      </w:r>
    </w:p>
    <w:p>
      <w:pPr>
        <w:pStyle w:val="Personnequisigne"/>
        <w:rPr>
          <w:noProof/>
        </w:rPr>
      </w:pPr>
      <w:r>
        <w:rPr>
          <w:noProof/>
        </w:rPr>
        <w:t>Predsednik</w:t>
      </w:r>
      <w:r>
        <w:rPr>
          <w:noProof/>
        </w:rPr>
        <w:tab/>
        <w:t>Predsednik</w:t>
      </w:r>
    </w:p>
    <w:sectPr>
      <w:pgSz w:w="11907" w:h="16839"/>
      <w:pgMar w:top="1134" w:right="1417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before="0" w:after="0"/>
      </w:pPr>
      <w:r>
        <w:separator/>
      </w:r>
    </w:p>
  </w:endnote>
  <w:endnote w:type="continuationSeparator" w:id="0">
    <w:p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SL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tab/>
    </w:r>
    <w:r>
      <w:rPr>
        <w:rFonts w:ascii="Arial" w:hAnsi="Arial" w:cs="Arial"/>
        <w:b/>
        <w:sz w:val="48"/>
      </w:rPr>
      <w:t>SL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SL</w:t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6</w:t>
    </w:r>
    <w:r>
      <w:fldChar w:fldCharType="end"/>
    </w:r>
    <w:r>
      <w:tab/>
    </w:r>
    <w:r>
      <w:tab/>
    </w:r>
    <w:r>
      <w:rPr>
        <w:rFonts w:ascii="Arial" w:hAnsi="Arial" w:cs="Arial"/>
        <w:b/>
        <w:sz w:val="48"/>
      </w:rPr>
      <w:t>SL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before="0" w:after="0"/>
      </w:pPr>
      <w:r>
        <w:separator/>
      </w:r>
    </w:p>
  </w:footnote>
  <w:footnote w:type="continuationSeparator" w:id="0">
    <w:p>
      <w:pPr>
        <w:spacing w:before="0" w:after="0"/>
      </w:pPr>
      <w:r>
        <w:continuationSeparator/>
      </w:r>
    </w:p>
  </w:footnote>
  <w:footnote w:id="1">
    <w:p>
      <w:pPr>
        <w:pStyle w:val="FootnoteText"/>
        <w:rPr>
          <w:lang w:val="pl-PL"/>
        </w:rPr>
      </w:pPr>
      <w:r>
        <w:rPr>
          <w:rStyle w:val="FootnoteReference"/>
        </w:rPr>
        <w:footnoteRef/>
      </w:r>
      <w:r>
        <w:rPr>
          <w:lang w:val="pl-PL"/>
        </w:rPr>
        <w:tab/>
        <w:t xml:space="preserve">Smernice za pogajanja o prostotrgovinskem sporazumu z Japonsko so na voljo tukaj: </w:t>
      </w:r>
      <w:hyperlink r:id="rId1">
        <w:r>
          <w:rPr>
            <w:rStyle w:val="Hyperlink"/>
            <w:lang w:val="pl-PL"/>
          </w:rPr>
          <w:t>http://trade.ec.europa.eu/doclib/docs/2017/september/tradoc_156051.en12.pdf</w:t>
        </w:r>
      </w:hyperlink>
      <w:r>
        <w:rPr>
          <w:lang w:val="pl-PL"/>
        </w:rPr>
        <w:t xml:space="preserve">. </w:t>
      </w:r>
    </w:p>
  </w:footnote>
  <w:footnote w:id="2">
    <w:p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>
        <w:rPr>
          <w:lang w:val="es-ES"/>
        </w:rPr>
        <w:tab/>
        <w:t>En šo (</w:t>
      </w:r>
      <w:r>
        <w:rPr>
          <w:rFonts w:ascii="MS Gothic" w:hAnsi="MS Gothic" w:hint="eastAsia"/>
        </w:rPr>
        <w:t>升</w:t>
      </w:r>
      <w:r>
        <w:rPr>
          <w:rFonts w:ascii="MS Gothic" w:hAnsi="MS Gothic" w:hint="eastAsia"/>
          <w:lang w:val="es-ES"/>
        </w:rPr>
        <w:t>）</w:t>
      </w:r>
      <w:r>
        <w:rPr>
          <w:lang w:val="es-ES"/>
        </w:rPr>
        <w:t xml:space="preserve"> ustreza 1 800 ml, en go</w:t>
      </w:r>
      <w:r>
        <w:rPr>
          <w:rFonts w:ascii="MS Gothic" w:hAnsi="MS Gothic" w:hint="eastAsia"/>
          <w:lang w:val="es-ES"/>
        </w:rPr>
        <w:t>（</w:t>
      </w:r>
      <w:r>
        <w:rPr>
          <w:rFonts w:ascii="MS Gothic" w:hAnsi="MS Gothic" w:hint="eastAsia"/>
        </w:rPr>
        <w:t>合</w:t>
      </w:r>
      <w:r>
        <w:rPr>
          <w:rFonts w:ascii="MS Gothic" w:hAnsi="MS Gothic" w:hint="eastAsia"/>
          <w:lang w:val="es-ES"/>
        </w:rPr>
        <w:t>）</w:t>
      </w:r>
      <w:r>
        <w:rPr>
          <w:lang w:val="es-ES"/>
        </w:rPr>
        <w:t xml:space="preserve"> pa 180 ml.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ab/>
        <w:t>UL C , , str. .</w:t>
      </w:r>
    </w:p>
  </w:footnote>
  <w:footnote w:id="4">
    <w:p>
      <w:pPr>
        <w:pStyle w:val="FootnoteText"/>
      </w:pPr>
      <w:r>
        <w:rPr>
          <w:rStyle w:val="FootnoteReference"/>
        </w:rPr>
        <w:footnoteRef/>
      </w:r>
      <w:r>
        <w:tab/>
        <w:t>Direktiva 2007/45/ES Evropskega parlamenta in Sveta z dne 5. septembra 2007 o določitvi predpisov v zvezi z nazivnimi količinami predpakiranih proizvodov, razveljavitvi direktiv Sveta 75/106/EGS in 80/232/EGS ter spremembi Direktive Sveta 76/211/EGS (UL L 247, 21.9.2007, str. 17).</w:t>
      </w:r>
    </w:p>
  </w:footnote>
  <w:footnote w:id="5">
    <w:p>
      <w:pPr>
        <w:pStyle w:val="FootnoteText"/>
      </w:pPr>
      <w:r>
        <w:rPr>
          <w:rStyle w:val="FootnoteReference"/>
        </w:rPr>
        <w:footnoteRef/>
      </w:r>
      <w:r>
        <w:tab/>
        <w:t>Uredba (ES) št. 110/2008 Evropskega parlamenta in Sveta z dne 15. januarja 2008</w:t>
      </w:r>
    </w:p>
    <w:p>
      <w:pPr>
        <w:pStyle w:val="FootnoteText"/>
        <w:ind w:firstLine="0"/>
      </w:pPr>
      <w:r>
        <w:t>o opredelitvi, opisu, predstavitvi, označevanju in zaščiti geografskih označb</w:t>
      </w:r>
    </w:p>
    <w:p>
      <w:pPr>
        <w:pStyle w:val="FootnoteText"/>
        <w:ind w:firstLine="0"/>
      </w:pPr>
      <w:r>
        <w:t>žganih pijač ter razveljavitvi Uredbe Sveta (EGS) št. 1576/89 (UL L 39, 13.2.2008, str. 16).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D"/>
    <w:multiLevelType w:val="singleLevel"/>
    <w:tmpl w:val="4AA4E1E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AC0E1B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CB5CFDB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1"/>
    <w:multiLevelType w:val="singleLevel"/>
    <w:tmpl w:val="8B0E2C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>
    <w:nsid w:val="FFFFFF82"/>
    <w:multiLevelType w:val="singleLevel"/>
    <w:tmpl w:val="CE86996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>
    <w:nsid w:val="FFFFFF83"/>
    <w:multiLevelType w:val="singleLevel"/>
    <w:tmpl w:val="0340F18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>
    <w:nsid w:val="FFFFFF88"/>
    <w:multiLevelType w:val="singleLevel"/>
    <w:tmpl w:val="F7ECE1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FFFFFF89"/>
    <w:multiLevelType w:val="singleLevel"/>
    <w:tmpl w:val="0D141A9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>
    <w:nsid w:val="64A12FA4"/>
    <w:multiLevelType w:val="multilevel"/>
    <w:tmpl w:val="428ECF3E"/>
    <w:name w:val="Heading"/>
    <w:lvl w:ilvl="0">
      <w:start w:val="1"/>
      <w:numFmt w:val="decimal"/>
      <w:lvlRestart w:val="0"/>
      <w:pStyle w:val="Heading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Heading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Heading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Heading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21"/>
    <w:lvlOverride w:ilvl="0">
      <w:startOverride w:val="1"/>
    </w:lvlOverride>
  </w:num>
  <w:num w:numId="6">
    <w:abstractNumId w:val="6"/>
  </w:num>
  <w:num w:numId="7">
    <w:abstractNumId w:val="2"/>
  </w:num>
  <w:num w:numId="8">
    <w:abstractNumId w:val="1"/>
  </w:num>
  <w:num w:numId="9">
    <w:abstractNumId w:val="0"/>
  </w:num>
  <w:num w:numId="10">
    <w:abstractNumId w:val="18"/>
  </w:num>
  <w:num w:numId="11">
    <w:abstractNumId w:val="12"/>
  </w:num>
  <w:num w:numId="12">
    <w:abstractNumId w:val="20"/>
  </w:num>
  <w:num w:numId="13">
    <w:abstractNumId w:val="11"/>
  </w:num>
  <w:num w:numId="14">
    <w:abstractNumId w:val="13"/>
  </w:num>
  <w:num w:numId="15">
    <w:abstractNumId w:val="9"/>
  </w:num>
  <w:num w:numId="16">
    <w:abstractNumId w:val="19"/>
  </w:num>
  <w:num w:numId="17">
    <w:abstractNumId w:val="8"/>
  </w:num>
  <w:num w:numId="18">
    <w:abstractNumId w:val="14"/>
  </w:num>
  <w:num w:numId="19">
    <w:abstractNumId w:val="16"/>
  </w:num>
  <w:num w:numId="20">
    <w:abstractNumId w:val="17"/>
  </w:num>
  <w:num w:numId="21">
    <w:abstractNumId w:val="10"/>
  </w:num>
  <w:num w:numId="22">
    <w:abstractNumId w:val="15"/>
  </w:num>
  <w:num w:numId="23">
    <w:abstractNumId w:val="21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BEIGBEDER Noemie (AGRI)">
    <w15:presenceInfo w15:providerId="None" w15:userId="BEIGBEDER Noemie (AGRI)"/>
  </w15:person>
  <w15:person w15:author="HOFSTOETTER Bernhard (SJ)">
    <w15:presenceInfo w15:providerId="None" w15:userId="HOFSTOETTER Bernhard (SJ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90"/>
  <w:hideSpellingErrors/>
  <w:hideGrammaticalErrors/>
  <w:attachedTemplate r:id="rId1"/>
  <w:revisionView w:markup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R_RefLast" w:val="0"/>
    <w:docVar w:name="DQCDateTime" w:val="2018-04-09 10:11:15"/>
    <w:docVar w:name="DQCResult_Distribution" w:val="0;1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4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6"/>
    <w:docVar w:name="DQCResult_UnknownFonts" w:val="33;0"/>
    <w:docVar w:name="DQCResult_UnknownStyles" w:val="0;0"/>
    <w:docVar w:name="DQCStatus" w:val="Yellow"/>
    <w:docVar w:name="DQCVersion" w:val="3"/>
    <w:docVar w:name="DQCWithWarnings" w:val="0"/>
    <w:docVar w:name="LW_CORRIGENDUM" w:val="&lt;UNUSED&gt;"/>
    <w:docVar w:name="LW_COVERPAGE_EXISTS" w:val="True"/>
    <w:docVar w:name="LW_COVERPAGE_GUID" w:val="375CFD3D-A7CB-4488-8BF4-D0EA74898D70"/>
    <w:docVar w:name="LW_COVERPAGE_TYPE" w:val="1"/>
    <w:docVar w:name="LW_CROSSREFERENCE" w:val="&lt;UNUSED&gt;"/>
    <w:docVar w:name="LW_DocType" w:val="COM"/>
    <w:docVar w:name="LW_EMISSION" w:val="18.4.2018"/>
    <w:docVar w:name="LW_EMISSION_ISODATE" w:val="2018-04-18"/>
    <w:docVar w:name="LW_EMISSION_LOCATION" w:val="BRX"/>
    <w:docVar w:name="LW_EMISSION_PREFIX" w:val="Bruselj, "/>
    <w:docVar w:name="LW_EMISSION_SUFFIX" w:val="&lt;EMPTY&gt;"/>
    <w:docVar w:name="LW_ID_DOCMODEL" w:val="SJ-023"/>
    <w:docVar w:name="LW_ID_DOCSIGNATURE" w:val="SJ-023"/>
    <w:docVar w:name="LW_ID_DOCSTRUCTURE" w:val="COM/PL/ORG"/>
    <w:docVar w:name="LW_ID_DOCTYPE" w:val="SJ-023"/>
    <w:docVar w:name="LW_ID_EXP.MOTIFS.NEW" w:val="EM_PL_"/>
    <w:docVar w:name="LW_ID_STATUT" w:val="SJ-023"/>
    <w:docVar w:name="LW_INTERETEEE.CP" w:val="&lt;UNUSED&gt;"/>
    <w:docVar w:name="LW_LANGUE" w:val="SL"/>
    <w:docVar w:name="LW_LEVEL_OF_SENSITIVITY" w:val="Standard treatment"/>
    <w:docVar w:name="LW_NOM.INST" w:val="EVROPSKA KOMISIJA"/>
    <w:docVar w:name="LW_NOM.INST_JOINTDOC" w:val="&lt;EMPTY&gt;"/>
    <w:docVar w:name="LW_PART_NBR" w:val="1"/>
    <w:docVar w:name="LW_PART_NBR_TOTAL" w:val="1"/>
    <w:docVar w:name="LW_REF.II.NEW.CP" w:val="COD"/>
    <w:docVar w:name="LW_REF.II.NEW.CP_NUMBER" w:val="0097"/>
    <w:docVar w:name="LW_REF.II.NEW.CP_YEAR" w:val="2018"/>
    <w:docVar w:name="LW_REF.INST.NEW" w:val="COM"/>
    <w:docVar w:name="LW_REF.INST.NEW_ADOPTED" w:val="final"/>
    <w:docVar w:name="LW_REF.INST.NEW_TEXT" w:val="(2018) 199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 xsi:nil=&quot;true&quot; /&gt;_x000d__x000a_  &lt;limited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footnote xsi:nil=&quot;true&quot; /&gt;_x000d__x000a_  &lt;isRestricted&gt;false&lt;/isRestricted&gt;_x000d__x000a_&lt;/SensitivityLevel&gt;"/>
    <w:docVar w:name="LW_STATUT.CP" w:val="Predlog"/>
    <w:docVar w:name="LW_SUPERTITRE" w:val="&lt;UNUSED&gt;"/>
    <w:docVar w:name="LW_TITRE.OBJ.CP" w:val="o spremembi Uredbe (ES) \u353?t. 110/2008 v zvezi z nazivnimi koli\u269?inami za dajanje enojno destiliranega \u382?ganja &lt;FMT:Italic&gt;\u353?o\u269?u&lt;/FMT&gt;, ki se proizvaja v kotlu in stekleni\u269?i na Japonskem, na trg Unije"/>
    <w:docVar w:name="LW_TYPE.DOC.CP" w:val="UREDBA EVROPSKEGA PARLAMENTA IN SVETA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sl-S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6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sl-SI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5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5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5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5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7"/>
      </w:numPr>
    </w:pPr>
  </w:style>
  <w:style w:type="paragraph" w:customStyle="1" w:styleId="Point1number">
    <w:name w:val="Point 1 (number)"/>
    <w:basedOn w:val="Normal"/>
    <w:pPr>
      <w:numPr>
        <w:ilvl w:val="2"/>
        <w:numId w:val="17"/>
      </w:numPr>
    </w:pPr>
  </w:style>
  <w:style w:type="paragraph" w:customStyle="1" w:styleId="Point2number">
    <w:name w:val="Point 2 (number)"/>
    <w:basedOn w:val="Normal"/>
    <w:pPr>
      <w:numPr>
        <w:ilvl w:val="4"/>
        <w:numId w:val="17"/>
      </w:numPr>
    </w:pPr>
  </w:style>
  <w:style w:type="paragraph" w:customStyle="1" w:styleId="Point3number">
    <w:name w:val="Point 3 (number)"/>
    <w:basedOn w:val="Normal"/>
    <w:pPr>
      <w:numPr>
        <w:ilvl w:val="6"/>
        <w:numId w:val="17"/>
      </w:numPr>
    </w:pPr>
  </w:style>
  <w:style w:type="paragraph" w:customStyle="1" w:styleId="Point0letter">
    <w:name w:val="Point 0 (letter)"/>
    <w:basedOn w:val="Normal"/>
    <w:pPr>
      <w:numPr>
        <w:ilvl w:val="1"/>
        <w:numId w:val="17"/>
      </w:numPr>
    </w:pPr>
  </w:style>
  <w:style w:type="paragraph" w:customStyle="1" w:styleId="Point1letter">
    <w:name w:val="Point 1 (letter)"/>
    <w:basedOn w:val="Normal"/>
    <w:pPr>
      <w:numPr>
        <w:ilvl w:val="3"/>
        <w:numId w:val="17"/>
      </w:numPr>
    </w:pPr>
  </w:style>
  <w:style w:type="paragraph" w:customStyle="1" w:styleId="Point2letter">
    <w:name w:val="Point 2 (letter)"/>
    <w:basedOn w:val="Normal"/>
    <w:pPr>
      <w:numPr>
        <w:ilvl w:val="5"/>
        <w:numId w:val="17"/>
      </w:numPr>
    </w:pPr>
  </w:style>
  <w:style w:type="paragraph" w:customStyle="1" w:styleId="Point3letter">
    <w:name w:val="Point 3 (letter)"/>
    <w:basedOn w:val="Normal"/>
    <w:pPr>
      <w:numPr>
        <w:ilvl w:val="7"/>
        <w:numId w:val="17"/>
      </w:numPr>
    </w:pPr>
  </w:style>
  <w:style w:type="paragraph" w:customStyle="1" w:styleId="Point4letter">
    <w:name w:val="Point 4 (letter)"/>
    <w:basedOn w:val="Normal"/>
    <w:pPr>
      <w:numPr>
        <w:ilvl w:val="8"/>
        <w:numId w:val="17"/>
      </w:numPr>
    </w:pPr>
  </w:style>
  <w:style w:type="paragraph" w:customStyle="1" w:styleId="Bullet0">
    <w:name w:val="Bullet 0"/>
    <w:basedOn w:val="Normal"/>
    <w:pPr>
      <w:numPr>
        <w:numId w:val="18"/>
      </w:numPr>
    </w:pPr>
  </w:style>
  <w:style w:type="paragraph" w:customStyle="1" w:styleId="Bullet1">
    <w:name w:val="Bullet 1"/>
    <w:basedOn w:val="Normal"/>
    <w:pPr>
      <w:numPr>
        <w:numId w:val="19"/>
      </w:numPr>
    </w:pPr>
  </w:style>
  <w:style w:type="paragraph" w:customStyle="1" w:styleId="Bullet2">
    <w:name w:val="Bullet 2"/>
    <w:basedOn w:val="Normal"/>
    <w:pPr>
      <w:numPr>
        <w:numId w:val="20"/>
      </w:numPr>
    </w:pPr>
  </w:style>
  <w:style w:type="paragraph" w:customStyle="1" w:styleId="Bullet3">
    <w:name w:val="Bullet 3"/>
    <w:basedOn w:val="Normal"/>
    <w:pPr>
      <w:numPr>
        <w:numId w:val="21"/>
      </w:numPr>
    </w:pPr>
  </w:style>
  <w:style w:type="paragraph" w:customStyle="1" w:styleId="Bullet4">
    <w:name w:val="Bullet 4"/>
    <w:basedOn w:val="Normal"/>
    <w:pPr>
      <w:numPr>
        <w:numId w:val="22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3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sl-SI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before="120" w:after="120" w:line="240" w:lineRule="auto"/>
      <w:jc w:val="both"/>
    </w:pPr>
    <w:rPr>
      <w:rFonts w:ascii="Times New Roman" w:hAnsi="Times New Roman" w:cs="Times New Roman"/>
      <w:sz w:val="24"/>
    </w:rPr>
  </w:style>
  <w:style w:type="paragraph" w:styleId="Heading1">
    <w:name w:val="heading 1"/>
    <w:basedOn w:val="Normal"/>
    <w:next w:val="Text1"/>
    <w:link w:val="Heading1Char"/>
    <w:uiPriority w:val="9"/>
    <w:qFormat/>
    <w:pPr>
      <w:keepNext/>
      <w:numPr>
        <w:numId w:val="16"/>
      </w:numPr>
      <w:spacing w:before="360"/>
      <w:outlineLvl w:val="0"/>
    </w:pPr>
    <w:rPr>
      <w:rFonts w:eastAsiaTheme="majorEastAsia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semiHidden/>
    <w:unhideWhenUsed/>
    <w:qFormat/>
    <w:pPr>
      <w:keepNext/>
      <w:numPr>
        <w:ilvl w:val="1"/>
        <w:numId w:val="16"/>
      </w:numPr>
      <w:outlineLvl w:val="1"/>
    </w:pPr>
    <w:rPr>
      <w:rFonts w:eastAsiaTheme="majorEastAsia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pPr>
      <w:keepNext/>
      <w:numPr>
        <w:ilvl w:val="2"/>
        <w:numId w:val="16"/>
      </w:numPr>
      <w:outlineLvl w:val="2"/>
    </w:pPr>
    <w:rPr>
      <w:rFonts w:eastAsiaTheme="majorEastAsia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pPr>
      <w:keepNext/>
      <w:numPr>
        <w:ilvl w:val="3"/>
        <w:numId w:val="16"/>
      </w:numPr>
      <w:outlineLvl w:val="3"/>
    </w:pPr>
    <w:rPr>
      <w:rFonts w:eastAsiaTheme="majorEastAsia"/>
      <w:bCs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hAnsi="Times New Roman" w:cs="Times New Roman"/>
      <w:sz w:val="20"/>
      <w:szCs w:val="20"/>
      <w:lang w:val="sl-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hAnsi="Times New Roman" w:cs="Times New Roman"/>
      <w:b/>
      <w:bCs/>
      <w:sz w:val="20"/>
      <w:szCs w:val="20"/>
      <w:lang w:val="sl-SI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  <w:lang w:val="sl-SI"/>
    </w:rPr>
  </w:style>
  <w:style w:type="paragraph" w:styleId="Revision">
    <w:name w:val="Revision"/>
    <w:hidden/>
    <w:uiPriority w:val="99"/>
    <w:semiHidden/>
    <w:pPr>
      <w:spacing w:after="0" w:line="240" w:lineRule="auto"/>
    </w:pPr>
    <w:rPr>
      <w:rFonts w:ascii="Times New Roman" w:hAnsi="Times New Roman" w:cs="Times New Roman"/>
      <w:sz w:val="24"/>
    </w:rPr>
  </w:style>
  <w:style w:type="paragraph" w:styleId="ListBullet">
    <w:name w:val="List Bullet"/>
    <w:basedOn w:val="Normal"/>
    <w:uiPriority w:val="99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pPr>
      <w:numPr>
        <w:numId w:val="4"/>
      </w:numPr>
      <w:contextualSpacing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0" w:after="200"/>
    </w:pPr>
    <w:rPr>
      <w:b/>
      <w:bCs/>
      <w:color w:val="4F81BD" w:themeColor="accent1"/>
      <w:sz w:val="18"/>
      <w:szCs w:val="18"/>
    </w:rPr>
  </w:style>
  <w:style w:type="paragraph" w:styleId="TableofFigures">
    <w:name w:val="table of figures"/>
    <w:basedOn w:val="Normal"/>
    <w:next w:val="Normal"/>
    <w:uiPriority w:val="99"/>
    <w:semiHidden/>
    <w:unhideWhenUsed/>
    <w:pPr>
      <w:spacing w:after="0"/>
    </w:pPr>
  </w:style>
  <w:style w:type="paragraph" w:styleId="ListNumber">
    <w:name w:val="List Number"/>
    <w:basedOn w:val="Normal"/>
    <w:uiPriority w:val="99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pPr>
      <w:numPr>
        <w:numId w:val="9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5"/>
        <w:tab w:val="right" w:pos="9071"/>
      </w:tabs>
      <w:spacing w:before="0"/>
    </w:pPr>
    <w:rPr>
      <w:lang w:eastAsia="en-US" w:bidi="ar-SA"/>
    </w:r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  <w:rPr>
      <w:lang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hAnsi="Times New Roman" w:cs="Times New Roman"/>
      <w:sz w:val="24"/>
      <w:lang w:eastAsia="en-US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before="0" w:after="0"/>
      <w:ind w:left="720" w:hanging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Theme="majorEastAsia" w:hAnsi="Times New Roman" w:cs="Times New Roman"/>
      <w:b/>
      <w:bCs/>
      <w:smallCaps/>
      <w:sz w:val="24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="Times New Roman" w:eastAsiaTheme="majorEastAsia" w:hAnsi="Times New Roman" w:cs="Times New Roman"/>
      <w:b/>
      <w:bCs/>
      <w:sz w:val="24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="Times New Roman" w:eastAsiaTheme="majorEastAsia" w:hAnsi="Times New Roman" w:cs="Times New Roman"/>
      <w:bCs/>
      <w:i/>
      <w:sz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="Times New Roman" w:eastAsiaTheme="majorEastAsia" w:hAnsi="Times New Roman" w:cs="Times New Roman"/>
      <w:bCs/>
      <w:iCs/>
      <w:sz w:val="24"/>
      <w:lang w:val="en-GB"/>
    </w:rPr>
  </w:style>
  <w:style w:type="paragraph" w:styleId="TOCHeading">
    <w:name w:val="TOC Heading"/>
    <w:basedOn w:val="Normal"/>
    <w:next w:val="Normal"/>
    <w:uiPriority w:val="39"/>
    <w:semiHidden/>
    <w:unhideWhenUsed/>
    <w:qFormat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pPr>
      <w:tabs>
        <w:tab w:val="center" w:pos="7285"/>
        <w:tab w:val="right" w:pos="14003"/>
      </w:tabs>
      <w:spacing w:before="0"/>
    </w:pPr>
    <w:rPr>
      <w:lang w:eastAsia="en-US" w:bidi="ar-SA"/>
    </w:rPr>
  </w:style>
  <w:style w:type="paragraph" w:customStyle="1" w:styleId="FooterLandscape">
    <w:name w:val="FooterLandscape"/>
    <w:basedOn w:val="Normal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  <w:rPr>
      <w:lang w:eastAsia="en-US" w:bidi="ar-SA"/>
    </w:rPr>
  </w:style>
  <w:style w:type="character" w:styleId="FootnoteReference">
    <w:name w:val="footnote reference"/>
    <w:basedOn w:val="DefaultParagraphFont"/>
    <w:uiPriority w:val="99"/>
    <w:semiHidden/>
    <w:unhideWhenUsed/>
    <w:rPr>
      <w:shd w:val="clear" w:color="auto" w:fill="auto"/>
      <w:vertAlign w:val="superscript"/>
    </w:rPr>
  </w:style>
  <w:style w:type="paragraph" w:customStyle="1" w:styleId="HeaderSensitivity">
    <w:name w:val="Head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0"/>
      <w:ind w:left="113" w:right="113"/>
      <w:jc w:val="center"/>
    </w:pPr>
    <w:rPr>
      <w:b/>
      <w:sz w:val="32"/>
      <w:lang w:eastAsia="en-US" w:bidi="ar-SA"/>
    </w:rPr>
  </w:style>
  <w:style w:type="paragraph" w:customStyle="1" w:styleId="FooterSensitivity">
    <w:name w:val="Footer Sensitivity"/>
    <w:basedOn w:val="Normal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  <w:lang w:eastAsia="en-US" w:bidi="ar-SA"/>
    </w:rPr>
  </w:style>
  <w:style w:type="paragraph" w:customStyle="1" w:styleId="Text1">
    <w:name w:val="Text 1"/>
    <w:basedOn w:val="Normal"/>
    <w:pPr>
      <w:ind w:left="850"/>
    </w:pPr>
  </w:style>
  <w:style w:type="paragraph" w:customStyle="1" w:styleId="Text2">
    <w:name w:val="Text 2"/>
    <w:basedOn w:val="Normal"/>
    <w:pPr>
      <w:ind w:left="1417"/>
    </w:pPr>
  </w:style>
  <w:style w:type="paragraph" w:customStyle="1" w:styleId="Text3">
    <w:name w:val="Text 3"/>
    <w:basedOn w:val="Normal"/>
    <w:pPr>
      <w:ind w:left="1984"/>
    </w:pPr>
  </w:style>
  <w:style w:type="paragraph" w:customStyle="1" w:styleId="Text4">
    <w:name w:val="Text 4"/>
    <w:basedOn w:val="Normal"/>
    <w:pPr>
      <w:ind w:left="2551"/>
    </w:pPr>
  </w:style>
  <w:style w:type="paragraph" w:customStyle="1" w:styleId="NormalCentered">
    <w:name w:val="Normal Centered"/>
    <w:basedOn w:val="Normal"/>
    <w:pPr>
      <w:jc w:val="center"/>
    </w:pPr>
  </w:style>
  <w:style w:type="paragraph" w:customStyle="1" w:styleId="NormalLeft">
    <w:name w:val="Normal Left"/>
    <w:basedOn w:val="Normal"/>
    <w:pPr>
      <w:jc w:val="left"/>
    </w:pPr>
  </w:style>
  <w:style w:type="paragraph" w:customStyle="1" w:styleId="NormalRight">
    <w:name w:val="Normal Right"/>
    <w:basedOn w:val="Normal"/>
    <w:pPr>
      <w:jc w:val="right"/>
    </w:pPr>
  </w:style>
  <w:style w:type="paragraph" w:customStyle="1" w:styleId="QuotedText">
    <w:name w:val="Quoted Text"/>
    <w:basedOn w:val="Normal"/>
    <w:pPr>
      <w:ind w:left="1417"/>
    </w:pPr>
  </w:style>
  <w:style w:type="paragraph" w:customStyle="1" w:styleId="Point0">
    <w:name w:val="Point 0"/>
    <w:basedOn w:val="Normal"/>
    <w:pPr>
      <w:ind w:left="850" w:hanging="850"/>
    </w:pPr>
  </w:style>
  <w:style w:type="paragraph" w:customStyle="1" w:styleId="Point1">
    <w:name w:val="Point 1"/>
    <w:basedOn w:val="Normal"/>
    <w:pPr>
      <w:ind w:left="1417" w:hanging="567"/>
    </w:pPr>
  </w:style>
  <w:style w:type="paragraph" w:customStyle="1" w:styleId="Point2">
    <w:name w:val="Point 2"/>
    <w:basedOn w:val="Normal"/>
    <w:pPr>
      <w:ind w:left="1984" w:hanging="567"/>
    </w:pPr>
  </w:style>
  <w:style w:type="paragraph" w:customStyle="1" w:styleId="Point3">
    <w:name w:val="Point 3"/>
    <w:basedOn w:val="Normal"/>
    <w:pPr>
      <w:ind w:left="2551" w:hanging="567"/>
    </w:pPr>
  </w:style>
  <w:style w:type="paragraph" w:customStyle="1" w:styleId="Point4">
    <w:name w:val="Point 4"/>
    <w:basedOn w:val="Normal"/>
    <w:pPr>
      <w:ind w:left="3118" w:hanging="567"/>
    </w:pPr>
  </w:style>
  <w:style w:type="paragraph" w:customStyle="1" w:styleId="Tiret0">
    <w:name w:val="Tiret 0"/>
    <w:basedOn w:val="Point0"/>
    <w:pPr>
      <w:numPr>
        <w:numId w:val="10"/>
      </w:numPr>
    </w:pPr>
  </w:style>
  <w:style w:type="paragraph" w:customStyle="1" w:styleId="Tiret1">
    <w:name w:val="Tiret 1"/>
    <w:basedOn w:val="Point1"/>
    <w:pPr>
      <w:numPr>
        <w:numId w:val="11"/>
      </w:numPr>
    </w:pPr>
  </w:style>
  <w:style w:type="paragraph" w:customStyle="1" w:styleId="Tiret2">
    <w:name w:val="Tiret 2"/>
    <w:basedOn w:val="Point2"/>
    <w:pPr>
      <w:numPr>
        <w:numId w:val="12"/>
      </w:numPr>
    </w:pPr>
  </w:style>
  <w:style w:type="paragraph" w:customStyle="1" w:styleId="Tiret3">
    <w:name w:val="Tiret 3"/>
    <w:basedOn w:val="Point3"/>
    <w:pPr>
      <w:numPr>
        <w:numId w:val="13"/>
      </w:numPr>
    </w:pPr>
  </w:style>
  <w:style w:type="paragraph" w:customStyle="1" w:styleId="Tiret4">
    <w:name w:val="Tiret 4"/>
    <w:basedOn w:val="Point4"/>
    <w:pPr>
      <w:numPr>
        <w:numId w:val="14"/>
      </w:numPr>
    </w:pPr>
  </w:style>
  <w:style w:type="paragraph" w:customStyle="1" w:styleId="PointDouble0">
    <w:name w:val="PointDouble 0"/>
    <w:basedOn w:val="Normal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pPr>
      <w:numPr>
        <w:numId w:val="15"/>
      </w:numPr>
    </w:pPr>
  </w:style>
  <w:style w:type="paragraph" w:customStyle="1" w:styleId="NumPar2">
    <w:name w:val="NumPar 2"/>
    <w:basedOn w:val="Normal"/>
    <w:next w:val="Text1"/>
    <w:pPr>
      <w:numPr>
        <w:ilvl w:val="1"/>
        <w:numId w:val="15"/>
      </w:numPr>
    </w:pPr>
  </w:style>
  <w:style w:type="paragraph" w:customStyle="1" w:styleId="NumPar3">
    <w:name w:val="NumPar 3"/>
    <w:basedOn w:val="Normal"/>
    <w:next w:val="Text1"/>
    <w:pPr>
      <w:numPr>
        <w:ilvl w:val="2"/>
        <w:numId w:val="15"/>
      </w:numPr>
    </w:pPr>
  </w:style>
  <w:style w:type="paragraph" w:customStyle="1" w:styleId="NumPar4">
    <w:name w:val="NumPar 4"/>
    <w:basedOn w:val="Normal"/>
    <w:next w:val="Text1"/>
    <w:pPr>
      <w:numPr>
        <w:ilvl w:val="3"/>
        <w:numId w:val="15"/>
      </w:numPr>
    </w:pPr>
  </w:style>
  <w:style w:type="paragraph" w:customStyle="1" w:styleId="ManualNumPar1">
    <w:name w:val="Manual NumPar 1"/>
    <w:basedOn w:val="Normal"/>
    <w:next w:val="Text1"/>
    <w:pPr>
      <w:ind w:left="850" w:hanging="850"/>
    </w:pPr>
  </w:style>
  <w:style w:type="paragraph" w:customStyle="1" w:styleId="ManualNumPar2">
    <w:name w:val="Manual NumPar 2"/>
    <w:basedOn w:val="Normal"/>
    <w:next w:val="Text1"/>
    <w:pPr>
      <w:ind w:left="850" w:hanging="850"/>
    </w:pPr>
  </w:style>
  <w:style w:type="paragraph" w:customStyle="1" w:styleId="ManualNumPar3">
    <w:name w:val="Manual NumPar 3"/>
    <w:basedOn w:val="Normal"/>
    <w:next w:val="Text1"/>
    <w:pPr>
      <w:ind w:left="850" w:hanging="850"/>
    </w:pPr>
  </w:style>
  <w:style w:type="paragraph" w:customStyle="1" w:styleId="ManualNumPar4">
    <w:name w:val="Manual NumPar 4"/>
    <w:basedOn w:val="Normal"/>
    <w:next w:val="Text1"/>
    <w:pPr>
      <w:ind w:left="850" w:hanging="850"/>
    </w:pPr>
  </w:style>
  <w:style w:type="paragraph" w:customStyle="1" w:styleId="QuotedNumPar">
    <w:name w:val="Quoted NumPar"/>
    <w:basedOn w:val="Normal"/>
    <w:pPr>
      <w:ind w:left="1417" w:hanging="567"/>
    </w:pPr>
  </w:style>
  <w:style w:type="paragraph" w:customStyle="1" w:styleId="ManualHeading1">
    <w:name w:val="Manual Heading 1"/>
    <w:basedOn w:val="Normal"/>
    <w:next w:val="Text1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pPr>
      <w:jc w:val="center"/>
    </w:pPr>
    <w:rPr>
      <w:b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character" w:customStyle="1" w:styleId="Marker1">
    <w:name w:val="Marker1"/>
    <w:basedOn w:val="DefaultParagraphFont"/>
    <w:rPr>
      <w:color w:val="008000"/>
      <w:shd w:val="clear" w:color="auto" w:fill="auto"/>
    </w:rPr>
  </w:style>
  <w:style w:type="character" w:customStyle="1" w:styleId="Marker2">
    <w:name w:val="Marker2"/>
    <w:basedOn w:val="DefaultParagraphFont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pPr>
      <w:numPr>
        <w:numId w:val="17"/>
      </w:numPr>
    </w:pPr>
  </w:style>
  <w:style w:type="paragraph" w:customStyle="1" w:styleId="Point1number">
    <w:name w:val="Point 1 (number)"/>
    <w:basedOn w:val="Normal"/>
    <w:pPr>
      <w:numPr>
        <w:ilvl w:val="2"/>
        <w:numId w:val="17"/>
      </w:numPr>
    </w:pPr>
  </w:style>
  <w:style w:type="paragraph" w:customStyle="1" w:styleId="Point2number">
    <w:name w:val="Point 2 (number)"/>
    <w:basedOn w:val="Normal"/>
    <w:pPr>
      <w:numPr>
        <w:ilvl w:val="4"/>
        <w:numId w:val="17"/>
      </w:numPr>
    </w:pPr>
  </w:style>
  <w:style w:type="paragraph" w:customStyle="1" w:styleId="Point3number">
    <w:name w:val="Point 3 (number)"/>
    <w:basedOn w:val="Normal"/>
    <w:pPr>
      <w:numPr>
        <w:ilvl w:val="6"/>
        <w:numId w:val="17"/>
      </w:numPr>
    </w:pPr>
  </w:style>
  <w:style w:type="paragraph" w:customStyle="1" w:styleId="Point0letter">
    <w:name w:val="Point 0 (letter)"/>
    <w:basedOn w:val="Normal"/>
    <w:pPr>
      <w:numPr>
        <w:ilvl w:val="1"/>
        <w:numId w:val="17"/>
      </w:numPr>
    </w:pPr>
  </w:style>
  <w:style w:type="paragraph" w:customStyle="1" w:styleId="Point1letter">
    <w:name w:val="Point 1 (letter)"/>
    <w:basedOn w:val="Normal"/>
    <w:pPr>
      <w:numPr>
        <w:ilvl w:val="3"/>
        <w:numId w:val="17"/>
      </w:numPr>
    </w:pPr>
  </w:style>
  <w:style w:type="paragraph" w:customStyle="1" w:styleId="Point2letter">
    <w:name w:val="Point 2 (letter)"/>
    <w:basedOn w:val="Normal"/>
    <w:pPr>
      <w:numPr>
        <w:ilvl w:val="5"/>
        <w:numId w:val="17"/>
      </w:numPr>
    </w:pPr>
  </w:style>
  <w:style w:type="paragraph" w:customStyle="1" w:styleId="Point3letter">
    <w:name w:val="Point 3 (letter)"/>
    <w:basedOn w:val="Normal"/>
    <w:pPr>
      <w:numPr>
        <w:ilvl w:val="7"/>
        <w:numId w:val="17"/>
      </w:numPr>
    </w:pPr>
  </w:style>
  <w:style w:type="paragraph" w:customStyle="1" w:styleId="Point4letter">
    <w:name w:val="Point 4 (letter)"/>
    <w:basedOn w:val="Normal"/>
    <w:pPr>
      <w:numPr>
        <w:ilvl w:val="8"/>
        <w:numId w:val="17"/>
      </w:numPr>
    </w:pPr>
  </w:style>
  <w:style w:type="paragraph" w:customStyle="1" w:styleId="Bullet0">
    <w:name w:val="Bullet 0"/>
    <w:basedOn w:val="Normal"/>
    <w:pPr>
      <w:numPr>
        <w:numId w:val="18"/>
      </w:numPr>
    </w:pPr>
  </w:style>
  <w:style w:type="paragraph" w:customStyle="1" w:styleId="Bullet1">
    <w:name w:val="Bullet 1"/>
    <w:basedOn w:val="Normal"/>
    <w:pPr>
      <w:numPr>
        <w:numId w:val="19"/>
      </w:numPr>
    </w:pPr>
  </w:style>
  <w:style w:type="paragraph" w:customStyle="1" w:styleId="Bullet2">
    <w:name w:val="Bullet 2"/>
    <w:basedOn w:val="Normal"/>
    <w:pPr>
      <w:numPr>
        <w:numId w:val="20"/>
      </w:numPr>
    </w:pPr>
  </w:style>
  <w:style w:type="paragraph" w:customStyle="1" w:styleId="Bullet3">
    <w:name w:val="Bullet 3"/>
    <w:basedOn w:val="Normal"/>
    <w:pPr>
      <w:numPr>
        <w:numId w:val="21"/>
      </w:numPr>
    </w:pPr>
  </w:style>
  <w:style w:type="paragraph" w:customStyle="1" w:styleId="Bullet4">
    <w:name w:val="Bullet 4"/>
    <w:basedOn w:val="Normal"/>
    <w:pPr>
      <w:numPr>
        <w:numId w:val="22"/>
      </w:numPr>
    </w:pPr>
  </w:style>
  <w:style w:type="paragraph" w:customStyle="1" w:styleId="Langue">
    <w:name w:val="Langue"/>
    <w:basedOn w:val="Normal"/>
    <w:next w:val="Rfrenceinterne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Nomdelinstitution">
    <w:name w:val="Nom de l'institution"/>
    <w:basedOn w:val="Normal"/>
    <w:next w:val="Emission"/>
    <w:pPr>
      <w:spacing w:before="0" w:after="0"/>
      <w:jc w:val="left"/>
    </w:pPr>
    <w:rPr>
      <w:rFonts w:ascii="Arial" w:hAnsi="Arial" w:cs="Arial"/>
    </w:rPr>
  </w:style>
  <w:style w:type="paragraph" w:customStyle="1" w:styleId="Emission">
    <w:name w:val="Emission"/>
    <w:basedOn w:val="Normal"/>
    <w:next w:val="Rfrenceinstitutionnelle"/>
    <w:pPr>
      <w:spacing w:before="0" w:after="0"/>
      <w:ind w:left="5103"/>
      <w:jc w:val="left"/>
    </w:pPr>
  </w:style>
  <w:style w:type="paragraph" w:customStyle="1" w:styleId="Rfrenceinstitutionnelle">
    <w:name w:val="Référence institutionnelle"/>
    <w:basedOn w:val="Normal"/>
    <w:next w:val="Confidentialit"/>
    <w:pPr>
      <w:spacing w:before="0" w:after="240"/>
      <w:ind w:left="5103"/>
      <w:jc w:val="left"/>
    </w:pPr>
  </w:style>
  <w:style w:type="paragraph" w:customStyle="1" w:styleId="Pagedecouverture">
    <w:name w:val="Page de couverture"/>
    <w:basedOn w:val="Normal"/>
    <w:next w:val="Normal"/>
    <w:pPr>
      <w:spacing w:before="0" w:after="0"/>
    </w:pPr>
  </w:style>
  <w:style w:type="paragraph" w:customStyle="1" w:styleId="Declassification">
    <w:name w:val="Declassification"/>
    <w:basedOn w:val="Normal"/>
    <w:next w:val="Normal"/>
    <w:pPr>
      <w:spacing w:before="0" w:after="0"/>
    </w:pPr>
  </w:style>
  <w:style w:type="paragraph" w:customStyle="1" w:styleId="Disclaimer">
    <w:name w:val="Disclaimer"/>
    <w:basedOn w:val="Normal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</w:pPr>
  </w:style>
  <w:style w:type="paragraph" w:customStyle="1" w:styleId="Annexetitreexpos">
    <w:name w:val="Annexe titre (exposé)"/>
    <w:basedOn w:val="Normal"/>
    <w:next w:val="Normal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pPr>
      <w:spacing w:before="480"/>
    </w:pPr>
  </w:style>
  <w:style w:type="paragraph" w:customStyle="1" w:styleId="Avertissementtitre">
    <w:name w:val="Avertissement titre"/>
    <w:basedOn w:val="Normal"/>
    <w:next w:val="Normal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pPr>
      <w:numPr>
        <w:numId w:val="23"/>
      </w:numPr>
    </w:pPr>
  </w:style>
  <w:style w:type="paragraph" w:customStyle="1" w:styleId="Corrigendum">
    <w:name w:val="Corrigendum"/>
    <w:basedOn w:val="Normal"/>
    <w:next w:val="Normal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pPr>
      <w:spacing w:before="360" w:after="0"/>
      <w:jc w:val="center"/>
    </w:pPr>
    <w:rPr>
      <w:b/>
    </w:rPr>
  </w:style>
  <w:style w:type="paragraph" w:customStyle="1" w:styleId="Exposdesmotifstitre">
    <w:name w:val="Exposé des motifs titre"/>
    <w:basedOn w:val="Normal"/>
    <w:next w:val="Normal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pPr>
      <w:keepNext/>
    </w:pPr>
  </w:style>
  <w:style w:type="paragraph" w:customStyle="1" w:styleId="Institutionquiagit">
    <w:name w:val="Institution qui agit"/>
    <w:basedOn w:val="Normal"/>
    <w:next w:val="Normal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pPr>
      <w:keepNext/>
      <w:tabs>
        <w:tab w:val="left" w:pos="4252"/>
      </w:tabs>
      <w:spacing w:before="720" w:after="0"/>
    </w:pPr>
    <w:rPr>
      <w:i/>
    </w:rPr>
  </w:style>
  <w:style w:type="paragraph" w:customStyle="1" w:styleId="ManualConsidrant">
    <w:name w:val="Manual Considérant"/>
    <w:basedOn w:val="Normal"/>
    <w:pPr>
      <w:ind w:left="709" w:hanging="709"/>
    </w:pPr>
  </w:style>
  <w:style w:type="paragraph" w:customStyle="1" w:styleId="Personnequisigne">
    <w:name w:val="Personne qui signe"/>
    <w:basedOn w:val="Normal"/>
    <w:next w:val="Institutionquisigne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terinstitutionnelle">
    <w:name w:val="Référence interinstitutionnelle"/>
    <w:basedOn w:val="Normal"/>
    <w:next w:val="Statut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pPr>
      <w:spacing w:before="0" w:after="0"/>
      <w:ind w:left="5103"/>
      <w:jc w:val="left"/>
    </w:pPr>
  </w:style>
  <w:style w:type="paragraph" w:customStyle="1" w:styleId="Statut">
    <w:name w:val="Statut"/>
    <w:basedOn w:val="Normal"/>
    <w:next w:val="Typedudocument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IntrtEEE"/>
    <w:pPr>
      <w:spacing w:before="360" w:after="36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pPr>
      <w:spacing w:before="360" w:after="0"/>
      <w:jc w:val="center"/>
    </w:pPr>
    <w:rPr>
      <w:b/>
    </w:rPr>
  </w:style>
  <w:style w:type="character" w:customStyle="1" w:styleId="Added">
    <w:name w:val="Added"/>
    <w:basedOn w:val="DefaultParagraphFont"/>
    <w:rPr>
      <w:b/>
      <w:u w:val="single"/>
      <w:shd w:val="clear" w:color="auto" w:fill="auto"/>
    </w:rPr>
  </w:style>
  <w:style w:type="character" w:customStyle="1" w:styleId="Deleted">
    <w:name w:val="Deleted"/>
    <w:basedOn w:val="DefaultParagraphFont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Pr>
      <w:i/>
      <w:caps/>
    </w:rPr>
  </w:style>
  <w:style w:type="paragraph" w:customStyle="1" w:styleId="Supertitre">
    <w:name w:val="Supertitre"/>
    <w:basedOn w:val="Normal"/>
    <w:next w:val="Normal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pPr>
      <w:spacing w:before="360" w:after="0"/>
      <w:jc w:val="center"/>
    </w:pPr>
  </w:style>
  <w:style w:type="paragraph" w:customStyle="1" w:styleId="Rfrencecroise">
    <w:name w:val="Référence croisée"/>
    <w:basedOn w:val="Normal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</w:style>
  <w:style w:type="paragraph" w:customStyle="1" w:styleId="StatutPagedecouverture">
    <w:name w:val="Statut (Page de couverture)"/>
    <w:basedOn w:val="Statut"/>
    <w:next w:val="TypedudocumentPagedecouverture"/>
  </w:style>
  <w:style w:type="paragraph" w:customStyle="1" w:styleId="TitreobjetPagedecouverture">
    <w:name w:val="Titre objet (Page de couverture)"/>
    <w:basedOn w:val="Titreobjet"/>
    <w:next w:val="IntrtEEEPagedecouverture"/>
  </w:style>
  <w:style w:type="paragraph" w:customStyle="1" w:styleId="TypedudocumentPagedecouverture">
    <w:name w:val="Type du document (Page de couverture)"/>
    <w:basedOn w:val="Typedudocument"/>
    <w:next w:val="TitreobjetPagedecouverture"/>
  </w:style>
  <w:style w:type="paragraph" w:customStyle="1" w:styleId="Volume">
    <w:name w:val="Volume"/>
    <w:basedOn w:val="Normal"/>
    <w:next w:val="Confidentialit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pPr>
      <w:spacing w:after="240"/>
    </w:pPr>
  </w:style>
  <w:style w:type="paragraph" w:customStyle="1" w:styleId="Accompagnant">
    <w:name w:val="Accompagnant"/>
    <w:basedOn w:val="Normal"/>
    <w:next w:val="Typeacteprincipal"/>
    <w:pPr>
      <w:spacing w:before="0" w:after="240"/>
      <w:jc w:val="center"/>
    </w:pPr>
    <w:rPr>
      <w:b/>
      <w:i/>
    </w:rPr>
  </w:style>
  <w:style w:type="paragraph" w:customStyle="1" w:styleId="Typeacteprincipal">
    <w:name w:val="Type acte principal"/>
    <w:basedOn w:val="Normal"/>
    <w:next w:val="Objetacteprincipal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</w:style>
  <w:style w:type="paragraph" w:customStyle="1" w:styleId="AccompagnantPagedecouverture">
    <w:name w:val="Accompagnant (Page de couverture)"/>
    <w:basedOn w:val="Accompagnant"/>
    <w:next w:val="TypeacteprincipalPagedecouverture"/>
  </w:style>
  <w:style w:type="paragraph" w:customStyle="1" w:styleId="TypeacteprincipalPagedecouverture">
    <w:name w:val="Type acte principal (Page de couverture)"/>
    <w:basedOn w:val="Typeacteprincipal"/>
    <w:next w:val="ObjetacteprincipalPagedecouverture"/>
  </w:style>
  <w:style w:type="paragraph" w:customStyle="1" w:styleId="ObjetacteprincipalPagedecouverture">
    <w:name w:val="Objet acte principal (Page de couverture)"/>
    <w:basedOn w:val="Objetacteprincipal"/>
    <w:next w:val="Rfrencecroise"/>
  </w:style>
  <w:style w:type="paragraph" w:customStyle="1" w:styleId="LanguesfaisantfoiPagedecouverture">
    <w:name w:val="Langues faisant foi (Page de couverture)"/>
    <w:basedOn w:val="Normal"/>
    <w:next w:val="Normal"/>
    <w:pPr>
      <w:spacing w:before="360" w:after="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microsoft.com/office/2011/relationships/people" Target="people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yperlink" Target="http://trade.ec.europa.eu/doclib/press/index.cfm?id=1684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eader" Target="header3.xml"/></Relationships>
</file>

<file path=word/_rels/footnotes.xml.rels><?xml version='1.0' encoding='UTF-8' standalone='yes'?>
<Relationships xmlns="http://schemas.openxmlformats.org/package/2006/relationships"><Relationship Id="rId1" Type="http://schemas.openxmlformats.org/officeDocument/2006/relationships/hyperlink" Target="http://trade.ec.europa.eu/doclib/docs/2017/september/tradoc_156051.en12.pdf" TargetMode="Externa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C:\Users\Public\Documents\Templates\COM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AF35C9-56F4-4176-83A0-C20DCB87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COM.dotm</Template>
  <TotalTime>1</TotalTime>
  <Pages>7</Pages>
  <Words>1662</Words>
  <Characters>9292</Characters>
  <Application>Microsoft Office Word</Application>
  <DocSecurity>0</DocSecurity>
  <Lines>178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18</cp:revision>
  <cp:lastPrinted>2018-02-12T14:56:00Z</cp:lastPrinted>
  <dcterms:created xsi:type="dcterms:W3CDTF">2018-04-09T08:11:00Z</dcterms:created>
  <dcterms:modified xsi:type="dcterms:W3CDTF">2018-04-17T07:32:00Z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COM/PL/ORG</vt:lpwstr>
  </property>
  <property fmtid="{D5CDD505-2E9C-101B-9397-08002B2CF9AE}" pid="3" name="Version">
    <vt:lpwstr>6.0.1.0</vt:lpwstr>
  </property>
  <property fmtid="{D5CDD505-2E9C-101B-9397-08002B2CF9AE}" pid="4" name="Last edited using">
    <vt:lpwstr>LW 6.0, Build 20171009</vt:lpwstr>
  </property>
  <property fmtid="{D5CDD505-2E9C-101B-9397-08002B2CF9AE}" pid="5" name="Created using">
    <vt:lpwstr>LW 6.0, Build 20171009</vt:lpwstr>
  </property>
  <property fmtid="{D5CDD505-2E9C-101B-9397-08002B2CF9AE}" pid="6" name="Part">
    <vt:lpwstr>1</vt:lpwstr>
  </property>
  <property fmtid="{D5CDD505-2E9C-101B-9397-08002B2CF9AE}" pid="7" name="Total parts">
    <vt:lpwstr>1</vt:lpwstr>
  </property>
  <property fmtid="{D5CDD505-2E9C-101B-9397-08002B2CF9AE}" pid="8" name="Level of sensitivity">
    <vt:lpwstr>Standard treatment</vt:lpwstr>
  </property>
  <property fmtid="{D5CDD505-2E9C-101B-9397-08002B2CF9AE}" pid="9" name="LWTemplateID">
    <vt:lpwstr>SJ-023</vt:lpwstr>
  </property>
  <property fmtid="{D5CDD505-2E9C-101B-9397-08002B2CF9AE}" pid="10" name="DQCStatus">
    <vt:lpwstr>Yellow (DQC version 03)</vt:lpwstr>
  </property>
  <property name="OP_sanitized" fmtid="{D5CDD505-2E9C-101B-9397-08002B2CF9AE}" pid="11">
    <vt:lpwstr>True</vt:lpwstr>
  </property>
</Properties>
</file>