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13" w:rsidRDefault="00995C1D" w:rsidP="00995C1D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68BBE77F-16E1-4933-AB19-C942A3BC15F3" style="width:450.75pt;height:391.5pt">
            <v:imagedata r:id="rId7" o:title=""/>
          </v:shape>
        </w:pict>
      </w:r>
    </w:p>
    <w:p w:rsidR="00454C13" w:rsidRDefault="00454C13">
      <w:pPr>
        <w:rPr>
          <w:noProof/>
        </w:rPr>
        <w:sectPr w:rsidR="00454C13" w:rsidSect="00995C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454C13" w:rsidRDefault="00995C1D">
      <w:pPr>
        <w:pStyle w:val="Exposdesmotifstitre"/>
        <w:rPr>
          <w:noProof/>
        </w:rPr>
      </w:pPr>
      <w:bookmarkStart w:id="0" w:name="_GoBack"/>
      <w:bookmarkEnd w:id="0"/>
      <w:r>
        <w:rPr>
          <w:noProof/>
        </w:rPr>
        <w:lastRenderedPageBreak/>
        <w:t>OBRAZLOŽITVENI MEMORANDUM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1.</w:t>
      </w:r>
      <w:r>
        <w:rPr>
          <w:noProof/>
        </w:rPr>
        <w:tab/>
        <w:t>Z Uredbo Sveta (EU) 2015/735 se uveljavljajo ukrepi, določeni v Sklepu Sveta (SZVP) 2015/740</w:t>
      </w:r>
      <w:r>
        <w:rPr>
          <w:rStyle w:val="FootnoteReference"/>
          <w:noProof/>
        </w:rPr>
        <w:footnoteReference w:id="1"/>
      </w:r>
      <w:r>
        <w:rPr>
          <w:noProof/>
        </w:rPr>
        <w:t>.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>
        <w:rPr>
          <w:noProof/>
        </w:rPr>
        <w:t>Varnostni svet Združenih narodov (v nadaljnjem besedilu: VSZN) je 13. julija 2018 sprejel Resolucijo 2428 (2018), v kateri je izrazil globoko zaskrbljenost zaradi neuspeha voditeljev Južnega Sudana, da bi zaustavili sovražnosti države, ter obsodil stalne i</w:t>
      </w:r>
      <w:r>
        <w:rPr>
          <w:noProof/>
        </w:rPr>
        <w:t>n očitne kršitve sporazuma z dne 17. avgusta 2015 o reševanju konflikta v Republiki Južni Sudan, sporazuma z dne 21. decembra 2017 o prenehanju sovražnosti, zaščiti civilistov in humanitarnem dostopu ter Kartumske deklaracije z dne 27. junija 2018, in okre</w:t>
      </w:r>
      <w:r>
        <w:rPr>
          <w:noProof/>
        </w:rPr>
        <w:t xml:space="preserve">pil ukrepe proti Južnemu Sudanu, uvedene z Resolucijo VSZN 2206 (2015).  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3.</w:t>
      </w:r>
      <w:r>
        <w:rPr>
          <w:noProof/>
        </w:rPr>
        <w:tab/>
        <w:t>VSZN med drugim spreminja izjeme v zvezi z embargom na orožje ter s tem povezano tehnično in finančno pomočjo, ter spreminja merila za imenovanje oseb in subjektov, za katere velj</w:t>
      </w:r>
      <w:r>
        <w:rPr>
          <w:noProof/>
        </w:rPr>
        <w:t xml:space="preserve">a zamrznitev sredstev. 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4.</w:t>
      </w:r>
      <w:r>
        <w:rPr>
          <w:noProof/>
        </w:rPr>
        <w:tab/>
        <w:t xml:space="preserve">S Sklepom Sveta (SZVP) 2018/XXX se je spremenil Sklep Sveta (SZVP) 2015/740, da bi začeli veljati ukrepi, uvedeni z Resolucijo VSZN 2428 (2018). 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5.</w:t>
      </w:r>
      <w:r>
        <w:rPr>
          <w:noProof/>
        </w:rPr>
        <w:tab/>
        <w:t>Ti ukrepi spadajo na področje uporabe Pogodbe, zato je zlasti zaradi zagotovitve</w:t>
      </w:r>
      <w:r>
        <w:rPr>
          <w:noProof/>
        </w:rPr>
        <w:t xml:space="preserve">, da se bodo v vseh državah članicah enotno uporabljali, potrebno regulativno ukrepanje na ravni Unije. 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6.</w:t>
      </w:r>
      <w:r>
        <w:rPr>
          <w:noProof/>
        </w:rPr>
        <w:tab/>
        <w:t>Visoki predstavnik Unije za zunanje zadeve in varnostno politiko ter Komisija bi zato morala predlagati, da se Uredba (EU) 2015/735 ustrezno spremen</w:t>
      </w:r>
      <w:r>
        <w:rPr>
          <w:noProof/>
        </w:rPr>
        <w:t>i.</w:t>
      </w:r>
    </w:p>
    <w:p w:rsidR="00454C13" w:rsidRDefault="00454C13">
      <w:pPr>
        <w:rPr>
          <w:noProof/>
        </w:rPr>
        <w:sectPr w:rsidR="00454C13" w:rsidSect="00995C1D">
          <w:footerReference w:type="default" r:id="rId14"/>
          <w:footerReference w:type="first" r:id="rId15"/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:rsidR="00454C13" w:rsidRDefault="00995C1D" w:rsidP="00995C1D">
      <w:pPr>
        <w:pStyle w:val="Rfrenceinterinstitutionnelle"/>
        <w:rPr>
          <w:noProof/>
        </w:rPr>
      </w:pPr>
      <w:r w:rsidRPr="00995C1D">
        <w:lastRenderedPageBreak/>
        <w:t>2018/0300 (NLE)</w:t>
      </w:r>
    </w:p>
    <w:p w:rsidR="00454C13" w:rsidRDefault="00995C1D" w:rsidP="00995C1D">
      <w:pPr>
        <w:pStyle w:val="Statut"/>
        <w:rPr>
          <w:noProof/>
        </w:rPr>
      </w:pPr>
      <w:r w:rsidRPr="00995C1D">
        <w:t>Skupni predlog</w:t>
      </w:r>
    </w:p>
    <w:p w:rsidR="00454C13" w:rsidRDefault="00995C1D" w:rsidP="00995C1D">
      <w:pPr>
        <w:pStyle w:val="Typedudocument"/>
        <w:rPr>
          <w:noProof/>
        </w:rPr>
      </w:pPr>
      <w:r w:rsidRPr="00995C1D">
        <w:t>UREDBA SVETA</w:t>
      </w:r>
    </w:p>
    <w:p w:rsidR="00454C13" w:rsidRDefault="00995C1D" w:rsidP="00995C1D">
      <w:pPr>
        <w:pStyle w:val="Titreobjet"/>
        <w:rPr>
          <w:noProof/>
        </w:rPr>
      </w:pPr>
      <w:r w:rsidRPr="00995C1D">
        <w:t>o spremembi Uredbe Sveta (EU) 2015/735 o omejevalnih ukrepih glede na razmere v Južnem Sudanu</w:t>
      </w:r>
    </w:p>
    <w:p w:rsidR="00454C13" w:rsidRDefault="00995C1D">
      <w:pPr>
        <w:pStyle w:val="Institutionquiagit"/>
        <w:rPr>
          <w:noProof/>
        </w:rPr>
      </w:pPr>
      <w:r>
        <w:rPr>
          <w:noProof/>
        </w:rPr>
        <w:t>S</w:t>
      </w:r>
      <w:r>
        <w:rPr>
          <w:noProof/>
        </w:rPr>
        <w:t>VET EVROPSKE UNIJE JE –</w:t>
      </w:r>
    </w:p>
    <w:p w:rsidR="00454C13" w:rsidRDefault="00995C1D">
      <w:pPr>
        <w:rPr>
          <w:noProof/>
        </w:rPr>
      </w:pPr>
      <w:r>
        <w:rPr>
          <w:noProof/>
        </w:rPr>
        <w:t xml:space="preserve">ob upoštevanju Pogodbe o </w:t>
      </w:r>
      <w:r>
        <w:rPr>
          <w:noProof/>
        </w:rPr>
        <w:t>delovanju Evropske unije in zlasti člena 215 Pogodbe,</w:t>
      </w:r>
    </w:p>
    <w:p w:rsidR="00454C13" w:rsidRDefault="00995C1D">
      <w:pPr>
        <w:rPr>
          <w:noProof/>
        </w:rPr>
      </w:pPr>
      <w:r>
        <w:rPr>
          <w:noProof/>
        </w:rPr>
        <w:t>ob upoštevanju Sklepa (SZVP) 2015/740 z dne 7. maja 2015 o omejevalnih ukrepih glede na razmere v Južnem Sudanu in razveljavitvi Sklepa 2014/449/SZVP</w:t>
      </w:r>
      <w:r>
        <w:rPr>
          <w:rStyle w:val="FootnoteReference"/>
          <w:noProof/>
        </w:rPr>
        <w:footnoteReference w:id="2"/>
      </w:r>
      <w:r>
        <w:rPr>
          <w:noProof/>
        </w:rPr>
        <w:t>,</w:t>
      </w:r>
    </w:p>
    <w:p w:rsidR="00454C13" w:rsidRDefault="00995C1D">
      <w:pPr>
        <w:rPr>
          <w:noProof/>
        </w:rPr>
      </w:pPr>
      <w:r>
        <w:rPr>
          <w:noProof/>
        </w:rPr>
        <w:t>ob upoštevanju skupnega predloga visokega predstav</w:t>
      </w:r>
      <w:r>
        <w:rPr>
          <w:noProof/>
        </w:rPr>
        <w:t>nika Unije za zunanje zadeve in varnostno politiko ter Evropske komisije,</w:t>
      </w:r>
    </w:p>
    <w:p w:rsidR="00454C13" w:rsidRDefault="00995C1D">
      <w:pPr>
        <w:rPr>
          <w:noProof/>
        </w:rPr>
      </w:pPr>
      <w:r>
        <w:rPr>
          <w:noProof/>
        </w:rPr>
        <w:t>ob upoštevanju naslednjega:</w:t>
      </w:r>
    </w:p>
    <w:p w:rsidR="00454C13" w:rsidRDefault="00995C1D">
      <w:pPr>
        <w:pStyle w:val="ManualConsidrant"/>
        <w:rPr>
          <w:noProof/>
        </w:rPr>
      </w:pPr>
      <w:r>
        <w:rPr>
          <w:noProof/>
        </w:rPr>
        <w:t>(1)</w:t>
      </w:r>
      <w:r>
        <w:rPr>
          <w:noProof/>
        </w:rPr>
        <w:tab/>
        <w:t>Z Uredbo Sveta (EU) 2015/735 se uveljavljajo ukrepi, določeni v Sklepu Sveta (SZVP) 2015/740.</w:t>
      </w:r>
    </w:p>
    <w:p w:rsidR="00454C13" w:rsidRDefault="00995C1D">
      <w:pPr>
        <w:pStyle w:val="ManualConsidrant"/>
        <w:rPr>
          <w:noProof/>
        </w:rPr>
      </w:pPr>
      <w:r>
        <w:rPr>
          <w:noProof/>
        </w:rPr>
        <w:t>(2)</w:t>
      </w:r>
      <w:r>
        <w:rPr>
          <w:noProof/>
        </w:rPr>
        <w:tab/>
        <w:t>Varnostni svet Združenih narodov (v nadaljnjem besed</w:t>
      </w:r>
      <w:r>
        <w:rPr>
          <w:noProof/>
        </w:rPr>
        <w:t xml:space="preserve">ilu: VSZN) je 13. julija 2018 sprejel Resolucijo 2428 (2018), v kateri je izrazil globoko zaskrbljenost zaradi neuspeha voditeljev Južnega Sudana, da bi zaustavili sovražnosti države, ter obsodil stalne in očitne kršitve sporazuma z dne 17. avgusta 2015 o </w:t>
      </w:r>
      <w:r>
        <w:rPr>
          <w:noProof/>
        </w:rPr>
        <w:t>reševanju konflikta v Republiki Južni Sudan, sporazuma z dne 21. decembra 2017 o prenehanju sovražnosti, zaščiti civilistov in humanitarnem dostopu ter Kartumske deklaracije z dne 27. junija 2018, in okrepil ukrepe proti Južnemu Sudanu, uvedene z Resolucij</w:t>
      </w:r>
      <w:r>
        <w:rPr>
          <w:noProof/>
        </w:rPr>
        <w:t xml:space="preserve">o VSZN 2206 (2015).  </w:t>
      </w:r>
    </w:p>
    <w:p w:rsidR="00454C13" w:rsidRDefault="00995C1D">
      <w:pPr>
        <w:pStyle w:val="ManualConsidrant"/>
        <w:rPr>
          <w:noProof/>
        </w:rPr>
      </w:pPr>
      <w:r>
        <w:rPr>
          <w:noProof/>
        </w:rPr>
        <w:t>(3)</w:t>
      </w:r>
      <w:r>
        <w:rPr>
          <w:noProof/>
        </w:rPr>
        <w:tab/>
        <w:t xml:space="preserve">VSZN med drugim spreminja izjeme v zvezi z embargom na orožje ter s tem povezano tehnično in finančno pomočjo, ter spreminja merila za imenovanje oseb in subjektov, za katere velja zamrznitev sredstev. </w:t>
      </w:r>
    </w:p>
    <w:p w:rsidR="00454C13" w:rsidRDefault="00995C1D">
      <w:pPr>
        <w:pStyle w:val="ManualConsidrant"/>
        <w:rPr>
          <w:noProof/>
        </w:rPr>
      </w:pPr>
      <w:r>
        <w:rPr>
          <w:noProof/>
        </w:rPr>
        <w:t>(4)</w:t>
      </w:r>
      <w:r>
        <w:rPr>
          <w:noProof/>
        </w:rPr>
        <w:tab/>
        <w:t xml:space="preserve">S Sklepom Sveta (SZVP) </w:t>
      </w:r>
      <w:r>
        <w:rPr>
          <w:noProof/>
        </w:rPr>
        <w:t xml:space="preserve">2018/XXX se je spremenil Sklep (SZVP) 2015/740, da bi začeli veljati novi ukrepi, uvedeni z Resolucijo VSZN 2428 (2018). </w:t>
      </w:r>
    </w:p>
    <w:p w:rsidR="00454C13" w:rsidRDefault="00995C1D">
      <w:pPr>
        <w:pStyle w:val="ManualConsidrant"/>
        <w:rPr>
          <w:noProof/>
        </w:rPr>
      </w:pPr>
      <w:r>
        <w:rPr>
          <w:noProof/>
        </w:rPr>
        <w:t>(5)</w:t>
      </w:r>
      <w:r>
        <w:rPr>
          <w:noProof/>
        </w:rPr>
        <w:tab/>
        <w:t>Ti ukrepi spadajo na področje uporabe Pogodbe, zato je zlasti zaradi zagotovitve, da se bodo v vseh državah članicah enotno uporab</w:t>
      </w:r>
      <w:r>
        <w:rPr>
          <w:noProof/>
        </w:rPr>
        <w:t>ljali, potrebno regulativno ukrepanje na ravni Unije.</w:t>
      </w:r>
    </w:p>
    <w:p w:rsidR="00454C13" w:rsidRDefault="00995C1D">
      <w:pPr>
        <w:pStyle w:val="ManualConsidrant"/>
        <w:rPr>
          <w:noProof/>
        </w:rPr>
      </w:pPr>
      <w:r>
        <w:rPr>
          <w:noProof/>
        </w:rPr>
        <w:t>(6)</w:t>
      </w:r>
      <w:r>
        <w:rPr>
          <w:noProof/>
        </w:rPr>
        <w:tab/>
        <w:t>Uredbo (EU) 2015/735 bi bilo zato treba ustrezno spremeniti –</w:t>
      </w:r>
    </w:p>
    <w:p w:rsidR="00454C13" w:rsidRDefault="00995C1D">
      <w:pPr>
        <w:pStyle w:val="Formuledadoption"/>
        <w:rPr>
          <w:noProof/>
        </w:rPr>
      </w:pPr>
      <w:r>
        <w:rPr>
          <w:noProof/>
        </w:rPr>
        <w:t>SPREJEL NASLEDNJO UREDBO:</w:t>
      </w:r>
    </w:p>
    <w:p w:rsidR="00454C13" w:rsidRDefault="00995C1D">
      <w:pPr>
        <w:pStyle w:val="Titrearticle"/>
        <w:rPr>
          <w:noProof/>
        </w:rPr>
      </w:pPr>
      <w:r>
        <w:rPr>
          <w:noProof/>
        </w:rPr>
        <w:t>Člen 1</w:t>
      </w:r>
    </w:p>
    <w:p w:rsidR="00454C13" w:rsidRDefault="00995C1D">
      <w:pPr>
        <w:rPr>
          <w:noProof/>
        </w:rPr>
      </w:pPr>
      <w:r>
        <w:rPr>
          <w:noProof/>
        </w:rPr>
        <w:t xml:space="preserve">Uredba (EU) 2015/735 se spremeni: 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1.</w:t>
      </w:r>
      <w:r>
        <w:rPr>
          <w:noProof/>
        </w:rPr>
        <w:tab/>
        <w:t>člen 2 se nadomesti z naslednjim:</w:t>
      </w:r>
    </w:p>
    <w:p w:rsidR="00454C13" w:rsidRDefault="00995C1D">
      <w:pPr>
        <w:pStyle w:val="Titrearticle"/>
        <w:rPr>
          <w:noProof/>
        </w:rPr>
      </w:pPr>
      <w:r>
        <w:rPr>
          <w:noProof/>
        </w:rPr>
        <w:t>„Člen 2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 xml:space="preserve">Prepovedano je </w:t>
      </w:r>
      <w:r>
        <w:rPr>
          <w:noProof/>
        </w:rPr>
        <w:t>zagotavljati: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1) tehnično pomoč ali posredniške storitve v zvezi z vojaškimi dejavnostmi ali z dajanjem na voljo, izdelovanjem, vzdrževanjem in uporabo orožja ter pripadajočega materiala vseh vrst, vključno z orožjem in strelivom, vojaškimi vozili in oprem</w:t>
      </w:r>
      <w:r>
        <w:rPr>
          <w:noProof/>
        </w:rPr>
        <w:t>o, paravojaško opremo in nadomestnimi deli za navedeno, neposredno ali posredno kateri koli fizični ali pravni osebi, subjektu ali organu v Južnem Sudanu ali za uporabo v tej državi;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2) financiranje ali finančno pomoč v zvezi z vojaškimi dejavnostmi, vklju</w:t>
      </w:r>
      <w:r>
        <w:rPr>
          <w:noProof/>
        </w:rPr>
        <w:t>čno zlasti s subvencijami, posojili in zavarovanjem kreditnih izvoznih poslov ter zavarovanjem in pozavarovanjem za katero koli prodajo, dobavo, prenos ali izvoz orožja in drugega vojaškega materiala ali za kakršno koli zagotavljanje pripadajoče tehnične p</w:t>
      </w:r>
      <w:r>
        <w:rPr>
          <w:noProof/>
        </w:rPr>
        <w:t>omoči in posredniških storitev neposredno ali posredno kateri koli fizični ali pravni osebi, subjektu ali organu v Južnem Sudanu ali za uporabo v tej državi;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3) tehnično pomoč, financiranje ali finančno pomoč ali posredniške storitve v zvezi z zagotavljanj</w:t>
      </w:r>
      <w:r>
        <w:rPr>
          <w:noProof/>
        </w:rPr>
        <w:t>em oboroženega najemniškega vojaškega osebja v Južnem Sudanu ali za uporabo v tej državi.“;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 člen 3 se nadomesti z naslednjim:</w:t>
      </w:r>
    </w:p>
    <w:p w:rsidR="00454C13" w:rsidRDefault="00995C1D">
      <w:pPr>
        <w:pStyle w:val="Titrearticle"/>
        <w:rPr>
          <w:noProof/>
        </w:rPr>
      </w:pPr>
      <w:r>
        <w:rPr>
          <w:noProof/>
        </w:rPr>
        <w:t>„Člen 3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Prepovedi iz člena 2 se ne uporabljajo za zagotavljanje financiranja, finančne pomoči, tehnične pomoči in posredniških</w:t>
      </w:r>
      <w:r>
        <w:rPr>
          <w:noProof/>
        </w:rPr>
        <w:t xml:space="preserve"> storitev v zvezi z: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a) orožjem in z njim povezanim materialom, namenjenim izključno za podporo ali uporabo s strani osebja ZN, vključno z misijo Združenih narodov v Južnem Sudanu (UNMISS) in začasnimi varnostnimi silami Združenih narodov za Abyei (UNISFA)</w:t>
      </w:r>
      <w:r>
        <w:rPr>
          <w:noProof/>
        </w:rPr>
        <w:t>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 xml:space="preserve"> b) zaščitnimi oblačili, vključno z neprebojnimi jopiči in vojaškimi čeladami, ki jih v Južni Sudan za lastno uporabo začasno izvozijo uslužbenci ZN, predstavniki medijev ter delavci na področju humanitarne in razvojne pomoči in njihovo spremno osebje.“;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člen 4 se nadomesti z naslednjim: </w:t>
      </w:r>
    </w:p>
    <w:p w:rsidR="00454C13" w:rsidRDefault="00995C1D">
      <w:pPr>
        <w:pStyle w:val="Titrearticle"/>
        <w:rPr>
          <w:noProof/>
        </w:rPr>
      </w:pPr>
      <w:r>
        <w:rPr>
          <w:noProof/>
        </w:rPr>
        <w:t>„Člen 4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1. Z odstopanjem od člena 2 lahko pristojni organi odobrijo zagotavljanje financiranja, finančne pomoči, tehnične pomoči in posredniških storitev v zvezi z: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a) nesmrtonosno vojaško opremo, namenjeno zgolj za h</w:t>
      </w:r>
      <w:r>
        <w:rPr>
          <w:noProof/>
        </w:rPr>
        <w:t>umanitarno ali zaščitno uporabo, pod pogojem, da je država članica Odbor za sankcije predhodno uradno obvestila v skladu z zahtevami iz odstavka 6 RVSZN 2428 (2018);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b) orožjem in z njim povezanim materialom, ki ga v Južni Sudan začasno izvozijo sile držav</w:t>
      </w:r>
      <w:r>
        <w:rPr>
          <w:noProof/>
        </w:rPr>
        <w:t>e, ki v skladu z mednarodnim pravom ukrepa zgolj in neposredno za lažjo zaščito ali evakuacijo svojih državljanov in državljanov, za katere ima konzularno pristojnost v Južnem Sudanu, pod pogojem, da država članica Odbor za sankcije uradno obvesti v skladu</w:t>
      </w:r>
      <w:r>
        <w:rPr>
          <w:noProof/>
        </w:rPr>
        <w:t xml:space="preserve"> z zahtevami iz odstavka 6 RVSZN 2428 (2018);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c) orožjem in z njim povezanim materialom za regionalno skupino Afriške unije za posredovanje ali za njeno podporo, namenjenim izključno regionalnim operacijam za zatiranje Gospodove odporniške vojske, pod pogo</w:t>
      </w:r>
      <w:r>
        <w:rPr>
          <w:noProof/>
        </w:rPr>
        <w:t>jem, da je država članica Odbor za sankcije predhodno uradno obvestila v skladu z zahtevami iz odstavka 6 RVSZN 2428 (2018);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d) orožjem in z njim povezanim materialom izključno v podporo izvajanju pogojev mirovnega sporazuma, pod pogojem, da je država član</w:t>
      </w:r>
      <w:r>
        <w:rPr>
          <w:noProof/>
        </w:rPr>
        <w:t>ica pridobila predhodno odobritev Odbora za sankcije v skladu z zahtevami iz odstavka 6 RVSZN 2428 (2018);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 xml:space="preserve">e) drugo dobavo orožja in z njim povezanega materiala, ali z zagotavljanjem pomoči ali osebja, pod pogojem, da je država članica pridobila predhodno </w:t>
      </w:r>
      <w:r>
        <w:rPr>
          <w:noProof/>
        </w:rPr>
        <w:t>odobritev Odbora za sankcije v skladu z zahtevami iz odstavka 6 RVSZN 2428 (2018);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2. Zadevna država članica uradno obvesti druge države članice in Komisijo o vseh odobritvah, izdanih na podlagi odstavka 1.“;</w:t>
      </w:r>
    </w:p>
    <w:p w:rsidR="00454C13" w:rsidRDefault="00995C1D">
      <w:pPr>
        <w:pStyle w:val="ManualNumPar1"/>
        <w:rPr>
          <w:noProof/>
        </w:rPr>
      </w:pPr>
      <w:r>
        <w:rPr>
          <w:noProof/>
        </w:rPr>
        <w:t>4.</w:t>
      </w:r>
      <w:r>
        <w:rPr>
          <w:noProof/>
        </w:rPr>
        <w:tab/>
        <w:t>odstavek 1 člena 5 se nadomesti z naslednjim</w:t>
      </w:r>
      <w:r>
        <w:rPr>
          <w:noProof/>
        </w:rPr>
        <w:t>:</w:t>
      </w:r>
    </w:p>
    <w:p w:rsidR="00454C13" w:rsidRDefault="00995C1D">
      <w:pPr>
        <w:pStyle w:val="Text1"/>
        <w:rPr>
          <w:noProof/>
        </w:rPr>
      </w:pPr>
      <w:r>
        <w:rPr>
          <w:noProof/>
        </w:rPr>
        <w:t>„1.  Zamrznejo se vsa sredstva in gospodarski viri, ki pripadajo kateri koli fizični ali pravni osebi, subjektu ali organu iz Priloge I, so v njihovi lasti, posesti ali pod njihovim nadzorom. Priloga I vključuje fizične ali pravne osebe, subjekte in orga</w:t>
      </w:r>
      <w:r>
        <w:rPr>
          <w:noProof/>
        </w:rPr>
        <w:t>ne, za katere je odbor Varnostnega sveta ZN, ustanovljen v skladu z odstavkom 16 RVSZN 2206 (2015) (v nadaljnjem besedilu: Odbor za sankcije), ugotovil, da so neposredno ali posredno odgovorne za dejanja ali politike, ki v skladu z odstavki 6, 7, 8 in 12 R</w:t>
      </w:r>
      <w:r>
        <w:rPr>
          <w:noProof/>
        </w:rPr>
        <w:t>VSZN 2206 (2015) in odstavkom 14 RVSZN 2428 (2018) ogrožajo mir, varnost ali stabilnost Južnega Sudana, ali so vanje vpletene ali v njih sodelujejo.“.</w:t>
      </w:r>
    </w:p>
    <w:p w:rsidR="00454C13" w:rsidRDefault="00995C1D">
      <w:pPr>
        <w:pStyle w:val="Titrearticle"/>
        <w:rPr>
          <w:noProof/>
        </w:rPr>
      </w:pPr>
      <w:r>
        <w:rPr>
          <w:noProof/>
        </w:rPr>
        <w:t>Člen 2</w:t>
      </w:r>
    </w:p>
    <w:p w:rsidR="00454C13" w:rsidRDefault="00995C1D">
      <w:pPr>
        <w:rPr>
          <w:noProof/>
        </w:rPr>
      </w:pPr>
      <w:r>
        <w:rPr>
          <w:noProof/>
        </w:rPr>
        <w:t xml:space="preserve">Ta uredba začne veljati na dan objave v </w:t>
      </w:r>
      <w:r>
        <w:rPr>
          <w:i/>
          <w:noProof/>
        </w:rPr>
        <w:t>Uradnem listu Evropske unije</w:t>
      </w:r>
      <w:r>
        <w:rPr>
          <w:noProof/>
        </w:rPr>
        <w:t>.</w:t>
      </w:r>
    </w:p>
    <w:p w:rsidR="00454C13" w:rsidRDefault="00995C1D">
      <w:pPr>
        <w:pStyle w:val="Applicationdirecte"/>
        <w:rPr>
          <w:noProof/>
        </w:rPr>
      </w:pPr>
      <w:r>
        <w:rPr>
          <w:noProof/>
        </w:rPr>
        <w:t>Ta uredba je v celoti zavezu</w:t>
      </w:r>
      <w:r>
        <w:rPr>
          <w:noProof/>
        </w:rPr>
        <w:t>joča in se neposredno uporablja v vseh državah članicah.</w:t>
      </w:r>
    </w:p>
    <w:p w:rsidR="00454C13" w:rsidRDefault="00995C1D" w:rsidP="00995C1D">
      <w:pPr>
        <w:pStyle w:val="Fait"/>
        <w:rPr>
          <w:noProof/>
        </w:rPr>
      </w:pPr>
      <w:r w:rsidRPr="00995C1D">
        <w:t>V Bruslju,</w:t>
      </w:r>
    </w:p>
    <w:p w:rsidR="00454C13" w:rsidRDefault="00995C1D">
      <w:pPr>
        <w:pStyle w:val="Institutionquisigne"/>
        <w:rPr>
          <w:noProof/>
        </w:rPr>
      </w:pPr>
      <w:r>
        <w:rPr>
          <w:noProof/>
        </w:rPr>
        <w:tab/>
      </w:r>
      <w:r>
        <w:rPr>
          <w:noProof/>
        </w:rPr>
        <w:t>Za Svet</w:t>
      </w:r>
    </w:p>
    <w:p w:rsidR="00454C13" w:rsidRDefault="00995C1D">
      <w:pPr>
        <w:pStyle w:val="Personnequisigne"/>
        <w:rPr>
          <w:noProof/>
        </w:rPr>
      </w:pPr>
      <w:r>
        <w:rPr>
          <w:noProof/>
        </w:rPr>
        <w:tab/>
        <w:t>Predsednik</w:t>
      </w:r>
    </w:p>
    <w:sectPr w:rsidR="00454C13" w:rsidSect="00995C1D"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13" w:rsidRDefault="00995C1D">
      <w:pPr>
        <w:spacing w:before="0" w:after="0"/>
      </w:pPr>
      <w:r>
        <w:separator/>
      </w:r>
    </w:p>
  </w:endnote>
  <w:endnote w:type="continuationSeparator" w:id="0">
    <w:p w:rsidR="00454C13" w:rsidRDefault="00995C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454C13" w:rsidP="00995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995C1D" w:rsidP="00995C1D">
    <w:pPr>
      <w:pStyle w:val="Footer"/>
      <w:rPr>
        <w:rFonts w:ascii="Arial" w:hAnsi="Arial" w:cs="Arial"/>
        <w:b/>
        <w:sz w:val="48"/>
      </w:rPr>
    </w:pPr>
    <w:r w:rsidRPr="00995C1D">
      <w:rPr>
        <w:rFonts w:ascii="Arial" w:hAnsi="Arial" w:cs="Arial"/>
        <w:b/>
        <w:sz w:val="48"/>
      </w:rPr>
      <w:t>SL</w:t>
    </w:r>
    <w:r w:rsidRPr="00995C1D">
      <w:rPr>
        <w:rFonts w:ascii="Arial" w:hAnsi="Arial" w:cs="Arial"/>
        <w:b/>
        <w:sz w:val="48"/>
      </w:rPr>
      <w:tab/>
    </w:r>
    <w:r w:rsidRPr="00995C1D">
      <w:rPr>
        <w:rFonts w:ascii="Arial" w:hAnsi="Arial" w:cs="Arial"/>
        <w:b/>
        <w:sz w:val="48"/>
      </w:rPr>
      <w:tab/>
    </w:r>
    <w:r w:rsidRPr="00995C1D">
      <w:tab/>
    </w:r>
    <w:r w:rsidRPr="00995C1D">
      <w:rPr>
        <w:rFonts w:ascii="Arial" w:hAnsi="Arial" w:cs="Arial"/>
        <w:b/>
        <w:sz w:val="48"/>
      </w:rPr>
      <w:t>SL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454C13" w:rsidP="00995C1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995C1D" w:rsidP="00995C1D">
    <w:pPr>
      <w:pStyle w:val="Footer"/>
      <w:rPr>
        <w:rFonts w:ascii="Arial" w:hAnsi="Arial" w:cs="Arial"/>
        <w:b/>
        <w:sz w:val="48"/>
      </w:rPr>
    </w:pPr>
    <w:r w:rsidRPr="00995C1D">
      <w:rPr>
        <w:rFonts w:ascii="Arial" w:hAnsi="Arial" w:cs="Arial"/>
        <w:b/>
        <w:sz w:val="48"/>
      </w:rPr>
      <w:t>SL</w:t>
    </w:r>
    <w:r w:rsidRPr="00995C1D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</w:r>
    <w:r w:rsidRPr="00995C1D">
      <w:tab/>
    </w:r>
    <w:r w:rsidRPr="00995C1D">
      <w:rPr>
        <w:rFonts w:ascii="Arial" w:hAnsi="Arial" w:cs="Arial"/>
        <w:b/>
        <w:sz w:val="48"/>
      </w:rPr>
      <w:t>SL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C1D" w:rsidRPr="00995C1D" w:rsidRDefault="00995C1D" w:rsidP="00995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13" w:rsidRDefault="00995C1D">
      <w:pPr>
        <w:spacing w:before="0" w:after="0"/>
      </w:pPr>
      <w:r>
        <w:separator/>
      </w:r>
    </w:p>
  </w:footnote>
  <w:footnote w:type="continuationSeparator" w:id="0">
    <w:p w:rsidR="00454C13" w:rsidRDefault="00995C1D">
      <w:pPr>
        <w:spacing w:before="0" w:after="0"/>
      </w:pPr>
      <w:r>
        <w:continuationSeparator/>
      </w:r>
    </w:p>
  </w:footnote>
  <w:footnote w:id="1">
    <w:p w:rsidR="00454C13" w:rsidRDefault="00995C1D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>
        <w:tab/>
        <w:t>UL L 117, 8.5.2015, str. 52.</w:t>
      </w:r>
    </w:p>
  </w:footnote>
  <w:footnote w:id="2">
    <w:p w:rsidR="00454C13" w:rsidRDefault="00995C1D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>
        <w:tab/>
        <w:t>UL L 117, 8.5.2015, str. 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454C13" w:rsidP="00995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454C13" w:rsidP="00995C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C13" w:rsidRPr="00995C1D" w:rsidRDefault="00454C13" w:rsidP="0099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6E54FA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347A7A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A86CB3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A560076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640B72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534D5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3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4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5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1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3"/>
  </w:num>
  <w:num w:numId="5">
    <w:abstractNumId w:val="2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  <w:lvlOverride w:ilvl="0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1"/>
  </w:num>
  <w:num w:numId="17">
    <w:abstractNumId w:val="22"/>
  </w:num>
  <w:num w:numId="18">
    <w:abstractNumId w:val="10"/>
  </w:num>
  <w:num w:numId="19">
    <w:abstractNumId w:val="12"/>
  </w:num>
  <w:num w:numId="20">
    <w:abstractNumId w:val="8"/>
  </w:num>
  <w:num w:numId="21">
    <w:abstractNumId w:val="21"/>
  </w:num>
  <w:num w:numId="22">
    <w:abstractNumId w:val="7"/>
  </w:num>
  <w:num w:numId="23">
    <w:abstractNumId w:val="13"/>
  </w:num>
  <w:num w:numId="24">
    <w:abstractNumId w:val="17"/>
  </w:num>
  <w:num w:numId="25">
    <w:abstractNumId w:val="18"/>
  </w:num>
  <w:num w:numId="26">
    <w:abstractNumId w:val="9"/>
  </w:num>
  <w:num w:numId="27">
    <w:abstractNumId w:val="16"/>
  </w:num>
  <w:num w:numId="28">
    <w:abstractNumId w:val="24"/>
  </w:num>
  <w:num w:numId="29">
    <w:abstractNumId w:val="19"/>
  </w:num>
  <w:num w:numId="30">
    <w:abstractNumId w:val="11"/>
  </w:num>
  <w:num w:numId="31">
    <w:abstractNumId w:val="22"/>
  </w:num>
  <w:num w:numId="32">
    <w:abstractNumId w:val="10"/>
  </w:num>
  <w:num w:numId="33">
    <w:abstractNumId w:val="12"/>
  </w:num>
  <w:num w:numId="34">
    <w:abstractNumId w:val="8"/>
  </w:num>
  <w:num w:numId="35">
    <w:abstractNumId w:val="21"/>
  </w:num>
  <w:num w:numId="36">
    <w:abstractNumId w:val="7"/>
  </w:num>
  <w:num w:numId="37">
    <w:abstractNumId w:val="13"/>
  </w:num>
  <w:num w:numId="38">
    <w:abstractNumId w:val="17"/>
  </w:num>
  <w:num w:numId="39">
    <w:abstractNumId w:val="18"/>
  </w:num>
  <w:num w:numId="40">
    <w:abstractNumId w:val="9"/>
  </w:num>
  <w:num w:numId="41">
    <w:abstractNumId w:val="16"/>
  </w:num>
  <w:num w:numId="4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QCDateTime" w:val="2018-10-26 08:02:37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5"/>
    <w:docVar w:name="DQCResult_UnknownFonts" w:val="0;0"/>
    <w:docVar w:name="DQCResult_UnknownStyles" w:val="0;0"/>
    <w:docVar w:name="DQCStatus" w:val="Yellow"/>
    <w:docVar w:name="DQCVersion" w:val="3"/>
    <w:docVar w:name="DQCWithWarnings" w:val="0"/>
    <w:docVar w:name="LW_CORRIGENDUM" w:val="This document replaces JOIN(2018) 22 final of 25.7.2018._x000b_Change of the sensitivity level, deletion of the marking &quot;LIMITED&quot;."/>
    <w:docVar w:name="LW_COVERPAGE_EXISTS" w:val="True"/>
    <w:docVar w:name="LW_COVERPAGE_GUID" w:val="68BBE77F-16E1-4933-AB19-C942A3BC15F3"/>
    <w:docVar w:name="LW_COVERPAGE_TYPE" w:val="1"/>
    <w:docVar w:name="LW_CROSSREFERENCE" w:val="&lt;UNUSED&gt;"/>
    <w:docVar w:name="LW_DocType" w:val="COM"/>
    <w:docVar w:name="LW_EMISSION" w:val="26.10.2018"/>
    <w:docVar w:name="LW_EMISSION_ISODATE" w:val="2018-10-26"/>
    <w:docVar w:name="LW_EMISSION_LOCATION" w:val="BRX"/>
    <w:docVar w:name="LW_EMISSION_PREFIX" w:val="Bruselj, "/>
    <w:docVar w:name="LW_EMISSION_SUFFIX" w:val="&lt;EMPTY&gt;"/>
    <w:docVar w:name="LW_ID_DOCMODEL" w:val="SG-057"/>
    <w:docVar w:name="LW_ID_DOCSIGNATURE" w:val="SJ-016"/>
    <w:docVar w:name="LW_ID_DOCSTRUCTURE" w:val="COM/PL/ORG"/>
    <w:docVar w:name="LW_ID_DOCTYPE" w:val="SG-057"/>
    <w:docVar w:name="LW_ID_EXP.MOTIFS.NEW" w:val="EM_PL_"/>
    <w:docVar w:name="LW_ID_STATUT" w:val="SG-057"/>
    <w:docVar w:name="LW_INTERETEEE.CP" w:val="&lt;UNUSED&gt;"/>
    <w:docVar w:name="LW_LANGUE" w:val="SL"/>
    <w:docVar w:name="LW_LEVEL_OF_SENSITIVITY" w:val="Standard treatment"/>
    <w:docVar w:name="LW_NOM.INST" w:val="EVROPSKA KOMISIJA"/>
    <w:docVar w:name="LW_NOM.INST_JOINTDOC" w:val="VISOKI PREDSTAVNIK_x000b_UNIJE ZA ZUNANJE _x000b_ZADEVE IN_x000b_ VARNOSTNO POLITIKO"/>
    <w:docVar w:name="LW_PART_NBR" w:val="1"/>
    <w:docVar w:name="LW_PART_NBR_TOTAL" w:val="1"/>
    <w:docVar w:name="LW_REF.II.NEW.CP" w:val="NLE"/>
    <w:docVar w:name="LW_REF.II.NEW.CP_NUMBER" w:val="0300"/>
    <w:docVar w:name="LW_REF.II.NEW.CP_YEAR" w:val="2018"/>
    <w:docVar w:name="LW_REF.INST.NEW" w:val="JOIN"/>
    <w:docVar w:name="LW_REF.INST.NEW_ADOPTED" w:val="final/2"/>
    <w:docVar w:name="LW_REF.INST.NEW_TEXT" w:val="(2018) 22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TATUT.CP" w:val="Skupni predlog"/>
    <w:docVar w:name="LW_SUPERTITRE" w:val="&lt;UNUSED&gt;"/>
    <w:docVar w:name="LW_TITRE.OBJ.CP" w:val="o spremembi Uredbe Sveta (EU) 2015/735 o omejevalnih ukrepih glede na razmere v Ju\u382?nem Sudanu"/>
    <w:docVar w:name="LW_TYPE.DOC.CP" w:val="UREDBA SVETA"/>
  </w:docVars>
  <w:rsids>
    <w:rsidRoot w:val="00454C13"/>
    <w:rsid w:val="00454C13"/>
    <w:rsid w:val="0099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6EB55A5-5A4B-434D-AF19-DD7CC2E5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sl-SI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5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5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5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5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pPr>
      <w:numPr>
        <w:numId w:val="4"/>
      </w:numPr>
    </w:pPr>
    <w:rPr>
      <w:rFonts w:eastAsia="Times New Roman"/>
    </w:rPr>
  </w:style>
  <w:style w:type="paragraph" w:customStyle="1" w:styleId="ListBullet1">
    <w:name w:val="List Bullet 1"/>
    <w:basedOn w:val="Normal"/>
    <w:pPr>
      <w:numPr>
        <w:numId w:val="1"/>
      </w:numPr>
    </w:pPr>
    <w:rPr>
      <w:rFonts w:eastAsia="Times New Roman"/>
    </w:rPr>
  </w:style>
  <w:style w:type="paragraph" w:customStyle="1" w:styleId="ListDash1">
    <w:name w:val="List Dash 1"/>
    <w:basedOn w:val="Normal"/>
    <w:pPr>
      <w:numPr>
        <w:numId w:val="2"/>
      </w:numPr>
    </w:pPr>
    <w:rPr>
      <w:rFonts w:eastAsia="Times New Roman"/>
    </w:rPr>
  </w:style>
  <w:style w:type="paragraph" w:customStyle="1" w:styleId="ListDash2">
    <w:name w:val="List Dash 2"/>
    <w:basedOn w:val="Normal"/>
    <w:pPr>
      <w:numPr>
        <w:numId w:val="3"/>
      </w:numPr>
    </w:pPr>
    <w:rPr>
      <w:rFonts w:eastAsia="Times New Roman"/>
    </w:rPr>
  </w:style>
  <w:style w:type="paragraph" w:customStyle="1" w:styleId="ListNumberLevel2">
    <w:name w:val="List Number (Level 2)"/>
    <w:basedOn w:val="Normal"/>
    <w:pPr>
      <w:numPr>
        <w:ilvl w:val="1"/>
        <w:numId w:val="4"/>
      </w:numPr>
    </w:pPr>
    <w:rPr>
      <w:rFonts w:eastAsia="Times New Roman"/>
    </w:rPr>
  </w:style>
  <w:style w:type="paragraph" w:customStyle="1" w:styleId="ListNumberLevel3">
    <w:name w:val="List Number (Level 3)"/>
    <w:basedOn w:val="Normal"/>
    <w:pPr>
      <w:numPr>
        <w:ilvl w:val="2"/>
        <w:numId w:val="4"/>
      </w:numPr>
    </w:pPr>
    <w:rPr>
      <w:rFonts w:eastAsia="Times New Roman"/>
    </w:rPr>
  </w:style>
  <w:style w:type="paragraph" w:customStyle="1" w:styleId="ListNumberLevel4">
    <w:name w:val="List Number (Level 4)"/>
    <w:basedOn w:val="Normal"/>
    <w:pPr>
      <w:numPr>
        <w:ilvl w:val="3"/>
        <w:numId w:val="4"/>
      </w:numPr>
    </w:pPr>
    <w:rPr>
      <w:rFonts w:eastAsia="Times New Roman"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pPr>
      <w:numPr>
        <w:numId w:val="5"/>
      </w:numPr>
    </w:pPr>
    <w:rPr>
      <w:rFonts w:eastAsia="Times New Roman"/>
    </w:rPr>
  </w:style>
  <w:style w:type="paragraph" w:customStyle="1" w:styleId="norm3">
    <w:name w:val="norm3"/>
    <w:basedOn w:val="Normal"/>
    <w:pPr>
      <w:spacing w:after="0" w:line="312" w:lineRule="atLeast"/>
    </w:pPr>
    <w:rPr>
      <w:rFonts w:eastAsia="Times New Roman"/>
      <w:szCs w:val="24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8"/>
      </w:numPr>
      <w:contextualSpacing/>
    </w:pPr>
  </w:style>
  <w:style w:type="paragraph" w:customStyle="1" w:styleId="Nomrla">
    <w:name w:val="Nomrla"/>
    <w:basedOn w:val="Text1"/>
  </w:style>
  <w:style w:type="paragraph" w:customStyle="1" w:styleId="Tite">
    <w:name w:val="Tite"/>
    <w:basedOn w:val="Text1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l-SI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title-article-norm2">
    <w:name w:val="title-article-norm2"/>
    <w:basedOn w:val="Normal"/>
    <w:pPr>
      <w:spacing w:before="240" w:line="312" w:lineRule="atLeast"/>
      <w:jc w:val="center"/>
    </w:pPr>
    <w:rPr>
      <w:rFonts w:eastAsia="Times New Roman"/>
      <w:i/>
      <w:iCs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1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C1D"/>
    <w:pPr>
      <w:tabs>
        <w:tab w:val="center" w:pos="4535"/>
        <w:tab w:val="right" w:pos="9071"/>
      </w:tabs>
      <w:spacing w:before="0"/>
    </w:pPr>
    <w:rPr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95C1D"/>
    <w:rPr>
      <w:rFonts w:ascii="Times New Roman" w:hAnsi="Times New Roman" w:cs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995C1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995C1D"/>
    <w:rPr>
      <w:rFonts w:ascii="Times New Roman" w:hAnsi="Times New Roman" w:cs="Times New Roman"/>
      <w:sz w:val="24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rsid w:val="00995C1D"/>
    <w:pPr>
      <w:tabs>
        <w:tab w:val="center" w:pos="7285"/>
        <w:tab w:val="right" w:pos="14003"/>
      </w:tabs>
      <w:spacing w:before="0"/>
    </w:pPr>
    <w:rPr>
      <w:lang w:eastAsia="en-US" w:bidi="ar-SA"/>
    </w:rPr>
  </w:style>
  <w:style w:type="paragraph" w:customStyle="1" w:styleId="FooterLandscape">
    <w:name w:val="FooterLandscape"/>
    <w:basedOn w:val="Normal"/>
    <w:rsid w:val="00995C1D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  <w:rPr>
      <w:lang w:eastAsia="en-US" w:bidi="ar-SA"/>
    </w:r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995C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  <w:lang w:eastAsia="en-US" w:bidi="ar-SA"/>
    </w:rPr>
  </w:style>
  <w:style w:type="paragraph" w:customStyle="1" w:styleId="FooterSensitivity">
    <w:name w:val="Footer Sensitivity"/>
    <w:basedOn w:val="Normal"/>
    <w:rsid w:val="00995C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  <w:lang w:eastAsia="en-US" w:bidi="ar-SA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9"/>
      </w:numPr>
    </w:pPr>
  </w:style>
  <w:style w:type="paragraph" w:customStyle="1" w:styleId="Tiret1">
    <w:name w:val="Tiret 1"/>
    <w:basedOn w:val="Point1"/>
    <w:pPr>
      <w:numPr>
        <w:numId w:val="30"/>
      </w:numPr>
    </w:pPr>
  </w:style>
  <w:style w:type="paragraph" w:customStyle="1" w:styleId="Tiret2">
    <w:name w:val="Tiret 2"/>
    <w:basedOn w:val="Point2"/>
    <w:pPr>
      <w:numPr>
        <w:numId w:val="31"/>
      </w:numPr>
    </w:pPr>
  </w:style>
  <w:style w:type="paragraph" w:customStyle="1" w:styleId="Tiret3">
    <w:name w:val="Tiret 3"/>
    <w:basedOn w:val="Point3"/>
    <w:pPr>
      <w:numPr>
        <w:numId w:val="32"/>
      </w:numPr>
    </w:pPr>
  </w:style>
  <w:style w:type="paragraph" w:customStyle="1" w:styleId="Tiret4">
    <w:name w:val="Tiret 4"/>
    <w:basedOn w:val="Point4"/>
    <w:pPr>
      <w:numPr>
        <w:numId w:val="33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34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34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34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34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6"/>
      </w:numPr>
    </w:pPr>
  </w:style>
  <w:style w:type="paragraph" w:customStyle="1" w:styleId="Point1number">
    <w:name w:val="Point 1 (number)"/>
    <w:basedOn w:val="Normal"/>
    <w:pPr>
      <w:numPr>
        <w:ilvl w:val="2"/>
        <w:numId w:val="36"/>
      </w:numPr>
    </w:pPr>
  </w:style>
  <w:style w:type="paragraph" w:customStyle="1" w:styleId="Point2number">
    <w:name w:val="Point 2 (number)"/>
    <w:basedOn w:val="Normal"/>
    <w:pPr>
      <w:numPr>
        <w:ilvl w:val="4"/>
        <w:numId w:val="36"/>
      </w:numPr>
    </w:pPr>
  </w:style>
  <w:style w:type="paragraph" w:customStyle="1" w:styleId="Point3number">
    <w:name w:val="Point 3 (number)"/>
    <w:basedOn w:val="Normal"/>
    <w:pPr>
      <w:numPr>
        <w:ilvl w:val="6"/>
        <w:numId w:val="36"/>
      </w:numPr>
    </w:pPr>
  </w:style>
  <w:style w:type="paragraph" w:customStyle="1" w:styleId="Point0letter">
    <w:name w:val="Point 0 (letter)"/>
    <w:basedOn w:val="Normal"/>
    <w:pPr>
      <w:numPr>
        <w:ilvl w:val="1"/>
        <w:numId w:val="36"/>
      </w:numPr>
    </w:pPr>
  </w:style>
  <w:style w:type="paragraph" w:customStyle="1" w:styleId="Point1letter">
    <w:name w:val="Point 1 (letter)"/>
    <w:basedOn w:val="Normal"/>
    <w:pPr>
      <w:numPr>
        <w:ilvl w:val="3"/>
        <w:numId w:val="36"/>
      </w:numPr>
    </w:pPr>
  </w:style>
  <w:style w:type="paragraph" w:customStyle="1" w:styleId="Point2letter">
    <w:name w:val="Point 2 (letter)"/>
    <w:basedOn w:val="Normal"/>
    <w:pPr>
      <w:numPr>
        <w:ilvl w:val="5"/>
        <w:numId w:val="36"/>
      </w:numPr>
    </w:pPr>
  </w:style>
  <w:style w:type="paragraph" w:customStyle="1" w:styleId="Point3letter">
    <w:name w:val="Point 3 (letter)"/>
    <w:basedOn w:val="Normal"/>
    <w:pPr>
      <w:numPr>
        <w:ilvl w:val="7"/>
        <w:numId w:val="36"/>
      </w:numPr>
    </w:pPr>
  </w:style>
  <w:style w:type="paragraph" w:customStyle="1" w:styleId="Point4letter">
    <w:name w:val="Point 4 (letter)"/>
    <w:basedOn w:val="Normal"/>
    <w:pPr>
      <w:numPr>
        <w:ilvl w:val="8"/>
        <w:numId w:val="36"/>
      </w:numPr>
    </w:pPr>
  </w:style>
  <w:style w:type="paragraph" w:customStyle="1" w:styleId="Bullet0">
    <w:name w:val="Bullet 0"/>
    <w:basedOn w:val="Normal"/>
    <w:pPr>
      <w:numPr>
        <w:numId w:val="37"/>
      </w:numPr>
    </w:pPr>
  </w:style>
  <w:style w:type="paragraph" w:customStyle="1" w:styleId="Bullet1">
    <w:name w:val="Bullet 1"/>
    <w:basedOn w:val="Normal"/>
    <w:pPr>
      <w:numPr>
        <w:numId w:val="38"/>
      </w:numPr>
    </w:pPr>
  </w:style>
  <w:style w:type="paragraph" w:customStyle="1" w:styleId="Bullet2">
    <w:name w:val="Bullet 2"/>
    <w:basedOn w:val="Normal"/>
    <w:pPr>
      <w:numPr>
        <w:numId w:val="39"/>
      </w:numPr>
    </w:pPr>
  </w:style>
  <w:style w:type="paragraph" w:customStyle="1" w:styleId="Bullet3">
    <w:name w:val="Bullet 3"/>
    <w:basedOn w:val="Normal"/>
    <w:pPr>
      <w:numPr>
        <w:numId w:val="40"/>
      </w:numPr>
    </w:pPr>
  </w:style>
  <w:style w:type="paragraph" w:customStyle="1" w:styleId="Bullet4">
    <w:name w:val="Bullet 4"/>
    <w:basedOn w:val="Normal"/>
    <w:pPr>
      <w:numPr>
        <w:numId w:val="41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42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03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25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2766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28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87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9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92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518043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400355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71805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837483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833343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798547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28015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716387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3197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0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574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0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2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48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67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605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4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876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5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97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0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20725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198069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78995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87110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6</TotalTime>
  <Pages>5</Pages>
  <Words>1191</Words>
  <Characters>6636</Characters>
  <Application>Microsoft Office Word</Application>
  <DocSecurity>0</DocSecurity>
  <Lines>127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36</cp:revision>
  <dcterms:created xsi:type="dcterms:W3CDTF">2018-07-24T11:45:00Z</dcterms:created>
  <dcterms:modified xsi:type="dcterms:W3CDTF">2018-10-26T11:14:00Z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6.0.1.0</vt:lpwstr>
  </property>
  <property fmtid="{D5CDD505-2E9C-101B-9397-08002B2CF9AE}" pid="4" name="Last edited using">
    <vt:lpwstr>LW 6.0.1, Build 20180503</vt:lpwstr>
  </property>
  <property fmtid="{D5CDD505-2E9C-101B-9397-08002B2CF9AE}" pid="5" name="Created using">
    <vt:lpwstr>LW 6.0, Build 20171009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SG-057</vt:lpwstr>
  </property>
  <property fmtid="{D5CDD505-2E9C-101B-9397-08002B2CF9AE}" pid="10" name="DQCStatus">
    <vt:lpwstr>Yellow (DQC version 03)</vt:lpwstr>
  </property>
  <property name="OP_sanitized" fmtid="{D5CDD505-2E9C-101B-9397-08002B2CF9AE}" pid="11">
    <vt:lpwstr>True</vt:lpwstr>
  </property>
</Properties>
</file>