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2B27A2C-D631-4C70-BEA2-8E6E24142A01"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center"/>
        <w:rPr>
          <w:rFonts w:ascii="Times New Roman" w:hAnsi="Times New Roman"/>
          <w:b/>
          <w:noProof/>
          <w:sz w:val="24"/>
          <w:szCs w:val="24"/>
        </w:rPr>
      </w:pPr>
      <w:bookmarkStart w:id="1" w:name="_GoBack"/>
      <w:bookmarkEnd w:id="1"/>
      <w:r>
        <w:rPr>
          <w:rFonts w:ascii="Times New Roman" w:hAnsi="Times New Roman"/>
          <w:b/>
          <w:noProof/>
          <w:sz w:val="24"/>
        </w:rPr>
        <w:lastRenderedPageBreak/>
        <w:t>POROČILU KOMISIJE EVROPSKEMU PARLAMENTU IN</w:t>
      </w:r>
    </w:p>
    <w:p>
      <w:pPr>
        <w:spacing w:line="240" w:lineRule="auto"/>
        <w:jc w:val="center"/>
        <w:rPr>
          <w:rFonts w:ascii="Times New Roman" w:hAnsi="Times New Roman"/>
          <w:b/>
          <w:noProof/>
          <w:sz w:val="24"/>
          <w:szCs w:val="24"/>
        </w:rPr>
      </w:pPr>
      <w:r>
        <w:rPr>
          <w:rFonts w:ascii="Times New Roman" w:hAnsi="Times New Roman"/>
          <w:b/>
          <w:noProof/>
          <w:sz w:val="24"/>
        </w:rPr>
        <w:t>SVETU</w:t>
      </w:r>
    </w:p>
    <w:p>
      <w:pPr>
        <w:spacing w:line="240" w:lineRule="auto"/>
        <w:jc w:val="center"/>
        <w:rPr>
          <w:rFonts w:ascii="Times New Roman" w:hAnsi="Times New Roman"/>
          <w:b/>
          <w:noProof/>
          <w:sz w:val="24"/>
          <w:szCs w:val="24"/>
        </w:rPr>
      </w:pPr>
      <w:r>
        <w:rPr>
          <w:rFonts w:ascii="Times New Roman" w:hAnsi="Times New Roman"/>
          <w:b/>
          <w:noProof/>
          <w:sz w:val="24"/>
        </w:rPr>
        <w:t>o izvajanju pooblastil za sprejemanje delegiranih aktov, ki so bila na Komisijo prenešena z Direktivo 2013/55/EU Evropskega parlamenta in Sveta z dne 20. novembra 2013 o spremembi Direktive 2005/36/ES o priznavanju poklicnih kvalifikacij in Uredbe (EU) št. 1024/2012 o upravnem sodelovanju prek informacijskega sistema za notranji trg (uredba IMI)</w:t>
      </w:r>
    </w:p>
    <w:p>
      <w:pPr>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 xml:space="preserve">1. </w:t>
      </w:r>
      <w:r>
        <w:rPr>
          <w:noProof/>
        </w:rPr>
        <w:tab/>
      </w:r>
      <w:r>
        <w:rPr>
          <w:rFonts w:ascii="Times New Roman" w:hAnsi="Times New Roman"/>
          <w:b/>
          <w:noProof/>
          <w:sz w:val="24"/>
        </w:rPr>
        <w:t>UVOD</w:t>
      </w:r>
    </w:p>
    <w:p>
      <w:pPr>
        <w:jc w:val="both"/>
        <w:rPr>
          <w:rFonts w:ascii="Times New Roman" w:hAnsi="Times New Roman"/>
          <w:noProof/>
          <w:sz w:val="24"/>
          <w:szCs w:val="24"/>
        </w:rPr>
      </w:pPr>
      <w:r>
        <w:rPr>
          <w:rFonts w:ascii="Times New Roman" w:hAnsi="Times New Roman"/>
          <w:noProof/>
          <w:sz w:val="24"/>
        </w:rPr>
        <w:t>Direktiva 2005/36/ES Evropskega parlamenta in Sveta z dne 7. septembra 2005 o priznavanju poklicnih kvalifikacij</w:t>
      </w:r>
      <w:r>
        <w:rPr>
          <w:rStyle w:val="FootnoteReference"/>
          <w:rFonts w:ascii="Times New Roman" w:hAnsi="Times New Roman"/>
          <w:noProof/>
          <w:sz w:val="24"/>
        </w:rPr>
        <w:footnoteReference w:id="1"/>
      </w:r>
      <w:r>
        <w:rPr>
          <w:rFonts w:ascii="Times New Roman" w:hAnsi="Times New Roman"/>
          <w:noProof/>
          <w:sz w:val="24"/>
        </w:rPr>
        <w:t xml:space="preserve"> je združila sistem vzajemnega priznavanja, ki je prvotno temeljil na 15 direktivah. </w:t>
      </w:r>
    </w:p>
    <w:p>
      <w:pPr>
        <w:jc w:val="both"/>
        <w:rPr>
          <w:rFonts w:ascii="Times New Roman" w:hAnsi="Times New Roman"/>
          <w:noProof/>
          <w:sz w:val="24"/>
          <w:szCs w:val="24"/>
        </w:rPr>
      </w:pPr>
      <w:r>
        <w:rPr>
          <w:rFonts w:ascii="Times New Roman" w:hAnsi="Times New Roman"/>
          <w:noProof/>
          <w:sz w:val="24"/>
        </w:rPr>
        <w:t>Komisija je v svojem sporočilu z dne 27. oktobra 2011</w:t>
      </w:r>
      <w:r>
        <w:rPr>
          <w:rStyle w:val="FootnoteReference"/>
          <w:rFonts w:ascii="Times New Roman" w:hAnsi="Times New Roman"/>
          <w:noProof/>
          <w:sz w:val="24"/>
        </w:rPr>
        <w:footnoteReference w:id="2"/>
      </w:r>
      <w:r>
        <w:rPr>
          <w:rFonts w:ascii="Times New Roman" w:hAnsi="Times New Roman"/>
          <w:noProof/>
          <w:sz w:val="24"/>
        </w:rPr>
        <w:t xml:space="preserve"> ugotovila, da bi bilo treba posodobiti pravo Unije na tem področju. Temu je 20. novembra 2013 sledilo sprejetje Direktive 2013/55/EU</w:t>
      </w:r>
      <w:r>
        <w:rPr>
          <w:rStyle w:val="FootnoteReference"/>
          <w:rFonts w:ascii="Times New Roman" w:hAnsi="Times New Roman"/>
          <w:noProof/>
          <w:sz w:val="24"/>
        </w:rPr>
        <w:footnoteReference w:id="3"/>
      </w:r>
      <w:r>
        <w:rPr>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Direktiva 2013/55/EU o spremembi direktive 2005/36/ES za doseganje svojih ciljev na podlagi člena 290 PDEU Komisijo pooblašča za sprejemanje delegiranih aktov na številnih področjih, ki so navedena v členu 57c(2) Direktive 2005/36/ES (v nadaljnjem besedilu: Direktiva), in pod pogoji iz tega člena.</w:t>
      </w:r>
    </w:p>
    <w:p>
      <w:pPr>
        <w:jc w:val="both"/>
        <w:rPr>
          <w:rFonts w:ascii="Times New Roman" w:hAnsi="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PRAVNA PODLAGA</w:t>
      </w:r>
    </w:p>
    <w:p>
      <w:pPr>
        <w:jc w:val="both"/>
        <w:rPr>
          <w:rFonts w:ascii="Times New Roman" w:hAnsi="Times New Roman"/>
          <w:noProof/>
          <w:sz w:val="24"/>
          <w:szCs w:val="24"/>
        </w:rPr>
      </w:pPr>
      <w:r>
        <w:rPr>
          <w:rFonts w:ascii="Times New Roman" w:hAnsi="Times New Roman"/>
          <w:noProof/>
          <w:sz w:val="24"/>
        </w:rPr>
        <w:t>Člen 57c(2) Direktive 2005/36/ES, kakor je bila spremenjena z Direktivo 2013/55/EU, za pet let od 17. januarja 2014 na Komisijo prenaša pooblastilo za sprejemanje delegiranih aktov o zadevah, ki so tam navedene. Poleg tega Komisiji nalaga obveznost priprave poročila o prenesenem pooblastilu najpozneje devet mesecev pred koncem petletnega obdobja.</w:t>
      </w:r>
    </w:p>
    <w:p>
      <w:pPr>
        <w:jc w:val="both"/>
        <w:rPr>
          <w:rFonts w:ascii="Times New Roman" w:hAnsi="Times New Roman"/>
          <w:noProof/>
          <w:sz w:val="24"/>
          <w:szCs w:val="24"/>
        </w:rPr>
      </w:pPr>
      <w:r>
        <w:rPr>
          <w:rFonts w:ascii="Times New Roman" w:hAnsi="Times New Roman"/>
          <w:noProof/>
          <w:sz w:val="24"/>
        </w:rPr>
        <w:t>Prenos pooblastila se samodejno podaljšuje za petletna obdobja, razen če Evropski parlament ali Svet nasprotuje temu podaljšanju najpozneje tri mesece pred koncem vsakega obdobja.</w:t>
      </w:r>
    </w:p>
    <w:p>
      <w:pPr>
        <w:jc w:val="both"/>
        <w:rPr>
          <w:rFonts w:ascii="Times New Roman" w:hAnsi="Times New Roman"/>
          <w:noProof/>
          <w:sz w:val="24"/>
          <w:szCs w:val="24"/>
        </w:rPr>
      </w:pPr>
      <w:r>
        <w:rPr>
          <w:rFonts w:ascii="Times New Roman" w:hAnsi="Times New Roman"/>
          <w:noProof/>
          <w:sz w:val="24"/>
        </w:rPr>
        <w:t xml:space="preserve">Pooblastilo za sprejemanje delegiranih aktov je na Komisijo prenašeno pod pogoji iz člena 57c Direktive 2005/36/ES, kakor je bila spremenjena z Direktivo 2013/55/EU. Evropski parlament ali Svet ga lahko kadar koli prekliče. </w:t>
      </w:r>
    </w:p>
    <w:p>
      <w:pPr>
        <w:jc w:val="both"/>
        <w:rPr>
          <w:noProof/>
        </w:rPr>
      </w:pPr>
      <w:r>
        <w:rPr>
          <w:rFonts w:ascii="Times New Roman" w:hAnsi="Times New Roman"/>
          <w:noProof/>
          <w:sz w:val="24"/>
        </w:rPr>
        <w:t>Člen 57c(2) Direktive 2005/36/ES, kakor je bila spremenjena z Direktivo 2013/55/EU, pooblašča Komisijo za sprejemanje delegiranih aktov zlasti na naslednjih področjih:</w:t>
      </w:r>
    </w:p>
    <w:p>
      <w:pPr>
        <w:pStyle w:val="CM3"/>
        <w:spacing w:before="60" w:after="60"/>
        <w:rPr>
          <w:rFonts w:cs="EUAlbertina"/>
          <w:noProof/>
          <w:color w:val="000000"/>
        </w:rPr>
      </w:pPr>
    </w:p>
    <w:p>
      <w:pPr>
        <w:numPr>
          <w:ilvl w:val="0"/>
          <w:numId w:val="1"/>
        </w:numPr>
        <w:jc w:val="both"/>
        <w:rPr>
          <w:rFonts w:ascii="Times New Roman" w:hAnsi="Times New Roman"/>
          <w:noProof/>
          <w:sz w:val="24"/>
          <w:szCs w:val="24"/>
        </w:rPr>
      </w:pPr>
      <w:r>
        <w:rPr>
          <w:rFonts w:ascii="Times New Roman" w:hAnsi="Times New Roman"/>
          <w:noProof/>
          <w:sz w:val="24"/>
        </w:rPr>
        <w:t>posodabljanje nazivov za dokazila o formalnih kvalifikacijah in po potrebi organa, ki izdaja navedena dokazila, priložena spričevala in ustrezni poklicni naziv, iz točk 5.1.1–5.1.4, 5.2.2, 5.3.2, 5.3.3, 5.4.2, 5.5.2, 5.6.2 in 5.7.1 Priloge V;</w:t>
      </w:r>
    </w:p>
    <w:p>
      <w:pPr>
        <w:numPr>
          <w:ilvl w:val="0"/>
          <w:numId w:val="1"/>
        </w:numPr>
        <w:jc w:val="both"/>
        <w:rPr>
          <w:rFonts w:ascii="Times New Roman" w:hAnsi="Times New Roman"/>
          <w:noProof/>
          <w:sz w:val="24"/>
          <w:szCs w:val="24"/>
        </w:rPr>
      </w:pPr>
      <w:r>
        <w:rPr>
          <w:rFonts w:ascii="Times New Roman" w:hAnsi="Times New Roman"/>
          <w:noProof/>
          <w:sz w:val="24"/>
        </w:rPr>
        <w:t>posodabljanje minimalnih zahtev usposobljenosti za šest poklicev iz Direktive;</w:t>
      </w:r>
    </w:p>
    <w:p>
      <w:pPr>
        <w:numPr>
          <w:ilvl w:val="0"/>
          <w:numId w:val="1"/>
        </w:numPr>
        <w:jc w:val="both"/>
        <w:rPr>
          <w:rFonts w:ascii="Times New Roman" w:hAnsi="Times New Roman"/>
          <w:noProof/>
          <w:sz w:val="24"/>
          <w:szCs w:val="24"/>
        </w:rPr>
      </w:pPr>
      <w:r>
        <w:rPr>
          <w:rFonts w:ascii="Times New Roman" w:hAnsi="Times New Roman"/>
          <w:noProof/>
          <w:sz w:val="24"/>
        </w:rPr>
        <w:t>vzpostavljanje skupnih okvirov za usposabljanje ali skupnih preizkusov usposobljenosti.</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Komisija takoj, ko sprejme delegirani akt, o tem istočasno uradno obvesti Evropski parlament in Svet (člen 57c(4) Direktive 2005/36/ES, kakor je bila spremenjena z Direktivo 2013/55/EU).</w:t>
      </w:r>
    </w:p>
    <w:p>
      <w:pPr>
        <w:jc w:val="both"/>
        <w:rPr>
          <w:rFonts w:ascii="Times New Roman" w:hAnsi="Times New Roman"/>
          <w:noProof/>
          <w:sz w:val="24"/>
          <w:szCs w:val="24"/>
        </w:rPr>
      </w:pPr>
      <w:r>
        <w:rPr>
          <w:rFonts w:ascii="Times New Roman" w:hAnsi="Times New Roman"/>
          <w:noProof/>
          <w:sz w:val="24"/>
        </w:rPr>
        <w:t>V skladu s členom 57c(5) Direktive 2005/36/ES, kakor je bila spremenjena z Direktivo 2013/55/EU, delegirani akt začne veljati le, če niti Evropski parlament niti Svet ne nasprotuje delegiranemu aktu v roku dveh mesecev od uradnega obvestila Evropskemu parlamentu in Svetu o tem aktu ali če sta pred iztekom tega roka tako Evropski parlament kot Svet obvestila Komisijo, da mu ne bosta nasprotovala. Ta rok se na pobudo Evropskega parlamenta ali Sveta podaljša za dva meseca.</w:t>
      </w:r>
    </w:p>
    <w:p>
      <w:pPr>
        <w:jc w:val="both"/>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3.</w:t>
      </w:r>
      <w:r>
        <w:rPr>
          <w:noProof/>
        </w:rPr>
        <w:tab/>
      </w:r>
      <w:r>
        <w:rPr>
          <w:rFonts w:ascii="Times New Roman" w:hAnsi="Times New Roman"/>
          <w:b/>
          <w:noProof/>
          <w:sz w:val="24"/>
        </w:rPr>
        <w:t>IZVAJANJE POOBLASTILA</w:t>
      </w:r>
    </w:p>
    <w:p>
      <w:pPr>
        <w:jc w:val="both"/>
        <w:rPr>
          <w:rFonts w:ascii="Times New Roman" w:hAnsi="Times New Roman"/>
          <w:b/>
          <w:noProof/>
          <w:sz w:val="24"/>
          <w:szCs w:val="24"/>
        </w:rPr>
      </w:pPr>
      <w:r>
        <w:rPr>
          <w:rFonts w:ascii="Times New Roman" w:hAnsi="Times New Roman"/>
          <w:b/>
          <w:noProof/>
          <w:sz w:val="24"/>
        </w:rPr>
        <w:t>3.1 Že sprejeti delegirani akti</w:t>
      </w:r>
    </w:p>
    <w:p>
      <w:pPr>
        <w:jc w:val="both"/>
        <w:rPr>
          <w:rFonts w:ascii="Times New Roman" w:hAnsi="Times New Roman" w:cs="Times New Roman"/>
          <w:bCs/>
          <w:noProof/>
          <w:sz w:val="24"/>
          <w:szCs w:val="24"/>
        </w:rPr>
      </w:pPr>
      <w:r>
        <w:rPr>
          <w:rFonts w:ascii="Times New Roman" w:hAnsi="Times New Roman"/>
          <w:noProof/>
          <w:sz w:val="24"/>
        </w:rPr>
        <w:t xml:space="preserve">Komisija je v referenčnem obdobju izvajala naslednja prenesena pooblastila: </w:t>
      </w:r>
    </w:p>
    <w:p>
      <w:pPr>
        <w:jc w:val="both"/>
        <w:rPr>
          <w:rFonts w:ascii="Times New Roman" w:hAnsi="Times New Roman"/>
          <w:noProof/>
          <w:sz w:val="24"/>
          <w:szCs w:val="24"/>
        </w:rPr>
      </w:pPr>
      <w:r>
        <w:rPr>
          <w:rFonts w:ascii="Times New Roman" w:hAnsi="Times New Roman"/>
          <w:noProof/>
          <w:sz w:val="24"/>
        </w:rPr>
        <w:t xml:space="preserve">Na podlagi člena 21a(4) Direktive 2005/36/ES, kakor je bila spremenjena z Direktivo 2013/55/EU, sta bila sprejeta delegirana sklepa Komisije o spremembi Priloge V k Direktivi 2005/36/ES glede dokazil o formalnih kvalifikacijah (gl. točko 2.a) zgoraj). </w:t>
      </w:r>
    </w:p>
    <w:p>
      <w:pPr>
        <w:jc w:val="both"/>
        <w:rPr>
          <w:rFonts w:ascii="Times New Roman" w:hAnsi="Times New Roman"/>
          <w:noProof/>
          <w:sz w:val="24"/>
          <w:szCs w:val="24"/>
        </w:rPr>
      </w:pPr>
      <w:r>
        <w:rPr>
          <w:rFonts w:ascii="Times New Roman" w:hAnsi="Times New Roman"/>
          <w:noProof/>
          <w:sz w:val="24"/>
        </w:rPr>
        <w:t>Prvi delegirani sklep o spremembi Priloge V za vključitev sprememb nacionalnih diplom v sektorskih poklicih, ki so jih države članice priglasile Komisiji, je bil sprejet 13. januarja 2016</w:t>
      </w:r>
      <w:r>
        <w:rPr>
          <w:rStyle w:val="FootnoteReference"/>
          <w:rFonts w:ascii="Times New Roman" w:hAnsi="Times New Roman"/>
          <w:noProof/>
          <w:sz w:val="24"/>
        </w:rPr>
        <w:footnoteReference w:id="4"/>
      </w:r>
      <w:r>
        <w:rPr>
          <w:rFonts w:ascii="Times New Roman" w:hAnsi="Times New Roman"/>
          <w:noProof/>
          <w:sz w:val="24"/>
        </w:rPr>
        <w:t>, drugi delegirani sklep pa je bil sprejet 1. decembra 2017</w:t>
      </w:r>
      <w:r>
        <w:rPr>
          <w:rStyle w:val="FootnoteReference"/>
          <w:rFonts w:ascii="Times New Roman" w:hAnsi="Times New Roman"/>
          <w:noProof/>
          <w:sz w:val="24"/>
        </w:rPr>
        <w:footnoteReference w:id="5"/>
      </w:r>
      <w:r>
        <w:rPr>
          <w:rFonts w:ascii="Times New Roman" w:hAnsi="Times New Roman"/>
          <w:noProof/>
          <w:sz w:val="24"/>
        </w:rPr>
        <w:t xml:space="preserve">. </w:t>
      </w:r>
    </w:p>
    <w:p>
      <w:pPr>
        <w:rPr>
          <w:noProof/>
        </w:rPr>
      </w:pPr>
    </w:p>
    <w:p>
      <w:pPr>
        <w:jc w:val="both"/>
        <w:rPr>
          <w:rFonts w:ascii="Times New Roman" w:hAnsi="Times New Roman"/>
          <w:b/>
          <w:noProof/>
          <w:sz w:val="24"/>
          <w:szCs w:val="24"/>
        </w:rPr>
      </w:pPr>
      <w:r>
        <w:rPr>
          <w:rFonts w:ascii="Times New Roman" w:hAnsi="Times New Roman"/>
          <w:b/>
          <w:noProof/>
          <w:sz w:val="24"/>
        </w:rPr>
        <w:t>3.2 Posvetovanje pred sprejetjem</w:t>
      </w:r>
    </w:p>
    <w:p>
      <w:pPr>
        <w:jc w:val="both"/>
        <w:rPr>
          <w:rFonts w:ascii="Times New Roman" w:hAnsi="Times New Roman"/>
          <w:noProof/>
          <w:sz w:val="24"/>
          <w:szCs w:val="24"/>
        </w:rPr>
      </w:pPr>
      <w:r>
        <w:rPr>
          <w:rFonts w:ascii="Times New Roman" w:hAnsi="Times New Roman"/>
          <w:noProof/>
          <w:sz w:val="24"/>
        </w:rPr>
        <w:t>V skladu z Medinstitucionalnem sporazumu o boljši pripravi zakonodaje</w:t>
      </w:r>
      <w:r>
        <w:rPr>
          <w:rStyle w:val="FootnoteReference"/>
          <w:rFonts w:ascii="Times New Roman" w:hAnsi="Times New Roman"/>
          <w:noProof/>
          <w:sz w:val="24"/>
        </w:rPr>
        <w:footnoteReference w:id="6"/>
      </w:r>
      <w:r>
        <w:rPr>
          <w:rFonts w:ascii="Times New Roman" w:hAnsi="Times New Roman"/>
          <w:noProof/>
          <w:sz w:val="24"/>
        </w:rPr>
        <w:t xml:space="preserve"> se je Komisija pri pripravi delegiranih aktov s strokovnjaki, ki so jih imenovale države članice, ter ustreznimi zainteresiranimi stranmi posvetovala na namenskih strokovnih sestankih in dopisno. </w:t>
      </w:r>
    </w:p>
    <w:p>
      <w:pPr>
        <w:jc w:val="both"/>
        <w:rPr>
          <w:rFonts w:ascii="Times New Roman" w:hAnsi="Times New Roman"/>
          <w:noProof/>
          <w:sz w:val="24"/>
          <w:szCs w:val="24"/>
        </w:rPr>
      </w:pPr>
      <w:r>
        <w:rPr>
          <w:rFonts w:ascii="Times New Roman" w:hAnsi="Times New Roman"/>
          <w:noProof/>
          <w:sz w:val="24"/>
        </w:rPr>
        <w:t>Pri pripravi delegiranih aktov je kot skupina strokovnjakov sodelovala skupina koordinatorjev na področju priznavanja poklicnih kvalifikacij, ki je bila ustanovljena s sklepom Komisije z dne 19. marca 2007</w:t>
      </w:r>
      <w:r>
        <w:rPr>
          <w:rStyle w:val="FootnoteReference"/>
          <w:rFonts w:ascii="Times New Roman" w:hAnsi="Times New Roman"/>
          <w:noProof/>
          <w:sz w:val="24"/>
        </w:rPr>
        <w:footnoteReference w:id="7"/>
      </w:r>
      <w:r>
        <w:rPr>
          <w:rFonts w:ascii="Times New Roman" w:hAnsi="Times New Roman"/>
          <w:noProof/>
          <w:sz w:val="24"/>
        </w:rPr>
        <w:t>.</w:t>
      </w:r>
      <w:r>
        <w:rPr>
          <w:noProof/>
        </w:rPr>
        <w:t xml:space="preserve"> </w:t>
      </w:r>
      <w:r>
        <w:rPr>
          <w:rFonts w:ascii="Times New Roman" w:hAnsi="Times New Roman"/>
          <w:noProof/>
          <w:sz w:val="24"/>
        </w:rPr>
        <w:t>Pripombe, predstavljene v teh posvetovanjih, so bile upoštevane pri pripravi končnih različic delegiranih aktov.</w:t>
      </w:r>
    </w:p>
    <w:p>
      <w:pPr>
        <w:jc w:val="both"/>
        <w:rPr>
          <w:rFonts w:ascii="Times New Roman" w:hAnsi="Times New Roman"/>
          <w:noProof/>
          <w:sz w:val="24"/>
          <w:szCs w:val="24"/>
        </w:rPr>
      </w:pPr>
      <w:r>
        <w:rPr>
          <w:rFonts w:ascii="Times New Roman" w:hAnsi="Times New Roman"/>
          <w:noProof/>
          <w:sz w:val="24"/>
        </w:rPr>
        <w:t>Dokumenti, pomembni za ta posvetovanja, so bili istočasno posredovani Evropskemu parlamentu in Svetu, obe inštituciji pa sta imeli možnost poslati strokovnjake na sestanke skupine strokovnjakov.</w:t>
      </w:r>
    </w:p>
    <w:p>
      <w:pPr>
        <w:jc w:val="both"/>
        <w:rPr>
          <w:rFonts w:ascii="Times New Roman" w:hAnsi="Times New Roman"/>
          <w:b/>
          <w:noProof/>
          <w:sz w:val="24"/>
          <w:szCs w:val="24"/>
        </w:rPr>
      </w:pPr>
      <w:r>
        <w:rPr>
          <w:rFonts w:ascii="Times New Roman" w:hAnsi="Times New Roman"/>
          <w:b/>
          <w:noProof/>
          <w:sz w:val="24"/>
        </w:rPr>
        <w:t>3.3 Brez nasprotovanja delegiranima aktoma</w:t>
      </w:r>
    </w:p>
    <w:p>
      <w:pPr>
        <w:jc w:val="both"/>
        <w:rPr>
          <w:rFonts w:ascii="Times New Roman" w:hAnsi="Times New Roman"/>
          <w:noProof/>
          <w:sz w:val="24"/>
          <w:szCs w:val="24"/>
        </w:rPr>
      </w:pPr>
      <w:r>
        <w:rPr>
          <w:rFonts w:ascii="Times New Roman" w:hAnsi="Times New Roman"/>
          <w:noProof/>
          <w:sz w:val="24"/>
        </w:rPr>
        <w:t>Po členu 57c(5) Direktive 2005/36/ES, kakor je bila spremenjena z Direktivo 2013/55/EU, lahko Evropski parlament ali Svet delegiranemu aktu nasprotuje v roku dveh mesecev od uradnega obvestila, ta rok pa se na pobudo Evropskega parlamenta ali Sveta podaljša za dva meseca. Če Evropski parlament ali Svet v navedenem obdobju nasprotuje delegiranemu aktu, ta akt ne začne veljati.</w:t>
      </w:r>
    </w:p>
    <w:p>
      <w:pPr>
        <w:jc w:val="both"/>
        <w:rPr>
          <w:rFonts w:ascii="Times New Roman" w:hAnsi="Times New Roman"/>
          <w:b/>
          <w:noProof/>
          <w:sz w:val="24"/>
          <w:szCs w:val="24"/>
        </w:rPr>
      </w:pPr>
      <w:r>
        <w:rPr>
          <w:rFonts w:ascii="Times New Roman" w:hAnsi="Times New Roman"/>
          <w:noProof/>
          <w:sz w:val="24"/>
        </w:rPr>
        <w:t>Delegiranima aktoma iz oddelka 3.1 ni nasprotoval niti Evropski parlament niti Svet, tako da sta bila zadevna delegirana akta objavljena in začela veljati ob koncu obdobja za nasprotovanje.</w:t>
      </w:r>
    </w:p>
    <w:p>
      <w:pPr>
        <w:jc w:val="both"/>
        <w:rPr>
          <w:rFonts w:ascii="Times New Roman" w:hAnsi="Times New Roman"/>
          <w:b/>
          <w:noProof/>
          <w:sz w:val="24"/>
          <w:szCs w:val="24"/>
        </w:rPr>
      </w:pPr>
      <w:r>
        <w:rPr>
          <w:rFonts w:ascii="Times New Roman" w:hAnsi="Times New Roman"/>
          <w:b/>
          <w:noProof/>
          <w:sz w:val="24"/>
        </w:rPr>
        <w:t>3.4 Morebitni prihodnji delegirani akti</w:t>
      </w:r>
    </w:p>
    <w:p>
      <w:pPr>
        <w:jc w:val="both"/>
        <w:rPr>
          <w:rFonts w:ascii="Times New Roman" w:hAnsi="Times New Roman"/>
          <w:noProof/>
          <w:sz w:val="24"/>
          <w:szCs w:val="24"/>
        </w:rPr>
      </w:pPr>
      <w:r>
        <w:rPr>
          <w:rFonts w:ascii="Times New Roman" w:hAnsi="Times New Roman"/>
          <w:noProof/>
          <w:sz w:val="24"/>
        </w:rPr>
        <w:t>Redno bo treba sprejemati delegirane akte na podlagi člena 21a(4) za spremembo Priloge V k Direktivi 2005/36/ES glede dokazil o formalnih kvalifikacijah. Službe Komisije pripravljajo tretji delegirani sklep.</w:t>
      </w:r>
    </w:p>
    <w:p>
      <w:pPr>
        <w:jc w:val="both"/>
        <w:rPr>
          <w:rFonts w:ascii="Times New Roman" w:hAnsi="Times New Roman"/>
          <w:noProof/>
          <w:sz w:val="24"/>
          <w:szCs w:val="24"/>
        </w:rPr>
      </w:pPr>
      <w:r>
        <w:rPr>
          <w:rFonts w:ascii="Times New Roman" w:hAnsi="Times New Roman"/>
          <w:noProof/>
          <w:sz w:val="24"/>
        </w:rPr>
        <w:t>Poleg tega pripravljajo morebitno delegirano uredbo o uvedbi skupnega preizkusa usposobljenosti za smučarske učitelje na podlagi člena 49b Direktive.</w:t>
      </w:r>
    </w:p>
    <w:p>
      <w:pPr>
        <w:jc w:val="both"/>
        <w:rPr>
          <w:rFonts w:ascii="Times New Roman" w:hAnsi="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ZAKLJUČEK</w:t>
      </w:r>
    </w:p>
    <w:p>
      <w:pPr>
        <w:jc w:val="both"/>
        <w:rPr>
          <w:rFonts w:ascii="Times New Roman" w:hAnsi="Times New Roman"/>
          <w:noProof/>
          <w:sz w:val="24"/>
          <w:szCs w:val="24"/>
        </w:rPr>
      </w:pPr>
      <w:r>
        <w:rPr>
          <w:rFonts w:ascii="Times New Roman" w:hAnsi="Times New Roman"/>
          <w:noProof/>
          <w:sz w:val="24"/>
        </w:rPr>
        <w:t>Komisija meni, da je delegirana pooblastila, ki so bila prenešena nanjo, izvajala v mejah in pri tem spoštovala pogoje iz člena 57c Direktive 2005/36/ES, kakor je bila spremenjena z Direktivo 2013/55/EU. Komisija meni, da je treba razširiti pooblastila, saj bodo v prihodnosti potrebni nadaljnji delegirani akti o spremembi med drugim Priloge V k Direktivi 2005/36/ES glede dokazil o formalnih kvalifikacijah. Komisija s tem poročilom izpolnjuje obveznost poročanja iz člena 57c(2) Direktive 2005/36/ES, kakor je bila spremenjena z Direktivo 2013/55/EU. Komisija poziva Evropski parlament in Svet, da se seznanita s tem poročilom.</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UL L 255, 30.9.2005, str. 22</w:t>
      </w:r>
    </w:p>
  </w:footnote>
  <w:footnote w:id="2">
    <w:p>
      <w:pPr>
        <w:pStyle w:val="FootnoteText"/>
      </w:pPr>
      <w:r>
        <w:rPr>
          <w:rStyle w:val="FootnoteReference"/>
        </w:rPr>
        <w:footnoteRef/>
      </w:r>
      <w:r>
        <w:t xml:space="preserve"> Akt za enotni trg Dvanajst pobud za okrepitev rasti in zaupanja „Skupaj za novo rast“, COM(2011) 206 final.</w:t>
      </w:r>
    </w:p>
  </w:footnote>
  <w:footnote w:id="3">
    <w:p>
      <w:pPr>
        <w:pStyle w:val="FootnoteText"/>
        <w:rPr>
          <w:lang w:val="pl-PL"/>
        </w:rPr>
      </w:pPr>
      <w:r>
        <w:rPr>
          <w:rStyle w:val="FootnoteReference"/>
        </w:rPr>
        <w:footnoteRef/>
      </w:r>
      <w:r>
        <w:t xml:space="preserve"> UL L 354, 28.12.2013, str. 132.</w:t>
      </w:r>
    </w:p>
  </w:footnote>
  <w:footnote w:id="4">
    <w:p>
      <w:pPr>
        <w:pStyle w:val="FootnoteText"/>
        <w:rPr>
          <w:lang w:val="pl-PL"/>
        </w:rPr>
      </w:pPr>
      <w:r>
        <w:rPr>
          <w:rStyle w:val="FootnoteReference"/>
        </w:rPr>
        <w:footnoteRef/>
      </w:r>
      <w:r>
        <w:t xml:space="preserve"> UL L 134, 24.5.2016, str. 135.</w:t>
      </w:r>
    </w:p>
  </w:footnote>
  <w:footnote w:id="5">
    <w:p>
      <w:pPr>
        <w:pStyle w:val="FootnoteText"/>
        <w:rPr>
          <w:lang w:val="pl-PL"/>
        </w:rPr>
      </w:pPr>
      <w:r>
        <w:rPr>
          <w:rStyle w:val="FootnoteReference"/>
        </w:rPr>
        <w:footnoteRef/>
      </w:r>
      <w:r>
        <w:t xml:space="preserve"> UL </w:t>
      </w:r>
      <w:r>
        <w:rPr>
          <w:sz w:val="19"/>
        </w:rPr>
        <w:t>L 317, 1.12.2017, str. 119</w:t>
      </w:r>
      <w:r>
        <w:t>.</w:t>
      </w:r>
    </w:p>
  </w:footnote>
  <w:footnote w:id="6">
    <w:p>
      <w:pPr>
        <w:pStyle w:val="FootnoteText"/>
      </w:pPr>
      <w:r>
        <w:rPr>
          <w:rStyle w:val="FootnoteReference"/>
        </w:rPr>
        <w:footnoteRef/>
      </w:r>
      <w:r>
        <w:t xml:space="preserve"> UL L 123, 12.5.2016.</w:t>
      </w:r>
    </w:p>
  </w:footnote>
  <w:footnote w:id="7">
    <w:p>
      <w:pPr>
        <w:pStyle w:val="FootnoteText"/>
      </w:pPr>
      <w:r>
        <w:rPr>
          <w:rStyle w:val="FootnoteReference"/>
        </w:rPr>
        <w:footnoteRef/>
      </w:r>
      <w:r>
        <w:t xml:space="preserve"> UL L 79, 20.3.2007, str.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781"/>
    <w:multiLevelType w:val="hybridMultilevel"/>
    <w:tmpl w:val="2FF67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B524EA4"/>
    <w:multiLevelType w:val="hybridMultilevel"/>
    <w:tmpl w:val="C31C8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B0F7B56"/>
    <w:multiLevelType w:val="hybridMultilevel"/>
    <w:tmpl w:val="E4787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717966"/>
    <w:multiLevelType w:val="hybridMultilevel"/>
    <w:tmpl w:val="FEDE20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2B27A2C-D631-4C70-BEA2-8E6E24142A01"/>
    <w:docVar w:name="LW_COVERPAGE_TYPE" w:val="1"/>
    <w:docVar w:name="LW_CROSSREFERENCE" w:val="&lt;UNUSED&gt;"/>
    <w:docVar w:name="LW_DocType" w:val="NORMAL"/>
    <w:docVar w:name="LW_EMISSION" w:val="7.5.2018"/>
    <w:docVar w:name="LW_EMISSION_ISODATE" w:val="2018-05-07"/>
    <w:docVar w:name="LW_EMISSION_LOCATION" w:val="BRX"/>
    <w:docVar w:name="LW_EMISSION_PREFIX" w:val="Bruselj, "/>
    <w:docVar w:name="LW_EMISSION_SUFFIX" w:val="&lt;EMPTY&gt;"/>
    <w:docVar w:name="LW_ID_DOCTYPE_NONLW" w:val="CP-006"/>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8) 2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o izvajanju pooblastil za sprejemanje delegiranih aktov, ki so bila na Komisijo prene\u353?ena z Direktivo 2013/55/EU Evropskega parlamenta in Sveta z dne 20. novembra 2013 o spremembi Direktive 2005/36/ES o priznavanju poklicnih kvalifikacij in Uredbe (EU) \u353?t. 1024/2012 o upravnem sodelovanju prek informacijskega sistema za notranji trg (uredba IMI)&lt;/FMT&gt;"/>
    <w:docVar w:name="LW_TYPE.DOC.CP" w:val="PORO\u268?ILO KOMISIJE EVROPSKEMU PARLAMENTU IN SVET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3F963-596E-4449-A771-EA8E11D6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877</Words>
  <Characters>5348</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17</cp:revision>
  <cp:lastPrinted>2018-04-10T07:53:00Z</cp:lastPrinted>
  <dcterms:created xsi:type="dcterms:W3CDTF">2018-04-18T10:20:00Z</dcterms:created>
  <dcterms:modified xsi:type="dcterms:W3CDTF">2018-04-25T15:51:00Z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