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CB9" w:rsidRDefault="00334830">
      <w:pPr>
        <w:pStyle w:val="Pagedecouverture"/>
        <w:rPr>
          <w:noProof/>
        </w:rPr>
      </w:pPr>
      <w:bookmarkStart w:id="0" w:name="LW_BM_COVERPAGE"/>
      <w:bookmarkStart w:id="1" w:name="_GoBack"/>
      <w:bookmarkEnd w:id="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7CE676FA-5721-4D18-87C4-9DAB4C309A2E" style="width:450.25pt;height:320.65pt">
            <v:imagedata r:id="rId9" o:title=""/>
          </v:shape>
        </w:pict>
      </w:r>
    </w:p>
    <w:bookmarkEnd w:id="0"/>
    <w:p w:rsidR="00E16CB9" w:rsidRDefault="00E16CB9">
      <w:pPr>
        <w:pStyle w:val="Pagedecouverture"/>
        <w:rPr>
          <w:noProof/>
        </w:rPr>
        <w:sectPr w:rsidR="00E16CB9">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rsidR="00E16CB9" w:rsidRDefault="00334830">
      <w:pPr>
        <w:pStyle w:val="Heading1"/>
        <w:rPr>
          <w:rFonts w:cs="Times New Roman"/>
          <w:noProof/>
          <w:szCs w:val="24"/>
        </w:rPr>
      </w:pPr>
      <w:r>
        <w:rPr>
          <w:noProof/>
        </w:rPr>
        <w:lastRenderedPageBreak/>
        <w:t>Uvod</w:t>
      </w:r>
    </w:p>
    <w:p w:rsidR="00E16CB9" w:rsidRDefault="00334830">
      <w:pPr>
        <w:jc w:val="both"/>
        <w:rPr>
          <w:rFonts w:cs="Times New Roman"/>
          <w:noProof/>
          <w:szCs w:val="24"/>
        </w:rPr>
      </w:pPr>
      <w:r>
        <w:rPr>
          <w:noProof/>
        </w:rPr>
        <w:t xml:space="preserve">Prehod na </w:t>
      </w:r>
      <w:r>
        <w:rPr>
          <w:b/>
          <w:noProof/>
          <w:szCs w:val="24"/>
        </w:rPr>
        <w:t>krožno gospodarstvo</w:t>
      </w:r>
      <w:r>
        <w:rPr>
          <w:noProof/>
        </w:rPr>
        <w:t xml:space="preserve"> je velika </w:t>
      </w:r>
      <w:r>
        <w:rPr>
          <w:b/>
          <w:noProof/>
          <w:szCs w:val="24"/>
        </w:rPr>
        <w:t>priložnost</w:t>
      </w:r>
      <w:r>
        <w:rPr>
          <w:noProof/>
        </w:rPr>
        <w:t xml:space="preserve">, da naše gospodarstvo preobrazimo tako, da bo </w:t>
      </w:r>
      <w:r>
        <w:rPr>
          <w:b/>
          <w:noProof/>
          <w:szCs w:val="24"/>
        </w:rPr>
        <w:t>bolj trajnostno</w:t>
      </w:r>
      <w:r>
        <w:rPr>
          <w:noProof/>
        </w:rPr>
        <w:t xml:space="preserve">, prispevamo k </w:t>
      </w:r>
      <w:r>
        <w:rPr>
          <w:b/>
          <w:noProof/>
          <w:szCs w:val="24"/>
        </w:rPr>
        <w:t>podnebnim ciljem</w:t>
      </w:r>
      <w:r>
        <w:rPr>
          <w:noProof/>
        </w:rPr>
        <w:t xml:space="preserve"> in </w:t>
      </w:r>
      <w:r>
        <w:rPr>
          <w:b/>
          <w:noProof/>
          <w:szCs w:val="24"/>
        </w:rPr>
        <w:t>ohranitvi svetovnih virov</w:t>
      </w:r>
      <w:r>
        <w:rPr>
          <w:noProof/>
        </w:rPr>
        <w:t xml:space="preserve"> ter ustvarimo </w:t>
      </w:r>
      <w:r>
        <w:rPr>
          <w:b/>
          <w:noProof/>
          <w:szCs w:val="24"/>
        </w:rPr>
        <w:t>domača delovna mesta</w:t>
      </w:r>
      <w:r>
        <w:rPr>
          <w:noProof/>
        </w:rPr>
        <w:t xml:space="preserve"> in </w:t>
      </w:r>
      <w:r>
        <w:rPr>
          <w:b/>
          <w:noProof/>
          <w:szCs w:val="24"/>
        </w:rPr>
        <w:t>konkurenčne prednosti</w:t>
      </w:r>
      <w:r>
        <w:rPr>
          <w:noProof/>
        </w:rPr>
        <w:t xml:space="preserve"> za Evropo v svetu, ki se </w:t>
      </w:r>
      <w:r>
        <w:rPr>
          <w:b/>
          <w:noProof/>
          <w:szCs w:val="24"/>
        </w:rPr>
        <w:t>korenito spreminja</w:t>
      </w:r>
      <w:r>
        <w:rPr>
          <w:noProof/>
        </w:rPr>
        <w:t>. Pomen krožnega gospodarstva za evropsko industrijo je bil nedavno poudarjen v prenovljeni strategiji EU na področju industrij</w:t>
      </w:r>
      <w:r>
        <w:rPr>
          <w:noProof/>
        </w:rPr>
        <w:t>ske politike</w:t>
      </w:r>
      <w:r>
        <w:rPr>
          <w:rStyle w:val="FootnoteReference"/>
          <w:rFonts w:cs="Times New Roman"/>
          <w:noProof/>
          <w:szCs w:val="24"/>
        </w:rPr>
        <w:footnoteReference w:id="1"/>
      </w:r>
      <w:r>
        <w:rPr>
          <w:noProof/>
        </w:rPr>
        <w:t>. Prehod na krožno gospodarstvo bo pripomogel tudi k izpolnitvi ciljev agende za trajnostni razvoj do leta 2030</w:t>
      </w:r>
      <w:r>
        <w:rPr>
          <w:rStyle w:val="FootnoteReference"/>
          <w:rFonts w:cs="Times New Roman"/>
          <w:noProof/>
          <w:szCs w:val="24"/>
        </w:rPr>
        <w:footnoteReference w:id="2"/>
      </w:r>
      <w:r>
        <w:rPr>
          <w:noProof/>
        </w:rPr>
        <w:t>.</w:t>
      </w:r>
    </w:p>
    <w:p w:rsidR="00E16CB9" w:rsidRDefault="00334830">
      <w:pPr>
        <w:jc w:val="both"/>
        <w:rPr>
          <w:rFonts w:cs="Times New Roman"/>
          <w:noProof/>
          <w:szCs w:val="24"/>
        </w:rPr>
      </w:pPr>
      <w:r>
        <w:rPr>
          <w:noProof/>
        </w:rPr>
        <w:t>V akcijskem načrtu za krožno gospodarstvo</w:t>
      </w:r>
      <w:r>
        <w:rPr>
          <w:rStyle w:val="FootnoteReference"/>
          <w:rFonts w:cs="Times New Roman"/>
          <w:noProof/>
          <w:szCs w:val="24"/>
        </w:rPr>
        <w:footnoteReference w:id="3"/>
      </w:r>
      <w:r>
        <w:rPr>
          <w:noProof/>
        </w:rPr>
        <w:t xml:space="preserve"> je krožno gospodarstvo pojasnjeno kot gospodarstvo, „kjer se vrednost izdelkov, surovi</w:t>
      </w:r>
      <w:r>
        <w:rPr>
          <w:noProof/>
        </w:rPr>
        <w:t>n in virov ohranja čim dalje v gospodarstvu, nastajanje odpadkov pa se čim bolj zmanjša“.</w:t>
      </w:r>
    </w:p>
    <w:p w:rsidR="00E16CB9" w:rsidRDefault="00334830">
      <w:pPr>
        <w:jc w:val="both"/>
        <w:rPr>
          <w:rFonts w:cs="Times New Roman"/>
          <w:noProof/>
          <w:szCs w:val="24"/>
        </w:rPr>
      </w:pPr>
      <w:r>
        <w:rPr>
          <w:noProof/>
        </w:rPr>
        <w:t xml:space="preserve">V prehodu na bolj krožno gospodarstvo brez spremljanja ključnih gibanj in vzorcev ni mogoče </w:t>
      </w:r>
      <w:r>
        <w:rPr>
          <w:b/>
          <w:noProof/>
          <w:szCs w:val="24"/>
        </w:rPr>
        <w:t>razumeti</w:t>
      </w:r>
      <w:r>
        <w:rPr>
          <w:noProof/>
        </w:rPr>
        <w:t>, kako se različni elementi krožnega gospodarstva spreminjajo skoz</w:t>
      </w:r>
      <w:r>
        <w:rPr>
          <w:noProof/>
        </w:rPr>
        <w:t xml:space="preserve">i čas, da bi laže </w:t>
      </w:r>
      <w:r>
        <w:rPr>
          <w:b/>
          <w:noProof/>
          <w:szCs w:val="24"/>
        </w:rPr>
        <w:t>opredelili dejavnike za uspeh</w:t>
      </w:r>
      <w:r>
        <w:rPr>
          <w:noProof/>
        </w:rPr>
        <w:t xml:space="preserve"> v državah članicah in </w:t>
      </w:r>
      <w:r>
        <w:rPr>
          <w:b/>
          <w:noProof/>
          <w:szCs w:val="24"/>
        </w:rPr>
        <w:t>ocenili</w:t>
      </w:r>
      <w:r>
        <w:rPr>
          <w:noProof/>
        </w:rPr>
        <w:t xml:space="preserve">, ali so bili sprejeti ustrezni ukrepi. Na podlagi rezultatov spremljanja bi morali </w:t>
      </w:r>
      <w:r>
        <w:rPr>
          <w:b/>
          <w:noProof/>
          <w:szCs w:val="24"/>
        </w:rPr>
        <w:t>določiti nove prednostne naloge za dosego dolgoročnega cilja krožnega gospodarstva</w:t>
      </w:r>
      <w:r>
        <w:rPr>
          <w:noProof/>
        </w:rPr>
        <w:t>. Ti rezultat</w:t>
      </w:r>
      <w:r>
        <w:rPr>
          <w:noProof/>
        </w:rPr>
        <w:t xml:space="preserve">i niso pomembni le za oblikovalce politik, temveč bi morali dajati tudi navdih in zagon za nove ukrepe. </w:t>
      </w:r>
    </w:p>
    <w:p w:rsidR="00E16CB9" w:rsidRDefault="00334830">
      <w:pPr>
        <w:jc w:val="both"/>
        <w:rPr>
          <w:rFonts w:cs="Times New Roman"/>
          <w:noProof/>
          <w:szCs w:val="24"/>
        </w:rPr>
      </w:pPr>
      <w:r>
        <w:rPr>
          <w:noProof/>
        </w:rPr>
        <w:t>Komisija se je zato v akcijskem načrtu za krožno gospodarstvo zavezala, da bo predlagala preprost in učinkovit okvir za spremljanje.  Enakega mnenja je</w:t>
      </w:r>
      <w:r>
        <w:rPr>
          <w:noProof/>
        </w:rPr>
        <w:t xml:space="preserve"> bil Svet EU, saj je v svojih sklepih o akcijskem načrtu za krožno gospodarstvo</w:t>
      </w:r>
      <w:r>
        <w:rPr>
          <w:rStyle w:val="FootnoteReference"/>
          <w:rFonts w:cs="Times New Roman"/>
          <w:noProof/>
          <w:szCs w:val="24"/>
        </w:rPr>
        <w:footnoteReference w:id="4"/>
      </w:r>
      <w:r>
        <w:rPr>
          <w:noProof/>
        </w:rPr>
        <w:t xml:space="preserve"> poudaril „potrebo po okviru za spremljanje, s katerim bi pospešili in ocenili napredek na poti h krožnemu gospodarstvu ob čim manjšem upravnem bremenu“. Tudi Evropski parlamen</w:t>
      </w:r>
      <w:r>
        <w:rPr>
          <w:noProof/>
        </w:rPr>
        <w:t>t je Komisijo pozval, da pripravi kazalnike učinkovite rabe virov, s katerimi bi spremljali napredek na poti k krožnemu gospodarstvu</w:t>
      </w:r>
      <w:r>
        <w:rPr>
          <w:rStyle w:val="FootnoteReference"/>
          <w:rFonts w:cs="Times New Roman"/>
          <w:noProof/>
          <w:szCs w:val="24"/>
        </w:rPr>
        <w:footnoteReference w:id="5"/>
      </w:r>
      <w:r>
        <w:rPr>
          <w:noProof/>
        </w:rPr>
        <w:t>.</w:t>
      </w:r>
    </w:p>
    <w:p w:rsidR="00E16CB9" w:rsidRDefault="00334830">
      <w:pPr>
        <w:jc w:val="both"/>
        <w:rPr>
          <w:rFonts w:cs="Times New Roman"/>
          <w:noProof/>
          <w:szCs w:val="24"/>
        </w:rPr>
      </w:pPr>
      <w:r>
        <w:rPr>
          <w:noProof/>
        </w:rPr>
        <w:t>To sporočilo pomeni izvajanje te zaveze, saj je v njem predlagan okvir za spremljanje, sestavljen iz nabora ključnih in s</w:t>
      </w:r>
      <w:r>
        <w:rPr>
          <w:noProof/>
        </w:rPr>
        <w:t xml:space="preserve">miselnih kazalnikov, ki zajemajo glavne elemente krožnega gospodarstva. </w:t>
      </w:r>
    </w:p>
    <w:p w:rsidR="00E16CB9" w:rsidRDefault="00334830">
      <w:pPr>
        <w:jc w:val="both"/>
        <w:rPr>
          <w:rFonts w:cs="Times New Roman"/>
          <w:noProof/>
          <w:szCs w:val="24"/>
        </w:rPr>
      </w:pPr>
      <w:r>
        <w:rPr>
          <w:noProof/>
        </w:rPr>
        <w:t>Okvir za spremljanje krožnega gospodarstva izhaja iz obstoječih kazalnikov učinkovite rabe virov</w:t>
      </w:r>
      <w:r>
        <w:rPr>
          <w:rStyle w:val="FootnoteReference"/>
          <w:rFonts w:cs="Times New Roman"/>
          <w:noProof/>
          <w:szCs w:val="24"/>
        </w:rPr>
        <w:footnoteReference w:id="6"/>
      </w:r>
      <w:r>
        <w:rPr>
          <w:noProof/>
        </w:rPr>
        <w:t xml:space="preserve"> in kazalnikov za surovine</w:t>
      </w:r>
      <w:r>
        <w:rPr>
          <w:rStyle w:val="FootnoteReference"/>
          <w:rFonts w:cs="Times New Roman"/>
          <w:noProof/>
          <w:szCs w:val="24"/>
        </w:rPr>
        <w:footnoteReference w:id="7"/>
      </w:r>
      <w:r>
        <w:rPr>
          <w:noProof/>
        </w:rPr>
        <w:t>, ki jih je Komisija oblikovala v zadnjih letih, ter jih do</w:t>
      </w:r>
      <w:r>
        <w:rPr>
          <w:noProof/>
        </w:rPr>
        <w:t xml:space="preserve">polnjuje. Okvir je predstavljen na </w:t>
      </w:r>
      <w:r>
        <w:rPr>
          <w:b/>
          <w:noProof/>
          <w:szCs w:val="24"/>
        </w:rPr>
        <w:t>spletišču</w:t>
      </w:r>
      <w:r>
        <w:rPr>
          <w:rStyle w:val="FootnoteReference"/>
          <w:rFonts w:cs="Times New Roman"/>
          <w:noProof/>
          <w:szCs w:val="24"/>
        </w:rPr>
        <w:footnoteReference w:id="8"/>
      </w:r>
      <w:r>
        <w:rPr>
          <w:noProof/>
        </w:rPr>
        <w:t>, kjer so na voljo vsi kazalniki, in se bo posodabljal.</w:t>
      </w:r>
    </w:p>
    <w:p w:rsidR="00E16CB9" w:rsidRDefault="00334830">
      <w:pPr>
        <w:pStyle w:val="Heading1"/>
        <w:rPr>
          <w:rFonts w:cs="Times New Roman"/>
          <w:noProof/>
          <w:szCs w:val="24"/>
        </w:rPr>
      </w:pPr>
      <w:r>
        <w:rPr>
          <w:noProof/>
        </w:rPr>
        <w:t>Spremljanje napredka na poti v krožno gospodarstvo</w:t>
      </w:r>
    </w:p>
    <w:p w:rsidR="00E16CB9" w:rsidRDefault="00334830">
      <w:pPr>
        <w:jc w:val="both"/>
        <w:rPr>
          <w:rFonts w:cs="Times New Roman"/>
          <w:noProof/>
          <w:szCs w:val="24"/>
        </w:rPr>
      </w:pPr>
      <w:r>
        <w:rPr>
          <w:b/>
          <w:noProof/>
          <w:szCs w:val="24"/>
        </w:rPr>
        <w:lastRenderedPageBreak/>
        <w:t>Spremljanje napredka na poti v krožno gospodarstvo je zahtevna naloga.</w:t>
      </w:r>
      <w:r>
        <w:rPr>
          <w:noProof/>
        </w:rPr>
        <w:t xml:space="preserve"> Prehod na krožno gospodarstvo ni omejen na zgolj nekaj materialov in sektorjev. To je sistemska sprememba, ki vpliva na celotno gospodarstvo ter zajema vse proizvode in storitve. V najboljšem primeru bi morali kazalniki zajeti predvsem gibanja pri ohranja</w:t>
      </w:r>
      <w:r>
        <w:rPr>
          <w:noProof/>
        </w:rPr>
        <w:t>nju gospodarske vrednosti proizvodov, materialov in virov ter gibanja pri nastajanju odpadkov.</w:t>
      </w:r>
    </w:p>
    <w:p w:rsidR="00E16CB9" w:rsidRDefault="00334830">
      <w:pPr>
        <w:jc w:val="both"/>
        <w:rPr>
          <w:rFonts w:cs="Times New Roman"/>
          <w:noProof/>
          <w:szCs w:val="24"/>
        </w:rPr>
      </w:pPr>
      <w:r>
        <w:rPr>
          <w:noProof/>
        </w:rPr>
        <w:t>Splošno priznanega kazalnika „krožnosti“ ni, zanesljivih standardnih kazalnikov za opis najpomembnejših gibanj pa je le malo. Zapletenosti in številnih razsežnos</w:t>
      </w:r>
      <w:r>
        <w:rPr>
          <w:noProof/>
        </w:rPr>
        <w:t>ti prehoda na krožno gospodarstvo ne bi bilo mogoče ustrezno zajeti z enim samim merilom ali kazalnikom. Zato se bo v tem okviru za spremljanje uporabljal niz kazalnikov, ki jih je treba upoštevati.</w:t>
      </w:r>
    </w:p>
    <w:p w:rsidR="00E16CB9" w:rsidRDefault="00334830">
      <w:pPr>
        <w:jc w:val="both"/>
        <w:rPr>
          <w:noProof/>
        </w:rPr>
      </w:pPr>
      <w:r>
        <w:rPr>
          <w:noProof/>
        </w:rPr>
        <w:t xml:space="preserve">Eden od načinov za obravnavo krožnega gospodarstva je </w:t>
      </w:r>
      <w:r>
        <w:rPr>
          <w:noProof/>
        </w:rPr>
        <w:t>opazovati, kako materiali vstopajo v gospodarstvo, se gibljejo znotraj njega in ga (naposled) zapustijo. Tak vizualni pregled nam lahko omogoči diagram tokov materialov, iz katerega so razvidne vse surovine v zbrani obliki in po skupinah materialov v celot</w:t>
      </w:r>
      <w:r>
        <w:rPr>
          <w:noProof/>
        </w:rPr>
        <w:t>nem gospodarstvu, in sicer od pridobivanja do takrat, ko postanejo odpadki.</w:t>
      </w:r>
    </w:p>
    <w:p w:rsidR="00E16CB9" w:rsidRDefault="00334830">
      <w:pPr>
        <w:jc w:val="both"/>
        <w:rPr>
          <w:rFonts w:cs="Times New Roman"/>
          <w:noProof/>
          <w:szCs w:val="24"/>
        </w:rPr>
      </w:pPr>
      <w:r>
        <w:rPr>
          <w:rFonts w:cs="Times New Roman"/>
          <w:noProof/>
          <w:szCs w:val="24"/>
          <w:lang w:val="en-GB" w:eastAsia="en-GB"/>
        </w:rPr>
        <w:drawing>
          <wp:inline distT="0" distB="0" distL="0" distR="0">
            <wp:extent cx="5760720" cy="4320540"/>
            <wp:effectExtent l="19050" t="19050" r="11430" b="228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V-2017-80130-00-00-SL-SRC-00.jpg"/>
                    <pic:cNvPicPr/>
                  </pic:nvPicPr>
                  <pic:blipFill>
                    <a:blip r:embed="rId16">
                      <a:extLst>
                        <a:ext uri="{28A0092B-C50C-407E-A947-70E740481C1C}">
                          <a14:useLocalDpi xmlns:a14="http://schemas.microsoft.com/office/drawing/2010/main" val="0"/>
                        </a:ext>
                      </a:extLst>
                    </a:blip>
                    <a:stretch>
                      <a:fillRect/>
                    </a:stretch>
                  </pic:blipFill>
                  <pic:spPr>
                    <a:xfrm>
                      <a:off x="0" y="0"/>
                      <a:ext cx="5760720" cy="4320540"/>
                    </a:xfrm>
                    <a:prstGeom prst="rect">
                      <a:avLst/>
                    </a:prstGeom>
                    <a:ln w="6350">
                      <a:solidFill>
                        <a:schemeClr val="tx1"/>
                      </a:solidFill>
                    </a:ln>
                  </pic:spPr>
                </pic:pic>
              </a:graphicData>
            </a:graphic>
          </wp:inline>
        </w:drawing>
      </w:r>
    </w:p>
    <w:p w:rsidR="00E16CB9" w:rsidRDefault="00334830">
      <w:pPr>
        <w:pStyle w:val="Figurecaption"/>
        <w:spacing w:after="240"/>
        <w:rPr>
          <w:rFonts w:cs="Times New Roman"/>
          <w:i/>
          <w:noProof/>
          <w:sz w:val="24"/>
          <w:szCs w:val="24"/>
        </w:rPr>
      </w:pPr>
      <w:r>
        <w:rPr>
          <w:i/>
          <w:noProof/>
          <w:sz w:val="24"/>
          <w:szCs w:val="24"/>
        </w:rPr>
        <w:t>Slika 1: tokovi materialov v gospodarstvu (EU-28, 2014)</w:t>
      </w:r>
      <w:r>
        <w:rPr>
          <w:rStyle w:val="FootnoteReference"/>
          <w:i/>
          <w:noProof/>
        </w:rPr>
        <w:footnoteReference w:id="9"/>
      </w:r>
      <w:r>
        <w:rPr>
          <w:i/>
          <w:noProof/>
          <w:sz w:val="24"/>
          <w:szCs w:val="24"/>
          <w:vertAlign w:val="superscript"/>
        </w:rPr>
        <w:t>,</w:t>
      </w:r>
      <w:r>
        <w:rPr>
          <w:rStyle w:val="FootnoteReference"/>
          <w:rFonts w:cs="Times New Roman"/>
          <w:i/>
          <w:noProof/>
        </w:rPr>
        <w:footnoteReference w:id="10"/>
      </w:r>
    </w:p>
    <w:p w:rsidR="00E16CB9" w:rsidRDefault="00334830">
      <w:pPr>
        <w:jc w:val="both"/>
        <w:rPr>
          <w:rFonts w:cs="Times New Roman"/>
          <w:noProof/>
          <w:szCs w:val="24"/>
        </w:rPr>
      </w:pPr>
      <w:r>
        <w:rPr>
          <w:b/>
          <w:noProof/>
          <w:szCs w:val="24"/>
        </w:rPr>
        <w:lastRenderedPageBreak/>
        <w:t>Na sliki 1 je prikazan pregled tokov materialov v EU v letu 2014.</w:t>
      </w:r>
      <w:r>
        <w:rPr>
          <w:noProof/>
        </w:rPr>
        <w:t xml:space="preserve"> Na levi, vhodni strani je prikazano, da se v EU vsako</w:t>
      </w:r>
      <w:r>
        <w:rPr>
          <w:noProof/>
        </w:rPr>
        <w:t xml:space="preserve"> leto v energijo ali proizvode predela 8 milijard ton materialov. Samo 0,6 milijarde ton izvira iz reciklaže. Na izhodni strani je prikazano, da od 2,2 milijarde ton nastalih odpadkov le 0,6 milijarde ton ponovno vstopi v sistem kot reciklirani materiali. </w:t>
      </w:r>
      <w:r>
        <w:rPr>
          <w:noProof/>
        </w:rPr>
        <w:t xml:space="preserve">Preostali del materialov, ki ustreza 1,5 milijarde ton, so odpadki. To kaže, da je še </w:t>
      </w:r>
      <w:r>
        <w:rPr>
          <w:b/>
          <w:noProof/>
          <w:szCs w:val="24"/>
        </w:rPr>
        <w:t>precej možnosti za izboljšave</w:t>
      </w:r>
      <w:r>
        <w:rPr>
          <w:noProof/>
        </w:rPr>
        <w:t>, zlasti tako, da bi povečali delež materialov, ki se reciklirajo kot sekundarne surovine, in s tem zmanjšali nastajanje odpadkov.</w:t>
      </w:r>
    </w:p>
    <w:p w:rsidR="00E16CB9" w:rsidRDefault="00334830">
      <w:pPr>
        <w:jc w:val="both"/>
        <w:rPr>
          <w:rFonts w:cs="Times New Roman"/>
          <w:noProof/>
          <w:szCs w:val="24"/>
        </w:rPr>
      </w:pPr>
      <w:r>
        <w:rPr>
          <w:noProof/>
        </w:rPr>
        <w:t>Namen okvi</w:t>
      </w:r>
      <w:r>
        <w:rPr>
          <w:noProof/>
        </w:rPr>
        <w:t xml:space="preserve">ra za spremljanje je meriti napredek na poti v krožno gospodarstvo tako, da bo zajel njegove različne razsežnosti na vseh stopnjah življenjskega cikla virov, proizvodov in storitev. Okvir za spremljanje zato vsebuje niz </w:t>
      </w:r>
      <w:r>
        <w:rPr>
          <w:b/>
          <w:noProof/>
          <w:szCs w:val="24"/>
        </w:rPr>
        <w:t>desetih kazalnikov</w:t>
      </w:r>
      <w:r>
        <w:rPr>
          <w:noProof/>
        </w:rPr>
        <w:t xml:space="preserve"> (glej preglednico</w:t>
      </w:r>
      <w:r>
        <w:rPr>
          <w:noProof/>
        </w:rPr>
        <w:t xml:space="preserve"> 1), ki so razvrščeni v </w:t>
      </w:r>
      <w:r>
        <w:rPr>
          <w:b/>
          <w:noProof/>
          <w:szCs w:val="24"/>
        </w:rPr>
        <w:t>štiri skupine in vidike krožnega gospodarstva:</w:t>
      </w:r>
      <w:r>
        <w:rPr>
          <w:noProof/>
        </w:rPr>
        <w:t xml:space="preserve"> (1) proizvodnja in poraba, (2) ravnanje z odpadki, (3) sekundarne surovine ter (4) konkurenčnost in inovacije. To je na splošno v skladu z logiko in strukturo akcijskega načrta za krožn</w:t>
      </w:r>
      <w:r>
        <w:rPr>
          <w:noProof/>
        </w:rPr>
        <w:t>o gospodarstvo.</w:t>
      </w:r>
    </w:p>
    <w:p w:rsidR="00E16CB9" w:rsidRDefault="00334830">
      <w:pPr>
        <w:rPr>
          <w:rFonts w:cs="Times New Roman"/>
          <w:noProof/>
          <w:szCs w:val="24"/>
        </w:rPr>
      </w:pPr>
      <w:r>
        <w:rPr>
          <w:noProof/>
          <w:lang w:val="en-GB" w:eastAsia="en-GB"/>
        </w:rPr>
        <w:drawing>
          <wp:inline distT="0" distB="0" distL="0" distR="0">
            <wp:extent cx="5760720" cy="3991610"/>
            <wp:effectExtent l="19050" t="19050" r="11430" b="279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jpg"/>
                    <pic:cNvPicPr/>
                  </pic:nvPicPr>
                  <pic:blipFill>
                    <a:blip r:embed="rId17">
                      <a:extLst>
                        <a:ext uri="{28A0092B-C50C-407E-A947-70E740481C1C}">
                          <a14:useLocalDpi xmlns:a14="http://schemas.microsoft.com/office/drawing/2010/main" val="0"/>
                        </a:ext>
                      </a:extLst>
                    </a:blip>
                    <a:stretch>
                      <a:fillRect/>
                    </a:stretch>
                  </pic:blipFill>
                  <pic:spPr>
                    <a:xfrm>
                      <a:off x="0" y="0"/>
                      <a:ext cx="5760720" cy="3991610"/>
                    </a:xfrm>
                    <a:prstGeom prst="rect">
                      <a:avLst/>
                    </a:prstGeom>
                    <a:ln w="6350">
                      <a:solidFill>
                        <a:schemeClr val="tx1"/>
                      </a:solidFill>
                    </a:ln>
                  </pic:spPr>
                </pic:pic>
              </a:graphicData>
            </a:graphic>
          </wp:inline>
        </w:drawing>
      </w:r>
      <w:r>
        <w:rPr>
          <w:noProof/>
        </w:rPr>
        <w:br w:type="page"/>
      </w:r>
    </w:p>
    <w:tbl>
      <w:tblPr>
        <w:tblStyle w:val="TableGrid"/>
        <w:tblW w:w="9180" w:type="dxa"/>
        <w:tblLook w:val="04A0" w:firstRow="1" w:lastRow="0" w:firstColumn="1" w:lastColumn="0" w:noHBand="0" w:noVBand="1"/>
      </w:tblPr>
      <w:tblGrid>
        <w:gridCol w:w="591"/>
        <w:gridCol w:w="1995"/>
        <w:gridCol w:w="3297"/>
        <w:gridCol w:w="3297"/>
      </w:tblGrid>
      <w:tr w:rsidR="00E16CB9">
        <w:trPr>
          <w:cantSplit/>
        </w:trPr>
        <w:tc>
          <w:tcPr>
            <w:tcW w:w="591" w:type="dxa"/>
            <w:shd w:val="clear" w:color="auto" w:fill="C4BC96" w:themeFill="background2" w:themeFillShade="BF"/>
          </w:tcPr>
          <w:p w:rsidR="00E16CB9" w:rsidRDefault="00334830">
            <w:pPr>
              <w:pStyle w:val="Body"/>
              <w:spacing w:before="40" w:after="40"/>
              <w:rPr>
                <w:rFonts w:ascii="EC Square Sans Cond Pro" w:hAnsi="EC Square Sans Cond Pro" w:cs="Times New Roman"/>
                <w:b/>
                <w:noProof/>
                <w:sz w:val="22"/>
                <w:szCs w:val="24"/>
              </w:rPr>
            </w:pPr>
            <w:r>
              <w:rPr>
                <w:rFonts w:ascii="EC Square Sans Cond Pro" w:hAnsi="EC Square Sans Cond Pro"/>
                <w:b/>
                <w:noProof/>
                <w:sz w:val="22"/>
                <w:szCs w:val="24"/>
              </w:rPr>
              <w:t xml:space="preserve">Št. </w:t>
            </w:r>
          </w:p>
        </w:tc>
        <w:tc>
          <w:tcPr>
            <w:tcW w:w="1995" w:type="dxa"/>
            <w:shd w:val="clear" w:color="auto" w:fill="C4BC96" w:themeFill="background2" w:themeFillShade="BF"/>
          </w:tcPr>
          <w:p w:rsidR="00E16CB9" w:rsidRDefault="00334830">
            <w:pPr>
              <w:pStyle w:val="Body"/>
              <w:spacing w:before="40" w:after="40"/>
              <w:jc w:val="left"/>
              <w:rPr>
                <w:rFonts w:ascii="EC Square Sans Cond Pro" w:hAnsi="EC Square Sans Cond Pro" w:cs="Times New Roman"/>
                <w:b/>
                <w:noProof/>
                <w:sz w:val="22"/>
                <w:szCs w:val="24"/>
              </w:rPr>
            </w:pPr>
            <w:r>
              <w:rPr>
                <w:rFonts w:ascii="EC Square Sans Cond Pro" w:hAnsi="EC Square Sans Cond Pro"/>
                <w:b/>
                <w:noProof/>
                <w:sz w:val="22"/>
                <w:szCs w:val="24"/>
              </w:rPr>
              <w:t>Ime</w:t>
            </w:r>
          </w:p>
        </w:tc>
        <w:tc>
          <w:tcPr>
            <w:tcW w:w="3297" w:type="dxa"/>
            <w:shd w:val="clear" w:color="auto" w:fill="C4BC96" w:themeFill="background2" w:themeFillShade="BF"/>
          </w:tcPr>
          <w:p w:rsidR="00E16CB9" w:rsidRDefault="00334830">
            <w:pPr>
              <w:pStyle w:val="Body"/>
              <w:spacing w:before="40" w:after="40"/>
              <w:jc w:val="left"/>
              <w:rPr>
                <w:rFonts w:ascii="EC Square Sans Cond Pro" w:hAnsi="EC Square Sans Cond Pro" w:cs="Times New Roman"/>
                <w:b/>
                <w:noProof/>
                <w:sz w:val="22"/>
                <w:szCs w:val="24"/>
              </w:rPr>
            </w:pPr>
            <w:r>
              <w:rPr>
                <w:rFonts w:ascii="EC Square Sans Cond Pro" w:hAnsi="EC Square Sans Cond Pro"/>
                <w:b/>
                <w:noProof/>
                <w:sz w:val="22"/>
                <w:szCs w:val="24"/>
              </w:rPr>
              <w:t>Pomembnost</w:t>
            </w:r>
          </w:p>
        </w:tc>
        <w:tc>
          <w:tcPr>
            <w:tcW w:w="3297" w:type="dxa"/>
            <w:shd w:val="clear" w:color="auto" w:fill="C4BC96" w:themeFill="background2" w:themeFillShade="BF"/>
          </w:tcPr>
          <w:p w:rsidR="00E16CB9" w:rsidRDefault="00334830">
            <w:pPr>
              <w:pStyle w:val="Body"/>
              <w:spacing w:before="40" w:after="40"/>
              <w:jc w:val="left"/>
              <w:rPr>
                <w:rFonts w:ascii="EC Square Sans Cond Pro" w:hAnsi="EC Square Sans Cond Pro" w:cs="Times New Roman"/>
                <w:b/>
                <w:noProof/>
                <w:sz w:val="22"/>
                <w:szCs w:val="24"/>
              </w:rPr>
            </w:pPr>
            <w:r>
              <w:rPr>
                <w:rFonts w:ascii="EC Square Sans Cond Pro" w:hAnsi="EC Square Sans Cond Pro"/>
                <w:b/>
                <w:noProof/>
                <w:sz w:val="22"/>
                <w:szCs w:val="24"/>
              </w:rPr>
              <w:t>Vzvodi EU (primeri)</w:t>
            </w:r>
          </w:p>
        </w:tc>
      </w:tr>
      <w:tr w:rsidR="00E16CB9">
        <w:trPr>
          <w:cantSplit/>
        </w:trPr>
        <w:tc>
          <w:tcPr>
            <w:tcW w:w="9180" w:type="dxa"/>
            <w:gridSpan w:val="4"/>
            <w:shd w:val="clear" w:color="auto" w:fill="EEECE1" w:themeFill="background2"/>
          </w:tcPr>
          <w:p w:rsidR="00E16CB9" w:rsidRDefault="00334830">
            <w:pPr>
              <w:pStyle w:val="Body"/>
              <w:spacing w:before="40" w:after="40"/>
              <w:jc w:val="left"/>
              <w:rPr>
                <w:rFonts w:ascii="EC Square Sans Cond Pro" w:hAnsi="EC Square Sans Cond Pro" w:cs="Times New Roman"/>
                <w:b/>
                <w:noProof/>
                <w:sz w:val="22"/>
                <w:szCs w:val="24"/>
              </w:rPr>
            </w:pPr>
            <w:r>
              <w:rPr>
                <w:rFonts w:ascii="EC Square Sans Cond Pro" w:hAnsi="EC Square Sans Cond Pro"/>
                <w:b/>
                <w:noProof/>
                <w:sz w:val="22"/>
                <w:szCs w:val="24"/>
              </w:rPr>
              <w:t>Proizvodnja in poraba</w:t>
            </w:r>
          </w:p>
        </w:tc>
      </w:tr>
      <w:tr w:rsidR="00E16CB9">
        <w:trPr>
          <w:cantSplit/>
        </w:trPr>
        <w:tc>
          <w:tcPr>
            <w:tcW w:w="591" w:type="dxa"/>
          </w:tcPr>
          <w:p w:rsidR="00E16CB9" w:rsidRDefault="00334830">
            <w:pPr>
              <w:pStyle w:val="Body"/>
              <w:spacing w:before="40" w:after="40"/>
              <w:rPr>
                <w:rFonts w:ascii="EC Square Sans Cond Pro" w:hAnsi="EC Square Sans Cond Pro" w:cs="Times New Roman"/>
                <w:noProof/>
                <w:sz w:val="22"/>
                <w:szCs w:val="24"/>
              </w:rPr>
            </w:pPr>
            <w:r>
              <w:rPr>
                <w:rFonts w:ascii="EC Square Sans Cond Pro" w:hAnsi="EC Square Sans Cond Pro"/>
                <w:noProof/>
                <w:sz w:val="22"/>
                <w:szCs w:val="24"/>
              </w:rPr>
              <w:t>1</w:t>
            </w:r>
          </w:p>
        </w:tc>
        <w:tc>
          <w:tcPr>
            <w:tcW w:w="1995" w:type="dxa"/>
          </w:tcPr>
          <w:p w:rsidR="00E16CB9" w:rsidRDefault="00334830">
            <w:pPr>
              <w:pStyle w:val="Body"/>
              <w:spacing w:before="40" w:after="40"/>
              <w:jc w:val="left"/>
              <w:rPr>
                <w:rFonts w:ascii="EC Square Sans Cond Pro" w:hAnsi="EC Square Sans Cond Pro" w:cs="Times New Roman"/>
                <w:noProof/>
                <w:sz w:val="22"/>
                <w:szCs w:val="24"/>
              </w:rPr>
            </w:pPr>
            <w:r>
              <w:rPr>
                <w:rFonts w:ascii="EC Square Sans Cond Pro" w:hAnsi="EC Square Sans Cond Pro"/>
                <w:noProof/>
                <w:sz w:val="22"/>
                <w:szCs w:val="24"/>
              </w:rPr>
              <w:t>samozadostnost EU na področju surovin</w:t>
            </w:r>
          </w:p>
        </w:tc>
        <w:tc>
          <w:tcPr>
            <w:tcW w:w="3297" w:type="dxa"/>
          </w:tcPr>
          <w:p w:rsidR="00E16CB9" w:rsidRDefault="00334830">
            <w:pPr>
              <w:pStyle w:val="Body"/>
              <w:spacing w:before="40" w:after="40"/>
              <w:jc w:val="left"/>
              <w:rPr>
                <w:rFonts w:ascii="EC Square Sans Cond Pro" w:hAnsi="EC Square Sans Cond Pro" w:cs="Times New Roman"/>
                <w:noProof/>
                <w:sz w:val="22"/>
                <w:szCs w:val="24"/>
              </w:rPr>
            </w:pPr>
            <w:r>
              <w:rPr>
                <w:rFonts w:ascii="EC Square Sans Cond Pro" w:hAnsi="EC Square Sans Cond Pro"/>
                <w:noProof/>
                <w:sz w:val="22"/>
                <w:szCs w:val="24"/>
              </w:rPr>
              <w:t>Krožno gospodarstvo bi moralo biti v pomoč pri reševanju tveganj na področju oskrbe s surovinami, še posebej kritičnimi.</w:t>
            </w:r>
          </w:p>
        </w:tc>
        <w:tc>
          <w:tcPr>
            <w:tcW w:w="3297" w:type="dxa"/>
          </w:tcPr>
          <w:p w:rsidR="00E16CB9" w:rsidRDefault="00334830">
            <w:pPr>
              <w:pStyle w:val="Body"/>
              <w:spacing w:before="40" w:after="40"/>
              <w:jc w:val="left"/>
              <w:rPr>
                <w:rFonts w:ascii="EC Square Sans Cond Pro" w:hAnsi="EC Square Sans Cond Pro" w:cs="Times New Roman"/>
                <w:noProof/>
                <w:sz w:val="22"/>
                <w:szCs w:val="24"/>
              </w:rPr>
            </w:pPr>
            <w:r>
              <w:rPr>
                <w:rFonts w:ascii="EC Square Sans Cond Pro" w:hAnsi="EC Square Sans Cond Pro"/>
                <w:noProof/>
                <w:sz w:val="22"/>
                <w:szCs w:val="24"/>
              </w:rPr>
              <w:t xml:space="preserve">pobuda za </w:t>
            </w:r>
            <w:r>
              <w:rPr>
                <w:rFonts w:ascii="EC Square Sans Cond Pro" w:hAnsi="EC Square Sans Cond Pro"/>
                <w:noProof/>
                <w:sz w:val="22"/>
                <w:szCs w:val="24"/>
              </w:rPr>
              <w:t>surovine, načrt za učinkovito rabo virov</w:t>
            </w:r>
          </w:p>
        </w:tc>
      </w:tr>
      <w:tr w:rsidR="00E16CB9">
        <w:trPr>
          <w:cantSplit/>
        </w:trPr>
        <w:tc>
          <w:tcPr>
            <w:tcW w:w="591" w:type="dxa"/>
          </w:tcPr>
          <w:p w:rsidR="00E16CB9" w:rsidRDefault="00334830">
            <w:pPr>
              <w:pStyle w:val="Body"/>
              <w:spacing w:before="40" w:after="40"/>
              <w:rPr>
                <w:rFonts w:ascii="EC Square Sans Cond Pro" w:hAnsi="EC Square Sans Cond Pro" w:cs="Times New Roman"/>
                <w:noProof/>
                <w:sz w:val="22"/>
                <w:szCs w:val="24"/>
              </w:rPr>
            </w:pPr>
            <w:r>
              <w:rPr>
                <w:rFonts w:ascii="EC Square Sans Cond Pro" w:hAnsi="EC Square Sans Cond Pro"/>
                <w:noProof/>
                <w:sz w:val="22"/>
                <w:szCs w:val="24"/>
              </w:rPr>
              <w:t>2</w:t>
            </w:r>
          </w:p>
        </w:tc>
        <w:tc>
          <w:tcPr>
            <w:tcW w:w="1995" w:type="dxa"/>
          </w:tcPr>
          <w:p w:rsidR="00E16CB9" w:rsidRDefault="00334830">
            <w:pPr>
              <w:pStyle w:val="Body"/>
              <w:spacing w:before="40" w:after="40"/>
              <w:jc w:val="left"/>
              <w:rPr>
                <w:rFonts w:ascii="EC Square Sans Cond Pro" w:hAnsi="EC Square Sans Cond Pro" w:cs="Times New Roman"/>
                <w:noProof/>
                <w:sz w:val="22"/>
                <w:szCs w:val="24"/>
              </w:rPr>
            </w:pPr>
            <w:r>
              <w:rPr>
                <w:rFonts w:ascii="EC Square Sans Cond Pro" w:hAnsi="EC Square Sans Cond Pro"/>
                <w:noProof/>
                <w:sz w:val="22"/>
                <w:szCs w:val="24"/>
              </w:rPr>
              <w:t>zelena javna naročila*</w:t>
            </w:r>
          </w:p>
        </w:tc>
        <w:tc>
          <w:tcPr>
            <w:tcW w:w="3297" w:type="dxa"/>
          </w:tcPr>
          <w:p w:rsidR="00E16CB9" w:rsidRDefault="00334830">
            <w:pPr>
              <w:pStyle w:val="Body"/>
              <w:spacing w:before="40" w:after="40"/>
              <w:jc w:val="left"/>
              <w:rPr>
                <w:rFonts w:ascii="EC Square Sans Cond Pro" w:hAnsi="EC Square Sans Cond Pro" w:cs="Times New Roman"/>
                <w:noProof/>
                <w:sz w:val="22"/>
                <w:szCs w:val="24"/>
              </w:rPr>
            </w:pPr>
            <w:r>
              <w:rPr>
                <w:rFonts w:ascii="EC Square Sans Cond Pro" w:hAnsi="EC Square Sans Cond Pro"/>
                <w:noProof/>
                <w:sz w:val="22"/>
                <w:szCs w:val="24"/>
              </w:rPr>
              <w:t>Javna naročila predstavljajo velik delež porabe in lahko spodbudijo krožno gospodarstvo.</w:t>
            </w:r>
          </w:p>
        </w:tc>
        <w:tc>
          <w:tcPr>
            <w:tcW w:w="3297" w:type="dxa"/>
          </w:tcPr>
          <w:p w:rsidR="00E16CB9" w:rsidRDefault="00334830">
            <w:pPr>
              <w:pStyle w:val="Body"/>
              <w:spacing w:before="40" w:after="40"/>
              <w:jc w:val="left"/>
              <w:rPr>
                <w:rFonts w:ascii="EC Square Sans Cond Pro" w:hAnsi="EC Square Sans Cond Pro" w:cs="Times New Roman"/>
                <w:noProof/>
                <w:sz w:val="22"/>
                <w:szCs w:val="24"/>
              </w:rPr>
            </w:pPr>
            <w:r>
              <w:rPr>
                <w:rFonts w:ascii="EC Square Sans Cond Pro" w:hAnsi="EC Square Sans Cond Pro"/>
                <w:noProof/>
                <w:sz w:val="22"/>
                <w:szCs w:val="24"/>
              </w:rPr>
              <w:t>strategija javnih naročil, podporne sheme EU in prostovoljna merila za zelena javna naročila</w:t>
            </w:r>
          </w:p>
        </w:tc>
      </w:tr>
      <w:tr w:rsidR="00E16CB9">
        <w:trPr>
          <w:cantSplit/>
        </w:trPr>
        <w:tc>
          <w:tcPr>
            <w:tcW w:w="591" w:type="dxa"/>
          </w:tcPr>
          <w:p w:rsidR="00E16CB9" w:rsidRDefault="00334830">
            <w:pPr>
              <w:pStyle w:val="Body"/>
              <w:spacing w:before="40" w:after="40"/>
              <w:rPr>
                <w:rFonts w:ascii="EC Square Sans Cond Pro" w:hAnsi="EC Square Sans Cond Pro" w:cs="Times New Roman"/>
                <w:noProof/>
                <w:sz w:val="22"/>
                <w:szCs w:val="24"/>
              </w:rPr>
            </w:pPr>
            <w:r>
              <w:rPr>
                <w:rFonts w:ascii="EC Square Sans Cond Pro" w:hAnsi="EC Square Sans Cond Pro"/>
                <w:noProof/>
                <w:sz w:val="22"/>
                <w:szCs w:val="24"/>
              </w:rPr>
              <w:t>3a–c</w:t>
            </w:r>
          </w:p>
        </w:tc>
        <w:tc>
          <w:tcPr>
            <w:tcW w:w="1995" w:type="dxa"/>
          </w:tcPr>
          <w:p w:rsidR="00E16CB9" w:rsidRDefault="00334830">
            <w:pPr>
              <w:pStyle w:val="Body"/>
              <w:spacing w:before="40" w:after="40"/>
              <w:jc w:val="left"/>
              <w:rPr>
                <w:rFonts w:ascii="EC Square Sans Cond Pro" w:hAnsi="EC Square Sans Cond Pro" w:cs="Times New Roman"/>
                <w:noProof/>
                <w:sz w:val="22"/>
                <w:szCs w:val="24"/>
              </w:rPr>
            </w:pPr>
            <w:r>
              <w:rPr>
                <w:rFonts w:ascii="EC Square Sans Cond Pro" w:hAnsi="EC Square Sans Cond Pro"/>
                <w:noProof/>
                <w:sz w:val="22"/>
                <w:szCs w:val="24"/>
              </w:rPr>
              <w:t>n</w:t>
            </w:r>
            <w:r>
              <w:rPr>
                <w:rFonts w:ascii="EC Square Sans Cond Pro" w:hAnsi="EC Square Sans Cond Pro"/>
                <w:noProof/>
                <w:sz w:val="22"/>
                <w:szCs w:val="24"/>
              </w:rPr>
              <w:t>astajanje odpadkov</w:t>
            </w:r>
          </w:p>
        </w:tc>
        <w:tc>
          <w:tcPr>
            <w:tcW w:w="3297" w:type="dxa"/>
          </w:tcPr>
          <w:p w:rsidR="00E16CB9" w:rsidRDefault="00334830">
            <w:pPr>
              <w:pStyle w:val="Body"/>
              <w:spacing w:before="40" w:after="40"/>
              <w:jc w:val="left"/>
              <w:rPr>
                <w:rFonts w:ascii="EC Square Sans Cond Pro" w:hAnsi="EC Square Sans Cond Pro" w:cs="Times New Roman"/>
                <w:noProof/>
                <w:sz w:val="22"/>
                <w:szCs w:val="24"/>
              </w:rPr>
            </w:pPr>
            <w:r>
              <w:rPr>
                <w:rFonts w:ascii="EC Square Sans Cond Pro" w:hAnsi="EC Square Sans Cond Pro"/>
                <w:noProof/>
                <w:sz w:val="22"/>
                <w:szCs w:val="24"/>
              </w:rPr>
              <w:t>V krožnem gospodarstvu je nastajanjeodpadkov zmanjšano na najmanjšo možno mero.</w:t>
            </w:r>
          </w:p>
        </w:tc>
        <w:tc>
          <w:tcPr>
            <w:tcW w:w="3297" w:type="dxa"/>
          </w:tcPr>
          <w:p w:rsidR="00E16CB9" w:rsidRDefault="00334830">
            <w:pPr>
              <w:pStyle w:val="Body"/>
              <w:spacing w:before="40" w:after="40"/>
              <w:jc w:val="left"/>
              <w:rPr>
                <w:rFonts w:ascii="EC Square Sans Cond Pro" w:hAnsi="EC Square Sans Cond Pro" w:cs="Times New Roman"/>
                <w:noProof/>
                <w:sz w:val="22"/>
                <w:szCs w:val="24"/>
              </w:rPr>
            </w:pPr>
            <w:r>
              <w:rPr>
                <w:rFonts w:ascii="EC Square Sans Cond Pro" w:hAnsi="EC Square Sans Cond Pro"/>
                <w:noProof/>
                <w:sz w:val="22"/>
                <w:szCs w:val="24"/>
              </w:rPr>
              <w:t>okvirna direktiva o odpadkih, direktive o posameznih tokovih odpadkov, strategija za plastiko</w:t>
            </w:r>
          </w:p>
        </w:tc>
      </w:tr>
      <w:tr w:rsidR="00E16CB9">
        <w:trPr>
          <w:cantSplit/>
        </w:trPr>
        <w:tc>
          <w:tcPr>
            <w:tcW w:w="591" w:type="dxa"/>
          </w:tcPr>
          <w:p w:rsidR="00E16CB9" w:rsidRDefault="00334830">
            <w:pPr>
              <w:pStyle w:val="Body"/>
              <w:spacing w:before="40" w:after="40"/>
              <w:rPr>
                <w:rFonts w:ascii="EC Square Sans Cond Pro" w:hAnsi="EC Square Sans Cond Pro" w:cs="Times New Roman"/>
                <w:noProof/>
                <w:sz w:val="22"/>
                <w:szCs w:val="24"/>
              </w:rPr>
            </w:pPr>
            <w:r>
              <w:rPr>
                <w:rFonts w:ascii="EC Square Sans Cond Pro" w:hAnsi="EC Square Sans Cond Pro"/>
                <w:noProof/>
                <w:sz w:val="22"/>
                <w:szCs w:val="24"/>
              </w:rPr>
              <w:t>4</w:t>
            </w:r>
          </w:p>
        </w:tc>
        <w:tc>
          <w:tcPr>
            <w:tcW w:w="1995" w:type="dxa"/>
          </w:tcPr>
          <w:p w:rsidR="00E16CB9" w:rsidRDefault="00334830">
            <w:pPr>
              <w:pStyle w:val="Body"/>
              <w:spacing w:before="40" w:after="40"/>
              <w:jc w:val="left"/>
              <w:rPr>
                <w:rFonts w:ascii="EC Square Sans Cond Pro" w:hAnsi="EC Square Sans Cond Pro" w:cs="Times New Roman"/>
                <w:noProof/>
                <w:sz w:val="22"/>
                <w:szCs w:val="24"/>
              </w:rPr>
            </w:pPr>
            <w:r>
              <w:rPr>
                <w:rFonts w:ascii="EC Square Sans Cond Pro" w:hAnsi="EC Square Sans Cond Pro"/>
                <w:noProof/>
                <w:sz w:val="22"/>
                <w:szCs w:val="24"/>
              </w:rPr>
              <w:t>živilski odpadki*</w:t>
            </w:r>
          </w:p>
        </w:tc>
        <w:tc>
          <w:tcPr>
            <w:tcW w:w="3297" w:type="dxa"/>
          </w:tcPr>
          <w:p w:rsidR="00E16CB9" w:rsidRDefault="00334830">
            <w:pPr>
              <w:pStyle w:val="Body"/>
              <w:spacing w:before="40" w:after="40"/>
              <w:jc w:val="left"/>
              <w:rPr>
                <w:rFonts w:ascii="EC Square Sans Cond Pro" w:hAnsi="EC Square Sans Cond Pro" w:cs="Times New Roman"/>
                <w:noProof/>
                <w:sz w:val="22"/>
                <w:szCs w:val="24"/>
              </w:rPr>
            </w:pPr>
            <w:r>
              <w:rPr>
                <w:rFonts w:ascii="EC Square Sans Cond Pro" w:hAnsi="EC Square Sans Cond Pro"/>
                <w:noProof/>
                <w:sz w:val="22"/>
                <w:szCs w:val="24"/>
              </w:rPr>
              <w:t>Zavržena hrana negativno vpliva na okolje,</w:t>
            </w:r>
            <w:r>
              <w:rPr>
                <w:rFonts w:ascii="EC Square Sans Cond Pro" w:hAnsi="EC Square Sans Cond Pro"/>
                <w:noProof/>
                <w:sz w:val="22"/>
                <w:szCs w:val="24"/>
              </w:rPr>
              <w:t xml:space="preserve"> podnebje in gospodarstvo.</w:t>
            </w:r>
          </w:p>
        </w:tc>
        <w:tc>
          <w:tcPr>
            <w:tcW w:w="3297" w:type="dxa"/>
          </w:tcPr>
          <w:p w:rsidR="00E16CB9" w:rsidRDefault="00334830">
            <w:pPr>
              <w:pStyle w:val="Body"/>
              <w:spacing w:before="40" w:after="40"/>
              <w:jc w:val="left"/>
              <w:rPr>
                <w:rFonts w:ascii="EC Square Sans Cond Pro" w:hAnsi="EC Square Sans Cond Pro" w:cs="Times New Roman"/>
                <w:noProof/>
                <w:sz w:val="22"/>
                <w:szCs w:val="24"/>
              </w:rPr>
            </w:pPr>
            <w:r>
              <w:rPr>
                <w:rFonts w:ascii="EC Square Sans Cond Pro" w:hAnsi="EC Square Sans Cond Pro"/>
                <w:noProof/>
                <w:sz w:val="22"/>
                <w:szCs w:val="24"/>
              </w:rPr>
              <w:t>uredba o splošni živilski zakonodaji, okvirna direktiva o odpadkih, različne pobude (npr. platforma o izgubah hrane in živilskih odpadkih)</w:t>
            </w:r>
          </w:p>
        </w:tc>
      </w:tr>
      <w:tr w:rsidR="00E16CB9">
        <w:trPr>
          <w:cantSplit/>
        </w:trPr>
        <w:tc>
          <w:tcPr>
            <w:tcW w:w="9180" w:type="dxa"/>
            <w:gridSpan w:val="4"/>
            <w:shd w:val="clear" w:color="auto" w:fill="EEECE1" w:themeFill="background2"/>
          </w:tcPr>
          <w:p w:rsidR="00E16CB9" w:rsidRDefault="00334830">
            <w:pPr>
              <w:pStyle w:val="Body"/>
              <w:spacing w:before="40" w:after="40"/>
              <w:jc w:val="left"/>
              <w:rPr>
                <w:rFonts w:ascii="EC Square Sans Cond Pro" w:hAnsi="EC Square Sans Cond Pro" w:cs="Times New Roman"/>
                <w:b/>
                <w:noProof/>
                <w:sz w:val="22"/>
                <w:szCs w:val="24"/>
              </w:rPr>
            </w:pPr>
            <w:r>
              <w:rPr>
                <w:rFonts w:ascii="EC Square Sans Cond Pro" w:hAnsi="EC Square Sans Cond Pro"/>
                <w:b/>
                <w:noProof/>
                <w:sz w:val="22"/>
                <w:szCs w:val="24"/>
              </w:rPr>
              <w:t>Ravnanje z odpadki</w:t>
            </w:r>
          </w:p>
        </w:tc>
      </w:tr>
      <w:tr w:rsidR="00E16CB9">
        <w:trPr>
          <w:cantSplit/>
        </w:trPr>
        <w:tc>
          <w:tcPr>
            <w:tcW w:w="591" w:type="dxa"/>
          </w:tcPr>
          <w:p w:rsidR="00E16CB9" w:rsidRDefault="00334830">
            <w:pPr>
              <w:pStyle w:val="Body"/>
              <w:spacing w:before="40" w:after="40"/>
              <w:rPr>
                <w:rFonts w:ascii="EC Square Sans Cond Pro" w:hAnsi="EC Square Sans Cond Pro" w:cs="Times New Roman"/>
                <w:noProof/>
                <w:sz w:val="22"/>
                <w:szCs w:val="24"/>
              </w:rPr>
            </w:pPr>
            <w:r>
              <w:rPr>
                <w:rFonts w:ascii="EC Square Sans Cond Pro" w:hAnsi="EC Square Sans Cond Pro"/>
                <w:noProof/>
                <w:sz w:val="22"/>
                <w:szCs w:val="24"/>
              </w:rPr>
              <w:t>5a–b</w:t>
            </w:r>
          </w:p>
        </w:tc>
        <w:tc>
          <w:tcPr>
            <w:tcW w:w="1995" w:type="dxa"/>
          </w:tcPr>
          <w:p w:rsidR="00E16CB9" w:rsidRDefault="00334830">
            <w:pPr>
              <w:pStyle w:val="Body"/>
              <w:spacing w:before="40" w:after="40"/>
              <w:jc w:val="left"/>
              <w:rPr>
                <w:rFonts w:ascii="EC Square Sans Cond Pro" w:hAnsi="EC Square Sans Cond Pro" w:cs="Times New Roman"/>
                <w:noProof/>
                <w:sz w:val="22"/>
                <w:szCs w:val="24"/>
              </w:rPr>
            </w:pPr>
            <w:r>
              <w:rPr>
                <w:rFonts w:ascii="EC Square Sans Cond Pro" w:hAnsi="EC Square Sans Cond Pro"/>
                <w:noProof/>
                <w:sz w:val="22"/>
                <w:szCs w:val="24"/>
              </w:rPr>
              <w:t>Skupne stopnje recikliranja</w:t>
            </w:r>
          </w:p>
        </w:tc>
        <w:tc>
          <w:tcPr>
            <w:tcW w:w="3297" w:type="dxa"/>
          </w:tcPr>
          <w:p w:rsidR="00E16CB9" w:rsidRDefault="00334830">
            <w:pPr>
              <w:pStyle w:val="Body"/>
              <w:spacing w:before="40" w:after="40"/>
              <w:jc w:val="left"/>
              <w:rPr>
                <w:rFonts w:ascii="EC Square Sans Cond Pro" w:hAnsi="EC Square Sans Cond Pro" w:cs="Times New Roman"/>
                <w:noProof/>
                <w:sz w:val="22"/>
                <w:szCs w:val="24"/>
              </w:rPr>
            </w:pPr>
            <w:r>
              <w:rPr>
                <w:rFonts w:ascii="EC Square Sans Cond Pro" w:hAnsi="EC Square Sans Cond Pro"/>
                <w:noProof/>
                <w:sz w:val="22"/>
                <w:szCs w:val="24"/>
              </w:rPr>
              <w:t>Okrepitev recikliranja je sestavni d</w:t>
            </w:r>
            <w:r>
              <w:rPr>
                <w:rFonts w:ascii="EC Square Sans Cond Pro" w:hAnsi="EC Square Sans Cond Pro"/>
                <w:noProof/>
                <w:sz w:val="22"/>
                <w:szCs w:val="24"/>
              </w:rPr>
              <w:t>el prehoda na krožno gospodarstvo.</w:t>
            </w:r>
          </w:p>
        </w:tc>
        <w:tc>
          <w:tcPr>
            <w:tcW w:w="3297" w:type="dxa"/>
          </w:tcPr>
          <w:p w:rsidR="00E16CB9" w:rsidRDefault="00334830">
            <w:pPr>
              <w:pStyle w:val="Body"/>
              <w:spacing w:before="40" w:after="40"/>
              <w:jc w:val="left"/>
              <w:rPr>
                <w:rFonts w:ascii="EC Square Sans Cond Pro" w:hAnsi="EC Square Sans Cond Pro" w:cs="Times New Roman"/>
                <w:noProof/>
                <w:sz w:val="22"/>
                <w:szCs w:val="24"/>
              </w:rPr>
            </w:pPr>
            <w:r>
              <w:rPr>
                <w:rFonts w:ascii="EC Square Sans Cond Pro" w:hAnsi="EC Square Sans Cond Pro"/>
                <w:noProof/>
                <w:sz w:val="22"/>
                <w:szCs w:val="24"/>
              </w:rPr>
              <w:t>okvirna direktiva o odpadkih</w:t>
            </w:r>
          </w:p>
        </w:tc>
      </w:tr>
      <w:tr w:rsidR="00E16CB9">
        <w:trPr>
          <w:cantSplit/>
        </w:trPr>
        <w:tc>
          <w:tcPr>
            <w:tcW w:w="591" w:type="dxa"/>
          </w:tcPr>
          <w:p w:rsidR="00E16CB9" w:rsidRDefault="00334830">
            <w:pPr>
              <w:pStyle w:val="Body"/>
              <w:spacing w:before="40" w:after="40"/>
              <w:rPr>
                <w:rFonts w:ascii="EC Square Sans Cond Pro" w:hAnsi="EC Square Sans Cond Pro" w:cs="Times New Roman"/>
                <w:noProof/>
                <w:sz w:val="22"/>
                <w:szCs w:val="24"/>
              </w:rPr>
            </w:pPr>
            <w:r>
              <w:rPr>
                <w:rFonts w:ascii="EC Square Sans Cond Pro" w:hAnsi="EC Square Sans Cond Pro"/>
                <w:noProof/>
                <w:sz w:val="22"/>
                <w:szCs w:val="24"/>
              </w:rPr>
              <w:t>6a–f</w:t>
            </w:r>
          </w:p>
        </w:tc>
        <w:tc>
          <w:tcPr>
            <w:tcW w:w="1995" w:type="dxa"/>
          </w:tcPr>
          <w:p w:rsidR="00E16CB9" w:rsidRDefault="00334830">
            <w:pPr>
              <w:pStyle w:val="Body"/>
              <w:spacing w:before="40" w:after="40"/>
              <w:jc w:val="left"/>
              <w:rPr>
                <w:rFonts w:ascii="EC Square Sans Cond Pro" w:hAnsi="EC Square Sans Cond Pro" w:cs="Times New Roman"/>
                <w:noProof/>
                <w:sz w:val="22"/>
                <w:szCs w:val="24"/>
              </w:rPr>
            </w:pPr>
            <w:r>
              <w:rPr>
                <w:rFonts w:ascii="EC Square Sans Cond Pro" w:hAnsi="EC Square Sans Cond Pro"/>
                <w:noProof/>
                <w:sz w:val="22"/>
                <w:szCs w:val="24"/>
              </w:rPr>
              <w:t xml:space="preserve">stopnje recikliranja za posamezne tokove odpadkov </w:t>
            </w:r>
          </w:p>
        </w:tc>
        <w:tc>
          <w:tcPr>
            <w:tcW w:w="3297" w:type="dxa"/>
          </w:tcPr>
          <w:p w:rsidR="00E16CB9" w:rsidRDefault="00334830">
            <w:pPr>
              <w:pStyle w:val="Body"/>
              <w:spacing w:before="40" w:after="40"/>
              <w:jc w:val="left"/>
              <w:rPr>
                <w:rFonts w:ascii="EC Square Sans Cond Pro" w:hAnsi="EC Square Sans Cond Pro" w:cs="Times New Roman"/>
                <w:noProof/>
                <w:sz w:val="22"/>
                <w:szCs w:val="24"/>
              </w:rPr>
            </w:pPr>
            <w:r>
              <w:rPr>
                <w:rFonts w:ascii="EC Square Sans Cond Pro" w:hAnsi="EC Square Sans Cond Pro"/>
                <w:noProof/>
                <w:sz w:val="22"/>
                <w:szCs w:val="24"/>
              </w:rPr>
              <w:t>Odraža napredek pri recikliranju ključnih tokov odpadkov.</w:t>
            </w:r>
          </w:p>
        </w:tc>
        <w:tc>
          <w:tcPr>
            <w:tcW w:w="3297" w:type="dxa"/>
          </w:tcPr>
          <w:p w:rsidR="00E16CB9" w:rsidRDefault="00334830">
            <w:pPr>
              <w:pStyle w:val="Body"/>
              <w:spacing w:before="40" w:after="40"/>
              <w:jc w:val="left"/>
              <w:rPr>
                <w:rFonts w:ascii="EC Square Sans Cond Pro" w:hAnsi="EC Square Sans Cond Pro" w:cs="Times New Roman"/>
                <w:noProof/>
                <w:sz w:val="22"/>
                <w:szCs w:val="24"/>
              </w:rPr>
            </w:pPr>
            <w:r>
              <w:rPr>
                <w:rFonts w:ascii="EC Square Sans Cond Pro" w:hAnsi="EC Square Sans Cond Pro"/>
                <w:noProof/>
                <w:sz w:val="22"/>
                <w:szCs w:val="24"/>
              </w:rPr>
              <w:t xml:space="preserve">okvirna direktiva o odpadkih, direktiva o odlagališčih, direktive o </w:t>
            </w:r>
            <w:r>
              <w:rPr>
                <w:rFonts w:ascii="EC Square Sans Cond Pro" w:hAnsi="EC Square Sans Cond Pro"/>
                <w:noProof/>
                <w:sz w:val="22"/>
                <w:szCs w:val="24"/>
              </w:rPr>
              <w:t>posameznih tokovih odpadkov</w:t>
            </w:r>
          </w:p>
        </w:tc>
      </w:tr>
      <w:tr w:rsidR="00E16CB9">
        <w:trPr>
          <w:cantSplit/>
        </w:trPr>
        <w:tc>
          <w:tcPr>
            <w:tcW w:w="9180" w:type="dxa"/>
            <w:gridSpan w:val="4"/>
            <w:shd w:val="clear" w:color="auto" w:fill="EEECE1" w:themeFill="background2"/>
          </w:tcPr>
          <w:p w:rsidR="00E16CB9" w:rsidRDefault="00334830">
            <w:pPr>
              <w:pStyle w:val="Body"/>
              <w:spacing w:before="40" w:after="40"/>
              <w:jc w:val="left"/>
              <w:rPr>
                <w:rFonts w:ascii="EC Square Sans Cond Pro" w:hAnsi="EC Square Sans Cond Pro" w:cs="Times New Roman"/>
                <w:b/>
                <w:noProof/>
                <w:sz w:val="22"/>
                <w:szCs w:val="24"/>
              </w:rPr>
            </w:pPr>
            <w:r>
              <w:rPr>
                <w:rFonts w:ascii="EC Square Sans Cond Pro" w:hAnsi="EC Square Sans Cond Pro"/>
                <w:b/>
                <w:noProof/>
                <w:sz w:val="22"/>
                <w:szCs w:val="24"/>
              </w:rPr>
              <w:t>Sekundarne surovine</w:t>
            </w:r>
          </w:p>
        </w:tc>
      </w:tr>
      <w:tr w:rsidR="00E16CB9">
        <w:trPr>
          <w:cantSplit/>
        </w:trPr>
        <w:tc>
          <w:tcPr>
            <w:tcW w:w="591" w:type="dxa"/>
          </w:tcPr>
          <w:p w:rsidR="00E16CB9" w:rsidRDefault="00334830">
            <w:pPr>
              <w:pStyle w:val="Body"/>
              <w:spacing w:before="40" w:after="40"/>
              <w:rPr>
                <w:rFonts w:ascii="EC Square Sans Cond Pro" w:hAnsi="EC Square Sans Cond Pro" w:cs="Times New Roman"/>
                <w:noProof/>
                <w:sz w:val="22"/>
                <w:szCs w:val="24"/>
              </w:rPr>
            </w:pPr>
            <w:r>
              <w:rPr>
                <w:rFonts w:ascii="EC Square Sans Cond Pro" w:hAnsi="EC Square Sans Cond Pro"/>
                <w:noProof/>
                <w:sz w:val="22"/>
                <w:szCs w:val="24"/>
              </w:rPr>
              <w:t>7a–b</w:t>
            </w:r>
          </w:p>
        </w:tc>
        <w:tc>
          <w:tcPr>
            <w:tcW w:w="1995" w:type="dxa"/>
          </w:tcPr>
          <w:p w:rsidR="00E16CB9" w:rsidRDefault="00334830">
            <w:pPr>
              <w:pStyle w:val="Body"/>
              <w:spacing w:before="40" w:after="40"/>
              <w:jc w:val="left"/>
              <w:rPr>
                <w:rFonts w:ascii="EC Square Sans Cond Pro" w:hAnsi="EC Square Sans Cond Pro" w:cs="Times New Roman"/>
                <w:noProof/>
                <w:sz w:val="22"/>
                <w:szCs w:val="24"/>
              </w:rPr>
            </w:pPr>
            <w:r>
              <w:rPr>
                <w:rFonts w:ascii="EC Square Sans Cond Pro" w:hAnsi="EC Square Sans Cond Pro"/>
                <w:noProof/>
                <w:sz w:val="22"/>
                <w:szCs w:val="24"/>
              </w:rPr>
              <w:t>prispevek recikliranih materialov k pokrivanju povpraševanja po surovinah</w:t>
            </w:r>
          </w:p>
        </w:tc>
        <w:tc>
          <w:tcPr>
            <w:tcW w:w="3297" w:type="dxa"/>
          </w:tcPr>
          <w:p w:rsidR="00E16CB9" w:rsidRDefault="00334830">
            <w:pPr>
              <w:pStyle w:val="Body"/>
              <w:spacing w:before="40" w:after="40"/>
              <w:jc w:val="left"/>
              <w:rPr>
                <w:rFonts w:ascii="EC Square Sans Cond Pro" w:hAnsi="EC Square Sans Cond Pro" w:cs="Times New Roman"/>
                <w:noProof/>
                <w:sz w:val="22"/>
                <w:szCs w:val="24"/>
              </w:rPr>
            </w:pPr>
            <w:r>
              <w:rPr>
                <w:rFonts w:ascii="EC Square Sans Cond Pro" w:hAnsi="EC Square Sans Cond Pro"/>
                <w:noProof/>
                <w:sz w:val="22"/>
                <w:szCs w:val="24"/>
              </w:rPr>
              <w:t>V krožnem gospodarstvu se za izdelavo novih proizvodov običajno uporabljajo sekundarne surovine.</w:t>
            </w:r>
          </w:p>
        </w:tc>
        <w:tc>
          <w:tcPr>
            <w:tcW w:w="3297" w:type="dxa"/>
          </w:tcPr>
          <w:p w:rsidR="00E16CB9" w:rsidRDefault="00334830">
            <w:pPr>
              <w:pStyle w:val="Body"/>
              <w:spacing w:before="40" w:after="40"/>
              <w:jc w:val="left"/>
              <w:rPr>
                <w:rFonts w:ascii="EC Square Sans Cond Pro" w:hAnsi="EC Square Sans Cond Pro" w:cs="Times New Roman"/>
                <w:noProof/>
                <w:sz w:val="22"/>
                <w:szCs w:val="24"/>
                <w:highlight w:val="yellow"/>
              </w:rPr>
            </w:pPr>
            <w:r>
              <w:rPr>
                <w:rFonts w:ascii="EC Square Sans Cond Pro" w:hAnsi="EC Square Sans Cond Pro"/>
                <w:noProof/>
                <w:sz w:val="22"/>
                <w:szCs w:val="24"/>
              </w:rPr>
              <w:t xml:space="preserve">okvirna direktiva o odpadkih, </w:t>
            </w:r>
            <w:r>
              <w:rPr>
                <w:rFonts w:ascii="EC Square Sans Cond Pro" w:hAnsi="EC Square Sans Cond Pro"/>
                <w:noProof/>
                <w:sz w:val="22"/>
                <w:szCs w:val="24"/>
              </w:rPr>
              <w:t>direktiva o okoljsko primerni zasnovi, znak EU za okolje, uredba REACH, pobuda o stičišču politik na področju kemikalij, proizvodov in odpadkov, strategija za plastiko, standardi kakovosti za sekundarne surovine</w:t>
            </w:r>
          </w:p>
        </w:tc>
      </w:tr>
      <w:tr w:rsidR="00E16CB9">
        <w:trPr>
          <w:cantSplit/>
        </w:trPr>
        <w:tc>
          <w:tcPr>
            <w:tcW w:w="591" w:type="dxa"/>
          </w:tcPr>
          <w:p w:rsidR="00E16CB9" w:rsidRDefault="00334830">
            <w:pPr>
              <w:pStyle w:val="Body"/>
              <w:spacing w:before="40" w:after="40"/>
              <w:rPr>
                <w:rFonts w:ascii="EC Square Sans Cond Pro" w:hAnsi="EC Square Sans Cond Pro" w:cs="Times New Roman"/>
                <w:noProof/>
                <w:sz w:val="22"/>
                <w:szCs w:val="24"/>
              </w:rPr>
            </w:pPr>
            <w:r>
              <w:rPr>
                <w:rFonts w:ascii="EC Square Sans Cond Pro" w:hAnsi="EC Square Sans Cond Pro"/>
                <w:noProof/>
                <w:sz w:val="22"/>
                <w:szCs w:val="24"/>
              </w:rPr>
              <w:t>8</w:t>
            </w:r>
          </w:p>
        </w:tc>
        <w:tc>
          <w:tcPr>
            <w:tcW w:w="1995" w:type="dxa"/>
          </w:tcPr>
          <w:p w:rsidR="00E16CB9" w:rsidRDefault="00334830">
            <w:pPr>
              <w:pStyle w:val="Body"/>
              <w:spacing w:before="40" w:after="40"/>
              <w:jc w:val="left"/>
              <w:rPr>
                <w:rFonts w:ascii="EC Square Sans Cond Pro" w:hAnsi="EC Square Sans Cond Pro" w:cs="Times New Roman"/>
                <w:noProof/>
                <w:sz w:val="22"/>
                <w:szCs w:val="24"/>
              </w:rPr>
            </w:pPr>
            <w:r>
              <w:rPr>
                <w:rFonts w:ascii="EC Square Sans Cond Pro" w:hAnsi="EC Square Sans Cond Pro"/>
                <w:noProof/>
                <w:sz w:val="22"/>
                <w:szCs w:val="24"/>
              </w:rPr>
              <w:t xml:space="preserve">trgovanje s surovinami, ki jih je mogoče </w:t>
            </w:r>
            <w:r>
              <w:rPr>
                <w:rFonts w:ascii="EC Square Sans Cond Pro" w:hAnsi="EC Square Sans Cond Pro"/>
                <w:noProof/>
                <w:sz w:val="22"/>
                <w:szCs w:val="24"/>
              </w:rPr>
              <w:t>reciklirati</w:t>
            </w:r>
          </w:p>
        </w:tc>
        <w:tc>
          <w:tcPr>
            <w:tcW w:w="3297" w:type="dxa"/>
          </w:tcPr>
          <w:p w:rsidR="00E16CB9" w:rsidRDefault="00334830">
            <w:pPr>
              <w:pStyle w:val="Body"/>
              <w:spacing w:before="40" w:after="40"/>
              <w:jc w:val="left"/>
              <w:rPr>
                <w:rFonts w:ascii="EC Square Sans Cond Pro" w:hAnsi="EC Square Sans Cond Pro" w:cs="Times New Roman"/>
                <w:noProof/>
                <w:sz w:val="22"/>
                <w:szCs w:val="24"/>
              </w:rPr>
            </w:pPr>
            <w:r>
              <w:rPr>
                <w:rFonts w:ascii="EC Square Sans Cond Pro" w:hAnsi="EC Square Sans Cond Pro"/>
                <w:noProof/>
                <w:sz w:val="22"/>
                <w:szCs w:val="24"/>
              </w:rPr>
              <w:t>V trgovanju s surovinami, ki jih je mogoče reciklirati, se odraža pomen notranjega trga in udeležbe v krožnem gospodarstvu na svetovni ravni.</w:t>
            </w:r>
          </w:p>
        </w:tc>
        <w:tc>
          <w:tcPr>
            <w:tcW w:w="3297" w:type="dxa"/>
          </w:tcPr>
          <w:p w:rsidR="00E16CB9" w:rsidRDefault="00334830">
            <w:pPr>
              <w:pStyle w:val="Body"/>
              <w:spacing w:before="40" w:after="40"/>
              <w:jc w:val="left"/>
              <w:rPr>
                <w:rFonts w:ascii="EC Square Sans Cond Pro" w:hAnsi="EC Square Sans Cond Pro" w:cs="Times New Roman"/>
                <w:noProof/>
                <w:sz w:val="22"/>
                <w:szCs w:val="24"/>
              </w:rPr>
            </w:pPr>
            <w:r>
              <w:rPr>
                <w:rFonts w:ascii="EC Square Sans Cond Pro" w:hAnsi="EC Square Sans Cond Pro"/>
                <w:noProof/>
                <w:sz w:val="22"/>
                <w:szCs w:val="24"/>
              </w:rPr>
              <w:t>politika notranjega trga, uredba o pošiljkah odpadkov, trgovinska politika</w:t>
            </w:r>
          </w:p>
        </w:tc>
      </w:tr>
      <w:tr w:rsidR="00E16CB9">
        <w:trPr>
          <w:cantSplit/>
        </w:trPr>
        <w:tc>
          <w:tcPr>
            <w:tcW w:w="9180" w:type="dxa"/>
            <w:gridSpan w:val="4"/>
            <w:shd w:val="clear" w:color="auto" w:fill="EEECE1" w:themeFill="background2"/>
          </w:tcPr>
          <w:p w:rsidR="00E16CB9" w:rsidRDefault="00334830">
            <w:pPr>
              <w:pStyle w:val="Body"/>
              <w:spacing w:before="40" w:after="40"/>
              <w:rPr>
                <w:rFonts w:ascii="EC Square Sans Cond Pro" w:hAnsi="EC Square Sans Cond Pro" w:cs="Times New Roman"/>
                <w:b/>
                <w:noProof/>
                <w:sz w:val="22"/>
                <w:szCs w:val="24"/>
              </w:rPr>
            </w:pPr>
            <w:r>
              <w:rPr>
                <w:rFonts w:ascii="EC Square Sans Cond Pro" w:hAnsi="EC Square Sans Cond Pro"/>
                <w:b/>
                <w:noProof/>
                <w:sz w:val="22"/>
                <w:szCs w:val="24"/>
              </w:rPr>
              <w:t>Konkurenčnost in inovacije</w:t>
            </w:r>
          </w:p>
        </w:tc>
      </w:tr>
      <w:tr w:rsidR="00E16CB9">
        <w:trPr>
          <w:cantSplit/>
        </w:trPr>
        <w:tc>
          <w:tcPr>
            <w:tcW w:w="591" w:type="dxa"/>
          </w:tcPr>
          <w:p w:rsidR="00E16CB9" w:rsidRDefault="00334830">
            <w:pPr>
              <w:pStyle w:val="Body"/>
              <w:spacing w:before="40" w:after="40"/>
              <w:rPr>
                <w:rFonts w:ascii="EC Square Sans Cond Pro" w:hAnsi="EC Square Sans Cond Pro" w:cs="Times New Roman"/>
                <w:noProof/>
                <w:sz w:val="22"/>
                <w:szCs w:val="24"/>
              </w:rPr>
            </w:pPr>
            <w:r>
              <w:rPr>
                <w:rFonts w:ascii="EC Square Sans Cond Pro" w:hAnsi="EC Square Sans Cond Pro"/>
                <w:noProof/>
                <w:sz w:val="22"/>
                <w:szCs w:val="24"/>
              </w:rPr>
              <w:t>9a–c</w:t>
            </w:r>
          </w:p>
        </w:tc>
        <w:tc>
          <w:tcPr>
            <w:tcW w:w="1995" w:type="dxa"/>
          </w:tcPr>
          <w:p w:rsidR="00E16CB9" w:rsidRDefault="00334830">
            <w:pPr>
              <w:pStyle w:val="Body"/>
              <w:spacing w:before="40" w:after="40"/>
              <w:jc w:val="left"/>
              <w:rPr>
                <w:rFonts w:ascii="EC Square Sans Cond Pro" w:hAnsi="EC Square Sans Cond Pro" w:cs="Times New Roman"/>
                <w:noProof/>
                <w:sz w:val="22"/>
                <w:szCs w:val="24"/>
              </w:rPr>
            </w:pPr>
            <w:r>
              <w:rPr>
                <w:rFonts w:ascii="EC Square Sans Cond Pro" w:hAnsi="EC Square Sans Cond Pro"/>
                <w:noProof/>
                <w:sz w:val="22"/>
                <w:szCs w:val="24"/>
              </w:rPr>
              <w:t>zasebne naložbe, delovna mesta in bruto dodana vrednost</w:t>
            </w:r>
          </w:p>
        </w:tc>
        <w:tc>
          <w:tcPr>
            <w:tcW w:w="3297" w:type="dxa"/>
          </w:tcPr>
          <w:p w:rsidR="00E16CB9" w:rsidRDefault="00334830">
            <w:pPr>
              <w:pStyle w:val="Body"/>
              <w:spacing w:before="40" w:after="40"/>
              <w:jc w:val="left"/>
              <w:rPr>
                <w:rFonts w:ascii="EC Square Sans Cond Pro" w:hAnsi="EC Square Sans Cond Pro" w:cs="Times New Roman"/>
                <w:noProof/>
                <w:sz w:val="22"/>
                <w:szCs w:val="24"/>
              </w:rPr>
            </w:pPr>
            <w:r>
              <w:rPr>
                <w:rFonts w:ascii="EC Square Sans Cond Pro" w:hAnsi="EC Square Sans Cond Pro"/>
                <w:noProof/>
                <w:sz w:val="22"/>
                <w:szCs w:val="24"/>
              </w:rPr>
              <w:t>Odraža prispevek krožnega gospodarstva k ustvarjanju delovnih mest in gospodarski rasti.</w:t>
            </w:r>
          </w:p>
        </w:tc>
        <w:tc>
          <w:tcPr>
            <w:tcW w:w="3297" w:type="dxa"/>
          </w:tcPr>
          <w:p w:rsidR="00E16CB9" w:rsidRDefault="00334830">
            <w:pPr>
              <w:pStyle w:val="Body"/>
              <w:spacing w:before="40" w:after="40"/>
              <w:jc w:val="left"/>
              <w:rPr>
                <w:rFonts w:ascii="EC Square Sans Cond Pro" w:hAnsi="EC Square Sans Cond Pro" w:cs="Times New Roman"/>
                <w:noProof/>
                <w:sz w:val="22"/>
                <w:szCs w:val="24"/>
              </w:rPr>
            </w:pPr>
            <w:r>
              <w:rPr>
                <w:rFonts w:ascii="EC Square Sans Cond Pro" w:hAnsi="EC Square Sans Cond Pro"/>
                <w:noProof/>
                <w:sz w:val="22"/>
                <w:szCs w:val="24"/>
              </w:rPr>
              <w:t>naložbeni načrt za Evropo, strukturni in investicijski skladi, program InnovFin, platforma za podporo fi</w:t>
            </w:r>
            <w:r>
              <w:rPr>
                <w:rFonts w:ascii="EC Square Sans Cond Pro" w:hAnsi="EC Square Sans Cond Pro"/>
                <w:noProof/>
                <w:sz w:val="22"/>
                <w:szCs w:val="24"/>
              </w:rPr>
              <w:t>nanciranja krožnega gospodarstva, strategija za vzdržno financiranje, pobuda za zelena delovna mesta, novi program znanj in spretnosti za Evropo, politika notranjega trga</w:t>
            </w:r>
          </w:p>
        </w:tc>
      </w:tr>
      <w:tr w:rsidR="00E16CB9">
        <w:trPr>
          <w:cantSplit/>
        </w:trPr>
        <w:tc>
          <w:tcPr>
            <w:tcW w:w="591" w:type="dxa"/>
          </w:tcPr>
          <w:p w:rsidR="00E16CB9" w:rsidRDefault="00334830">
            <w:pPr>
              <w:pStyle w:val="Body"/>
              <w:spacing w:before="40" w:after="40"/>
              <w:rPr>
                <w:rFonts w:ascii="EC Square Sans Cond Pro" w:hAnsi="EC Square Sans Cond Pro" w:cs="Times New Roman"/>
                <w:noProof/>
                <w:sz w:val="22"/>
                <w:szCs w:val="24"/>
              </w:rPr>
            </w:pPr>
            <w:r>
              <w:rPr>
                <w:rFonts w:ascii="EC Square Sans Cond Pro" w:hAnsi="EC Square Sans Cond Pro"/>
                <w:noProof/>
                <w:sz w:val="22"/>
                <w:szCs w:val="24"/>
              </w:rPr>
              <w:t>10</w:t>
            </w:r>
          </w:p>
        </w:tc>
        <w:tc>
          <w:tcPr>
            <w:tcW w:w="1995" w:type="dxa"/>
          </w:tcPr>
          <w:p w:rsidR="00E16CB9" w:rsidRDefault="00334830">
            <w:pPr>
              <w:pStyle w:val="Body"/>
              <w:spacing w:before="40" w:after="40"/>
              <w:rPr>
                <w:rFonts w:ascii="EC Square Sans Cond Pro" w:hAnsi="EC Square Sans Cond Pro" w:cs="Times New Roman"/>
                <w:noProof/>
                <w:sz w:val="22"/>
                <w:szCs w:val="24"/>
              </w:rPr>
            </w:pPr>
            <w:r>
              <w:rPr>
                <w:rFonts w:ascii="EC Square Sans Cond Pro" w:hAnsi="EC Square Sans Cond Pro"/>
                <w:noProof/>
                <w:sz w:val="22"/>
                <w:szCs w:val="24"/>
              </w:rPr>
              <w:t xml:space="preserve">patenti </w:t>
            </w:r>
          </w:p>
        </w:tc>
        <w:tc>
          <w:tcPr>
            <w:tcW w:w="3297" w:type="dxa"/>
          </w:tcPr>
          <w:p w:rsidR="00E16CB9" w:rsidRDefault="00334830">
            <w:pPr>
              <w:pStyle w:val="Body"/>
              <w:spacing w:before="40" w:after="40"/>
              <w:jc w:val="left"/>
              <w:rPr>
                <w:rFonts w:ascii="EC Square Sans Cond Pro" w:hAnsi="EC Square Sans Cond Pro" w:cs="Times New Roman"/>
                <w:noProof/>
                <w:sz w:val="22"/>
                <w:szCs w:val="24"/>
              </w:rPr>
            </w:pPr>
            <w:r>
              <w:rPr>
                <w:rFonts w:ascii="EC Square Sans Cond Pro" w:hAnsi="EC Square Sans Cond Pro"/>
                <w:noProof/>
                <w:sz w:val="22"/>
                <w:szCs w:val="24"/>
              </w:rPr>
              <w:t>Inovativne tehnologije, povezane s krožnim gospodarstvom, spodbujajo kon</w:t>
            </w:r>
            <w:r>
              <w:rPr>
                <w:rFonts w:ascii="EC Square Sans Cond Pro" w:hAnsi="EC Square Sans Cond Pro"/>
                <w:noProof/>
                <w:sz w:val="22"/>
                <w:szCs w:val="24"/>
              </w:rPr>
              <w:t>kurenčnost EU na svetovni ravni.</w:t>
            </w:r>
          </w:p>
        </w:tc>
        <w:tc>
          <w:tcPr>
            <w:tcW w:w="3297" w:type="dxa"/>
          </w:tcPr>
          <w:p w:rsidR="00E16CB9" w:rsidRDefault="00334830">
            <w:pPr>
              <w:pStyle w:val="Body"/>
              <w:spacing w:before="40" w:after="40"/>
              <w:jc w:val="left"/>
              <w:rPr>
                <w:rFonts w:ascii="EC Square Sans Cond Pro" w:hAnsi="EC Square Sans Cond Pro" w:cs="Times New Roman"/>
                <w:noProof/>
                <w:sz w:val="22"/>
                <w:szCs w:val="24"/>
              </w:rPr>
            </w:pPr>
            <w:r>
              <w:rPr>
                <w:rFonts w:ascii="EC Square Sans Cond Pro" w:hAnsi="EC Square Sans Cond Pro"/>
                <w:noProof/>
                <w:sz w:val="22"/>
                <w:szCs w:val="24"/>
              </w:rPr>
              <w:t>program Obzorje 2020</w:t>
            </w:r>
          </w:p>
        </w:tc>
      </w:tr>
    </w:tbl>
    <w:p w:rsidR="00E16CB9" w:rsidRDefault="00334830">
      <w:pPr>
        <w:jc w:val="both"/>
        <w:rPr>
          <w:noProof/>
        </w:rPr>
      </w:pPr>
      <w:r>
        <w:rPr>
          <w:noProof/>
        </w:rPr>
        <w:t>*Kazalniki so v pripravi.</w:t>
      </w:r>
    </w:p>
    <w:p w:rsidR="00E16CB9" w:rsidRDefault="00334830">
      <w:pPr>
        <w:pStyle w:val="Figurecaption"/>
        <w:spacing w:before="120" w:after="240"/>
        <w:rPr>
          <w:rFonts w:cs="Times New Roman"/>
          <w:i/>
          <w:noProof/>
          <w:sz w:val="24"/>
          <w:szCs w:val="24"/>
        </w:rPr>
      </w:pPr>
      <w:r>
        <w:rPr>
          <w:i/>
          <w:noProof/>
          <w:sz w:val="24"/>
          <w:szCs w:val="24"/>
        </w:rPr>
        <w:t>Preglednica 1: kazalniki za krožno gospodarstvo, zajeti v okviru za spremljanje</w:t>
      </w:r>
    </w:p>
    <w:p w:rsidR="00E16CB9" w:rsidRDefault="00334830">
      <w:pPr>
        <w:jc w:val="both"/>
        <w:rPr>
          <w:rFonts w:cs="Times New Roman"/>
          <w:noProof/>
          <w:szCs w:val="24"/>
        </w:rPr>
      </w:pPr>
      <w:r>
        <w:rPr>
          <w:noProof/>
        </w:rPr>
        <w:t xml:space="preserve">Ti kazalniki so bili izbrani, da bi zajeli glavne elemente krožnega gospodarstva. Pri njihovi </w:t>
      </w:r>
      <w:r>
        <w:rPr>
          <w:noProof/>
        </w:rPr>
        <w:t>izbiri je bila upoštevana razpoložljivost podatkov, ki izhajajo iz kazalnikov učinkovite rabe virov in kazalnikov za surovine. Kolikor je le mogoče, kazalniki temeljijo na obstoječih podatkih, tako da se omejuje upravno breme. Kazalniki so bili ocenjeni tu</w:t>
      </w:r>
      <w:r>
        <w:rPr>
          <w:noProof/>
        </w:rPr>
        <w:t>di glede na pomembnost, sprejemljivost, verodostojnost, zahtevnost uporabe in zanesljivost.</w:t>
      </w:r>
    </w:p>
    <w:p w:rsidR="00E16CB9" w:rsidRDefault="00334830">
      <w:pPr>
        <w:jc w:val="both"/>
        <w:rPr>
          <w:rFonts w:cs="Times New Roman"/>
          <w:noProof/>
          <w:szCs w:val="24"/>
        </w:rPr>
      </w:pPr>
      <w:r>
        <w:rPr>
          <w:noProof/>
        </w:rPr>
        <w:t>Pri izbiri kazalnikov so bili upoštevani tudi odgovori v javnem posvetovanju o časovnici</w:t>
      </w:r>
      <w:r>
        <w:rPr>
          <w:rStyle w:val="FootnoteReference"/>
          <w:rFonts w:cs="Times New Roman"/>
          <w:noProof/>
          <w:szCs w:val="24"/>
        </w:rPr>
        <w:footnoteReference w:id="11"/>
      </w:r>
      <w:r>
        <w:rPr>
          <w:noProof/>
        </w:rPr>
        <w:t xml:space="preserve"> ter razprave s predstavniki držav članic in strokovnjaki zainteresiranih s</w:t>
      </w:r>
      <w:r>
        <w:rPr>
          <w:noProof/>
        </w:rPr>
        <w:t>trani</w:t>
      </w:r>
      <w:r>
        <w:rPr>
          <w:rStyle w:val="FootnoteReference"/>
          <w:rFonts w:cs="Times New Roman"/>
          <w:noProof/>
          <w:szCs w:val="24"/>
        </w:rPr>
        <w:footnoteReference w:id="12"/>
      </w:r>
      <w:r>
        <w:rPr>
          <w:noProof/>
        </w:rPr>
        <w:t>.</w:t>
      </w:r>
    </w:p>
    <w:p w:rsidR="00E16CB9" w:rsidRDefault="00334830">
      <w:pPr>
        <w:spacing w:after="0"/>
        <w:jc w:val="both"/>
        <w:rPr>
          <w:rFonts w:cs="Times New Roman"/>
          <w:noProof/>
          <w:szCs w:val="24"/>
        </w:rPr>
      </w:pPr>
      <w:r>
        <w:rPr>
          <w:noProof/>
        </w:rPr>
        <w:t xml:space="preserve">Komisija bo izboljševala bazo znanja in </w:t>
      </w:r>
      <w:r>
        <w:rPr>
          <w:b/>
          <w:noProof/>
          <w:szCs w:val="24"/>
        </w:rPr>
        <w:t>razpoložljivost podatkov</w:t>
      </w:r>
      <w:r>
        <w:rPr>
          <w:noProof/>
        </w:rPr>
        <w:t xml:space="preserve"> za merjenje napredka na poti v krožno gospodarstvo:</w:t>
      </w:r>
    </w:p>
    <w:p w:rsidR="00E16CB9" w:rsidRDefault="00334830">
      <w:pPr>
        <w:pStyle w:val="ListParagraph"/>
        <w:numPr>
          <w:ilvl w:val="0"/>
          <w:numId w:val="3"/>
        </w:numPr>
        <w:spacing w:after="0"/>
        <w:ind w:left="426"/>
        <w:jc w:val="both"/>
        <w:rPr>
          <w:rFonts w:cs="Times New Roman"/>
          <w:noProof/>
          <w:szCs w:val="24"/>
        </w:rPr>
      </w:pPr>
      <w:r>
        <w:rPr>
          <w:noProof/>
        </w:rPr>
        <w:t xml:space="preserve">trenutno so </w:t>
      </w:r>
      <w:r>
        <w:rPr>
          <w:b/>
          <w:noProof/>
          <w:szCs w:val="24"/>
        </w:rPr>
        <w:t>v pripravi metodologije</w:t>
      </w:r>
      <w:r>
        <w:rPr>
          <w:noProof/>
        </w:rPr>
        <w:t xml:space="preserve"> in zbirke podatkov, ki jih je mogoče uporabiti za kazalnike zelenih javnih naročil in živilskih odpadkov, cilj pa je, da bi podatke v prihodnjih letih objavili. Eurostat medtem pripravlja začasne ocene količine živilskih odpadkov.</w:t>
      </w:r>
    </w:p>
    <w:p w:rsidR="00E16CB9" w:rsidRDefault="00334830">
      <w:pPr>
        <w:pStyle w:val="ListParagraph"/>
        <w:numPr>
          <w:ilvl w:val="0"/>
          <w:numId w:val="3"/>
        </w:numPr>
        <w:spacing w:after="0"/>
        <w:ind w:left="426"/>
        <w:jc w:val="both"/>
        <w:rPr>
          <w:rFonts w:cs="Times New Roman"/>
          <w:noProof/>
          <w:szCs w:val="24"/>
        </w:rPr>
      </w:pPr>
      <w:r>
        <w:rPr>
          <w:noProof/>
        </w:rPr>
        <w:t>Komisija je v okviru sve</w:t>
      </w:r>
      <w:r>
        <w:rPr>
          <w:noProof/>
        </w:rPr>
        <w:t xml:space="preserve">žnja ukrepov za krožno gospodarstvo iz leta 2015 in svojih širših prizadevanj za boljšo statistiko EU na področju odpadkov predlagala </w:t>
      </w:r>
      <w:r>
        <w:rPr>
          <w:b/>
          <w:noProof/>
          <w:szCs w:val="24"/>
        </w:rPr>
        <w:t>harmonizacijo metodologij za izračun stopnje recikliranja komunalnih odpadkov</w:t>
      </w:r>
      <w:r>
        <w:rPr>
          <w:rStyle w:val="FootnoteReference"/>
          <w:rFonts w:cs="Times New Roman"/>
          <w:noProof/>
          <w:szCs w:val="24"/>
        </w:rPr>
        <w:footnoteReference w:id="13"/>
      </w:r>
      <w:r>
        <w:rPr>
          <w:noProof/>
        </w:rPr>
        <w:t xml:space="preserve"> in odpadne embalaže</w:t>
      </w:r>
      <w:r>
        <w:rPr>
          <w:rStyle w:val="FootnoteReference"/>
          <w:rFonts w:cs="Times New Roman"/>
          <w:noProof/>
          <w:szCs w:val="24"/>
        </w:rPr>
        <w:footnoteReference w:id="14"/>
      </w:r>
      <w:r>
        <w:rPr>
          <w:noProof/>
        </w:rPr>
        <w:t xml:space="preserve">. Ko bosta te predloge </w:t>
      </w:r>
      <w:r>
        <w:rPr>
          <w:noProof/>
        </w:rPr>
        <w:t>sprejela Svet in Evropski parlament, države članice pa izvedle, bodo omogočili pripravo zanesljivejših in bolj primerljivih statistik.</w:t>
      </w:r>
    </w:p>
    <w:p w:rsidR="00E16CB9" w:rsidRDefault="00334830">
      <w:pPr>
        <w:pStyle w:val="ListParagraph"/>
        <w:numPr>
          <w:ilvl w:val="0"/>
          <w:numId w:val="3"/>
        </w:numPr>
        <w:ind w:left="426"/>
        <w:jc w:val="both"/>
        <w:rPr>
          <w:rFonts w:cs="Times New Roman"/>
          <w:noProof/>
          <w:szCs w:val="24"/>
        </w:rPr>
      </w:pPr>
      <w:r>
        <w:rPr>
          <w:noProof/>
        </w:rPr>
        <w:t xml:space="preserve">Komisija prek programa Obzorje 2020 financira več </w:t>
      </w:r>
      <w:r>
        <w:rPr>
          <w:b/>
          <w:noProof/>
          <w:szCs w:val="24"/>
        </w:rPr>
        <w:t>raziskovalnih projektov</w:t>
      </w:r>
      <w:r>
        <w:rPr>
          <w:noProof/>
        </w:rPr>
        <w:t xml:space="preserve"> za boljše podatke, s katerimi bo mogoče dopolni</w:t>
      </w:r>
      <w:r>
        <w:rPr>
          <w:noProof/>
        </w:rPr>
        <w:t>ti uradne statistike, zlasti prek informacijskega sistema EU za surovine</w:t>
      </w:r>
      <w:r>
        <w:rPr>
          <w:rStyle w:val="FootnoteReference"/>
          <w:rFonts w:cs="Times New Roman"/>
          <w:noProof/>
          <w:szCs w:val="24"/>
        </w:rPr>
        <w:footnoteReference w:id="15"/>
      </w:r>
      <w:r>
        <w:rPr>
          <w:noProof/>
        </w:rPr>
        <w:t xml:space="preserve">. </w:t>
      </w:r>
    </w:p>
    <w:p w:rsidR="00E16CB9" w:rsidRDefault="00334830">
      <w:pPr>
        <w:pStyle w:val="Heading1"/>
        <w:keepNext/>
        <w:rPr>
          <w:rFonts w:cs="Times New Roman"/>
          <w:noProof/>
          <w:szCs w:val="24"/>
        </w:rPr>
      </w:pPr>
      <w:r>
        <w:rPr>
          <w:noProof/>
        </w:rPr>
        <w:t>Prve ugotovitve</w:t>
      </w:r>
    </w:p>
    <w:p w:rsidR="00E16CB9" w:rsidRDefault="00334830">
      <w:pPr>
        <w:jc w:val="both"/>
        <w:rPr>
          <w:rFonts w:cs="Times New Roman"/>
          <w:noProof/>
          <w:szCs w:val="24"/>
        </w:rPr>
      </w:pPr>
      <w:r>
        <w:rPr>
          <w:noProof/>
        </w:rPr>
        <w:t>Z desetimi kazalniki okvira za spremljanje si je mogoče ustvariti okvirno sliko ključnih vzvodov, s katerimi bi lahko gospodarstvo EU naredili bolj krožno. Rezultat</w:t>
      </w:r>
      <w:r>
        <w:rPr>
          <w:noProof/>
        </w:rPr>
        <w:t xml:space="preserve">i ukrepov za krožno gospodarstvo se v statistiki sicer še ne bodo videli tako kmalu, vendar je pomembno </w:t>
      </w:r>
      <w:r>
        <w:rPr>
          <w:b/>
          <w:noProof/>
          <w:szCs w:val="24"/>
        </w:rPr>
        <w:t>določiti izhodiščne vrednosti</w:t>
      </w:r>
      <w:r>
        <w:rPr>
          <w:noProof/>
        </w:rPr>
        <w:t>. Z njihovo pomočjo bo mogoče spremljati prihodnje spremembe in formirati postopke oblikovanja politik.</w:t>
      </w:r>
    </w:p>
    <w:p w:rsidR="00E16CB9" w:rsidRDefault="00334830">
      <w:pPr>
        <w:jc w:val="both"/>
        <w:rPr>
          <w:rFonts w:cs="Times New Roman"/>
          <w:noProof/>
          <w:szCs w:val="24"/>
        </w:rPr>
      </w:pPr>
      <w:r>
        <w:rPr>
          <w:noProof/>
        </w:rPr>
        <w:t>Nujno je treba izbo</w:t>
      </w:r>
      <w:r>
        <w:rPr>
          <w:noProof/>
        </w:rPr>
        <w:t>ljšati učinkovitost EU in držav članic, za to pa obstaja tudi precej možnosti. EU ima na nekaterih področjih (kot je trgovanje s surovinami, ki jih je mogoče reciklirati) večjo vlogo kot na drugih (npr. zelena javna naročila).</w:t>
      </w:r>
    </w:p>
    <w:p w:rsidR="00E16CB9" w:rsidRDefault="00334830">
      <w:pPr>
        <w:spacing w:after="120"/>
        <w:jc w:val="both"/>
        <w:rPr>
          <w:rFonts w:cs="Times New Roman"/>
          <w:b/>
          <w:i/>
          <w:noProof/>
          <w:szCs w:val="24"/>
        </w:rPr>
      </w:pPr>
      <w:r>
        <w:rPr>
          <w:b/>
          <w:i/>
          <w:noProof/>
          <w:szCs w:val="24"/>
        </w:rPr>
        <w:t>Proizvodnja in poraba</w:t>
      </w:r>
    </w:p>
    <w:tbl>
      <w:tblPr>
        <w:tblStyle w:val="TableGrid"/>
        <w:tblW w:w="0" w:type="auto"/>
        <w:tblInd w:w="108" w:type="dxa"/>
        <w:shd w:val="clear" w:color="auto" w:fill="F2F2F2" w:themeFill="background1" w:themeFillShade="F2"/>
        <w:tblLook w:val="04A0" w:firstRow="1" w:lastRow="0" w:firstColumn="1" w:lastColumn="0" w:noHBand="0" w:noVBand="1"/>
      </w:tblPr>
      <w:tblGrid>
        <w:gridCol w:w="9072"/>
      </w:tblGrid>
      <w:tr w:rsidR="00E16CB9">
        <w:tc>
          <w:tcPr>
            <w:tcW w:w="9072" w:type="dxa"/>
            <w:shd w:val="clear" w:color="auto" w:fill="F2F2F2" w:themeFill="background1" w:themeFillShade="F2"/>
          </w:tcPr>
          <w:p w:rsidR="00E16CB9" w:rsidRDefault="00334830">
            <w:pPr>
              <w:spacing w:before="120" w:after="120"/>
              <w:jc w:val="both"/>
              <w:rPr>
                <w:rFonts w:ascii="Times New Roman" w:hAnsi="Times New Roman" w:cs="Times New Roman"/>
                <w:noProof/>
                <w:sz w:val="24"/>
              </w:rPr>
            </w:pPr>
            <w:r>
              <w:rPr>
                <w:rFonts w:ascii="Times New Roman" w:hAnsi="Times New Roman"/>
                <w:noProof/>
                <w:sz w:val="24"/>
              </w:rPr>
              <w:t>Nekaj n</w:t>
            </w:r>
            <w:r>
              <w:rPr>
                <w:rFonts w:ascii="Times New Roman" w:hAnsi="Times New Roman"/>
                <w:noProof/>
                <w:sz w:val="24"/>
              </w:rPr>
              <w:t>apredka v smeri bolj krožne proizvodnje in porabe je mogoče opaziti, npr. v smislu nastajanja odpadkov. Kljub temu pa je še vedno precej možnosti za zmanjšanje razkoraka v učinkovitosti med državami članicami in med različnimi materiali.</w:t>
            </w:r>
          </w:p>
        </w:tc>
      </w:tr>
    </w:tbl>
    <w:p w:rsidR="00E16CB9" w:rsidRDefault="00E16CB9">
      <w:pPr>
        <w:spacing w:after="0"/>
        <w:jc w:val="both"/>
        <w:rPr>
          <w:rFonts w:cs="Times New Roman"/>
          <w:noProof/>
          <w:szCs w:val="24"/>
        </w:rPr>
      </w:pPr>
    </w:p>
    <w:p w:rsidR="00E16CB9" w:rsidRDefault="00334830">
      <w:pPr>
        <w:spacing w:after="0"/>
        <w:jc w:val="both"/>
        <w:rPr>
          <w:rFonts w:cs="Times New Roman"/>
          <w:noProof/>
          <w:szCs w:val="24"/>
        </w:rPr>
      </w:pPr>
      <w:r>
        <w:rPr>
          <w:noProof/>
        </w:rPr>
        <w:t xml:space="preserve">Kazalnik </w:t>
      </w:r>
      <w:r>
        <w:rPr>
          <w:b/>
          <w:noProof/>
          <w:szCs w:val="24"/>
        </w:rPr>
        <w:t>samozad</w:t>
      </w:r>
      <w:r>
        <w:rPr>
          <w:b/>
          <w:noProof/>
          <w:szCs w:val="24"/>
        </w:rPr>
        <w:t>ostnosti</w:t>
      </w:r>
      <w:r>
        <w:rPr>
          <w:noProof/>
        </w:rPr>
        <w:t xml:space="preserve"> pri oskrbi s surovinami kaže, da je EU </w:t>
      </w:r>
      <w:r>
        <w:rPr>
          <w:b/>
          <w:noProof/>
          <w:szCs w:val="24"/>
        </w:rPr>
        <w:t>pretežno samozadostna</w:t>
      </w:r>
      <w:r>
        <w:rPr>
          <w:noProof/>
        </w:rPr>
        <w:t xml:space="preserve"> pri večini nekovinskih rudnin, kot so gradbeni material in industrijski minerali. Toda ta kazalnik potrjuje tudi, da je EU pri </w:t>
      </w:r>
      <w:r>
        <w:rPr>
          <w:b/>
          <w:noProof/>
          <w:szCs w:val="24"/>
        </w:rPr>
        <w:t>kritičnih surovinah</w:t>
      </w:r>
      <w:r>
        <w:rPr>
          <w:rStyle w:val="FootnoteReference"/>
          <w:rFonts w:cs="Times New Roman"/>
          <w:noProof/>
          <w:szCs w:val="24"/>
        </w:rPr>
        <w:footnoteReference w:id="16"/>
      </w:r>
      <w:r>
        <w:rPr>
          <w:noProof/>
        </w:rPr>
        <w:t xml:space="preserve"> še vedno v veliki meri odvisna od uvoz</w:t>
      </w:r>
      <w:r>
        <w:rPr>
          <w:noProof/>
        </w:rPr>
        <w:t>a, kar še toliko bolj kaže, kako potreben je zanesljiv dostop do surovin in zagotovitev oskrbe iz različnih virov. Veliko teh materialov EU potrebuje, da bi dosegla cilj trajnostnega, nizkoogljičnega in konkurenčnega gospodarstva, za katerega je značilna u</w:t>
      </w:r>
      <w:r>
        <w:rPr>
          <w:noProof/>
        </w:rPr>
        <w:t>činkovita raba virov</w:t>
      </w:r>
      <w:r>
        <w:rPr>
          <w:rStyle w:val="FootnoteReference"/>
          <w:rFonts w:cs="Times New Roman"/>
          <w:noProof/>
          <w:szCs w:val="24"/>
        </w:rPr>
        <w:footnoteReference w:id="17"/>
      </w:r>
      <w:r>
        <w:rPr>
          <w:noProof/>
        </w:rPr>
        <w:t xml:space="preserve">. </w:t>
      </w:r>
    </w:p>
    <w:p w:rsidR="00E16CB9" w:rsidRDefault="00E16CB9">
      <w:pPr>
        <w:spacing w:after="0"/>
        <w:jc w:val="both"/>
        <w:rPr>
          <w:rFonts w:cs="Times New Roman"/>
          <w:noProof/>
          <w:szCs w:val="24"/>
        </w:rPr>
      </w:pPr>
    </w:p>
    <w:p w:rsidR="00E16CB9" w:rsidRDefault="00334830">
      <w:pPr>
        <w:spacing w:after="0"/>
        <w:jc w:val="both"/>
        <w:rPr>
          <w:rFonts w:cs="Times New Roman"/>
          <w:noProof/>
          <w:szCs w:val="24"/>
        </w:rPr>
      </w:pPr>
      <w:r>
        <w:rPr>
          <w:noProof/>
        </w:rPr>
        <w:t xml:space="preserve">Javna naročila pomenijo velik delež BDP, zato lahko </w:t>
      </w:r>
      <w:r>
        <w:rPr>
          <w:b/>
          <w:noProof/>
          <w:szCs w:val="24"/>
        </w:rPr>
        <w:t>zelena javna naročila</w:t>
      </w:r>
      <w:r>
        <w:rPr>
          <w:noProof/>
        </w:rPr>
        <w:t xml:space="preserve"> – tj. kadar javni organi svojo kupno moč izkoristijo tako, da se odločijo za okolju prijazno blago, storitve in dela – pospešijo krožno gospodarstvo in inova</w:t>
      </w:r>
      <w:r>
        <w:rPr>
          <w:noProof/>
        </w:rPr>
        <w:t>cije</w:t>
      </w:r>
      <w:r>
        <w:rPr>
          <w:rStyle w:val="FootnoteReference"/>
          <w:rFonts w:cs="Times New Roman"/>
          <w:noProof/>
          <w:szCs w:val="24"/>
        </w:rPr>
        <w:footnoteReference w:id="18"/>
      </w:r>
      <w:r>
        <w:rPr>
          <w:noProof/>
        </w:rPr>
        <w:t xml:space="preserve">. Podatki za ta kazalnik so še v pripravi. </w:t>
      </w:r>
    </w:p>
    <w:p w:rsidR="00E16CB9" w:rsidRDefault="00E16CB9">
      <w:pPr>
        <w:spacing w:after="0"/>
        <w:jc w:val="both"/>
        <w:rPr>
          <w:rFonts w:cs="Times New Roman"/>
          <w:noProof/>
          <w:szCs w:val="24"/>
        </w:rPr>
      </w:pPr>
    </w:p>
    <w:p w:rsidR="00E16CB9" w:rsidRDefault="00334830">
      <w:pPr>
        <w:spacing w:after="0"/>
        <w:jc w:val="both"/>
        <w:rPr>
          <w:rFonts w:cs="Times New Roman"/>
          <w:noProof/>
          <w:szCs w:val="24"/>
        </w:rPr>
      </w:pPr>
      <w:r>
        <w:rPr>
          <w:noProof/>
        </w:rPr>
        <w:t xml:space="preserve">Količina </w:t>
      </w:r>
      <w:r>
        <w:rPr>
          <w:b/>
          <w:noProof/>
          <w:szCs w:val="24"/>
        </w:rPr>
        <w:t>komunalnih odpadkov</w:t>
      </w:r>
      <w:r>
        <w:rPr>
          <w:rStyle w:val="FootnoteReference"/>
          <w:rFonts w:cs="Times New Roman"/>
          <w:b/>
          <w:noProof/>
          <w:szCs w:val="24"/>
        </w:rPr>
        <w:footnoteReference w:id="19"/>
      </w:r>
      <w:r>
        <w:rPr>
          <w:noProof/>
        </w:rPr>
        <w:t xml:space="preserve"> na prebivalca EU se je v obdobju 2006–2016 </w:t>
      </w:r>
      <w:r>
        <w:rPr>
          <w:b/>
          <w:noProof/>
          <w:szCs w:val="24"/>
        </w:rPr>
        <w:t>zmanjšala</w:t>
      </w:r>
      <w:r>
        <w:rPr>
          <w:noProof/>
        </w:rPr>
        <w:t xml:space="preserve"> za 8 % na povprečno količino 480 kg na prebivalca na leto. To je jasen primer področja, na katerem lahko vsak državljan pozitivno prispeva. Toda opaziti je mogoče velike razlike med državami članicami (od 250 do 750 kg na prebivalca na leto)</w:t>
      </w:r>
      <w:r>
        <w:rPr>
          <w:rStyle w:val="FootnoteReference"/>
          <w:rFonts w:cs="Times New Roman"/>
          <w:noProof/>
          <w:szCs w:val="24"/>
        </w:rPr>
        <w:footnoteReference w:id="20"/>
      </w:r>
      <w:r>
        <w:rPr>
          <w:noProof/>
        </w:rPr>
        <w:t>, v več držav</w:t>
      </w:r>
      <w:r>
        <w:rPr>
          <w:noProof/>
        </w:rPr>
        <w:t xml:space="preserve">ah članicah pa količina komunalnih odpadkov še narašča. Količina nastalih odpadkov je do določene mere še vedno sorazmerna z BDP na prebivalca. Pozitivno je torej, da je v </w:t>
      </w:r>
      <w:r>
        <w:rPr>
          <w:b/>
          <w:noProof/>
          <w:szCs w:val="24"/>
        </w:rPr>
        <w:t>skupnih podatkih o nastajanju odpadkov</w:t>
      </w:r>
      <w:r>
        <w:rPr>
          <w:noProof/>
        </w:rPr>
        <w:t xml:space="preserve"> (tudi industrijskih in komercialnih odpadkov,</w:t>
      </w:r>
      <w:r>
        <w:rPr>
          <w:noProof/>
        </w:rPr>
        <w:t xml:space="preserve"> toda brez večjih mineralnih odpadkov) na enoto BDP opaziti </w:t>
      </w:r>
      <w:r>
        <w:rPr>
          <w:b/>
          <w:noProof/>
          <w:szCs w:val="24"/>
        </w:rPr>
        <w:t>zmanjšanje</w:t>
      </w:r>
      <w:r>
        <w:rPr>
          <w:noProof/>
        </w:rPr>
        <w:t xml:space="preserve"> za 11 % v obdobju od leta 2006. </w:t>
      </w:r>
    </w:p>
    <w:p w:rsidR="00E16CB9" w:rsidRDefault="00E16CB9">
      <w:pPr>
        <w:spacing w:after="0"/>
        <w:jc w:val="both"/>
        <w:rPr>
          <w:rFonts w:cs="Times New Roman"/>
          <w:noProof/>
          <w:szCs w:val="24"/>
        </w:rPr>
      </w:pPr>
    </w:p>
    <w:p w:rsidR="00E16CB9" w:rsidRDefault="00334830">
      <w:pPr>
        <w:spacing w:after="0"/>
        <w:jc w:val="both"/>
        <w:rPr>
          <w:rFonts w:cs="Times New Roman"/>
          <w:noProof/>
          <w:color w:val="000000"/>
          <w:position w:val="-2"/>
          <w:szCs w:val="24"/>
        </w:rPr>
      </w:pPr>
      <w:r>
        <w:rPr>
          <w:noProof/>
        </w:rPr>
        <w:t xml:space="preserve">Z zmanjšanjem količine </w:t>
      </w:r>
      <w:r>
        <w:rPr>
          <w:b/>
          <w:noProof/>
          <w:szCs w:val="24"/>
        </w:rPr>
        <w:t>živilskih odpadkov</w:t>
      </w:r>
      <w:r>
        <w:rPr>
          <w:rStyle w:val="FootnoteReference"/>
          <w:rFonts w:cs="Times New Roman"/>
          <w:noProof/>
          <w:szCs w:val="24"/>
        </w:rPr>
        <w:footnoteReference w:id="21"/>
      </w:r>
      <w:r>
        <w:rPr>
          <w:noProof/>
        </w:rPr>
        <w:t xml:space="preserve"> bi lahko ogromno prispevali k ohranjanju virov, ki jih uporabljamo za proizvodnjo svoje prehrane. Živilski odpadki se pojavljajo vzdolž celotne vrednostne verige: med proizvodnjo in distribucijo, v trgovinah, restavracijah, v obratih za pripravo in dostav</w:t>
      </w:r>
      <w:r>
        <w:rPr>
          <w:noProof/>
        </w:rPr>
        <w:t xml:space="preserve">o hrane ter doma. Zato je pri njih še posebej težko ugotoviti količino. Po predhodnih ocenah Eurostata se je količina živilskih odpadkov v EU v obdobju 2012–2014 </w:t>
      </w:r>
      <w:r>
        <w:rPr>
          <w:b/>
          <w:noProof/>
        </w:rPr>
        <w:t>zmanjšala</w:t>
      </w:r>
      <w:r>
        <w:rPr>
          <w:noProof/>
        </w:rPr>
        <w:t xml:space="preserve"> z 81 na 76 milijonov ton (tj. za okrog 7 %), kar ustreza zmanjšanju s 161 na 149 kg </w:t>
      </w:r>
      <w:r>
        <w:rPr>
          <w:noProof/>
        </w:rPr>
        <w:t>na prebivalca.</w:t>
      </w:r>
    </w:p>
    <w:p w:rsidR="00E16CB9" w:rsidRDefault="00E16CB9">
      <w:pPr>
        <w:spacing w:after="0"/>
        <w:jc w:val="both"/>
        <w:rPr>
          <w:rFonts w:cs="Times New Roman"/>
          <w:noProof/>
          <w:szCs w:val="24"/>
        </w:rPr>
      </w:pPr>
    </w:p>
    <w:p w:rsidR="00E16CB9" w:rsidRDefault="00334830">
      <w:pPr>
        <w:spacing w:after="120"/>
        <w:jc w:val="both"/>
        <w:rPr>
          <w:rFonts w:cs="Times New Roman"/>
          <w:b/>
          <w:i/>
          <w:noProof/>
          <w:szCs w:val="24"/>
        </w:rPr>
      </w:pPr>
      <w:r>
        <w:rPr>
          <w:b/>
          <w:i/>
          <w:noProof/>
          <w:szCs w:val="24"/>
        </w:rPr>
        <w:t>Ravnanje z odpadki</w:t>
      </w:r>
    </w:p>
    <w:tbl>
      <w:tblPr>
        <w:tblStyle w:val="TableGrid"/>
        <w:tblW w:w="0" w:type="auto"/>
        <w:tblInd w:w="108" w:type="dxa"/>
        <w:shd w:val="clear" w:color="auto" w:fill="F2F2F2" w:themeFill="background1" w:themeFillShade="F2"/>
        <w:tblLook w:val="04A0" w:firstRow="1" w:lastRow="0" w:firstColumn="1" w:lastColumn="0" w:noHBand="0" w:noVBand="1"/>
      </w:tblPr>
      <w:tblGrid>
        <w:gridCol w:w="9072"/>
      </w:tblGrid>
      <w:tr w:rsidR="00E16CB9">
        <w:tc>
          <w:tcPr>
            <w:tcW w:w="9072" w:type="dxa"/>
            <w:shd w:val="clear" w:color="auto" w:fill="F2F2F2" w:themeFill="background1" w:themeFillShade="F2"/>
          </w:tcPr>
          <w:p w:rsidR="00E16CB9" w:rsidRDefault="00334830">
            <w:pPr>
              <w:spacing w:before="120" w:after="120"/>
              <w:jc w:val="both"/>
              <w:rPr>
                <w:rFonts w:ascii="Times New Roman" w:hAnsi="Times New Roman" w:cs="Times New Roman"/>
                <w:noProof/>
                <w:sz w:val="24"/>
              </w:rPr>
            </w:pPr>
            <w:r>
              <w:rPr>
                <w:rFonts w:ascii="Times New Roman" w:hAnsi="Times New Roman"/>
                <w:noProof/>
                <w:sz w:val="24"/>
              </w:rPr>
              <w:t xml:space="preserve">Pri ravnanju z odpadki je na splošno sicer mogoče opaziti pozitivne spremembe, vendar je še precej možnosti za izboljšanje, obstajajo pa tudi razlike med državami članicami in med tokovi odpadkov. </w:t>
            </w:r>
          </w:p>
        </w:tc>
      </w:tr>
    </w:tbl>
    <w:p w:rsidR="00E16CB9" w:rsidRDefault="00E16CB9">
      <w:pPr>
        <w:spacing w:after="0"/>
        <w:jc w:val="both"/>
        <w:rPr>
          <w:rFonts w:cs="Times New Roman"/>
          <w:noProof/>
          <w:color w:val="000000"/>
          <w:position w:val="-2"/>
          <w:szCs w:val="24"/>
        </w:rPr>
      </w:pPr>
    </w:p>
    <w:p w:rsidR="00E16CB9" w:rsidRDefault="00334830">
      <w:pPr>
        <w:jc w:val="both"/>
        <w:rPr>
          <w:rFonts w:cs="Times New Roman"/>
          <w:noProof/>
          <w:color w:val="000000"/>
          <w:position w:val="-2"/>
          <w:szCs w:val="24"/>
        </w:rPr>
      </w:pPr>
      <w:r>
        <w:rPr>
          <w:noProof/>
          <w:color w:val="000000"/>
          <w:szCs w:val="24"/>
        </w:rPr>
        <w:t>V obdobju 2008–2016 s</w:t>
      </w:r>
      <w:r>
        <w:rPr>
          <w:noProof/>
          <w:color w:val="000000"/>
          <w:szCs w:val="24"/>
        </w:rPr>
        <w:t xml:space="preserve">e je </w:t>
      </w:r>
      <w:r>
        <w:rPr>
          <w:b/>
          <w:noProof/>
          <w:color w:val="000000"/>
          <w:szCs w:val="24"/>
        </w:rPr>
        <w:t>delež recikliranja komunalnih odpadkov</w:t>
      </w:r>
      <w:r>
        <w:rPr>
          <w:noProof/>
          <w:color w:val="000000"/>
          <w:szCs w:val="24"/>
        </w:rPr>
        <w:t xml:space="preserve"> v EU zvišal s 37 % na 46 %. </w:t>
      </w:r>
      <w:r>
        <w:rPr>
          <w:noProof/>
          <w:color w:val="000000"/>
        </w:rPr>
        <w:t xml:space="preserve">Pet držav članic reciklira več kot polovico svojih komunalnih odpadkov, nekatere države pa se približujejo ciljni vrednosti 65 %, ki jo je za leto 2030 </w:t>
      </w:r>
      <w:r>
        <w:rPr>
          <w:noProof/>
          <w:color w:val="000000"/>
          <w:szCs w:val="24"/>
        </w:rPr>
        <w:t>predlagala Komisija</w:t>
      </w:r>
      <w:r>
        <w:rPr>
          <w:rStyle w:val="FootnoteReference"/>
          <w:rFonts w:cs="Times New Roman"/>
          <w:noProof/>
          <w:szCs w:val="24"/>
        </w:rPr>
        <w:footnoteReference w:id="22"/>
      </w:r>
      <w:r>
        <w:rPr>
          <w:noProof/>
        </w:rPr>
        <w:t>.</w:t>
      </w:r>
      <w:r>
        <w:rPr>
          <w:noProof/>
          <w:color w:val="000000"/>
          <w:szCs w:val="24"/>
        </w:rPr>
        <w:t xml:space="preserve"> Toda pet d</w:t>
      </w:r>
      <w:r>
        <w:rPr>
          <w:noProof/>
          <w:color w:val="000000"/>
          <w:szCs w:val="24"/>
        </w:rPr>
        <w:t>ržav članic še vedno ni doseglo deleža 25 %</w:t>
      </w:r>
      <w:r>
        <w:rPr>
          <w:rStyle w:val="FootnoteReference"/>
          <w:rFonts w:cs="Times New Roman"/>
          <w:noProof/>
          <w:color w:val="000000"/>
          <w:position w:val="-2"/>
          <w:szCs w:val="24"/>
        </w:rPr>
        <w:footnoteReference w:id="23"/>
      </w:r>
      <w:r>
        <w:rPr>
          <w:noProof/>
        </w:rPr>
        <w:t>.</w:t>
      </w:r>
      <w:r>
        <w:rPr>
          <w:noProof/>
          <w:color w:val="000000"/>
          <w:szCs w:val="24"/>
        </w:rPr>
        <w:t xml:space="preserve"> </w:t>
      </w:r>
    </w:p>
    <w:p w:rsidR="00E16CB9" w:rsidRDefault="00334830">
      <w:pPr>
        <w:jc w:val="both"/>
        <w:rPr>
          <w:rFonts w:cs="Times New Roman"/>
          <w:noProof/>
          <w:szCs w:val="24"/>
          <w:highlight w:val="yellow"/>
        </w:rPr>
      </w:pPr>
      <w:r>
        <w:rPr>
          <w:rFonts w:cs="Times New Roman"/>
          <w:noProof/>
          <w:szCs w:val="24"/>
          <w:lang w:val="en-GB" w:eastAsia="en-GB"/>
        </w:rPr>
        <w:drawing>
          <wp:inline distT="0" distB="0" distL="0" distR="0">
            <wp:extent cx="5760720" cy="29552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jpg"/>
                    <pic:cNvPicPr/>
                  </pic:nvPicPr>
                  <pic:blipFill>
                    <a:blip r:embed="rId18">
                      <a:extLst>
                        <a:ext uri="{28A0092B-C50C-407E-A947-70E740481C1C}">
                          <a14:useLocalDpi xmlns:a14="http://schemas.microsoft.com/office/drawing/2010/main" val="0"/>
                        </a:ext>
                      </a:extLst>
                    </a:blip>
                    <a:stretch>
                      <a:fillRect/>
                    </a:stretch>
                  </pic:blipFill>
                  <pic:spPr>
                    <a:xfrm>
                      <a:off x="0" y="0"/>
                      <a:ext cx="5760720" cy="2955290"/>
                    </a:xfrm>
                    <a:prstGeom prst="rect">
                      <a:avLst/>
                    </a:prstGeom>
                  </pic:spPr>
                </pic:pic>
              </a:graphicData>
            </a:graphic>
          </wp:inline>
        </w:drawing>
      </w:r>
    </w:p>
    <w:p w:rsidR="00E16CB9" w:rsidRDefault="00334830">
      <w:pPr>
        <w:jc w:val="both"/>
        <w:rPr>
          <w:rFonts w:eastAsia="Cambria" w:cs="Times New Roman"/>
          <w:noProof/>
          <w:color w:val="000000"/>
          <w:position w:val="-2"/>
          <w:sz w:val="22"/>
        </w:rPr>
      </w:pPr>
      <w:r>
        <w:rPr>
          <w:noProof/>
          <w:color w:val="000000"/>
          <w:sz w:val="22"/>
        </w:rPr>
        <w:t>Vir: Eurostat.</w:t>
      </w:r>
    </w:p>
    <w:p w:rsidR="00E16CB9" w:rsidRDefault="00334830">
      <w:pPr>
        <w:jc w:val="both"/>
        <w:rPr>
          <w:rFonts w:cs="Times New Roman"/>
          <w:noProof/>
          <w:color w:val="000000"/>
          <w:position w:val="-2"/>
          <w:szCs w:val="24"/>
        </w:rPr>
      </w:pPr>
      <w:r>
        <w:rPr>
          <w:noProof/>
          <w:color w:val="000000"/>
          <w:szCs w:val="24"/>
        </w:rPr>
        <w:t>V obdobju 2008–2015</w:t>
      </w:r>
      <w:r>
        <w:rPr>
          <w:noProof/>
          <w:color w:val="000000"/>
        </w:rPr>
        <w:t xml:space="preserve"> se je </w:t>
      </w:r>
      <w:r>
        <w:rPr>
          <w:b/>
          <w:noProof/>
          <w:color w:val="000000"/>
          <w:szCs w:val="24"/>
        </w:rPr>
        <w:t>delež recikliranja komunalnih odpadkov</w:t>
      </w:r>
      <w:r>
        <w:rPr>
          <w:noProof/>
          <w:color w:val="000000"/>
        </w:rPr>
        <w:t xml:space="preserve"> v EU povečal z 62 % na 66 %. Povečal se je v skoraj vseh državah članicah, leta 2015 pa so </w:t>
      </w:r>
      <w:r>
        <w:rPr>
          <w:b/>
          <w:noProof/>
          <w:color w:val="000000"/>
        </w:rPr>
        <w:t xml:space="preserve">skoraj vse države članice </w:t>
      </w:r>
      <w:r>
        <w:rPr>
          <w:b/>
          <w:noProof/>
          <w:color w:val="000000"/>
          <w:szCs w:val="24"/>
        </w:rPr>
        <w:t xml:space="preserve">dosegle </w:t>
      </w:r>
      <w:r>
        <w:rPr>
          <w:b/>
          <w:noProof/>
          <w:color w:val="000000"/>
          <w:szCs w:val="24"/>
        </w:rPr>
        <w:t>ciljno vrednost 55 %</w:t>
      </w:r>
      <w:r>
        <w:rPr>
          <w:noProof/>
          <w:color w:val="000000"/>
        </w:rPr>
        <w:t>, določeno leta 2008 (Komisija je za leto 2025 predlagala ciljno vrednost 65 %, za leto 2030 pa 75 %</w:t>
      </w:r>
      <w:r>
        <w:rPr>
          <w:rStyle w:val="FootnoteReference"/>
          <w:rFonts w:cs="Times New Roman"/>
          <w:noProof/>
          <w:szCs w:val="24"/>
        </w:rPr>
        <w:footnoteReference w:id="24"/>
      </w:r>
      <w:r>
        <w:rPr>
          <w:noProof/>
          <w:color w:val="000000"/>
        </w:rPr>
        <w:t>)</w:t>
      </w:r>
      <w:r>
        <w:rPr>
          <w:noProof/>
          <w:color w:val="000000"/>
          <w:szCs w:val="24"/>
        </w:rPr>
        <w:t xml:space="preserve">. Pri </w:t>
      </w:r>
      <w:r>
        <w:rPr>
          <w:b/>
          <w:noProof/>
          <w:color w:val="000000"/>
          <w:szCs w:val="24"/>
        </w:rPr>
        <w:t>plastični embalaži</w:t>
      </w:r>
      <w:r>
        <w:rPr>
          <w:noProof/>
          <w:color w:val="000000"/>
          <w:szCs w:val="24"/>
        </w:rPr>
        <w:t xml:space="preserve"> je povprečni delež recikliranja v EU precej nižji, in sicer </w:t>
      </w:r>
      <w:r>
        <w:rPr>
          <w:b/>
          <w:noProof/>
          <w:color w:val="000000"/>
          <w:szCs w:val="24"/>
        </w:rPr>
        <w:t>40 %</w:t>
      </w:r>
      <w:r>
        <w:rPr>
          <w:noProof/>
          <w:color w:val="000000"/>
          <w:szCs w:val="24"/>
        </w:rPr>
        <w:t>, čeprav se je stanje v zadnjih letih izboljš</w:t>
      </w:r>
      <w:r>
        <w:rPr>
          <w:noProof/>
          <w:color w:val="000000"/>
          <w:szCs w:val="24"/>
        </w:rPr>
        <w:t xml:space="preserve">alo. </w:t>
      </w:r>
    </w:p>
    <w:p w:rsidR="00E16CB9" w:rsidRDefault="00334830">
      <w:pPr>
        <w:jc w:val="both"/>
        <w:rPr>
          <w:rFonts w:eastAsia="Cambria" w:cs="Times New Roman"/>
          <w:noProof/>
          <w:color w:val="000000"/>
          <w:position w:val="-2"/>
          <w:szCs w:val="24"/>
        </w:rPr>
      </w:pPr>
      <w:r>
        <w:rPr>
          <w:b/>
          <w:noProof/>
          <w:szCs w:val="24"/>
        </w:rPr>
        <w:t>Recikliranje</w:t>
      </w:r>
      <w:r>
        <w:rPr>
          <w:noProof/>
        </w:rPr>
        <w:t xml:space="preserve"> komunalnih </w:t>
      </w:r>
      <w:r>
        <w:rPr>
          <w:b/>
          <w:noProof/>
          <w:szCs w:val="24"/>
        </w:rPr>
        <w:t>bioloških odpadkov</w:t>
      </w:r>
      <w:r>
        <w:rPr>
          <w:noProof/>
        </w:rPr>
        <w:t xml:space="preserve"> </w:t>
      </w:r>
      <w:r>
        <w:rPr>
          <w:noProof/>
          <w:color w:val="000000"/>
          <w:szCs w:val="24"/>
        </w:rPr>
        <w:t>v EU</w:t>
      </w:r>
      <w:r>
        <w:rPr>
          <w:noProof/>
        </w:rPr>
        <w:t xml:space="preserve"> je leta 2016 znašalo 79 kg na prebivalca, kar je 23 % </w:t>
      </w:r>
      <w:r>
        <w:rPr>
          <w:b/>
          <w:noProof/>
          <w:szCs w:val="24"/>
        </w:rPr>
        <w:t>več</w:t>
      </w:r>
      <w:r>
        <w:rPr>
          <w:noProof/>
        </w:rPr>
        <w:t xml:space="preserve"> kot v letu 2007.</w:t>
      </w:r>
    </w:p>
    <w:p w:rsidR="00E16CB9" w:rsidRDefault="00334830">
      <w:pPr>
        <w:jc w:val="both"/>
        <w:rPr>
          <w:rFonts w:cs="Times New Roman"/>
          <w:noProof/>
          <w:color w:val="000000"/>
          <w:position w:val="-2"/>
          <w:szCs w:val="24"/>
        </w:rPr>
      </w:pPr>
      <w:r>
        <w:rPr>
          <w:noProof/>
          <w:color w:val="000000"/>
          <w:szCs w:val="24"/>
        </w:rPr>
        <w:t xml:space="preserve">Pri recikliranju </w:t>
      </w:r>
      <w:r>
        <w:rPr>
          <w:b/>
          <w:noProof/>
          <w:color w:val="000000"/>
          <w:szCs w:val="24"/>
        </w:rPr>
        <w:t>odpadne električne in elektronske opreme</w:t>
      </w:r>
      <w:r>
        <w:rPr>
          <w:noProof/>
          <w:color w:val="000000"/>
          <w:szCs w:val="24"/>
        </w:rPr>
        <w:t xml:space="preserve"> (WEEE) podatki kažejo, da je stopnja zbiranja in recikliranja po drža</w:t>
      </w:r>
      <w:r>
        <w:rPr>
          <w:noProof/>
          <w:color w:val="000000"/>
          <w:szCs w:val="24"/>
        </w:rPr>
        <w:t>vah članicah EU precej različna, pa tudi, da je še veliko možnosti za učinkovitejšo rabo virov ter zmanjšanje nezakonitega zbiranja, obdelave in prevoza.</w:t>
      </w:r>
      <w:r>
        <w:rPr>
          <w:noProof/>
          <w:color w:val="000000"/>
        </w:rPr>
        <w:t xml:space="preserve"> Leta 2015 so </w:t>
      </w:r>
      <w:r>
        <w:rPr>
          <w:b/>
          <w:noProof/>
          <w:color w:val="000000"/>
        </w:rPr>
        <w:t>samo štiri države članice</w:t>
      </w:r>
      <w:r>
        <w:rPr>
          <w:noProof/>
          <w:color w:val="000000"/>
        </w:rPr>
        <w:t xml:space="preserve"> reciklirale</w:t>
      </w:r>
      <w:r>
        <w:rPr>
          <w:rStyle w:val="FootnoteReference"/>
          <w:noProof/>
          <w:color w:val="000000"/>
          <w:position w:val="-2"/>
        </w:rPr>
        <w:footnoteReference w:id="25"/>
      </w:r>
      <w:r>
        <w:rPr>
          <w:noProof/>
          <w:color w:val="000000"/>
        </w:rPr>
        <w:t xml:space="preserve"> več kot polovico </w:t>
      </w:r>
      <w:r>
        <w:rPr>
          <w:noProof/>
          <w:color w:val="000000"/>
          <w:szCs w:val="24"/>
        </w:rPr>
        <w:t>električne in elektronske opreme</w:t>
      </w:r>
      <w:r>
        <w:rPr>
          <w:noProof/>
          <w:color w:val="000000"/>
        </w:rPr>
        <w:t>,</w:t>
      </w:r>
      <w:r>
        <w:rPr>
          <w:noProof/>
          <w:color w:val="000000"/>
        </w:rPr>
        <w:t xml:space="preserve"> ki je bila dana na trg.</w:t>
      </w:r>
      <w:r>
        <w:rPr>
          <w:noProof/>
          <w:color w:val="000000"/>
          <w:szCs w:val="24"/>
        </w:rPr>
        <w:t xml:space="preserve"> </w:t>
      </w:r>
    </w:p>
    <w:p w:rsidR="00E16CB9" w:rsidRDefault="00334830">
      <w:pPr>
        <w:jc w:val="both"/>
        <w:rPr>
          <w:rFonts w:cs="Times New Roman"/>
          <w:noProof/>
          <w:color w:val="000000"/>
          <w:position w:val="-2"/>
          <w:szCs w:val="24"/>
        </w:rPr>
      </w:pPr>
      <w:r>
        <w:rPr>
          <w:noProof/>
          <w:color w:val="000000"/>
          <w:szCs w:val="24"/>
        </w:rPr>
        <w:t xml:space="preserve">Pri </w:t>
      </w:r>
      <w:r>
        <w:rPr>
          <w:b/>
          <w:noProof/>
          <w:color w:val="000000"/>
          <w:szCs w:val="24"/>
        </w:rPr>
        <w:t>gradbenih odpadkih in odpadkih iz rušenja objektov</w:t>
      </w:r>
      <w:r>
        <w:rPr>
          <w:noProof/>
          <w:color w:val="000000"/>
          <w:szCs w:val="24"/>
        </w:rPr>
        <w:t xml:space="preserve"> je 20 držav članic poročalo, da so že dosegle ciljno vrednost 70 % predelave materiala, določeno za leto 2020</w:t>
      </w:r>
      <w:r>
        <w:rPr>
          <w:rStyle w:val="FootnoteReference"/>
          <w:rFonts w:cs="Times New Roman"/>
          <w:noProof/>
          <w:color w:val="000000"/>
          <w:position w:val="-2"/>
          <w:szCs w:val="24"/>
        </w:rPr>
        <w:footnoteReference w:id="26"/>
      </w:r>
      <w:r>
        <w:rPr>
          <w:noProof/>
          <w:color w:val="000000"/>
          <w:szCs w:val="24"/>
        </w:rPr>
        <w:t xml:space="preserve">. Ker je to glede na težo največji tok odpadkov v EU, je to </w:t>
      </w:r>
      <w:r>
        <w:rPr>
          <w:b/>
          <w:noProof/>
          <w:color w:val="000000"/>
          <w:szCs w:val="24"/>
        </w:rPr>
        <w:t>dober</w:t>
      </w:r>
      <w:r>
        <w:rPr>
          <w:noProof/>
          <w:color w:val="000000"/>
          <w:szCs w:val="24"/>
        </w:rPr>
        <w:t xml:space="preserve"> znak. Toda treba je poudariti, da je v ciljni vrednosti vključeno zasipanje</w:t>
      </w:r>
      <w:r>
        <w:rPr>
          <w:rStyle w:val="FootnoteReference"/>
          <w:rFonts w:cs="Times New Roman"/>
          <w:noProof/>
          <w:color w:val="000000"/>
          <w:position w:val="-2"/>
          <w:szCs w:val="24"/>
        </w:rPr>
        <w:footnoteReference w:id="27"/>
      </w:r>
      <w:r>
        <w:rPr>
          <w:noProof/>
          <w:color w:val="000000"/>
          <w:szCs w:val="24"/>
        </w:rPr>
        <w:t>, to pa je praksa, pri kateri se vrednost materiala ne ohranja, zato ne vpliva ugodno na krožno gospodarstvo. Poleg tega so med podatki, ki so jih sporočile države članice, velike</w:t>
      </w:r>
      <w:r>
        <w:rPr>
          <w:noProof/>
          <w:color w:val="000000"/>
          <w:szCs w:val="24"/>
        </w:rPr>
        <w:t xml:space="preserve"> razlike.</w:t>
      </w:r>
    </w:p>
    <w:p w:rsidR="00E16CB9" w:rsidRDefault="00334830">
      <w:pPr>
        <w:jc w:val="both"/>
        <w:rPr>
          <w:rFonts w:cs="Times New Roman"/>
          <w:noProof/>
          <w:szCs w:val="24"/>
          <w:highlight w:val="yellow"/>
        </w:rPr>
      </w:pPr>
      <w:r>
        <w:rPr>
          <w:rFonts w:cs="Times New Roman"/>
          <w:noProof/>
          <w:szCs w:val="24"/>
          <w:lang w:val="en-GB" w:eastAsia="en-GB"/>
        </w:rPr>
        <w:drawing>
          <wp:inline distT="0" distB="0" distL="0" distR="0">
            <wp:extent cx="5787779" cy="3362325"/>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jpg"/>
                    <pic:cNvPicPr/>
                  </pic:nvPicPr>
                  <pic:blipFill>
                    <a:blip r:embed="rId19">
                      <a:extLst>
                        <a:ext uri="{28A0092B-C50C-407E-A947-70E740481C1C}">
                          <a14:useLocalDpi xmlns:a14="http://schemas.microsoft.com/office/drawing/2010/main" val="0"/>
                        </a:ext>
                      </a:extLst>
                    </a:blip>
                    <a:stretch>
                      <a:fillRect/>
                    </a:stretch>
                  </pic:blipFill>
                  <pic:spPr>
                    <a:xfrm>
                      <a:off x="0" y="0"/>
                      <a:ext cx="5787779" cy="3362325"/>
                    </a:xfrm>
                    <a:prstGeom prst="rect">
                      <a:avLst/>
                    </a:prstGeom>
                  </pic:spPr>
                </pic:pic>
              </a:graphicData>
            </a:graphic>
          </wp:inline>
        </w:drawing>
      </w:r>
    </w:p>
    <w:p w:rsidR="00E16CB9" w:rsidRDefault="00334830">
      <w:pPr>
        <w:spacing w:after="120"/>
        <w:contextualSpacing/>
        <w:jc w:val="both"/>
        <w:rPr>
          <w:rFonts w:cs="Times New Roman"/>
          <w:noProof/>
          <w:sz w:val="22"/>
        </w:rPr>
      </w:pPr>
      <w:r>
        <w:rPr>
          <w:noProof/>
          <w:sz w:val="22"/>
        </w:rPr>
        <w:t>Vir: Eurostat.</w:t>
      </w:r>
    </w:p>
    <w:p w:rsidR="00E16CB9" w:rsidRDefault="00E16CB9">
      <w:pPr>
        <w:spacing w:after="120"/>
        <w:contextualSpacing/>
        <w:jc w:val="both"/>
        <w:rPr>
          <w:rFonts w:cs="Times New Roman"/>
          <w:b/>
          <w:i/>
          <w:noProof/>
          <w:szCs w:val="24"/>
        </w:rPr>
      </w:pPr>
    </w:p>
    <w:p w:rsidR="00E16CB9" w:rsidRDefault="00334830">
      <w:pPr>
        <w:spacing w:after="120"/>
        <w:jc w:val="both"/>
        <w:rPr>
          <w:rFonts w:cs="Times New Roman"/>
          <w:b/>
          <w:i/>
          <w:noProof/>
          <w:szCs w:val="24"/>
        </w:rPr>
      </w:pPr>
      <w:r>
        <w:rPr>
          <w:b/>
          <w:i/>
          <w:noProof/>
          <w:szCs w:val="24"/>
        </w:rPr>
        <w:t>Sekundarne surovine</w:t>
      </w:r>
    </w:p>
    <w:tbl>
      <w:tblPr>
        <w:tblStyle w:val="TableGrid"/>
        <w:tblW w:w="0" w:type="auto"/>
        <w:tblInd w:w="108" w:type="dxa"/>
        <w:shd w:val="clear" w:color="auto" w:fill="F2F2F2" w:themeFill="background1" w:themeFillShade="F2"/>
        <w:tblLook w:val="04A0" w:firstRow="1" w:lastRow="0" w:firstColumn="1" w:lastColumn="0" w:noHBand="0" w:noVBand="1"/>
      </w:tblPr>
      <w:tblGrid>
        <w:gridCol w:w="9072"/>
      </w:tblGrid>
      <w:tr w:rsidR="00E16CB9">
        <w:tc>
          <w:tcPr>
            <w:tcW w:w="9072" w:type="dxa"/>
            <w:shd w:val="clear" w:color="auto" w:fill="F2F2F2" w:themeFill="background1" w:themeFillShade="F2"/>
          </w:tcPr>
          <w:p w:rsidR="00E16CB9" w:rsidRDefault="00334830">
            <w:pPr>
              <w:spacing w:before="120" w:after="120"/>
              <w:jc w:val="both"/>
              <w:rPr>
                <w:rFonts w:ascii="Times New Roman" w:hAnsi="Times New Roman" w:cs="Times New Roman"/>
                <w:noProof/>
                <w:sz w:val="24"/>
              </w:rPr>
            </w:pPr>
            <w:r>
              <w:rPr>
                <w:rFonts w:ascii="Times New Roman" w:hAnsi="Times New Roman"/>
                <w:noProof/>
                <w:sz w:val="24"/>
              </w:rPr>
              <w:t>Reciklirani materiali prispevajo razmeroma malo k pokrivanju splošnih potreb po materialih. Trgovina s sekundarnimi surovinami narašča tako med državami EU kot s tretjimi državami.</w:t>
            </w:r>
          </w:p>
        </w:tc>
      </w:tr>
    </w:tbl>
    <w:p w:rsidR="00E16CB9" w:rsidRDefault="00E16CB9">
      <w:pPr>
        <w:spacing w:after="0"/>
        <w:jc w:val="both"/>
        <w:rPr>
          <w:rFonts w:cs="Times New Roman"/>
          <w:noProof/>
          <w:color w:val="000000"/>
          <w:position w:val="-2"/>
          <w:szCs w:val="24"/>
        </w:rPr>
      </w:pPr>
    </w:p>
    <w:p w:rsidR="00E16CB9" w:rsidRDefault="00334830">
      <w:pPr>
        <w:spacing w:after="0"/>
        <w:jc w:val="both"/>
        <w:rPr>
          <w:rFonts w:cs="Times New Roman"/>
          <w:noProof/>
          <w:color w:val="000000"/>
          <w:position w:val="-2"/>
          <w:szCs w:val="24"/>
        </w:rPr>
      </w:pPr>
      <w:r>
        <w:rPr>
          <w:noProof/>
          <w:color w:val="000000"/>
          <w:szCs w:val="24"/>
        </w:rPr>
        <w:t>V krožnem gospodarstvu se materiali, vdelani v proizvode in komponente, reciklirajo, ko dosežejo konec življenjske dobe, nato pa se vrnejo v gospodarstvo kot sekundarna surovina. Tako se zmanjša okoljska sled proizvodnje in porabe ter poveča zanesljivost o</w:t>
      </w:r>
      <w:r>
        <w:rPr>
          <w:noProof/>
          <w:color w:val="000000"/>
          <w:szCs w:val="24"/>
        </w:rPr>
        <w:t xml:space="preserve">skrbe s surovinami. V EU povpraševanje po surovinah celo presega količino, ki bi jo dobili, če bi vse odpadke pretvorili v sekundarne surovine. Zato bo še vedno potrebna dobava primarnih surovin. </w:t>
      </w:r>
    </w:p>
    <w:p w:rsidR="00E16CB9" w:rsidRDefault="00E16CB9">
      <w:pPr>
        <w:spacing w:after="0"/>
        <w:jc w:val="both"/>
        <w:rPr>
          <w:rFonts w:cs="Times New Roman"/>
          <w:noProof/>
          <w:color w:val="000000"/>
          <w:position w:val="-2"/>
          <w:szCs w:val="24"/>
        </w:rPr>
      </w:pPr>
    </w:p>
    <w:p w:rsidR="00E16CB9" w:rsidRDefault="00334830">
      <w:pPr>
        <w:spacing w:after="0"/>
        <w:jc w:val="both"/>
        <w:rPr>
          <w:rFonts w:eastAsia="Cambria" w:cs="Times New Roman"/>
          <w:noProof/>
          <w:color w:val="000000"/>
          <w:position w:val="-2"/>
          <w:szCs w:val="24"/>
        </w:rPr>
      </w:pPr>
      <w:r>
        <w:rPr>
          <w:noProof/>
          <w:color w:val="000000"/>
          <w:szCs w:val="24"/>
        </w:rPr>
        <w:t xml:space="preserve">Čeprav se stanje od leta 2004 ves čas izboljšuje, </w:t>
      </w:r>
      <w:r>
        <w:rPr>
          <w:b/>
          <w:noProof/>
          <w:color w:val="000000"/>
          <w:szCs w:val="24"/>
        </w:rPr>
        <w:t>reciklir</w:t>
      </w:r>
      <w:r>
        <w:rPr>
          <w:b/>
          <w:noProof/>
          <w:color w:val="000000"/>
          <w:szCs w:val="24"/>
        </w:rPr>
        <w:t>ani materiali</w:t>
      </w:r>
      <w:r>
        <w:rPr>
          <w:noProof/>
          <w:color w:val="000000"/>
          <w:szCs w:val="24"/>
        </w:rPr>
        <w:t xml:space="preserve"> v poprečju pokrijejo le </w:t>
      </w:r>
      <w:r>
        <w:rPr>
          <w:b/>
          <w:noProof/>
          <w:color w:val="000000"/>
          <w:szCs w:val="24"/>
        </w:rPr>
        <w:t>okrog 10 % potreb EU po materialih</w:t>
      </w:r>
      <w:r>
        <w:rPr>
          <w:noProof/>
          <w:color w:val="000000"/>
          <w:szCs w:val="24"/>
        </w:rPr>
        <w:t>. Pri več razsutih materialih se s sekundarnimi surovinami pokrije več kot 30 % skupnih potreb po materialih (npr. baker in nikelj). Toda pri številnih materialih, tudi skoraj vseh kri</w:t>
      </w:r>
      <w:r>
        <w:rPr>
          <w:noProof/>
          <w:color w:val="000000"/>
          <w:szCs w:val="24"/>
        </w:rPr>
        <w:t>tičnih surovinah, je prispevek recikliranih materialov k pokrivanju povpraševanja po surovinah še vedno majhen ali zanemarljiv. Razlogi za to so morda, da pri njih recikliranje ni dobičkonosno, da ni tehnologij za recikliranje ali da so materiali vdelani v</w:t>
      </w:r>
      <w:r>
        <w:rPr>
          <w:noProof/>
          <w:color w:val="000000"/>
          <w:szCs w:val="24"/>
        </w:rPr>
        <w:t xml:space="preserve"> proizvode za dolgotrajno uporabo (npr. redke rudnine, ki se uporabljajo v vetrnih turbinah). </w:t>
      </w:r>
    </w:p>
    <w:p w:rsidR="00E16CB9" w:rsidRDefault="00E16CB9">
      <w:pPr>
        <w:spacing w:after="0"/>
        <w:jc w:val="both"/>
        <w:rPr>
          <w:rFonts w:eastAsia="Cambria" w:cs="Times New Roman"/>
          <w:noProof/>
          <w:color w:val="000000"/>
          <w:position w:val="-2"/>
          <w:szCs w:val="24"/>
          <w:lang w:eastAsia="en-GB"/>
        </w:rPr>
      </w:pPr>
    </w:p>
    <w:p w:rsidR="00E16CB9" w:rsidRDefault="00334830">
      <w:pPr>
        <w:contextualSpacing/>
        <w:jc w:val="both"/>
        <w:rPr>
          <w:rFonts w:eastAsia="Cambria" w:cs="Times New Roman"/>
          <w:noProof/>
          <w:color w:val="000000"/>
          <w:position w:val="-2"/>
          <w:szCs w:val="24"/>
        </w:rPr>
      </w:pPr>
      <w:r>
        <w:rPr>
          <w:noProof/>
          <w:color w:val="000000"/>
          <w:szCs w:val="24"/>
        </w:rPr>
        <w:t xml:space="preserve">Iz kazalnika o trgovanju z odpadki, ki jih je mogoče reciklirati, je razvidno, da je </w:t>
      </w:r>
      <w:r>
        <w:rPr>
          <w:b/>
          <w:noProof/>
          <w:color w:val="000000"/>
          <w:szCs w:val="24"/>
        </w:rPr>
        <w:t>EU neto izvoznica več večjih tokov odpadkov, ki jih je mogoče reciklirati</w:t>
      </w:r>
      <w:r>
        <w:rPr>
          <w:noProof/>
          <w:color w:val="000000"/>
          <w:szCs w:val="24"/>
        </w:rPr>
        <w:t xml:space="preserve">, med drugim plastike, papirja in kartona, železa in jekla, bakra, aluminija in niklja. </w:t>
      </w:r>
      <w:r>
        <w:rPr>
          <w:b/>
          <w:noProof/>
          <w:color w:val="000000"/>
          <w:szCs w:val="24"/>
        </w:rPr>
        <w:t>Trgovanje</w:t>
      </w:r>
      <w:r>
        <w:rPr>
          <w:noProof/>
          <w:color w:val="000000"/>
          <w:szCs w:val="24"/>
        </w:rPr>
        <w:t xml:space="preserve"> z odpadno plastiko, papirjem in kartonom, bakrom, aluminijem, nikljem in dragocenimi kovinami </w:t>
      </w:r>
      <w:r>
        <w:rPr>
          <w:b/>
          <w:noProof/>
          <w:color w:val="000000"/>
          <w:szCs w:val="24"/>
        </w:rPr>
        <w:t>znotraj EU</w:t>
      </w:r>
      <w:r>
        <w:rPr>
          <w:noProof/>
          <w:color w:val="000000"/>
          <w:szCs w:val="24"/>
        </w:rPr>
        <w:t xml:space="preserve"> je v obdobju 2004–2016 </w:t>
      </w:r>
      <w:r>
        <w:rPr>
          <w:b/>
          <w:noProof/>
          <w:color w:val="000000"/>
          <w:szCs w:val="24"/>
        </w:rPr>
        <w:t>znatno naraslo</w:t>
      </w:r>
      <w:r>
        <w:rPr>
          <w:noProof/>
          <w:color w:val="000000"/>
          <w:szCs w:val="24"/>
        </w:rPr>
        <w:t>, zaradi česar l</w:t>
      </w:r>
      <w:r>
        <w:rPr>
          <w:noProof/>
          <w:color w:val="000000"/>
          <w:szCs w:val="24"/>
        </w:rPr>
        <w:t>ahko gospodarski subjekti uživajo koristi notranjega trga EU s sekundarnimi surovinami.</w:t>
      </w:r>
    </w:p>
    <w:p w:rsidR="00E16CB9" w:rsidRDefault="00E16CB9">
      <w:pPr>
        <w:spacing w:after="120"/>
        <w:contextualSpacing/>
        <w:jc w:val="both"/>
        <w:rPr>
          <w:rFonts w:cs="Times New Roman"/>
          <w:b/>
          <w:i/>
          <w:noProof/>
          <w:szCs w:val="24"/>
        </w:rPr>
      </w:pPr>
    </w:p>
    <w:p w:rsidR="00E16CB9" w:rsidRDefault="00334830">
      <w:pPr>
        <w:spacing w:after="120"/>
        <w:jc w:val="both"/>
        <w:rPr>
          <w:rFonts w:cs="Times New Roman"/>
          <w:b/>
          <w:i/>
          <w:noProof/>
          <w:szCs w:val="24"/>
        </w:rPr>
      </w:pPr>
      <w:r>
        <w:rPr>
          <w:b/>
          <w:i/>
          <w:noProof/>
          <w:szCs w:val="24"/>
        </w:rPr>
        <w:t>Konkurenčnost in inovacije</w:t>
      </w:r>
    </w:p>
    <w:tbl>
      <w:tblPr>
        <w:tblStyle w:val="TableGrid"/>
        <w:tblW w:w="0" w:type="auto"/>
        <w:tblInd w:w="108" w:type="dxa"/>
        <w:shd w:val="clear" w:color="auto" w:fill="F2F2F2" w:themeFill="background1" w:themeFillShade="F2"/>
        <w:tblLook w:val="04A0" w:firstRow="1" w:lastRow="0" w:firstColumn="1" w:lastColumn="0" w:noHBand="0" w:noVBand="1"/>
      </w:tblPr>
      <w:tblGrid>
        <w:gridCol w:w="9072"/>
      </w:tblGrid>
      <w:tr w:rsidR="00E16CB9">
        <w:tc>
          <w:tcPr>
            <w:tcW w:w="9072" w:type="dxa"/>
            <w:shd w:val="clear" w:color="auto" w:fill="F2F2F2" w:themeFill="background1" w:themeFillShade="F2"/>
          </w:tcPr>
          <w:p w:rsidR="00E16CB9" w:rsidRDefault="00334830">
            <w:pPr>
              <w:spacing w:before="120" w:after="120"/>
              <w:jc w:val="both"/>
              <w:rPr>
                <w:rFonts w:ascii="Times New Roman" w:hAnsi="Times New Roman" w:cs="Times New Roman"/>
                <w:noProof/>
                <w:sz w:val="24"/>
              </w:rPr>
            </w:pPr>
            <w:r>
              <w:rPr>
                <w:rFonts w:ascii="Times New Roman" w:hAnsi="Times New Roman"/>
                <w:noProof/>
                <w:sz w:val="24"/>
              </w:rPr>
              <w:t xml:space="preserve">Prehod na krožno gospodarstvo omogoča rast naložb in dodane vrednosti ter ustvarjanje delovnih mest, poleg tega pa spodbuja inovacije. </w:t>
            </w:r>
          </w:p>
        </w:tc>
      </w:tr>
    </w:tbl>
    <w:p w:rsidR="00E16CB9" w:rsidRDefault="00E16CB9">
      <w:pPr>
        <w:spacing w:after="0"/>
        <w:jc w:val="both"/>
        <w:rPr>
          <w:rFonts w:cs="Times New Roman"/>
          <w:noProof/>
          <w:color w:val="000000"/>
          <w:position w:val="-2"/>
          <w:szCs w:val="24"/>
        </w:rPr>
      </w:pPr>
    </w:p>
    <w:p w:rsidR="00E16CB9" w:rsidRDefault="00334830">
      <w:pPr>
        <w:jc w:val="both"/>
        <w:rPr>
          <w:rFonts w:cs="Times New Roman"/>
          <w:noProof/>
          <w:color w:val="000000"/>
          <w:position w:val="-2"/>
          <w:szCs w:val="24"/>
        </w:rPr>
      </w:pPr>
      <w:r>
        <w:rPr>
          <w:rFonts w:cs="Times New Roman"/>
          <w:noProof/>
          <w:color w:val="000000"/>
          <w:position w:val="-2"/>
          <w:szCs w:val="24"/>
          <w:lang w:val="en-GB" w:eastAsia="en-GB"/>
        </w:rPr>
        <w:drawing>
          <wp:inline distT="0" distB="0" distL="0" distR="0">
            <wp:extent cx="5760720" cy="1539875"/>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jpg"/>
                    <pic:cNvPicPr/>
                  </pic:nvPicPr>
                  <pic:blipFill>
                    <a:blip r:embed="rId20">
                      <a:extLst>
                        <a:ext uri="{28A0092B-C50C-407E-A947-70E740481C1C}">
                          <a14:useLocalDpi xmlns:a14="http://schemas.microsoft.com/office/drawing/2010/main" val="0"/>
                        </a:ext>
                      </a:extLst>
                    </a:blip>
                    <a:stretch>
                      <a:fillRect/>
                    </a:stretch>
                  </pic:blipFill>
                  <pic:spPr>
                    <a:xfrm>
                      <a:off x="0" y="0"/>
                      <a:ext cx="5760720" cy="1539875"/>
                    </a:xfrm>
                    <a:prstGeom prst="rect">
                      <a:avLst/>
                    </a:prstGeom>
                  </pic:spPr>
                </pic:pic>
              </a:graphicData>
            </a:graphic>
          </wp:inline>
        </w:drawing>
      </w:r>
    </w:p>
    <w:p w:rsidR="00E16CB9" w:rsidRDefault="00334830">
      <w:pPr>
        <w:jc w:val="both"/>
        <w:rPr>
          <w:rFonts w:cs="Times New Roman"/>
          <w:noProof/>
          <w:color w:val="000000"/>
          <w:position w:val="-2"/>
          <w:sz w:val="22"/>
        </w:rPr>
      </w:pPr>
      <w:r>
        <w:rPr>
          <w:noProof/>
          <w:color w:val="000000"/>
          <w:sz w:val="22"/>
        </w:rPr>
        <w:t>Vir: Eurostat.</w:t>
      </w:r>
    </w:p>
    <w:p w:rsidR="00E16CB9" w:rsidRDefault="00334830">
      <w:pPr>
        <w:jc w:val="both"/>
        <w:rPr>
          <w:rFonts w:cs="Times New Roman"/>
          <w:noProof/>
          <w:color w:val="000000"/>
          <w:position w:val="-2"/>
          <w:szCs w:val="24"/>
        </w:rPr>
      </w:pPr>
      <w:r>
        <w:rPr>
          <w:noProof/>
          <w:color w:val="000000"/>
          <w:szCs w:val="24"/>
        </w:rPr>
        <w:t xml:space="preserve">Leta 2014 so </w:t>
      </w:r>
      <w:r>
        <w:rPr>
          <w:b/>
          <w:noProof/>
          <w:color w:val="000000"/>
          <w:szCs w:val="24"/>
        </w:rPr>
        <w:t>zasebne naložbe</w:t>
      </w:r>
      <w:r>
        <w:rPr>
          <w:noProof/>
          <w:color w:val="000000"/>
          <w:szCs w:val="24"/>
        </w:rPr>
        <w:t xml:space="preserve"> v podskupini gospodarskih sektorjev, ki so pomembni za krožno gospodarstvo</w:t>
      </w:r>
      <w:r>
        <w:rPr>
          <w:rStyle w:val="FootnoteReference"/>
          <w:rFonts w:cs="Times New Roman"/>
          <w:noProof/>
          <w:color w:val="000000"/>
          <w:position w:val="-2"/>
          <w:szCs w:val="24"/>
        </w:rPr>
        <w:footnoteReference w:id="28"/>
      </w:r>
      <w:r>
        <w:rPr>
          <w:noProof/>
          <w:color w:val="000000"/>
          <w:szCs w:val="24"/>
        </w:rPr>
        <w:t xml:space="preserve">, v EU po ocenah znašale okrog </w:t>
      </w:r>
      <w:r>
        <w:rPr>
          <w:b/>
          <w:noProof/>
          <w:color w:val="000000"/>
          <w:szCs w:val="24"/>
        </w:rPr>
        <w:t>15 milijard EUR</w:t>
      </w:r>
      <w:r>
        <w:rPr>
          <w:noProof/>
          <w:color w:val="000000"/>
          <w:szCs w:val="24"/>
        </w:rPr>
        <w:t xml:space="preserve"> (tj. 0,1 % BDP). Istega leta je bilo v teh sektorjih več kot 3,9 milijona </w:t>
      </w:r>
      <w:r>
        <w:rPr>
          <w:b/>
          <w:noProof/>
          <w:color w:val="000000"/>
          <w:szCs w:val="24"/>
        </w:rPr>
        <w:t>delovnih mest</w:t>
      </w:r>
      <w:r>
        <w:rPr>
          <w:noProof/>
          <w:color w:val="000000"/>
          <w:szCs w:val="24"/>
        </w:rPr>
        <w:t xml:space="preserve">, kar je </w:t>
      </w:r>
      <w:r>
        <w:rPr>
          <w:b/>
          <w:noProof/>
          <w:color w:val="000000"/>
          <w:szCs w:val="24"/>
        </w:rPr>
        <w:t>2,3 % več</w:t>
      </w:r>
      <w:r>
        <w:rPr>
          <w:noProof/>
          <w:color w:val="000000"/>
          <w:szCs w:val="24"/>
        </w:rPr>
        <w:t xml:space="preserve"> kot leta 2012. V teh sektorjih krožnega gospodarstva je bilo kljub gospodarski in finančni krizi leta 2014 ustvarjenih 141 milijard EUR </w:t>
      </w:r>
      <w:r>
        <w:rPr>
          <w:b/>
          <w:noProof/>
          <w:color w:val="000000"/>
          <w:szCs w:val="24"/>
        </w:rPr>
        <w:t>dodane vrednosti</w:t>
      </w:r>
      <w:r>
        <w:rPr>
          <w:noProof/>
          <w:color w:val="000000"/>
          <w:szCs w:val="24"/>
        </w:rPr>
        <w:t xml:space="preserve">, kar je </w:t>
      </w:r>
      <w:r>
        <w:rPr>
          <w:b/>
          <w:noProof/>
          <w:color w:val="000000"/>
          <w:szCs w:val="24"/>
        </w:rPr>
        <w:t>6,1 % več</w:t>
      </w:r>
      <w:r>
        <w:rPr>
          <w:noProof/>
          <w:color w:val="000000"/>
          <w:szCs w:val="24"/>
        </w:rPr>
        <w:t xml:space="preserve"> kot leta 2012. Za podporo prehoda v krožno gospodarstvo je na ravn</w:t>
      </w:r>
      <w:r>
        <w:rPr>
          <w:noProof/>
          <w:color w:val="000000"/>
          <w:szCs w:val="24"/>
        </w:rPr>
        <w:t>i EU na voljo več programov financiranja, npr. Evropski sklad za strateške naložbe, evropski strukturni in investicijski skladi, program Obzorje 2020 in program LIFE. Poleg tega je januarja 2017 začela delovati platforma za podporo financiranja krožnega go</w:t>
      </w:r>
      <w:r>
        <w:rPr>
          <w:noProof/>
          <w:color w:val="000000"/>
          <w:szCs w:val="24"/>
        </w:rPr>
        <w:t xml:space="preserve">spodarstva. </w:t>
      </w:r>
    </w:p>
    <w:p w:rsidR="00E16CB9" w:rsidRDefault="00334830">
      <w:pPr>
        <w:jc w:val="both"/>
        <w:rPr>
          <w:rFonts w:cs="Times New Roman"/>
          <w:noProof/>
          <w:color w:val="000000"/>
          <w:position w:val="-2"/>
          <w:szCs w:val="24"/>
        </w:rPr>
      </w:pPr>
      <w:r>
        <w:rPr>
          <w:noProof/>
          <w:color w:val="000000"/>
          <w:szCs w:val="24"/>
        </w:rPr>
        <w:t xml:space="preserve">Pri </w:t>
      </w:r>
      <w:r>
        <w:rPr>
          <w:b/>
          <w:noProof/>
          <w:color w:val="000000"/>
          <w:szCs w:val="24"/>
        </w:rPr>
        <w:t>patentih</w:t>
      </w:r>
      <w:r>
        <w:rPr>
          <w:noProof/>
          <w:color w:val="000000"/>
          <w:szCs w:val="24"/>
        </w:rPr>
        <w:t xml:space="preserve"> na področju recikliranja in sekundarnih surovin podatki kažejo na </w:t>
      </w:r>
      <w:r>
        <w:rPr>
          <w:b/>
          <w:noProof/>
          <w:color w:val="000000"/>
          <w:szCs w:val="24"/>
        </w:rPr>
        <w:t>35-odstotno povečanje</w:t>
      </w:r>
      <w:r>
        <w:rPr>
          <w:noProof/>
          <w:color w:val="000000"/>
          <w:szCs w:val="24"/>
        </w:rPr>
        <w:t xml:space="preserve"> v obdobju 2000–2013. Patenti EU za recikliranje stekla predstavljajo 44 % vseh tovrstnih patentov na svetu. Delež EU na področju plastike je 1</w:t>
      </w:r>
      <w:r>
        <w:rPr>
          <w:noProof/>
          <w:color w:val="000000"/>
          <w:szCs w:val="24"/>
        </w:rPr>
        <w:t>8 %, na področju papirja pa 23 %.</w:t>
      </w:r>
    </w:p>
    <w:p w:rsidR="00E16CB9" w:rsidRDefault="00334830">
      <w:pPr>
        <w:pStyle w:val="Heading1"/>
        <w:keepNext/>
        <w:rPr>
          <w:rFonts w:cs="Times New Roman"/>
          <w:noProof/>
          <w:szCs w:val="24"/>
        </w:rPr>
      </w:pPr>
      <w:r>
        <w:rPr>
          <w:noProof/>
        </w:rPr>
        <w:t>Sklepne ugotovitve</w:t>
      </w:r>
    </w:p>
    <w:p w:rsidR="00E16CB9" w:rsidRDefault="00334830">
      <w:pPr>
        <w:jc w:val="both"/>
        <w:rPr>
          <w:rFonts w:cs="Times New Roman"/>
          <w:noProof/>
          <w:szCs w:val="24"/>
        </w:rPr>
      </w:pPr>
      <w:r>
        <w:rPr>
          <w:noProof/>
        </w:rPr>
        <w:t>Ta okvir za spremljanje z jedrnatim nizom kazalnikov zajema glavne elemente krožnega gospodarstva, vključno z življenjskim ciklom proizvodov in materialov, prednostnimi področji in sektorji ter vplivi na</w:t>
      </w:r>
      <w:r>
        <w:rPr>
          <w:noProof/>
        </w:rPr>
        <w:t xml:space="preserve"> konkurenčnost, inovacije in delovna mesta. Tako bo postal orodje, s katerim bo mogoče spremljati ključna gibanja pri prehodu, ocenjevati, ali so bili uvedeni ukrepi in delovanje vseh akterjev dovolj uspešni, bo pa tudi v pomoč pri ugotavljanju dobrih prak</w:t>
      </w:r>
      <w:r>
        <w:rPr>
          <w:noProof/>
        </w:rPr>
        <w:t>s v državah članicah, ki bi jih bilo treba razširjati.</w:t>
      </w:r>
    </w:p>
    <w:p w:rsidR="00E16CB9" w:rsidRDefault="00334830">
      <w:pPr>
        <w:jc w:val="both"/>
        <w:rPr>
          <w:rFonts w:cs="Times New Roman"/>
          <w:noProof/>
          <w:szCs w:val="24"/>
        </w:rPr>
      </w:pPr>
      <w:r>
        <w:rPr>
          <w:noProof/>
        </w:rPr>
        <w:t>Kazalniki se bodo ves čas posodabljali na spletišču, ki bo namenjeno okviru za spremljanje</w:t>
      </w:r>
      <w:r>
        <w:rPr>
          <w:rStyle w:val="FootnoteReference"/>
          <w:rFonts w:cs="Times New Roman"/>
          <w:noProof/>
          <w:szCs w:val="24"/>
        </w:rPr>
        <w:footnoteReference w:id="29"/>
      </w:r>
      <w:r>
        <w:rPr>
          <w:noProof/>
        </w:rPr>
        <w:t>. Na tem spletišču so na voljo tudi orodja za spremljanje napredka, dokumenti o metodologijah za kazalnike, vi</w:t>
      </w:r>
      <w:r>
        <w:rPr>
          <w:noProof/>
        </w:rPr>
        <w:t>ri podatkov, opredelitve in standardi za objavljanje. Komisija bo še naprej izpopolnjevala kazalnike, ki jih je treba nadalje razvijati, zlasti za živilske odpadke in zelena javna naročila.</w:t>
      </w:r>
    </w:p>
    <w:p w:rsidR="00E16CB9" w:rsidRDefault="00334830">
      <w:pPr>
        <w:jc w:val="both"/>
        <w:rPr>
          <w:rFonts w:cs="Times New Roman"/>
          <w:noProof/>
          <w:szCs w:val="24"/>
        </w:rPr>
      </w:pPr>
      <w:r>
        <w:rPr>
          <w:noProof/>
        </w:rPr>
        <w:t>K nadaljnjim izboljšavam okvira bo prispeval tudi dialog z državam</w:t>
      </w:r>
      <w:r>
        <w:rPr>
          <w:noProof/>
        </w:rPr>
        <w:t>i članicami in zainteresiranimi stranmi. Okvir je v veliki meri odvisen zlasti od visokokakovostnih statistik, ki jih države članice posredujejo Eurostatu. Komisija bi bila vesela tudi sodelovanja vseh institucij EU.</w:t>
      </w:r>
    </w:p>
    <w:p w:rsidR="00E16CB9" w:rsidRDefault="00E16CB9">
      <w:pPr>
        <w:rPr>
          <w:noProof/>
        </w:rPr>
      </w:pPr>
    </w:p>
    <w:sectPr w:rsidR="00E16CB9">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8"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474710" w15:done="0"/>
  <w15:commentEx w15:paraId="3F7E23D4" w15:done="0"/>
  <w15:commentEx w15:paraId="65314EF6" w15:done="0"/>
  <w15:commentEx w15:paraId="2FAF1021" w15:done="0"/>
  <w15:commentEx w15:paraId="6A0A96E1" w15:done="0"/>
  <w15:commentEx w15:paraId="334B2E39" w15:done="0"/>
  <w15:commentEx w15:paraId="66391D8B" w15:done="0"/>
  <w15:commentEx w15:paraId="2A96B26A" w15:done="0"/>
  <w15:commentEx w15:paraId="382F395C" w15:done="0"/>
  <w15:commentEx w15:paraId="06B84C6D" w15:done="0"/>
  <w15:commentEx w15:paraId="6758A871" w15:done="0"/>
  <w15:commentEx w15:paraId="4F42F5C1" w15:done="0"/>
  <w15:commentEx w15:paraId="56DACCDF" w15:done="0"/>
  <w15:commentEx w15:paraId="22F26619" w15:done="0"/>
  <w15:commentEx w15:paraId="484393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474710" w16cid:durableId="1DCACE53"/>
  <w16cid:commentId w16cid:paraId="3F7E23D4" w16cid:durableId="1DCACE54"/>
  <w16cid:commentId w16cid:paraId="65314EF6" w16cid:durableId="1DCACE55"/>
  <w16cid:commentId w16cid:paraId="2FAF1021" w16cid:durableId="1DCACE56"/>
  <w16cid:commentId w16cid:paraId="6A0A96E1" w16cid:durableId="1DCACE57"/>
  <w16cid:commentId w16cid:paraId="334B2E39" w16cid:durableId="1DCACE58"/>
  <w16cid:commentId w16cid:paraId="66391D8B" w16cid:durableId="1DCACE59"/>
  <w16cid:commentId w16cid:paraId="2A96B26A" w16cid:durableId="1DCAD2DD"/>
  <w16cid:commentId w16cid:paraId="382F395C" w16cid:durableId="1DCACE5A"/>
  <w16cid:commentId w16cid:paraId="06B84C6D" w16cid:durableId="1DCACE5B"/>
  <w16cid:commentId w16cid:paraId="6758A871" w16cid:durableId="1DCACE5C"/>
  <w16cid:commentId w16cid:paraId="4F42F5C1" w16cid:durableId="1DCACE5D"/>
  <w16cid:commentId w16cid:paraId="56DACCDF" w16cid:durableId="1DCACE5E"/>
  <w16cid:commentId w16cid:paraId="22F26619" w16cid:durableId="1DCACE5F"/>
  <w16cid:commentId w16cid:paraId="484393D0" w16cid:durableId="1DCACE6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CB9" w:rsidRDefault="00334830">
      <w:pPr>
        <w:spacing w:after="0" w:line="240" w:lineRule="auto"/>
      </w:pPr>
      <w:r>
        <w:separator/>
      </w:r>
    </w:p>
  </w:endnote>
  <w:endnote w:type="continuationSeparator" w:id="0">
    <w:p w:rsidR="00E16CB9" w:rsidRDefault="00334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Roman">
    <w:altName w:val="Times New Roman"/>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EC Square Sans Cond Pro">
    <w:altName w:val="Calibri"/>
    <w:panose1 w:val="020B0506040000020004"/>
    <w:charset w:val="00"/>
    <w:family w:val="swiss"/>
    <w:pitch w:val="variable"/>
    <w:sig w:usb0="A00002BF" w:usb1="500000D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CB9" w:rsidRDefault="00E16C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CB9" w:rsidRDefault="00334830">
    <w:pPr>
      <w:pStyle w:val="FooterCoverPage"/>
      <w:rPr>
        <w:rFonts w:ascii="Arial" w:hAnsi="Arial" w:cs="Arial"/>
        <w:b/>
        <w:sz w:val="48"/>
      </w:rPr>
    </w:pPr>
    <w:r>
      <w:rPr>
        <w:rFonts w:ascii="Arial" w:hAnsi="Arial" w:cs="Arial"/>
        <w:b/>
        <w:sz w:val="48"/>
      </w:rPr>
      <w:t>SL</w:t>
    </w:r>
    <w:r>
      <w:rPr>
        <w:rFonts w:ascii="Arial" w:hAnsi="Arial" w:cs="Arial"/>
        <w:b/>
        <w:sz w:val="48"/>
      </w:rPr>
      <w:tab/>
    </w:r>
    <w:r>
      <w:rPr>
        <w:rFonts w:ascii="Arial" w:hAnsi="Arial" w:cs="Arial"/>
        <w:b/>
        <w:sz w:val="48"/>
      </w:rPr>
      <w:tab/>
    </w:r>
    <w:r>
      <w:tab/>
    </w:r>
    <w:r>
      <w:rPr>
        <w:rFonts w:ascii="Arial" w:hAnsi="Arial" w:cs="Arial"/>
        <w:b/>
        <w:sz w:val="48"/>
      </w:rPr>
      <w:t>SL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CB9" w:rsidRDefault="00E16CB9">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CB9" w:rsidRDefault="00E16CB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097340"/>
      <w:docPartObj>
        <w:docPartGallery w:val="Page Numbers (Bottom of Page)"/>
        <w:docPartUnique/>
      </w:docPartObj>
    </w:sdtPr>
    <w:sdtEndPr/>
    <w:sdtContent>
      <w:p w:rsidR="00E16CB9" w:rsidRDefault="00334830">
        <w:pPr>
          <w:pStyle w:val="Footer"/>
          <w:jc w:val="right"/>
        </w:pPr>
        <w:r>
          <w:fldChar w:fldCharType="begin"/>
        </w:r>
        <w:r>
          <w:instrText xml:space="preserve"> PAGE   \* MERGEFORMAT </w:instrText>
        </w:r>
        <w:r>
          <w:fldChar w:fldCharType="separate"/>
        </w:r>
        <w:r>
          <w:rPr>
            <w:noProof/>
          </w:rPr>
          <w:t>3</w:t>
        </w:r>
        <w:r>
          <w:fldChar w:fldCharType="end"/>
        </w:r>
      </w:p>
    </w:sdtContent>
  </w:sdt>
  <w:p w:rsidR="00E16CB9" w:rsidRDefault="00E16CB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CB9" w:rsidRDefault="00E16C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CB9" w:rsidRDefault="00334830">
      <w:pPr>
        <w:spacing w:after="0" w:line="240" w:lineRule="auto"/>
      </w:pPr>
      <w:r>
        <w:separator/>
      </w:r>
    </w:p>
  </w:footnote>
  <w:footnote w:type="continuationSeparator" w:id="0">
    <w:p w:rsidR="00E16CB9" w:rsidRDefault="00334830">
      <w:pPr>
        <w:spacing w:after="0" w:line="240" w:lineRule="auto"/>
      </w:pPr>
      <w:r>
        <w:continuationSeparator/>
      </w:r>
    </w:p>
  </w:footnote>
  <w:footnote w:id="1">
    <w:p w:rsidR="00E16CB9" w:rsidRDefault="00334830">
      <w:pPr>
        <w:pStyle w:val="FootnoteText"/>
      </w:pPr>
      <w:r>
        <w:rPr>
          <w:rStyle w:val="FootnoteReference"/>
        </w:rPr>
        <w:footnoteRef/>
      </w:r>
      <w:r>
        <w:t xml:space="preserve"> COM(2017) 479.</w:t>
      </w:r>
    </w:p>
  </w:footnote>
  <w:footnote w:id="2">
    <w:p w:rsidR="00E16CB9" w:rsidRDefault="00334830">
      <w:pPr>
        <w:pStyle w:val="FootnoteText"/>
      </w:pPr>
      <w:r>
        <w:rPr>
          <w:rStyle w:val="FootnoteReference"/>
        </w:rPr>
        <w:footnoteRef/>
      </w:r>
      <w:r>
        <w:t xml:space="preserve"> </w:t>
      </w:r>
      <w:hyperlink r:id="rId1" w:history="1">
        <w:r>
          <w:rPr>
            <w:rStyle w:val="Hyperlink"/>
          </w:rPr>
          <w:t>https://ec.europa.eu/info/strategy/international-strategies/global-topics/su</w:t>
        </w:r>
        <w:r>
          <w:rPr>
            <w:rStyle w:val="Hyperlink"/>
          </w:rPr>
          <w:t>stainable-development-goals/eu-approach-sustainable-development_sl</w:t>
        </w:r>
      </w:hyperlink>
      <w:r>
        <w:t xml:space="preserve">. </w:t>
      </w:r>
    </w:p>
  </w:footnote>
  <w:footnote w:id="3">
    <w:p w:rsidR="00E16CB9" w:rsidRDefault="00334830">
      <w:pPr>
        <w:pStyle w:val="FootnoteText"/>
      </w:pPr>
      <w:r>
        <w:rPr>
          <w:rStyle w:val="FootnoteReference"/>
        </w:rPr>
        <w:footnoteRef/>
      </w:r>
      <w:r>
        <w:t xml:space="preserve"> COM(2015) 614.</w:t>
      </w:r>
    </w:p>
  </w:footnote>
  <w:footnote w:id="4">
    <w:p w:rsidR="00E16CB9" w:rsidRDefault="00334830">
      <w:pPr>
        <w:pStyle w:val="FootnoteText"/>
      </w:pPr>
      <w:r>
        <w:rPr>
          <w:rStyle w:val="FootnoteReference"/>
        </w:rPr>
        <w:footnoteRef/>
      </w:r>
      <w:r>
        <w:t xml:space="preserve"> </w:t>
      </w:r>
      <w:hyperlink r:id="rId2" w:history="1">
        <w:r>
          <w:rPr>
            <w:rStyle w:val="Hyperlink"/>
          </w:rPr>
          <w:t>http://www.consilium.europa.eu/en/press/press-releases/2016/06/20/envi-conclusions-circular-economy/pdf</w:t>
        </w:r>
      </w:hyperlink>
      <w:r>
        <w:t>.</w:t>
      </w:r>
    </w:p>
  </w:footnote>
  <w:footnote w:id="5">
    <w:p w:rsidR="00E16CB9" w:rsidRDefault="00334830">
      <w:pPr>
        <w:pStyle w:val="FootnoteText"/>
      </w:pPr>
      <w:r>
        <w:rPr>
          <w:rStyle w:val="FootnoteReference"/>
        </w:rPr>
        <w:footnoteRef/>
      </w:r>
      <w:r>
        <w:t xml:space="preserve"> Resolucija Evropskega parlamenta z dne 9. julija 2015 o učinkoviti rabi virov: prehod na krožno gospodarstvo (</w:t>
      </w:r>
      <w:hyperlink r:id="rId3" w:history="1">
        <w:r>
          <w:rPr>
            <w:rStyle w:val="Hyperlink"/>
          </w:rPr>
          <w:t>2014/2208(INI)</w:t>
        </w:r>
      </w:hyperlink>
      <w:r>
        <w:t>).</w:t>
      </w:r>
    </w:p>
  </w:footnote>
  <w:footnote w:id="6">
    <w:p w:rsidR="00E16CB9" w:rsidRDefault="00334830">
      <w:pPr>
        <w:pStyle w:val="FootnoteText"/>
      </w:pPr>
      <w:r>
        <w:rPr>
          <w:rStyle w:val="FootnoteReference"/>
        </w:rPr>
        <w:footnoteRef/>
      </w:r>
      <w:r>
        <w:t xml:space="preserve"> </w:t>
      </w:r>
      <w:hyperlink r:id="rId4" w:history="1">
        <w:r>
          <w:rPr>
            <w:rStyle w:val="Hyperlink"/>
          </w:rPr>
          <w:t>http://ec.europa.eu/environment/resource_efficiency/targets_indicators/scoreboard/index_en.htm</w:t>
        </w:r>
      </w:hyperlink>
      <w:r>
        <w:t>.</w:t>
      </w:r>
    </w:p>
  </w:footnote>
  <w:footnote w:id="7">
    <w:p w:rsidR="00E16CB9" w:rsidRDefault="00334830">
      <w:pPr>
        <w:pStyle w:val="FootnoteText"/>
      </w:pPr>
      <w:r>
        <w:rPr>
          <w:rStyle w:val="FootnoteReference"/>
        </w:rPr>
        <w:footnoteRef/>
      </w:r>
      <w:r>
        <w:t xml:space="preserve"> </w:t>
      </w:r>
      <w:hyperlink r:id="rId5" w:history="1">
        <w:r>
          <w:rPr>
            <w:rStyle w:val="Hyperlink"/>
          </w:rPr>
          <w:t>https://publications.europa.eu/en/publication-detail/-/publication/1ee65e21-9ac4-11e6-868c-01aa75ed71a1</w:t>
        </w:r>
      </w:hyperlink>
      <w:r>
        <w:t>.</w:t>
      </w:r>
    </w:p>
  </w:footnote>
  <w:footnote w:id="8">
    <w:p w:rsidR="00E16CB9" w:rsidRDefault="00334830">
      <w:pPr>
        <w:pStyle w:val="FootnoteText"/>
      </w:pPr>
      <w:r>
        <w:rPr>
          <w:rStyle w:val="FootnoteReference"/>
        </w:rPr>
        <w:footnoteRef/>
      </w:r>
      <w:r>
        <w:t xml:space="preserve"> </w:t>
      </w:r>
      <w:hyperlink r:id="rId6" w:history="1">
        <w:r>
          <w:rPr>
            <w:rStyle w:val="Hyperlink"/>
          </w:rPr>
          <w:t>http://ec.europa.eu/euros</w:t>
        </w:r>
        <w:r>
          <w:rPr>
            <w:rStyle w:val="Hyperlink"/>
          </w:rPr>
          <w:t>tat/web/circular-economy</w:t>
        </w:r>
      </w:hyperlink>
      <w:r>
        <w:t xml:space="preserve">. </w:t>
      </w:r>
    </w:p>
  </w:footnote>
  <w:footnote w:id="9">
    <w:p w:rsidR="00E16CB9" w:rsidRDefault="00334830">
      <w:pPr>
        <w:pStyle w:val="FootnoteText"/>
        <w:rPr>
          <w:sz w:val="16"/>
        </w:rPr>
      </w:pPr>
      <w:r>
        <w:rPr>
          <w:rStyle w:val="FootnoteReference"/>
        </w:rPr>
        <w:footnoteRef/>
      </w:r>
      <w:r>
        <w:rPr>
          <w:sz w:val="16"/>
        </w:rPr>
        <w:t xml:space="preserve"> </w:t>
      </w:r>
      <w:r>
        <w:t>Vir: Andreas Mayer, Willi Haas, Dominik Wiedenhofer, Fridolin Krausmann, Philip Nuss, Gian Andrea Blengini (v postopku objave): Monitoring the circular economy in the EU28 – A mass-balanced assessment of economy wide material f</w:t>
      </w:r>
      <w:r>
        <w:t>lows, waste and emissions from official statistics (Spremljanje krožnega gospodarstva v EU-28 – ocena tokov materialov, odpadkov in emisij na osnovi mase za celotno gospodarstvo po uradnih statistikah). V: Journal of Industrial Ecology.</w:t>
      </w:r>
    </w:p>
  </w:footnote>
  <w:footnote w:id="10">
    <w:p w:rsidR="00E16CB9" w:rsidRDefault="00334830">
      <w:pPr>
        <w:pStyle w:val="FootnoteText"/>
      </w:pPr>
      <w:r>
        <w:rPr>
          <w:rStyle w:val="FootnoteReference"/>
        </w:rPr>
        <w:footnoteRef/>
      </w:r>
      <w:r>
        <w:t xml:space="preserve"> Uporaba za proizv</w:t>
      </w:r>
      <w:r>
        <w:t>odnjo energije zajema surovine, ki se uporabljajo za zgorevanje ter proizvodnjo hrane in krme.</w:t>
      </w:r>
    </w:p>
  </w:footnote>
  <w:footnote w:id="11">
    <w:p w:rsidR="00E16CB9" w:rsidRDefault="00334830">
      <w:pPr>
        <w:pStyle w:val="FootnoteText"/>
      </w:pPr>
      <w:r>
        <w:rPr>
          <w:rStyle w:val="FootnoteReference"/>
        </w:rPr>
        <w:footnoteRef/>
      </w:r>
      <w:r>
        <w:t xml:space="preserve"> </w:t>
      </w:r>
      <w:hyperlink r:id="rId7" w:history="1">
        <w:r>
          <w:rPr>
            <w:rStyle w:val="Hyperlink"/>
          </w:rPr>
          <w:t>https://ec.europa.eu/info/law/better-regulation/initiatives/ar</w:t>
        </w:r>
        <w:r>
          <w:rPr>
            <w:rStyle w:val="Hyperlink"/>
          </w:rPr>
          <w:t>es-2017-1830357_en</w:t>
        </w:r>
      </w:hyperlink>
      <w:r>
        <w:t>.</w:t>
      </w:r>
    </w:p>
  </w:footnote>
  <w:footnote w:id="12">
    <w:p w:rsidR="00E16CB9" w:rsidRDefault="00334830">
      <w:pPr>
        <w:pStyle w:val="FootnoteText"/>
      </w:pPr>
      <w:r>
        <w:rPr>
          <w:rStyle w:val="FootnoteReference"/>
        </w:rPr>
        <w:footnoteRef/>
      </w:r>
      <w:r>
        <w:t xml:space="preserve"> Osebe, ki pripravljajo uradno statistiko o okoljskih računih, in strokovnjaki za učinkovito rabo virov / integrirano politiko za proizvode in politiko surovin: </w:t>
      </w:r>
      <w:hyperlink r:id="rId8" w:history="1">
        <w:r>
          <w:rPr>
            <w:rStyle w:val="Hyperlink"/>
          </w:rPr>
          <w:t>http://ec.europa.eu/transparency/regexpert/index.cfm?do=groupDetail.groupDetail&amp;groupID=2673</w:t>
        </w:r>
      </w:hyperlink>
      <w:r>
        <w:rPr>
          <w:rStyle w:val="Hyperlink"/>
        </w:rPr>
        <w:t>http://ec.europa.eu/transparency/regexpert/index.cfm?do=groupDetail.groupDetail&amp;groupID=2673</w:t>
      </w:r>
      <w:r>
        <w:t xml:space="preserve">, </w:t>
      </w:r>
      <w:hyperlink r:id="rId9" w:history="1">
        <w:r>
          <w:rPr>
            <w:rStyle w:val="Hyperlink"/>
          </w:rPr>
          <w:t>http://ec.europa.eu/transparency/regexpert/index.cfm?do=groupDetail.groupDetail&amp;groupID=470</w:t>
        </w:r>
      </w:hyperlink>
      <w:r>
        <w:rPr>
          <w:rStyle w:val="Hyperlink"/>
        </w:rPr>
        <w:t>http://ec.europa.eu/transparency/regexpert/index.cfm?do=groupDetail.groupDetail&amp;groupID=470</w:t>
      </w:r>
      <w:r>
        <w:t>,</w:t>
      </w:r>
      <w:r>
        <w:t xml:space="preserve"> </w:t>
      </w:r>
      <w:hyperlink r:id="rId10" w:history="1">
        <w:r>
          <w:rPr>
            <w:rStyle w:val="Hyperlink"/>
          </w:rPr>
          <w:t>http://ec.europa.eu/transparency/regexpert/index.cfm?do=groupDetail.groupDetail&amp;groupID=2812</w:t>
        </w:r>
      </w:hyperlink>
      <w:r>
        <w:rPr>
          <w:rStyle w:val="Hyperlink"/>
        </w:rPr>
        <w:t>http://ec.europa.eu/transparency/regexpert/index.cfm?d</w:t>
      </w:r>
      <w:r>
        <w:rPr>
          <w:rStyle w:val="Hyperlink"/>
        </w:rPr>
        <w:t>o=groupDetail.groupDetail&amp;groupID=2812</w:t>
      </w:r>
      <w:r>
        <w:t xml:space="preserve">, </w:t>
      </w:r>
      <w:hyperlink r:id="rId11" w:history="1">
        <w:r>
          <w:rPr>
            <w:rStyle w:val="Hyperlink"/>
          </w:rPr>
          <w:t>http://ec.europa.eu/transparency/regexpert/index.cfm?do=groupDetail.groupDetail&amp;groupID=1353</w:t>
        </w:r>
      </w:hyperlink>
      <w:r>
        <w:rPr>
          <w:rStyle w:val="Hyperlink"/>
        </w:rPr>
        <w:t>http://ec.europ</w:t>
      </w:r>
      <w:r>
        <w:rPr>
          <w:rStyle w:val="Hyperlink"/>
        </w:rPr>
        <w:t>a.eu/transparency/regexpert/index.cfm?do=groupDetail.groupDetail&amp;groupID=1353</w:t>
      </w:r>
      <w:r>
        <w:t>.</w:t>
      </w:r>
    </w:p>
  </w:footnote>
  <w:footnote w:id="13">
    <w:p w:rsidR="00E16CB9" w:rsidRDefault="00334830">
      <w:pPr>
        <w:pStyle w:val="FootnoteText"/>
      </w:pPr>
      <w:r>
        <w:rPr>
          <w:rStyle w:val="FootnoteReference"/>
        </w:rPr>
        <w:footnoteRef/>
      </w:r>
      <w:r>
        <w:t xml:space="preserve"> COM(2015) 595 final.</w:t>
      </w:r>
    </w:p>
  </w:footnote>
  <w:footnote w:id="14">
    <w:p w:rsidR="00E16CB9" w:rsidRDefault="00334830">
      <w:pPr>
        <w:pStyle w:val="FootnoteText"/>
      </w:pPr>
      <w:r>
        <w:rPr>
          <w:rStyle w:val="FootnoteReference"/>
        </w:rPr>
        <w:footnoteRef/>
      </w:r>
      <w:r>
        <w:t xml:space="preserve"> </w:t>
      </w:r>
      <w:hyperlink r:id="rId12" w:history="1">
        <w:r>
          <w:rPr>
            <w:rStyle w:val="Hyperlink"/>
          </w:rPr>
          <w:t>COM(2015) 596 final</w:t>
        </w:r>
      </w:hyperlink>
      <w:r>
        <w:rPr>
          <w:rStyle w:val="Hyperlink"/>
        </w:rPr>
        <w:t>.</w:t>
      </w:r>
    </w:p>
  </w:footnote>
  <w:footnote w:id="15">
    <w:p w:rsidR="00E16CB9" w:rsidRDefault="00334830">
      <w:pPr>
        <w:pStyle w:val="FootnoteText"/>
      </w:pPr>
      <w:r>
        <w:rPr>
          <w:rStyle w:val="FootnoteReference"/>
        </w:rPr>
        <w:footnoteRef/>
      </w:r>
      <w:r>
        <w:t xml:space="preserve"> </w:t>
      </w:r>
      <w:hyperlink r:id="rId13" w:history="1">
        <w:r>
          <w:rPr>
            <w:rStyle w:val="Hyperlink"/>
          </w:rPr>
          <w:t>http://rmis.jrc.ec.europa.eu/</w:t>
        </w:r>
      </w:hyperlink>
      <w:r>
        <w:t>.</w:t>
      </w:r>
    </w:p>
  </w:footnote>
  <w:footnote w:id="16">
    <w:p w:rsidR="00E16CB9" w:rsidRDefault="00334830">
      <w:pPr>
        <w:pStyle w:val="FootnoteText"/>
      </w:pPr>
      <w:r>
        <w:rPr>
          <w:rStyle w:val="FootnoteReference"/>
        </w:rPr>
        <w:footnoteRef/>
      </w:r>
      <w:r>
        <w:t xml:space="preserve"> COM(2017) 490.</w:t>
      </w:r>
    </w:p>
  </w:footnote>
  <w:footnote w:id="17">
    <w:p w:rsidR="00E16CB9" w:rsidRDefault="00334830">
      <w:pPr>
        <w:pStyle w:val="FootnoteText"/>
      </w:pPr>
      <w:r>
        <w:rPr>
          <w:rStyle w:val="FootnoteReference"/>
        </w:rPr>
        <w:footnoteRef/>
      </w:r>
      <w:r>
        <w:t xml:space="preserve"> Npr. kobalt za akumulatorje v električnih avtomobilih, silicij za sončne panele. </w:t>
      </w:r>
    </w:p>
  </w:footnote>
  <w:footnote w:id="18">
    <w:p w:rsidR="00E16CB9" w:rsidRDefault="00334830">
      <w:pPr>
        <w:pStyle w:val="FootnoteText"/>
      </w:pPr>
      <w:r>
        <w:rPr>
          <w:rStyle w:val="FootnoteReference"/>
        </w:rPr>
        <w:footnoteRef/>
      </w:r>
      <w:r>
        <w:t xml:space="preserve"> </w:t>
      </w:r>
      <w:hyperlink r:id="rId14" w:history="1">
        <w:r>
          <w:rPr>
            <w:rStyle w:val="Hyperlink"/>
          </w:rPr>
          <w:t>http://ec.europa.eu/environment/gpp/index_en.htm</w:t>
        </w:r>
      </w:hyperlink>
      <w:r>
        <w:t xml:space="preserve">. </w:t>
      </w:r>
    </w:p>
  </w:footnote>
  <w:footnote w:id="19">
    <w:p w:rsidR="00E16CB9" w:rsidRDefault="00334830">
      <w:pPr>
        <w:pStyle w:val="FootnoteText"/>
      </w:pPr>
      <w:r>
        <w:rPr>
          <w:rStyle w:val="FootnoteReference"/>
        </w:rPr>
        <w:footnoteRef/>
      </w:r>
      <w:r>
        <w:t xml:space="preserve"> Odpadki iz gospodinjstev in javnih prostorov ter podobni odpadki iz drugih virov.</w:t>
      </w:r>
    </w:p>
  </w:footnote>
  <w:footnote w:id="20">
    <w:p w:rsidR="00E16CB9" w:rsidRDefault="00334830">
      <w:pPr>
        <w:pStyle w:val="FootnoteText"/>
      </w:pPr>
      <w:r>
        <w:rPr>
          <w:rStyle w:val="FootnoteReference"/>
        </w:rPr>
        <w:footnoteRef/>
      </w:r>
      <w:r>
        <w:t xml:space="preserve"> Nekatere razlike je mogoče pojasniti z razlikami v načinu meritev nastajanja odpadkov med državami članicami.</w:t>
      </w:r>
    </w:p>
  </w:footnote>
  <w:footnote w:id="21">
    <w:p w:rsidR="00E16CB9" w:rsidRDefault="00334830">
      <w:pPr>
        <w:pStyle w:val="FootnoteText"/>
      </w:pPr>
      <w:r>
        <w:rPr>
          <w:rStyle w:val="FootnoteReference"/>
        </w:rPr>
        <w:footnoteRef/>
      </w:r>
      <w:r>
        <w:t xml:space="preserve"> </w:t>
      </w:r>
      <w:hyperlink r:id="rId15" w:history="1">
        <w:r>
          <w:rPr>
            <w:rStyle w:val="Hyperlink"/>
          </w:rPr>
          <w:t>https://ec.europa.eu/food/safety/food_waste/eu_actions_en</w:t>
        </w:r>
      </w:hyperlink>
      <w:r>
        <w:t xml:space="preserve">. </w:t>
      </w:r>
    </w:p>
  </w:footnote>
  <w:footnote w:id="22">
    <w:p w:rsidR="00E16CB9" w:rsidRDefault="00334830">
      <w:pPr>
        <w:pStyle w:val="FootnoteText"/>
      </w:pPr>
      <w:r>
        <w:rPr>
          <w:rStyle w:val="FootnoteReference"/>
        </w:rPr>
        <w:footnoteRef/>
      </w:r>
      <w:r>
        <w:t xml:space="preserve"> COM(2015) 595 final.</w:t>
      </w:r>
    </w:p>
  </w:footnote>
  <w:footnote w:id="23">
    <w:p w:rsidR="00E16CB9" w:rsidRDefault="00334830">
      <w:pPr>
        <w:pStyle w:val="FootnoteText"/>
      </w:pPr>
      <w:r>
        <w:rPr>
          <w:rStyle w:val="FootnoteReference"/>
        </w:rPr>
        <w:footnoteRef/>
      </w:r>
      <w:r>
        <w:t xml:space="preserve"> Razlike je mogoče deloma pojasniti s tem, da države članice uporabljajo različne metode za izračun delež</w:t>
      </w:r>
      <w:r>
        <w:t>ev recikliranja. Komisija je v svojem zakonodajnem predlogu o odpadkih predlagala skupno metodo.</w:t>
      </w:r>
    </w:p>
  </w:footnote>
  <w:footnote w:id="24">
    <w:p w:rsidR="00E16CB9" w:rsidRDefault="00334830">
      <w:pPr>
        <w:pStyle w:val="FootnoteText"/>
      </w:pPr>
      <w:r>
        <w:rPr>
          <w:rStyle w:val="FootnoteReference"/>
        </w:rPr>
        <w:footnoteRef/>
      </w:r>
      <w:r>
        <w:t xml:space="preserve"> </w:t>
      </w:r>
      <w:hyperlink r:id="rId16" w:history="1">
        <w:r>
          <w:rPr>
            <w:rStyle w:val="Hyperlink"/>
          </w:rPr>
          <w:t>COM(2015) 596 final</w:t>
        </w:r>
      </w:hyperlink>
      <w:r>
        <w:rPr>
          <w:rStyle w:val="Hyperlink"/>
        </w:rPr>
        <w:t>.</w:t>
      </w:r>
    </w:p>
  </w:footnote>
  <w:footnote w:id="25">
    <w:p w:rsidR="00E16CB9" w:rsidRDefault="00334830">
      <w:pPr>
        <w:pStyle w:val="FootnoteText"/>
      </w:pPr>
      <w:r>
        <w:rPr>
          <w:rStyle w:val="FootnoteReference"/>
        </w:rPr>
        <w:footnoteRef/>
      </w:r>
      <w:r>
        <w:t xml:space="preserve"> Oziroma pripravljena za ponovno uporabo.</w:t>
      </w:r>
    </w:p>
  </w:footnote>
  <w:footnote w:id="26">
    <w:p w:rsidR="00E16CB9" w:rsidRDefault="00334830">
      <w:pPr>
        <w:pStyle w:val="FootnoteText"/>
      </w:pPr>
      <w:r>
        <w:rPr>
          <w:rStyle w:val="FootnoteReference"/>
        </w:rPr>
        <w:footnoteRef/>
      </w:r>
      <w:r>
        <w:t xml:space="preserve"> V cilj</w:t>
      </w:r>
      <w:r>
        <w:t>ni vrednosti ni zajeto samo recikliranje, ampak tudi ponovna uporaba in druga predelava materiala, vključno z zasipanjem z neškodljivimi gradbenimi odpadki in odpadki iz rušenja objektov, razen materiala, ki se pojavlja v naravi.</w:t>
      </w:r>
    </w:p>
  </w:footnote>
  <w:footnote w:id="27">
    <w:p w:rsidR="00E16CB9" w:rsidRDefault="00334830">
      <w:pPr>
        <w:pStyle w:val="FootnoteText"/>
      </w:pPr>
      <w:r>
        <w:rPr>
          <w:rStyle w:val="FootnoteReference"/>
        </w:rPr>
        <w:footnoteRef/>
      </w:r>
      <w:r>
        <w:t xml:space="preserve"> Postopek predelave, pri </w:t>
      </w:r>
      <w:r>
        <w:t>katerem se primerni odpadki uporabljajo za obnavljanje izkopanih območij ali oblikovanje pri urejanju krajine.</w:t>
      </w:r>
    </w:p>
  </w:footnote>
  <w:footnote w:id="28">
    <w:p w:rsidR="00E16CB9" w:rsidRDefault="00334830">
      <w:pPr>
        <w:pStyle w:val="FootnoteText"/>
      </w:pPr>
      <w:r>
        <w:rPr>
          <w:rStyle w:val="FootnoteReference"/>
        </w:rPr>
        <w:footnoteRef/>
      </w:r>
      <w:r>
        <w:t xml:space="preserve"> Tj. dejavnosti predelave in recikliranja. H krožnemu gospodarstvu lahko sicer prispevajo tudi dejavnosti najema in dajanja v zakup, vendar zaen</w:t>
      </w:r>
      <w:r>
        <w:t>krat niso zajete, ker sedanja statistika morda ne razlikuje dovolj podrobno tistih dejavnosti, ki nedvomno prispevajo h krožnemu gospodarstvu, od tistih, ki ne prispevajo k njemu. Več podrobnosti je v delovnem dokumentu služb Komisije.</w:t>
      </w:r>
    </w:p>
  </w:footnote>
  <w:footnote w:id="29">
    <w:p w:rsidR="00E16CB9" w:rsidRDefault="00334830">
      <w:pPr>
        <w:pStyle w:val="FootnoteText"/>
      </w:pPr>
      <w:r>
        <w:rPr>
          <w:rStyle w:val="FootnoteReference"/>
        </w:rPr>
        <w:footnoteRef/>
      </w:r>
      <w:r>
        <w:t xml:space="preserve"> </w:t>
      </w:r>
      <w:hyperlink r:id="rId17" w:history="1">
        <w:r>
          <w:rPr>
            <w:rStyle w:val="Hyperlink"/>
          </w:rPr>
          <w:t>http://ec.europa.eu/eurostat/web/circular-economy</w:t>
        </w:r>
      </w:hyperlink>
      <w:r>
        <w:rPr>
          <w:rStyle w:val="Hyperlink"/>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CB9" w:rsidRDefault="00E16C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CB9" w:rsidRDefault="00E16CB9">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CB9" w:rsidRDefault="00E16CB9">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CB9" w:rsidRDefault="00E16CB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CB9" w:rsidRDefault="00E16CB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CB9" w:rsidRDefault="00E16C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B1868"/>
    <w:multiLevelType w:val="hybridMultilevel"/>
    <w:tmpl w:val="02501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0119D5"/>
    <w:multiLevelType w:val="hybridMultilevel"/>
    <w:tmpl w:val="882810D6"/>
    <w:lvl w:ilvl="0" w:tplc="640A2BD4">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CD17B9D"/>
    <w:multiLevelType w:val="hybridMultilevel"/>
    <w:tmpl w:val="064CD4BA"/>
    <w:lvl w:ilvl="0" w:tplc="4BA2E96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gnus Gislev">
    <w15:presenceInfo w15:providerId="None" w15:userId="Magnus Gisl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7CE676FA-5721-4D18-87C4-9DAB4C309A2E"/>
    <w:docVar w:name="LW_COVERPAGE_TYPE" w:val="1"/>
    <w:docVar w:name="LW_CROSSREFERENCE" w:val="{SWD(2018) 17 final}"/>
    <w:docVar w:name="LW_DocType" w:val="NORMAL"/>
    <w:docVar w:name="LW_EMISSION" w:val="16.1.2018"/>
    <w:docVar w:name="LW_EMISSION_ISODATE" w:val="2018-01-16"/>
    <w:docVar w:name="LW_EMISSION_LOCATION" w:val="STR"/>
    <w:docVar w:name="LW_EMISSION_PREFIX" w:val="Strasbourg, "/>
    <w:docVar w:name="LW_EMISSION_SUFFIX" w:val="&lt;EMPTY&gt;"/>
    <w:docVar w:name="LW_ID_DOCTYPE_NONLW" w:val="CP-014"/>
    <w:docVar w:name="LW_LANGUE" w:val="SL"/>
    <w:docVar w:name="LW_LEVEL_OF_SENSITIVITY" w:val="Standard treatment"/>
    <w:docVar w:name="LW_NOM.INST" w:val="EVROPSKA KOMISIJA"/>
    <w:docVar w:name="LW_NOM.INST_JOINTDOC" w:val="&lt;EMPTY&gt;"/>
    <w:docVar w:name="LW_PART_NBR" w:val="1"/>
    <w:docVar w:name="LW_PART_NBR_TOTAL" w:val="1"/>
    <w:docVar w:name="LW_REF.INST.NEW" w:val="COM"/>
    <w:docVar w:name="LW_REF.INST.NEW_ADOPTED" w:val="final"/>
    <w:docVar w:name="LW_REF.INST.NEW_TEXT" w:val="(2018) 2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o okviru za spremljanje kro\u382?nega gospodarstva"/>
    <w:docVar w:name="LW_TYPE.DOC.CP" w:val="SPORO\u268?ILO KOMISIJE EVROPSKEMU PARLAMENTU, SVETU, EVROPSKEMU EKONOMSKO-SOCIALNEMU ODBORU IN ODBORU REGIJ"/>
    <w:docVar w:name="LW_TYPE.DOC.CP.USERTEXT" w:val="&lt;EMPTY&gt;"/>
    <w:docVar w:name="Stamp" w:val="\\dossiers.dgt.cec.eu.int\dossiers\ENV\ENV-2017-00787\ENV-2017-00787-00-00-EN-REV-00.201710201550353413389.DOCX"/>
  </w:docVars>
  <w:rsids>
    <w:rsidRoot w:val="00E16CB9"/>
    <w:rsid w:val="00334830"/>
    <w:rsid w:val="00E16C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pPr>
      <w:numPr>
        <w:numId w:val="1"/>
      </w:numPr>
      <w:spacing w:after="120"/>
      <w:ind w:left="425" w:hanging="357"/>
      <w:contextualSpacing w:val="0"/>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b/>
    </w:rPr>
  </w:style>
  <w:style w:type="paragraph" w:customStyle="1" w:styleId="Pagedecouverture">
    <w:name w:val="Page de couverture"/>
    <w:basedOn w:val="Normal"/>
    <w:next w:val="Normal"/>
    <w:pPr>
      <w:spacing w:after="0" w:line="240" w:lineRule="auto"/>
      <w:jc w:val="both"/>
    </w:pPr>
    <w:rPr>
      <w:rFonts w:cs="Times New Roman"/>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style>
  <w:style w:type="character" w:customStyle="1" w:styleId="FooterCoverPageChar">
    <w:name w:val="Footer Cover Page Char"/>
    <w:basedOn w:val="DefaultParagraphFont"/>
    <w:link w:val="FooterCoverPage"/>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style>
  <w:style w:type="paragraph" w:styleId="FootnoteText">
    <w:name w:val="footnote text"/>
    <w:aliases w:val="footnote,Footnote text,fn,Schriftart: 9 pt,Schriftart: 10 pt,Schriftart: 8 pt,WB-Fußnotentext,Footnote Text_EP-LCA,Text_EP-LCA,Char5,Text,Reference,Fußnote,Footnote Text Char Char,Footnote Text Char Char Char Char,Footnote Text1,o,Fußn,f"/>
    <w:basedOn w:val="Normal"/>
    <w:uiPriority w:val="99"/>
    <w:unhideWhenUsed/>
    <w:qFormat/>
    <w:pPr>
      <w:spacing w:after="0" w:line="240" w:lineRule="auto"/>
    </w:pPr>
    <w:rPr>
      <w:sz w:val="20"/>
      <w:szCs w:val="20"/>
    </w:rPr>
  </w:style>
  <w:style w:type="character" w:customStyle="1" w:styleId="FootnoteTextChar">
    <w:name w:val="Footnote Text Char"/>
    <w:aliases w:val="footnote Char,Footnote text Char,fn Char,Schriftart: 9 pt Char,Schriftart: 10 pt Char,Schriftart: 8 pt Char,WB-Fußnotentext Char,Footnote Text_EP-LCA Char,Text_EP-LCA Char,Char5 Char,Text Char,Reference Char,Fußnote Char,o Char,f Char"/>
    <w:basedOn w:val="DefaultParagraphFont"/>
    <w:uiPriority w:val="99"/>
    <w:rPr>
      <w:sz w:val="20"/>
      <w:szCs w:val="20"/>
    </w:rPr>
  </w:style>
  <w:style w:type="character" w:styleId="FootnoteReference">
    <w:name w:val="footnote reference"/>
    <w:aliases w:val="Footnote symbol,Footnote reference number,Footnote,Times 10 Point,Exposant 3 Point,Ref,de nota al pie,note TESI,SUPERS,EN Footnote Reference,EN Footnote text,number,no...,(Footnote Reference),Footnote Reference_EP-LCA"/>
    <w:basedOn w:val="DefaultParagraphFont"/>
    <w:unhideWhenUsed/>
    <w:rPr>
      <w:vertAlign w:val="superscript"/>
    </w:rPr>
  </w:style>
  <w:style w:type="paragraph" w:customStyle="1" w:styleId="Figurecaption">
    <w:name w:val="Figure caption"/>
    <w:basedOn w:val="Normal"/>
    <w:link w:val="FigurecaptionChar"/>
    <w:qFormat/>
    <w:pPr>
      <w:spacing w:after="120"/>
    </w:pPr>
    <w:rPr>
      <w:rFonts w:cs="Arial"/>
      <w:b/>
      <w:sz w:val="20"/>
      <w:szCs w:val="20"/>
    </w:rPr>
  </w:style>
  <w:style w:type="character" w:customStyle="1" w:styleId="FigurecaptionChar">
    <w:name w:val="Figure caption Char"/>
    <w:basedOn w:val="DefaultParagraphFont"/>
    <w:link w:val="Figurecaption"/>
    <w:rPr>
      <w:rFonts w:cs="Arial"/>
      <w:b/>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table" w:styleId="TableGrid">
    <w:name w:val="Table Grid"/>
    <w:basedOn w:val="TableNormal"/>
    <w:uiPriority w:val="3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qFormat/>
    <w:pPr>
      <w:widowControl w:val="0"/>
      <w:autoSpaceDE w:val="0"/>
      <w:autoSpaceDN w:val="0"/>
      <w:adjustRightInd w:val="0"/>
      <w:spacing w:after="113" w:line="236" w:lineRule="atLeast"/>
      <w:jc w:val="both"/>
      <w:textAlignment w:val="center"/>
    </w:pPr>
    <w:rPr>
      <w:rFonts w:ascii="Arial" w:eastAsia="Cambria" w:hAnsi="Arial" w:cs="Times-Roman"/>
      <w:color w:val="000000"/>
      <w:sz w:val="19"/>
      <w:szCs w:val="16"/>
      <w:lang w:eastAsia="en-GB"/>
    </w:rPr>
  </w:style>
  <w:style w:type="character" w:customStyle="1" w:styleId="BodyChar">
    <w:name w:val="Body Char"/>
    <w:link w:val="Body"/>
    <w:rPr>
      <w:rFonts w:ascii="Arial" w:eastAsia="Cambria" w:hAnsi="Arial" w:cs="Times-Roman"/>
      <w:color w:val="000000"/>
      <w:sz w:val="19"/>
      <w:szCs w:val="16"/>
      <w:lang w:eastAsia="en-GB"/>
    </w:rPr>
  </w:style>
  <w:style w:type="character" w:styleId="Hyperlink">
    <w:name w:val="Hyperlink"/>
    <w:basedOn w:val="DefaultParagraphFont"/>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customStyle="1" w:styleId="Marker">
    <w:name w:val="Marker"/>
    <w:basedOn w:val="DefaultParagraphFont"/>
    <w:rPr>
      <w:color w:val="0000FF"/>
      <w:shd w:val="clear" w:color="auto" w:fill="auto"/>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Heading1Char"/>
    <w:link w:val="FooterSensitivity"/>
    <w:rPr>
      <w:b/>
      <w:sz w:val="32"/>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Heading1Char"/>
    <w:link w:val="HeaderSensitivity"/>
    <w:rPr>
      <w:b/>
      <w:sz w:val="32"/>
    </w:rPr>
  </w:style>
  <w:style w:type="character" w:styleId="FollowedHyperlink">
    <w:name w:val="FollowedHyperlink"/>
    <w:basedOn w:val="DefaultParagraphFont"/>
    <w:uiPriority w:val="99"/>
    <w:semiHidden/>
    <w:unhideWhenUsed/>
    <w:rsid w:val="0033483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pPr>
      <w:numPr>
        <w:numId w:val="1"/>
      </w:numPr>
      <w:spacing w:after="120"/>
      <w:ind w:left="425" w:hanging="357"/>
      <w:contextualSpacing w:val="0"/>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b/>
    </w:rPr>
  </w:style>
  <w:style w:type="paragraph" w:customStyle="1" w:styleId="Pagedecouverture">
    <w:name w:val="Page de couverture"/>
    <w:basedOn w:val="Normal"/>
    <w:next w:val="Normal"/>
    <w:pPr>
      <w:spacing w:after="0" w:line="240" w:lineRule="auto"/>
      <w:jc w:val="both"/>
    </w:pPr>
    <w:rPr>
      <w:rFonts w:cs="Times New Roman"/>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style>
  <w:style w:type="character" w:customStyle="1" w:styleId="FooterCoverPageChar">
    <w:name w:val="Footer Cover Page Char"/>
    <w:basedOn w:val="DefaultParagraphFont"/>
    <w:link w:val="FooterCoverPage"/>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style>
  <w:style w:type="paragraph" w:styleId="FootnoteText">
    <w:name w:val="footnote text"/>
    <w:aliases w:val="footnote,Footnote text,fn,Schriftart: 9 pt,Schriftart: 10 pt,Schriftart: 8 pt,WB-Fußnotentext,Footnote Text_EP-LCA,Text_EP-LCA,Char5,Text,Reference,Fußnote,Footnote Text Char Char,Footnote Text Char Char Char Char,Footnote Text1,o,Fußn,f"/>
    <w:basedOn w:val="Normal"/>
    <w:uiPriority w:val="99"/>
    <w:unhideWhenUsed/>
    <w:qFormat/>
    <w:pPr>
      <w:spacing w:after="0" w:line="240" w:lineRule="auto"/>
    </w:pPr>
    <w:rPr>
      <w:sz w:val="20"/>
      <w:szCs w:val="20"/>
    </w:rPr>
  </w:style>
  <w:style w:type="character" w:customStyle="1" w:styleId="FootnoteTextChar">
    <w:name w:val="Footnote Text Char"/>
    <w:aliases w:val="footnote Char,Footnote text Char,fn Char,Schriftart: 9 pt Char,Schriftart: 10 pt Char,Schriftart: 8 pt Char,WB-Fußnotentext Char,Footnote Text_EP-LCA Char,Text_EP-LCA Char,Char5 Char,Text Char,Reference Char,Fußnote Char,o Char,f Char"/>
    <w:basedOn w:val="DefaultParagraphFont"/>
    <w:uiPriority w:val="99"/>
    <w:rPr>
      <w:sz w:val="20"/>
      <w:szCs w:val="20"/>
    </w:rPr>
  </w:style>
  <w:style w:type="character" w:styleId="FootnoteReference">
    <w:name w:val="footnote reference"/>
    <w:aliases w:val="Footnote symbol,Footnote reference number,Footnote,Times 10 Point,Exposant 3 Point,Ref,de nota al pie,note TESI,SUPERS,EN Footnote Reference,EN Footnote text,number,no...,(Footnote Reference),Footnote Reference_EP-LCA"/>
    <w:basedOn w:val="DefaultParagraphFont"/>
    <w:unhideWhenUsed/>
    <w:rPr>
      <w:vertAlign w:val="superscript"/>
    </w:rPr>
  </w:style>
  <w:style w:type="paragraph" w:customStyle="1" w:styleId="Figurecaption">
    <w:name w:val="Figure caption"/>
    <w:basedOn w:val="Normal"/>
    <w:link w:val="FigurecaptionChar"/>
    <w:qFormat/>
    <w:pPr>
      <w:spacing w:after="120"/>
    </w:pPr>
    <w:rPr>
      <w:rFonts w:cs="Arial"/>
      <w:b/>
      <w:sz w:val="20"/>
      <w:szCs w:val="20"/>
    </w:rPr>
  </w:style>
  <w:style w:type="character" w:customStyle="1" w:styleId="FigurecaptionChar">
    <w:name w:val="Figure caption Char"/>
    <w:basedOn w:val="DefaultParagraphFont"/>
    <w:link w:val="Figurecaption"/>
    <w:rPr>
      <w:rFonts w:cs="Arial"/>
      <w:b/>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table" w:styleId="TableGrid">
    <w:name w:val="Table Grid"/>
    <w:basedOn w:val="TableNormal"/>
    <w:uiPriority w:val="3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qFormat/>
    <w:pPr>
      <w:widowControl w:val="0"/>
      <w:autoSpaceDE w:val="0"/>
      <w:autoSpaceDN w:val="0"/>
      <w:adjustRightInd w:val="0"/>
      <w:spacing w:after="113" w:line="236" w:lineRule="atLeast"/>
      <w:jc w:val="both"/>
      <w:textAlignment w:val="center"/>
    </w:pPr>
    <w:rPr>
      <w:rFonts w:ascii="Arial" w:eastAsia="Cambria" w:hAnsi="Arial" w:cs="Times-Roman"/>
      <w:color w:val="000000"/>
      <w:sz w:val="19"/>
      <w:szCs w:val="16"/>
      <w:lang w:eastAsia="en-GB"/>
    </w:rPr>
  </w:style>
  <w:style w:type="character" w:customStyle="1" w:styleId="BodyChar">
    <w:name w:val="Body Char"/>
    <w:link w:val="Body"/>
    <w:rPr>
      <w:rFonts w:ascii="Arial" w:eastAsia="Cambria" w:hAnsi="Arial" w:cs="Times-Roman"/>
      <w:color w:val="000000"/>
      <w:sz w:val="19"/>
      <w:szCs w:val="16"/>
      <w:lang w:eastAsia="en-GB"/>
    </w:rPr>
  </w:style>
  <w:style w:type="character" w:styleId="Hyperlink">
    <w:name w:val="Hyperlink"/>
    <w:basedOn w:val="DefaultParagraphFont"/>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character" w:customStyle="1" w:styleId="Marker">
    <w:name w:val="Marker"/>
    <w:basedOn w:val="DefaultParagraphFont"/>
    <w:rPr>
      <w:color w:val="0000FF"/>
      <w:shd w:val="clear" w:color="auto" w:fill="auto"/>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b/>
      <w:sz w:val="32"/>
    </w:rPr>
  </w:style>
  <w:style w:type="character" w:customStyle="1" w:styleId="FooterSensitivityChar">
    <w:name w:val="Footer Sensitivity Char"/>
    <w:basedOn w:val="Heading1Char"/>
    <w:link w:val="FooterSensitivity"/>
    <w:rPr>
      <w:b/>
      <w:sz w:val="32"/>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Heading1Char"/>
    <w:link w:val="HeaderSensitivity"/>
    <w:rPr>
      <w:b/>
      <w:sz w:val="32"/>
    </w:rPr>
  </w:style>
  <w:style w:type="character" w:styleId="FollowedHyperlink">
    <w:name w:val="FollowedHyperlink"/>
    <w:basedOn w:val="DefaultParagraphFont"/>
    <w:uiPriority w:val="99"/>
    <w:semiHidden/>
    <w:unhideWhenUsed/>
    <w:rsid w:val="003348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46489">
      <w:bodyDiv w:val="1"/>
      <w:marLeft w:val="0"/>
      <w:marRight w:val="0"/>
      <w:marTop w:val="0"/>
      <w:marBottom w:val="0"/>
      <w:divBdr>
        <w:top w:val="none" w:sz="0" w:space="0" w:color="auto"/>
        <w:left w:val="none" w:sz="0" w:space="0" w:color="auto"/>
        <w:bottom w:val="none" w:sz="0" w:space="0" w:color="auto"/>
        <w:right w:val="none" w:sz="0" w:space="0" w:color="auto"/>
      </w:divBdr>
    </w:div>
    <w:div w:id="17234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jpg"/><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jp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image" Target="media/image6.jpg"/><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jpg"/><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fontTable" Target="fontTable.xml"/><Relationship Id="rId30" Type="http://schemas.microsoft.com/office/2011/relationships/commentsExtended" Target="commentsExtended.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transparency/regexpert/index.cfm?do=groupDetail.groupDetail&amp;groupID=2673" TargetMode="External"/><Relationship Id="rId13" Type="http://schemas.openxmlformats.org/officeDocument/2006/relationships/hyperlink" Target="http://rmis.jrc.ec.europa.eu/" TargetMode="External"/><Relationship Id="rId3" Type="http://schemas.openxmlformats.org/officeDocument/2006/relationships/hyperlink" Target="http://www.europarl.europa.eu/oeil/popups/ficheprocedure.do?lang=en&amp;reference=2014/2208(INI)" TargetMode="External"/><Relationship Id="rId7" Type="http://schemas.openxmlformats.org/officeDocument/2006/relationships/hyperlink" Target="https://ec.europa.eu/info/law/better-regulation/initiatives/ares-2017-1830357_en" TargetMode="External"/><Relationship Id="rId12" Type="http://schemas.openxmlformats.org/officeDocument/2006/relationships/hyperlink" Target="http://eur-lex.europa.eu/legal-content/SL/TXT/?uri=CELEX:52015PC0596" TargetMode="External"/><Relationship Id="rId17" Type="http://schemas.openxmlformats.org/officeDocument/2006/relationships/hyperlink" Target="http://ec.europa.eu/eurostat/web/circular-economy" TargetMode="External"/><Relationship Id="rId2" Type="http://schemas.openxmlformats.org/officeDocument/2006/relationships/hyperlink" Target="http://www.consilium.europa.eu/en/press/press-releases/2016/06/20/envi-conclusions-circular-economy/pdf" TargetMode="External"/><Relationship Id="rId16" Type="http://schemas.openxmlformats.org/officeDocument/2006/relationships/hyperlink" Target="http://eur-lex.europa.eu/legal-content/SL/TXT/?uri=CELEX:52015PC0596" TargetMode="External"/><Relationship Id="rId1" Type="http://schemas.openxmlformats.org/officeDocument/2006/relationships/hyperlink" Target="https://ec.europa.eu/info/strategy/international-strategies/global-topics/sustainable-development-goals/eu-approach-sustainable-development_sl" TargetMode="External"/><Relationship Id="rId6" Type="http://schemas.openxmlformats.org/officeDocument/2006/relationships/hyperlink" Target="http://ec.europa.eu/eurostat/web/circular-economy" TargetMode="External"/><Relationship Id="rId11" Type="http://schemas.openxmlformats.org/officeDocument/2006/relationships/hyperlink" Target="http://ec.europa.eu/transparency/regexpert/index.cfm?do=groupDetail.groupDetail&amp;groupID=1353" TargetMode="External"/><Relationship Id="rId5" Type="http://schemas.openxmlformats.org/officeDocument/2006/relationships/hyperlink" Target="https://publications.europa.eu/en/publication-detail/-/publication/1ee65e21-9ac4-11e6-868c-01aa75ed71a1" TargetMode="External"/><Relationship Id="rId15" Type="http://schemas.openxmlformats.org/officeDocument/2006/relationships/hyperlink" Target="https://ec.europa.eu/food/safety/food_waste/eu_actions_en" TargetMode="External"/><Relationship Id="rId10" Type="http://schemas.openxmlformats.org/officeDocument/2006/relationships/hyperlink" Target="http://ec.europa.eu/transparency/regexpert/index.cfm?do=groupDetail.groupDetail&amp;groupID=2812" TargetMode="External"/><Relationship Id="rId4" Type="http://schemas.openxmlformats.org/officeDocument/2006/relationships/hyperlink" Target="http://ec.europa.eu/environment/resource_efficiency/targets_indicators/scoreboard/index_en.htm" TargetMode="External"/><Relationship Id="rId9" Type="http://schemas.openxmlformats.org/officeDocument/2006/relationships/hyperlink" Target="http://ec.europa.eu/transparency/regexpert/index.cfm?do=groupDetail.groupDetail&amp;groupID=470" TargetMode="External"/><Relationship Id="rId14" Type="http://schemas.openxmlformats.org/officeDocument/2006/relationships/hyperlink" Target="http://ec.europa.eu/environment/gpp/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D625F-4D8E-4E6E-BC33-81F132EF1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2745</Words>
  <Characters>15650</Characters>
  <Application>Microsoft Office Word</Application>
  <DocSecurity>0</DocSecurity>
  <Lines>130</Lines>
  <Paragraphs>36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Manager/>
  <Company/>
  <LinksUpToDate>false</LinksUpToDate>
  <CharactersWithSpaces>18359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24</cp:revision>
  <cp:lastPrinted>2018-01-08T15:21:00Z</cp:lastPrinted>
  <dcterms:created xsi:type="dcterms:W3CDTF">2018-01-12T15:01:00Z</dcterms:created>
  <dcterms:modified xsi:type="dcterms:W3CDTF">2018-01-19T09:50:00Z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name="OP_sanitized" fmtid="{D5CDD505-2E9C-101B-9397-08002B2CF9AE}" pid="6">
    <vt:lpwstr>True</vt:lpwstr>
  </property>
</Properties>
</file>