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A6614423-2AB5-48EC-870A-503AF9B95A2A" style="width:450.75pt;height:379.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OBRAZLOŽITVENI MEMORANDUM</w:t>
      </w:r>
    </w:p>
    <w:p>
      <w:pPr>
        <w:pStyle w:val="ManualHeading1"/>
        <w:rPr>
          <w:noProof/>
        </w:rPr>
      </w:pPr>
      <w:r>
        <w:rPr>
          <w:noProof/>
        </w:rPr>
        <w:t>1.</w:t>
      </w:r>
      <w:r>
        <w:rPr>
          <w:noProof/>
        </w:rPr>
        <w:tab/>
        <w:t>OZADJE PREDLOGA</w:t>
      </w:r>
    </w:p>
    <w:p>
      <w:pPr>
        <w:pStyle w:val="ManualHeading2"/>
        <w:rPr>
          <w:rFonts w:eastAsia="Arial Unicode MS"/>
          <w:noProof/>
        </w:rPr>
      </w:pPr>
      <w:r>
        <w:rPr>
          <w:noProof/>
          <w:color w:val="000000"/>
          <w:u w:color="000000"/>
          <w:bdr w:val="nil"/>
        </w:rPr>
        <w:t>•</w:t>
      </w:r>
      <w:r>
        <w:rPr>
          <w:noProof/>
        </w:rPr>
        <w:tab/>
      </w:r>
      <w:r>
        <w:rPr>
          <w:noProof/>
          <w:color w:val="000000"/>
          <w:u w:color="000000"/>
          <w:bdr w:val="nil"/>
        </w:rPr>
        <w:t>Ozadje</w:t>
      </w:r>
      <w:r>
        <w:rPr>
          <w:noProof/>
        </w:rPr>
        <w:t xml:space="preserve"> predloga</w:t>
      </w:r>
    </w:p>
    <w:p>
      <w:pPr>
        <w:spacing w:before="100" w:beforeAutospacing="1" w:after="100" w:afterAutospacing="1"/>
        <w:rPr>
          <w:noProof/>
        </w:rPr>
      </w:pPr>
      <w:r>
        <w:rPr>
          <w:noProof/>
        </w:rPr>
        <w:t>V zadnjih treh letih se je EU soočala s povečanjem nedovoljenih prehodov njene meje ter razvijajočo se in stalno nevarnostjo za notranjo varnost, kot jo dokazuje vrsta terorističnih napadov. Državljani EU pričakujejo, da je nadzor oseb na zunanjih mejah in znotraj schengenskega območja učinkovit, omogoča učinkovito upravljanje migracij in prispeva k notranji varnosti. Ti izzivi so opozorili na nujno potrebo po združitvi in celoviti okrepitvi informacijskih orodij EU za upravljanje meja, migracij in varnosti.</w:t>
      </w:r>
    </w:p>
    <w:p>
      <w:pPr>
        <w:spacing w:before="100" w:beforeAutospacing="1" w:after="100" w:afterAutospacing="1"/>
        <w:rPr>
          <w:noProof/>
          <w:szCs w:val="24"/>
        </w:rPr>
      </w:pPr>
      <w:r>
        <w:rPr>
          <w:noProof/>
        </w:rPr>
        <w:t xml:space="preserve">Upravljanje informacij v EU je lahko in mora biti uspešnejše in učinkovitejše ob popolnem spoštovanju temeljnih pravic, zlasti pravice do varstva osebnih podatkov, da bi se bolje zaščitile zunanje meje EU, izboljšalo upravljanje migracij in povečala notranja varnost v korist vseh državljanov. Na ravni EU so že številni informacijski sistemi in razvija se še več sistemov, da bi se mejnim policistom, uradnikom za priseljevanje in uradnikom organov kazenskega pregona zagotovile ustrezne informacije o osebah. Da bi bila ta podpora učinkovita, morajo biti informacije, ki jih zagotavljajo informacijski sistemi EU, popolne, točne in zanesljive. Vendar je arhitektura za upravljanje informacij na ravni EU strukturno pomanjkljiva. Nacionalni organi se soočajo z zapletenim okoljem različno upravljanih informacijskih sistemov. Poleg tega je arhitektura za upravljanje podatkov za meje in varnost razdrobljena, saj se informacije hranijo ločeno v nepovezane sisteme. To povzroča pomanjkljivosti. Posledično </w:t>
      </w:r>
      <w:r>
        <w:rPr>
          <w:b/>
          <w:noProof/>
        </w:rPr>
        <w:t>različni informacijski sistemi na ravni EU trenutno niso interoperabilni</w:t>
      </w:r>
      <w:r>
        <w:rPr>
          <w:noProof/>
        </w:rPr>
        <w:t>, kar pomeni, da ne omogočajo izmenjave podatkov in informacij, ki jih organi in pristojni uradniki v posameznih primerih potrebujejo. Interoperabilnost informacijskih sistemov na ravni EU lahko pomembno prispeva k odpravi pomanjkljivosti, pri katerih so osebe, vključno s tistimi, ki so morda vpletene v teroristične dejavnosti, lahko evidentirane v različnih nepovezanih podatkovnih zbirkah pod različnimi imeni.</w:t>
      </w:r>
    </w:p>
    <w:p>
      <w:pPr>
        <w:spacing w:before="100" w:beforeAutospacing="1" w:after="100" w:afterAutospacing="1"/>
        <w:rPr>
          <w:noProof/>
          <w:szCs w:val="24"/>
        </w:rPr>
      </w:pPr>
      <w:r>
        <w:rPr>
          <w:noProof/>
        </w:rPr>
        <w:t xml:space="preserve">Komisija je aprila 2016 predstavila </w:t>
      </w:r>
      <w:r>
        <w:rPr>
          <w:b/>
          <w:noProof/>
        </w:rPr>
        <w:t>sporočilo z naslovom „Trdnejši in pametnejši informacijski sistemi za meje in varnost“</w:t>
      </w:r>
      <w:r>
        <w:rPr>
          <w:rStyle w:val="FootnoteReference"/>
          <w:noProof/>
        </w:rPr>
        <w:footnoteReference w:id="1"/>
      </w:r>
      <w:r>
        <w:rPr>
          <w:noProof/>
        </w:rPr>
        <w:t>, da bi odpravila več strukturnih pomanjkljivosti v zvezi z informacijskimi sistemi</w:t>
      </w:r>
      <w:r>
        <w:rPr>
          <w:rStyle w:val="FootnoteReference"/>
          <w:noProof/>
        </w:rPr>
        <w:footnoteReference w:id="2"/>
      </w:r>
      <w:r>
        <w:rPr>
          <w:noProof/>
        </w:rPr>
        <w:t>.</w:t>
      </w:r>
      <w:r>
        <w:rPr>
          <w:i/>
          <w:noProof/>
        </w:rPr>
        <w:t xml:space="preserve"> </w:t>
      </w:r>
      <w:r>
        <w:rPr>
          <w:noProof/>
        </w:rPr>
        <w:t xml:space="preserve">Namen sporočila iz aprila 2016 je bil začeti razpravo o tem, kako lahko informacijski sistemi v Evropski uniji bolje utrdijo upravljanje meja, migracij in notranje varnosti. Podobno je tudi </w:t>
      </w:r>
      <w:r>
        <w:rPr>
          <w:b/>
          <w:noProof/>
        </w:rPr>
        <w:t>Svet</w:t>
      </w:r>
      <w:r>
        <w:rPr>
          <w:noProof/>
        </w:rPr>
        <w:t xml:space="preserve"> priznal nujno potrebo po ukrepih na tem področju. Junija 2016 je odobril </w:t>
      </w:r>
      <w:r>
        <w:rPr>
          <w:b/>
          <w:noProof/>
        </w:rPr>
        <w:t>načrt za boljšo izmenjavo in upravljanje informacij</w:t>
      </w:r>
      <w:r>
        <w:rPr>
          <w:noProof/>
        </w:rPr>
        <w:t>, vključno z interoperabilnostnimi rešitvami, na področju pravosodja in notranjih zadev</w:t>
      </w:r>
      <w:r>
        <w:rPr>
          <w:rStyle w:val="FootnoteReference"/>
          <w:noProof/>
        </w:rPr>
        <w:footnoteReference w:id="3"/>
      </w:r>
      <w:r>
        <w:rPr>
          <w:noProof/>
        </w:rPr>
        <w:t xml:space="preserve">. Namen načrta je bil podpreti operativne preiskave in hitro zagotoviti uradnikom v prvi liniji, kot so policisti, mejni policisti, javni tožilci, uradniki za priseljevanje in drugi, celovite, tematske in visokokakovostne informacije za učinkovito sodelovanje in ukrepanje. K ukrepom na tem </w:t>
      </w:r>
      <w:r>
        <w:rPr>
          <w:noProof/>
        </w:rPr>
        <w:lastRenderedPageBreak/>
        <w:t xml:space="preserve">področju je pozval tudi </w:t>
      </w:r>
      <w:r>
        <w:rPr>
          <w:b/>
          <w:noProof/>
        </w:rPr>
        <w:t>Evropski parlament</w:t>
      </w:r>
      <w:r>
        <w:rPr>
          <w:noProof/>
        </w:rPr>
        <w:t>. V svoji resoluciji iz julija 2016</w:t>
      </w:r>
      <w:r>
        <w:rPr>
          <w:rStyle w:val="FootnoteReference"/>
          <w:noProof/>
        </w:rPr>
        <w:footnoteReference w:id="4"/>
      </w:r>
      <w:r>
        <w:rPr>
          <w:noProof/>
        </w:rPr>
        <w:t xml:space="preserve"> o delovnem programu Komisije za leto 2017 je pozval k predlogom „za izboljšanje in razvoj obstoječih informacijskih sistemov, zapolnitev informacijskih vrzeli in premik k medopravilnosti ter predlog[om] za obvezno izmenjavo informacij na ravni EU, ki naj jih spremljajo nujna varovala za varstvo podatkov“. V govoru predsednika Junckerja o stanju v Uniji iz septembra 2016</w:t>
      </w:r>
      <w:r>
        <w:rPr>
          <w:rStyle w:val="FootnoteReference"/>
          <w:noProof/>
        </w:rPr>
        <w:footnoteReference w:id="5"/>
      </w:r>
      <w:r>
        <w:rPr>
          <w:noProof/>
        </w:rPr>
        <w:t xml:space="preserve"> in sklepih Evropskega sveta iz decembra 2016</w:t>
      </w:r>
      <w:r>
        <w:rPr>
          <w:rStyle w:val="FootnoteReference"/>
          <w:noProof/>
        </w:rPr>
        <w:footnoteReference w:id="6"/>
      </w:r>
      <w:r>
        <w:rPr>
          <w:noProof/>
        </w:rPr>
        <w:t xml:space="preserve"> je bil poudarjen pomen odprave trenutnih pomanjkljivosti v upravljanju podatkov in izboljšanja interoperabilnosti obstoječih informacijskih sistemov.</w:t>
      </w:r>
    </w:p>
    <w:p>
      <w:pPr>
        <w:spacing w:before="100" w:beforeAutospacing="1" w:after="100" w:afterAutospacing="1"/>
        <w:rPr>
          <w:noProof/>
          <w:szCs w:val="24"/>
        </w:rPr>
      </w:pPr>
      <w:r>
        <w:rPr>
          <w:noProof/>
        </w:rPr>
        <w:t xml:space="preserve">Komisija je junija 2016 na podlagi sporočila iz aprila 2016 ustanovila </w:t>
      </w:r>
      <w:r>
        <w:rPr>
          <w:b/>
          <w:noProof/>
        </w:rPr>
        <w:t>strokovno skupino na visoki ravni za informacijske sisteme in interoperabilnost</w:t>
      </w:r>
      <w:r>
        <w:rPr>
          <w:rStyle w:val="FootnoteReference"/>
          <w:noProof/>
        </w:rPr>
        <w:footnoteReference w:id="7"/>
      </w:r>
      <w:r>
        <w:rPr>
          <w:noProof/>
        </w:rPr>
        <w:t xml:space="preserve">, da bi obravnavala pravne, tehnične in operativne izzive v zvezi z izboljšanjem interoperabilnosti centralnih sistemov EU za meje in varnost, vključno z njihovo nujnostjo, tehnično izvedljivostjo in sorazmernostjo ter njihovim vplivom na varstvo podatkov. </w:t>
      </w:r>
      <w:r>
        <w:rPr>
          <w:b/>
          <w:noProof/>
        </w:rPr>
        <w:t>Končno poročilo</w:t>
      </w:r>
      <w:r>
        <w:rPr>
          <w:noProof/>
        </w:rPr>
        <w:t xml:space="preserve"> strokovne skupine na visoki ravni je bilo objavljeno maja 2017</w:t>
      </w:r>
      <w:r>
        <w:rPr>
          <w:rStyle w:val="FootnoteReference"/>
          <w:noProof/>
        </w:rPr>
        <w:footnoteReference w:id="8"/>
      </w:r>
      <w:r>
        <w:rPr>
          <w:noProof/>
        </w:rPr>
        <w:t xml:space="preserve">. V njem je bil določen sklop priporočil za okrepitev in razvoj informacijskih sistemov EU in njihove interoperabilnosti. Pri delu strokovne skupine so dejavno sodelovali Agencija EU za temeljne pravice, Evropski nadzornik za varstvo podatkov in koordinator EU za protiterorizem. Vse tri strani so predložile spodbudne izjave in priznale, da je treba v prihodnje obravnavati širša vprašanja glede temeljnih pravic in varstva podatkov. Srečanj sta se kot opazovalca udeleževala tudi predstavnika sekretariata Odbora Evropskega parlamenta za državljanske svoboščine, pravosodje in notranje zadeve ter generalnega sekretariata Sveta. Strokovna skupina na visoki ravni je ugotovila, da so </w:t>
      </w:r>
      <w:r>
        <w:rPr>
          <w:b/>
          <w:noProof/>
        </w:rPr>
        <w:t>praktične rešitve za dosego interoperabilnosti potrebne in tehnično izvedljive</w:t>
      </w:r>
      <w:r>
        <w:rPr>
          <w:noProof/>
        </w:rPr>
        <w:t xml:space="preserve"> ter da lahko načeloma zagotovijo operativne koristi in se vzpostavijo v skladu z zahtevami varstva podatkov.</w:t>
      </w:r>
    </w:p>
    <w:p>
      <w:pPr>
        <w:spacing w:before="100" w:beforeAutospacing="1" w:after="100" w:afterAutospacing="1"/>
        <w:rPr>
          <w:noProof/>
          <w:szCs w:val="24"/>
        </w:rPr>
      </w:pPr>
      <w:r>
        <w:rPr>
          <w:noProof/>
        </w:rPr>
        <w:t xml:space="preserve">Na podlagi poročila in priporočil strokovne skupine je Komisija v </w:t>
      </w:r>
      <w:r>
        <w:rPr>
          <w:i/>
          <w:noProof/>
        </w:rPr>
        <w:t>sedmem poročilu o napredku pri vzpostavljanju učinkovite in prave varnostne unije</w:t>
      </w:r>
      <w:r>
        <w:rPr>
          <w:rStyle w:val="FootnoteReference"/>
          <w:noProof/>
        </w:rPr>
        <w:footnoteReference w:id="9"/>
      </w:r>
      <w:r>
        <w:rPr>
          <w:noProof/>
        </w:rPr>
        <w:t xml:space="preserve"> določila </w:t>
      </w:r>
      <w:r>
        <w:rPr>
          <w:rFonts w:cstheme="minorBidi"/>
          <w:b/>
          <w:noProof/>
        </w:rPr>
        <w:t xml:space="preserve">nov pristop k upravljanju podatkov </w:t>
      </w:r>
      <w:r>
        <w:rPr>
          <w:noProof/>
        </w:rPr>
        <w:t xml:space="preserve">za upravljanje meja, varnosti in migracij, v okviru katerega so vsi centralizirani informacijski sistemi EU za upravljanje varnosti, meja in migracij interoperabilni ob popolnem spoštovanju temeljnih pravic. Komisija je napovedala, da si bo prizadevala za vzpostavitev evropskega iskalnega portala, ki bo omogočal istočasno poizvedovanje v vseh ustreznih sistemih EU na področju upravljanja varnosti, meja in migracij, po možnosti z bolj racionaliziranimi pravili o dostopu organov kazenskega pregona, ter da bo za te sisteme razvila skupno storitev za ugotavljanje ujemanja biometričnih podatkov </w:t>
      </w:r>
      <w:r>
        <w:rPr>
          <w:noProof/>
        </w:rPr>
        <w:lastRenderedPageBreak/>
        <w:t>(po možnosti s funkcijo „zadetek/ni zadetka“</w:t>
      </w:r>
      <w:r>
        <w:rPr>
          <w:rStyle w:val="FootnoteReference"/>
          <w:noProof/>
        </w:rPr>
        <w:footnoteReference w:id="10"/>
      </w:r>
      <w:r>
        <w:rPr>
          <w:noProof/>
        </w:rPr>
        <w:t>) in skupno odložišče podatkov o identiteti. Naznanila je tudi, da bo čim prej predložila zakonodajni predlog o interoperabilnosti.</w:t>
      </w:r>
    </w:p>
    <w:p>
      <w:pPr>
        <w:spacing w:before="100" w:beforeAutospacing="1" w:after="100" w:afterAutospacing="1"/>
        <w:rPr>
          <w:rFonts w:cstheme="minorBidi"/>
          <w:noProof/>
        </w:rPr>
      </w:pPr>
      <w:r>
        <w:rPr>
          <w:noProof/>
        </w:rPr>
        <w:t>V sklepih Evropskega sveta iz junija 2017</w:t>
      </w:r>
      <w:r>
        <w:rPr>
          <w:rStyle w:val="FootnoteReference"/>
          <w:noProof/>
        </w:rPr>
        <w:footnoteReference w:id="11"/>
      </w:r>
      <w:r>
        <w:rPr>
          <w:noProof/>
        </w:rPr>
        <w:t xml:space="preserve"> je bila ponovno poudarjena potreba po ukrepih. Evropski svet je na podlagi sklepov Sveta za pravosodje in notranje zadeve iz junija 2017</w:t>
      </w:r>
      <w:r>
        <w:rPr>
          <w:rStyle w:val="FootnoteReference"/>
          <w:noProof/>
        </w:rPr>
        <w:footnoteReference w:id="12"/>
      </w:r>
      <w:r>
        <w:rPr>
          <w:noProof/>
        </w:rPr>
        <w:t xml:space="preserve"> pozval Komisijo, da čim prej pripravi zakonodajni osnutek za izvedbo priporočil strokovne skupine na visoki ravni. Ta pobuda je tudi odgovor na poziv Sveta k celovitemu okviru za dostop organov kazenskega pregona do različnih podatkovnih zbirk na področju pravosodja in notranjih zadev, da bi se zagotovila večja poenostavitev, doslednost, učinkovitost in osredotočenost na operativne potrebe</w:t>
      </w:r>
      <w:r>
        <w:rPr>
          <w:rStyle w:val="FootnoteReference"/>
          <w:noProof/>
        </w:rPr>
        <w:footnoteReference w:id="13"/>
      </w:r>
      <w:r>
        <w:rPr>
          <w:noProof/>
        </w:rPr>
        <w:t>. Za okrepitev prizadevanj, da bi Evropska unija postala varnejša družba ob popolnem spoštovanju temeljnih pravic, je Komisija v okviru svojega delovnega programa za leto 2018</w:t>
      </w:r>
      <w:r>
        <w:rPr>
          <w:rStyle w:val="FootnoteReference"/>
          <w:noProof/>
        </w:rPr>
        <w:footnoteReference w:id="14"/>
      </w:r>
      <w:r>
        <w:rPr>
          <w:noProof/>
        </w:rPr>
        <w:t xml:space="preserve"> naznanila, da bo do konca leta 2017 predložila predlog o interoperabilnosti informacijskih sistemov.</w:t>
      </w:r>
    </w:p>
    <w:p>
      <w:pPr>
        <w:pStyle w:val="ManualHeading2"/>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Cilji predloga</w:t>
      </w:r>
    </w:p>
    <w:p>
      <w:pPr>
        <w:spacing w:before="100" w:beforeAutospacing="1" w:after="100" w:afterAutospacing="1"/>
        <w:rPr>
          <w:noProof/>
          <w:szCs w:val="24"/>
        </w:rPr>
      </w:pPr>
      <w:r>
        <w:rPr>
          <w:noProof/>
        </w:rPr>
        <w:t>Splošni cilji te pobude izhajajo iz ciljev, ki temeljijo na Pogodbi ter se nanašajo na izboljšanje upravljanja schengenskih zunanjih meja in povečanje notranje varnosti Evropske unije. Izhajajo tudi iz političnih odločitev Komisije in ustreznih sklepov Sveta/Evropskega sveta. Ti cilji so podrobneje obravnavani v evropski agendi o migracijah in nadaljnjih sporočilih, vključno s sporočilom o ohranitvi in okrepitvi schengenskega območja</w:t>
      </w:r>
      <w:r>
        <w:rPr>
          <w:rStyle w:val="FootnoteReference"/>
          <w:noProof/>
        </w:rPr>
        <w:footnoteReference w:id="15"/>
      </w:r>
      <w:r>
        <w:rPr>
          <w:noProof/>
        </w:rPr>
        <w:t>, sporočilom o evropski agendi za varnost</w:t>
      </w:r>
      <w:r>
        <w:rPr>
          <w:rStyle w:val="FootnoteReference"/>
          <w:noProof/>
        </w:rPr>
        <w:footnoteReference w:id="16"/>
      </w:r>
      <w:r>
        <w:rPr>
          <w:noProof/>
        </w:rPr>
        <w:t xml:space="preserve"> ter delom Komisije in njenimi poročili o napredku pri vzpostavljanju učinkovite in prave varnostne unije</w:t>
      </w:r>
      <w:r>
        <w:rPr>
          <w:rStyle w:val="FootnoteReference"/>
          <w:noProof/>
        </w:rPr>
        <w:footnoteReference w:id="17"/>
      </w:r>
      <w:r>
        <w:rPr>
          <w:noProof/>
        </w:rPr>
        <w:t xml:space="preserve">. </w:t>
      </w:r>
    </w:p>
    <w:p>
      <w:pPr>
        <w:spacing w:before="100" w:beforeAutospacing="1" w:after="100" w:afterAutospacing="1"/>
        <w:rPr>
          <w:noProof/>
          <w:szCs w:val="24"/>
        </w:rPr>
      </w:pPr>
      <w:r>
        <w:rPr>
          <w:noProof/>
        </w:rPr>
        <w:t>Cilji tega predloga sicer temeljijo zlasti na sporočilu iz aprila 2016 in ugotovitvah strokovne skupine na visoki ravni, vendar so neločljivo povezani z zgoraj navedenim.</w:t>
      </w:r>
    </w:p>
    <w:p>
      <w:pPr>
        <w:spacing w:before="100" w:beforeAutospacing="1" w:after="100" w:afterAutospacing="1"/>
        <w:rPr>
          <w:noProof/>
          <w:szCs w:val="24"/>
        </w:rPr>
      </w:pPr>
      <w:r>
        <w:rPr>
          <w:noProof/>
        </w:rPr>
        <w:t>Posebni cilji tega predloga so:</w:t>
      </w:r>
    </w:p>
    <w:p>
      <w:pPr>
        <w:pStyle w:val="Point0number"/>
        <w:numPr>
          <w:ilvl w:val="0"/>
          <w:numId w:val="105"/>
        </w:numPr>
        <w:rPr>
          <w:noProof/>
        </w:rPr>
      </w:pPr>
      <w:r>
        <w:rPr>
          <w:noProof/>
        </w:rPr>
        <w:t xml:space="preserve">zagotoviti, da imajo končni uporabniki, zlasti mejni policisti, uradniki organov kazenskega pregona, uradniki za priseljevanje in sodni organi, </w:t>
      </w:r>
      <w:r>
        <w:rPr>
          <w:b/>
          <w:noProof/>
        </w:rPr>
        <w:t>hiter, nemoten, sistematičen in nadzorovan dostop</w:t>
      </w:r>
      <w:r>
        <w:rPr>
          <w:noProof/>
        </w:rPr>
        <w:t xml:space="preserve"> do informacij, ki jih potrebujejo za opravljanje svojih nalog;</w:t>
      </w:r>
    </w:p>
    <w:p>
      <w:pPr>
        <w:pStyle w:val="Point0number"/>
        <w:rPr>
          <w:noProof/>
        </w:rPr>
      </w:pPr>
      <w:r>
        <w:rPr>
          <w:noProof/>
        </w:rPr>
        <w:t xml:space="preserve">najti rešitev za </w:t>
      </w:r>
      <w:r>
        <w:rPr>
          <w:b/>
          <w:noProof/>
        </w:rPr>
        <w:t>odkrivanje več identitet</w:t>
      </w:r>
      <w:r>
        <w:rPr>
          <w:noProof/>
        </w:rPr>
        <w:t xml:space="preserve">, povezanih z istim nizom biometričnih podatkov, z namenom zagotavljanja pravilne identifikacije dobrovernih oseb in </w:t>
      </w:r>
      <w:r>
        <w:rPr>
          <w:b/>
          <w:noProof/>
        </w:rPr>
        <w:t>boja proti identitetni prevari</w:t>
      </w:r>
      <w:r>
        <w:rPr>
          <w:noProof/>
        </w:rPr>
        <w:t>;</w:t>
      </w:r>
    </w:p>
    <w:p>
      <w:pPr>
        <w:pStyle w:val="Point0number"/>
        <w:rPr>
          <w:noProof/>
        </w:rPr>
      </w:pPr>
      <w:r>
        <w:rPr>
          <w:noProof/>
        </w:rPr>
        <w:lastRenderedPageBreak/>
        <w:t xml:space="preserve">policijskim organom olajšati </w:t>
      </w:r>
      <w:r>
        <w:rPr>
          <w:b/>
          <w:noProof/>
        </w:rPr>
        <w:t>ugotavljanje identitete državljanov tretjih držav</w:t>
      </w:r>
      <w:r>
        <w:rPr>
          <w:noProof/>
        </w:rPr>
        <w:t xml:space="preserve"> na ozemlju države članice ter</w:t>
      </w:r>
    </w:p>
    <w:p>
      <w:pPr>
        <w:pStyle w:val="Point0number"/>
        <w:rPr>
          <w:noProof/>
        </w:rPr>
      </w:pPr>
      <w:r>
        <w:rPr>
          <w:noProof/>
        </w:rPr>
        <w:t xml:space="preserve">olajšati in </w:t>
      </w:r>
      <w:r>
        <w:rPr>
          <w:b/>
          <w:noProof/>
        </w:rPr>
        <w:t>racionalizirati dostop organov kazenskega pregona</w:t>
      </w:r>
      <w:r>
        <w:rPr>
          <w:noProof/>
        </w:rPr>
        <w:t xml:space="preserve"> do informacijskih sistemov na ravni EU, ki niso povezani s kazenskim pregonom, kadar je to potrebno za preprečevanje, preiskovanje, odkrivanje ali pregon hudih kaznivih dejanj in terorizma.</w:t>
      </w:r>
    </w:p>
    <w:p>
      <w:pPr>
        <w:spacing w:before="0" w:after="0"/>
        <w:contextualSpacing/>
        <w:rPr>
          <w:rFonts w:eastAsia="Calibri"/>
          <w:noProof/>
          <w:szCs w:val="24"/>
        </w:rPr>
      </w:pPr>
    </w:p>
    <w:p>
      <w:pPr>
        <w:spacing w:before="0" w:after="0"/>
        <w:contextualSpacing/>
        <w:rPr>
          <w:rFonts w:eastAsia="Calibri"/>
          <w:noProof/>
          <w:szCs w:val="24"/>
        </w:rPr>
      </w:pPr>
      <w:r>
        <w:rPr>
          <w:noProof/>
        </w:rPr>
        <w:t>Poleg teh primarnih operativnih ciljev bo ta predlog prispeval tudi k:</w:t>
      </w:r>
    </w:p>
    <w:p>
      <w:pPr>
        <w:spacing w:before="0" w:after="0"/>
        <w:ind w:left="240"/>
        <w:contextualSpacing/>
        <w:rPr>
          <w:rFonts w:eastAsia="Calibri"/>
          <w:noProof/>
          <w:szCs w:val="24"/>
        </w:rPr>
      </w:pPr>
    </w:p>
    <w:p>
      <w:pPr>
        <w:pStyle w:val="Bullet0"/>
        <w:numPr>
          <w:ilvl w:val="0"/>
          <w:numId w:val="106"/>
        </w:numPr>
        <w:rPr>
          <w:noProof/>
        </w:rPr>
      </w:pPr>
      <w:r>
        <w:rPr>
          <w:noProof/>
        </w:rPr>
        <w:t xml:space="preserve">olajšanju tehničnega in operativnega </w:t>
      </w:r>
      <w:r>
        <w:rPr>
          <w:b/>
          <w:noProof/>
        </w:rPr>
        <w:t>izvajanja</w:t>
      </w:r>
      <w:r>
        <w:rPr>
          <w:noProof/>
        </w:rPr>
        <w:t xml:space="preserve"> obstoječih in prihodnjih novih informacijskih sistemov </w:t>
      </w:r>
      <w:r>
        <w:rPr>
          <w:b/>
          <w:noProof/>
        </w:rPr>
        <w:t>s strani držav članic</w:t>
      </w:r>
      <w:r>
        <w:rPr>
          <w:noProof/>
        </w:rPr>
        <w:t>,</w:t>
      </w:r>
    </w:p>
    <w:p>
      <w:pPr>
        <w:pStyle w:val="Bullet0"/>
        <w:rPr>
          <w:noProof/>
        </w:rPr>
      </w:pPr>
      <w:r>
        <w:rPr>
          <w:noProof/>
        </w:rPr>
        <w:t xml:space="preserve">krepitvi in racionalizaciji </w:t>
      </w:r>
      <w:r>
        <w:rPr>
          <w:b/>
          <w:noProof/>
        </w:rPr>
        <w:t>pogojev za varnost in varstvo podatkov</w:t>
      </w:r>
      <w:r>
        <w:rPr>
          <w:noProof/>
        </w:rPr>
        <w:t>, ki urejajo zadevne sisteme, ter</w:t>
      </w:r>
    </w:p>
    <w:p>
      <w:pPr>
        <w:pStyle w:val="Bullet0"/>
        <w:rPr>
          <w:noProof/>
        </w:rPr>
      </w:pPr>
      <w:r>
        <w:rPr>
          <w:noProof/>
        </w:rPr>
        <w:t xml:space="preserve">izboljšanju in uskladitvi zahtev glede </w:t>
      </w:r>
      <w:r>
        <w:rPr>
          <w:b/>
          <w:noProof/>
        </w:rPr>
        <w:t>kakovosti podatkov</w:t>
      </w:r>
      <w:r>
        <w:rPr>
          <w:noProof/>
        </w:rPr>
        <w:t xml:space="preserve"> za zadevne sisteme.</w:t>
      </w:r>
    </w:p>
    <w:p>
      <w:pPr>
        <w:spacing w:before="100" w:beforeAutospacing="1" w:after="100" w:afterAutospacing="1"/>
        <w:contextualSpacing/>
        <w:rPr>
          <w:rFonts w:eastAsia="Calibri"/>
          <w:noProof/>
          <w:szCs w:val="24"/>
        </w:rPr>
      </w:pPr>
    </w:p>
    <w:p>
      <w:pPr>
        <w:spacing w:before="100" w:beforeAutospacing="1" w:after="100" w:afterAutospacing="1"/>
        <w:contextualSpacing/>
        <w:rPr>
          <w:noProof/>
          <w:szCs w:val="24"/>
        </w:rPr>
      </w:pPr>
      <w:r>
        <w:rPr>
          <w:noProof/>
        </w:rPr>
        <w:t xml:space="preserve">Ta predlog vsebuje tudi določbe za uvedbo in upravljanje univerzalnega formata sporočil (UMF) kot standarda EU za razvoj informacijskih sistemov na področju pravosodja in notranjih zadev ter za vzpostavitev centralnega registra za poročanje in statistične podatke. </w:t>
      </w:r>
    </w:p>
    <w:p>
      <w:pPr>
        <w:pStyle w:val="ManualHeading2"/>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Področje uporabe predloga</w:t>
      </w:r>
    </w:p>
    <w:p>
      <w:pPr>
        <w:tabs>
          <w:tab w:val="left" w:pos="2302"/>
        </w:tabs>
        <w:spacing w:before="100" w:beforeAutospacing="1" w:after="100" w:afterAutospacing="1"/>
        <w:rPr>
          <w:noProof/>
        </w:rPr>
      </w:pPr>
      <w:r>
        <w:rPr>
          <w:noProof/>
        </w:rPr>
        <w:t>Ta predlog o interoperabilnosti se skupaj s sorodnim predlogom, predstavljenim istega dne, osredotoča na informacijske sisteme EU za upravljanje varnosti, meja in migracij, ki se upravljajo na centralni ravni, pri čemer trije že obstajajo, eden je v končni fazi razvoja, dva pa sta v fazi predlogov, ki jih obravnavata sozakonodajalca. Vsak sistem ima svoje lastne cilje, namene, pravne podlage, pravila, uporabniške skupine in institucionalno ozadje.</w:t>
      </w:r>
    </w:p>
    <w:p>
      <w:pPr>
        <w:tabs>
          <w:tab w:val="left" w:pos="2302"/>
        </w:tabs>
        <w:spacing w:before="100" w:beforeAutospacing="1" w:after="100" w:afterAutospacing="1"/>
        <w:rPr>
          <w:noProof/>
        </w:rPr>
      </w:pPr>
      <w:r>
        <w:rPr>
          <w:noProof/>
        </w:rPr>
        <w:t>Trije že obstoječi centralizirani informacijski sistemi so:</w:t>
      </w:r>
    </w:p>
    <w:p>
      <w:pPr>
        <w:pStyle w:val="Bullet0"/>
        <w:rPr>
          <w:noProof/>
        </w:rPr>
      </w:pPr>
      <w:r>
        <w:rPr>
          <w:b/>
          <w:noProof/>
        </w:rPr>
        <w:t>schengenski informacijski sistem (SIS)</w:t>
      </w:r>
      <w:r>
        <w:rPr>
          <w:noProof/>
        </w:rPr>
        <w:t>, ki vsebuje širok razpon razpisov ukrepov v zvezi z osebami (zavrnitev vstopa ali prepoved bivanja, evropski nalog za prijetje, pogrešane osebe, pomoč pri sodnih postopkih, prikrite in namenske kontrole) in predmeti (vključno z izgubljenimi, ukradenimi in razveljavljenimi osebnimi ali potovalnimi dokumenti)</w:t>
      </w:r>
      <w:r>
        <w:rPr>
          <w:rStyle w:val="FootnoteReference"/>
          <w:noProof/>
        </w:rPr>
        <w:footnoteReference w:id="18"/>
      </w:r>
      <w:r>
        <w:rPr>
          <w:noProof/>
        </w:rPr>
        <w:t>,</w:t>
      </w:r>
    </w:p>
    <w:p>
      <w:pPr>
        <w:pStyle w:val="Bullet0"/>
        <w:rPr>
          <w:noProof/>
        </w:rPr>
      </w:pPr>
      <w:r>
        <w:rPr>
          <w:noProof/>
        </w:rPr>
        <w:t xml:space="preserve">sistem </w:t>
      </w:r>
      <w:r>
        <w:rPr>
          <w:b/>
          <w:noProof/>
        </w:rPr>
        <w:t>Eurodac</w:t>
      </w:r>
      <w:r>
        <w:rPr>
          <w:noProof/>
        </w:rPr>
        <w:t>, ki vsebuje podatke o prstnih odtisih prosilcev za azil in državljanov tretjih držav, ki so nezakonito prečkali zunanje meje ali nezakonito bivajo v eni od držav članic, ter</w:t>
      </w:r>
    </w:p>
    <w:p>
      <w:pPr>
        <w:pStyle w:val="Bullet0"/>
        <w:rPr>
          <w:noProof/>
        </w:rPr>
      </w:pPr>
      <w:r>
        <w:rPr>
          <w:b/>
          <w:noProof/>
        </w:rPr>
        <w:t>vizumski informacijski sistem (VIS)</w:t>
      </w:r>
      <w:r>
        <w:rPr>
          <w:noProof/>
        </w:rPr>
        <w:t>, ki vsebuje podatke o vizumih za kratkoročno bivanje.</w:t>
      </w:r>
    </w:p>
    <w:p>
      <w:pPr>
        <w:tabs>
          <w:tab w:val="left" w:pos="2302"/>
        </w:tabs>
        <w:spacing w:before="100" w:beforeAutospacing="1" w:after="100" w:afterAutospacing="1"/>
        <w:rPr>
          <w:noProof/>
        </w:rPr>
      </w:pPr>
      <w:r>
        <w:rPr>
          <w:noProof/>
        </w:rPr>
        <w:t>Poleg teh obstoječih sistemov je Komisija v obdobju 2016–2017 predlagala tri nove centralizirane informacijske sisteme EU:</w:t>
      </w:r>
    </w:p>
    <w:p>
      <w:pPr>
        <w:pStyle w:val="Bullet0"/>
        <w:rPr>
          <w:noProof/>
        </w:rPr>
      </w:pPr>
      <w:r>
        <w:rPr>
          <w:b/>
          <w:noProof/>
        </w:rPr>
        <w:lastRenderedPageBreak/>
        <w:t>sistem vstopa/izstopa (SVI)</w:t>
      </w:r>
      <w:r>
        <w:rPr>
          <w:noProof/>
        </w:rPr>
        <w:t>, za katerega je bila nedavno dogovorjena pravna podlaga ter ki bo nadomestil sedanji sistem ročnega žigosanja potnih listov in bo elektronsko registriral ime, vrsto potovalnega dokumenta, biometrične podatke ter datum in kraj vstopa in izstopa državljanov tretjih držav, ki na schengensko območje vstopijo zaradi kratkoročnega bivanja,</w:t>
      </w:r>
    </w:p>
    <w:p>
      <w:pPr>
        <w:pStyle w:val="Bullet0"/>
        <w:rPr>
          <w:noProof/>
        </w:rPr>
      </w:pPr>
      <w:r>
        <w:rPr>
          <w:noProof/>
        </w:rPr>
        <w:t xml:space="preserve">predlagani </w:t>
      </w:r>
      <w:r>
        <w:rPr>
          <w:b/>
          <w:noProof/>
        </w:rPr>
        <w:t>evropski sistem za potovalne informacije in odobritve (ETIAS)</w:t>
      </w:r>
      <w:r>
        <w:rPr>
          <w:noProof/>
        </w:rPr>
        <w:t>, ki bo, ko bo sprejet, večinoma avtomatiziran sistem, ki bo zbiral in preverjal informacije, ki jih državljani tretjih držav, izvzeti iz vizumske obveznosti, predložijo pred potovanjem v schengensko območje, ter</w:t>
      </w:r>
    </w:p>
    <w:p>
      <w:pPr>
        <w:pStyle w:val="Bullet0"/>
        <w:rPr>
          <w:noProof/>
        </w:rPr>
      </w:pPr>
      <w:r>
        <w:rPr>
          <w:noProof/>
        </w:rPr>
        <w:t xml:space="preserve">predlagani </w:t>
      </w:r>
      <w:r>
        <w:rPr>
          <w:b/>
          <w:noProof/>
        </w:rPr>
        <w:t>evropski informacijski sistem kazenskih evidenc za državljane tretjih držav (ECRIS-TCN)</w:t>
      </w:r>
      <w:r>
        <w:rPr>
          <w:noProof/>
        </w:rPr>
        <w:t>, ki bo elektronski sistem za izmenjavo informacij o predhodnih obsodbah, ki jih zoper te državljane izrečejo kazenska sodišča v EU.</w:t>
      </w:r>
    </w:p>
    <w:p>
      <w:pPr>
        <w:tabs>
          <w:tab w:val="left" w:pos="2302"/>
        </w:tabs>
        <w:spacing w:before="100" w:beforeAutospacing="1" w:after="100" w:afterAutospacing="1"/>
        <w:rPr>
          <w:noProof/>
        </w:rPr>
      </w:pPr>
      <w:r>
        <w:rPr>
          <w:noProof/>
        </w:rPr>
        <w:t xml:space="preserve">Ti sistemi se medsebojno dopolnjujejo in se z izjemo SIS osredotočajo izključno na državljane tretjih držav. Podpirajo nacionalne organe pri upravljanju meja in migracij, obravnavi prošenj za vizum in azil ter boju proti kriminalu in terorizmu. Slednje velja zlasti za SIS, ki je trenutno najširše uporabljan instrument kazenskega pregona in izmenjave informacij. </w:t>
      </w:r>
    </w:p>
    <w:p>
      <w:pPr>
        <w:spacing w:before="0"/>
        <w:rPr>
          <w:rFonts w:cstheme="minorBidi"/>
          <w:noProof/>
        </w:rPr>
      </w:pPr>
      <w:r>
        <w:rPr>
          <w:noProof/>
        </w:rPr>
        <w:t xml:space="preserve">Poleg teh informacijskih sistemov, ki se upravljajo centralno na ravni EU, področje uporabe tega predloga zajema tudi podatkovno zbirko </w:t>
      </w:r>
      <w:r>
        <w:rPr>
          <w:b/>
          <w:noProof/>
        </w:rPr>
        <w:t>Interpola</w:t>
      </w:r>
      <w:r>
        <w:rPr>
          <w:noProof/>
        </w:rPr>
        <w:t xml:space="preserve"> o ukradenih in izgubljenih potovalnih dokumentih, v kateri se v skladu z določbami zakonika o schengenskih mejah opravljajo sistematične poizvedbe na zunanjih mejah EU, in Interpolovo zbirko potovalnih dokumentov, povezanih z razpisi ukrepov. Področje uporabe zajema tudi podatke </w:t>
      </w:r>
      <w:r>
        <w:rPr>
          <w:b/>
          <w:noProof/>
        </w:rPr>
        <w:t>Europola</w:t>
      </w:r>
      <w:r>
        <w:rPr>
          <w:noProof/>
        </w:rPr>
        <w:t xml:space="preserve">, če so pomembni za delovanje predlaganega sistema ETIAS in za pomoč državam članicam pri poizvedovanju podatkov o hudih kaznivih dejanjih in terorizmu. </w:t>
      </w:r>
    </w:p>
    <w:p>
      <w:pPr>
        <w:spacing w:before="0"/>
        <w:rPr>
          <w:rFonts w:cstheme="minorBidi"/>
          <w:noProof/>
        </w:rPr>
      </w:pPr>
      <w:r>
        <w:rPr>
          <w:noProof/>
        </w:rPr>
        <w:t>Nacionalni informacijski sistemi in decentralizirani informacijski sistemi EU so zunaj področja uporabe te pobude. Če se bo to izkazalo za potrebno, se bodo lahko decentralizirani sistemi, kot so sistemi, ki se upravljajo na podlagi prümskega okvira</w:t>
      </w:r>
      <w:r>
        <w:rPr>
          <w:rStyle w:val="FootnoteReference"/>
          <w:noProof/>
        </w:rPr>
        <w:footnoteReference w:id="19"/>
      </w:r>
      <w:r>
        <w:rPr>
          <w:noProof/>
        </w:rPr>
        <w:t>, direktive o evidenci podatkov o potnikih</w:t>
      </w:r>
      <w:r>
        <w:rPr>
          <w:rStyle w:val="FootnoteReference"/>
          <w:noProof/>
        </w:rPr>
        <w:footnoteReference w:id="20"/>
      </w:r>
      <w:r>
        <w:rPr>
          <w:noProof/>
        </w:rPr>
        <w:t xml:space="preserve"> in direktive o predhodnih podatkih o potnikih</w:t>
      </w:r>
      <w:r>
        <w:rPr>
          <w:rStyle w:val="FootnoteReference"/>
          <w:noProof/>
        </w:rPr>
        <w:footnoteReference w:id="21"/>
      </w:r>
      <w:r>
        <w:rPr>
          <w:noProof/>
        </w:rPr>
        <w:t>, v poznejši fazi povezali z enim ali več sestavnimi deli, predlaganimi v okviru te pobude</w:t>
      </w:r>
      <w:r>
        <w:rPr>
          <w:rStyle w:val="FootnoteReference"/>
          <w:rFonts w:cstheme="minorBidi"/>
          <w:noProof/>
        </w:rPr>
        <w:footnoteReference w:id="22"/>
      </w:r>
      <w:r>
        <w:rPr>
          <w:noProof/>
        </w:rPr>
        <w:t>.</w:t>
      </w:r>
    </w:p>
    <w:p>
      <w:pPr>
        <w:spacing w:before="0"/>
        <w:rPr>
          <w:rFonts w:cstheme="minorBidi"/>
          <w:noProof/>
        </w:rPr>
      </w:pPr>
      <w:r>
        <w:rPr>
          <w:noProof/>
        </w:rPr>
        <w:t>Da bi se upoštevala razlika med zadevami, ki pomenijo razvoj schengenskega pravnega reda v zvezi z mejami in vizumi, na eni strani in drugimi sistemi, ki zadevajo schengenski pravni red na področju policijskega sodelovanja ali ne zadevajo schengenskega pravnega reda, na drugi strani, ta predlog obravnava dostop do VIS, SIS, kot ga trenutno ureja Uredba (ES) št. 1987/2006, SVI in ETIAS.</w:t>
      </w:r>
    </w:p>
    <w:p>
      <w:pPr>
        <w:spacing w:before="0"/>
        <w:rPr>
          <w:noProof/>
        </w:rPr>
      </w:pPr>
    </w:p>
    <w:p>
      <w:pPr>
        <w:pStyle w:val="ManualHeading2"/>
        <w:rPr>
          <w:rFonts w:eastAsia="Arial Unicode MS"/>
          <w:noProof/>
          <w:color w:val="000000"/>
          <w:u w:color="000000"/>
          <w:bdr w:val="nil"/>
        </w:rPr>
      </w:pPr>
      <w:r>
        <w:rPr>
          <w:noProof/>
          <w:color w:val="000000"/>
          <w:u w:color="000000"/>
          <w:bdr w:val="nil"/>
        </w:rPr>
        <w:lastRenderedPageBreak/>
        <w:t>•</w:t>
      </w:r>
      <w:r>
        <w:rPr>
          <w:noProof/>
        </w:rPr>
        <w:tab/>
      </w:r>
      <w:r>
        <w:rPr>
          <w:noProof/>
          <w:color w:val="000000"/>
          <w:u w:color="000000"/>
          <w:bdr w:val="nil"/>
        </w:rPr>
        <w:t>Potrebni tehnični sestavni deli za dosego interoperabilnosti</w:t>
      </w:r>
    </w:p>
    <w:p>
      <w:pPr>
        <w:pStyle w:val="ManualHeading2"/>
        <w:ind w:left="0" w:firstLine="0"/>
        <w:rPr>
          <w:b w:val="0"/>
          <w:noProof/>
        </w:rPr>
      </w:pPr>
      <w:r>
        <w:rPr>
          <w:b w:val="0"/>
          <w:noProof/>
        </w:rPr>
        <w:t>Za izpolnitev ciljev tega predloga je treba vzpostaviti štiri sestavne dele interoperabilnosti:</w:t>
      </w:r>
    </w:p>
    <w:p>
      <w:pPr>
        <w:pStyle w:val="Bullet0"/>
        <w:rPr>
          <w:noProof/>
        </w:rPr>
      </w:pPr>
      <w:r>
        <w:rPr>
          <w:noProof/>
        </w:rPr>
        <w:t>evropski iskalni portal (ESP),</w:t>
      </w:r>
    </w:p>
    <w:p>
      <w:pPr>
        <w:pStyle w:val="Bullet0"/>
        <w:rPr>
          <w:b/>
          <w:noProof/>
        </w:rPr>
      </w:pPr>
      <w:r>
        <w:rPr>
          <w:noProof/>
        </w:rPr>
        <w:t>skupno storitev za ugotavljanje ujemanja biometričnih podatkov (skupna BMS),</w:t>
      </w:r>
    </w:p>
    <w:p>
      <w:pPr>
        <w:pStyle w:val="Bullet0"/>
        <w:rPr>
          <w:b/>
          <w:noProof/>
        </w:rPr>
      </w:pPr>
      <w:r>
        <w:rPr>
          <w:noProof/>
        </w:rPr>
        <w:t>skupno odložišče podatkov o identiteti (CIR),</w:t>
      </w:r>
    </w:p>
    <w:p>
      <w:pPr>
        <w:pStyle w:val="Bullet0"/>
        <w:rPr>
          <w:b/>
          <w:noProof/>
        </w:rPr>
      </w:pPr>
      <w:r>
        <w:rPr>
          <w:noProof/>
        </w:rPr>
        <w:t>detektor več identitet (MID).</w:t>
      </w:r>
    </w:p>
    <w:p>
      <w:pPr>
        <w:pStyle w:val="Text1"/>
        <w:ind w:left="0"/>
        <w:rPr>
          <w:noProof/>
        </w:rPr>
      </w:pPr>
      <w:r>
        <w:rPr>
          <w:noProof/>
        </w:rPr>
        <w:t xml:space="preserve">Vsak od teh sestavnih delov je podrobneje opisan v delovnem dokumentu služb Komisije o oceni učinka, ki je priložen temu predlogu. </w:t>
      </w:r>
    </w:p>
    <w:p>
      <w:pPr>
        <w:pStyle w:val="Text1"/>
        <w:ind w:left="0"/>
        <w:rPr>
          <w:noProof/>
        </w:rPr>
      </w:pPr>
      <w:r>
        <w:rPr>
          <w:noProof/>
        </w:rPr>
        <w:t>Skupaj tvorijo naslednjo rešitev za interoperabilnost:</w:t>
      </w:r>
    </w:p>
    <w:p>
      <w:pPr>
        <w:pStyle w:val="Text1"/>
        <w:ind w:left="0"/>
        <w:rPr>
          <w:noProof/>
        </w:rPr>
      </w:pPr>
      <w:bookmarkStart w:id="1" w:name="_Toc496614916"/>
      <w:bookmarkStart w:id="2" w:name="_Toc496618263"/>
      <w:bookmarkStart w:id="3" w:name="_Toc496619915"/>
      <w:bookmarkStart w:id="4" w:name="_Toc496621490"/>
      <w:bookmarkStart w:id="5" w:name="_Toc496624668"/>
      <w:bookmarkStart w:id="6" w:name="_Toc496623487"/>
      <w:bookmarkStart w:id="7" w:name="_Toc496625023"/>
      <w:bookmarkStart w:id="8" w:name="_Toc496626176"/>
      <w:bookmarkStart w:id="9" w:name="_Toc496627790"/>
      <w:bookmarkStart w:id="10" w:name="_Toc496628355"/>
      <w:bookmarkStart w:id="11" w:name="_Toc496628944"/>
      <w:bookmarkStart w:id="12" w:name="_Toc496629067"/>
      <w:bookmarkStart w:id="13" w:name="_Toc496629189"/>
      <w:bookmarkStart w:id="14" w:name="_Toc496629312"/>
      <w:bookmarkStart w:id="15" w:name="_Toc496629527"/>
      <w:bookmarkStart w:id="16" w:name="_Toc496630709"/>
      <w:bookmarkStart w:id="17" w:name="_Toc496630992"/>
      <w:bookmarkStart w:id="18" w:name="_Toc496631277"/>
      <w:bookmarkStart w:id="19" w:name="_Toc496614917"/>
      <w:bookmarkStart w:id="20" w:name="_Toc496618264"/>
      <w:bookmarkStart w:id="21" w:name="_Toc496619916"/>
      <w:bookmarkStart w:id="22" w:name="_Toc496621491"/>
      <w:bookmarkStart w:id="23" w:name="_Toc496624669"/>
      <w:bookmarkStart w:id="24" w:name="_Toc496623488"/>
      <w:bookmarkStart w:id="25" w:name="_Toc496625024"/>
      <w:bookmarkStart w:id="26" w:name="_Toc496626177"/>
      <w:bookmarkStart w:id="27" w:name="_Toc496627791"/>
      <w:bookmarkStart w:id="28" w:name="_Toc496628356"/>
      <w:bookmarkStart w:id="29" w:name="_Toc496628945"/>
      <w:bookmarkStart w:id="30" w:name="_Toc496629068"/>
      <w:bookmarkStart w:id="31" w:name="_Toc496629190"/>
      <w:bookmarkStart w:id="32" w:name="_Toc496629313"/>
      <w:bookmarkStart w:id="33" w:name="_Toc496629528"/>
      <w:bookmarkStart w:id="34" w:name="_Toc496630710"/>
      <w:bookmarkStart w:id="35" w:name="_Toc496630993"/>
      <w:bookmarkStart w:id="36" w:name="_Toc496631278"/>
      <w:bookmarkStart w:id="37" w:name="_Toc496614918"/>
      <w:bookmarkStart w:id="38" w:name="_Toc496618265"/>
      <w:bookmarkStart w:id="39" w:name="_Toc496619917"/>
      <w:bookmarkStart w:id="40" w:name="_Toc496621492"/>
      <w:bookmarkStart w:id="41" w:name="_Toc496624670"/>
      <w:bookmarkStart w:id="42" w:name="_Toc496623489"/>
      <w:bookmarkStart w:id="43" w:name="_Toc496625025"/>
      <w:bookmarkStart w:id="44" w:name="_Toc496626178"/>
      <w:bookmarkStart w:id="45" w:name="_Toc496627792"/>
      <w:bookmarkStart w:id="46" w:name="_Toc496628357"/>
      <w:bookmarkStart w:id="47" w:name="_Toc496628946"/>
      <w:bookmarkStart w:id="48" w:name="_Toc496629069"/>
      <w:bookmarkStart w:id="49" w:name="_Toc496629191"/>
      <w:bookmarkStart w:id="50" w:name="_Toc496629314"/>
      <w:bookmarkStart w:id="51" w:name="_Toc496629529"/>
      <w:bookmarkStart w:id="52" w:name="_Toc496630711"/>
      <w:bookmarkStart w:id="53" w:name="_Toc496630994"/>
      <w:bookmarkStart w:id="54" w:name="_Toc496631279"/>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noProof/>
        </w:rPr>
        <w:t xml:space="preserve"> </w:t>
      </w:r>
      <w:r>
        <w:rPr>
          <w:noProof/>
          <w:lang w:val="en-US" w:eastAsia="en-US" w:bidi="ar-SA"/>
        </w:rPr>
        <w:drawing>
          <wp:inline distT="0" distB="0" distL="0" distR="0">
            <wp:extent cx="5761355" cy="219649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761355" cy="2196494"/>
                    </a:xfrm>
                    <a:prstGeom prst="rect">
                      <a:avLst/>
                    </a:prstGeom>
                  </pic:spPr>
                </pic:pic>
              </a:graphicData>
            </a:graphic>
          </wp:inline>
        </w:drawing>
      </w:r>
    </w:p>
    <w:p>
      <w:pPr>
        <w:pStyle w:val="Text1"/>
        <w:ind w:left="-708"/>
        <w:rPr>
          <w:i/>
          <w:noProof/>
        </w:rPr>
      </w:pPr>
      <w:bookmarkStart w:id="55" w:name="_Toc497491335"/>
      <w:bookmarkStart w:id="56" w:name="_Toc497491710"/>
      <w:bookmarkStart w:id="57" w:name="_Toc497493160"/>
      <w:bookmarkStart w:id="58" w:name="_Toc497493376"/>
      <w:bookmarkStart w:id="59" w:name="_Toc497493686"/>
      <w:bookmarkStart w:id="60" w:name="_Toc497494175"/>
      <w:bookmarkStart w:id="61" w:name="_Toc497494376"/>
      <w:bookmarkStart w:id="62" w:name="_Toc497495259"/>
      <w:bookmarkEnd w:id="55"/>
      <w:bookmarkEnd w:id="56"/>
      <w:bookmarkEnd w:id="57"/>
      <w:bookmarkEnd w:id="58"/>
      <w:bookmarkEnd w:id="59"/>
      <w:bookmarkEnd w:id="60"/>
      <w:bookmarkEnd w:id="61"/>
      <w:bookmarkEnd w:id="62"/>
    </w:p>
    <w:p>
      <w:pPr>
        <w:pStyle w:val="Text1"/>
        <w:ind w:left="0"/>
        <w:rPr>
          <w:noProof/>
        </w:rPr>
      </w:pPr>
      <w:r>
        <w:rPr>
          <w:noProof/>
        </w:rPr>
        <w:t>Cilji in delovanje teh štirih sestavnih delov se lahko povzamejo, kot sledi:</w:t>
      </w:r>
    </w:p>
    <w:p>
      <w:pPr>
        <w:spacing w:before="100" w:beforeAutospacing="1" w:after="100" w:afterAutospacing="1"/>
        <w:ind w:left="426" w:hanging="426"/>
        <w:rPr>
          <w:noProof/>
        </w:rPr>
      </w:pPr>
      <w:r>
        <w:rPr>
          <w:noProof/>
        </w:rPr>
        <w:t xml:space="preserve">(1) </w:t>
      </w:r>
      <w:r>
        <w:rPr>
          <w:noProof/>
        </w:rPr>
        <w:tab/>
      </w:r>
      <w:r>
        <w:rPr>
          <w:b/>
          <w:noProof/>
        </w:rPr>
        <w:t>Evropski iskalni portal (ESP)</w:t>
      </w:r>
      <w:r>
        <w:rPr>
          <w:noProof/>
        </w:rPr>
        <w:t xml:space="preserve"> je sestavni del, ki bi omogočil istočasno poizvedovanje v več sistemih (centralni SIS, Eurodac, VIS, prihodnji SVI, predlagana sistema ETIAS in ECRIS-TCN ter zadevni sistemi Interpola in podatki Europola) na podlagi (biografskih in biometričnih) podatkov o identiteti. Zagotovil bi, da imajo uporabniki informacijskih sistemov EU hiter, nemoten, učinkovit, sistematičen in nadzorovan dostop do vseh informacij, ki jih potrebujejo za opravljanje svojih nalog.</w:t>
      </w:r>
    </w:p>
    <w:p>
      <w:pPr>
        <w:spacing w:before="100" w:beforeAutospacing="1" w:after="100" w:afterAutospacing="1"/>
        <w:ind w:left="426"/>
        <w:rPr>
          <w:noProof/>
          <w:szCs w:val="24"/>
        </w:rPr>
      </w:pPr>
      <w:r>
        <w:rPr>
          <w:noProof/>
        </w:rPr>
        <w:t>S poizvedbo prek evropskega iskalnega portala bi se nemudoma pridobile informacije iz različnih sistemov, do katerih ima uporabnik zakonit dostop. Glede na namen poizvedbe in zadevne pravice do dostopa bi moral imeti ESP posebne konfiguracije.</w:t>
      </w:r>
    </w:p>
    <w:p>
      <w:pPr>
        <w:spacing w:before="100" w:beforeAutospacing="1" w:after="100" w:afterAutospacing="1"/>
        <w:ind w:left="426"/>
        <w:rPr>
          <w:rFonts w:eastAsia="Arial Unicode MS"/>
          <w:noProof/>
        </w:rPr>
      </w:pPr>
      <w:r>
        <w:rPr>
          <w:noProof/>
        </w:rPr>
        <w:t xml:space="preserve">ESP ne obdeluje novih podatkov in tudi ne shranjuje podatkov. Deloval bi kot enotna kontaktna točka oziroma „posrednik sporočil“ za nemoteno poizvedovanje v različnih centralnih sistemih in pridobivanje potrebnih informacij ob popolnem spoštovanju zahtev glede nadzora dostopa in varstva podatkov za zadevne sisteme. Omogočal bi pravilno in dovoljeno uporabo vsakega od obstoječih informacijskih sistemov EU, države članice pa bi lahko lažje in ceneje uporabljale sisteme v skladu s pravnimi instrumenti, ki urejajo te sisteme. </w:t>
      </w:r>
    </w:p>
    <w:p>
      <w:pPr>
        <w:spacing w:before="100" w:beforeAutospacing="1" w:after="100" w:afterAutospacing="1"/>
        <w:ind w:left="426" w:hanging="426"/>
        <w:rPr>
          <w:noProof/>
          <w:szCs w:val="24"/>
        </w:rPr>
      </w:pPr>
      <w:r>
        <w:rPr>
          <w:noProof/>
        </w:rPr>
        <w:lastRenderedPageBreak/>
        <w:t xml:space="preserve">(2) </w:t>
      </w:r>
      <w:r>
        <w:rPr>
          <w:noProof/>
        </w:rPr>
        <w:tab/>
      </w:r>
      <w:r>
        <w:rPr>
          <w:b/>
          <w:noProof/>
        </w:rPr>
        <w:t>Skupna storitev za ugotavljanje ujemanja biometričnih podatkov (skupna BMS)</w:t>
      </w:r>
      <w:r>
        <w:rPr>
          <w:noProof/>
        </w:rPr>
        <w:t xml:space="preserve"> bi omogočala poizvedovanje in primerjavo biometričnih podatkov (prstnih odtisov in podob obraza) iz več centralnih sistemov (zlasti SIS, Eurodac, VIS, prihodnjega SVI in predlaganega sistema ECRIS-TCN). Predlagani sistem ETIAS ne bo vseboval biometričnih podatkov in zato ne bo povezan s skupno BMS.</w:t>
      </w:r>
    </w:p>
    <w:p>
      <w:pPr>
        <w:spacing w:before="100" w:beforeAutospacing="1" w:after="100" w:afterAutospacing="1"/>
        <w:ind w:left="426"/>
        <w:rPr>
          <w:noProof/>
          <w:szCs w:val="24"/>
        </w:rPr>
      </w:pPr>
      <w:r>
        <w:rPr>
          <w:noProof/>
        </w:rPr>
        <w:t>Medtem ko ima trenutno vsak obstoječi centralni sistem (SIS, Eurodac, VIS) svoj poseben iskalnik za biometrične podatke</w:t>
      </w:r>
      <w:r>
        <w:rPr>
          <w:rStyle w:val="FootnoteReference"/>
          <w:noProof/>
        </w:rPr>
        <w:footnoteReference w:id="23"/>
      </w:r>
      <w:r>
        <w:rPr>
          <w:noProof/>
        </w:rPr>
        <w:t>, bi skupna BMS zagotovila skupno platformo za istočasno poizvedovanje in primerjavo podatkov. Imela bi znatne koristi v smislu varnosti, stroškov, vzdrževanja in upravljanja, saj bi temeljila na enotnem tehnološkem sestavnem delu namesto na petih različnih sestavnih delih. Biometrični podatki (prstni odtisi in podobe obraza) se hranijo izključno v zadevnih sistemih. Skupna BMS bi ustvarila in hranila matematično predstavitev biometričnih vzorcev (predlogo), vendar bi izločila dejanske podatke, ki bi se tako še naprej hranili samo enkrat in na enem mestu.</w:t>
      </w:r>
    </w:p>
    <w:p>
      <w:pPr>
        <w:spacing w:before="100" w:beforeAutospacing="1" w:after="100" w:afterAutospacing="1"/>
        <w:ind w:left="426"/>
        <w:rPr>
          <w:noProof/>
          <w:szCs w:val="24"/>
        </w:rPr>
      </w:pPr>
      <w:r>
        <w:rPr>
          <w:noProof/>
        </w:rPr>
        <w:t>Skupna BMS bi bila ključno orodje pri odkrivanju povezav med nizi podatkov in različnimi identitetami iste osebe v različnih centralnih sistemih. Brez nje preostali trije sestavni deli ne bodo delovali.</w:t>
      </w:r>
    </w:p>
    <w:p>
      <w:pPr>
        <w:spacing w:before="100" w:beforeAutospacing="1" w:after="100" w:afterAutospacing="1"/>
        <w:ind w:left="426" w:hanging="426"/>
        <w:rPr>
          <w:noProof/>
          <w:szCs w:val="24"/>
        </w:rPr>
      </w:pPr>
      <w:r>
        <w:rPr>
          <w:noProof/>
        </w:rPr>
        <w:t xml:space="preserve">(3) </w:t>
      </w:r>
      <w:r>
        <w:rPr>
          <w:b/>
          <w:noProof/>
        </w:rPr>
        <w:t>Skupno odložišče podatkov o identiteti (CIR)</w:t>
      </w:r>
      <w:r>
        <w:rPr>
          <w:noProof/>
        </w:rPr>
        <w:t xml:space="preserve"> bi bil skupni sestavni del za shranjevanje biografskih</w:t>
      </w:r>
      <w:r>
        <w:rPr>
          <w:rStyle w:val="FootnoteReference"/>
          <w:noProof/>
        </w:rPr>
        <w:footnoteReference w:id="24"/>
      </w:r>
      <w:r>
        <w:rPr>
          <w:noProof/>
        </w:rPr>
        <w:t xml:space="preserve"> in biometričnih podatkov o identiteti državljanov tretjih držav, evidentiranih v sistemu Eurodac, VIS, prihodnjem SVI ter predlaganih sistemih ETIAS in ECRIS-TCN. Vsak od teh petih centralnih sistemov evidentira oziroma bo evidentiral biografske podatke o določenih osebah iz posebnih razlogov. To se ne bi spremenilo. Zadevni podatki o identiteti bi se hranili v CIR, vendar bi še naprej „pripadali“ zadevnim sistemom, v katerih so bili evidentirani. </w:t>
      </w:r>
    </w:p>
    <w:p>
      <w:pPr>
        <w:spacing w:before="100" w:beforeAutospacing="1" w:after="100" w:afterAutospacing="1"/>
        <w:ind w:left="426"/>
        <w:rPr>
          <w:noProof/>
          <w:szCs w:val="24"/>
        </w:rPr>
      </w:pPr>
      <w:r>
        <w:rPr>
          <w:noProof/>
        </w:rPr>
        <w:t xml:space="preserve">CIR ne bi vsebovalo podatkov iz SIS. Zaradi zapletene tehnične arhitekture SIS, ki vsebuje nacionalne kopije, delne nacionalne kopije in morebitne nacionalne biometrične sisteme, bi bilo skupno odložišče zelo zapleteno ter morda celo tehnično in finančno neizvedljivo. </w:t>
      </w:r>
    </w:p>
    <w:p>
      <w:pPr>
        <w:spacing w:before="100" w:beforeAutospacing="1" w:after="100" w:afterAutospacing="1"/>
        <w:ind w:left="426"/>
        <w:rPr>
          <w:noProof/>
          <w:szCs w:val="24"/>
        </w:rPr>
      </w:pPr>
      <w:r>
        <w:rPr>
          <w:noProof/>
        </w:rPr>
        <w:t xml:space="preserve">Ključni cilj CIR je olajšati biografsko identifikacijo državljana tretje države. To bi omogočilo hitrejše operacije, večjo učinkovitost in ekonomijo obsega. Vzpostavitev CIR je potrebna za učinkovito ugotavljanje identitete državljanov tretjih držav, med drugim tudi na ozemlju države članice. Ker mu bo dodana tudi funkcija „zadetek/ni zadetka“, bo s preprosto oznako „zadetek/ni zadetka“ mogoče preveriti obstoj (ali neobstoj) podatkov v katerem koli od sistemov, ki jih CIR zajema. Tako bo pomagalo tudi racionalizirati dostop organov kazenskega pregona do informacijskih sistemov, ki niso povezani s kazenskim pregonom, in hkrati ohraniti visoko raven zaščitnih ukrepov za varstvo podatkov (glej oddelek o dvostopenjskem pristopu k dostopu organov kazenskega pregona v nadaljevanju). </w:t>
      </w:r>
    </w:p>
    <w:p>
      <w:pPr>
        <w:spacing w:before="100" w:beforeAutospacing="1" w:after="100" w:afterAutospacing="1"/>
        <w:ind w:left="426"/>
        <w:rPr>
          <w:noProof/>
          <w:szCs w:val="24"/>
        </w:rPr>
      </w:pPr>
      <w:r>
        <w:rPr>
          <w:noProof/>
        </w:rPr>
        <w:t xml:space="preserve">Od petih sistemov, ki jih bo zajemalo CIR, so prihodnji SVI ter predlagana sistema ETIAS in ECRIS-TCN novi sistemi, ki jih je treba še razviti. Sedanji sistem Eurodac ne </w:t>
      </w:r>
      <w:r>
        <w:rPr>
          <w:noProof/>
        </w:rPr>
        <w:lastRenderedPageBreak/>
        <w:t xml:space="preserve">vsebuje biografskih podatkov, pri čemer bo ta razširitev razvita, ko bo sprejeta nova pravna podlaga za ta sistem. Sedanji VIS sicer vsebuje biografske podatke, vendar ga bo treba zaradi njegovega medsebojnega delovanja s prihodnjim SVI nadgraditi. Zato bi bila vzpostavitev CIR pravočasna. To ne bi nikakor vključevalo podvajanja obstoječih podatkov. S tehničnega vidika bi bilo CIR razvito na podlagi platforme SVI/ETIAS. </w:t>
      </w:r>
    </w:p>
    <w:p>
      <w:pPr>
        <w:spacing w:before="100" w:beforeAutospacing="1" w:after="100" w:afterAutospacing="1"/>
        <w:ind w:left="426" w:hanging="426"/>
        <w:rPr>
          <w:noProof/>
        </w:rPr>
      </w:pPr>
      <w:r>
        <w:rPr>
          <w:noProof/>
        </w:rPr>
        <w:t xml:space="preserve">(4) </w:t>
      </w:r>
      <w:r>
        <w:rPr>
          <w:b/>
          <w:noProof/>
        </w:rPr>
        <w:t>Detektor več identitet (MID)</w:t>
      </w:r>
      <w:r>
        <w:rPr>
          <w:noProof/>
        </w:rPr>
        <w:t xml:space="preserve"> bi preverjal, ali poizvedovani podatki o identiteti obstajajo v več kot enem od sistemov, s katerimi je povezan. Zajema sisteme, ki hranijo podatke o identiteti v CIR (Eurodac, VIS, prihodnji SVI ter predlagana sistema ETIAS in ECRIS-TCN), in SIS. Omogočal bi odkrivanje več identitet, povezanih z istim nizom biometričnih podatkov, z namenom zagotavljanja pravilne identifikacije dobrovernih oseb in boja proti identitetni prevari.</w:t>
      </w:r>
    </w:p>
    <w:p>
      <w:pPr>
        <w:spacing w:before="100" w:beforeAutospacing="1" w:after="100" w:afterAutospacing="1"/>
        <w:ind w:left="426"/>
        <w:rPr>
          <w:noProof/>
          <w:szCs w:val="24"/>
        </w:rPr>
      </w:pPr>
      <w:r>
        <w:rPr>
          <w:noProof/>
        </w:rPr>
        <w:t xml:space="preserve">Z MID bi bilo mogoče ugotoviti, da različna imena pripadajo isti identiteti. Gre za inovacijo, ki je potrebna za učinkovito odpravo zlorab identitete, ki so huda kršitev varnosti. MID bi prikazal le tiste evidence o biografski identiteti, ki so povezane z različnimi centralnimi sistemi. Te povezave bi bilo mogoče odkriti na podlagi biometričnih podatkov, in sicer z uporabo skupne storitve za ugotavljanje ujemanja biometričnih podatkov, pri čemer bi jih moral organ, ki je v informacijskem sistemu evidentiral podatke, ki so privedli do vzpostavitve povezave, potrditi ali zavrniti. V pomoč pooblaščenim uporabnikom MID pri tej nalogi bi moral sistem ugotovljene povezave razdeliti na naslednje štiri kategorije: </w:t>
      </w:r>
    </w:p>
    <w:p>
      <w:pPr>
        <w:pStyle w:val="Bullet0"/>
        <w:rPr>
          <w:noProof/>
        </w:rPr>
      </w:pPr>
      <w:r>
        <w:rPr>
          <w:noProof/>
        </w:rPr>
        <w:t>rumena povezava –</w:t>
      </w:r>
      <w:r>
        <w:rPr>
          <w:noProof/>
        </w:rPr>
        <w:tab/>
        <w:t>ista oseba ima morda različne biografske identitete,</w:t>
      </w:r>
    </w:p>
    <w:p>
      <w:pPr>
        <w:pStyle w:val="Bullet0"/>
        <w:rPr>
          <w:noProof/>
        </w:rPr>
      </w:pPr>
      <w:r>
        <w:rPr>
          <w:noProof/>
        </w:rPr>
        <w:t xml:space="preserve">bela povezava – potrditev, da ima ista dobroverna oseba različne biografske identitete, </w:t>
      </w:r>
    </w:p>
    <w:p>
      <w:pPr>
        <w:pStyle w:val="Bullet0"/>
        <w:rPr>
          <w:noProof/>
        </w:rPr>
      </w:pPr>
      <w:r>
        <w:rPr>
          <w:noProof/>
        </w:rPr>
        <w:t>zelena povezava – potrditev, da imajo različne dobroverne osebe isto biografsko identiteto,</w:t>
      </w:r>
    </w:p>
    <w:p>
      <w:pPr>
        <w:pStyle w:val="Bullet0"/>
        <w:rPr>
          <w:noProof/>
        </w:rPr>
      </w:pPr>
      <w:r>
        <w:rPr>
          <w:noProof/>
        </w:rPr>
        <w:t xml:space="preserve"> rdeča povezava – sum, da ista oseba nezakonito uporablja različne biografske identitete.</w:t>
      </w:r>
    </w:p>
    <w:p>
      <w:pPr>
        <w:spacing w:before="100" w:beforeAutospacing="1" w:after="100" w:afterAutospacing="1"/>
        <w:contextualSpacing/>
        <w:rPr>
          <w:noProof/>
          <w:szCs w:val="24"/>
        </w:rPr>
      </w:pPr>
    </w:p>
    <w:p>
      <w:pPr>
        <w:spacing w:before="100" w:beforeAutospacing="1" w:after="100" w:afterAutospacing="1"/>
        <w:ind w:left="426"/>
        <w:rPr>
          <w:noProof/>
        </w:rPr>
      </w:pPr>
      <w:r>
        <w:rPr>
          <w:noProof/>
        </w:rPr>
        <w:t xml:space="preserve">Ta predlog opisuje postopke, ki bi bili uvedeni za obravnavo teh različnih kategorij. Identiteto zadevnih dobrovernih oseb bi bilo treba opredeliti čim prej, in sicer tako, da se rumena povezava spremeni v potrjeno zeleno ali belo povezavo, da se preprečijo nepotrebne nevšečnosti. Če pa ocena privede do potrditve rdeče povezave ali spremembe iz rumene v rdečo povezavo, bi bilo treba sprejeti ustrezne ukrepe. </w:t>
      </w:r>
    </w:p>
    <w:p>
      <w:pPr>
        <w:spacing w:before="100" w:beforeAutospacing="1" w:after="100" w:afterAutospacing="1"/>
        <w:contextualSpacing/>
        <w:rPr>
          <w:noProof/>
        </w:rPr>
      </w:pPr>
    </w:p>
    <w:p>
      <w:pPr>
        <w:spacing w:before="100" w:beforeAutospacing="1" w:after="100" w:afterAutospacing="1"/>
        <w:contextualSpacing/>
        <w:rPr>
          <w:rFonts w:eastAsia="Arial Unicode MS"/>
          <w:b/>
          <w:noProof/>
          <w:color w:val="000000"/>
          <w:u w:color="000000"/>
          <w:bdr w:val="nil"/>
        </w:rPr>
      </w:pPr>
      <w:r>
        <w:rPr>
          <w:b/>
          <w:noProof/>
          <w:color w:val="000000"/>
          <w:u w:color="000000"/>
          <w:bdr w:val="nil"/>
        </w:rPr>
        <w:t>•</w:t>
      </w:r>
      <w:r>
        <w:rPr>
          <w:noProof/>
        </w:rPr>
        <w:tab/>
      </w:r>
      <w:r>
        <w:rPr>
          <w:b/>
          <w:noProof/>
          <w:color w:val="000000"/>
          <w:u w:color="000000"/>
          <w:bdr w:val="nil"/>
        </w:rPr>
        <w:t xml:space="preserve">Dvostopenjski pristop k dostopu organov kazenskega pregona, kot ga določa </w:t>
      </w:r>
      <w:r>
        <w:rPr>
          <w:noProof/>
        </w:rPr>
        <w:tab/>
      </w:r>
      <w:r>
        <w:rPr>
          <w:b/>
          <w:noProof/>
          <w:color w:val="000000"/>
          <w:u w:color="000000"/>
          <w:bdr w:val="nil"/>
        </w:rPr>
        <w:t>skupno odložišče podatkov o identiteti</w:t>
      </w:r>
    </w:p>
    <w:p>
      <w:pPr>
        <w:spacing w:before="100" w:beforeAutospacing="1" w:after="100" w:afterAutospacing="1"/>
        <w:contextualSpacing/>
        <w:rPr>
          <w:b/>
          <w:noProof/>
        </w:rPr>
      </w:pPr>
    </w:p>
    <w:p>
      <w:pPr>
        <w:spacing w:before="100" w:beforeAutospacing="1" w:after="100" w:afterAutospacing="1"/>
        <w:rPr>
          <w:noProof/>
        </w:rPr>
      </w:pPr>
      <w:r>
        <w:rPr>
          <w:noProof/>
        </w:rPr>
        <w:t xml:space="preserve">Kazenski pregon je opredeljen kot sekundarni ali postranski cilj sistema Eurodac, VIS, prihodnjega SVI in predlaganega sistema ETIAS. Zato je možnost dostopa do podatkov, ki se hranijo v teh sistemih, za namene kazenskega pregona omejena. Organi kazenskega pregona lahko te informacijske sisteme, ki niso povezani s kazenskim pregonom, neposredno uporabijo le za preprečevanje, preiskovanje, odkrivanje ali pregon terorizma in drugih hudih kaznivih dejanj. Poleg tega zadevne sisteme urejajo različni pogoji za dostop in zaščitni ukrepi, pri čemer bi lahko nekatera od sedanjih pravil ovirala hitrost zakonite uporabe </w:t>
      </w:r>
      <w:r>
        <w:rPr>
          <w:noProof/>
        </w:rPr>
        <w:lastRenderedPageBreak/>
        <w:t xml:space="preserve">sistemov s strani teh organov. Splošneje pa načelo predhodnega iskanja omejuje možnost organov držav članic, da uporabijo sisteme za upravičene namene kazenskega pregona, kar bi lahko povzročilo zamujene priložnosti za odkrivanje potrebnih informacij. </w:t>
      </w:r>
    </w:p>
    <w:p>
      <w:pPr>
        <w:spacing w:before="100" w:beforeAutospacing="1" w:after="100" w:afterAutospacing="1"/>
        <w:rPr>
          <w:noProof/>
        </w:rPr>
      </w:pPr>
      <w:r>
        <w:rPr>
          <w:noProof/>
        </w:rPr>
        <w:t xml:space="preserve">Komisija je v svojem sporočilu iz aprila 2016 priznala, da je treba izboljšati obstoječa orodja za namene kazenskega pregona ob spoštovanju zahtev glede varstva podatkov. To potrebo so potrdile in ponovile tudi države članice in zadevne agencije v okviru strokovne skupine na visoki ravni. </w:t>
      </w:r>
    </w:p>
    <w:p>
      <w:pPr>
        <w:spacing w:before="100" w:beforeAutospacing="1" w:after="100" w:afterAutospacing="1"/>
        <w:rPr>
          <w:noProof/>
          <w:u w:val="single"/>
        </w:rPr>
      </w:pPr>
      <w:r>
        <w:rPr>
          <w:noProof/>
        </w:rPr>
        <w:t xml:space="preserve">Glede na navedeno ta predlog z vzpostavitvijo CIR s t. i. funkcijo „zadetek/ni zadetka“ omogoča dostop do SVI, VIS ter sistemov ETIAS in Eurodac na podlagi </w:t>
      </w:r>
      <w:r>
        <w:rPr>
          <w:b/>
          <w:noProof/>
        </w:rPr>
        <w:t>dvostopenjskega pristopa k uporabi podatkov</w:t>
      </w:r>
      <w:r>
        <w:rPr>
          <w:noProof/>
        </w:rPr>
        <w:t xml:space="preserve">. Slednji ne bi spremenil dejstva, da je kazenski pregon izključno postranski cilj teh sistemov in da morajo zato zanj veljati stroga pravila za dostop. </w:t>
      </w:r>
    </w:p>
    <w:p>
      <w:pPr>
        <w:spacing w:before="100" w:beforeAutospacing="1" w:after="100" w:afterAutospacing="1"/>
        <w:rPr>
          <w:noProof/>
        </w:rPr>
      </w:pPr>
      <w:r>
        <w:rPr>
          <w:noProof/>
        </w:rPr>
        <w:t xml:space="preserve">Kot prvi korak bi uradnik organa kazenskega pregona opravil poizvedbo o posamezni osebi na podlagi njenih podatkov o identiteti, potovalnega dokumenta ali biometričnih podatkov, da bi preveril, ali se informacije o iskani osebi hranijo v CIR. Če se, bi prejel </w:t>
      </w:r>
      <w:r>
        <w:rPr>
          <w:b/>
          <w:noProof/>
        </w:rPr>
        <w:t>odgovor z navedbo informacijskih sistemov EU, ki vsebujejo podatke</w:t>
      </w:r>
      <w:r>
        <w:rPr>
          <w:noProof/>
        </w:rPr>
        <w:t xml:space="preserve"> o tej osebi (</w:t>
      </w:r>
      <w:r>
        <w:rPr>
          <w:b/>
          <w:noProof/>
        </w:rPr>
        <w:t>zadetek</w:t>
      </w:r>
      <w:r>
        <w:rPr>
          <w:noProof/>
        </w:rPr>
        <w:t xml:space="preserve">). Uradnik ne bi imel dejanskega dostopa do podatkov v zadevnih sistemih. </w:t>
      </w:r>
    </w:p>
    <w:p>
      <w:pPr>
        <w:spacing w:before="100" w:beforeAutospacing="1" w:after="100" w:afterAutospacing="1"/>
        <w:rPr>
          <w:noProof/>
        </w:rPr>
      </w:pPr>
      <w:r>
        <w:rPr>
          <w:noProof/>
        </w:rPr>
        <w:t xml:space="preserve">Kot drugi korak uradnik lahko zahteva posamezen dostop do vsakega sistema, za katerega je bilo navedeno, da vsebuje podatke, da bi pridobil popolno dokumentacijo o poizvedovani osebi, </w:t>
      </w:r>
      <w:r>
        <w:rPr>
          <w:b/>
          <w:noProof/>
        </w:rPr>
        <w:t>v skladu z veljavnimi pravili in postopki, določenimi za vsak zadevni sistem</w:t>
      </w:r>
      <w:r>
        <w:rPr>
          <w:noProof/>
        </w:rPr>
        <w:t xml:space="preserve">. Za ta dostop pod drugim korakom bi bili še naprej potrebni predhodna odobritev imenovanega organa, posebno uporabniško ime in prijava v sistem. </w:t>
      </w:r>
    </w:p>
    <w:p>
      <w:pPr>
        <w:spacing w:before="100" w:beforeAutospacing="1" w:after="100" w:afterAutospacing="1"/>
        <w:rPr>
          <w:noProof/>
        </w:rPr>
      </w:pPr>
      <w:r>
        <w:rPr>
          <w:noProof/>
        </w:rPr>
        <w:t xml:space="preserve">Ta novi pristop bi pomenil tudi dodano vrednost za organe kazenskega pregona zaradi </w:t>
      </w:r>
      <w:r>
        <w:rPr>
          <w:b/>
          <w:noProof/>
        </w:rPr>
        <w:t>obstoja morebitnih povezav</w:t>
      </w:r>
      <w:r>
        <w:rPr>
          <w:noProof/>
        </w:rPr>
        <w:t xml:space="preserve"> v MID. Slednji bi skupaj s CIR pomagal odkriti obstoječe povezave, s čimer bi bilo iskanje še natančnejše. Z njim bi bilo namreč mogoče ugotoviti, ali </w:t>
      </w:r>
      <w:r>
        <w:rPr>
          <w:b/>
          <w:noProof/>
        </w:rPr>
        <w:t>ima oseba različne identitete</w:t>
      </w:r>
      <w:r>
        <w:rPr>
          <w:noProof/>
        </w:rPr>
        <w:t xml:space="preserve"> v različnih informacijskih sistemih.</w:t>
      </w:r>
    </w:p>
    <w:p>
      <w:pPr>
        <w:spacing w:before="100" w:beforeAutospacing="1" w:after="100" w:afterAutospacing="1"/>
        <w:rPr>
          <w:noProof/>
        </w:rPr>
      </w:pPr>
      <w:r>
        <w:rPr>
          <w:noProof/>
        </w:rPr>
        <w:t>Dvostopenjski pristop k uporabi podatkov je pomemben zlasti v primerih, ko osumljenec, storilec ali domnevna žrtev terorističnega ali drugega hudega kaznivega dejanja</w:t>
      </w:r>
      <w:r>
        <w:rPr>
          <w:b/>
          <w:noProof/>
        </w:rPr>
        <w:t xml:space="preserve"> ni znana</w:t>
      </w:r>
      <w:r>
        <w:rPr>
          <w:noProof/>
        </w:rPr>
        <w:t>. V teh primerih bi CIR dejansko z enim samim iskanjem omogočilo ugotoviti, kateri informacijski sistem vsebuje podatke o osebi. S tem bi postali obstoječi pogoji za predhodno iskanje v nacionalnih podatkovnih zbirkah in sistemu za avtomatizirano identifikacijo prstnih odtisov drugih držav članic v skladu s Sklepom 2008/615/PNZ („preverjanje v skladu s prümskimi merili“) odvečni.</w:t>
      </w:r>
    </w:p>
    <w:p>
      <w:pPr>
        <w:spacing w:before="100" w:beforeAutospacing="1" w:after="100" w:afterAutospacing="1"/>
        <w:rPr>
          <w:noProof/>
        </w:rPr>
      </w:pPr>
      <w:r>
        <w:rPr>
          <w:noProof/>
        </w:rPr>
        <w:t xml:space="preserve">Novi dvostopenjski pristop k uporabi podatkov bi </w:t>
      </w:r>
      <w:r>
        <w:rPr>
          <w:b/>
          <w:noProof/>
        </w:rPr>
        <w:t>začel veljati šele, ko bodo</w:t>
      </w:r>
      <w:r>
        <w:rPr>
          <w:noProof/>
        </w:rPr>
        <w:t xml:space="preserve"> potrebni </w:t>
      </w:r>
      <w:r>
        <w:rPr>
          <w:b/>
          <w:noProof/>
        </w:rPr>
        <w:t>sestavni deli interoperabilnosti v celoti operativni</w:t>
      </w:r>
      <w:r>
        <w:rPr>
          <w:noProof/>
        </w:rPr>
        <w:t xml:space="preserve">. </w:t>
      </w:r>
    </w:p>
    <w:p>
      <w:pPr>
        <w:pStyle w:val="ManualHeading2"/>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Dodatni elementi tega predloga v podporo sestavnim delom interoperabilnosti</w:t>
      </w:r>
    </w:p>
    <w:p>
      <w:pPr>
        <w:spacing w:before="100" w:beforeAutospacing="1" w:after="100" w:afterAutospacing="1"/>
        <w:ind w:left="426" w:hanging="426"/>
        <w:rPr>
          <w:rFonts w:eastAsia="Calibri"/>
          <w:noProof/>
        </w:rPr>
      </w:pPr>
      <w:r>
        <w:rPr>
          <w:noProof/>
        </w:rPr>
        <w:t xml:space="preserve">(1) </w:t>
      </w:r>
      <w:r>
        <w:rPr>
          <w:noProof/>
        </w:rPr>
        <w:tab/>
        <w:t xml:space="preserve">Poleg navedenih sestavnih delov ta osnutek uredbe vključuje tudi predlog o vzpostavitvi </w:t>
      </w:r>
      <w:r>
        <w:rPr>
          <w:b/>
          <w:noProof/>
        </w:rPr>
        <w:t>centralnega registra za poročanje in statistične podatke (CRRS)</w:t>
      </w:r>
      <w:r>
        <w:rPr>
          <w:noProof/>
        </w:rPr>
        <w:t>. To bi omogočilo oblikovanje in izmenjavo poročil z (anonimnimi) statističnimi podatki za politične in operativne namene ter namene kakovosti podatkov. Sedanja praksa zbiranja statističnih podatkov le o posameznih informacijskih sistemih je škodljiva za varnost podatkov in uspešnost ter ne omogoča primerjave podatkov med sistemi.</w:t>
      </w:r>
    </w:p>
    <w:p>
      <w:pPr>
        <w:spacing w:before="100" w:beforeAutospacing="1" w:after="100" w:afterAutospacing="1"/>
        <w:ind w:left="426"/>
        <w:rPr>
          <w:rFonts w:eastAsia="Calibri"/>
          <w:noProof/>
        </w:rPr>
      </w:pPr>
      <w:r>
        <w:rPr>
          <w:noProof/>
        </w:rPr>
        <w:lastRenderedPageBreak/>
        <w:t>S CRRS bi se zagotovil poseben ločen register za anonimne statistične podatke iz SIS, VIS, sistema Eurodac, prihodnjega SVI ter predlaganih sistemov ETIAS in ECRIS-TCN, skupnega odložišča podatkov o identiteti, detektorja več identitet in skupne storitve za ugotavljanje ujemanja biometričnih podatkov. Register bi omogočal varno izmenjavo poročil (kot jo urejajo zadevni pravni instrumenti) z državami članicami, Komisijo (vključno z Eurostatom) in agencijami EU.</w:t>
      </w:r>
    </w:p>
    <w:p>
      <w:pPr>
        <w:spacing w:before="100" w:beforeAutospacing="1" w:after="100" w:afterAutospacing="1"/>
        <w:ind w:left="426"/>
        <w:rPr>
          <w:rFonts w:eastAsia="Calibri"/>
          <w:noProof/>
        </w:rPr>
      </w:pPr>
      <w:r>
        <w:rPr>
          <w:noProof/>
        </w:rPr>
        <w:t>Razvoj enotnega centralnega registra namesto ločenih registrov za vsak sistem bi pomenil nižje stroške in manjšo obremenitev v smislu njegove vzpostavitve, delovanja in vzdrževanja. Poleg tega bi zagotovil višjo raven varnosti podatkov, saj bi se podatki hranili v enem registru, v okviru katerega bi se upravljal tudi nadzor dostopa.</w:t>
      </w:r>
    </w:p>
    <w:p>
      <w:pPr>
        <w:spacing w:before="100" w:beforeAutospacing="1" w:after="100" w:afterAutospacing="1"/>
        <w:ind w:left="426" w:hanging="426"/>
        <w:rPr>
          <w:rFonts w:eastAsia="Calibri"/>
          <w:noProof/>
        </w:rPr>
      </w:pPr>
      <w:r>
        <w:rPr>
          <w:noProof/>
        </w:rPr>
        <w:t xml:space="preserve">(2) </w:t>
      </w:r>
      <w:r>
        <w:rPr>
          <w:noProof/>
        </w:rPr>
        <w:tab/>
        <w:t xml:space="preserve">Ta osnutek uredbe predlaga tudi vzpostavitev </w:t>
      </w:r>
      <w:r>
        <w:rPr>
          <w:b/>
          <w:noProof/>
        </w:rPr>
        <w:t>univerzalnega formata sporočil (UMF)</w:t>
      </w:r>
      <w:r>
        <w:rPr>
          <w:noProof/>
        </w:rPr>
        <w:t xml:space="preserve"> kot standarda, ki bi se uporabljal na ravni EU za zagotovitev interoperabilnosti več sistemov, vključno s sistemi, ki jih razvija in upravlja agencija eu-LISA. K uporabi standarda bi se spodbujala tudi Europol in Interpol. </w:t>
      </w:r>
    </w:p>
    <w:p>
      <w:pPr>
        <w:spacing w:before="100" w:beforeAutospacing="1" w:after="100" w:afterAutospacing="1"/>
        <w:ind w:left="425"/>
        <w:rPr>
          <w:rFonts w:eastAsia="Calibri"/>
          <w:noProof/>
        </w:rPr>
      </w:pPr>
      <w:r>
        <w:rPr>
          <w:noProof/>
        </w:rPr>
        <w:t>Standard UMF uvaja skupni in enotni tehnični jezik za opisovanje in povezovanje podatkovnih elementov, zlasti elementov glede oseb in (potovalnih) dokumentov. Njegova uporaba pri razvoju novih informacijskih sistemov zagotavlja lažje povezovanje in interoperabilnost z drugimi sistemi, zlasti za države članice, ki morajo vzpostaviti vmesnike za komunikacijo s temi novimi sistemi. V zvezi s tem se lahko njegova obvezna uporaba pri razvoju novih sistemov šteje za potreben predpogoj za uvedbo sestavnih delov interoperabilnosti, predlaganih v tej uredbi.</w:t>
      </w:r>
    </w:p>
    <w:p>
      <w:pPr>
        <w:spacing w:before="0" w:after="200"/>
        <w:ind w:left="425"/>
        <w:rPr>
          <w:rFonts w:eastAsia="Calibri"/>
          <w:noProof/>
          <w:szCs w:val="24"/>
        </w:rPr>
      </w:pPr>
      <w:r>
        <w:rPr>
          <w:noProof/>
        </w:rPr>
        <w:t>Za zagotovitev popolne uvedbe standarda UMF po vsej EU se predlaga ustrezna struktura upravljanja. Komisija bi bila odgovorna za vzpostavitev in razvoj standarda UMF v okviru postopka pregleda z državami članicami. Vključene bi bile tudi pridružene schengenske države, agencije EU in mednarodne organizacije, ki sodelujejo pri projektih v zvezi z UMF (kot so agencija eu-LISA, Europol in Interpol). Predlagana struktura upravljanja je ključna za UMF v smislu podaljšanja in razširitve standarda ter zagotavlja čim večjo uporabnost.</w:t>
      </w:r>
    </w:p>
    <w:p>
      <w:pPr>
        <w:spacing w:before="100" w:beforeAutospacing="1" w:after="100" w:afterAutospacing="1"/>
        <w:ind w:left="426" w:hanging="426"/>
        <w:rPr>
          <w:i/>
          <w:noProof/>
        </w:rPr>
      </w:pPr>
      <w:r>
        <w:rPr>
          <w:noProof/>
        </w:rPr>
        <w:t xml:space="preserve">(3) </w:t>
      </w:r>
      <w:r>
        <w:rPr>
          <w:noProof/>
        </w:rPr>
        <w:tab/>
        <w:t xml:space="preserve">Ta osnutek uredbe uvaja tudi koncept </w:t>
      </w:r>
      <w:r>
        <w:rPr>
          <w:b/>
          <w:noProof/>
        </w:rPr>
        <w:t>avtomatiziranih mehanizmov za nadzor kakovosti podatkov</w:t>
      </w:r>
      <w:r>
        <w:rPr>
          <w:noProof/>
        </w:rPr>
        <w:t xml:space="preserve"> in skupnih kazalnikov kakovosti ter potrebo, da države članice pri vnosu podatkov v sisteme in uporabi sistemov zagotovijo najvišjo raven kakovosti podatkov. Če podatki niso najvišje kakovosti, lahko to onemogoči identifikacijo iskanih oseb in vpliva na temeljne pravice nedolžnih ljudi. Za odpravo težav, ki lahko nastanejo zaradi vnosa podatkov s strani človeških operaterjev, lahko pravila o samodejnem potrjevanju preprečijo napake operaterjev. Cilj bi bil samodejno odkriti očitno nepravilne ali nedosledne predložene podatke, da bi lahko država članica, ki je podatke poslala, slednje preverila in izvedla vse potrebne popravne ukrepe. To bi bilo dopolnjeno z rednimi poročili o kakovosti podatkov, ki bi jih pripravila agencija eu-LISA.</w:t>
      </w:r>
    </w:p>
    <w:p>
      <w:pPr>
        <w:pStyle w:val="ManualHeading2"/>
        <w:ind w:left="0" w:firstLine="0"/>
        <w:rPr>
          <w:rFonts w:eastAsia="Arial Unicode MS"/>
          <w:noProof/>
          <w:color w:val="000000"/>
          <w:u w:color="000000"/>
          <w:bdr w:val="nil"/>
        </w:rPr>
      </w:pPr>
      <w:r>
        <w:rPr>
          <w:noProof/>
        </w:rPr>
        <w:t>•</w:t>
      </w:r>
      <w:r>
        <w:rPr>
          <w:noProof/>
        </w:rPr>
        <w:tab/>
        <w:t>Posledice za druge pravne instrumente</w:t>
      </w:r>
    </w:p>
    <w:p>
      <w:pPr>
        <w:pStyle w:val="Text1"/>
        <w:ind w:left="0"/>
        <w:rPr>
          <w:rFonts w:eastAsia="Calibri"/>
          <w:noProof/>
          <w:szCs w:val="24"/>
        </w:rPr>
      </w:pPr>
      <w:r>
        <w:rPr>
          <w:noProof/>
        </w:rPr>
        <w:t>Skupaj s sorodnim predlogom ta osnutek uredbe uvaja inovacije, zaradi katerih bo treba spremeniti naslednje pravne instrumente:</w:t>
      </w:r>
    </w:p>
    <w:p>
      <w:pPr>
        <w:pStyle w:val="Bullet0"/>
        <w:rPr>
          <w:noProof/>
        </w:rPr>
      </w:pPr>
      <w:r>
        <w:rPr>
          <w:noProof/>
        </w:rPr>
        <w:t xml:space="preserve">Uredbo (EU) 2016/399 (zakonik o schengenskih mejah), </w:t>
      </w:r>
    </w:p>
    <w:p>
      <w:pPr>
        <w:pStyle w:val="Bullet0"/>
        <w:rPr>
          <w:noProof/>
        </w:rPr>
      </w:pPr>
      <w:r>
        <w:rPr>
          <w:noProof/>
        </w:rPr>
        <w:t>Uredbo (EU) 2017/2226 (uredba o SVI),</w:t>
      </w:r>
    </w:p>
    <w:p>
      <w:pPr>
        <w:pStyle w:val="Bullet0"/>
        <w:rPr>
          <w:noProof/>
        </w:rPr>
      </w:pPr>
      <w:r>
        <w:rPr>
          <w:noProof/>
        </w:rPr>
        <w:lastRenderedPageBreak/>
        <w:t>Uredbo (ES) št. 767/2008 (uredba o VIS),</w:t>
      </w:r>
    </w:p>
    <w:p>
      <w:pPr>
        <w:pStyle w:val="Bullet0"/>
        <w:rPr>
          <w:noProof/>
        </w:rPr>
      </w:pPr>
      <w:r>
        <w:rPr>
          <w:noProof/>
        </w:rPr>
        <w:t>Odločbo Sveta 2004/512/ES (odločba o VIS),</w:t>
      </w:r>
    </w:p>
    <w:p>
      <w:pPr>
        <w:pStyle w:val="Bullet0"/>
        <w:rPr>
          <w:noProof/>
        </w:rPr>
      </w:pPr>
      <w:r>
        <w:rPr>
          <w:noProof/>
        </w:rPr>
        <w:t>Sklep Sveta 2008/633/PNZ (sklep o VIS/dostopu organov kazenskega pregona),</w:t>
      </w:r>
    </w:p>
    <w:p>
      <w:pPr>
        <w:pStyle w:val="Bullet0"/>
        <w:rPr>
          <w:noProof/>
        </w:rPr>
      </w:pPr>
      <w:r>
        <w:rPr>
          <w:noProof/>
        </w:rPr>
        <w:t>[uredbo o sistemu ETIAS],</w:t>
      </w:r>
    </w:p>
    <w:p>
      <w:pPr>
        <w:pStyle w:val="Bullet0"/>
        <w:rPr>
          <w:noProof/>
        </w:rPr>
      </w:pPr>
      <w:r>
        <w:rPr>
          <w:noProof/>
        </w:rPr>
        <w:t>[uredbo Eurodac],</w:t>
      </w:r>
    </w:p>
    <w:p>
      <w:pPr>
        <w:pStyle w:val="Bullet0"/>
        <w:rPr>
          <w:noProof/>
        </w:rPr>
      </w:pPr>
      <w:r>
        <w:rPr>
          <w:noProof/>
        </w:rPr>
        <w:t>[uredbe o SIS],</w:t>
      </w:r>
    </w:p>
    <w:p>
      <w:pPr>
        <w:pStyle w:val="Bullet0"/>
        <w:rPr>
          <w:noProof/>
        </w:rPr>
      </w:pPr>
      <w:r>
        <w:rPr>
          <w:noProof/>
        </w:rPr>
        <w:t>[uredbo o sistemu ECRIS-TCN, vključno z ustreznimi določbami Uredbe (EU) 2016/1624 (uredba o evropski mejni in obalni straži)],</w:t>
      </w:r>
    </w:p>
    <w:p>
      <w:pPr>
        <w:pStyle w:val="Bullet0"/>
        <w:rPr>
          <w:noProof/>
        </w:rPr>
      </w:pPr>
      <w:r>
        <w:rPr>
          <w:noProof/>
        </w:rPr>
        <w:t xml:space="preserve"> [uredbo o agenciji eu-LISA].</w:t>
      </w:r>
    </w:p>
    <w:p>
      <w:pPr>
        <w:rPr>
          <w:rFonts w:eastAsia="Calibri"/>
          <w:noProof/>
          <w:szCs w:val="24"/>
        </w:rPr>
      </w:pPr>
      <w:r>
        <w:rPr>
          <w:noProof/>
        </w:rPr>
        <w:t xml:space="preserve">Ta predlog skupaj s sorodnim predlogom vsebuje podrobne določbe za potrebne spremembe pravnih instrumentov, katerih besedila so trenutno stabilna in ki sta jih sozakonodajalca že sprejela, in sicer zakonika o schengenskih mejah, uredbe o SVI, uredbe o VIS, Sklepa Sveta 2008/633/PNZ in Odločbe Sveta 2004/512/ES. </w:t>
      </w:r>
    </w:p>
    <w:p>
      <w:pPr>
        <w:pStyle w:val="Text1"/>
        <w:ind w:left="0"/>
        <w:rPr>
          <w:rFonts w:eastAsia="Calibri"/>
          <w:noProof/>
          <w:szCs w:val="24"/>
        </w:rPr>
      </w:pPr>
      <w:r>
        <w:rPr>
          <w:noProof/>
        </w:rPr>
        <w:t xml:space="preserve">O drugih navedenih instrumentih (uredba o sistemu ETIAS, uredba Eurodac ter uredbe o SIS, sistemu ECRIS-TCN in agenciji eu-LISA) trenutno potekajo pogajanja v Evropskem parlamentu in Svetu. Zato za te instrumente v tej fazi še ni mogoče določiti potrebnih sprememb. Komisija bo te spremembe za vsakega od teh instrumentov predstavila v dveh tednih po sklenitvi političnega dogovora o ustreznih osnutkih uredb. </w:t>
      </w:r>
    </w:p>
    <w:p>
      <w:pPr>
        <w:pStyle w:val="Text1"/>
        <w:ind w:left="0"/>
        <w:rPr>
          <w:rFonts w:eastAsia="Calibri"/>
          <w:noProof/>
          <w:szCs w:val="24"/>
        </w:rPr>
      </w:pPr>
    </w:p>
    <w:p>
      <w:pPr>
        <w:pStyle w:val="ManualHeading2"/>
        <w:ind w:left="0" w:firstLine="0"/>
        <w:rPr>
          <w:rFonts w:eastAsia="Arial Unicode MS"/>
          <w:noProof/>
          <w:color w:val="000000"/>
          <w:u w:color="000000"/>
          <w:bdr w:val="nil"/>
        </w:rPr>
      </w:pPr>
      <w:r>
        <w:rPr>
          <w:noProof/>
        </w:rPr>
        <w:t>•</w:t>
      </w:r>
      <w:r>
        <w:rPr>
          <w:noProof/>
        </w:rPr>
        <w:tab/>
        <w:t>Skladnost z veljavnimi predpisi s področja zadevne politike</w:t>
      </w:r>
    </w:p>
    <w:p>
      <w:pPr>
        <w:pBdr>
          <w:top w:val="nil"/>
          <w:left w:val="nil"/>
          <w:bottom w:val="nil"/>
          <w:right w:val="nil"/>
          <w:between w:val="nil"/>
          <w:bar w:val="nil"/>
        </w:pBdr>
        <w:spacing w:before="0" w:after="240"/>
        <w:rPr>
          <w:iCs/>
          <w:noProof/>
          <w:szCs w:val="24"/>
        </w:rPr>
      </w:pPr>
      <w:r>
        <w:rPr>
          <w:noProof/>
        </w:rPr>
        <w:t>Ta predlog spada v okvir širšega procesa, ki se je začel s sporočilom iz aprila 2016 z naslovom „Trdnejši in pametnejši informacijski sistemi za meje in varnost“ ter poznejšim delom strokovne skupine na visoki ravni za informacijske sisteme in interoperabilnost. Namen je doseči tri cilje:</w:t>
      </w:r>
    </w:p>
    <w:p>
      <w:pPr>
        <w:pBdr>
          <w:top w:val="nil"/>
          <w:left w:val="nil"/>
          <w:bottom w:val="nil"/>
          <w:right w:val="nil"/>
          <w:between w:val="nil"/>
          <w:bar w:val="nil"/>
        </w:pBdr>
        <w:spacing w:before="0" w:after="240"/>
        <w:ind w:left="720"/>
        <w:rPr>
          <w:noProof/>
        </w:rPr>
      </w:pPr>
      <w:r>
        <w:rPr>
          <w:noProof/>
        </w:rPr>
        <w:t xml:space="preserve">(a) okrepiti </w:t>
      </w:r>
      <w:r>
        <w:rPr>
          <w:b/>
          <w:noProof/>
        </w:rPr>
        <w:t>obstoječe informacijske sisteme</w:t>
      </w:r>
      <w:r>
        <w:rPr>
          <w:noProof/>
        </w:rPr>
        <w:t xml:space="preserve"> in čim bolj povečati njihove koristi; </w:t>
      </w:r>
    </w:p>
    <w:p>
      <w:pPr>
        <w:pBdr>
          <w:top w:val="nil"/>
          <w:left w:val="nil"/>
          <w:bottom w:val="nil"/>
          <w:right w:val="nil"/>
          <w:between w:val="nil"/>
          <w:bar w:val="nil"/>
        </w:pBdr>
        <w:spacing w:before="0" w:after="240"/>
        <w:ind w:left="720"/>
        <w:rPr>
          <w:noProof/>
        </w:rPr>
      </w:pPr>
      <w:r>
        <w:rPr>
          <w:noProof/>
        </w:rPr>
        <w:t>(b) odpraviti informacijske vrzeli z vzpostavitvijo novih informacijskih sistemov;</w:t>
      </w:r>
    </w:p>
    <w:p>
      <w:pPr>
        <w:pBdr>
          <w:top w:val="nil"/>
          <w:left w:val="nil"/>
          <w:bottom w:val="nil"/>
          <w:right w:val="nil"/>
          <w:between w:val="nil"/>
          <w:bar w:val="nil"/>
        </w:pBdr>
        <w:spacing w:before="0" w:after="240"/>
        <w:ind w:left="720"/>
        <w:rPr>
          <w:noProof/>
        </w:rPr>
      </w:pPr>
      <w:r>
        <w:rPr>
          <w:noProof/>
        </w:rPr>
        <w:t>(c) izboljšati interoperabilnost teh sistemov.</w:t>
      </w:r>
    </w:p>
    <w:p>
      <w:pPr>
        <w:pBdr>
          <w:top w:val="nil"/>
          <w:left w:val="nil"/>
          <w:bottom w:val="nil"/>
          <w:right w:val="nil"/>
          <w:between w:val="nil"/>
          <w:bar w:val="nil"/>
        </w:pBdr>
        <w:spacing w:before="0" w:after="240"/>
        <w:rPr>
          <w:noProof/>
        </w:rPr>
      </w:pPr>
      <w:r>
        <w:rPr>
          <w:noProof/>
        </w:rPr>
        <w:t>Kar zadeva prvi cilj, je Komisija decembra 2016 sprejela predloge za dodatno okrepitev obstoječega SIS</w:t>
      </w:r>
      <w:r>
        <w:rPr>
          <w:rStyle w:val="FootnoteReference"/>
          <w:noProof/>
        </w:rPr>
        <w:footnoteReference w:id="25"/>
      </w:r>
      <w:r>
        <w:rPr>
          <w:noProof/>
        </w:rPr>
        <w:t>. V zvezi s sistemom Eurodac so se po predlogu Komisije iz maja 2016</w:t>
      </w:r>
      <w:r>
        <w:rPr>
          <w:rStyle w:val="FootnoteReference"/>
          <w:noProof/>
        </w:rPr>
        <w:footnoteReference w:id="26"/>
      </w:r>
      <w:r>
        <w:rPr>
          <w:noProof/>
        </w:rPr>
        <w:t xml:space="preserve"> pospešila pogajanja o spremenjeni pravni podlagi. V pripravi je tudi predlog o novi pravni podlagi za VIS, ki bo predložen v drugem četrtletju leta 2018.</w:t>
      </w:r>
    </w:p>
    <w:p>
      <w:pPr>
        <w:pBdr>
          <w:top w:val="nil"/>
          <w:left w:val="nil"/>
          <w:bottom w:val="nil"/>
          <w:right w:val="nil"/>
          <w:between w:val="nil"/>
          <w:bar w:val="nil"/>
        </w:pBdr>
        <w:spacing w:before="0" w:after="240"/>
        <w:rPr>
          <w:noProof/>
        </w:rPr>
      </w:pPr>
      <w:r>
        <w:rPr>
          <w:noProof/>
        </w:rPr>
        <w:t>Kar zadeva drugi cilj, so se pogajanja o predlogu Komisije iz aprila 2016 o vzpostavitvi SVI</w:t>
      </w:r>
      <w:r>
        <w:rPr>
          <w:rStyle w:val="FootnoteReference"/>
          <w:noProof/>
        </w:rPr>
        <w:footnoteReference w:id="27"/>
      </w:r>
      <w:r>
        <w:rPr>
          <w:noProof/>
        </w:rPr>
        <w:t xml:space="preserve"> zaključila že julija 2017, ko sta sozakonodajalca sklenila politični dogovor, ki ga je Evropski parlament potrdil oktobra 2017, Svet pa uradno sprejel novembra 2017. Pravna podlaga bo začela veljati decembra 2017. Pogajanja o predlogu iz novembra 2016 o vzpostavitvi sistema ETIAS</w:t>
      </w:r>
      <w:r>
        <w:rPr>
          <w:rStyle w:val="FootnoteReference"/>
          <w:noProof/>
        </w:rPr>
        <w:footnoteReference w:id="28"/>
      </w:r>
      <w:r>
        <w:rPr>
          <w:noProof/>
        </w:rPr>
        <w:t xml:space="preserve"> so se začela in naj bi se zaključila v prihodnjih mesecih. Komisija je </w:t>
      </w:r>
      <w:r>
        <w:rPr>
          <w:noProof/>
        </w:rPr>
        <w:lastRenderedPageBreak/>
        <w:t>junija 2017 predlagala pravno podlago za odpravo še ene informacijske vrzeli, in sicer z vzpostavitvijo sistema ECRIS-TCN</w:t>
      </w:r>
      <w:r>
        <w:rPr>
          <w:rStyle w:val="FootnoteReference"/>
          <w:noProof/>
        </w:rPr>
        <w:footnoteReference w:id="29"/>
      </w:r>
      <w:r>
        <w:rPr>
          <w:noProof/>
        </w:rPr>
        <w:t>. Tudi za to pravno podlago sta sozakonodajalca navedla, da jo nameravata čim prej sprejeti.</w:t>
      </w:r>
    </w:p>
    <w:p>
      <w:pPr>
        <w:pBdr>
          <w:top w:val="nil"/>
          <w:left w:val="nil"/>
          <w:bottom w:val="nil"/>
          <w:right w:val="nil"/>
          <w:between w:val="nil"/>
          <w:bar w:val="nil"/>
        </w:pBdr>
        <w:spacing w:before="0" w:after="240"/>
        <w:rPr>
          <w:noProof/>
        </w:rPr>
      </w:pPr>
      <w:r>
        <w:rPr>
          <w:noProof/>
        </w:rPr>
        <w:t>Ta predlog obravnava tretji cilj iz sporočila iz aprila 2016.</w:t>
      </w:r>
    </w:p>
    <w:p>
      <w:pPr>
        <w:pStyle w:val="ManualHeading2"/>
        <w:rPr>
          <w:rFonts w:eastAsia="Arial Unicode MS"/>
          <w:noProof/>
        </w:rPr>
      </w:pPr>
      <w:r>
        <w:rPr>
          <w:noProof/>
          <w:color w:val="000000"/>
          <w:u w:color="000000"/>
          <w:bdr w:val="nil"/>
        </w:rPr>
        <w:t>•</w:t>
      </w:r>
      <w:r>
        <w:rPr>
          <w:noProof/>
        </w:rPr>
        <w:tab/>
        <w:t>Skladnost z drugimi politikami Unije na področju pravosodja in notranjih zadev</w:t>
      </w:r>
    </w:p>
    <w:p>
      <w:pPr>
        <w:spacing w:before="100" w:beforeAutospacing="1" w:after="100" w:afterAutospacing="1"/>
        <w:rPr>
          <w:rFonts w:eastAsia="Arial Unicode MS"/>
          <w:noProof/>
        </w:rPr>
      </w:pPr>
      <w:r>
        <w:rPr>
          <w:noProof/>
        </w:rPr>
        <w:t>Ta predlog skupaj s sorodnim predlogom uresničuje evropsko agendo o migracijah in nadaljnja sporočila, vključno s sporočilom o ohranitvi in okrepitvi schengenskega območja</w:t>
      </w:r>
      <w:r>
        <w:rPr>
          <w:rStyle w:val="FootnoteReference"/>
          <w:noProof/>
        </w:rPr>
        <w:footnoteReference w:id="30"/>
      </w:r>
      <w:r>
        <w:rPr>
          <w:noProof/>
        </w:rPr>
        <w:t>, sporočilom o evropski agendi za varnost</w:t>
      </w:r>
      <w:r>
        <w:rPr>
          <w:rStyle w:val="FootnoteReference"/>
          <w:noProof/>
        </w:rPr>
        <w:footnoteReference w:id="31"/>
      </w:r>
      <w:r>
        <w:rPr>
          <w:noProof/>
        </w:rPr>
        <w:t xml:space="preserve"> ter delom Komisije in njenimi poročili o napredku pri vzpostavljanju učinkovite in prave varnostne unije</w:t>
      </w:r>
      <w:r>
        <w:rPr>
          <w:rStyle w:val="FootnoteReference"/>
          <w:noProof/>
        </w:rPr>
        <w:footnoteReference w:id="32"/>
      </w:r>
      <w:r>
        <w:rPr>
          <w:noProof/>
        </w:rPr>
        <w:t>, ter je v skladu z njimi. Skladen je tudi z drugimi politikami Unije, zlasti na področjih:</w:t>
      </w:r>
    </w:p>
    <w:p>
      <w:pPr>
        <w:pStyle w:val="Bullet0"/>
        <w:rPr>
          <w:noProof/>
        </w:rPr>
      </w:pPr>
      <w:r>
        <w:rPr>
          <w:noProof/>
        </w:rPr>
        <w:t>notranje varnosti: evropska agenda za varnost določa, da so skupni visoki standardi za upravljanje meja bistveni za preprečevanje čezmejnega kriminala in terorizma. Ta predlog dodatno prispeva k doseganju visoke stopnje notranje varnosti, saj organom omogoča hiter, nemoten, sistematičen in nadzorovan dostop do potrebnih informacij,</w:t>
      </w:r>
    </w:p>
    <w:p>
      <w:pPr>
        <w:pStyle w:val="Bullet0"/>
        <w:rPr>
          <w:noProof/>
        </w:rPr>
      </w:pPr>
      <w:r>
        <w:rPr>
          <w:noProof/>
        </w:rPr>
        <w:t>azila: predlog kot enega od centralnih sistemov EU za interoperabilnost vključuje tudi sistem Eurodac,</w:t>
      </w:r>
    </w:p>
    <w:p>
      <w:pPr>
        <w:pStyle w:val="Bullet0"/>
        <w:rPr>
          <w:noProof/>
        </w:rPr>
      </w:pPr>
      <w:r>
        <w:rPr>
          <w:noProof/>
        </w:rPr>
        <w:t>upravljanja zunanjih meja in varnosti: ta predlog krepi SIS in VIS, ki prispevata k učinkovitemu nadzoru zunanjih meja Unije, prihodnji SVI ter predlagana sistema ETIAS in ECRIS-TCN.</w:t>
      </w:r>
    </w:p>
    <w:p>
      <w:pPr>
        <w:pStyle w:val="ManualHeading1"/>
        <w:rPr>
          <w:noProof/>
        </w:rPr>
      </w:pPr>
      <w:r>
        <w:rPr>
          <w:noProof/>
        </w:rPr>
        <w:t>2.</w:t>
      </w:r>
      <w:r>
        <w:rPr>
          <w:noProof/>
        </w:rPr>
        <w:tab/>
        <w:t>PRAVNA PODLAGA, SUBSIDIARNOST IN SORAZMERNOST</w:t>
      </w:r>
    </w:p>
    <w:p>
      <w:pPr>
        <w:pStyle w:val="ManualHeading2"/>
        <w:rPr>
          <w:rFonts w:eastAsia="Arial Unicode MS"/>
          <w:noProof/>
          <w:u w:color="000000"/>
          <w:bdr w:val="nil"/>
        </w:rPr>
      </w:pPr>
      <w:r>
        <w:rPr>
          <w:noProof/>
        </w:rPr>
        <w:t>•</w:t>
      </w:r>
      <w:r>
        <w:rPr>
          <w:noProof/>
        </w:rPr>
        <w:tab/>
        <w:t>Pravna podlaga</w:t>
      </w:r>
    </w:p>
    <w:p>
      <w:pPr>
        <w:pBdr>
          <w:top w:val="nil"/>
          <w:left w:val="nil"/>
          <w:bottom w:val="nil"/>
          <w:right w:val="nil"/>
          <w:between w:val="nil"/>
          <w:bar w:val="nil"/>
        </w:pBdr>
        <w:spacing w:before="0" w:after="240"/>
        <w:rPr>
          <w:rFonts w:eastAsia="Arial Unicode MS"/>
          <w:noProof/>
        </w:rPr>
      </w:pPr>
      <w:r>
        <w:rPr>
          <w:noProof/>
        </w:rPr>
        <w:t>Glavna pravna podlaga bodo člen 16(2), člen 74 ter člen 77(2)(a), (b), (d) in (e) Pogodbe o delovanju Evropske unije.</w:t>
      </w:r>
    </w:p>
    <w:p>
      <w:pPr>
        <w:pBdr>
          <w:top w:val="nil"/>
          <w:left w:val="nil"/>
          <w:bottom w:val="nil"/>
          <w:right w:val="nil"/>
          <w:between w:val="nil"/>
          <w:bar w:val="nil"/>
        </w:pBdr>
        <w:spacing w:before="0" w:after="240"/>
        <w:rPr>
          <w:rFonts w:eastAsia="Arial Unicode MS"/>
          <w:noProof/>
        </w:rPr>
      </w:pPr>
      <w:r>
        <w:rPr>
          <w:noProof/>
        </w:rPr>
        <w:t>V skladu s členom 16(2) lahko Unija sprejme ukrepe glede varstva fizičnih oseb pri obdelavi osebnih podatkov s strani institucij, organov, uradov in agencij Unije ter držav članic v okviru dejavnosti s področja uporabe prava Unije ter glede prostega pretoka takih podatkov. V skladu s členom 74 lahko Svet sprejme ukrepe, s katerimi zagotovi upravno sodelovanje med službami držav članic na področju pravice, svobode in varnosti. V skladu s členom 77(2)(a), (b), (d) in (e) lahko Evropski parlament in Svet sprejmeta ukrepe glede skupne politike vizumov in drugih dovoljenj za kratkoročno bivanje, kontrole oseb pri prehodu zunanjih meja, vseh ukrepov, potrebnih za postopno uvedbo integriranega sistema upravljanja zunanjih meja, ter odprave kontrole oseb pri prehodu notranjih meja ne glede na državljanstvo.</w:t>
      </w:r>
    </w:p>
    <w:p>
      <w:pPr>
        <w:pStyle w:val="ManualHeading2"/>
        <w:rPr>
          <w:rFonts w:eastAsia="Arial Unicode MS"/>
          <w:noProof/>
          <w:u w:color="000000"/>
          <w:bdr w:val="nil"/>
        </w:rPr>
      </w:pPr>
      <w:r>
        <w:rPr>
          <w:noProof/>
        </w:rPr>
        <w:t>•</w:t>
      </w:r>
      <w:r>
        <w:rPr>
          <w:noProof/>
        </w:rPr>
        <w:tab/>
        <w:t>Subsidiarnost</w:t>
      </w:r>
    </w:p>
    <w:p>
      <w:pPr>
        <w:pBdr>
          <w:top w:val="nil"/>
          <w:left w:val="nil"/>
          <w:bottom w:val="nil"/>
          <w:right w:val="nil"/>
          <w:between w:val="nil"/>
          <w:bar w:val="nil"/>
        </w:pBdr>
        <w:spacing w:before="0" w:after="240"/>
        <w:rPr>
          <w:rFonts w:eastAsia="Arial Unicode MS"/>
          <w:noProof/>
        </w:rPr>
      </w:pPr>
      <w:r>
        <w:rPr>
          <w:noProof/>
        </w:rPr>
        <w:t xml:space="preserve">Prosto gibanje v EU zahteva učinkovito upravljanje zunanjih meja Unije, da se zagotovi varnost. Države članice so se zato dogovorile, da bodo skupaj obravnavale te izzive, zlasti z izmenjavo informacij prek centraliziranih sistemov EU na področju pravosodja in notranjih </w:t>
      </w:r>
      <w:r>
        <w:rPr>
          <w:noProof/>
        </w:rPr>
        <w:lastRenderedPageBreak/>
        <w:t>zadev. To potrjujejo tudi različni sklepi, ki sta jih sprejela Evropski svet in Svet, zlasti od leta 2015.</w:t>
      </w:r>
    </w:p>
    <w:p>
      <w:pPr>
        <w:pBdr>
          <w:top w:val="nil"/>
          <w:left w:val="nil"/>
          <w:bottom w:val="nil"/>
          <w:right w:val="nil"/>
          <w:between w:val="nil"/>
          <w:bar w:val="nil"/>
        </w:pBdr>
        <w:spacing w:before="0" w:after="240"/>
        <w:rPr>
          <w:rFonts w:eastAsia="Arial Unicode MS"/>
          <w:noProof/>
        </w:rPr>
      </w:pPr>
      <w:r>
        <w:rPr>
          <w:noProof/>
        </w:rPr>
        <w:t>Zaradi odsotnosti nadzora na notranji meji je potrebno dobro upravljanje schengenskih zunanjih meja, pri čemer mora vsaka država članica ali pridružena schengenska država nadzorovati zunanjo mejo v imenu drugih schengenskih držav. Zato se nobena država članica ni zmožna sama soočiti z nedovoljenimi migracijami in čezmejnim kriminalom. Državljani tretjih držav, ki vstopijo na območje brez nadzora na notranji meji, se lahko na tem območju prosto gibajo. Na takem območju bi bilo treba ukrepe za boj proti nedovoljenemu priseljevanju, mednarodnemu kriminalu in terorizmu, vključno z odkrivanjem identitetnih prevar, sprejeti skupaj, zato se lahko uspešno obravnavajo le na ravni EU.</w:t>
      </w:r>
    </w:p>
    <w:p>
      <w:pPr>
        <w:pBdr>
          <w:top w:val="nil"/>
          <w:left w:val="nil"/>
          <w:bottom w:val="nil"/>
          <w:right w:val="nil"/>
          <w:between w:val="nil"/>
          <w:bar w:val="nil"/>
        </w:pBdr>
        <w:spacing w:before="0" w:after="240"/>
        <w:rPr>
          <w:rFonts w:eastAsia="Arial Unicode MS"/>
          <w:noProof/>
        </w:rPr>
      </w:pPr>
      <w:r>
        <w:rPr>
          <w:noProof/>
        </w:rPr>
        <w:t>Ključni skupni informacijski sistemi na ravni EU so že uvedeni oziroma se uvajajo. Boljša interoperabilnost teh informacijskih sistemov nujno vključuje ukrepe na ravni EU. V središču predloga je izboljšanje učinkovitosti in uporabe centraliziranih sistemov, ki jih upravlja agencija eu-LISA. Zaradi obsega in učinkov predvidenih ukrepov se lahko temeljni cilji učinkovito in sistematično dosežejo le na ravni EU.</w:t>
      </w:r>
    </w:p>
    <w:p>
      <w:pPr>
        <w:pStyle w:val="ManualHeading2"/>
        <w:rPr>
          <w:rFonts w:eastAsia="Arial Unicode MS"/>
          <w:noProof/>
          <w:u w:color="000000"/>
          <w:bdr w:val="nil"/>
        </w:rPr>
      </w:pPr>
      <w:r>
        <w:rPr>
          <w:noProof/>
        </w:rPr>
        <w:t>•</w:t>
      </w:r>
      <w:r>
        <w:rPr>
          <w:noProof/>
        </w:rPr>
        <w:tab/>
        <w:t>Sorazmernost</w:t>
      </w:r>
    </w:p>
    <w:p>
      <w:pPr>
        <w:pBdr>
          <w:top w:val="nil"/>
          <w:left w:val="nil"/>
          <w:bottom w:val="nil"/>
          <w:right w:val="nil"/>
          <w:between w:val="nil"/>
          <w:bar w:val="nil"/>
        </w:pBdr>
        <w:spacing w:before="0" w:after="240"/>
        <w:rPr>
          <w:rFonts w:eastAsia="Arial Unicode MS"/>
          <w:noProof/>
        </w:rPr>
      </w:pPr>
      <w:r>
        <w:rPr>
          <w:noProof/>
        </w:rPr>
        <w:t>Kot je podrobno pojasnjeno v oceni učinka, ki je priložena temu predlogu uredbe, se politične odločitve iz tega predloga štejejo za sorazmerne. Ne presegajo tistega, kar je potrebno za dosego dogovorjenih ciljev.</w:t>
      </w:r>
    </w:p>
    <w:p>
      <w:pPr>
        <w:pBdr>
          <w:top w:val="nil"/>
          <w:left w:val="nil"/>
          <w:bottom w:val="nil"/>
          <w:right w:val="nil"/>
          <w:between w:val="nil"/>
          <w:bar w:val="nil"/>
        </w:pBdr>
        <w:spacing w:before="0" w:after="240"/>
        <w:rPr>
          <w:rFonts w:eastAsia="Arial Unicode MS"/>
          <w:noProof/>
        </w:rPr>
      </w:pPr>
      <w:r>
        <w:rPr>
          <w:b/>
          <w:noProof/>
        </w:rPr>
        <w:t>Evropski iskalni portal (ESP)</w:t>
      </w:r>
      <w:r>
        <w:rPr>
          <w:noProof/>
        </w:rPr>
        <w:t xml:space="preserve"> je nujno orodje za okrepitev dovoljene uporabe obstoječih in prihodnjih informacijskih sistemov EU. Njegov učinek v smislu obdelave podatkov je zelo omejen. Ne bo hranil nobenih podatkov, razen informacij o različnih uporabniških profilih portala ter podatkih in informacijskih sistemih, do katerih imajo ti profili dostop, vodil pa bo tudi evidenco o uporabi teh profilov. Vloga ESP kot posrednika sporočil, ki omogoča in olajšuje pridobivanje informacij, je sorazmerna, potrebna in omejena v smislu iskanja in pravic do dostopa v okviru pooblastil, določenih v pravnih podlagah, ki obravnavajo informacijske sisteme, in predlagani uredbi o interoperabilnosti.</w:t>
      </w:r>
    </w:p>
    <w:p>
      <w:pPr>
        <w:pBdr>
          <w:top w:val="nil"/>
          <w:left w:val="nil"/>
          <w:bottom w:val="nil"/>
          <w:right w:val="nil"/>
          <w:between w:val="nil"/>
          <w:bar w:val="nil"/>
        </w:pBdr>
        <w:spacing w:before="0" w:after="240"/>
        <w:rPr>
          <w:noProof/>
          <w:color w:val="000000"/>
          <w:sz w:val="23"/>
          <w:szCs w:val="23"/>
        </w:rPr>
      </w:pPr>
      <w:r>
        <w:rPr>
          <w:b/>
          <w:noProof/>
        </w:rPr>
        <w:t>Skupna storitev za ugotavljanje ujemanja biometričnih podatkov (skupna BMS)</w:t>
      </w:r>
      <w:r>
        <w:rPr>
          <w:noProof/>
        </w:rPr>
        <w:t xml:space="preserve"> je potrebna za delovanje ESP, skupnega odložišča podatkov o identiteti in detektorja več identitet ter olajšuje uporabo in vzdrževanje obstoječih in prihodnjih zadevnih informacijskih sistemov EU. Njena funkcionalnost omogoča učinkovito, nemoteno in sistematično iskanje biometričnih podatkov iz različnih virov. Biometrični podatki se hranijo v zadevnih sistemih. Skupna BMS bi ustvarila predloge, vendar bi izločila dejanske podobe, tako da bi se podatki še naprej hranili samo enkrat in na enem mestu.</w:t>
      </w:r>
    </w:p>
    <w:p>
      <w:pPr>
        <w:pBdr>
          <w:top w:val="nil"/>
          <w:left w:val="nil"/>
          <w:bottom w:val="nil"/>
          <w:right w:val="nil"/>
          <w:between w:val="nil"/>
          <w:bar w:val="nil"/>
        </w:pBdr>
        <w:spacing w:before="0" w:after="240"/>
        <w:rPr>
          <w:rFonts w:eastAsia="Arial Unicode MS"/>
          <w:noProof/>
        </w:rPr>
      </w:pPr>
      <w:r>
        <w:rPr>
          <w:b/>
          <w:noProof/>
        </w:rPr>
        <w:t>Skupno odložišče podatkov o identiteti (CIR)</w:t>
      </w:r>
      <w:r>
        <w:rPr>
          <w:noProof/>
        </w:rPr>
        <w:t xml:space="preserve"> je potrebno, da se doseže cilj pravilne identifikacije državljana tretje države, npr. med ugotavljanjem identitete znotraj schengenskega območja. CIR podpira tudi delovanje detektorja več identitet in je zato nujen sestavni del za lažje ugotavljanje identitete dobrovernih potnikov in boj proti identitetnim prevaram. Dostop do CIR za ta namen je omejen na tiste uporabnike, ki te informacije potrebujejo za opravljanje svojih nalog (zaradi česar mora to preverjanje postati nov postranski cilj sistema Eurodac, VIS, prihodnjega SVI ter predlaganih sistemov ETIAS in ECRIS-TCN). Postopki obdelave podatkov so strogo omejeni na to, kar je potrebno za dosego tega cilja, pri čemer bodo vzpostavljeni ustrezni zaščitni ukrepi, ki bodo zagotovili, da se spoštujejo pravice do dostopa in da se v CIR hrani minimalna količina potrebnih podatkov. Da bi se zagotovila minimalna količina podatkov in da bi se preprečilo njihovo nepotrebno </w:t>
      </w:r>
      <w:r>
        <w:rPr>
          <w:noProof/>
        </w:rPr>
        <w:lastRenderedPageBreak/>
        <w:t>podvajanje, CIR vsebuje potrebne biografske podatke iz vseh zadevnih sistemov, ki se hranijo, dodajajo, spreminjajo in brišejo v skladu s pravno podlago teh sistemov, vendar jih ne kopira. Pogoji glede hrambe podatkov so v celoti usklajeni z določbami o hrambi podatkov, ki veljajo za zadevne sisteme, ki zagotavljajo podatke o identiteti.</w:t>
      </w:r>
    </w:p>
    <w:p>
      <w:pPr>
        <w:pBdr>
          <w:top w:val="nil"/>
          <w:left w:val="nil"/>
          <w:bottom w:val="nil"/>
          <w:right w:val="nil"/>
          <w:between w:val="nil"/>
          <w:bar w:val="nil"/>
        </w:pBdr>
        <w:spacing w:before="0" w:after="240"/>
        <w:rPr>
          <w:rFonts w:eastAsia="Arial Unicode MS"/>
          <w:noProof/>
        </w:rPr>
      </w:pPr>
      <w:r>
        <w:rPr>
          <w:b/>
          <w:noProof/>
        </w:rPr>
        <w:t>Detektor več identitet (MID)</w:t>
      </w:r>
      <w:r>
        <w:rPr>
          <w:noProof/>
        </w:rPr>
        <w:t xml:space="preserve"> je potreben za zagotovitev rešitve za odkrivanje več identitet za lažje ugotavljanje identitete dobrovernih potnikov in boj proti identitetnim prevaram. Vseboval bo povezave med posamezniki, prisotnimi v več kot enem centralnem informacijskem sistemu, ki bodo strogo omejene na podatke, potrebne za preverjanje, ali je oseba v različnih sistemih zakonito ali nezakonito evidentirana z različnimi biografskimi identitetami, ter za pojasnitev, da osebi s podobnimi biografskimi podatki nista nujno ista oseba.</w:t>
      </w:r>
      <w:r>
        <w:rPr>
          <w:noProof/>
          <w:color w:val="000000"/>
          <w:sz w:val="23"/>
        </w:rPr>
        <w:t xml:space="preserve"> </w:t>
      </w:r>
      <w:r>
        <w:rPr>
          <w:noProof/>
        </w:rPr>
        <w:t>Obdelava podatkov v okviru MID in skupne BMS za namene povezovanja individualne dokumentacije med posameznimi sistemi je minimalna. MID bo vključeval zaščitne ukrepe proti morebitni diskriminaciji ali neugodnim odločitvam glede oseb z več zakonitimi identitetami.</w:t>
      </w:r>
    </w:p>
    <w:p>
      <w:pPr>
        <w:pStyle w:val="ManualHeading2"/>
        <w:rPr>
          <w:rFonts w:eastAsia="Arial Unicode MS"/>
          <w:noProof/>
          <w:u w:color="000000"/>
          <w:bdr w:val="nil"/>
        </w:rPr>
      </w:pPr>
      <w:r>
        <w:rPr>
          <w:noProof/>
        </w:rPr>
        <w:t>•</w:t>
      </w:r>
      <w:r>
        <w:rPr>
          <w:noProof/>
        </w:rPr>
        <w:tab/>
        <w:t>Izbira instrumenta</w:t>
      </w:r>
    </w:p>
    <w:p>
      <w:pPr>
        <w:pBdr>
          <w:top w:val="nil"/>
          <w:left w:val="nil"/>
          <w:bottom w:val="nil"/>
          <w:right w:val="nil"/>
          <w:between w:val="nil"/>
          <w:bar w:val="nil"/>
        </w:pBdr>
        <w:spacing w:before="0" w:after="240"/>
        <w:rPr>
          <w:rFonts w:eastAsia="Arial Unicode MS"/>
          <w:noProof/>
        </w:rPr>
      </w:pPr>
      <w:r>
        <w:rPr>
          <w:noProof/>
        </w:rPr>
        <w:t>Predlaga se uredba Evropskega parlamenta in Sveta. Predlagana zakonodaja neposredno obravnava delovanje centralnih informacijskih sistemov EU za meje in varnost, ki so vzpostavljeni oziroma katerih vzpostavitev se predlaga z uredbami. Podobno je z uredbo ustanovljena tudi agencija eu-LISA, ki bo odgovorna za zasnovo in razvoj sestavnih delov ter pozneje tudi za njihovo tehnično upravljanje. Uredba je zato primeren instrument.</w:t>
      </w:r>
    </w:p>
    <w:p>
      <w:pPr>
        <w:pStyle w:val="ManualHeading1"/>
        <w:rPr>
          <w:noProof/>
        </w:rPr>
      </w:pPr>
      <w:r>
        <w:rPr>
          <w:noProof/>
        </w:rPr>
        <w:t>3.</w:t>
      </w:r>
      <w:r>
        <w:rPr>
          <w:noProof/>
        </w:rPr>
        <w:tab/>
        <w:t>REZULTATI POSVETOVANJ Z ZAINTERESIRANIMI STRANMI IN OCEN UČINKA</w:t>
      </w:r>
    </w:p>
    <w:p>
      <w:pPr>
        <w:pStyle w:val="ManualHeading2"/>
        <w:rPr>
          <w:rFonts w:eastAsia="Arial Unicode MS"/>
          <w:noProof/>
          <w:u w:color="000000"/>
          <w:bdr w:val="nil"/>
        </w:rPr>
      </w:pPr>
      <w:r>
        <w:rPr>
          <w:noProof/>
        </w:rPr>
        <w:t>•</w:t>
      </w:r>
      <w:r>
        <w:rPr>
          <w:noProof/>
        </w:rPr>
        <w:tab/>
        <w:t>Javno posvetovanje</w:t>
      </w:r>
    </w:p>
    <w:p>
      <w:pPr>
        <w:pBdr>
          <w:top w:val="nil"/>
          <w:left w:val="nil"/>
          <w:bottom w:val="nil"/>
          <w:right w:val="nil"/>
          <w:between w:val="nil"/>
          <w:bar w:val="nil"/>
        </w:pBdr>
        <w:spacing w:before="0" w:after="240"/>
        <w:rPr>
          <w:rFonts w:eastAsia="Arial Unicode MS"/>
          <w:noProof/>
        </w:rPr>
      </w:pPr>
      <w:r>
        <w:rPr>
          <w:noProof/>
        </w:rPr>
        <w:t>Pri pripravi tega predloga je Komisija julija 2017 začela javno posvetovanje, da bi zbrala mnenja zainteresiranih strani o interoperabilnosti. V okviru posvetovanja je prejela 18 odgovorov od različnih zainteresiranih strani, vključno z vladami držav članic, organizacijami v zasebnem sektorju, drugimi organizacijami, kot so nevladne organizacije in možganski trusti, ter državljani</w:t>
      </w:r>
      <w:r>
        <w:rPr>
          <w:rStyle w:val="FootnoteReference"/>
          <w:noProof/>
        </w:rPr>
        <w:footnoteReference w:id="33"/>
      </w:r>
      <w:r>
        <w:rPr>
          <w:noProof/>
        </w:rPr>
        <w:t xml:space="preserve">. Odgovori so bili na splošno naklonjeni temeljnim načelom tega predloga o interoperabilnosti. Velika večina anketirancev se je strinjala, da so vprašanja, obravnavana v posvetovanju, in cilji, ki jih sveženj o interoperabilnosti poskuša doseči, ustrezni. Zlasti so menili, da bi možnosti, opisane v posvetovalnem dokumentu: </w:t>
      </w:r>
    </w:p>
    <w:p>
      <w:pPr>
        <w:pStyle w:val="Bullet0"/>
        <w:rPr>
          <w:noProof/>
        </w:rPr>
      </w:pPr>
      <w:r>
        <w:rPr>
          <w:noProof/>
        </w:rPr>
        <w:t>olajšale dostop osebju na terenu do potrebnih informacij,</w:t>
      </w:r>
    </w:p>
    <w:p>
      <w:pPr>
        <w:pStyle w:val="Bullet0"/>
        <w:rPr>
          <w:noProof/>
        </w:rPr>
      </w:pPr>
      <w:r>
        <w:rPr>
          <w:noProof/>
        </w:rPr>
        <w:t>preprečile podvajanje podatkov, zmanjšale prekrivanja in izpostavile neskladnosti v podatkih,</w:t>
      </w:r>
    </w:p>
    <w:p>
      <w:pPr>
        <w:pStyle w:val="Bullet0"/>
        <w:rPr>
          <w:noProof/>
        </w:rPr>
      </w:pPr>
      <w:r>
        <w:rPr>
          <w:noProof/>
        </w:rPr>
        <w:t>prispevale k zanesljivejši identifikaciji oseb, vključno z osebami z več identitetami, in zmanjšanju identitetnih prevar.</w:t>
      </w:r>
    </w:p>
    <w:p>
      <w:pPr>
        <w:pBdr>
          <w:top w:val="nil"/>
          <w:left w:val="nil"/>
          <w:bottom w:val="nil"/>
          <w:right w:val="nil"/>
          <w:between w:val="nil"/>
          <w:bar w:val="nil"/>
        </w:pBdr>
        <w:spacing w:before="0" w:after="240"/>
        <w:rPr>
          <w:rFonts w:eastAsia="Arial Unicode MS"/>
          <w:noProof/>
        </w:rPr>
      </w:pPr>
      <w:r>
        <w:rPr>
          <w:noProof/>
        </w:rPr>
        <w:t>Velika večina anketirancev je podprla vsako od predlaganih možnosti in jih štela za potrebne za dosego ciljev te pobude, pri čemer je v odgovorih podprla potrebo po odločnih in jasnih ukrepih za varstvo podatkov, zlasti v zvezi z dostopom do informacij, ki se hranijo v sistemih, in hrambo podatkov, ter potrebo po posodobljenih in kakovostnih podatkih v sistemih in ukrepih za zagotovitev tega.</w:t>
      </w:r>
    </w:p>
    <w:p>
      <w:pPr>
        <w:pBdr>
          <w:top w:val="nil"/>
          <w:left w:val="nil"/>
          <w:bottom w:val="nil"/>
          <w:right w:val="nil"/>
          <w:between w:val="nil"/>
          <w:bar w:val="nil"/>
        </w:pBdr>
        <w:spacing w:before="0" w:after="240"/>
        <w:rPr>
          <w:rFonts w:eastAsia="Arial Unicode MS"/>
          <w:noProof/>
        </w:rPr>
      </w:pPr>
      <w:r>
        <w:rPr>
          <w:noProof/>
        </w:rPr>
        <w:lastRenderedPageBreak/>
        <w:t>Pri pripravi predloga so bile upoštevane vse izpostavljene točke.</w:t>
      </w:r>
    </w:p>
    <w:p>
      <w:pPr>
        <w:pStyle w:val="ManualHeading2"/>
        <w:rPr>
          <w:rFonts w:eastAsia="Arial Unicode MS"/>
          <w:noProof/>
          <w:u w:color="000000"/>
          <w:bdr w:val="nil"/>
        </w:rPr>
      </w:pPr>
      <w:r>
        <w:rPr>
          <w:noProof/>
        </w:rPr>
        <w:t>•</w:t>
      </w:r>
      <w:r>
        <w:rPr>
          <w:noProof/>
        </w:rPr>
        <w:tab/>
        <w:t>Raziskava Eurobarometer</w:t>
      </w:r>
    </w:p>
    <w:p>
      <w:pPr>
        <w:rPr>
          <w:rFonts w:eastAsia="MS Mincho"/>
          <w:noProof/>
          <w:szCs w:val="24"/>
        </w:rPr>
      </w:pPr>
      <w:r>
        <w:rPr>
          <w:noProof/>
        </w:rPr>
        <w:t>Junija 2017 je bila izvedena posebna raziskava Eurobarometer</w:t>
      </w:r>
      <w:r>
        <w:rPr>
          <w:rStyle w:val="FootnoteReference"/>
          <w:noProof/>
        </w:rPr>
        <w:footnoteReference w:id="34"/>
      </w:r>
      <w:r>
        <w:rPr>
          <w:noProof/>
        </w:rPr>
        <w:t>, ki je pokazala, da ima strategija EU za izmenjavo informacij na ravni EU za boj proti kriminalu in terorizmu široko javno podporo, saj so se skoraj vsi anketiranci (92 %) strinjali, da bi si morali nacionalni organi izmenjevati informacije z organi drugih držav članic za učinkovitejši boj proti kriminalu in terorizmu.</w:t>
      </w:r>
      <w:r>
        <w:rPr>
          <w:noProof/>
          <w:vertAlign w:val="superscript"/>
        </w:rPr>
        <w:t xml:space="preserve"> </w:t>
      </w:r>
    </w:p>
    <w:p>
      <w:pPr>
        <w:spacing w:before="100" w:beforeAutospacing="1" w:after="100" w:afterAutospacing="1"/>
        <w:rPr>
          <w:noProof/>
          <w:szCs w:val="24"/>
        </w:rPr>
      </w:pPr>
      <w:r>
        <w:rPr>
          <w:noProof/>
        </w:rPr>
        <w:t>Velika večina (69 %) anketirancev je menila, da bi si morali policija in drugi nacionalni organi kazenskega pregona sistematično izmenjevati informacije z drugimi državami članicami EU. V vseh državah članicah je večina anketirancev menila, da bi se morale informacije izmenjevati v vsakem primeru.</w:t>
      </w:r>
    </w:p>
    <w:p>
      <w:pPr>
        <w:pStyle w:val="ManualHeading2"/>
        <w:rPr>
          <w:rFonts w:eastAsia="Arial Unicode MS"/>
          <w:noProof/>
          <w:u w:color="000000"/>
          <w:bdr w:val="nil"/>
        </w:rPr>
      </w:pPr>
      <w:r>
        <w:rPr>
          <w:noProof/>
        </w:rPr>
        <w:t>•</w:t>
      </w:r>
      <w:r>
        <w:rPr>
          <w:noProof/>
        </w:rPr>
        <w:tab/>
        <w:t>Strokovna skupina na visoki ravni za informacijske sisteme in interoperabilnost</w:t>
      </w:r>
    </w:p>
    <w:p>
      <w:pPr>
        <w:pBdr>
          <w:top w:val="nil"/>
          <w:left w:val="nil"/>
          <w:bottom w:val="nil"/>
          <w:right w:val="nil"/>
          <w:between w:val="nil"/>
          <w:bar w:val="nil"/>
        </w:pBdr>
        <w:spacing w:before="0" w:after="240"/>
        <w:rPr>
          <w:rFonts w:eastAsia="Arial Unicode MS"/>
          <w:noProof/>
        </w:rPr>
      </w:pPr>
      <w:r>
        <w:rPr>
          <w:noProof/>
        </w:rPr>
        <w:t xml:space="preserve">Kot je bilo že navedeno v uvodu, ta predlog temelji na priporočilih </w:t>
      </w:r>
      <w:r>
        <w:rPr>
          <w:b/>
          <w:noProof/>
        </w:rPr>
        <w:t>strokovne skupine na visoki ravni za informacijske sisteme in interoperabilnost</w:t>
      </w:r>
      <w:r>
        <w:rPr>
          <w:rStyle w:val="FootnoteReference"/>
          <w:noProof/>
        </w:rPr>
        <w:footnoteReference w:id="35"/>
      </w:r>
      <w:r>
        <w:rPr>
          <w:noProof/>
        </w:rPr>
        <w:t xml:space="preserve">. Slednja je bila ustanovljena junija 2016, da bi obravnavala pravne, tehnične in operativne izzive razpoložljivih možnosti za dosego interoperabilnosti centralnih sistemov EU za meje in varnost. Široko in celovito je obravnavala arhitekturo za upravljanje podatkov za upravljanje meja in kazenski pregon ter pri tem upoštevala tudi zadevne vloge, odgovornosti in sisteme carinskih organov. </w:t>
      </w:r>
    </w:p>
    <w:p>
      <w:pPr>
        <w:pBdr>
          <w:top w:val="nil"/>
          <w:left w:val="nil"/>
          <w:bottom w:val="nil"/>
          <w:right w:val="nil"/>
          <w:between w:val="nil"/>
          <w:bar w:val="nil"/>
        </w:pBdr>
        <w:spacing w:before="0" w:after="240"/>
        <w:rPr>
          <w:rFonts w:eastAsia="Arial Unicode MS"/>
          <w:noProof/>
        </w:rPr>
      </w:pPr>
      <w:r>
        <w:rPr>
          <w:noProof/>
        </w:rPr>
        <w:t>Skupino so sestavljali strokovnjaki iz držav članic in pridruženih schengenskih držav ter agencij EU, tj. iz agencije eu-LISA, Europola, Evropskega azilnega podpornega urada, Evropske agencije za mejno in obalno stražo ter Agencije EU za temeljne pravice. Kot polnopravna člana strokovne skupine sta sodelovala tudi koordinator EU za protiterorizem in Evropski nadzornik za varstvo podatkov. Srečanj sta se kot opazovalca udeleževala tudi predstavnika sekretariata Odbora Evropskega parlamenta za državljanske svoboščine, pravosodje in notranje zadeve ter generalnega sekretariata Sveta.</w:t>
      </w:r>
    </w:p>
    <w:p>
      <w:pPr>
        <w:pBdr>
          <w:top w:val="nil"/>
          <w:left w:val="nil"/>
          <w:bottom w:val="nil"/>
          <w:right w:val="nil"/>
          <w:between w:val="nil"/>
          <w:bar w:val="nil"/>
        </w:pBdr>
        <w:spacing w:before="0" w:after="240"/>
        <w:rPr>
          <w:noProof/>
        </w:rPr>
      </w:pPr>
      <w:r>
        <w:rPr>
          <w:b/>
          <w:noProof/>
        </w:rPr>
        <w:t>Končno poročilo strokovne skupine na visoki ravni</w:t>
      </w:r>
      <w:r>
        <w:rPr>
          <w:noProof/>
        </w:rPr>
        <w:t xml:space="preserve"> je bilo objavljeno maja 2017</w:t>
      </w:r>
      <w:r>
        <w:rPr>
          <w:rStyle w:val="FootnoteReference"/>
          <w:noProof/>
        </w:rPr>
        <w:footnoteReference w:id="36"/>
      </w:r>
      <w:r>
        <w:rPr>
          <w:noProof/>
        </w:rPr>
        <w:t xml:space="preserve">. V njem je bila poudarjena potreba po odpravi strukturnih pomanjkljivosti, ugotovljenih v sporočilu iz aprila 2016. V njem je bil določen tudi sklop priporočil za okrepitev in razvoj informacijskih sistemov EU in njihove interoperabilnosti. Skupina je v poročilu ugotovila, da so </w:t>
      </w:r>
      <w:r>
        <w:rPr>
          <w:b/>
          <w:noProof/>
        </w:rPr>
        <w:t>evropski iskalni portal, skupna storitev za ugotavljanje ujemanja biometričnih podatkov ter skupno odložišče podatkov o identiteti potrebne in tehnično izvedljive rešitve za interoperabilnost</w:t>
      </w:r>
      <w:r>
        <w:rPr>
          <w:noProof/>
        </w:rPr>
        <w:t xml:space="preserve"> ter da lahko načeloma zagotovijo operativne koristi in se vzpostavijo v skladu z zahtevami varstva podatkov. Skupina je priporočila tudi, da se upošteva dodatna možnost dvostopenjskega pristopa k dostopu organov kazenskega pregona na podlagi funkcije „zadetek/ni zadetka“. </w:t>
      </w:r>
    </w:p>
    <w:p>
      <w:pPr>
        <w:spacing w:before="100" w:beforeAutospacing="1" w:after="100" w:afterAutospacing="1"/>
        <w:rPr>
          <w:noProof/>
        </w:rPr>
      </w:pPr>
      <w:r>
        <w:rPr>
          <w:noProof/>
        </w:rPr>
        <w:lastRenderedPageBreak/>
        <w:t>Ta osnutek uredbe je odgovor tudi na priporočila strokovne skupine na visoki ravni o kakovosti podatkov, univerzalnem formatu sporočil (UMF) in vzpostavitvi podatkovnega skladišča (v tem primeru centralnega registra za poročanje in statistične podatke (CRRS)).</w:t>
      </w:r>
    </w:p>
    <w:p>
      <w:pPr>
        <w:spacing w:before="100" w:beforeAutospacing="1" w:after="100" w:afterAutospacing="1"/>
        <w:rPr>
          <w:rFonts w:eastAsia="Arial Unicode MS"/>
          <w:noProof/>
        </w:rPr>
      </w:pPr>
      <w:r>
        <w:rPr>
          <w:noProof/>
        </w:rPr>
        <w:t>Strokovna skupina na visoki ravni ni opredelila četrtega sestavnega dela interoperabilnosti (tj. detektorja več identitet), predlaganega v tem osnutku uredbe, saj je bil ta zasnovan v okviru dodatne tehnične analize in ocene sorazmernosti, ki ju je opravila Komisija.</w:t>
      </w:r>
    </w:p>
    <w:p>
      <w:pPr>
        <w:pStyle w:val="ManualHeading2"/>
        <w:rPr>
          <w:rFonts w:eastAsia="Arial Unicode MS"/>
          <w:noProof/>
          <w:highlight w:val="yellow"/>
        </w:rPr>
      </w:pPr>
      <w:r>
        <w:rPr>
          <w:noProof/>
        </w:rPr>
        <w:t>•</w:t>
      </w:r>
      <w:r>
        <w:rPr>
          <w:noProof/>
        </w:rPr>
        <w:tab/>
        <w:t>Tehnične študije</w:t>
      </w:r>
    </w:p>
    <w:p>
      <w:pPr>
        <w:pBdr>
          <w:top w:val="nil"/>
          <w:left w:val="nil"/>
          <w:bottom w:val="nil"/>
          <w:right w:val="nil"/>
          <w:between w:val="nil"/>
          <w:bar w:val="nil"/>
        </w:pBdr>
        <w:spacing w:before="0" w:after="240"/>
        <w:rPr>
          <w:rFonts w:eastAsia="Arial Unicode MS"/>
          <w:noProof/>
        </w:rPr>
      </w:pPr>
      <w:r>
        <w:rPr>
          <w:noProof/>
        </w:rPr>
        <w:t>V podporo pripravi predloga so bile izvedene tri študije. Družba Unisys je po naročilu Komisije pripravila poročilo o študiji izvedljivosti glede evropskega iskalnega portala, agencija eu-LISA pa je pri družbi Gartner (skupaj z družbo Unisys) naročila pripravo tehničnega poročila v podporo razvoju skupne storitve za ugotavljanje ujemanja biometričnih podatkov. Poleg tega je družba PwC Komisiji predložila tehnično poročilo o skupnem odložišču podatkov o identiteti.</w:t>
      </w:r>
    </w:p>
    <w:p>
      <w:pPr>
        <w:pStyle w:val="ManualHeading2"/>
        <w:rPr>
          <w:rFonts w:eastAsia="Arial Unicode MS"/>
          <w:noProof/>
          <w:u w:color="000000"/>
          <w:bdr w:val="nil"/>
        </w:rPr>
      </w:pPr>
      <w:r>
        <w:rPr>
          <w:noProof/>
        </w:rPr>
        <w:t>•</w:t>
      </w:r>
      <w:r>
        <w:rPr>
          <w:noProof/>
        </w:rPr>
        <w:tab/>
        <w:t>Ocena učinka</w:t>
      </w:r>
    </w:p>
    <w:p>
      <w:pPr>
        <w:pBdr>
          <w:top w:val="nil"/>
          <w:left w:val="nil"/>
          <w:bottom w:val="nil"/>
          <w:right w:val="nil"/>
          <w:between w:val="nil"/>
          <w:bar w:val="nil"/>
        </w:pBdr>
        <w:spacing w:before="0" w:after="240"/>
        <w:rPr>
          <w:rFonts w:eastAsia="Arial Unicode MS"/>
          <w:noProof/>
        </w:rPr>
      </w:pPr>
      <w:r>
        <w:rPr>
          <w:noProof/>
        </w:rPr>
        <w:t>Predlog spremlja ocena učinka, kot je predstavljena v priloženem delovnem dokumentu služb Komisije SWD(2017) 473.</w:t>
      </w:r>
    </w:p>
    <w:p>
      <w:pPr>
        <w:pBdr>
          <w:top w:val="nil"/>
          <w:left w:val="nil"/>
          <w:bottom w:val="nil"/>
          <w:right w:val="nil"/>
          <w:between w:val="nil"/>
          <w:bar w:val="nil"/>
        </w:pBdr>
        <w:spacing w:before="0" w:after="240"/>
        <w:rPr>
          <w:rFonts w:eastAsia="Arial Unicode MS"/>
          <w:noProof/>
        </w:rPr>
      </w:pPr>
      <w:r>
        <w:rPr>
          <w:noProof/>
        </w:rPr>
        <w:t>Odbor za regulativni nadzor je na seji 6. decembra 2017 pregledal osnutek ocene učinka, 8. decembra pa izdal pozitivno mnenje s pridržki, zaradi česar je bilo treba oceno učinka prilagoditi, da bi vključevala priporočila Odbora glede posebnih vidikov. Ta priporočila so se nanašala predvsem na dodatne ukrepe v okviru prednostne možnosti, s katerimi bi se racionalizirale obstoječe pravice končnih uporabnikov do dostopa do podatkov v informacijskih sistemih EU, ter s tem povezane zaščitne ukrepe za varstvo podatkov in temeljne pravice. Drugi glavni pomislek je bil povezan s pojasnitvijo povezovanja s SIS v okviru možnosti 2, vključno z učinkovitostjo in stroški, da bi se olajšala primerjava s prednostno možnostjo 3. Komisija je posodobila svojo oceno učinka, da bi se odzvala na te glavne pomisleke in obravnavala številne druge pripombe Odbora.</w:t>
      </w:r>
    </w:p>
    <w:p>
      <w:pPr>
        <w:spacing w:before="100" w:beforeAutospacing="1" w:after="100" w:afterAutospacing="1"/>
        <w:rPr>
          <w:rFonts w:cstheme="minorBidi"/>
          <w:noProof/>
        </w:rPr>
      </w:pPr>
      <w:r>
        <w:rPr>
          <w:noProof/>
        </w:rPr>
        <w:t>V oceni učinka je bilo ocenjeno, ali in kako bi bilo z enim ali več tehničnimi sestavnimi deli, ki so bili opredeljeni s strani strokovne skupine na visoki ravni in naknadno analizo, mogoče doseči posamezne opredeljene cilje. Po potrebi so bile proučene tudi podmožnosti, potrebne za dosego teh ciljev, ob upoštevanju okvira za varstvo podatkov. V oceni učinka je bilo ugotovljeno, da bi bilo treba:</w:t>
      </w:r>
    </w:p>
    <w:p>
      <w:pPr>
        <w:pStyle w:val="Bullet0"/>
        <w:rPr>
          <w:noProof/>
          <w:szCs w:val="24"/>
        </w:rPr>
      </w:pPr>
      <w:r>
        <w:rPr>
          <w:noProof/>
        </w:rPr>
        <w:t>za dosego cilja zagotavljanja hitrega, nemotenega, sistematičnega in nadzorovanega dostopa pooblaščenih uporabnikov do zadevnih informacijskih sistemov vzpostaviti evropski iskalni portal (ESP), ki bi temeljil na skupni storitvi za ugotavljanje ujemanja biometričnih podatkov (skupna BMS), da bi obravnaval vse podatkovne zbirke,</w:t>
      </w:r>
    </w:p>
    <w:p>
      <w:pPr>
        <w:pStyle w:val="Bullet0"/>
        <w:rPr>
          <w:noProof/>
        </w:rPr>
      </w:pPr>
      <w:r>
        <w:rPr>
          <w:noProof/>
        </w:rPr>
        <w:t>za dosego cilja lažjega ugotavljanja identitete državljanov tretjih držav na ozemlju države članice s strani pooblaščenih uradnikov vzpostaviti skupno odložišče podatkov o identiteti (CIR), ki bi vsebovalo minimalni niz identifikacijskih podatkov in bi temeljilo na isti skupni BMS,</w:t>
      </w:r>
    </w:p>
    <w:p>
      <w:pPr>
        <w:pStyle w:val="Bullet0"/>
        <w:rPr>
          <w:rFonts w:cstheme="minorBidi"/>
          <w:noProof/>
        </w:rPr>
      </w:pPr>
      <w:r>
        <w:rPr>
          <w:noProof/>
        </w:rPr>
        <w:t xml:space="preserve">za dosego cilja odkrivanja več identitet, povezanih z istim nizom biometričnih podatkov, z namenom lažjega ugotavljanja identitete dobrovernih potnikov in boja </w:t>
      </w:r>
      <w:r>
        <w:rPr>
          <w:noProof/>
        </w:rPr>
        <w:lastRenderedPageBreak/>
        <w:t>proti identitetnim prevaram vzpostaviti detektor več identitet (MID), ki bi vseboval povezave med več identitetami iz različnih sistemov,</w:t>
      </w:r>
    </w:p>
    <w:p>
      <w:pPr>
        <w:pStyle w:val="Bullet0"/>
        <w:rPr>
          <w:rFonts w:cstheme="minorBidi"/>
          <w:noProof/>
        </w:rPr>
      </w:pPr>
      <w:r>
        <w:rPr>
          <w:noProof/>
        </w:rPr>
        <w:t>za dosego cilja lažjega in racionaliziranega dostopa organov kazenskega pregona do informacijskih sistemov, ki niso povezani s kazenskim pregonom, z namenom preprečevanja, preiskovanja, odkrivanja ali pregona hudih kaznivih dejanj in terorizma CIR dodati funkcijo „zadetek/ni zadetka“.</w:t>
      </w:r>
    </w:p>
    <w:p>
      <w:pPr>
        <w:spacing w:before="0"/>
        <w:rPr>
          <w:rFonts w:cstheme="minorBidi"/>
          <w:noProof/>
        </w:rPr>
      </w:pPr>
      <w:r>
        <w:rPr>
          <w:noProof/>
        </w:rPr>
        <w:t xml:space="preserve">Ker je treba doseči vse cilje, je </w:t>
      </w:r>
      <w:r>
        <w:rPr>
          <w:b/>
          <w:noProof/>
        </w:rPr>
        <w:t>popolna rešitev kombinacija ESP, CIR (s funkcijo „zadetek/ni zadetka“) in MID na podlagi skupne BMS</w:t>
      </w:r>
      <w:r>
        <w:rPr>
          <w:noProof/>
        </w:rPr>
        <w:t>.</w:t>
      </w:r>
    </w:p>
    <w:p>
      <w:pPr>
        <w:spacing w:before="100" w:beforeAutospacing="1" w:after="100" w:afterAutospacing="1"/>
        <w:rPr>
          <w:rFonts w:eastAsia="Arial Unicode MS"/>
          <w:noProof/>
        </w:rPr>
      </w:pPr>
      <w:r>
        <w:rPr>
          <w:noProof/>
        </w:rPr>
        <w:t>Glavni pozitivni učinek bo izboljšanje upravljanja meja in povečanje notranje varnosti v Evropski uniji. Novi sestavni deli bodo racionalizirali in olajšali dostop nacionalnih organov do potrebnih informacij in identifikacijo državljanov tretjih držav. Organom bodo omogočili navzkrižno preverjanje že obstoječih potrebnih informacij o posameznikih med mejno kontrolo, za obravnavo prošenj za vizum ali azil ter policijsko delo. To bo omogočilo dostop do informacij, ki lahko podprejo zanesljive odločitve o preiskavah hudih kaznivih dejanj in terorizma ali odločitve na področju migracij in azila. Predlog ne vpliva neposredno na državljane EU (predlagani ukrepi se osredotočajo predvsem na državljane tretjih držav, katerih podatki so evidentirani v centraliziranih informacijskih sistemih EU), vendar bi ustvaril večje zaupanje javnosti, saj bi se z zasnovo in uporabo predlaganih ukrepov povečala varnost državljanov EU.</w:t>
      </w:r>
    </w:p>
    <w:p>
      <w:pPr>
        <w:pBdr>
          <w:top w:val="nil"/>
          <w:left w:val="nil"/>
          <w:bottom w:val="nil"/>
          <w:right w:val="nil"/>
          <w:between w:val="nil"/>
          <w:bar w:val="nil"/>
        </w:pBdr>
        <w:spacing w:before="0" w:after="240"/>
        <w:rPr>
          <w:rFonts w:eastAsia="Arial Unicode MS"/>
          <w:noProof/>
        </w:rPr>
      </w:pPr>
      <w:r>
        <w:rPr>
          <w:noProof/>
        </w:rPr>
        <w:t>Neposredni finančni in ekonomski učinki predloga bodo omejeni na zasnovo, razvoj in delovanje novih sestavnih delov. Stroški bodo kriti iz proračuna EU in s strani organov držav članic, ki upravljajo sisteme.</w:t>
      </w:r>
      <w:r>
        <w:rPr>
          <w:noProof/>
          <w:color w:val="000000"/>
          <w:sz w:val="23"/>
        </w:rPr>
        <w:t xml:space="preserve"> </w:t>
      </w:r>
      <w:r>
        <w:rPr>
          <w:noProof/>
        </w:rPr>
        <w:t>Učinek na turizem bo pozitiven, saj bodo predlagani ukrepi povečali varnost Evropske unije, prispevati pa bi morali tudi k hitrejšemu nadzoru meje. Pozitiven naj bi bil tudi učinek na letališča, pristanišča in prevoznike, zlasti zaradi hitrejšega nadzora meje.</w:t>
      </w:r>
    </w:p>
    <w:p>
      <w:pPr>
        <w:pStyle w:val="ManualHeading2"/>
        <w:rPr>
          <w:rFonts w:eastAsia="Arial Unicode MS"/>
          <w:noProof/>
          <w:u w:color="000000"/>
          <w:bdr w:val="nil"/>
        </w:rPr>
      </w:pPr>
      <w:r>
        <w:rPr>
          <w:noProof/>
        </w:rPr>
        <w:t xml:space="preserve"> •</w:t>
      </w:r>
      <w:r>
        <w:rPr>
          <w:noProof/>
        </w:rPr>
        <w:tab/>
        <w:t>Temeljne pravice</w:t>
      </w:r>
    </w:p>
    <w:p>
      <w:pPr>
        <w:pBdr>
          <w:top w:val="nil"/>
          <w:left w:val="nil"/>
          <w:bottom w:val="nil"/>
          <w:right w:val="nil"/>
          <w:between w:val="nil"/>
          <w:bar w:val="nil"/>
        </w:pBdr>
        <w:spacing w:before="0" w:after="240"/>
        <w:rPr>
          <w:rFonts w:eastAsia="Arial Unicode MS"/>
          <w:noProof/>
        </w:rPr>
      </w:pPr>
      <w:r>
        <w:rPr>
          <w:noProof/>
        </w:rPr>
        <w:t xml:space="preserve">V oceni učinka so bili proučeni predvsem učinki predlaganih ukrepov na temeljne pravice, zlasti na pravico do varstva podatkov. </w:t>
      </w:r>
    </w:p>
    <w:p>
      <w:pPr>
        <w:pBdr>
          <w:top w:val="nil"/>
          <w:left w:val="nil"/>
          <w:bottom w:val="nil"/>
          <w:right w:val="nil"/>
          <w:between w:val="nil"/>
          <w:bar w:val="nil"/>
        </w:pBdr>
        <w:spacing w:before="0" w:after="240"/>
        <w:rPr>
          <w:rFonts w:eastAsia="Arial Unicode MS"/>
          <w:noProof/>
        </w:rPr>
      </w:pPr>
      <w:r>
        <w:rPr>
          <w:noProof/>
        </w:rPr>
        <w:t>V skladu z Listino EU o temeljnih pravicah, ki zavezuje institucije in države članice EU pri izvajanju prava Unije (člen 51(1) Listine), je treba priložnosti, ki jih prinaša interoperabilnost kot ukrep za povečanje varnosti in zaščite zunanje meje, uravnotežiti z obveznostjo zagotavljanja, da je poseganje v temeljne pravice, ki je lahko posledica novega interoperabilnega okolja, omejeno na to, kar je nujno potrebno za dejansko dosego zastavljenih ciljev splošnega interesa, ob upoštevanju načela sorazmernosti (člen 52(1) Listine).</w:t>
      </w:r>
    </w:p>
    <w:p>
      <w:pPr>
        <w:pBdr>
          <w:top w:val="nil"/>
          <w:left w:val="nil"/>
          <w:bottom w:val="nil"/>
          <w:right w:val="nil"/>
          <w:between w:val="nil"/>
          <w:bar w:val="nil"/>
        </w:pBdr>
        <w:spacing w:before="0" w:after="240"/>
        <w:rPr>
          <w:rFonts w:eastAsia="Arial Unicode MS"/>
          <w:noProof/>
        </w:rPr>
      </w:pPr>
      <w:r>
        <w:rPr>
          <w:noProof/>
        </w:rPr>
        <w:t>Predlagane rešitve za interoperabilnost so sestavni deli, ki dopolnjujejo obstoječe sisteme. Kot take ne bi spremenile ravnovesja, ki ga obstoječi centralni sistemi že zagotavljajo v smislu pozitivnega učinka na temeljne pravice.</w:t>
      </w:r>
    </w:p>
    <w:p>
      <w:pPr>
        <w:pBdr>
          <w:top w:val="nil"/>
          <w:left w:val="nil"/>
          <w:bottom w:val="nil"/>
          <w:right w:val="nil"/>
          <w:between w:val="nil"/>
          <w:bar w:val="nil"/>
        </w:pBdr>
        <w:spacing w:before="0" w:after="240"/>
        <w:rPr>
          <w:rFonts w:eastAsia="Arial Unicode MS"/>
          <w:noProof/>
        </w:rPr>
      </w:pPr>
      <w:r>
        <w:rPr>
          <w:noProof/>
        </w:rPr>
        <w:t xml:space="preserve">Kljub temu ima lahko interoperabilnost dodaten posreden učinek na številne temeljne pravice. Pravilna identifikacija osebe dejansko pozitivno vpliva na pravico do spoštovanja zasebnega življenja in zlasti na pravico do posameznikove identitete (člen 7 Listine), saj lahko prepreči zmede glede identitete. Po drugi strani pa je preverjanje na podlagi biometričnih podatkov mogoče razumeti kot poseganje v pravico do dostojanstva (zlasti če se razume kot ponižujoče) </w:t>
      </w:r>
      <w:r>
        <w:rPr>
          <w:noProof/>
        </w:rPr>
        <w:lastRenderedPageBreak/>
        <w:t>(člen 1). Vendar so bili v raziskavi</w:t>
      </w:r>
      <w:r>
        <w:rPr>
          <w:rStyle w:val="FootnoteReference"/>
          <w:noProof/>
        </w:rPr>
        <w:footnoteReference w:id="37"/>
      </w:r>
      <w:r>
        <w:rPr>
          <w:noProof/>
        </w:rPr>
        <w:t xml:space="preserve"> Agencije EU za temeljne pravice anketiranci izrecno vprašani, ali bi bilo po njihovem mnenju razkritje biometričnih podatkov v okviru nadzora meje lahko ponižujoče. Večina jih je odgovorila nikalno.</w:t>
      </w:r>
    </w:p>
    <w:p>
      <w:pPr>
        <w:pBdr>
          <w:top w:val="nil"/>
          <w:left w:val="nil"/>
          <w:bottom w:val="nil"/>
          <w:right w:val="nil"/>
          <w:between w:val="nil"/>
          <w:bar w:val="nil"/>
        </w:pBdr>
        <w:spacing w:before="0" w:after="240"/>
        <w:rPr>
          <w:rFonts w:eastAsia="Arial Unicode MS"/>
          <w:noProof/>
        </w:rPr>
      </w:pPr>
      <w:r>
        <w:rPr>
          <w:noProof/>
        </w:rPr>
        <w:t>Predlagani sestavni deli interoperabilnosti omogočajo sprejetje ciljno usmerjenih preventivnih ukrepov za povečanje varnosti. Kot taki lahko prispevajo k varstvu pravice do življenja (člen 2 Listine), kar pomeni tudi pozitivno obveznost organov, da sprejemajo preventivne operativne ukrepe za zaščito osebe, katere življenje je ogroženo, če so ali bi morali biti seznanjeni z neposredno nevarnostjo</w:t>
      </w:r>
      <w:r>
        <w:rPr>
          <w:rStyle w:val="FootnoteReference"/>
          <w:noProof/>
        </w:rPr>
        <w:footnoteReference w:id="38"/>
      </w:r>
      <w:r>
        <w:rPr>
          <w:noProof/>
        </w:rPr>
        <w:t>, ter spoštujejo prepoved suženjstva in prisilnega dela (člen 5). Z zanesljivo, dostopnejšo in lažjo identifikacijo lahko interoperabilnost podpira odkrivanje pogrešanih otrok ali otrok, ki so žrtve trgovine z ljudmi, ter omogoča hitre in ciljno usmerjene odzive.</w:t>
      </w:r>
    </w:p>
    <w:p>
      <w:pPr>
        <w:pBdr>
          <w:top w:val="nil"/>
          <w:left w:val="nil"/>
          <w:bottom w:val="nil"/>
          <w:right w:val="nil"/>
          <w:between w:val="nil"/>
          <w:bar w:val="nil"/>
        </w:pBdr>
        <w:spacing w:before="0" w:after="240"/>
        <w:rPr>
          <w:rFonts w:eastAsia="Arial Unicode MS"/>
          <w:noProof/>
        </w:rPr>
      </w:pPr>
      <w:r>
        <w:rPr>
          <w:noProof/>
        </w:rPr>
        <w:t>Zanesljiva, dostopnejša in lažja identifikacija bi lahko prispevala tudi k učinkovitemu zagotavljanju pravice do azila (člen 18 Listine) in prepovedi vračanja (člen 19 Listine). Z interoperabilnostjo bi se dejansko lahko preprečili primeri nezakonitega prijetja in zadržanja ter neupravičenega izgona prosilcev za azil, lažje pa bi bilo tudi odkriti identitetne prevare. Poleg tega bi se z njo zmanjšala potreba po izmenjavi podatkov in informacij o prosilcih za azil s tretjimi državami (zlasti izvornimi državami) za ugotavljanje identitete osebe in pridobitev potovalnih dokumentov, kar bi lahko ogrozilo zadevno osebo.</w:t>
      </w:r>
    </w:p>
    <w:p>
      <w:pPr>
        <w:pStyle w:val="ManualHeading2"/>
        <w:rPr>
          <w:rFonts w:eastAsia="Arial Unicode MS"/>
          <w:noProof/>
          <w:u w:color="000000"/>
          <w:bdr w:val="nil"/>
        </w:rPr>
      </w:pPr>
      <w:r>
        <w:rPr>
          <w:noProof/>
        </w:rPr>
        <w:t>•</w:t>
      </w:r>
      <w:r>
        <w:rPr>
          <w:noProof/>
        </w:rPr>
        <w:tab/>
        <w:t>Varstvo osebnih podatkov</w:t>
      </w:r>
    </w:p>
    <w:p>
      <w:pPr>
        <w:pStyle w:val="Default"/>
        <w:rPr>
          <w:rFonts w:eastAsia="Arial Unicode MS"/>
          <w:noProof/>
        </w:rPr>
      </w:pPr>
    </w:p>
    <w:p>
      <w:pPr>
        <w:pStyle w:val="Default"/>
        <w:rPr>
          <w:noProof/>
        </w:rPr>
      </w:pPr>
      <w:r>
        <w:rPr>
          <w:noProof/>
        </w:rPr>
        <w:t>Ker interoperabilnost zadeva osebne podatke, bo vplivala zlasti na pravico do varstva osebnih podatkov. Ta pravica je določena s členom 8 Listine, členom 16 Pogodbe o delovanju Evropske unije in členom 8 Evropske konvencije o človekovih pravicah</w:t>
      </w:r>
      <w:r>
        <w:rPr>
          <w:noProof/>
          <w:color w:val="auto"/>
        </w:rPr>
        <w:t>. Kot je poudarilo Sodišče EU</w:t>
      </w:r>
      <w:r>
        <w:rPr>
          <w:rStyle w:val="FootnoteReference"/>
          <w:noProof/>
          <w:color w:val="auto"/>
        </w:rPr>
        <w:footnoteReference w:id="39"/>
      </w:r>
      <w:r>
        <w:rPr>
          <w:noProof/>
          <w:color w:val="auto"/>
        </w:rPr>
        <w:t>, pravica do varstva osebnih podatkov ni absolutna, temveč jo je treba obravnavati glede na vlogo, ki jo ima v družbi</w:t>
      </w:r>
      <w:r>
        <w:rPr>
          <w:rStyle w:val="FootnoteReference"/>
          <w:noProof/>
          <w:color w:val="auto"/>
        </w:rPr>
        <w:footnoteReference w:id="40"/>
      </w:r>
      <w:r>
        <w:rPr>
          <w:noProof/>
          <w:color w:val="auto"/>
        </w:rPr>
        <w:t>. Varstvo podatkov je tesno povezano s spoštovanjem zasebnega in družinskega življenja, ki ga varuje člen 7 Listine.</w:t>
      </w:r>
    </w:p>
    <w:p>
      <w:pPr>
        <w:pStyle w:val="Default"/>
        <w:rPr>
          <w:noProof/>
          <w:sz w:val="23"/>
          <w:szCs w:val="23"/>
        </w:rPr>
      </w:pPr>
    </w:p>
    <w:p>
      <w:pPr>
        <w:pStyle w:val="Default"/>
        <w:rPr>
          <w:rFonts w:eastAsia="Arial Unicode MS"/>
          <w:noProof/>
        </w:rPr>
      </w:pPr>
      <w:r>
        <w:rPr>
          <w:noProof/>
        </w:rPr>
        <w:t>V skladu s Splošno uredbo o varstvu podatkov</w:t>
      </w:r>
      <w:r>
        <w:rPr>
          <w:rStyle w:val="FootnoteReference"/>
          <w:noProof/>
        </w:rPr>
        <w:footnoteReference w:id="41"/>
      </w:r>
      <w:r>
        <w:rPr>
          <w:noProof/>
        </w:rPr>
        <w:t xml:space="preserve"> se prosti pretok podatkov v EU ne sme omejevati zaradi varstva podatkov. Vendar mora biti izpolnjen sklop načel. Da bi bilo omejevanje uresničevanja temeljnih pravic, ki so zaščitene z Listino, zakonito, mora izpolnjevati naslednje pogoje iz člena 52(1): </w:t>
      </w:r>
    </w:p>
    <w:p>
      <w:pPr>
        <w:pStyle w:val="Bullet0"/>
        <w:rPr>
          <w:noProof/>
        </w:rPr>
      </w:pPr>
      <w:r>
        <w:rPr>
          <w:noProof/>
        </w:rPr>
        <w:t>biti mora predpisano z zakonom,</w:t>
      </w:r>
    </w:p>
    <w:p>
      <w:pPr>
        <w:pStyle w:val="Bullet0"/>
        <w:rPr>
          <w:noProof/>
        </w:rPr>
      </w:pPr>
      <w:r>
        <w:rPr>
          <w:noProof/>
        </w:rPr>
        <w:t>spoštovati mora bistveno vsebino pravic,</w:t>
      </w:r>
    </w:p>
    <w:p>
      <w:pPr>
        <w:pStyle w:val="Bullet0"/>
        <w:rPr>
          <w:noProof/>
        </w:rPr>
      </w:pPr>
      <w:r>
        <w:rPr>
          <w:noProof/>
        </w:rPr>
        <w:lastRenderedPageBreak/>
        <w:t>dejansko mora ustrezati ciljem splošnega interesa, ki jih priznava Unija, ali biti potrebno zaradi zaščite pravic in svoboščin drugih,</w:t>
      </w:r>
    </w:p>
    <w:p>
      <w:pPr>
        <w:pStyle w:val="Bullet0"/>
        <w:rPr>
          <w:noProof/>
        </w:rPr>
      </w:pPr>
      <w:r>
        <w:rPr>
          <w:noProof/>
        </w:rPr>
        <w:t>biti mora potrebno ter</w:t>
      </w:r>
    </w:p>
    <w:p>
      <w:pPr>
        <w:pStyle w:val="Bullet0"/>
        <w:rPr>
          <w:noProof/>
        </w:rPr>
      </w:pPr>
      <w:r>
        <w:rPr>
          <w:noProof/>
        </w:rPr>
        <w:t>biti mora sorazmerno.</w:t>
      </w:r>
    </w:p>
    <w:p>
      <w:pPr>
        <w:pStyle w:val="Default"/>
        <w:rPr>
          <w:rFonts w:eastAsia="Arial Unicode MS"/>
          <w:noProof/>
        </w:rPr>
      </w:pPr>
    </w:p>
    <w:p>
      <w:pPr>
        <w:pStyle w:val="Default"/>
        <w:rPr>
          <w:rFonts w:eastAsia="Arial Unicode MS"/>
          <w:noProof/>
        </w:rPr>
      </w:pPr>
      <w:r>
        <w:rPr>
          <w:noProof/>
        </w:rPr>
        <w:t>Ta predlog zajema vsa ta pravila o varstvu podatkov, kot je podrobno določeno v priloženi oceni učinka. Temelji na načelih vgrajenega in privzetega varstva podatkov. Vsebuje vse ustrezne določbe, ki omejujejo obdelavo podatkov na tisto, kar je potrebno za določen namen, in omogočajo dostop do podatkov samo tistim, ki morajo biti s temi podatki seznanjeni. Obdobja hrambe podatkov (kadar je to primerno) so ustrezna in omejena.</w:t>
      </w:r>
      <w:r>
        <w:rPr>
          <w:noProof/>
          <w:sz w:val="23"/>
        </w:rPr>
        <w:t xml:space="preserve"> </w:t>
      </w:r>
      <w:r>
        <w:rPr>
          <w:noProof/>
        </w:rPr>
        <w:t>Dostop do podatkov je omejen izključno na ustrezno pooblaščeno osebje organov držav članic ali organov EU, ki je pristojno za posebne namene vsakega informacijskega sistema, podatki pa so omejeni na to, kar je potrebno za opravljanje nalog v skladu s temi nameni.</w:t>
      </w:r>
    </w:p>
    <w:p>
      <w:pPr>
        <w:pStyle w:val="ManualHeading1"/>
        <w:rPr>
          <w:noProof/>
        </w:rPr>
      </w:pPr>
      <w:r>
        <w:rPr>
          <w:noProof/>
        </w:rPr>
        <w:t>4.</w:t>
      </w:r>
      <w:r>
        <w:rPr>
          <w:noProof/>
        </w:rPr>
        <w:tab/>
        <w:t>PRORAČUNSKE POSLEDICE</w:t>
      </w:r>
    </w:p>
    <w:p>
      <w:pPr>
        <w:rPr>
          <w:noProof/>
        </w:rPr>
      </w:pPr>
      <w:r>
        <w:rPr>
          <w:noProof/>
        </w:rPr>
        <w:t xml:space="preserve">Proračunske posledice so navedene v priloženi oceni finančnih posledic. Slednja zajema preostalo obdobje sedanjega večletnega finančnega okvira (do leta 2020) in sedem let naslednjega obdobja (2021–2027). Predlagani proračun za leto 2021 in naprej je vključen v informativne namene in ne posega v prihodnji večletni finančni okvir. </w:t>
      </w:r>
    </w:p>
    <w:p>
      <w:pPr>
        <w:pBdr>
          <w:top w:val="nil"/>
          <w:left w:val="nil"/>
          <w:bottom w:val="nil"/>
          <w:right w:val="nil"/>
          <w:between w:val="nil"/>
          <w:bar w:val="nil"/>
        </w:pBdr>
        <w:spacing w:before="0" w:after="240"/>
        <w:rPr>
          <w:noProof/>
        </w:rPr>
      </w:pPr>
      <w:r>
        <w:rPr>
          <w:noProof/>
        </w:rPr>
        <w:t>Za izvajanje tega predloga bodo potrebna proračunska sredstva za:</w:t>
      </w:r>
    </w:p>
    <w:p>
      <w:pPr>
        <w:pStyle w:val="Point0number"/>
        <w:widowControl w:val="0"/>
        <w:numPr>
          <w:ilvl w:val="0"/>
          <w:numId w:val="99"/>
        </w:numPr>
        <w:adjustRightInd w:val="0"/>
        <w:textAlignment w:val="baseline"/>
        <w:rPr>
          <w:noProof/>
        </w:rPr>
      </w:pPr>
      <w:r>
        <w:rPr>
          <w:b/>
          <w:noProof/>
        </w:rPr>
        <w:t>razvoj</w:t>
      </w:r>
      <w:r>
        <w:rPr>
          <w:noProof/>
        </w:rPr>
        <w:t xml:space="preserve"> in povezovanje štirih sestavnih delov interoperabilnosti ter centralnega registra za poročanje in statistične podatke ter njihovo naknadno </w:t>
      </w:r>
      <w:r>
        <w:rPr>
          <w:b/>
          <w:noProof/>
        </w:rPr>
        <w:t>vzdrževanje in delovanje</w:t>
      </w:r>
      <w:r>
        <w:rPr>
          <w:noProof/>
        </w:rPr>
        <w:t>, za kar bo pristojna agencija eu-LISA,</w:t>
      </w:r>
    </w:p>
    <w:p>
      <w:pPr>
        <w:pStyle w:val="Point0number"/>
        <w:widowControl w:val="0"/>
        <w:adjustRightInd w:val="0"/>
        <w:textAlignment w:val="baseline"/>
        <w:rPr>
          <w:noProof/>
        </w:rPr>
      </w:pPr>
      <w:r>
        <w:rPr>
          <w:b/>
          <w:noProof/>
        </w:rPr>
        <w:t>prenos podatkov</w:t>
      </w:r>
      <w:r>
        <w:rPr>
          <w:noProof/>
        </w:rPr>
        <w:t xml:space="preserve"> na skupno storitev za ugotavljanje ujemanja biometričnih podatkov (skupna BMS) in skupno odložišče podatkov o identiteti (CIR). Kar zadeva skupno BMS, je treba v njenem okviru poustvariti biometrične predloge ustreznih podatkov iz treh sistemov, ki trenutno uporabljajo biometrične podatke (SIS, VIS in Eurodac). Kar zadeva CIR, je treba nanj prenesti elemente osebnih podatkov iz VIS ter potrditi morebitne povezave med identitetami v SIS, VIS in sistemu Eurodac. Zlasti ta zadnji postopek zahteva veliko sredstev, </w:t>
      </w:r>
    </w:p>
    <w:p>
      <w:pPr>
        <w:pStyle w:val="Point0number"/>
        <w:widowControl w:val="0"/>
        <w:adjustRightInd w:val="0"/>
        <w:textAlignment w:val="baseline"/>
        <w:rPr>
          <w:noProof/>
        </w:rPr>
      </w:pPr>
      <w:r>
        <w:rPr>
          <w:noProof/>
        </w:rPr>
        <w:t xml:space="preserve">dopolnitev </w:t>
      </w:r>
      <w:r>
        <w:rPr>
          <w:b/>
          <w:noProof/>
        </w:rPr>
        <w:t>nacionalnega enotnega vmesnika</w:t>
      </w:r>
      <w:r>
        <w:rPr>
          <w:noProof/>
        </w:rPr>
        <w:t>, ki je že vključen v uredbo o SVI, da bi postal splošni sestavni del, ki omogoča izmenjavo sporočil med državami članicami in centralnimi sistemi, za kar bo pristojna agencija eu-LISA,</w:t>
      </w:r>
    </w:p>
    <w:p>
      <w:pPr>
        <w:pStyle w:val="Point0number"/>
        <w:widowControl w:val="0"/>
        <w:adjustRightInd w:val="0"/>
        <w:textAlignment w:val="baseline"/>
        <w:rPr>
          <w:noProof/>
        </w:rPr>
      </w:pPr>
      <w:r>
        <w:rPr>
          <w:b/>
          <w:noProof/>
        </w:rPr>
        <w:t>povezovanje nacionalnih sistemov držav članic</w:t>
      </w:r>
      <w:r>
        <w:rPr>
          <w:noProof/>
        </w:rPr>
        <w:t xml:space="preserve"> z nacionalnim enotnim vmesnikom, ki bo prek evropskega iskalnega portala posredoval sporočila, ki se bodo izmenjevala s CIR in/ali MID,</w:t>
      </w:r>
    </w:p>
    <w:p>
      <w:pPr>
        <w:pStyle w:val="Point0number"/>
        <w:widowControl w:val="0"/>
        <w:adjustRightInd w:val="0"/>
        <w:textAlignment w:val="baseline"/>
        <w:rPr>
          <w:noProof/>
        </w:rPr>
      </w:pPr>
      <w:r>
        <w:rPr>
          <w:b/>
          <w:noProof/>
        </w:rPr>
        <w:t>usposabljanje</w:t>
      </w:r>
      <w:r>
        <w:rPr>
          <w:noProof/>
        </w:rPr>
        <w:t xml:space="preserve"> o uporabi sestavnih delov interoperabilnosti s strani končnih uporabnikov, med drugim tudi prek Agencije Evropske unije za usposabljanje na področju preprečevanja, odkrivanja in preiskovanja kaznivih dejanj (CEPOL). </w:t>
      </w:r>
    </w:p>
    <w:p>
      <w:pPr>
        <w:pBdr>
          <w:top w:val="nil"/>
          <w:left w:val="nil"/>
          <w:bottom w:val="nil"/>
          <w:right w:val="nil"/>
          <w:between w:val="nil"/>
          <w:bar w:val="nil"/>
        </w:pBdr>
        <w:spacing w:before="0" w:after="240"/>
        <w:rPr>
          <w:rFonts w:eastAsia="Arial Unicode MS"/>
          <w:noProof/>
        </w:rPr>
      </w:pPr>
      <w:r>
        <w:rPr>
          <w:noProof/>
        </w:rPr>
        <w:t>Sestavni deli interoperabilnosti so zasnovani in vzdrževani kot program. Medtem ko so evropski iskalni portal (ESP), detektor več identitet in centralni register za poročanje in statistične podatke (CRRS) popolnoma novi sestavni deli, sta skupna BMS in CIR skupna sestavna dela, ki združujeta obstoječe podatke, ki se hranijo (oziroma se bodo hranili) v obstoječih oziroma novih sistemih z že obstoječimi proračunskimi ocenami.</w:t>
      </w:r>
    </w:p>
    <w:p>
      <w:pPr>
        <w:pBdr>
          <w:top w:val="nil"/>
          <w:left w:val="nil"/>
          <w:bottom w:val="nil"/>
          <w:right w:val="nil"/>
          <w:between w:val="nil"/>
          <w:bar w:val="nil"/>
        </w:pBdr>
        <w:spacing w:before="0" w:after="240"/>
        <w:rPr>
          <w:rFonts w:eastAsia="Arial Unicode MS"/>
          <w:noProof/>
        </w:rPr>
      </w:pPr>
      <w:r>
        <w:rPr>
          <w:b/>
          <w:noProof/>
        </w:rPr>
        <w:lastRenderedPageBreak/>
        <w:t>ESP</w:t>
      </w:r>
      <w:r>
        <w:rPr>
          <w:noProof/>
        </w:rPr>
        <w:t xml:space="preserve"> bo vključeval obstoječe znane vmesnike s SIS, VIS in sistemom Eurodac ter bo sčasoma razširjen na nove sisteme. </w:t>
      </w:r>
    </w:p>
    <w:p>
      <w:pPr>
        <w:pBdr>
          <w:top w:val="nil"/>
          <w:left w:val="nil"/>
          <w:bottom w:val="nil"/>
          <w:right w:val="nil"/>
          <w:between w:val="nil"/>
          <w:bar w:val="nil"/>
        </w:pBdr>
        <w:spacing w:before="0" w:after="240"/>
        <w:rPr>
          <w:rFonts w:eastAsia="Arial Unicode MS"/>
          <w:noProof/>
        </w:rPr>
      </w:pPr>
      <w:r>
        <w:rPr>
          <w:noProof/>
        </w:rPr>
        <w:t xml:space="preserve">ESP bodo uporabljale države članice in agencije, in sicer prek vmesnika, ki bo temeljil na univerzalnem formatu sporočil (UMF). Države članice, agencija eu-LISA, Europol in Evropska agencija za mejno in obalno stražo bodo morali ta novi vmesnik razvijati, prilagajati, povezovati in preizkušati. ESP bi uporabljal koncepte nacionalnega enotnega vmesnika, uvedenega za SVI, s čimer bi se olajšalo povezovanje. </w:t>
      </w:r>
    </w:p>
    <w:p>
      <w:pPr>
        <w:pBdr>
          <w:top w:val="nil"/>
          <w:left w:val="nil"/>
          <w:bottom w:val="nil"/>
          <w:right w:val="nil"/>
          <w:between w:val="nil"/>
          <w:bar w:val="nil"/>
        </w:pBdr>
        <w:spacing w:before="0" w:after="240"/>
        <w:rPr>
          <w:rFonts w:eastAsia="Arial Unicode MS"/>
          <w:noProof/>
        </w:rPr>
      </w:pPr>
      <w:r>
        <w:rPr>
          <w:noProof/>
        </w:rPr>
        <w:t>ESP bo ustvaril dodatne stroške za Europol, da bi bil vmesnik QUEST na voljo za uporabo s podatki o osnovni stopnji zaščite.</w:t>
      </w:r>
    </w:p>
    <w:p>
      <w:pPr>
        <w:pBdr>
          <w:top w:val="nil"/>
          <w:left w:val="nil"/>
          <w:bottom w:val="nil"/>
          <w:right w:val="nil"/>
          <w:between w:val="nil"/>
          <w:bar w:val="nil"/>
        </w:pBdr>
        <w:spacing w:before="0" w:after="240"/>
        <w:rPr>
          <w:rFonts w:eastAsia="Arial Unicode MS"/>
          <w:noProof/>
        </w:rPr>
      </w:pPr>
      <w:r>
        <w:rPr>
          <w:noProof/>
        </w:rPr>
        <w:t xml:space="preserve">Podlaga za </w:t>
      </w:r>
      <w:r>
        <w:rPr>
          <w:b/>
          <w:noProof/>
        </w:rPr>
        <w:t>skupno BMS</w:t>
      </w:r>
      <w:r>
        <w:rPr>
          <w:noProof/>
        </w:rPr>
        <w:t xml:space="preserve"> bo dejansko vzpostavljena z novim SVI, saj to predstavlja daleč največji obseg novih biometričnih podatkov. Potrebna proračunska sredstva so bila rezervirana v okviru pravnega instrumenta o SVI. Dodajanje nadaljnjih biometričnih podatkov iz VIS, SIS in sistema Eurodac skupni BMS pomeni dodatne stroške, ki so povezani predvsem s prenosom obstoječih podatkov. Ti stroški so ocenjeni na 10 milijonov EUR za vse tri sisteme. Dodajanje novih biometričnih podatkov iz predlaganega sistema ECRIS-TCN pomeni omejene dodatne stroške, ki se lahko krijejo iz sredstev, rezerviranih v okviru predlaganega pravnega instrumenta o vzpostavitvi sistema ECRIS-TCN za avtomatizirano identifikacijo prstnih odtisov.</w:t>
      </w:r>
    </w:p>
    <w:p>
      <w:pPr>
        <w:pBdr>
          <w:top w:val="nil"/>
          <w:left w:val="nil"/>
          <w:bottom w:val="nil"/>
          <w:right w:val="nil"/>
          <w:between w:val="nil"/>
          <w:bar w:val="nil"/>
        </w:pBdr>
        <w:spacing w:before="0" w:after="240"/>
        <w:rPr>
          <w:rFonts w:eastAsia="Arial Unicode MS"/>
          <w:noProof/>
        </w:rPr>
      </w:pPr>
      <w:r>
        <w:rPr>
          <w:b/>
          <w:noProof/>
        </w:rPr>
        <w:t>Skupno odložišče podatkov o identiteti</w:t>
      </w:r>
      <w:r>
        <w:rPr>
          <w:noProof/>
        </w:rPr>
        <w:t xml:space="preserve"> bo vzpostavljeno s prihodnjim SVI in nadalje razširjeno med razvojem predlaganega sistema ETIAS. Hramba in iskalniki za te podatke so bili vključeni v proračunska sredstva, rezervirana v okviru pravnih instrumentov o prihodnjem SVI in predlaganem sistemu ETIAS. Dodajanje novih biografskih podatkov iz sistema Eurodac in predlaganega sistema ECRIS-TCN pomeni manjše dodatne stroške, ki so bili že rezervirani v okviru pravnih instrumentov o sistemu Eurodac in predlaganem sistemu ECRIS-TCN.</w:t>
      </w:r>
    </w:p>
    <w:p>
      <w:pPr>
        <w:pBdr>
          <w:top w:val="nil"/>
          <w:left w:val="nil"/>
          <w:bottom w:val="nil"/>
          <w:right w:val="nil"/>
          <w:between w:val="nil"/>
          <w:bar w:val="nil"/>
        </w:pBdr>
        <w:spacing w:before="0" w:after="240"/>
        <w:rPr>
          <w:rFonts w:eastAsia="Arial Unicode MS"/>
          <w:noProof/>
        </w:rPr>
      </w:pPr>
      <w:r>
        <w:rPr>
          <w:noProof/>
        </w:rPr>
        <w:t>Skupna proračunska sredstva, ki so potrebna v devetih letih (2019–2027), znašajo 424,7 milijona EUR, kar zajema naslednje:</w:t>
      </w:r>
    </w:p>
    <w:p>
      <w:pPr>
        <w:pStyle w:val="Point0number"/>
        <w:widowControl w:val="0"/>
        <w:numPr>
          <w:ilvl w:val="0"/>
          <w:numId w:val="9"/>
        </w:numPr>
        <w:adjustRightInd w:val="0"/>
        <w:textAlignment w:val="baseline"/>
        <w:rPr>
          <w:noProof/>
        </w:rPr>
      </w:pPr>
      <w:r>
        <w:rPr>
          <w:noProof/>
        </w:rPr>
        <w:t>proračunska sredstva v višini 225 milijonov EUR za agencijo eu-LISA za skupne stroške razvoja programa za uvedbo petih sestavnih delov interoperabilnosti (68,3 milijona EUR), stroške vzdrževanja od uvedbe sestavnih delov do leta 2027 (56,1 milijona EUR), posebna proračunska sredstva v višini 25 milijonov EUR za prenos podatkov iz obstoječih sistemov na skupno BMS ter dodatne stroške za posodobitev nacionalnega enotnega vmesnika, omrežje, usposabljanje in srečanja. Posebna proračunska sredstva v višini 18,7 milijona EUR krijejo stroške nadgradnje in delovanja sistema ECRIS-TCN v načinu visoke dostopnosti od leta 2022;</w:t>
      </w:r>
    </w:p>
    <w:p>
      <w:pPr>
        <w:pStyle w:val="Point0number"/>
        <w:widowControl w:val="0"/>
        <w:numPr>
          <w:ilvl w:val="0"/>
          <w:numId w:val="9"/>
        </w:numPr>
        <w:adjustRightInd w:val="0"/>
        <w:textAlignment w:val="baseline"/>
        <w:rPr>
          <w:noProof/>
        </w:rPr>
      </w:pPr>
      <w:r>
        <w:rPr>
          <w:noProof/>
        </w:rPr>
        <w:t>proračunska sredstva v višini 136,3 milijona EUR za države članice za spremembe nacionalnih sistemov zaradi uporabe sestavnih delov interoperabilnosti, nacionalni enotni vmesnik, ki ga zagotovi agencija eu-LISA, in usposabljanje obsežnega števila končnih uporabnikov;</w:t>
      </w:r>
    </w:p>
    <w:p>
      <w:pPr>
        <w:pStyle w:val="Point0number"/>
        <w:widowControl w:val="0"/>
        <w:numPr>
          <w:ilvl w:val="0"/>
          <w:numId w:val="9"/>
        </w:numPr>
        <w:adjustRightInd w:val="0"/>
        <w:textAlignment w:val="baseline"/>
        <w:rPr>
          <w:noProof/>
        </w:rPr>
      </w:pPr>
      <w:r>
        <w:rPr>
          <w:noProof/>
        </w:rPr>
        <w:t>proračunska sredstva v višini 48,9 milijona EUR za nadgradnjo informacijskih sistemov Europola glede na obseg sporočil, ki jih bo treba obdelati, in višjo stopnjo učinkovitosti</w:t>
      </w:r>
      <w:r>
        <w:rPr>
          <w:rStyle w:val="FootnoteReference"/>
          <w:noProof/>
        </w:rPr>
        <w:footnoteReference w:id="42"/>
      </w:r>
      <w:r>
        <w:rPr>
          <w:noProof/>
        </w:rPr>
        <w:t xml:space="preserve">. Sestavni deli interoperabilnosti bodo omogočali uporabo podatkov </w:t>
      </w:r>
      <w:r>
        <w:rPr>
          <w:noProof/>
        </w:rPr>
        <w:lastRenderedPageBreak/>
        <w:t xml:space="preserve">Europola prek sistema ETIAS; </w:t>
      </w:r>
    </w:p>
    <w:p>
      <w:pPr>
        <w:pStyle w:val="Point0number"/>
        <w:widowControl w:val="0"/>
        <w:numPr>
          <w:ilvl w:val="0"/>
          <w:numId w:val="9"/>
        </w:numPr>
        <w:adjustRightInd w:val="0"/>
        <w:textAlignment w:val="baseline"/>
        <w:rPr>
          <w:noProof/>
        </w:rPr>
      </w:pPr>
      <w:r>
        <w:rPr>
          <w:noProof/>
        </w:rPr>
        <w:t xml:space="preserve">proračunska sredstva v višini 4,8 milijona EUR za Evropsko agencijo za mejno in obalno stražo, ki bo gostila skupino strokovnjakov, ki bo v enem letu potrdila povezave med identitetami ob uvedbi detektorja več identitet; </w:t>
      </w:r>
    </w:p>
    <w:p>
      <w:pPr>
        <w:pStyle w:val="Point0number"/>
        <w:widowControl w:val="0"/>
        <w:adjustRightInd w:val="0"/>
        <w:textAlignment w:val="baseline"/>
        <w:rPr>
          <w:noProof/>
        </w:rPr>
      </w:pPr>
      <w:r>
        <w:rPr>
          <w:noProof/>
        </w:rPr>
        <w:t>proračunska sredstva v višini 2,0 milijona EUR za CEPOL, ki krijejo pripravo in izvajanje usposabljanja za operativno osebje;</w:t>
      </w:r>
    </w:p>
    <w:p>
      <w:pPr>
        <w:pStyle w:val="Point0number"/>
        <w:widowControl w:val="0"/>
        <w:adjustRightInd w:val="0"/>
        <w:textAlignment w:val="baseline"/>
        <w:rPr>
          <w:noProof/>
        </w:rPr>
      </w:pPr>
      <w:r>
        <w:rPr>
          <w:noProof/>
        </w:rPr>
        <w:t>rezervacijo v višini 7,7 milijona EUR za GD HOME za omejeno povečanje osebja in s tem povezanih stroškov v obdobju razvoja posameznih sestavnih delov, saj bo morala Komisija v tem obdobju opravljati tudi dodatne naloge in bo odgovorna za odbor za univerzalni format sporočil.</w:t>
      </w:r>
    </w:p>
    <w:p>
      <w:pPr>
        <w:rPr>
          <w:noProof/>
        </w:rPr>
      </w:pPr>
      <w:r>
        <w:rPr>
          <w:noProof/>
        </w:rPr>
        <w:t>Uredba o Skladu za notranjo varnost (meje in vizumi) je finančni instrument, v katerega je vključen proračun za izvajanje pobude o interoperabilnosti. V členu 5(b) uredbe je določeno, da se 791 milijonov EUR uporabi za program za razvoj informacijskih sistemov na podlagi obstoječih in/ali novih informacijskih sistemov za podporo upravljanju migracijskih tokov prek zunanjih meja, če bodo sprejeti ustrezni zakonodajni akti Unije in v skladu s pogoji iz člena 15(5). Od teh 791 milijonov EUR je 480,2 milijona EUR rezerviranih za razvoj SVI, 210 milijonov EUR za sistem ETIAS in 67,9 milijona EUR za spremembo SIS. Preostanek (32,9 milijona EUR) se prerazporedi prek mehanizmov ISF-B. Ta predlog zahteva 32,1 milijona EUR za trenutno obdobje večletnega finančnega okvira (2019–2020), kar se ujema s preostalim proračunom.</w:t>
      </w:r>
    </w:p>
    <w:p>
      <w:pPr>
        <w:pBdr>
          <w:top w:val="nil"/>
          <w:left w:val="nil"/>
          <w:bottom w:val="nil"/>
          <w:right w:val="nil"/>
          <w:between w:val="nil"/>
          <w:bar w:val="nil"/>
        </w:pBdr>
        <w:spacing w:before="0" w:after="240"/>
        <w:rPr>
          <w:rFonts w:eastAsia="Arial Unicode MS"/>
          <w:noProof/>
        </w:rPr>
      </w:pPr>
    </w:p>
    <w:p>
      <w:pPr>
        <w:pStyle w:val="ManualHeading1"/>
        <w:rPr>
          <w:noProof/>
        </w:rPr>
      </w:pPr>
      <w:r>
        <w:rPr>
          <w:noProof/>
        </w:rPr>
        <w:t>5.</w:t>
      </w:r>
      <w:r>
        <w:rPr>
          <w:noProof/>
        </w:rPr>
        <w:tab/>
        <w:t>DODATNE INFORMACIJE</w:t>
      </w:r>
    </w:p>
    <w:p>
      <w:pPr>
        <w:pStyle w:val="Text1"/>
        <w:rPr>
          <w:noProof/>
        </w:rPr>
      </w:pPr>
    </w:p>
    <w:p>
      <w:pPr>
        <w:pStyle w:val="ManualHeading2"/>
        <w:rPr>
          <w:rFonts w:eastAsia="Arial Unicode MS"/>
          <w:noProof/>
          <w:u w:color="000000"/>
          <w:bdr w:val="nil"/>
        </w:rPr>
      </w:pPr>
      <w:r>
        <w:rPr>
          <w:noProof/>
        </w:rPr>
        <w:t>•</w:t>
      </w:r>
      <w:r>
        <w:rPr>
          <w:noProof/>
        </w:rPr>
        <w:tab/>
        <w:t>Načrti za izvedbo ter ureditev spremljanja, ocenjevanja in poročanja</w:t>
      </w:r>
    </w:p>
    <w:p>
      <w:pPr>
        <w:pBdr>
          <w:top w:val="nil"/>
          <w:left w:val="nil"/>
          <w:bottom w:val="nil"/>
          <w:right w:val="nil"/>
          <w:between w:val="nil"/>
          <w:bar w:val="nil"/>
        </w:pBdr>
        <w:spacing w:before="0" w:after="240"/>
        <w:rPr>
          <w:rFonts w:eastAsia="Arial Unicode MS"/>
          <w:noProof/>
        </w:rPr>
      </w:pPr>
      <w:r>
        <w:rPr>
          <w:noProof/>
        </w:rPr>
        <w:t xml:space="preserve">Za operativno upravljanje obsežnih informacijskih sistemov na področju svobode, varnosti in pravice je pristojna agencija eu-LISA. Zato je že pooblaščena za delovanje ter tehnične in operativne izboljšave obstoječih sistemov ter razvoj že predvidenih prihodnjih sistemov. V skladu s tem predlogom uredbe bo določila zasnovo fizične arhitekture sestavnih delov interoperabilnosti ter te dele razvijala, uvajala in na koncu tudi gostila. Posamezni sestavni deli se bodo uvajali postopoma v povezavi z razvojem zadevnih sistemov. </w:t>
      </w:r>
    </w:p>
    <w:p>
      <w:pPr>
        <w:pBdr>
          <w:top w:val="nil"/>
          <w:left w:val="nil"/>
          <w:bottom w:val="nil"/>
          <w:right w:val="nil"/>
          <w:between w:val="nil"/>
          <w:bar w:val="nil"/>
        </w:pBdr>
        <w:spacing w:before="0" w:after="240"/>
        <w:rPr>
          <w:rFonts w:eastAsia="Arial Unicode MS"/>
          <w:noProof/>
        </w:rPr>
      </w:pPr>
      <w:r>
        <w:rPr>
          <w:noProof/>
        </w:rPr>
        <w:t>Komisija bo zagotovila, da so vzpostavljeni sistemi za spremljanje razvoja in delovanja štirih sestavnih delov (evropskega iskalnega portala, skupne storitve za ugotavljanje ujemanja biometričnih podatkov, skupnega odložišča podatkov o identiteti in detektorja več identitet) ter centralnega registra za poročanje in statistične podatke, ter bo slednje ocenjevala glede na glavne cilje politike. Štiri leta po uvedbi in začetku delovanja sestavnih delov ter nato vsaka štiri leta bi morala agencija eu-LISA predložiti Evropskemu parlamentu, Svetu in Komisiji poročilo o njihovem tehničnem delovanju. Poleg tega bi morala pet let po uvedbi in začetku delovanja sestavnih delov ter nato vsaka štiri leta Komisija pripraviti skupno oceno sestavnih delov, vključno z njihovimi neposrednimi ali posrednimi učinki ter učinki njihovega praktičnega izvajanja na temeljne pravice. Pri tem bi morala proučiti dosežene rezultate glede na cilje ter oceniti veljavnost temeljnih razlogov in morebitne posledice za prihodnje možnosti. Poročila o oceni bi morala predložiti Evropskemu parlamentu in Svetu.</w:t>
      </w:r>
    </w:p>
    <w:p>
      <w:pPr>
        <w:pStyle w:val="ManualHeading2"/>
        <w:rPr>
          <w:rFonts w:eastAsia="Arial Unicode MS"/>
          <w:noProof/>
          <w:u w:color="000000"/>
          <w:bdr w:val="nil"/>
        </w:rPr>
      </w:pPr>
      <w:r>
        <w:rPr>
          <w:noProof/>
        </w:rPr>
        <w:lastRenderedPageBreak/>
        <w:t>•</w:t>
      </w:r>
      <w:r>
        <w:rPr>
          <w:noProof/>
        </w:rPr>
        <w:tab/>
        <w:t>Natančnejša pojasnitev posameznih določb predloga</w:t>
      </w:r>
    </w:p>
    <w:p>
      <w:pPr>
        <w:rPr>
          <w:noProof/>
        </w:rPr>
      </w:pPr>
      <w:r>
        <w:rPr>
          <w:noProof/>
        </w:rPr>
        <w:t xml:space="preserve">Poglavje I vsebuje splošne določbe za to uredbo. Pojasnjuje načela, na katerih temelji ta uredba, sestavne dele, določene v njej, cilje, ki naj bi se obravnavali z interoperabilnostjo, področje uporabe te uredbe, opredelitve pojmov, ki se uporabljajo v njej, ter načelo nediskriminacije v zvezi z obdelavo podatkov v skladu s to uredbo. </w:t>
      </w:r>
    </w:p>
    <w:p>
      <w:pPr>
        <w:rPr>
          <w:noProof/>
        </w:rPr>
      </w:pPr>
      <w:r>
        <w:rPr>
          <w:noProof/>
        </w:rPr>
        <w:t>Poglavje II vsebuje določbe za evropski iskalni portal (ESP). Določa vzpostavitev ESP in njegovo tehnično arhitekturo, ki ju bo razvijala agencija eu-LISA. Opredeljuje cilj ESP, osebe, ki ga lahko uporabljajo, in način, kako ga lahko uporabljajo v skladu z obstoječimi pravicami do dostopa za vsakega od centralnih sistemov. Določa, da mora agencija eu-LISA ustvariti uporabniške profile za vsako kategorijo uporabnikov. Določa tudi način poizvedovanja v centralnih sistemih prek ESP ter vsebino in format odgovorov uporabnikom. Poleg tega določa, da mora agencija eu-LISA voditi evidence o vseh postopkih obdelave in da je treba v primeru, da ESP ne more dostopati do enega ali več centralnih sistemov, uporabiti nadomestni postopek.</w:t>
      </w:r>
    </w:p>
    <w:p>
      <w:pPr>
        <w:rPr>
          <w:noProof/>
        </w:rPr>
      </w:pPr>
      <w:r>
        <w:rPr>
          <w:noProof/>
        </w:rPr>
        <w:t>Poglavje III vsebuje določbe za skupno storitev za ugotavljanje ujemanja biometričnih podatkov (skupna BMS). Določa vzpostavitev skupne BMS in njeno tehnično arhitekturo, ki jo bo razvijala agencija eu-LISA. Opredeljuje cilj skupne BMS in določa, katere podatke shranjuje. Pojasnjuje razmerje med skupno BMS in drugimi sestavnimi deli. Poleg tega določa, da skupna BMS ne bo še naprej hranila podatkov, ko ne bodo več v zadevnem centralnem sistemu, in da mora agencija eu-LISA voditi evidence o vseh postopkih obdelave.</w:t>
      </w:r>
    </w:p>
    <w:p>
      <w:pPr>
        <w:rPr>
          <w:noProof/>
        </w:rPr>
      </w:pPr>
      <w:r>
        <w:rPr>
          <w:noProof/>
        </w:rPr>
        <w:t>Poglavje IV vsebuje določbe za skupno odložišče podatkov o identiteti (CIR). Določa vzpostavitev CIR in njegovo tehnično arhitekturo, ki jo bo razvijala agencija eu-LISA. Opredeljuje cilj CIR ter določa, kateri podatki se bodo hranili in kako, vključno z določbami za zagotovitev kakovosti shranjenih podatkov. Določa, da se bo v okviru CIR na podlagi podatkov iz centralnih sistemov ustvarila individualna dokumentacija, ki se bo posodabljala glede na spremembe posameznih centralnih sistemov. Podrobno pojasnjuje tudi delovanje CIR v povezavi z detektorjem več identitet. Opredeljuje osebe, ki lahko dostopajo do CIR, in način, kako lahko dostopajo do podatkov v skladu s pravicami do dostopa, vsebuje pa tudi posebne določbe glede na to, ali je dostop namenjen identifikaciji ali pa se, kot prvi korak dvostopenjskega pristopa, prek CIR dostopa do SVI, VIS ter sistemov ETIAS in Eurodac za namene kazenskega pregona. Poleg tega določa, da mora agencija eu-LISA voditi evidence o vseh postopkih obdelave v zvezi s CIR.</w:t>
      </w:r>
    </w:p>
    <w:p>
      <w:pPr>
        <w:rPr>
          <w:noProof/>
        </w:rPr>
      </w:pPr>
      <w:r>
        <w:rPr>
          <w:noProof/>
        </w:rPr>
        <w:t>Poglavje V vsebuje določbe o detektorju več identitet (MID). Določa vzpostavitev MID in njegovo tehnično arhitekturo, ki jo bo razvijala agencija eu-LISA. Pojasnjuje cilj MID in ureja njegovo uporabo v skladu s pravicami do dostopa do vsakega od centralnih sistemov. Določa, kdaj in kako se bodo v MID opravljala iskanja za odkrivanje več identitet ter kako se bodo rezultati prikazali in nadalje spremljali, vključno z ročnim preverjanjem, kadar bo to potrebno. Določa razvrstitev vrst povezav, ki so lahko posledica iskanja, glede na to, ali rezultati kažejo na eno samo identiteto, več identitet ali skupno identiteto. Določa, da bo MID hranil povezane podatke iz centralnih sistemov, dokler bodo podatki še vedno v dveh ali več posameznih centralnih sistemih. Poleg tega določa, da mora agencija eu-LISA voditi evidence o vseh postopkih obdelave v zvezi z MID.</w:t>
      </w:r>
    </w:p>
    <w:p>
      <w:pPr>
        <w:rPr>
          <w:noProof/>
        </w:rPr>
      </w:pPr>
      <w:r>
        <w:rPr>
          <w:noProof/>
        </w:rPr>
        <w:t>Poglavje VI določa ukrepe za podporo interoperabilnosti. Določa izboljšanje kakovosti podatkov, vzpostavitev univerzalnega formata sporočil kot skupnega standarda za izmenjavo informacij v podporo interoperabilnosti ter vzpostavitev centralnega registra za poročanje in statistične podatke.</w:t>
      </w:r>
    </w:p>
    <w:p>
      <w:pPr>
        <w:rPr>
          <w:noProof/>
        </w:rPr>
      </w:pPr>
      <w:r>
        <w:rPr>
          <w:noProof/>
        </w:rPr>
        <w:lastRenderedPageBreak/>
        <w:t>Poglavje VII se nanaša na varstvo podatkov. Vsebuje določbe, ki zagotavljajo, da je obdelava podatkov na podlagi te uredbe zakonita in ustrezna ter v skladu z določbami Uredbe (ES) št. 45/2001. Pojasnjuje, kdo bo obdelovalec podatkov za vsakega od ukrepov za interoperabilnost, predlaganega v tej uredbi, ter določa potrebne ukrepe agencije eu-LISA in organov držav članic za zagotovitev varnosti obdelave podatkov, njihove zaupnosti, ustrezne obravnave varnostnih incidentov in ustreznega spremljanja skladnosti z ukrepi iz te uredbe. Vsebuje tudi določbe glede pravic oseb, na katere se nanašajo osebni podatki, vključno s pravico do seznanitve s hrambo in obdelavo njihovih podatkov na podlagi te uredbe ter pravico do dostopa, popravka in izbrisa osebnih podatkov, ki se hranijo in obdelujejo na podlagi te uredbe. Poleg tega določa načelo, da se podatki, ki se obdelujejo na podlagi te uredbe, ne smejo posredovati ali dati na voljo nobeni tretji državi, mednarodni organizaciji ali zasebnemu subjektu, razen Interpolu za nekatere posebne namene in razen podatkov, prejetih od Europola prek evropskega iskalnega portala, pri čemer v tem primeru veljajo pravila Uredbe (EU) 2016/794 o poznejši obdelavi podatkov. Vsebuje tudi določbe o nadzoru in reviziji v zvezi z varstvom podatkov.</w:t>
      </w:r>
    </w:p>
    <w:p>
      <w:pPr>
        <w:rPr>
          <w:noProof/>
        </w:rPr>
      </w:pPr>
      <w:r>
        <w:rPr>
          <w:noProof/>
        </w:rPr>
        <w:t>Poglavje VIII določa odgovornosti agencije eu-LISA pred začetkom delovanja ukrepov iz tega predloga in po njem ter odgovornosti držav članic, Europola in centralne enote ETIAS.</w:t>
      </w:r>
    </w:p>
    <w:p>
      <w:pPr>
        <w:rPr>
          <w:rFonts w:eastAsia="Calibri"/>
          <w:noProof/>
          <w:szCs w:val="24"/>
        </w:rPr>
      </w:pPr>
      <w:r>
        <w:rPr>
          <w:noProof/>
        </w:rPr>
        <w:t>Poglavje IX se nanaša na spremembe drugih instrumentov Unije. Uvaja spremembe drugih pravnih instrumentov, ki so potrebne za popolno izvajanje tega predloga o interoperabilnosti. Ta predlog vsebuje podrobne določbe za potrebne spremembe pravnih instrumentov, katerih besedila so trenutno stabilna in ki sta jih sozakonodajalca že sprejela, in sicer zakonika o schengenskih mejah, uredbe o SVI, uredbe o VIS, Odločbe Sveta 2004/512/ES (odločba o VIS) in Sklepa Sveta 2008/633/PNZ (sklep o VIS/dostopu organov kazenskega pregona).</w:t>
      </w:r>
    </w:p>
    <w:p>
      <w:pPr>
        <w:rPr>
          <w:noProof/>
        </w:rPr>
      </w:pPr>
      <w:r>
        <w:rPr>
          <w:noProof/>
        </w:rPr>
        <w:t>Poglavje X določa podrobnosti o statističnih zahtevah in zahtevah glede poročanja v zvezi s podatki, ki se obdelujejo na podlagi te uredbe, potrebnih prehodnih ukrepih, ureditvi glede stroškov, ki izhajajo iz te uredbe, zahtevah glede uradnih obvestil, postopku za začetek delovanja ukrepov, predlaganih v tej uredbi, ureditvi upravljanja, vključno z ustanovitvijo odbora in svetovalne skupine, odgovornostjo agencije eu-LISA v zvezi z usposabljanjem ter praktičnim priročnikom za izvajanje in upravljanje sestavnih delov interoperabilnosti, postopkih za spremljanje in oceno ukrepov, predlaganih v tej uredbi, ter začetku veljavnosti te uredbe.</w:t>
      </w:r>
    </w:p>
    <w:p>
      <w:pPr>
        <w:rPr>
          <w:noProof/>
        </w:rPr>
        <w:sectPr>
          <w:footerReference w:type="default" r:id="rId17"/>
          <w:footerReference w:type="first" r:id="rId18"/>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2017/0351 (COD)</w:t>
      </w:r>
    </w:p>
    <w:p>
      <w:pPr>
        <w:pStyle w:val="Statut"/>
        <w:rPr>
          <w:noProof/>
        </w:rPr>
      </w:pPr>
      <w:r>
        <w:rPr>
          <w:noProof/>
        </w:rPr>
        <w:t>Predlog</w:t>
      </w:r>
    </w:p>
    <w:p>
      <w:pPr>
        <w:pStyle w:val="Typedudocument"/>
        <w:rPr>
          <w:noProof/>
        </w:rPr>
      </w:pPr>
      <w:r>
        <w:rPr>
          <w:noProof/>
        </w:rPr>
        <w:t>UREDBA EVROPSKEGA PARLAMENTA IN SVETA</w:t>
      </w:r>
    </w:p>
    <w:p>
      <w:pPr>
        <w:pStyle w:val="Titreobjet"/>
        <w:rPr>
          <w:noProof/>
        </w:rPr>
      </w:pPr>
      <w:r>
        <w:rPr>
          <w:noProof/>
        </w:rPr>
        <w:t>o vzpostavitvi okvira za interoperabilnost informacijskih sistemov EU (meje in vizumi) ter spremembi Odločbe Sveta 2004/512/ES, Uredbe (ES) št. 767/2008, Sklepa Sveta 2008/633/PNZ, Uredbe (EU) 2016/399 in Uredbe (EU) 2017/2226</w:t>
      </w:r>
    </w:p>
    <w:p>
      <w:pPr>
        <w:pStyle w:val="Institutionquiagit"/>
        <w:rPr>
          <w:noProof/>
        </w:rPr>
      </w:pPr>
      <w:r>
        <w:rPr>
          <w:noProof/>
        </w:rPr>
        <w:t>EVROPSKI PARLAMENT IN SVET EVROPSKE UNIJE STA –</w:t>
      </w:r>
    </w:p>
    <w:p>
      <w:pPr>
        <w:rPr>
          <w:noProof/>
        </w:rPr>
      </w:pPr>
      <w:r>
        <w:rPr>
          <w:noProof/>
        </w:rPr>
        <w:t>ob upoštevanju Pogodbe o delovanju Evropske unije in zlasti člena 16(2), člena 74 ter člena 77(2)(a), (b), (d) in (e) Pogodbe,</w:t>
      </w:r>
    </w:p>
    <w:p>
      <w:pPr>
        <w:rPr>
          <w:noProof/>
        </w:rPr>
      </w:pPr>
      <w:r>
        <w:rPr>
          <w:noProof/>
        </w:rPr>
        <w:t>ob upoštevanju predloga Evropske komisije,</w:t>
      </w:r>
    </w:p>
    <w:p>
      <w:pPr>
        <w:rPr>
          <w:noProof/>
        </w:rPr>
      </w:pPr>
      <w:r>
        <w:rPr>
          <w:noProof/>
        </w:rPr>
        <w:t>po posredovanju osnutka zakonodajnega akta nacionalnim parlamentom,</w:t>
      </w:r>
    </w:p>
    <w:p>
      <w:pPr>
        <w:rPr>
          <w:noProof/>
        </w:rPr>
      </w:pPr>
      <w:r>
        <w:rPr>
          <w:noProof/>
        </w:rPr>
        <w:t>po posvetovanju z Evropskim nadzornikom za varstvo podatkov,</w:t>
      </w:r>
    </w:p>
    <w:p>
      <w:pPr>
        <w:rPr>
          <w:noProof/>
        </w:rPr>
      </w:pPr>
      <w:r>
        <w:rPr>
          <w:noProof/>
        </w:rPr>
        <w:t>ob upoštevanju mnenja Evropskega ekonomsko-socialnega odbora</w:t>
      </w:r>
      <w:r>
        <w:rPr>
          <w:rStyle w:val="FootnoteReference"/>
          <w:noProof/>
        </w:rPr>
        <w:footnoteReference w:id="43"/>
      </w:r>
      <w:r>
        <w:rPr>
          <w:noProof/>
        </w:rPr>
        <w:t xml:space="preserve">, </w:t>
      </w:r>
    </w:p>
    <w:p>
      <w:pPr>
        <w:rPr>
          <w:noProof/>
        </w:rPr>
      </w:pPr>
      <w:r>
        <w:rPr>
          <w:noProof/>
        </w:rPr>
        <w:t>ob upoštevanju mnenja Odbora regij</w:t>
      </w:r>
      <w:r>
        <w:rPr>
          <w:rStyle w:val="FootnoteReference"/>
          <w:noProof/>
        </w:rPr>
        <w:footnoteReference w:id="44"/>
      </w:r>
      <w:r>
        <w:rPr>
          <w:noProof/>
        </w:rPr>
        <w:t xml:space="preserve">, </w:t>
      </w:r>
    </w:p>
    <w:p>
      <w:pPr>
        <w:rPr>
          <w:noProof/>
        </w:rPr>
      </w:pPr>
      <w:r>
        <w:rPr>
          <w:noProof/>
        </w:rPr>
        <w:t>v skladu z rednim zakonodajnim postopkom,</w:t>
      </w:r>
    </w:p>
    <w:p>
      <w:pPr>
        <w:rPr>
          <w:noProof/>
        </w:rPr>
      </w:pPr>
      <w:r>
        <w:rPr>
          <w:noProof/>
        </w:rPr>
        <w:t>ob upoštevanju naslednjega:</w:t>
      </w:r>
    </w:p>
    <w:p>
      <w:pPr>
        <w:pStyle w:val="ManualConsidrant"/>
        <w:rPr>
          <w:noProof/>
        </w:rPr>
      </w:pPr>
      <w:r>
        <w:t>(1)</w:t>
      </w:r>
      <w:r>
        <w:tab/>
      </w:r>
      <w:r>
        <w:rPr>
          <w:noProof/>
        </w:rPr>
        <w:t>Komisija je v svojem sporočilu z dne 6. aprila 2016 z naslovom „Trdnejši in pametnejši informacijski sistemi za meje in varnost</w:t>
      </w:r>
      <w:r>
        <w:rPr>
          <w:rStyle w:val="FootnoteReference"/>
          <w:noProof/>
        </w:rPr>
        <w:footnoteReference w:id="45"/>
      </w:r>
      <w:r>
        <w:rPr>
          <w:noProof/>
        </w:rPr>
        <w:t xml:space="preserve"> poudarila potrebo po izboljšanju arhitekture Unije za upravljanje podatkov za upravljanje meja in varnosti. S sporočilom se je začel proces za dosego interoperabilnosti informacijskih sistemov EU za upravljanje varnosti, meja in migracij, da bi se odpravile strukturne pomanjkljivosti teh sistemov, ki ovirajo delo nacionalnih organov, ter da bi se mejnim policistom, carinskim organom, policistom in sodnim organom zagotovile potrebne informacije.</w:t>
      </w:r>
    </w:p>
    <w:p>
      <w:pPr>
        <w:pStyle w:val="ManualConsidrant"/>
        <w:rPr>
          <w:noProof/>
        </w:rPr>
      </w:pPr>
      <w:r>
        <w:t>(2)</w:t>
      </w:r>
      <w:r>
        <w:tab/>
      </w:r>
      <w:r>
        <w:rPr>
          <w:noProof/>
        </w:rPr>
        <w:t>Svet je v svojem načrtu z dne 6. junija 2016 za boljšo izmenjavo in upravljanje informacij, vključno z interoperabilnostnimi rešitvami, na področju pravosodja in notranjih zadev</w:t>
      </w:r>
      <w:r>
        <w:rPr>
          <w:rStyle w:val="FootnoteReference"/>
          <w:noProof/>
        </w:rPr>
        <w:footnoteReference w:id="46"/>
      </w:r>
      <w:r>
        <w:rPr>
          <w:noProof/>
        </w:rPr>
        <w:t xml:space="preserve"> opredelil različne pravne, tehnične in operativne izzive za interoperabilnost informacijskih sistemov EU ter pozval k iskanju rešitev.</w:t>
      </w:r>
    </w:p>
    <w:p>
      <w:pPr>
        <w:pStyle w:val="ManualConsidrant"/>
        <w:rPr>
          <w:noProof/>
        </w:rPr>
      </w:pPr>
      <w:r>
        <w:t>(3)</w:t>
      </w:r>
      <w:r>
        <w:tab/>
      </w:r>
      <w:r>
        <w:rPr>
          <w:noProof/>
        </w:rPr>
        <w:t>Evropski parlament je v svoji resoluciji z dne 6. julija 2016 o strateških prednostnih nalogah v delovnem programu Komisije za leto 2017</w:t>
      </w:r>
      <w:r>
        <w:rPr>
          <w:rStyle w:val="FootnoteReference"/>
          <w:noProof/>
        </w:rPr>
        <w:footnoteReference w:id="47"/>
      </w:r>
      <w:r>
        <w:rPr>
          <w:noProof/>
        </w:rPr>
        <w:t xml:space="preserve"> pozval k predlogom za izboljšanje in razvoj obstoječih informacijskih sistemov EU, odpravo informacijskih vrzeli in premik k interoperabilnosti ter predlogom za obvezno izmenjavo informacij na ravni EU, ki naj jih spremljajo nujni zaščitni ukrepi za varstvo podatkov.</w:t>
      </w:r>
    </w:p>
    <w:p>
      <w:pPr>
        <w:pStyle w:val="ManualConsidrant"/>
        <w:rPr>
          <w:noProof/>
        </w:rPr>
      </w:pPr>
      <w:r>
        <w:lastRenderedPageBreak/>
        <w:t>(4)</w:t>
      </w:r>
      <w:r>
        <w:tab/>
      </w:r>
      <w:r>
        <w:rPr>
          <w:noProof/>
        </w:rPr>
        <w:t>Evropski svet je na zasedanju z dne 15. decembra 2016</w:t>
      </w:r>
      <w:r>
        <w:rPr>
          <w:rStyle w:val="FootnoteReference"/>
          <w:noProof/>
        </w:rPr>
        <w:footnoteReference w:id="48"/>
      </w:r>
      <w:r>
        <w:rPr>
          <w:noProof/>
        </w:rPr>
        <w:t xml:space="preserve"> pozval k nadaljnjemu napredku glede interoperabilnosti informacijskih sistemov in podatkovnih zbirk EU.</w:t>
      </w:r>
    </w:p>
    <w:p>
      <w:pPr>
        <w:pStyle w:val="ManualConsidrant"/>
        <w:rPr>
          <w:noProof/>
        </w:rPr>
      </w:pPr>
      <w:r>
        <w:t>(5)</w:t>
      </w:r>
      <w:r>
        <w:tab/>
      </w:r>
      <w:r>
        <w:rPr>
          <w:noProof/>
        </w:rPr>
        <w:t>Strokovna skupina na visoki ravni za informacijske sisteme in interoperabilnost je v svojem končnem poročilu z dne 11. maja 2017</w:t>
      </w:r>
      <w:r>
        <w:rPr>
          <w:rStyle w:val="FootnoteReference"/>
          <w:noProof/>
        </w:rPr>
        <w:footnoteReference w:id="49"/>
      </w:r>
      <w:r>
        <w:rPr>
          <w:noProof/>
        </w:rPr>
        <w:t xml:space="preserve"> ugotovila, da so praktične rešitve za dosego interoperabilnosti potrebne in tehnično izvedljive ter da lahko načeloma zagotovijo operativne koristi in se vzpostavijo v skladu z zahtevami varstva podatkov.</w:t>
      </w:r>
    </w:p>
    <w:p>
      <w:pPr>
        <w:pStyle w:val="ManualConsidrant"/>
        <w:rPr>
          <w:noProof/>
        </w:rPr>
      </w:pPr>
      <w:r>
        <w:t>(6)</w:t>
      </w:r>
      <w:r>
        <w:tab/>
      </w:r>
      <w:r>
        <w:rPr>
          <w:noProof/>
        </w:rPr>
        <w:t>Komisija je v svojem sporočilu z dne 16. maja 2017 z naslovom „Sedmo poročilo o napredku pri vzpostavljanju učinkovite in prave varnostne unije“</w:t>
      </w:r>
      <w:r>
        <w:rPr>
          <w:rStyle w:val="FootnoteReference"/>
          <w:noProof/>
        </w:rPr>
        <w:footnoteReference w:id="50"/>
      </w:r>
      <w:r>
        <w:rPr>
          <w:noProof/>
        </w:rPr>
        <w:t xml:space="preserve"> v skladu s svojim sporočilom z dne 6. aprila 2016 ter na podlagi ugotovitev in priporočil strokovne skupine na visoki ravni za informacijske sisteme in interoperabilnost določila nov pristop k upravljanju podatkov za upravljanje meja, varnosti in migracij, v okviru katerega so vsi informacijski sistemi EU za upravljanje varnosti, meja in migracij interoperabilni ob popolnem spoštovanju temeljnih pravic.</w:t>
      </w:r>
    </w:p>
    <w:p>
      <w:pPr>
        <w:pStyle w:val="ManualConsidrant"/>
        <w:rPr>
          <w:noProof/>
        </w:rPr>
      </w:pPr>
      <w:r>
        <w:t>(7)</w:t>
      </w:r>
      <w:r>
        <w:tab/>
      </w:r>
      <w:r>
        <w:rPr>
          <w:noProof/>
        </w:rPr>
        <w:t>Svet je v svojih sklepih z dne 9. junija 2017</w:t>
      </w:r>
      <w:r>
        <w:rPr>
          <w:rStyle w:val="FootnoteReference"/>
          <w:noProof/>
        </w:rPr>
        <w:footnoteReference w:id="51"/>
      </w:r>
      <w:r>
        <w:rPr>
          <w:noProof/>
        </w:rPr>
        <w:t xml:space="preserve"> o nadaljnjih ukrepih za boljšo izmenjavo informacij in zagotavljanje interoperabilnosti informacijskih sistemov EU pozval Komisijo, da izvede rešitve za interoperabilnost, kot jih je predlagala strokovna skupina na visoki ravni.</w:t>
      </w:r>
    </w:p>
    <w:p>
      <w:pPr>
        <w:pStyle w:val="ManualConsidrant"/>
        <w:rPr>
          <w:noProof/>
        </w:rPr>
      </w:pPr>
      <w:r>
        <w:t>(8)</w:t>
      </w:r>
      <w:r>
        <w:tab/>
      </w:r>
      <w:r>
        <w:rPr>
          <w:noProof/>
        </w:rPr>
        <w:t>Evropski svet je na zasedanju z dne 23. junija 2017</w:t>
      </w:r>
      <w:r>
        <w:rPr>
          <w:rStyle w:val="FootnoteReference"/>
          <w:noProof/>
        </w:rPr>
        <w:footnoteReference w:id="52"/>
      </w:r>
      <w:r>
        <w:rPr>
          <w:noProof/>
        </w:rPr>
        <w:t xml:space="preserve"> poudaril potrebo po izboljšanju interoperabilnosti podatkovnih zbirk in pozval Komisijo, da čim prej pripravi zakonodajni osnutek za izvedbo predlogov strokovne skupine na visoki ravni za informacijske sisteme in interoperabilnost.</w:t>
      </w:r>
    </w:p>
    <w:p>
      <w:pPr>
        <w:pStyle w:val="ManualConsidrant"/>
        <w:rPr>
          <w:noProof/>
        </w:rPr>
      </w:pPr>
      <w:r>
        <w:t>(9)</w:t>
      </w:r>
      <w:r>
        <w:tab/>
      </w:r>
      <w:r>
        <w:rPr>
          <w:noProof/>
        </w:rPr>
        <w:t>Da bi se izboljšalo upravljanje zunanjih meja, okrepilo preprečevanje nedovoljenih migracij in boj proti njim ter zagotovila visoka raven varnosti na območju svobode, varnosti in pravice Unije, vključno z vzdrževanjem javnega reda in varnosti ter varovanjem varnosti na ozemljih držav članic, bi bilo treba vzpostaviti interoperabilnost informacijskih sistemov EU, tj. [sistema vstopa/izstopa (SVI)], vizumskega informacijskega sistema (VIS), [evropskega sistema za potovalne informacije in odobritve (ETIAS)], sistema Eurodac, schengenskega informacijskega sistema (SIS) in [evropskega informacijskega sistema kazenskih evidenc za državljane tretjih držav (ECRIS-TCN)], da bi se ti sistemi in njihovi podatki med seboj dopolnjevali. Da bi se to doseglo, bi bilo treba kot sestavne dele interoperabilnosti vzpostaviti evropski iskalni portal (ESP), skupno storitev za ugotavljanje ujemanja biometričnih podatkov (skupna BMS), skupno odložišče podatkov o identiteti (CIR) in detektor več identitet (MID).</w:t>
      </w:r>
    </w:p>
    <w:p>
      <w:pPr>
        <w:pStyle w:val="ManualConsidrant"/>
        <w:rPr>
          <w:noProof/>
        </w:rPr>
      </w:pPr>
      <w:r>
        <w:t>(10)</w:t>
      </w:r>
      <w:r>
        <w:tab/>
      </w:r>
      <w:r>
        <w:rPr>
          <w:noProof/>
        </w:rPr>
        <w:t xml:space="preserve">Interoperabilnost informacijskih sistemov EU bi morala omogočiti, da se ti sistemi med seboj dopolnjujejo, kar bi olajšalo pravilno identifikacijo oseb, prispevalo k boju proti identitetnim prevaram, izboljšalo in uskladilo zahteve glede kakovosti podatkov zadevnih informacijskih sistemov EU, državam članicam olajšalo tehnično in operativno izvajanje obstoječih in prihodnjih informacijskih sistemov EU, okrepilo in </w:t>
      </w:r>
      <w:r>
        <w:rPr>
          <w:noProof/>
        </w:rPr>
        <w:lastRenderedPageBreak/>
        <w:t>poenostavilo zaščitne ukrepe za varnost in varstvo podatkov, ki urejajo zadevne informacijske sisteme EU, racionaliziralo dostop organov kazenskega pregona do SVI, VIS, [sistema ETIAS] in sistema Eurodac ter podprlo namene SVI, VIS, [sistema ETIAS], sistema Eurodac, SIS in [sistema ECRIS-TCN].</w:t>
      </w:r>
    </w:p>
    <w:p>
      <w:pPr>
        <w:pStyle w:val="ManualConsidrant"/>
        <w:rPr>
          <w:noProof/>
        </w:rPr>
      </w:pPr>
      <w:r>
        <w:t>(11)</w:t>
      </w:r>
      <w:r>
        <w:tab/>
      </w:r>
      <w:r>
        <w:rPr>
          <w:noProof/>
        </w:rPr>
        <w:t>Sestavni deli interoperabilnosti bi morali zajemati SVI, VIS, [sistem ETIAS], sistem Eurodac, SIS in [sistem ECRIS-TCN]. Poleg tega bi morali zajemati tudi podatke Europola, vendar le do te mere, da se lahko poizvedujejo istočasno s temi informacijskimi sistemi EU.</w:t>
      </w:r>
    </w:p>
    <w:p>
      <w:pPr>
        <w:pStyle w:val="ManualConsidrant"/>
        <w:rPr>
          <w:noProof/>
        </w:rPr>
      </w:pPr>
      <w:r>
        <w:t>(12)</w:t>
      </w:r>
      <w:r>
        <w:tab/>
      </w:r>
      <w:r>
        <w:rPr>
          <w:noProof/>
        </w:rPr>
        <w:t>Sestavni deli interoperabilnosti bi se morali nanašati na osebe, v zvezi s katerimi se lahko osebni podatki obdelujejo v informacijskih sistemih EU in s strani Europola, in sicer državljane tretjih držav, katerih osebni podatki se obdelujejo v informacijskih sistemih EU in s strani Europola, in državljane EU, katerih osebni podatki se obdelujejo v SIS in s strani Europola.</w:t>
      </w:r>
    </w:p>
    <w:p>
      <w:pPr>
        <w:pStyle w:val="ManualConsidrant"/>
        <w:rPr>
          <w:noProof/>
        </w:rPr>
      </w:pPr>
      <w:r>
        <w:t>(13)</w:t>
      </w:r>
      <w:r>
        <w:tab/>
      </w:r>
      <w:r>
        <w:rPr>
          <w:noProof/>
        </w:rPr>
        <w:t>Evropski iskalni portal (ESP) bi bilo treba vzpostaviti, da bi se organom držav članic in EU tehnično omogočil hiter, nemoten, učinkovit, sistematičen in nadzorovan dostop do informacijskih sistemov EU, podatkov Europola in podatkovnih zbirk Interpola, ki jih potrebujejo za opravljanje svojih nalog, v skladu s pravicami do dostopa ter da bi se podprli cilji SVI, VIS, [sistema ETIAS], sistema Eurodac, SIS, [sistema ECRIS-TCN] in podatkov Europola. Ker bi ESP omogočal istočasno poizvedovanje v vseh zadevnih informacijskih sistemih EU, po podatkih Europola in v podatkovnih zbirkah Interpola, bi moral delovati kot enotna kontaktna točka oziroma „posrednik sporočil“ za nemoteno iskanje v različnih centralnih sistemih in pridobivanje potrebnih informacij ob popolnem spoštovanju zahtev glede nadzora dostopa in varstva podatkov za zadevne sisteme.</w:t>
      </w:r>
    </w:p>
    <w:p>
      <w:pPr>
        <w:pStyle w:val="ManualConsidrant"/>
        <w:rPr>
          <w:noProof/>
        </w:rPr>
      </w:pPr>
      <w:r>
        <w:t>(14)</w:t>
      </w:r>
      <w:r>
        <w:tab/>
      </w:r>
      <w:r>
        <w:rPr>
          <w:noProof/>
        </w:rPr>
        <w:t>Podatkovna zbirka Mednarodne organizacije kriminalistične policije (Interpol) o ukradenih in izgubljenih potovalnih dokumentih omogoča pooblaščenim organom kazenskega pregona v državah članicah, vključno z uradniki za priseljevanje in nadzor meje, da ugotovijo veljavnost potovalnega dokumenta. [Sistem ETIAS] opravlja poizvedbe v podatkovni zbirki Interpola o ukradenih in izgubljenih potovalnih dokumentih ter njegovi zbirki potovalnih dokumentov, povezanih z razpisi ukrepov, v okviru ocene, ali bi lahko oseba, ki je zaprosila za dovoljenje za potovanje, na primer nedovoljeno migrirala ali ogrozila varnost. Centralizirani evropski iskalni portal (ESP) bi moral omogočati poizvedovanje v navedenih podatkovnih zbirkah na podlagi posameznikovih podatkov o identiteti. Pri prenosu osebnih podatkov iz Unije v Interpol prek evropskega iskalnega portala bi se morale uporabljati določbe o mednarodnih prenosih v poglavju V Uredbe (EU) 2016/679 Evropskega parlamenta in Sveta</w:t>
      </w:r>
      <w:r>
        <w:rPr>
          <w:rStyle w:val="FootnoteReference"/>
          <w:noProof/>
        </w:rPr>
        <w:footnoteReference w:id="53"/>
      </w:r>
      <w:r>
        <w:rPr>
          <w:noProof/>
        </w:rPr>
        <w:t xml:space="preserve"> ali nacionalne določbe, s katerimi se prenaša poglavje V Direktive (EU) 2016/680 Evropskega parlamenta in Sveta</w:t>
      </w:r>
      <w:r>
        <w:rPr>
          <w:rStyle w:val="FootnoteReference"/>
          <w:noProof/>
        </w:rPr>
        <w:footnoteReference w:id="54"/>
      </w:r>
      <w:r>
        <w:rPr>
          <w:noProof/>
        </w:rPr>
        <w:t xml:space="preserve">. To ne bi smelo posegati v posebna </w:t>
      </w:r>
      <w:r>
        <w:rPr>
          <w:noProof/>
        </w:rPr>
        <w:lastRenderedPageBreak/>
        <w:t>pravila, določena v Skupnem stališču Sveta 2005/69/PNZ</w:t>
      </w:r>
      <w:r>
        <w:rPr>
          <w:rStyle w:val="FootnoteReference"/>
          <w:noProof/>
        </w:rPr>
        <w:footnoteReference w:id="55"/>
      </w:r>
      <w:r>
        <w:rPr>
          <w:noProof/>
        </w:rPr>
        <w:t xml:space="preserve"> in Sklepu Sveta 2007/533/PNZ</w:t>
      </w:r>
      <w:r>
        <w:rPr>
          <w:rStyle w:val="FootnoteReference"/>
          <w:noProof/>
        </w:rPr>
        <w:footnoteReference w:id="56"/>
      </w:r>
      <w:r>
        <w:rPr>
          <w:noProof/>
        </w:rPr>
        <w:t xml:space="preserve">. </w:t>
      </w:r>
    </w:p>
    <w:p>
      <w:pPr>
        <w:pStyle w:val="ManualConsidrant"/>
        <w:rPr>
          <w:noProof/>
        </w:rPr>
      </w:pPr>
      <w:r>
        <w:t>(15)</w:t>
      </w:r>
      <w:r>
        <w:tab/>
      </w:r>
      <w:r>
        <w:rPr>
          <w:noProof/>
        </w:rPr>
        <w:t>Evropski iskalni portal (ESP) bi bilo treba razviti in konfigurirati tako, da pri poizvedbi ne dovoljuje uporabe podatkovnih polj, ki se ne nanašajo na osebe ali potovalne dokumente ali ki niso prisotna v informacijskem sistemu EU, podatkih Europola ali podatkovni zbirki Interpola.</w:t>
      </w:r>
    </w:p>
    <w:p>
      <w:pPr>
        <w:pStyle w:val="ManualConsidrant"/>
        <w:rPr>
          <w:noProof/>
        </w:rPr>
      </w:pPr>
      <w:r>
        <w:t>(16)</w:t>
      </w:r>
      <w:r>
        <w:tab/>
      </w:r>
      <w:r>
        <w:rPr>
          <w:noProof/>
        </w:rPr>
        <w:t xml:space="preserve">Da bi se zagotovila hitra in sistematična uporaba vseh informacijskih sistemov EU, bi se moral evropski iskalni portal (ESP) uporabljati za poizvedovanje v skupnem odložišču podatkov o identiteti, SVI, VIS, [sistemu ETIAS], sistemu Eurodac in [sistemu ECRIS-TCN]. Vendar bi bilo treba ohraniti nacionalno povezavo do različnih informacijskih sistemov EU, da se zagotovi tehnična nadomestna možnost. ESP bi morali uporabljati tudi organi Unije za poizvedovanje v centralnem SIS v skladu s svojimi pravicami do dostopa, da bi lahko opravljali svoje naloge. ESP bi moral biti dodaten način poizvedovanja v centralnem SIS, po podatkih Europola in v sistemih Interpola, ki dopolnjuje obstoječe namenske vmesnike. </w:t>
      </w:r>
    </w:p>
    <w:p>
      <w:pPr>
        <w:pStyle w:val="ManualConsidrant"/>
        <w:rPr>
          <w:noProof/>
        </w:rPr>
      </w:pPr>
      <w:r>
        <w:t>(17)</w:t>
      </w:r>
      <w:r>
        <w:tab/>
      </w:r>
      <w:r>
        <w:rPr>
          <w:noProof/>
        </w:rPr>
        <w:t>Biometrični podatki, kot so prstni odtisi in podobe obraza, so edinstveni in zato veliko bolj zanesljivi za ugotavljanje identitete osebe kot alfanumerični podatki. Skupna storitev za ugotavljanje ujemanja biometričnih podatkov (skupna BMS) bi morala biti tehnično orodje, ki naj bi okrepilo in olajšalo delo zadevnih informacijskih sistemov EU in drugih sestavnih delov interoperabilnosti. Glavni namen skupne BMS bi moral biti, da olajša identifikacijo posameznikov, ki so lahko registrirani v različnih podatkovnih zbirkah, z ugotavljanjem ujemanja njihovih biometričnih podatkov v različnih sistemih in uporabo enega samega edinstvenega tehnološkega sestavnega dela namesto petih različnih v vsakem od zadevnih sistemov. Prispevati bi morala k varnosti ter zagotavljati koristi v smislu financiranja, vzdrževanja in delovanja z uporabo enega samega edinstvenega tehnološkega sestavnega dela namesto petih različnih v vsakem od zadevnih sistemov. Vsi sistemi za avtomatizirano identifikacijo prstnih odtisov, vključno s tistimi, ki se trenutno uporabljajo za sistem Eurodac, VIS in SIS, uporabljajo biometrične predloge, ki jih sestavljajo podatki, pridobljeni z ekstrakcijo značilnosti iz dejanskih biometričnih vzorcev. Skupna BMS bi morala združiti in hraniti vse te biometrične predloge na enem samem mestu, kar bi olajšalo primerjavo med različnimi sistemi na podlagi biometričnih podatkov ter omogočilo ekonomijo obsega pri razvoju in ohranjanju centralnih sistemov EU.</w:t>
      </w:r>
    </w:p>
    <w:p>
      <w:pPr>
        <w:pStyle w:val="ManualConsidrant"/>
        <w:rPr>
          <w:noProof/>
        </w:rPr>
      </w:pPr>
      <w:r>
        <w:t>(18)</w:t>
      </w:r>
      <w:r>
        <w:tab/>
      </w:r>
      <w:r>
        <w:rPr>
          <w:noProof/>
        </w:rPr>
        <w:t>Biometrični podatki so občutljivi osebni podatki. Ta uredba bi morala določati podlago in zaščitne ukrepe za obdelavo takih podatkov za namene edinstvene identifikacije zadevnih oseb.</w:t>
      </w:r>
    </w:p>
    <w:p>
      <w:pPr>
        <w:pStyle w:val="ManualConsidrant"/>
        <w:rPr>
          <w:noProof/>
        </w:rPr>
      </w:pPr>
      <w:r>
        <w:t>(19)</w:t>
      </w:r>
      <w:r>
        <w:tab/>
      </w:r>
      <w:r>
        <w:rPr>
          <w:noProof/>
        </w:rPr>
        <w:t>Učinkovitost sistemov, vzpostavljenih z Uredbo (EU) 2017/2226 Evropskega parlamenta in Sveta</w:t>
      </w:r>
      <w:r>
        <w:rPr>
          <w:rStyle w:val="FootnoteReference"/>
          <w:noProof/>
        </w:rPr>
        <w:footnoteReference w:id="57"/>
      </w:r>
      <w:r>
        <w:rPr>
          <w:noProof/>
        </w:rPr>
        <w:t>, Uredbo (ES) št. 767/2008 Evropskega parlamenta in Sveta</w:t>
      </w:r>
      <w:r>
        <w:rPr>
          <w:rStyle w:val="FootnoteReference"/>
          <w:noProof/>
        </w:rPr>
        <w:footnoteReference w:id="58"/>
      </w:r>
      <w:r>
        <w:rPr>
          <w:noProof/>
        </w:rPr>
        <w:t xml:space="preserve">, </w:t>
      </w:r>
      <w:r>
        <w:rPr>
          <w:noProof/>
        </w:rPr>
        <w:lastRenderedPageBreak/>
        <w:t xml:space="preserve">[uredbo o sistemu ETIAS] za upravljanje meja v Uniji, [uredbo Eurodac] za identifikacijo prosilcev za mednarodno zaščito in boj proti nedovoljenim migracijam ter [uredbo o sistemu ECRIS-TCN], je odvisna od natančne identifikacije državljanov tretjih držav, katerih osebni podatki se hranijo v teh sistemih. </w:t>
      </w:r>
    </w:p>
    <w:p>
      <w:pPr>
        <w:pStyle w:val="ManualConsidrant"/>
        <w:rPr>
          <w:noProof/>
        </w:rPr>
      </w:pPr>
      <w:r>
        <w:t>(20)</w:t>
      </w:r>
      <w:r>
        <w:tab/>
      </w:r>
      <w:r>
        <w:rPr>
          <w:noProof/>
        </w:rPr>
        <w:t>Zato bi moralo skupno odložišče podatkov o identiteti (CIR) olajšati in izboljšati pravilno identifikacijo oseb, registriranih v SVI, VIS, [sistemu ETIAS], sistemu Eurodac in [sistemu ECRIS-TCN].</w:t>
      </w:r>
    </w:p>
    <w:p>
      <w:pPr>
        <w:pStyle w:val="ManualConsidrant"/>
        <w:rPr>
          <w:noProof/>
        </w:rPr>
      </w:pPr>
      <w:r>
        <w:t>(21)</w:t>
      </w:r>
      <w:r>
        <w:tab/>
      </w:r>
      <w:r>
        <w:rPr>
          <w:noProof/>
        </w:rPr>
        <w:t>Osebni podatki, ki se hranijo v teh informacijskih sistemih EU, se lahko nanašajo na iste osebe, vendar z različnimi ali nepopolnimi identitetami. Države članice imajo na voljo učinkovita sredstva za identifikacijo svojih državljanov ali registriranih stalnih prebivalcev na svojem ozemlju, vendar to ne velja za državljane tretjih držav. Interoperabilnost informacijskih sistemov EU bi morala prispevati k pravilni identifikaciji državljanov tretjih držav. Skupno odložišče podatkov o identiteti (CIR) bi moralo hraniti osebne podatke državljanov tretjih držav, prisotnih v sistemih, ki so potrebni za natančnejšo identifikacijo teh posameznikov, zaradi česar bi moralo vključevati tudi njihovo identiteto, potovalne dokumente in biometrične podatke ne glede na sistem, v katerem so bili ti podatki prvotno zbrani. Hraniti bi moralo le osebne podatke, ki so nujno potrebni za natančno ugotavljanje identitete. Osebni podatki, evidentirani v CIR, bi se morali hraniti le, dokler je to nujno potrebno za namene zadevnih sistemov, in bi se morali samodejno izbrisati, ko se podatki izbrišejo v zadevnih sistemih v skladu z njihovim logičnim ločevanjem.</w:t>
      </w:r>
    </w:p>
    <w:p>
      <w:pPr>
        <w:pStyle w:val="ManualConsidrant"/>
        <w:rPr>
          <w:noProof/>
        </w:rPr>
      </w:pPr>
      <w:r>
        <w:t>(22)</w:t>
      </w:r>
      <w:r>
        <w:tab/>
      </w:r>
      <w:r>
        <w:rPr>
          <w:noProof/>
        </w:rPr>
        <w:t>Nov postopek obdelave, ki zajema hrambo takih podatkov v skupnem odložišču podatkov o identiteti (CIR) namesto hrambe v vsakem od ločenih sistemov, je potreben za večjo natančnost identifikacije, ki jo omogočata avtomatizirana primerjava in ugotavljanje ujemanja takih podatkov. Dejstvo, da se podatki o identiteti in biometrični podatki državljanov tretjih držav hranijo v CIR, nikakor ne bi smelo ovirati obdelave podatkov za namene uredb o SVI, VIS, sistemu ETIAS, sistemu Eurodac ali sistemu ECRIS-TCN, saj bi moralo biti skupno odložišče podatkov o identiteti nov skupni sestavni del teh zadevnih sistemov.</w:t>
      </w:r>
    </w:p>
    <w:p>
      <w:pPr>
        <w:pStyle w:val="ManualConsidrant"/>
        <w:rPr>
          <w:noProof/>
        </w:rPr>
      </w:pPr>
      <w:r>
        <w:t>(23)</w:t>
      </w:r>
      <w:r>
        <w:tab/>
      </w:r>
      <w:r>
        <w:rPr>
          <w:noProof/>
        </w:rPr>
        <w:t>V zvezi s tem je treba v skupnem odložišču podatkov o identiteti (CIR) za vsako osebo, ki je evidentirana v SVI, VIS, sistemu ETIAS, sistemu Eurodac ali sistemu ECRIS-TCN, oblikovati individualno dokumentacijo, da se doseže pravilna identifikacija državljanov tretjih držav na schengenskem območju ter da se podpre detektor več identitet za lažje ugotavljanje identitete dobrovernih potnikov in boj proti identitetnim prevaram. Individualna dokumentacija bi morala na enem samem mestu hraniti vse možne identitete, povezane z osebo, ki bi morale biti dostopne ustrezno pooblaščenim končnim uporabnikom.</w:t>
      </w:r>
    </w:p>
    <w:p>
      <w:pPr>
        <w:pStyle w:val="ManualConsidrant"/>
        <w:rPr>
          <w:noProof/>
        </w:rPr>
      </w:pPr>
      <w:r>
        <w:t>(24)</w:t>
      </w:r>
      <w:r>
        <w:tab/>
      </w:r>
      <w:r>
        <w:rPr>
          <w:noProof/>
        </w:rPr>
        <w:t xml:space="preserve">Zato bi moralo skupno odložišče podatkov o identiteti (CIR) podpirati delovanje detektorja več identitet ter olajšati in racionalizirati dostop organov kazenskega pregona do informacijskih sistemov EU, ki niso vzpostavljeni izključno za namene preprečevanja, preiskovanja, odkrivanja ali pregona hudih kaznivih dejanj. </w:t>
      </w:r>
    </w:p>
    <w:p>
      <w:pPr>
        <w:pStyle w:val="ManualConsidrant"/>
        <w:rPr>
          <w:noProof/>
        </w:rPr>
      </w:pPr>
      <w:r>
        <w:t>(25)</w:t>
      </w:r>
      <w:r>
        <w:tab/>
      </w:r>
      <w:r>
        <w:rPr>
          <w:noProof/>
        </w:rPr>
        <w:t xml:space="preserve">Skupno odložišče podatkov o identiteti (CIR) bi moralo zagotavljati skupno mesto za podatke o identiteti in biometrične podatke državljanov tretjih držav, registriranih </w:t>
      </w:r>
      <w:r>
        <w:rPr>
          <w:noProof/>
        </w:rPr>
        <w:lastRenderedPageBreak/>
        <w:t xml:space="preserve">v SVI, VIS, [sistemu ETIAS], sistemu Eurodac in [sistemu ECRIS-TCN], ter delovati kot skupni sestavni del teh sistemov za namene hrambe in poizvedovanja podatkov. </w:t>
      </w:r>
    </w:p>
    <w:p>
      <w:pPr>
        <w:pStyle w:val="ManualConsidrant"/>
        <w:rPr>
          <w:noProof/>
        </w:rPr>
      </w:pPr>
      <w:r>
        <w:t>(26)</w:t>
      </w:r>
      <w:r>
        <w:tab/>
      </w:r>
      <w:r>
        <w:rPr>
          <w:noProof/>
        </w:rPr>
        <w:t xml:space="preserve">Vse evidence v skupnem odložišču podatkov o identiteti (CIR) bi morale biti logično ločene s samodejnim označevanjem vsake evidence z zadevnim sistemom, kateremu pripada. Pri nadzoru dostopa v okviru CIR bi bilo treba na podlagi teh oznak odobriti ali zavrniti dostop do zadevne evidence. </w:t>
      </w:r>
    </w:p>
    <w:p>
      <w:pPr>
        <w:pStyle w:val="ManualConsidrant"/>
        <w:rPr>
          <w:noProof/>
        </w:rPr>
      </w:pPr>
      <w:r>
        <w:t>(27)</w:t>
      </w:r>
      <w:r>
        <w:tab/>
      </w:r>
      <w:r>
        <w:rPr>
          <w:noProof/>
        </w:rPr>
        <w:t xml:space="preserve">Da bi se zagotovila pravilna identifikacija osebe, bi bilo treba organom držav članic, ki so pristojni za preprečevanje nedovoljenih migracij in boj proti njim, ter pristojnim organom v smislu člena 3(7) Direktive (EU) 2016/680 dovoliti poizvedovanje v CIR na podlagi biometričnih podatkov zadevne osebe, pridobljenih med ugotavljanjem identitete. </w:t>
      </w:r>
    </w:p>
    <w:p>
      <w:pPr>
        <w:pStyle w:val="ManualConsidrant"/>
        <w:rPr>
          <w:noProof/>
        </w:rPr>
      </w:pPr>
      <w:r>
        <w:t>(28)</w:t>
      </w:r>
      <w:r>
        <w:tab/>
      </w:r>
      <w:r>
        <w:rPr>
          <w:noProof/>
        </w:rPr>
        <w:t>Če biometričnih podatkov osebe ni mogoče uporabiti ali če je poizvedba na podlagi teh podatkov neuspešna, bi jo bilo treba opraviti na podlagi podatkov o identiteti zadevne osebe in podatkov o potovalnih dokumentih. Če poizvedba pokaže, da se podatki o zadevni osebi hranijo v skupnem odložišču podatkov o identiteti (CIR), bi morali imeti organi držav članic dostop do podatkov o identiteti zadevne osebe, ki se hranijo v CIR, ne da bi morali navesti, kateremu informacijskemu sistemu EU podatki pripadajo.</w:t>
      </w:r>
    </w:p>
    <w:p>
      <w:pPr>
        <w:pStyle w:val="ManualConsidrant"/>
        <w:rPr>
          <w:noProof/>
        </w:rPr>
      </w:pPr>
      <w:r>
        <w:t>(29)</w:t>
      </w:r>
      <w:r>
        <w:tab/>
      </w:r>
      <w:r>
        <w:rPr>
          <w:noProof/>
        </w:rPr>
        <w:t>Države članice bi morale sprejeti nacionalne zakonodajne ukrepe za imenovanje organov, ki so pristojni za ugotavljanje identitete z uporabo skupnega odložišča podatkov o identiteti (CIR), ter za določitev postopkov, pogojev in meril za ugotavljanje identitete v skladu z načelom sorazmernosti. Z nacionalnimi zakonodajnimi ukrepi bi bilo treba zlasti pooblastiti člane navedenih organov, da med ugotavljanjem identitete navzoče osebe zberejo njene biometrične podatke.</w:t>
      </w:r>
    </w:p>
    <w:p>
      <w:pPr>
        <w:pStyle w:val="ManualConsidrant"/>
        <w:rPr>
          <w:noProof/>
        </w:rPr>
      </w:pPr>
      <w:r>
        <w:t>(30)</w:t>
      </w:r>
      <w:r>
        <w:tab/>
      </w:r>
      <w:r>
        <w:rPr>
          <w:noProof/>
        </w:rPr>
        <w:t>Ta uredba bi morala uvesti tudi novo možnost za racionaliziran dostop organov kazenskega pregona, ki jih imenujejo države članice, in Europola do podatkov v SVI, VIS, [sistemu ETIAS] ali sistemu Eurodac, ki niso podatki o identiteti. Podatki, vključno s podatki v navedenih sistemih, ki niso podatki o identiteti, so lahko v posameznem primeru potrebni za preprečevanje, odkrivanje, preiskovanje in pregon terorističnih kaznivih dejanj ali hudih kaznivih dejanj.</w:t>
      </w:r>
    </w:p>
    <w:p>
      <w:pPr>
        <w:pStyle w:val="ManualConsidrant"/>
        <w:rPr>
          <w:noProof/>
        </w:rPr>
      </w:pPr>
      <w:r>
        <w:t>(31)</w:t>
      </w:r>
      <w:r>
        <w:tab/>
      </w:r>
      <w:r>
        <w:rPr>
          <w:noProof/>
        </w:rPr>
        <w:t xml:space="preserve">Popoln dostop do potrebnih podatkov v informacijskih sistemih EU za namene preprečevanja, odkrivanja in preiskovanja terorističnih kaznivih dejanj ali drugih hudih kaznivih dejanj, ki niso zadevni podatki o identiteti, ki jih zajema skupno odložišče podatkov o identiteti (CIR) in so bili pridobljeni na podlagi biometričnih podatkov zadevne osebe med ugotavljanjem identitete, bi morale še naprej urejati določbe v zadevnih pravnih instrumentih. Imenovani organi kazenskega pregona in Europol ne vedo vnaprej, kateri informacijski sistemi EU vsebujejo podatke o osebah, v zvezi s katerimi morajo opraviti iskanje. To povzroča zamude in neučinkovitost pri opravljanju njihovih nalog. Zato bi moralo biti končnemu uporabniku, ki ga pooblasti imenovani organ, dovoljeno videti, v katerih informacijskih sistemih EU so evidentirani podatki, ki ustrezajo opravljeni poizvedbi. Tako bi bil zadevni sistem po avtomatiziranem preverjanju obstoja zadetka v njem (t. i. funkcija „zadetek/ni zadetka“) označen. </w:t>
      </w:r>
    </w:p>
    <w:p>
      <w:pPr>
        <w:pStyle w:val="ManualConsidrant"/>
        <w:rPr>
          <w:noProof/>
        </w:rPr>
      </w:pPr>
      <w:r>
        <w:t>(32)</w:t>
      </w:r>
      <w:r>
        <w:tab/>
      </w:r>
      <w:r>
        <w:rPr>
          <w:noProof/>
        </w:rPr>
        <w:t xml:space="preserve">V evidencah poizvedb v skupnem odložišču podatkov o identiteti bi moral biti naveden namen poizvedbe. Če se poizvedba opravi na podlagi dvostopenjskega pristopa k uporabi podatkov, bi morale evidence vsebovati sklic na nacionalno dokumentacijo o preiskavi ali primeru, kar bi pomenilo, da je bila ta poizvedba </w:t>
      </w:r>
      <w:r>
        <w:rPr>
          <w:noProof/>
        </w:rPr>
        <w:lastRenderedPageBreak/>
        <w:t xml:space="preserve">opravljena za namene preprečevanja, odkrivanja in preiskovanja terorističnih kaznivih dejanj ali drugih hudih kaznivih dejanj. </w:t>
      </w:r>
    </w:p>
    <w:p>
      <w:pPr>
        <w:pStyle w:val="ManualConsidrant"/>
        <w:rPr>
          <w:noProof/>
        </w:rPr>
      </w:pPr>
      <w:r>
        <w:t>(33)</w:t>
      </w:r>
      <w:r>
        <w:tab/>
      </w:r>
      <w:r>
        <w:rPr>
          <w:noProof/>
        </w:rPr>
        <w:t xml:space="preserve">Pri poizvedbi v skupnem odložišču podatkov o identiteti (CIR), ki jo imenovani organi držav članic in Europol opravijo, da bi prejeli odgovor z zadetkom, kar bi pomenilo, da so podatki evidentirani v SVI, VIS, [sistemu ETIAS] ali sistemu Eurodac, je potrebna avtomatizirana obdelava osebnih podatkov. Zadetek ne pomeni, da bi se razkrili osebni podatki zadevnega posameznika, temveč da se nekateri njegovi podatki hranijo v enem od sistemov. Pooblaščeni končni uporabnik ne bi smel sprejeti nobene negativne odločitve glede zadevnega posameznika zgolj na podlagi zadetka. Zato bi dostop končnega uporabnika do zadetka pomenil zelo omejen poseg v pravico do varstva osebnih podatkov zadevnega posameznika, ki pa bi bil potreben za to, da lahko imenovani organ in Europol učinkoviteje pošljeta svoje zahtevke za dostop do osebnih podatkov neposredno sistemu, ki je bil označen, da te podatke vsebuje. </w:t>
      </w:r>
    </w:p>
    <w:p>
      <w:pPr>
        <w:pStyle w:val="ManualConsidrant"/>
        <w:rPr>
          <w:noProof/>
        </w:rPr>
      </w:pPr>
      <w:r>
        <w:t>(34)</w:t>
      </w:r>
      <w:r>
        <w:tab/>
      </w:r>
      <w:r>
        <w:rPr>
          <w:noProof/>
        </w:rPr>
        <w:t>Dvostopenjski pristop k uporabi podatkov je pomemben zlasti v primerih, ko osumljenec, storilec ali domnevna žrtev terorističnega ali drugega hudega kaznivega dejanja ni znana. V teh primerih bi moralo skupno odložišče podatkov o identiteti (CIR) z enim samim iskanjem omogočiti, da se ugotovi, kateri informacijski sistem vsebuje podatke o osebi. Z uvedbo obveznosti uporabe tega novega pristopa k dostopu organov kazenskega pregona v teh primerih bi moral dostop do osebnih podatkov, ki se hranijo v SVI, VIS, [sistemu ETIAS] in sistemu Eurodac, potekati brez zahtev po predhodnem iskanju v nacionalnih podatkovnih zbirkah in sistemu za avtomatizirano identifikacijo prstnih odtisov drugih držav članic v skladu s Sklepom 2008/615/PNZ. Načelo predhodnega iskanja dejansko omejuje možnost organov držav članic, da uporabijo sisteme za upravičene namene kazenskega pregona, kar bi lahko povzročilo zamujene priložnosti za odkrivanje potrebnih informacij. Zahteve po predhodnem iskanju v nacionalnih podatkovnih zbirkah in sistemu za avtomatizirano identifikacijo prstnih odtisov drugih držav članic v skladu s Sklepom 2008/615/PNZ bi morale prenehati veljati šele, ko začne veljati nadomestni zaščitni ukrep v obliki dvostopenjskega pristopa k dostopu organov kazenskega pregona prek CIR.</w:t>
      </w:r>
    </w:p>
    <w:p>
      <w:pPr>
        <w:pStyle w:val="ManualConsidrant"/>
        <w:rPr>
          <w:noProof/>
        </w:rPr>
      </w:pPr>
      <w:r>
        <w:t>(35)</w:t>
      </w:r>
      <w:r>
        <w:tab/>
      </w:r>
      <w:r>
        <w:rPr>
          <w:noProof/>
        </w:rPr>
        <w:t>Detektor več identitet (MID) bi bilo treba vzpostaviti, da bi se podprli delovanje skupnega odložišča podatkov o identiteti ter cilji SVI, VIS, [sistema ETIAS], sistema Eurodac, SIS in [sistema ECRIS-TCN]. Za učinkovito doseganje ciljev vseh teh informacijskih sistemov EU je potrebna natančna identifikacija posameznikov, katerih osebni podatki se hranijo v teh sistemih.</w:t>
      </w:r>
    </w:p>
    <w:p>
      <w:pPr>
        <w:pStyle w:val="ManualConsidrant"/>
        <w:rPr>
          <w:noProof/>
        </w:rPr>
      </w:pPr>
      <w:r>
        <w:t>(36)</w:t>
      </w:r>
      <w:r>
        <w:tab/>
      </w:r>
      <w:r>
        <w:rPr>
          <w:noProof/>
        </w:rPr>
        <w:t>Možnosti za doseganje ciljev informacijskih sistemov EU so zmanjšane, ker organi, ki te sisteme uporabljajo, trenutno ne morejo dovolj zanesljivo preveriti identitet državljanov tretjih držav, katerih podatki se hranijo v različnih sistemih. Ta nezmožnost je posledica dejstva, da je lahko niz podatkov o identiteti v posameznem sistemu lažen, napačen ali nepopoln in da trenutno ni nobene možnosti za odkrivanje takih lažnih, napačnih ali nepopolnih podatkov o identiteti s primerjavo s podatki, ki se hranijo v drugem sistemu. Za izboljšanje tega stanja je potreben tehnični instrument na ravni Unije, ki omogoča natančno identifikacijo državljanov tretjih držav za te namene.</w:t>
      </w:r>
    </w:p>
    <w:p>
      <w:pPr>
        <w:pStyle w:val="ManualConsidrant"/>
        <w:rPr>
          <w:noProof/>
        </w:rPr>
      </w:pPr>
      <w:r>
        <w:t>(37)</w:t>
      </w:r>
      <w:r>
        <w:tab/>
      </w:r>
      <w:r>
        <w:rPr>
          <w:noProof/>
        </w:rPr>
        <w:t xml:space="preserve">Detektor več identitet (MID) bi moral ustvariti in hraniti povezave med podatki v različnih informacijskih sistemih EU za odkrivanje več identitet za lažje ugotavljanje identitete dobrovernih potnikov in boj proti identitetnim prevaram. Vsebovati bi moral le povezave med posamezniki, prisotnimi v več kot enem informacijskem sistemu EU, </w:t>
      </w:r>
      <w:r>
        <w:rPr>
          <w:noProof/>
        </w:rPr>
        <w:lastRenderedPageBreak/>
        <w:t>ki bodo strogo omejene na podatke, potrebne za preverjanje, ali je oseba v različnih sistemih zakonito ali nezakonito evidentirana z različnimi biografskimi identitetami, ali za pojasnitev, da osebi s podobnimi biografskimi podatki nista nujno ista oseba. Obdelava podatkov prek evropskega iskalnega portala (ESP) in skupne storitve za ugotavljanje ujemanja biometričnih podatkov (skupna BMS) za povezovanje individualne dokumentacije med posameznimi sistemi bi morala biti minimalna, zaradi česar je omejena na odkrivanje več identitet, ko se enemu od informacijskih sistemov, ki jih zajema skupno odložišče podatkov o identiteti, in SIS dodajo novi podatki. MID bi moral vključevati zaščitne ukrepe proti morebitni diskriminaciji ali neugodnim odločitvam glede oseb z več zakonitimi identitetami.</w:t>
      </w:r>
    </w:p>
    <w:p>
      <w:pPr>
        <w:pStyle w:val="ManualConsidrant"/>
        <w:rPr>
          <w:noProof/>
        </w:rPr>
      </w:pPr>
      <w:r>
        <w:t>(38)</w:t>
      </w:r>
      <w:r>
        <w:tab/>
      </w:r>
      <w:r>
        <w:rPr>
          <w:noProof/>
        </w:rPr>
        <w:t>Ta uredba določa nove postopke obdelave podatkov za pravilno identifikacijo zadevnih oseb. To pomeni poseg v njihove temeljne pravice, kot so zaščitene s členoma 7 in 8 Listine o temeljnih pravicah. Ker je učinkovito izvajanje informacijskih sistemov EU odvisno od pravilne identifikacije zadevnih posameznikov, je tak poseg utemeljen z enakimi cilji, zaradi katerih je bil vzpostavljen vsak od teh sistemov, učinkovitim upravljanjem meja Unije, notranjo varnostjo Unije, učinkovitim izvajanjem azilne in vizumske politike Unije ter bojem proti nedovoljenim migracijam.</w:t>
      </w:r>
    </w:p>
    <w:p>
      <w:pPr>
        <w:pStyle w:val="ManualConsidrant"/>
        <w:rPr>
          <w:noProof/>
        </w:rPr>
      </w:pPr>
      <w:r>
        <w:t>(39)</w:t>
      </w:r>
      <w:r>
        <w:tab/>
      </w:r>
      <w:r>
        <w:rPr>
          <w:noProof/>
        </w:rPr>
        <w:t xml:space="preserve">Evropski iskalni portal (ESP) in skupna storitev za ugotavljanje ujemanja biometričnih podatkov (skupna BMS) bi morala primerjati podatke o osebah v skupnem odložišču podatkov o identiteti (CIR) in SIS, kadar nacionalni organ ali organ EU ustvari novo evidenco. Taka primerjava bi morala biti avtomatizirana. CIR in SIS bi morala prek skupne BMS zaznati morebitne povezave na podlagi biometričnih podatkov, prek ESP pa na podlagi alfanumeričnih podatkov. Morala bi biti zmožna odkriti enake ali podobne podatke o državljanu tretje države, ki se hranijo v različnih sistemih. V takem primeru bi bilo treba vzpostaviti povezavo, ki pomeni, da gre za isto osebo. CIR in SIS bi morala biti konfigurirana tako, da se majhne napake pri prečrkovanju ali črkovanju odkrijejo na način, ki ne ustvarja neupravičenih ovir za zadevnega državljana tretje države. </w:t>
      </w:r>
    </w:p>
    <w:p>
      <w:pPr>
        <w:pStyle w:val="ManualConsidrant"/>
        <w:rPr>
          <w:noProof/>
        </w:rPr>
      </w:pPr>
      <w:r>
        <w:t>(40)</w:t>
      </w:r>
      <w:r>
        <w:tab/>
      </w:r>
      <w:r>
        <w:rPr>
          <w:noProof/>
        </w:rPr>
        <w:t xml:space="preserve">Nacionalni organ ali organ EU, ki je evidentiral podatke v zadevnem informacijskem sistemu EU, bi moral potrditi ali spremeniti te povezave. Ta organ bi moral imeti dostop do podatkov, ki se hranijo v skupnem odložišču podatkov o identiteti (CIR) ali SIS in detektorju več identitet (MID), za namene ročnega preverjanja identitete. </w:t>
      </w:r>
    </w:p>
    <w:p>
      <w:pPr>
        <w:pStyle w:val="ManualConsidrant"/>
        <w:rPr>
          <w:noProof/>
        </w:rPr>
      </w:pPr>
      <w:r>
        <w:t>(41)</w:t>
      </w:r>
      <w:r>
        <w:tab/>
      </w:r>
      <w:r>
        <w:rPr>
          <w:noProof/>
        </w:rPr>
        <w:t>Dostop do detektorja več identitet (MID) s strani organov držav članic in EU, ki imajo dostop do vsaj enega informacijskega sistema EU, ki ga zajema skupno odložišče podatkov o identiteti (CIR), ali SIS, bi moral biti omejen na t. i. rdeče povezave, pri katerih povezani podatki vključujejo enake biometrične podatke, vendar različne podatke o identiteti, in je organ, ki je pristojen za preverjanje različnih identitet, sklenil, da se nezakonito nanašajo na isto osebo, ali pri katerih povezani podatki vključujejo podobne podatke o identiteti in je organ, ki je pristojen za preverjanje različnih identitet, sklenil, da se nezakonito nanašajo na isto osebo. Če povezani podatki o identiteti niso podobni, bi bilo treba vzpostaviti rumeno povezavo in izvesti ročno preverjanje, da bi se povezava potrdila ali da bi se njena barva ustrezno spremenila.</w:t>
      </w:r>
    </w:p>
    <w:p>
      <w:pPr>
        <w:pStyle w:val="ManualConsidrant"/>
        <w:rPr>
          <w:noProof/>
        </w:rPr>
      </w:pPr>
      <w:r>
        <w:t>(42)</w:t>
      </w:r>
      <w:r>
        <w:tab/>
      </w:r>
      <w:r>
        <w:rPr>
          <w:noProof/>
        </w:rPr>
        <w:t xml:space="preserve">Ročno preverjanje več identitet bi moral zagotoviti organ, ki je evidentiral ali posodobil podatke, ki so privedli do zadetka, zaradi katerega je bila vzpostavljena povezava s podatki, ki se že hranijo v drugem informacijskem sistemu EU. Organ, ki je pristojen za preverjanje več identitet, bi moral oceniti, ali obstaja več zakonitih ali </w:t>
      </w:r>
      <w:r>
        <w:rPr>
          <w:noProof/>
        </w:rPr>
        <w:lastRenderedPageBreak/>
        <w:t xml:space="preserve">nezakonitih identitet. Tako oceno bi bilo treba po možnosti opraviti v prisotnosti državljana tretje države in po potrebi z zahtevo po dodatnih pojasnilih ali informacijah ter brez odlašanja in v skladu s pravnimi zahtevami glede točnosti informacij po pravu Unije in nacionalnem pravu. </w:t>
      </w:r>
    </w:p>
    <w:p>
      <w:pPr>
        <w:pStyle w:val="ManualConsidrant"/>
        <w:rPr>
          <w:noProof/>
        </w:rPr>
      </w:pPr>
      <w:r>
        <w:t>(43)</w:t>
      </w:r>
      <w:r>
        <w:tab/>
      </w:r>
      <w:r>
        <w:rPr>
          <w:noProof/>
        </w:rPr>
        <w:t>Za povezave s SIS v zvezi z razpisi ukrepov za osebe, za katere se zahteva prijetje zaradi predaje ali izročitve, pogrešane osebe ali ranljive osebe, osebe, iskane zaradi sodelovanja v sodnem postopku, osebe, ki so predmet prikrite ali namenske kontrole, ali neznane iskane osebe bi moral biti organ, ki je pristojen za preverjanje več identitet, urad SIRENE države članice, ki je izdala razpis ukrepa. Te kategorije razpisov ukrepov v SIS so dejansko občutljive in se ne bi smele nujno deliti z organi, ki so evidentirali ali posodobili podatke v enem od drugih informacijskih sistemov EU. Vzpostavitev povezave s podatki v SIS ne bi smela posegati v ukrepe, ki jih je treba sprejeti v skladu z [uredbami o SIS].</w:t>
      </w:r>
    </w:p>
    <w:p>
      <w:pPr>
        <w:pStyle w:val="ManualConsidrant"/>
        <w:rPr>
          <w:noProof/>
        </w:rPr>
      </w:pPr>
      <w:r>
        <w:t>(44)</w:t>
      </w:r>
      <w:r>
        <w:tab/>
      </w:r>
      <w:r>
        <w:rPr>
          <w:noProof/>
        </w:rPr>
        <w:t>Agencija eu-LISA bi morala vzpostaviti avtomatizirane mehanizme za nadzor kakovosti podatkov in skupne kazalnike kakovosti podatkov. Poleg tega bi morala biti odgovorna za razvoj centralne zmogljivosti za spremljanje kakovosti podatkov ter pripravo rednih poročil o analizi podatkov za izboljšanje nadzora nad izvajanjem in uporabo informacijskih sistemov EU s strani držav članic. Skupni kazalniki kakovosti bi morali vključevati minimalne standarde kakovosti za hrambo podatkov v informacijskih sistemih EU ali sestavnih delih interoperabilnosti. Cilj takih standardov kakovosti podatkov bi moral biti, da informacijski sistemi EU in sestavni deli interoperabilnosti samodejno odkrijejo očitno nepravilne ali nedosledne predložene podatke, da bi lahko država članica, ki je podatke poslala, slednje preverila in izvedla vse potrebne popravne ukrepe.</w:t>
      </w:r>
    </w:p>
    <w:p>
      <w:pPr>
        <w:pStyle w:val="ManualConsidrant"/>
        <w:rPr>
          <w:noProof/>
        </w:rPr>
      </w:pPr>
      <w:r>
        <w:t>(45)</w:t>
      </w:r>
      <w:r>
        <w:tab/>
      </w:r>
      <w:r>
        <w:rPr>
          <w:noProof/>
        </w:rPr>
        <w:t>Komisija bi morala oceniti poročila agencije eu-LISA o kakovosti in po potrebi izdati priporočila državam članicam. Države članice bi morale biti odgovorne za pripravo akcijskega načrta, v katerem bi bili opisani ukrepi za odpravo morebitnih pomanjkljivosti v kakovosti podatkov, in redno poročati o njegovem napredku.</w:t>
      </w:r>
    </w:p>
    <w:p>
      <w:pPr>
        <w:pStyle w:val="ManualConsidrant"/>
        <w:rPr>
          <w:noProof/>
          <w:szCs w:val="24"/>
        </w:rPr>
      </w:pPr>
      <w:r>
        <w:t>(46)</w:t>
      </w:r>
      <w:r>
        <w:tab/>
      </w:r>
      <w:r>
        <w:rPr>
          <w:noProof/>
        </w:rPr>
        <w:t>Z univerzalnim formatom sporočil (UMF) bi se moral vzpostaviti standard za strukturirano čezmejno izmenjavo informacij med informacijskimi sistemi, organi in/ali organizacijami na področju pravosodja in notranjih zadev. V okviru tega bi bilo treba opredeliti skupno besedišče in logične strukture za pogosto izmenjane informacije, da bi se omogočilo dosledno in semantično enakovredno ustvarjanje in branje izmenjanih vsebin, s čimer bi se olajšala interoperabilnost.</w:t>
      </w:r>
    </w:p>
    <w:p>
      <w:pPr>
        <w:pStyle w:val="ManualConsidrant"/>
        <w:rPr>
          <w:noProof/>
        </w:rPr>
      </w:pPr>
      <w:r>
        <w:t>(47)</w:t>
      </w:r>
      <w:r>
        <w:tab/>
      </w:r>
      <w:r>
        <w:rPr>
          <w:noProof/>
        </w:rPr>
        <w:t>Centralni register za poročanje in statistične podatke (CRRS) bi bilo treba vzpostaviti zaradi ustvarjanja medsistemskih statističnih podatkov in analitičnega poročanja za politične in operativne namene ter namene kakovosti podatkov. Vzpostaviti, izvajati in gostiti bi ga morala agencija eu-LISA na svojih tehničnih spletnih mestih, vsebovati pa bi moral anonimne statistične podatke iz zgoraj navedenih sistemov, skupnega odložišča podatkov o identiteti, detektorja več identitet in skupne storitve za ugotavljanje ujemanja biometričnih podatkov. Podatki v CRRS ne bi smeli omogočati identifikacije posameznikov. Agencija eu-LISA bi morala podatke anonimizirati in jih kot take evidentirati v CRRS. Postopek anonimizacije podatkov bi moral biti avtomatiziran, osebje agencije eu-LISA pa ne bi smelo imeti neposrednega dostopa do osebnih podatkov, ki se hranijo v informacijskih sistemih EU ali sestavnih delih interoperabilnosti.</w:t>
      </w:r>
    </w:p>
    <w:p>
      <w:pPr>
        <w:pStyle w:val="ManualConsidrant"/>
        <w:rPr>
          <w:noProof/>
        </w:rPr>
      </w:pPr>
      <w:r>
        <w:t>(48)</w:t>
      </w:r>
      <w:r>
        <w:tab/>
      </w:r>
      <w:r>
        <w:rPr>
          <w:noProof/>
        </w:rPr>
        <w:t xml:space="preserve">Za obdelavo osebnih podatkov na podlagi te uredbe s strani nacionalnih organov bi se morala uporabljati Uredba (EU) 2016/679, razen če tako obdelavo izvajajo imenovani </w:t>
      </w:r>
      <w:r>
        <w:rPr>
          <w:noProof/>
        </w:rPr>
        <w:lastRenderedPageBreak/>
        <w:t>organi ali centralne točke dostopa držav članic za namene preprečevanja, odkrivanja ali preiskovanja terorističnih dejanj ali drugih hudih kaznivih dejanj, pri čemer bi se v tem primeru morala uporabljati Direktiva (EU) 2016/680 Evropskega parlamenta in Sveta.</w:t>
      </w:r>
    </w:p>
    <w:p>
      <w:pPr>
        <w:pStyle w:val="ManualConsidrant"/>
        <w:rPr>
          <w:noProof/>
        </w:rPr>
      </w:pPr>
      <w:r>
        <w:t>(49)</w:t>
      </w:r>
      <w:r>
        <w:tab/>
      </w:r>
      <w:r>
        <w:rPr>
          <w:noProof/>
        </w:rPr>
        <w:t>Za obdelavo osebnih podatkov v teh zadevnih sistemih bi se morale uporabljati posebne določbe o varstvu podatkov iz [uredbe o SVI], Uredbe (ES) št. 767/2008, [uredbe o sistemu ETIAS] in [uredbe o SIS na področju mejne kontrole].</w:t>
      </w:r>
    </w:p>
    <w:p>
      <w:pPr>
        <w:pStyle w:val="ManualConsidrant"/>
        <w:rPr>
          <w:noProof/>
        </w:rPr>
      </w:pPr>
      <w:r>
        <w:t>(50)</w:t>
      </w:r>
      <w:r>
        <w:tab/>
      </w:r>
      <w:r>
        <w:rPr>
          <w:noProof/>
        </w:rPr>
        <w:t>Za obdelavo osebnih podatkov s strani agencije eu-LISA ter drugih institucij in organov Unije zaradi izpolnjevanja obveznosti na podlagi te uredbe bi se morala uporabljati Uredba (ES) št. 45/2001 Evropskega parlamenta in Sveta</w:t>
      </w:r>
      <w:r>
        <w:rPr>
          <w:rStyle w:val="FootnoteReference"/>
          <w:noProof/>
        </w:rPr>
        <w:footnoteReference w:id="59"/>
      </w:r>
      <w:r>
        <w:rPr>
          <w:noProof/>
        </w:rPr>
        <w:t>, in sicer brez poseganja v Uredbo (EU) 2016/794, ki bi se morala uporabljati za obdelavo osebnih podatkov s strani Europola.</w:t>
      </w:r>
    </w:p>
    <w:p>
      <w:pPr>
        <w:pStyle w:val="ManualConsidrant"/>
        <w:rPr>
          <w:noProof/>
        </w:rPr>
      </w:pPr>
      <w:r>
        <w:t>(51)</w:t>
      </w:r>
      <w:r>
        <w:tab/>
      </w:r>
      <w:r>
        <w:rPr>
          <w:noProof/>
        </w:rPr>
        <w:t>Nacionalni nadzorni organi, ustanovljeni v skladu z [Uredbo (EU) 2016/679], bi morali spremljati zakonitost obdelave osebnih podatkov s strani držav članic, medtem ko bi moral Evropski nadzornik za varstvo podatkov, kot določa Uredba (ES) št. 45/2001, spremljati dejavnosti institucij in organov Unije v zvezi z obdelavo osebnih podatkov. Evropski nadzornik za varstvo podatkov in nadzorni organi bi morali medsebojno sodelovati pri spremljanju obdelave osebnih podatkov prek sestavnih delov interoperabilnosti.</w:t>
      </w:r>
    </w:p>
    <w:p>
      <w:pPr>
        <w:pStyle w:val="ManualConsidrant"/>
        <w:rPr>
          <w:noProof/>
        </w:rPr>
      </w:pPr>
      <w:r>
        <w:t>(52)</w:t>
      </w:r>
      <w:r>
        <w:tab/>
      </w:r>
      <w:r>
        <w:rPr>
          <w:noProof/>
        </w:rPr>
        <w:t>„(...) Opravljeno je bilo posvetovanje z Evropskim nadzornikom za varstvo podatkov v skladu s členom 28(2) Uredbe (ES) št. 45/2001, ki je mnenje podal dne [...].“</w:t>
      </w:r>
    </w:p>
    <w:p>
      <w:pPr>
        <w:pStyle w:val="ManualConsidrant"/>
        <w:rPr>
          <w:noProof/>
        </w:rPr>
      </w:pPr>
      <w:r>
        <w:t>(53)</w:t>
      </w:r>
      <w:r>
        <w:tab/>
      </w:r>
      <w:r>
        <w:rPr>
          <w:noProof/>
        </w:rPr>
        <w:t>Kar zadeva zaupnost, bi se morale za zaposlene uradnike in druge uslužbence, katerih delo je povezano s SIS, uporabljati ustrezne določbe Kadrovskih predpisov za uradnike Evropske unije in Pogojev za zaposlitev drugih uslužbencev Evropske unije.</w:t>
      </w:r>
    </w:p>
    <w:p>
      <w:pPr>
        <w:pStyle w:val="ManualConsidrant"/>
        <w:rPr>
          <w:noProof/>
        </w:rPr>
      </w:pPr>
      <w:r>
        <w:t>(54)</w:t>
      </w:r>
      <w:r>
        <w:tab/>
      </w:r>
      <w:r>
        <w:rPr>
          <w:noProof/>
        </w:rPr>
        <w:t>Države članice in agencija eu-LISA bi morale imeti varnostne načrte za lažje izpolnjevanje varnostnih obveznosti in bi morale medsebojno sodelovati, da bi obravnavale varnostna vprašanja. Agencija eu-LISA bi morala tudi zagotoviti stalno uporabo najnovejših tehnoloških inovacij, da bi se zagotovila celovitost podatkov pri razvoju, zasnovi in upravljanju sestavnih delov interoperabilnosti.</w:t>
      </w:r>
    </w:p>
    <w:p>
      <w:pPr>
        <w:pStyle w:val="ManualConsidrant"/>
        <w:rPr>
          <w:noProof/>
        </w:rPr>
      </w:pPr>
      <w:r>
        <w:t>(55)</w:t>
      </w:r>
      <w:r>
        <w:tab/>
      </w:r>
      <w:r>
        <w:rPr>
          <w:noProof/>
        </w:rPr>
        <w:t>Izvajanje sestavnih delov interoperabilnosti, ki so določeni v tej uredbi, bo vplivalo na način izvajanja kontrol na mejnih prehodih. Ti učinki bodo posledica skupne uporabe obstoječih pravil iz Uredbe (EU) 2016/399 Evropskega parlamenta in Sveta</w:t>
      </w:r>
      <w:r>
        <w:rPr>
          <w:rStyle w:val="FootnoteReference"/>
          <w:noProof/>
        </w:rPr>
        <w:footnoteReference w:id="60"/>
      </w:r>
      <w:r>
        <w:rPr>
          <w:noProof/>
        </w:rPr>
        <w:t xml:space="preserve"> ter pravil o interoperabilnosti iz te uredbe.</w:t>
      </w:r>
    </w:p>
    <w:p>
      <w:pPr>
        <w:pStyle w:val="ManualConsidrant"/>
        <w:rPr>
          <w:noProof/>
        </w:rPr>
      </w:pPr>
      <w:r>
        <w:t>(56)</w:t>
      </w:r>
      <w:r>
        <w:tab/>
      </w:r>
      <w:r>
        <w:rPr>
          <w:noProof/>
        </w:rPr>
        <w:t>Zaradi skupne uporabe pravil bi moral evropski iskalni portal (ESP) predstavljati glavno točko dostopa za obvezno sistematično uporabo podatkovnih zbirk za državljane tretjih držav na mejnih prehodih v skladu z zakonikom o schengenskih mejah. Poleg tega bi morali mejni policisti pri oceni, ali oseba izpolnjuje pogoje za vstop iz zakonika o schengenskih mejah, upoštevati podatke o identiteti, ki so privedli do rdeče povezave v detektorju več identitet (MID). Vendar obstoj rdeče povezave sam po sebi ne bi smel biti razlog za zavrnitev vstopa, zato se veljavni razlogi za zavrnitev vstopa iz zakonika o schengenskih mejah ne bi smeli spremeniti.</w:t>
      </w:r>
    </w:p>
    <w:p>
      <w:pPr>
        <w:pStyle w:val="ManualConsidrant"/>
        <w:rPr>
          <w:noProof/>
        </w:rPr>
      </w:pPr>
      <w:r>
        <w:lastRenderedPageBreak/>
        <w:t>(57)</w:t>
      </w:r>
      <w:r>
        <w:tab/>
      </w:r>
      <w:r>
        <w:rPr>
          <w:noProof/>
        </w:rPr>
        <w:t>Da bi bilo to izrecno jasno, bi bilo primerno posodobiti Praktični priročnik za mejne policiste.</w:t>
      </w:r>
    </w:p>
    <w:p>
      <w:pPr>
        <w:pStyle w:val="ManualConsidrant"/>
        <w:rPr>
          <w:noProof/>
        </w:rPr>
      </w:pPr>
      <w:r>
        <w:t>(58)</w:t>
      </w:r>
      <w:r>
        <w:tab/>
      </w:r>
      <w:r>
        <w:rPr>
          <w:noProof/>
        </w:rPr>
        <w:t>Vendar bi bilo treba spremeniti Uredbo (EU) 2016/399, da bi se dodala obveznost mejnih policistov, da državljana tretje države napotijo na kontrolo v drugi vrsti, če bi se pri uporabi detektorja več identitet (MID) prek evropskega iskalnega portala (ESP) ugotovil obstoj rumene ali rdeče povezave, da se ne bi podaljšalo čakanje pri kontroli v prvi vrsti.</w:t>
      </w:r>
    </w:p>
    <w:p>
      <w:pPr>
        <w:pStyle w:val="ManualConsidrant"/>
        <w:rPr>
          <w:noProof/>
        </w:rPr>
      </w:pPr>
      <w:r>
        <w:t>(59)</w:t>
      </w:r>
      <w:r>
        <w:tab/>
      </w:r>
      <w:r>
        <w:rPr>
          <w:noProof/>
        </w:rPr>
        <w:t>Če bi poizvedba v detektorju več identitet (MID) prek evropskega iskalnega portala (ESP) privedla do rumene ali rdeče povezave, bi morali mejni policisti v drugi vrsti uporabiti skupno odložišče podatkov o identiteti ali SIS, da bi ocenili informacije o osebi, ki se preverja, ročno preveriti njeno drugo identiteto in po potrebi prilagoditi barvo povezave.</w:t>
      </w:r>
    </w:p>
    <w:p>
      <w:pPr>
        <w:pStyle w:val="ManualConsidrant"/>
        <w:rPr>
          <w:noProof/>
        </w:rPr>
      </w:pPr>
      <w:r>
        <w:t>(60)</w:t>
      </w:r>
      <w:r>
        <w:tab/>
      </w:r>
      <w:r>
        <w:rPr>
          <w:noProof/>
        </w:rPr>
        <w:t xml:space="preserve">Za statistične namene in namene poročanja je treba pooblaščenemu osebju pristojnih organov, institucij in drugih organov, določenih v tej uredbi, odobriti dostop do nekaterih podatkov v zvezi z nekaterimi sestavnimi deli interoperabilnosti, ne da bi se omogočila identifikacija posameznikov. </w:t>
      </w:r>
    </w:p>
    <w:p>
      <w:pPr>
        <w:pStyle w:val="ManualConsidrant"/>
        <w:rPr>
          <w:noProof/>
        </w:rPr>
      </w:pPr>
      <w:r>
        <w:t>(61)</w:t>
      </w:r>
      <w:r>
        <w:tab/>
      </w:r>
      <w:r>
        <w:rPr>
          <w:noProof/>
        </w:rPr>
        <w:t>Da bi se lahko pristojni organi in organi EU prilagodili novim zahtevam glede uporabe evropskega iskalnega portala (ESP), je treba zagotoviti prehodno obdobje. Podobno bi bilo treba za skladno in optimalno delovanje detektorja več identitet (MID) določiti prehodne ukrepe za začetek njegovega delovanja.</w:t>
      </w:r>
    </w:p>
    <w:p>
      <w:pPr>
        <w:pStyle w:val="ManualConsidrant"/>
        <w:rPr>
          <w:noProof/>
        </w:rPr>
      </w:pPr>
      <w:r>
        <w:t>(62)</w:t>
      </w:r>
      <w:r>
        <w:tab/>
      </w:r>
      <w:r>
        <w:rPr>
          <w:noProof/>
        </w:rPr>
        <w:t>Stroški razvoja sestavnih delov interoperabilnosti, predvideni v sedanjem večletnem finančnem okviru, so nižji od preostalega zneska proračuna za pametne meje v Uredbi (EU) št. 515/2014 Evropskega parlamenta in Sveta</w:t>
      </w:r>
      <w:r>
        <w:rPr>
          <w:rStyle w:val="FootnoteReference"/>
          <w:noProof/>
        </w:rPr>
        <w:footnoteReference w:id="61"/>
      </w:r>
      <w:r>
        <w:rPr>
          <w:noProof/>
        </w:rPr>
        <w:t>. Zato bi bilo treba v tej uredbi v skladu s členom 5(5)(b) Uredbe (EU) št. 515/2014 prerazporediti znesek, ki je trenutno namenjen razvoju informacijskih sistemov za podporo upravljanju migracijskih tokov na zunanjih mejah.</w:t>
      </w:r>
    </w:p>
    <w:p>
      <w:pPr>
        <w:pStyle w:val="ManualConsidrant"/>
        <w:rPr>
          <w:noProof/>
        </w:rPr>
      </w:pPr>
      <w:r>
        <w:t>(63)</w:t>
      </w:r>
      <w:r>
        <w:tab/>
      </w:r>
      <w:r>
        <w:rPr>
          <w:noProof/>
        </w:rPr>
        <w:t>Za dopolnitev nekaterih podrobnih tehničnih vidikov te uredbe bi bilo treba na Komisijo prenesti pooblastilo za sprejemanje aktov v skladu s členom 290 Pogodbe o delovanju Evropske unije glede profilov uporabnikov evropskega iskalnega portala (ESP) ter vsebine in formata odgovorov prek ESP. Zlasti je pomembno, da se Komisija pri svojem pripravljalnem delu ustrezno posvetuje, tudi na ravni strokovnjakov, in da se ta posvetovanja izvedejo v skladu z načeli, določenimi v Medinstitucionalnem sporazumu o boljši pripravi zakonodaje z dne 13. aprila 2016</w:t>
      </w:r>
      <w:r>
        <w:rPr>
          <w:rStyle w:val="FootnoteReference"/>
          <w:noProof/>
        </w:rPr>
        <w:footnoteReference w:id="62"/>
      </w:r>
      <w:r>
        <w:rPr>
          <w:noProof/>
        </w:rPr>
        <w:t>. Za zagotovitev enakopravnega sodelovanja pri pripravi delegiranih aktov bi morala Evropski parlament in Svet zlasti prejeti vse dokumente sočasno s strokovnjaki iz držav članic, njunim strokovnjakom pa bi moral biti sistematično dovoljen dostop do sestankov strokovnih skupin Komisije, ki se ukvarjajo s pripravo delegiranih aktov.</w:t>
      </w:r>
    </w:p>
    <w:p>
      <w:pPr>
        <w:pStyle w:val="ManualConsidrant"/>
        <w:rPr>
          <w:noProof/>
        </w:rPr>
      </w:pPr>
      <w:r>
        <w:t>(64)</w:t>
      </w:r>
      <w:r>
        <w:tab/>
      </w:r>
      <w:r>
        <w:rPr>
          <w:noProof/>
        </w:rPr>
        <w:t xml:space="preserve">Za zagotovitev enotnih pogojev izvajanja te uredbe bi bilo treba na Komisijo prenesti izvedbena pooblastila za sprejetje podrobnih pravil o avtomatiziranih mehanizmih za nadzor kakovosti podatkov, postopkih in kazalnikih, razvoju standarda UMF, postopkih za odkrivanje primerov podobnih identitet, delovanju centralnega registra za poročanje in statistične podatke ter postopku sodelovanja v primeru varnostnih </w:t>
      </w:r>
      <w:r>
        <w:rPr>
          <w:noProof/>
        </w:rPr>
        <w:lastRenderedPageBreak/>
        <w:t>incidentov. Ta pooblastila bi bilo treba izvajati v skladu z Uredbo (EU) št. 182/2011 Evropskega parlamenta in Sveta</w:t>
      </w:r>
      <w:r>
        <w:rPr>
          <w:rStyle w:val="FootnoteReference"/>
          <w:noProof/>
        </w:rPr>
        <w:footnoteReference w:id="63"/>
      </w:r>
      <w:r>
        <w:rPr>
          <w:noProof/>
        </w:rPr>
        <w:t>.</w:t>
      </w:r>
    </w:p>
    <w:p>
      <w:pPr>
        <w:pStyle w:val="ManualConsidrant"/>
        <w:rPr>
          <w:noProof/>
        </w:rPr>
      </w:pPr>
      <w:r>
        <w:t>(65)</w:t>
      </w:r>
      <w:r>
        <w:tab/>
      </w:r>
      <w:r>
        <w:rPr>
          <w:noProof/>
        </w:rPr>
        <w:t>Za obdelavo podatkov Europola za namene te uredbe se uporablja Uredba (EU) 2016/794.</w:t>
      </w:r>
    </w:p>
    <w:p>
      <w:pPr>
        <w:pStyle w:val="ManualConsidrant"/>
        <w:rPr>
          <w:noProof/>
        </w:rPr>
      </w:pPr>
      <w:r>
        <w:t>(66)</w:t>
      </w:r>
      <w:r>
        <w:tab/>
      </w:r>
      <w:r>
        <w:rPr>
          <w:noProof/>
        </w:rPr>
        <w:t>Ta uredba ne posega v Direktivo 2004/38/ES.</w:t>
      </w:r>
    </w:p>
    <w:p>
      <w:pPr>
        <w:pStyle w:val="ManualConsidrant"/>
        <w:rPr>
          <w:noProof/>
        </w:rPr>
      </w:pPr>
      <w:r>
        <w:t>(67)</w:t>
      </w:r>
      <w:r>
        <w:tab/>
      </w:r>
      <w:r>
        <w:rPr>
          <w:noProof/>
        </w:rPr>
        <w:t>Ta uredba predstavlja razvoj določb schengenskega pravnega reda.</w:t>
      </w:r>
      <w:r>
        <w:rPr>
          <w:i/>
          <w:noProof/>
        </w:rPr>
        <w:t xml:space="preserve"> </w:t>
      </w:r>
    </w:p>
    <w:p>
      <w:pPr>
        <w:pStyle w:val="ManualConsidrant"/>
        <w:rPr>
          <w:noProof/>
        </w:rPr>
      </w:pPr>
      <w:r>
        <w:t>(68)</w:t>
      </w:r>
      <w:r>
        <w:tab/>
      </w:r>
      <w:r>
        <w:rPr>
          <w:noProof/>
        </w:rPr>
        <w:t xml:space="preserve">V skladu s členoma 1 in 2 Protokola št. 22 o stališču Danske, ki je priložen Pogodbi o Evropski uniji in Pogodbi o delovanju Evropske unije, Danska ne sodeluje pri sprejetju te uredbe, ki zato zanjo ni zavezujoča in se v njej ne uporablja. Ker ta uredba nadgrajuje schengenski pravni red, se Danska v skladu s členom 4 navedenega protokola v šestih mesecih od sprejetja te uredbe odloči, ali jo bo prenesla v svoje nacionalno pravo. </w:t>
      </w:r>
    </w:p>
    <w:p>
      <w:pPr>
        <w:pStyle w:val="ManualConsidrant"/>
        <w:rPr>
          <w:noProof/>
        </w:rPr>
      </w:pPr>
      <w:r>
        <w:t>(69)</w:t>
      </w:r>
      <w:r>
        <w:tab/>
      </w:r>
      <w:r>
        <w:rPr>
          <w:noProof/>
        </w:rPr>
        <w:t>Ta uredba predstavlja razvoj določb schengenskega pravnega reda, pri katerem Združeno kraljestvo v skladu s Sklepom Sveta 2000/365/ES</w:t>
      </w:r>
      <w:r>
        <w:rPr>
          <w:rStyle w:val="FootnoteReference"/>
          <w:noProof/>
        </w:rPr>
        <w:footnoteReference w:id="64"/>
      </w:r>
      <w:r>
        <w:rPr>
          <w:noProof/>
        </w:rPr>
        <w:t xml:space="preserve"> ne sodeluje; Združeno kraljestvo torej ne sodeluje pri sprejetju te uredbe, ki zato zanj ni zavezujoča in se v njem ne uporablja. </w:t>
      </w:r>
    </w:p>
    <w:p>
      <w:pPr>
        <w:pStyle w:val="ManualConsidrant"/>
        <w:rPr>
          <w:noProof/>
        </w:rPr>
      </w:pPr>
      <w:r>
        <w:t>(70)</w:t>
      </w:r>
      <w:r>
        <w:tab/>
      </w:r>
      <w:r>
        <w:rPr>
          <w:noProof/>
        </w:rPr>
        <w:t>Ta uredba predstavlja razvoj določb schengenskega pravnega reda, pri katerem Irska v skladu s Sklepom Sveta 2002/192/ES</w:t>
      </w:r>
      <w:r>
        <w:rPr>
          <w:rStyle w:val="FootnoteReference"/>
          <w:noProof/>
        </w:rPr>
        <w:footnoteReference w:id="65"/>
      </w:r>
      <w:r>
        <w:rPr>
          <w:noProof/>
        </w:rPr>
        <w:t xml:space="preserve"> ne sodeluje; Irska torej ne sodeluje pri sprejetju te uredbe, ki zato zanjo ni zavezujoča in se v njej ne uporablja.</w:t>
      </w:r>
    </w:p>
    <w:p>
      <w:pPr>
        <w:pStyle w:val="ManualConsidrant"/>
        <w:rPr>
          <w:noProof/>
        </w:rPr>
      </w:pPr>
      <w:r>
        <w:t>(71)</w:t>
      </w:r>
      <w:r>
        <w:tab/>
      </w:r>
      <w:r>
        <w:rPr>
          <w:noProof/>
        </w:rPr>
        <w:t>Ta uredba predstavlja za Islandijo in Norveško razvoj določb schengenskega pravnega reda v smislu Sporazuma med Svetom Evropske unije in Republiko Islandijo ter Kraljevino Norveško o pridružitvi obeh k izvajanju, uporabi in razvoju schengenskega pravnega reda</w:t>
      </w:r>
      <w:r>
        <w:rPr>
          <w:rStyle w:val="FootnoteReference"/>
          <w:noProof/>
        </w:rPr>
        <w:footnoteReference w:id="66"/>
      </w:r>
      <w:r>
        <w:rPr>
          <w:noProof/>
        </w:rPr>
        <w:t>, ki spadajo na področje iz točk A, B in G člena 1 Sklepa Sveta 1999/437/ES z dne 17. maja 1999 o nekaterih izvedbenih predpisih za uporabo navedenega sporazuma</w:t>
      </w:r>
      <w:r>
        <w:rPr>
          <w:rStyle w:val="FootnoteReference"/>
          <w:noProof/>
        </w:rPr>
        <w:footnoteReference w:id="67"/>
      </w:r>
      <w:r>
        <w:rPr>
          <w:noProof/>
        </w:rPr>
        <w:t xml:space="preserve">. </w:t>
      </w:r>
    </w:p>
    <w:p>
      <w:pPr>
        <w:pStyle w:val="ManualConsidrant"/>
        <w:rPr>
          <w:noProof/>
        </w:rPr>
      </w:pPr>
      <w:r>
        <w:t>(72)</w:t>
      </w:r>
      <w:r>
        <w:tab/>
      </w:r>
      <w:r>
        <w:rPr>
          <w:noProof/>
        </w:rPr>
        <w:t>Ta uredba predstavlja za Švico razvoj določb schengenskega pravnega reda v smislu Sporazuma med Evropsko unijo, Evropsko skupnostjo in Švicarsko konfederacijo o pridružitvi Švicarske konfederacije k izvajanju, uporabi in razvoju schengenskega pravnega reda</w:t>
      </w:r>
      <w:r>
        <w:rPr>
          <w:rStyle w:val="FootnoteReference"/>
          <w:noProof/>
        </w:rPr>
        <w:footnoteReference w:id="68"/>
      </w:r>
      <w:r>
        <w:rPr>
          <w:noProof/>
        </w:rPr>
        <w:t>, ki spadajo na področje iz točk A, B in G člena 1 Sklepa 1999/437/ES v povezavi s členom 3 Sklepa Sveta 2008/146/ES</w:t>
      </w:r>
      <w:r>
        <w:rPr>
          <w:rStyle w:val="FootnoteReference"/>
          <w:noProof/>
        </w:rPr>
        <w:footnoteReference w:id="69"/>
      </w:r>
      <w:r>
        <w:rPr>
          <w:noProof/>
        </w:rPr>
        <w:t xml:space="preserve">. </w:t>
      </w:r>
    </w:p>
    <w:p>
      <w:pPr>
        <w:pStyle w:val="ManualConsidrant"/>
        <w:rPr>
          <w:noProof/>
        </w:rPr>
      </w:pPr>
      <w:r>
        <w:t>(73)</w:t>
      </w:r>
      <w:r>
        <w:tab/>
      </w:r>
      <w:r>
        <w:rPr>
          <w:noProof/>
        </w:rPr>
        <w:t xml:space="preserve">Ta uredba predstavlja za Lihtenštajn razvoj določb schengenskega pravnega reda v smislu Protokola med Evropsko unijo, Evropsko skupnostjo, Švicarsko konfederacijo in Kneževino Lihtenštajn o pristopu Kneževine Lihtenštajn k Sporazumu med Evropsko unijo, Evropsko skupnostjo in Švicarsko konfederacijo o pridružitvi Švicarske konfederacije k izvajanju, uporabi in razvoju schengenskega pravnega </w:t>
      </w:r>
      <w:r>
        <w:rPr>
          <w:noProof/>
        </w:rPr>
        <w:lastRenderedPageBreak/>
        <w:t>reda</w:t>
      </w:r>
      <w:r>
        <w:rPr>
          <w:rStyle w:val="FootnoteReference"/>
          <w:noProof/>
        </w:rPr>
        <w:footnoteReference w:id="70"/>
      </w:r>
      <w:r>
        <w:rPr>
          <w:noProof/>
        </w:rPr>
        <w:t>, ki spadajo na področje iz točk A, B in G člena 1 Sklepa 1999/437/ES v povezavi s členom 3 Sklepa Sveta 2011/350/EU</w:t>
      </w:r>
      <w:r>
        <w:rPr>
          <w:rStyle w:val="FootnoteReference"/>
          <w:noProof/>
        </w:rPr>
        <w:footnoteReference w:id="71"/>
      </w:r>
      <w:r>
        <w:rPr>
          <w:noProof/>
        </w:rPr>
        <w:t xml:space="preserve">. </w:t>
      </w:r>
    </w:p>
    <w:p>
      <w:pPr>
        <w:pStyle w:val="ManualConsidrant"/>
        <w:rPr>
          <w:noProof/>
        </w:rPr>
      </w:pPr>
      <w:r>
        <w:t>(74)</w:t>
      </w:r>
      <w:r>
        <w:tab/>
      </w:r>
      <w:r>
        <w:rPr>
          <w:noProof/>
        </w:rPr>
        <w:t>Za Ciper določbe glede SIS in VIS predstavljajo določbe, ki temeljijo na schengenskem pravnem redu oziroma so z njim kako drugače povezane v smislu člena 3(2) Akta o pristopu iz leta 2003.</w:t>
      </w:r>
    </w:p>
    <w:p>
      <w:pPr>
        <w:pStyle w:val="ManualConsidrant"/>
        <w:rPr>
          <w:noProof/>
        </w:rPr>
      </w:pPr>
      <w:r>
        <w:t>(75)</w:t>
      </w:r>
      <w:r>
        <w:tab/>
      </w:r>
      <w:r>
        <w:rPr>
          <w:noProof/>
        </w:rPr>
        <w:t>Za Bolgarijo in Romunijo določbe glede SIS in VIS predstavljajo določbe, ki temeljijo na schengenskem pravnem redu oziroma so z njim kako drugače povezane v smislu člena 4(2) Akta o pristopu iz leta 2005, ter jih je treba brati v povezavi s Sklepom Sveta 2010/365/EU</w:t>
      </w:r>
      <w:r>
        <w:rPr>
          <w:rStyle w:val="FootnoteReference"/>
          <w:noProof/>
        </w:rPr>
        <w:footnoteReference w:id="72"/>
      </w:r>
      <w:r>
        <w:rPr>
          <w:noProof/>
        </w:rPr>
        <w:t xml:space="preserve"> in Sklepom Sveta (EU) 2017/1908</w:t>
      </w:r>
      <w:r>
        <w:rPr>
          <w:rStyle w:val="FootnoteReference"/>
          <w:noProof/>
        </w:rPr>
        <w:footnoteReference w:id="73"/>
      </w:r>
      <w:r>
        <w:rPr>
          <w:noProof/>
        </w:rPr>
        <w:t>.</w:t>
      </w:r>
    </w:p>
    <w:p>
      <w:pPr>
        <w:pStyle w:val="ManualConsidrant"/>
        <w:rPr>
          <w:noProof/>
        </w:rPr>
      </w:pPr>
      <w:r>
        <w:t>(76)</w:t>
      </w:r>
      <w:r>
        <w:tab/>
      </w:r>
      <w:r>
        <w:rPr>
          <w:noProof/>
        </w:rPr>
        <w:t>Za Hrvaško določbe glede SIS in VIS predstavljajo določbe, ki temeljijo na schengenskem pravnem redu oziroma so z njim kako drugače povezane v smislu člena 4(2) Akta o pristopu iz leta 2011, in jih je treba brati v povezavi s Sklepom Sveta (EU) 2017/733</w:t>
      </w:r>
      <w:r>
        <w:rPr>
          <w:rStyle w:val="FootnoteReference"/>
          <w:noProof/>
        </w:rPr>
        <w:footnoteReference w:id="74"/>
      </w:r>
      <w:r>
        <w:rPr>
          <w:noProof/>
        </w:rPr>
        <w:t xml:space="preserve">. </w:t>
      </w:r>
    </w:p>
    <w:p>
      <w:pPr>
        <w:pStyle w:val="ManualConsidrant"/>
        <w:rPr>
          <w:noProof/>
        </w:rPr>
      </w:pPr>
      <w:r>
        <w:t>(77)</w:t>
      </w:r>
      <w:r>
        <w:tab/>
      </w:r>
      <w:r>
        <w:rPr>
          <w:noProof/>
        </w:rPr>
        <w:t>Ta uredba spoštuje temeljne pravice in upošteva načela, ki jih priznava zlasti Listina Evropske unije o temeljnih pravicah, ter se uporablja v skladu s temi pravicami in načeli.</w:t>
      </w:r>
    </w:p>
    <w:p>
      <w:pPr>
        <w:pStyle w:val="ManualConsidrant"/>
        <w:rPr>
          <w:noProof/>
        </w:rPr>
      </w:pPr>
      <w:r>
        <w:t>(78)</w:t>
      </w:r>
      <w:r>
        <w:tab/>
      </w:r>
      <w:r>
        <w:rPr>
          <w:noProof/>
        </w:rPr>
        <w:t xml:space="preserve">Da bi bila ta uredba v skladu z obstoječim pravnim okvirom, bi bilo treba ustrezno spremeniti Uredbo (EU) 2016/399, Uredbo (EU) 2017/2226, Sklep Sveta 2008/633/PNZ, Uredbo (ES) št. 767/2008 in Odločbo Sveta 2004/512/ES – </w:t>
      </w:r>
    </w:p>
    <w:p>
      <w:pPr>
        <w:rPr>
          <w:noProof/>
        </w:rPr>
      </w:pPr>
    </w:p>
    <w:p>
      <w:pPr>
        <w:rPr>
          <w:noProof/>
        </w:rPr>
      </w:pPr>
    </w:p>
    <w:p>
      <w:pPr>
        <w:pStyle w:val="Formuledadoption"/>
        <w:rPr>
          <w:noProof/>
        </w:rPr>
      </w:pPr>
      <w:r>
        <w:rPr>
          <w:noProof/>
        </w:rPr>
        <w:t>SPREJELA NASLEDNJO UREDBO:</w:t>
      </w:r>
    </w:p>
    <w:p>
      <w:pPr>
        <w:pStyle w:val="ChapterTitle"/>
        <w:rPr>
          <w:noProof/>
        </w:rPr>
      </w:pPr>
      <w:r>
        <w:rPr>
          <w:noProof/>
        </w:rPr>
        <w:t>POGLAVJE I</w:t>
      </w:r>
      <w:r>
        <w:rPr>
          <w:noProof/>
        </w:rPr>
        <w:br/>
        <w:t>Splošne določbe</w:t>
      </w:r>
    </w:p>
    <w:p>
      <w:pPr>
        <w:pStyle w:val="Titrearticle"/>
        <w:spacing w:after="0"/>
        <w:rPr>
          <w:noProof/>
        </w:rPr>
      </w:pPr>
      <w:r>
        <w:rPr>
          <w:noProof/>
        </w:rPr>
        <w:t>Člen 1</w:t>
      </w:r>
    </w:p>
    <w:p>
      <w:pPr>
        <w:pStyle w:val="Titrearticle"/>
        <w:spacing w:before="0"/>
        <w:rPr>
          <w:noProof/>
        </w:rPr>
      </w:pPr>
      <w:r>
        <w:rPr>
          <w:noProof/>
        </w:rPr>
        <w:t>Predmet urejanja</w:t>
      </w:r>
    </w:p>
    <w:p>
      <w:pPr>
        <w:pStyle w:val="ManualNumPar1"/>
        <w:rPr>
          <w:iCs/>
          <w:noProof/>
        </w:rPr>
      </w:pPr>
      <w:r>
        <w:t>1.</w:t>
      </w:r>
      <w:r>
        <w:tab/>
      </w:r>
      <w:r>
        <w:rPr>
          <w:noProof/>
        </w:rPr>
        <w:t>Ta uredba skupaj z [Uredbo (EU) 2018/xx o interoperabilnosti (policijsko in pravosodno sodelovanje, azil in migracije)] vzpostavlja okvir za zagotovitev interoperabilnosti sistema vstopa/izstopa (SVI), vizumskega informacijskega sistema (VIS), [evropskega sistema za potovalne informacije in odobritve (ETIAS)], sistema Eurodac, schengenskega informacijskega sistema (SIS) in [evropskega informacijskega sistema kazenskih evidenc za državljane tretjih držav (ECRIS-TCN)] zaradi medsebojnega dopolnjevanja teh sistemov in podatkov.</w:t>
      </w:r>
    </w:p>
    <w:p>
      <w:pPr>
        <w:pStyle w:val="ManualNumPar1"/>
        <w:rPr>
          <w:noProof/>
        </w:rPr>
      </w:pPr>
      <w:r>
        <w:t>2.</w:t>
      </w:r>
      <w:r>
        <w:tab/>
      </w:r>
      <w:r>
        <w:rPr>
          <w:noProof/>
        </w:rPr>
        <w:t>Okvir vsebuje naslednje sestavne dele interoperabilnosti:</w:t>
      </w:r>
    </w:p>
    <w:p>
      <w:pPr>
        <w:pStyle w:val="Point1letter"/>
        <w:widowControl w:val="0"/>
        <w:numPr>
          <w:ilvl w:val="3"/>
          <w:numId w:val="61"/>
        </w:numPr>
        <w:adjustRightInd w:val="0"/>
        <w:textAlignment w:val="baseline"/>
        <w:rPr>
          <w:noProof/>
        </w:rPr>
      </w:pPr>
      <w:r>
        <w:rPr>
          <w:noProof/>
        </w:rPr>
        <w:lastRenderedPageBreak/>
        <w:t>evropski iskalni portal (ESP);</w:t>
      </w:r>
    </w:p>
    <w:p>
      <w:pPr>
        <w:pStyle w:val="Point1letter"/>
        <w:widowControl w:val="0"/>
        <w:numPr>
          <w:ilvl w:val="3"/>
          <w:numId w:val="61"/>
        </w:numPr>
        <w:adjustRightInd w:val="0"/>
        <w:textAlignment w:val="baseline"/>
        <w:rPr>
          <w:noProof/>
        </w:rPr>
      </w:pPr>
      <w:r>
        <w:rPr>
          <w:noProof/>
        </w:rPr>
        <w:t>skupno storitev za ugotavljanje ujemanja biometričnih podatkov (skupna BMS);</w:t>
      </w:r>
    </w:p>
    <w:p>
      <w:pPr>
        <w:pStyle w:val="Point1letter"/>
        <w:widowControl w:val="0"/>
        <w:numPr>
          <w:ilvl w:val="3"/>
          <w:numId w:val="61"/>
        </w:numPr>
        <w:adjustRightInd w:val="0"/>
        <w:textAlignment w:val="baseline"/>
        <w:rPr>
          <w:noProof/>
        </w:rPr>
      </w:pPr>
      <w:r>
        <w:rPr>
          <w:noProof/>
        </w:rPr>
        <w:t>skupno odložišče podatkov o identiteti (CIR);</w:t>
      </w:r>
    </w:p>
    <w:p>
      <w:pPr>
        <w:pStyle w:val="Point1letter"/>
        <w:widowControl w:val="0"/>
        <w:numPr>
          <w:ilvl w:val="3"/>
          <w:numId w:val="61"/>
        </w:numPr>
        <w:adjustRightInd w:val="0"/>
        <w:textAlignment w:val="baseline"/>
        <w:rPr>
          <w:noProof/>
        </w:rPr>
      </w:pPr>
      <w:r>
        <w:rPr>
          <w:noProof/>
        </w:rPr>
        <w:t>detektor več identitet (MID).</w:t>
      </w:r>
    </w:p>
    <w:p>
      <w:pPr>
        <w:pStyle w:val="ManualNumPar1"/>
        <w:rPr>
          <w:noProof/>
        </w:rPr>
      </w:pPr>
      <w:r>
        <w:t>3.</w:t>
      </w:r>
      <w:r>
        <w:tab/>
      </w:r>
      <w:r>
        <w:rPr>
          <w:noProof/>
        </w:rPr>
        <w:t>Ta uredba tudi vsebuje določbe o zahtevah glede kakovosti podatkov, univerzalnem formatu sporočil (UMF) in centralnem registru za poročanje in statistične podatke (CRRS) ter določa odgovornosti držav članic in Evropske agencije za operativno upravljanje obsežnih informacijskih sistemov s področja svobode, varnosti in pravice (eu-LISA) v zvezi z zasnovo in delovanjem sestavnih delov interoperabilnosti.</w:t>
      </w:r>
    </w:p>
    <w:p>
      <w:pPr>
        <w:pStyle w:val="ManualNumPar1"/>
        <w:rPr>
          <w:noProof/>
        </w:rPr>
      </w:pPr>
      <w:r>
        <w:t>4.</w:t>
      </w:r>
      <w:r>
        <w:tab/>
      </w:r>
      <w:r>
        <w:rPr>
          <w:noProof/>
        </w:rPr>
        <w:t>Ta uredba tudi prilagaja postopke in pogoje za dostop organov kazenskega pregona držav članic in Agencije Evropske unije za sodelovanje na področju kazenskega pregona (Europol) do sistema vstopa/izstopa (SVI), vizumskega informacijskega sistema (VIS), [evropskega sistema za potovalne informacije in odobritve (ETIAS)] in sistema Eurodac za namene preprečevanja, odkrivanja in preiskovanja terorističnih kaznivih dejanj ali drugih hudih kaznivih dejanj, ki spadajo v njihovo pristojnost.</w:t>
      </w:r>
    </w:p>
    <w:p>
      <w:pPr>
        <w:pStyle w:val="Titrearticle"/>
        <w:spacing w:after="0"/>
        <w:rPr>
          <w:noProof/>
        </w:rPr>
      </w:pPr>
      <w:r>
        <w:rPr>
          <w:noProof/>
        </w:rPr>
        <w:t>Člen 2</w:t>
      </w:r>
      <w:r>
        <w:rPr>
          <w:noProof/>
        </w:rPr>
        <w:br/>
        <w:t xml:space="preserve">Cilji interoperabilnosti </w:t>
      </w:r>
    </w:p>
    <w:p>
      <w:pPr>
        <w:pStyle w:val="ManualNumPar1"/>
        <w:rPr>
          <w:noProof/>
        </w:rPr>
      </w:pPr>
      <w:r>
        <w:t>1.</w:t>
      </w:r>
      <w:r>
        <w:tab/>
      </w:r>
      <w:r>
        <w:rPr>
          <w:noProof/>
        </w:rPr>
        <w:t>Cilji te uredbe so z zagotavljanjem interoperabilnosti:</w:t>
      </w:r>
    </w:p>
    <w:p>
      <w:pPr>
        <w:pStyle w:val="Point1letter"/>
        <w:widowControl w:val="0"/>
        <w:numPr>
          <w:ilvl w:val="3"/>
          <w:numId w:val="58"/>
        </w:numPr>
        <w:adjustRightInd w:val="0"/>
        <w:textAlignment w:val="baseline"/>
        <w:rPr>
          <w:noProof/>
        </w:rPr>
      </w:pPr>
      <w:r>
        <w:rPr>
          <w:noProof/>
        </w:rPr>
        <w:t>izboljšati upravljanje zunanjih meja;</w:t>
      </w:r>
    </w:p>
    <w:p>
      <w:pPr>
        <w:pStyle w:val="Point1letter"/>
        <w:widowControl w:val="0"/>
        <w:numPr>
          <w:ilvl w:val="3"/>
          <w:numId w:val="58"/>
        </w:numPr>
        <w:adjustRightInd w:val="0"/>
        <w:textAlignment w:val="baseline"/>
        <w:rPr>
          <w:noProof/>
        </w:rPr>
      </w:pPr>
      <w:r>
        <w:rPr>
          <w:noProof/>
        </w:rPr>
        <w:t xml:space="preserve">prispevati k preprečevanju nedovoljenih migracij in boju proti njim; </w:t>
      </w:r>
    </w:p>
    <w:p>
      <w:pPr>
        <w:pStyle w:val="Point1letter"/>
        <w:widowControl w:val="0"/>
        <w:numPr>
          <w:ilvl w:val="3"/>
          <w:numId w:val="58"/>
        </w:numPr>
        <w:adjustRightInd w:val="0"/>
        <w:textAlignment w:val="baseline"/>
        <w:rPr>
          <w:noProof/>
        </w:rPr>
      </w:pPr>
      <w:r>
        <w:rPr>
          <w:noProof/>
        </w:rPr>
        <w:t>prispevati k visoki ravni varnosti na območju svobode, varnosti in pravice v Uniji, vključno z vzdrževanjem javnega reda in varnosti ter varovanjem varnosti na ozemljih držav članic;</w:t>
      </w:r>
    </w:p>
    <w:p>
      <w:pPr>
        <w:pStyle w:val="Point1letter"/>
        <w:widowControl w:val="0"/>
        <w:numPr>
          <w:ilvl w:val="3"/>
          <w:numId w:val="58"/>
        </w:numPr>
        <w:adjustRightInd w:val="0"/>
        <w:textAlignment w:val="baseline"/>
        <w:rPr>
          <w:noProof/>
        </w:rPr>
      </w:pPr>
      <w:r>
        <w:rPr>
          <w:noProof/>
        </w:rPr>
        <w:t>izboljšati izvajanje skupne vizumske politike ter</w:t>
      </w:r>
    </w:p>
    <w:p>
      <w:pPr>
        <w:pStyle w:val="Point1letter"/>
        <w:widowControl w:val="0"/>
        <w:numPr>
          <w:ilvl w:val="3"/>
          <w:numId w:val="58"/>
        </w:numPr>
        <w:adjustRightInd w:val="0"/>
        <w:textAlignment w:val="baseline"/>
        <w:rPr>
          <w:noProof/>
        </w:rPr>
      </w:pPr>
      <w:r>
        <w:rPr>
          <w:noProof/>
        </w:rPr>
        <w:t>pomagati pri obravnavi prošenj za mednarodno zaščito.</w:t>
      </w:r>
    </w:p>
    <w:p>
      <w:pPr>
        <w:pStyle w:val="ManualNumPar1"/>
        <w:rPr>
          <w:noProof/>
        </w:rPr>
      </w:pPr>
      <w:r>
        <w:t>2.</w:t>
      </w:r>
      <w:r>
        <w:tab/>
      </w:r>
      <w:r>
        <w:rPr>
          <w:noProof/>
        </w:rPr>
        <w:t>Cilji zagotavljanja interoperabilnosti se bodo dosegli z:</w:t>
      </w:r>
    </w:p>
    <w:p>
      <w:pPr>
        <w:pStyle w:val="Point1letter"/>
        <w:widowControl w:val="0"/>
        <w:numPr>
          <w:ilvl w:val="3"/>
          <w:numId w:val="60"/>
        </w:numPr>
        <w:adjustRightInd w:val="0"/>
        <w:textAlignment w:val="baseline"/>
        <w:rPr>
          <w:noProof/>
        </w:rPr>
      </w:pPr>
      <w:r>
        <w:rPr>
          <w:noProof/>
        </w:rPr>
        <w:t>zagotavljanjem pravilne identifikacije oseb;</w:t>
      </w:r>
    </w:p>
    <w:p>
      <w:pPr>
        <w:pStyle w:val="Point1letter"/>
        <w:widowControl w:val="0"/>
        <w:numPr>
          <w:ilvl w:val="3"/>
          <w:numId w:val="60"/>
        </w:numPr>
        <w:adjustRightInd w:val="0"/>
        <w:textAlignment w:val="baseline"/>
        <w:rPr>
          <w:noProof/>
        </w:rPr>
      </w:pPr>
      <w:r>
        <w:rPr>
          <w:noProof/>
        </w:rPr>
        <w:t>prispevanjem k boju proti identitetnim prevaram;</w:t>
      </w:r>
    </w:p>
    <w:p>
      <w:pPr>
        <w:pStyle w:val="Point1letter"/>
        <w:widowControl w:val="0"/>
        <w:numPr>
          <w:ilvl w:val="3"/>
          <w:numId w:val="60"/>
        </w:numPr>
        <w:adjustRightInd w:val="0"/>
        <w:textAlignment w:val="baseline"/>
        <w:rPr>
          <w:noProof/>
        </w:rPr>
      </w:pPr>
      <w:r>
        <w:rPr>
          <w:noProof/>
        </w:rPr>
        <w:t>izboljšanjem in uskladitvijo zahtev glede kakovosti podatkov za zadevne informacijske sisteme EU;</w:t>
      </w:r>
    </w:p>
    <w:p>
      <w:pPr>
        <w:pStyle w:val="Point1letter"/>
        <w:widowControl w:val="0"/>
        <w:numPr>
          <w:ilvl w:val="3"/>
          <w:numId w:val="60"/>
        </w:numPr>
        <w:adjustRightInd w:val="0"/>
        <w:textAlignment w:val="baseline"/>
        <w:rPr>
          <w:noProof/>
        </w:rPr>
      </w:pPr>
      <w:r>
        <w:rPr>
          <w:noProof/>
        </w:rPr>
        <w:t>olajšanjem tehničnega in operativnega izvajanja obstoječih in prihodnjih informacijskih sistemov EU s strani držav članic;</w:t>
      </w:r>
    </w:p>
    <w:p>
      <w:pPr>
        <w:pStyle w:val="Point1letter"/>
        <w:widowControl w:val="0"/>
        <w:numPr>
          <w:ilvl w:val="3"/>
          <w:numId w:val="60"/>
        </w:numPr>
        <w:adjustRightInd w:val="0"/>
        <w:textAlignment w:val="baseline"/>
        <w:rPr>
          <w:noProof/>
        </w:rPr>
      </w:pPr>
      <w:r>
        <w:rPr>
          <w:noProof/>
        </w:rPr>
        <w:t>krepitvijo, poenostavitvijo in uskladitvijo pogojev za varnost in varstvo podatkov, ki urejajo zadevne informacijske sisteme EU;</w:t>
      </w:r>
    </w:p>
    <w:p>
      <w:pPr>
        <w:pStyle w:val="Point1letter"/>
        <w:widowControl w:val="0"/>
        <w:numPr>
          <w:ilvl w:val="3"/>
          <w:numId w:val="60"/>
        </w:numPr>
        <w:adjustRightInd w:val="0"/>
        <w:textAlignment w:val="baseline"/>
        <w:rPr>
          <w:noProof/>
        </w:rPr>
      </w:pPr>
      <w:r>
        <w:rPr>
          <w:noProof/>
        </w:rPr>
        <w:t>racionalizacijo pogojev za dostop organov kazenskega pregona do SVI, VIS, [sistema ETIAS] in sistema Eurodac;</w:t>
      </w:r>
    </w:p>
    <w:p>
      <w:pPr>
        <w:pStyle w:val="Point1letter"/>
        <w:widowControl w:val="0"/>
        <w:numPr>
          <w:ilvl w:val="3"/>
          <w:numId w:val="60"/>
        </w:numPr>
        <w:adjustRightInd w:val="0"/>
        <w:textAlignment w:val="baseline"/>
        <w:rPr>
          <w:noProof/>
        </w:rPr>
      </w:pPr>
      <w:r>
        <w:rPr>
          <w:noProof/>
        </w:rPr>
        <w:t>podpiranjem namenov SVI, VIS, [sistema ETIAS], sistema Eurodac, SIS in [sistema ECRIS-TCN].</w:t>
      </w:r>
    </w:p>
    <w:p>
      <w:pPr>
        <w:pStyle w:val="Titrearticle"/>
        <w:spacing w:after="0"/>
        <w:rPr>
          <w:noProof/>
        </w:rPr>
      </w:pPr>
      <w:r>
        <w:rPr>
          <w:noProof/>
        </w:rPr>
        <w:lastRenderedPageBreak/>
        <w:t>Člen 3</w:t>
      </w:r>
    </w:p>
    <w:p>
      <w:pPr>
        <w:pStyle w:val="Titrearticle"/>
        <w:spacing w:before="0"/>
        <w:rPr>
          <w:noProof/>
        </w:rPr>
      </w:pPr>
      <w:r>
        <w:rPr>
          <w:noProof/>
        </w:rPr>
        <w:t>Področje uporabe</w:t>
      </w:r>
    </w:p>
    <w:p>
      <w:pPr>
        <w:pStyle w:val="ManualNumPar1"/>
        <w:rPr>
          <w:noProof/>
        </w:rPr>
      </w:pPr>
      <w:r>
        <w:t>1.</w:t>
      </w:r>
      <w:r>
        <w:tab/>
      </w:r>
      <w:r>
        <w:rPr>
          <w:noProof/>
        </w:rPr>
        <w:t xml:space="preserve">Ta uredba se uporablja za [sistem vstopa/izstopa (SVI)], vizumski informacijski sistem (VIS), [evropski sistem za potovalne informacije in odobritve (ETIAS)] in schengenski informacijski sistem (SIS). </w:t>
      </w:r>
    </w:p>
    <w:p>
      <w:pPr>
        <w:pStyle w:val="ManualNumPar1"/>
        <w:rPr>
          <w:noProof/>
        </w:rPr>
      </w:pPr>
      <w:r>
        <w:t>2.</w:t>
      </w:r>
      <w:r>
        <w:tab/>
      </w:r>
      <w:r>
        <w:rPr>
          <w:noProof/>
        </w:rPr>
        <w:t>Ta uredba se uporablja za osebe, katerih osebni podatki se lahko obdelujejo v informacijskih sistemih EU iz odstavka 1.</w:t>
      </w:r>
    </w:p>
    <w:p>
      <w:pPr>
        <w:pStyle w:val="Titrearticle"/>
        <w:rPr>
          <w:noProof/>
        </w:rPr>
      </w:pPr>
      <w:r>
        <w:rPr>
          <w:noProof/>
        </w:rPr>
        <w:t>Člen 4</w:t>
      </w:r>
      <w:r>
        <w:rPr>
          <w:noProof/>
          <w:u w:val="single"/>
        </w:rPr>
        <w:br/>
      </w:r>
      <w:r>
        <w:rPr>
          <w:noProof/>
        </w:rPr>
        <w:t>Opredelitev pojmov</w:t>
      </w:r>
    </w:p>
    <w:p>
      <w:pPr>
        <w:rPr>
          <w:noProof/>
        </w:rPr>
      </w:pPr>
      <w:r>
        <w:rPr>
          <w:noProof/>
        </w:rPr>
        <w:t>V tej uredbi se uporabljajo naslednje opredelitve pojmov:</w:t>
      </w:r>
    </w:p>
    <w:p>
      <w:pPr>
        <w:pStyle w:val="Point1number"/>
        <w:numPr>
          <w:ilvl w:val="2"/>
          <w:numId w:val="112"/>
        </w:numPr>
        <w:rPr>
          <w:noProof/>
        </w:rPr>
      </w:pPr>
      <w:r>
        <w:rPr>
          <w:noProof/>
        </w:rPr>
        <w:t>„zunanje meje“ pomeni zunanje meje, kakor so opredeljene v členu 2(2) Uredbe (EU) 2016/399;</w:t>
      </w:r>
    </w:p>
    <w:p>
      <w:pPr>
        <w:pStyle w:val="Point1number"/>
        <w:numPr>
          <w:ilvl w:val="2"/>
          <w:numId w:val="112"/>
        </w:numPr>
        <w:rPr>
          <w:noProof/>
        </w:rPr>
      </w:pPr>
      <w:r>
        <w:rPr>
          <w:noProof/>
        </w:rPr>
        <w:t>„mejna kontrola“ pomeni mejno kontrolo, kakor je opredeljena v členu 2(11) Uredbe (EU) 2016/399;</w:t>
      </w:r>
    </w:p>
    <w:p>
      <w:pPr>
        <w:pStyle w:val="Point1number"/>
        <w:numPr>
          <w:ilvl w:val="2"/>
          <w:numId w:val="112"/>
        </w:numPr>
        <w:rPr>
          <w:noProof/>
        </w:rPr>
      </w:pPr>
      <w:r>
        <w:rPr>
          <w:noProof/>
        </w:rPr>
        <w:t>„</w:t>
      </w:r>
      <w:bookmarkStart w:id="63" w:name="_DV_M232"/>
      <w:bookmarkEnd w:id="63"/>
      <w:r>
        <w:rPr>
          <w:noProof/>
        </w:rPr>
        <w:t>mejni organ</w:t>
      </w:r>
      <w:bookmarkStart w:id="64" w:name="_DV_M233"/>
      <w:bookmarkEnd w:id="64"/>
      <w:r>
        <w:rPr>
          <w:noProof/>
        </w:rPr>
        <w:t xml:space="preserve">“ pomeni </w:t>
      </w:r>
      <w:bookmarkStart w:id="65" w:name="_DV_C376"/>
      <w:r>
        <w:rPr>
          <w:noProof/>
        </w:rPr>
        <w:t>mejnega policista,</w:t>
      </w:r>
      <w:bookmarkStart w:id="66" w:name="_DV_M234"/>
      <w:bookmarkEnd w:id="65"/>
      <w:bookmarkEnd w:id="66"/>
      <w:r>
        <w:rPr>
          <w:noProof/>
        </w:rPr>
        <w:t xml:space="preserve"> ki</w:t>
      </w:r>
      <w:bookmarkStart w:id="67" w:name="_DV_M235"/>
      <w:bookmarkEnd w:id="67"/>
      <w:r>
        <w:rPr>
          <w:noProof/>
        </w:rPr>
        <w:t xml:space="preserve"> v skladu z nacionalno zakonodajo</w:t>
      </w:r>
      <w:bookmarkStart w:id="68" w:name="_DV_M236"/>
      <w:bookmarkEnd w:id="68"/>
      <w:r>
        <w:rPr>
          <w:noProof/>
        </w:rPr>
        <w:t xml:space="preserve"> izvaja </w:t>
      </w:r>
      <w:bookmarkStart w:id="69" w:name="_DV_C379"/>
      <w:r>
        <w:rPr>
          <w:noProof/>
        </w:rPr>
        <w:t xml:space="preserve">mejno </w:t>
      </w:r>
      <w:bookmarkStart w:id="70" w:name="_DV_M237"/>
      <w:bookmarkEnd w:id="69"/>
      <w:bookmarkEnd w:id="70"/>
      <w:r>
        <w:rPr>
          <w:noProof/>
        </w:rPr>
        <w:t>kontrolo;</w:t>
      </w:r>
    </w:p>
    <w:p>
      <w:pPr>
        <w:pStyle w:val="Point1number"/>
        <w:numPr>
          <w:ilvl w:val="2"/>
          <w:numId w:val="112"/>
        </w:numPr>
        <w:rPr>
          <w:noProof/>
        </w:rPr>
      </w:pPr>
      <w:bookmarkStart w:id="71" w:name="_DV_C428"/>
      <w:r>
        <w:rPr>
          <w:noProof/>
        </w:rPr>
        <w:t>„nadzorni organi</w:t>
      </w:r>
      <w:bookmarkEnd w:id="71"/>
      <w:r>
        <w:rPr>
          <w:noProof/>
        </w:rPr>
        <w:t xml:space="preserve">“ pomeni nadzorni </w:t>
      </w:r>
      <w:bookmarkStart w:id="72" w:name="_DV_C430"/>
      <w:r>
        <w:rPr>
          <w:noProof/>
        </w:rPr>
        <w:t>organ, ustanovljen v skladu s členom 51(1) Uredbe (EU) 2016/679, in nadzorni organ</w:t>
      </w:r>
      <w:bookmarkStart w:id="73" w:name="_DV_M269"/>
      <w:bookmarkEnd w:id="72"/>
      <w:bookmarkEnd w:id="73"/>
      <w:r>
        <w:rPr>
          <w:noProof/>
        </w:rPr>
        <w:t>, ustanovljen v skladu s členom 4</w:t>
      </w:r>
      <w:bookmarkStart w:id="74" w:name="_DV_C432"/>
      <w:r>
        <w:rPr>
          <w:noProof/>
        </w:rPr>
        <w:t>1(1)</w:t>
      </w:r>
      <w:bookmarkStart w:id="75" w:name="_DV_M270"/>
      <w:bookmarkEnd w:id="74"/>
      <w:bookmarkEnd w:id="75"/>
      <w:r>
        <w:rPr>
          <w:noProof/>
        </w:rPr>
        <w:t xml:space="preserve"> Direktive </w:t>
      </w:r>
      <w:bookmarkStart w:id="76" w:name="_DV_C434"/>
      <w:r>
        <w:rPr>
          <w:noProof/>
        </w:rPr>
        <w:t>(EU) 2016/680;</w:t>
      </w:r>
      <w:bookmarkEnd w:id="76"/>
    </w:p>
    <w:p>
      <w:pPr>
        <w:pStyle w:val="Point1number"/>
        <w:numPr>
          <w:ilvl w:val="2"/>
          <w:numId w:val="112"/>
        </w:numPr>
        <w:rPr>
          <w:noProof/>
        </w:rPr>
      </w:pPr>
      <w:bookmarkStart w:id="77" w:name="_DV_M256"/>
      <w:bookmarkStart w:id="78" w:name="_DV_M257"/>
      <w:bookmarkEnd w:id="77"/>
      <w:bookmarkEnd w:id="78"/>
      <w:r>
        <w:rPr>
          <w:noProof/>
        </w:rPr>
        <w:t>„preverjanje“ pomeni postopek primerjave nizov podatkov zaradi potrjevanja zatrjevane identitete osebe (preverjanje s primerjanjem z enim vzorcem);</w:t>
      </w:r>
    </w:p>
    <w:p>
      <w:pPr>
        <w:pStyle w:val="Point1number"/>
        <w:numPr>
          <w:ilvl w:val="2"/>
          <w:numId w:val="112"/>
        </w:numPr>
        <w:rPr>
          <w:noProof/>
        </w:rPr>
      </w:pPr>
      <w:r>
        <w:rPr>
          <w:noProof/>
        </w:rPr>
        <w:t>„identifikacija“ pomeni postopek ugotavljanja identitete osebe s primerjanjem več nizov podatkov v podatkovni zbirki (preverjanje s primerjanjem z več vzorci);</w:t>
      </w:r>
    </w:p>
    <w:p>
      <w:pPr>
        <w:pStyle w:val="Point1number"/>
        <w:numPr>
          <w:ilvl w:val="2"/>
          <w:numId w:val="112"/>
        </w:numPr>
        <w:rPr>
          <w:noProof/>
        </w:rPr>
      </w:pPr>
      <w:r>
        <w:rPr>
          <w:noProof/>
        </w:rPr>
        <w:t xml:space="preserve">„državljan tretje države“ pomeni osebo, ki ni državljan Unije v smislu člena 20(1) Pogodbe, osebo brez državljanstva ali osebo, katere državljanstvo ni znano; </w:t>
      </w:r>
    </w:p>
    <w:p>
      <w:pPr>
        <w:pStyle w:val="Point1number"/>
        <w:numPr>
          <w:ilvl w:val="2"/>
          <w:numId w:val="112"/>
        </w:numPr>
        <w:rPr>
          <w:noProof/>
        </w:rPr>
      </w:pPr>
      <w:bookmarkStart w:id="79" w:name="_DV_M258"/>
      <w:bookmarkEnd w:id="79"/>
      <w:r>
        <w:rPr>
          <w:noProof/>
        </w:rPr>
        <w:t>„alfanumerični podatki“ pomeni podatke, ki so predstavljeni s črkami, številkami, posebnimi znaki, razmiki med znaki in ločili;</w:t>
      </w:r>
    </w:p>
    <w:p>
      <w:pPr>
        <w:pStyle w:val="Point1number"/>
        <w:numPr>
          <w:ilvl w:val="2"/>
          <w:numId w:val="112"/>
        </w:numPr>
        <w:rPr>
          <w:noProof/>
        </w:rPr>
      </w:pPr>
      <w:r>
        <w:rPr>
          <w:noProof/>
        </w:rPr>
        <w:t xml:space="preserve">„podatki o identiteti“ pomeni podatke iz člena 27(3)(a) do (h); </w:t>
      </w:r>
    </w:p>
    <w:p>
      <w:pPr>
        <w:pStyle w:val="Point1number"/>
        <w:numPr>
          <w:ilvl w:val="2"/>
          <w:numId w:val="112"/>
        </w:numPr>
        <w:rPr>
          <w:noProof/>
        </w:rPr>
      </w:pPr>
      <w:bookmarkStart w:id="80" w:name="_DV_M259"/>
      <w:bookmarkEnd w:id="80"/>
      <w:r>
        <w:rPr>
          <w:noProof/>
        </w:rPr>
        <w:t xml:space="preserve">„podatki o prstnih odtisih“ pomeni podatke </w:t>
      </w:r>
      <w:bookmarkStart w:id="81" w:name="_DV_C417"/>
      <w:r>
        <w:rPr>
          <w:noProof/>
        </w:rPr>
        <w:t xml:space="preserve">o </w:t>
      </w:r>
      <w:bookmarkEnd w:id="81"/>
      <w:r>
        <w:rPr>
          <w:noProof/>
        </w:rPr>
        <w:t xml:space="preserve">prstnih odtisih </w:t>
      </w:r>
      <w:bookmarkStart w:id="82" w:name="_DV_C420"/>
      <w:r>
        <w:rPr>
          <w:noProof/>
        </w:rPr>
        <w:t>posameznika;</w:t>
      </w:r>
      <w:bookmarkEnd w:id="82"/>
    </w:p>
    <w:p>
      <w:pPr>
        <w:pStyle w:val="Point1number"/>
        <w:numPr>
          <w:ilvl w:val="2"/>
          <w:numId w:val="112"/>
        </w:numPr>
        <w:rPr>
          <w:noProof/>
        </w:rPr>
      </w:pPr>
      <w:bookmarkStart w:id="83" w:name="_DV_M262"/>
      <w:bookmarkEnd w:id="83"/>
      <w:r>
        <w:rPr>
          <w:noProof/>
        </w:rPr>
        <w:t>„podoba obraza“ pomeni digitalno sliko obraza;</w:t>
      </w:r>
    </w:p>
    <w:p>
      <w:pPr>
        <w:pStyle w:val="Point1number"/>
        <w:numPr>
          <w:ilvl w:val="2"/>
          <w:numId w:val="112"/>
        </w:numPr>
        <w:rPr>
          <w:noProof/>
        </w:rPr>
      </w:pPr>
      <w:r>
        <w:rPr>
          <w:noProof/>
        </w:rPr>
        <w:t>„biometrični podatki“ pomeni podatke o prstnih odtisih in/ali podobo obraza;</w:t>
      </w:r>
      <w:bookmarkStart w:id="84" w:name="_DV_M264"/>
      <w:bookmarkEnd w:id="84"/>
    </w:p>
    <w:p>
      <w:pPr>
        <w:pStyle w:val="Point1number"/>
        <w:numPr>
          <w:ilvl w:val="2"/>
          <w:numId w:val="112"/>
        </w:numPr>
        <w:rPr>
          <w:noProof/>
        </w:rPr>
      </w:pPr>
      <w:r>
        <w:rPr>
          <w:noProof/>
        </w:rPr>
        <w:t>„biometrična predloga“ pomeni matematično predstavitev, ki je pridobljena z ekstrakcijo značilnosti iz biometričnih podatkov in omejena na značilnosti, potrebne za identifikacijo in preverjanje;</w:t>
      </w:r>
    </w:p>
    <w:p>
      <w:pPr>
        <w:pStyle w:val="Point1number"/>
        <w:numPr>
          <w:ilvl w:val="2"/>
          <w:numId w:val="112"/>
        </w:numPr>
        <w:rPr>
          <w:noProof/>
        </w:rPr>
      </w:pPr>
      <w:r>
        <w:rPr>
          <w:noProof/>
        </w:rPr>
        <w:t>„potovalni dokument“ pomeni potni list ali drug enakovreden dokument, s katerim je imetnik upravičen do prehoda zunanjih meja in v katerega se lahko pritrdi vizum;</w:t>
      </w:r>
    </w:p>
    <w:p>
      <w:pPr>
        <w:pStyle w:val="Point1number"/>
        <w:numPr>
          <w:ilvl w:val="2"/>
          <w:numId w:val="112"/>
        </w:numPr>
        <w:rPr>
          <w:noProof/>
        </w:rPr>
      </w:pPr>
      <w:r>
        <w:rPr>
          <w:noProof/>
        </w:rPr>
        <w:lastRenderedPageBreak/>
        <w:t xml:space="preserve">„podatki o potovalnem dokumentu“ pomeni vrsto, številko in državo izdajateljico potovalnega dokumenta, datum izteka njegove veljavnosti in tričrkovno oznako države izdajateljice; </w:t>
      </w:r>
    </w:p>
    <w:p>
      <w:pPr>
        <w:pStyle w:val="Point1number"/>
        <w:numPr>
          <w:ilvl w:val="2"/>
          <w:numId w:val="112"/>
        </w:numPr>
        <w:rPr>
          <w:noProof/>
        </w:rPr>
      </w:pPr>
      <w:r>
        <w:rPr>
          <w:noProof/>
        </w:rPr>
        <w:t>„odobritev potovanja“ pomeni odobritev potovanja, kakor je opredeljena v členu 3 [uredbe o sistemu ETIAS];</w:t>
      </w:r>
    </w:p>
    <w:p>
      <w:pPr>
        <w:pStyle w:val="Point1number"/>
        <w:numPr>
          <w:ilvl w:val="2"/>
          <w:numId w:val="112"/>
        </w:numPr>
        <w:rPr>
          <w:noProof/>
        </w:rPr>
      </w:pPr>
      <w:r>
        <w:rPr>
          <w:noProof/>
        </w:rPr>
        <w:t>„vizum za kratkoročno bivanje“ pomeni vizum, kakor je opredeljen v členu 2(2)(a) Uredbe (ES) št. 810/2009</w:t>
      </w:r>
      <w:bookmarkStart w:id="85" w:name="_DV_C400"/>
      <w:r>
        <w:rPr>
          <w:noProof/>
        </w:rPr>
        <w:t>;</w:t>
      </w:r>
      <w:bookmarkEnd w:id="85"/>
    </w:p>
    <w:p>
      <w:pPr>
        <w:pStyle w:val="Point1number"/>
        <w:numPr>
          <w:ilvl w:val="2"/>
          <w:numId w:val="112"/>
        </w:numPr>
        <w:rPr>
          <w:noProof/>
        </w:rPr>
      </w:pPr>
      <w:r>
        <w:rPr>
          <w:noProof/>
        </w:rPr>
        <w:t>„informacijski sistemi EU“ pomeni obsežne informacijske sisteme, ki jih upravlja agencija eu-LISA;</w:t>
      </w:r>
    </w:p>
    <w:p>
      <w:pPr>
        <w:pStyle w:val="Point1number"/>
        <w:numPr>
          <w:ilvl w:val="2"/>
          <w:numId w:val="112"/>
        </w:numPr>
        <w:rPr>
          <w:noProof/>
        </w:rPr>
      </w:pPr>
      <w:r>
        <w:rPr>
          <w:noProof/>
        </w:rPr>
        <w:t>„podatki Europola“ pomeni osebne podatke, posredovane Europolu za namene iz člena 18(2)(a) Uredbe (EU) 2016/794;</w:t>
      </w:r>
    </w:p>
    <w:p>
      <w:pPr>
        <w:pStyle w:val="Point1number"/>
        <w:numPr>
          <w:ilvl w:val="2"/>
          <w:numId w:val="112"/>
        </w:numPr>
        <w:rPr>
          <w:noProof/>
        </w:rPr>
      </w:pPr>
      <w:r>
        <w:rPr>
          <w:noProof/>
        </w:rPr>
        <w:t>„podatkovni zbirki Interpola“ pomeni podatkovno zbirko Interpola o ukradenih in izgubljenih potovalnih dokumentih ter Interpolovo zbirko potovalnih dokumentov, povezanih z razpisi ukrepov;</w:t>
      </w:r>
    </w:p>
    <w:p>
      <w:pPr>
        <w:pStyle w:val="Point1number"/>
        <w:numPr>
          <w:ilvl w:val="2"/>
          <w:numId w:val="112"/>
        </w:numPr>
        <w:rPr>
          <w:noProof/>
        </w:rPr>
      </w:pPr>
      <w:r>
        <w:rPr>
          <w:noProof/>
        </w:rPr>
        <w:t xml:space="preserve">„ujemanje“ pomeni obstoj povezave, ugotovljene s primerjavo dveh ali več osebnih podatkov, ki so evidentirani ali se evidentirajo v informacijskem sistemu ali podatkovni zbirki; </w:t>
      </w:r>
    </w:p>
    <w:p>
      <w:pPr>
        <w:pStyle w:val="Point1number"/>
        <w:numPr>
          <w:ilvl w:val="2"/>
          <w:numId w:val="112"/>
        </w:numPr>
        <w:rPr>
          <w:noProof/>
        </w:rPr>
      </w:pPr>
      <w:r>
        <w:rPr>
          <w:noProof/>
        </w:rPr>
        <w:t xml:space="preserve">„zadetek“ pomeni potrditev enega ali več ujemanj; </w:t>
      </w:r>
    </w:p>
    <w:p>
      <w:pPr>
        <w:pStyle w:val="Point1number"/>
        <w:numPr>
          <w:ilvl w:val="2"/>
          <w:numId w:val="112"/>
        </w:numPr>
        <w:rPr>
          <w:noProof/>
        </w:rPr>
      </w:pPr>
      <w:r>
        <w:rPr>
          <w:noProof/>
        </w:rPr>
        <w:t>„policijski organ“ pomeni pristojni organ, kakor je opredeljen v členu 3(7) Direktive (EU) 2016/680;</w:t>
      </w:r>
    </w:p>
    <w:p>
      <w:pPr>
        <w:pStyle w:val="Point1number"/>
        <w:numPr>
          <w:ilvl w:val="2"/>
          <w:numId w:val="112"/>
        </w:numPr>
        <w:rPr>
          <w:noProof/>
        </w:rPr>
      </w:pPr>
      <w:r>
        <w:rPr>
          <w:noProof/>
        </w:rPr>
        <w:t>„imenovani organi“ pomeni imenovane organe držav članic iz člena 29(1) Uredbe (EU) 2017/2226, člena 3(1) Sklepa Sveta 2008/633/PNZ, [člena 43 uredbe o sistemu ETIAS] in [člena 6 uredbe Eurodac];</w:t>
      </w:r>
    </w:p>
    <w:p>
      <w:pPr>
        <w:pStyle w:val="Point1number"/>
        <w:numPr>
          <w:ilvl w:val="2"/>
          <w:numId w:val="112"/>
        </w:numPr>
        <w:rPr>
          <w:noProof/>
        </w:rPr>
      </w:pPr>
      <w:r>
        <w:rPr>
          <w:noProof/>
        </w:rPr>
        <w:t>„teroristično kaznivo dejanje“ pomeni kaznivo dejanje po nacionalnem pravu, ki ustreza ali je enakovredno enemu izmed kaznivih dejanj iz Direktive (EU) 2017/541;</w:t>
      </w:r>
    </w:p>
    <w:p>
      <w:pPr>
        <w:pStyle w:val="Point1number"/>
        <w:numPr>
          <w:ilvl w:val="2"/>
          <w:numId w:val="112"/>
        </w:numPr>
        <w:rPr>
          <w:noProof/>
        </w:rPr>
      </w:pPr>
      <w:r>
        <w:rPr>
          <w:noProof/>
        </w:rPr>
        <w:t>„hudo kaznivo dejanje“ pomeni kaznivo dejanje, ki ustreza ali je enakovredno enemu izmed kaznivih dejanj iz člena 2(2) Okvirnega Sklepa 2002/584/PNZ, če se po nacionalnem pravu kaznuje z zaporno kaznijo ali ukrepom odvzema prostosti z najvišjo zagroženo kaznijo najmanj treh let;</w:t>
      </w:r>
    </w:p>
    <w:p>
      <w:pPr>
        <w:pStyle w:val="Point1number"/>
        <w:numPr>
          <w:ilvl w:val="2"/>
          <w:numId w:val="112"/>
        </w:numPr>
        <w:rPr>
          <w:noProof/>
        </w:rPr>
      </w:pPr>
      <w:r>
        <w:rPr>
          <w:noProof/>
        </w:rPr>
        <w:t>„SVI“ pomeni sistem vstopa/izstopa iz Uredbe (EU) 2017/2226;</w:t>
      </w:r>
    </w:p>
    <w:p>
      <w:pPr>
        <w:pStyle w:val="Point1number"/>
        <w:numPr>
          <w:ilvl w:val="2"/>
          <w:numId w:val="112"/>
        </w:numPr>
        <w:rPr>
          <w:noProof/>
        </w:rPr>
      </w:pPr>
      <w:r>
        <w:rPr>
          <w:noProof/>
        </w:rPr>
        <w:t>„VIS“ pomeni vizumski informacijski sistem iz Uredbe (ES) št. 767/2008;</w:t>
      </w:r>
    </w:p>
    <w:p>
      <w:pPr>
        <w:pStyle w:val="Point1number"/>
        <w:numPr>
          <w:ilvl w:val="2"/>
          <w:numId w:val="112"/>
        </w:numPr>
        <w:rPr>
          <w:noProof/>
        </w:rPr>
      </w:pPr>
      <w:r>
        <w:rPr>
          <w:noProof/>
        </w:rPr>
        <w:t>[„sistem ETIAS“ pomeni evropski sistem za potovalne informacije in odobritve iz uredbe o sistemu ETIAS];</w:t>
      </w:r>
    </w:p>
    <w:p>
      <w:pPr>
        <w:pStyle w:val="Point1number"/>
        <w:numPr>
          <w:ilvl w:val="2"/>
          <w:numId w:val="112"/>
        </w:numPr>
        <w:rPr>
          <w:noProof/>
        </w:rPr>
      </w:pPr>
      <w:r>
        <w:rPr>
          <w:noProof/>
        </w:rPr>
        <w:t>„sistem Eurodac“ pomeni sistem Eurodac iz [uredbe Eurodac];</w:t>
      </w:r>
    </w:p>
    <w:p>
      <w:pPr>
        <w:pStyle w:val="Point1number"/>
        <w:numPr>
          <w:ilvl w:val="2"/>
          <w:numId w:val="112"/>
        </w:numPr>
        <w:rPr>
          <w:noProof/>
        </w:rPr>
      </w:pPr>
      <w:r>
        <w:rPr>
          <w:noProof/>
        </w:rPr>
        <w:t>„SIS“ pomeni schengenski informacijski sistem iz [uredbe o SIS na področju mejne kontrole, uredbe o SIS na področju kazenskega pregona in uredbe o SIS na področju nezakonitega vračanja];</w:t>
      </w:r>
    </w:p>
    <w:p>
      <w:pPr>
        <w:pStyle w:val="Point1number"/>
        <w:numPr>
          <w:ilvl w:val="2"/>
          <w:numId w:val="112"/>
        </w:numPr>
        <w:rPr>
          <w:noProof/>
        </w:rPr>
      </w:pPr>
      <w:r>
        <w:rPr>
          <w:noProof/>
        </w:rPr>
        <w:t>[„sistem ECRIS-TCN“ pomeni evropski informacijski sistem kazenskih evidenc, ki vsebuje informacije o obsodbah državljanov tretjih držav in oseb brez državljanstva, iz uredbe o sistemu ECRIS-TCN];</w:t>
      </w:r>
    </w:p>
    <w:p>
      <w:pPr>
        <w:pStyle w:val="Point1number"/>
        <w:numPr>
          <w:ilvl w:val="2"/>
          <w:numId w:val="112"/>
        </w:numPr>
        <w:rPr>
          <w:noProof/>
        </w:rPr>
      </w:pPr>
      <w:r>
        <w:rPr>
          <w:noProof/>
        </w:rPr>
        <w:t>„ESP“ pomeni evropski iskalni portal iz člena 6;</w:t>
      </w:r>
    </w:p>
    <w:p>
      <w:pPr>
        <w:pStyle w:val="Point1number"/>
        <w:numPr>
          <w:ilvl w:val="2"/>
          <w:numId w:val="112"/>
        </w:numPr>
        <w:rPr>
          <w:noProof/>
        </w:rPr>
      </w:pPr>
      <w:r>
        <w:rPr>
          <w:noProof/>
        </w:rPr>
        <w:lastRenderedPageBreak/>
        <w:t>„skupna BMS“ pomeni skupno storitev za ugotavljanje ujemanja biometričnih podatkov iz člena 15;</w:t>
      </w:r>
    </w:p>
    <w:p>
      <w:pPr>
        <w:pStyle w:val="Point1number"/>
        <w:numPr>
          <w:ilvl w:val="2"/>
          <w:numId w:val="112"/>
        </w:numPr>
        <w:rPr>
          <w:noProof/>
        </w:rPr>
      </w:pPr>
      <w:r>
        <w:rPr>
          <w:noProof/>
        </w:rPr>
        <w:t>„CIR“ pomeni skupno odložišče podatkov o identiteti iz člena 17;</w:t>
      </w:r>
    </w:p>
    <w:p>
      <w:pPr>
        <w:pStyle w:val="Point1number"/>
        <w:numPr>
          <w:ilvl w:val="2"/>
          <w:numId w:val="112"/>
        </w:numPr>
        <w:rPr>
          <w:noProof/>
        </w:rPr>
      </w:pPr>
      <w:r>
        <w:rPr>
          <w:noProof/>
        </w:rPr>
        <w:t>„MID“ pomeni detektor več identitet iz člena 25;</w:t>
      </w:r>
    </w:p>
    <w:p>
      <w:pPr>
        <w:pStyle w:val="Point1number"/>
        <w:numPr>
          <w:ilvl w:val="2"/>
          <w:numId w:val="112"/>
        </w:numPr>
        <w:rPr>
          <w:noProof/>
        </w:rPr>
      </w:pPr>
      <w:r>
        <w:rPr>
          <w:noProof/>
        </w:rPr>
        <w:t>„CRRS“ pomeni centralni register za poročanje in statistične podatke iz člena 39.</w:t>
      </w:r>
    </w:p>
    <w:p>
      <w:pPr>
        <w:pStyle w:val="Titrearticle"/>
        <w:rPr>
          <w:noProof/>
        </w:rPr>
      </w:pPr>
      <w:r>
        <w:rPr>
          <w:noProof/>
        </w:rPr>
        <w:t>Člen 5</w:t>
      </w:r>
      <w:r>
        <w:rPr>
          <w:noProof/>
        </w:rPr>
        <w:br/>
        <w:t>Nediskriminacija</w:t>
      </w:r>
    </w:p>
    <w:p>
      <w:pPr>
        <w:rPr>
          <w:noProof/>
        </w:rPr>
      </w:pPr>
      <w:r>
        <w:rPr>
          <w:noProof/>
        </w:rPr>
        <w:t>Obdelava osebnih podatkov za namene te uredbe</w:t>
      </w:r>
      <w:r>
        <w:rPr>
          <w:rStyle w:val="Emphasis"/>
          <w:noProof/>
        </w:rPr>
        <w:t xml:space="preserve"> </w:t>
      </w:r>
      <w:r>
        <w:rPr>
          <w:noProof/>
        </w:rPr>
        <w:t>ne sme povzročiti diskriminacije oseb na kakršni koli podlagi, na primer zaradi spola, rase ali etničnega porekla, vere ali prepričanja, invalidnosti, starosti ali spolne usmerjenosti. V celoti mora spoštovati človekovo dostojanstvo in integriteto. Posebna pozornost se nameni otrokom, starejšim osebam in invalidom.</w:t>
      </w:r>
    </w:p>
    <w:p>
      <w:pPr>
        <w:rPr>
          <w:noProof/>
        </w:rPr>
      </w:pPr>
    </w:p>
    <w:p>
      <w:pPr>
        <w:pStyle w:val="ChapterTitle"/>
        <w:rPr>
          <w:noProof/>
        </w:rPr>
      </w:pPr>
      <w:r>
        <w:rPr>
          <w:noProof/>
        </w:rPr>
        <w:t>POGLAVJE II</w:t>
      </w:r>
      <w:r>
        <w:rPr>
          <w:noProof/>
        </w:rPr>
        <w:br/>
        <w:t>Evropski iskalni portal</w:t>
      </w:r>
    </w:p>
    <w:p>
      <w:pPr>
        <w:pStyle w:val="Titrearticle"/>
        <w:spacing w:before="0" w:after="0"/>
        <w:rPr>
          <w:noProof/>
        </w:rPr>
      </w:pPr>
      <w:r>
        <w:rPr>
          <w:noProof/>
        </w:rPr>
        <w:t>Člen 6</w:t>
      </w:r>
    </w:p>
    <w:p>
      <w:pPr>
        <w:pStyle w:val="Titrearticle"/>
        <w:spacing w:before="0" w:after="0"/>
        <w:rPr>
          <w:noProof/>
        </w:rPr>
      </w:pPr>
      <w:r>
        <w:rPr>
          <w:noProof/>
        </w:rPr>
        <w:t>Evropski iskalni portal</w:t>
      </w:r>
    </w:p>
    <w:p>
      <w:pPr>
        <w:pStyle w:val="ManualNumPar1"/>
        <w:rPr>
          <w:noProof/>
        </w:rPr>
      </w:pPr>
      <w:r>
        <w:t>1.</w:t>
      </w:r>
      <w:r>
        <w:tab/>
      </w:r>
      <w:r>
        <w:rPr>
          <w:noProof/>
        </w:rPr>
        <w:t>Evropski iskalni portal (European search portal – ESP) se vzpostavi za zagotovitev, da imajo organi držav članic in EU hiter, nemoten, učinkovit, sistematičen in nadzorovan dostop do informacijskih sistemov EU, podatkov Europola in podatkovnih zbirk Interpola, ki jih potrebujejo za opravljanje svojih nalog, v skladu s pravicami do dostopa, ter podporo ciljem SVI, VIS, [sistema ETIAS], sistema Eurodac, SIS, [sistema ECRIS-TCN] in podatkov Europola.</w:t>
      </w:r>
    </w:p>
    <w:p>
      <w:pPr>
        <w:pStyle w:val="ManualNumPar1"/>
        <w:rPr>
          <w:noProof/>
        </w:rPr>
      </w:pPr>
      <w:r>
        <w:t>2.</w:t>
      </w:r>
      <w:r>
        <w:tab/>
      </w:r>
      <w:r>
        <w:rPr>
          <w:noProof/>
        </w:rPr>
        <w:t>ESP sestavljajo:</w:t>
      </w:r>
    </w:p>
    <w:p>
      <w:pPr>
        <w:pStyle w:val="Point1letter"/>
        <w:widowControl w:val="0"/>
        <w:numPr>
          <w:ilvl w:val="3"/>
          <w:numId w:val="92"/>
        </w:numPr>
        <w:adjustRightInd w:val="0"/>
        <w:textAlignment w:val="baseline"/>
        <w:rPr>
          <w:noProof/>
        </w:rPr>
      </w:pPr>
      <w:r>
        <w:rPr>
          <w:noProof/>
        </w:rPr>
        <w:t>centralna infrastruktura, vključno z iskalnim portalom, ki omogoča istočasno iskanje v SVI, VIS, [sistemu ETIAS], sistemu Eurodac, SIS, [sistemu ECRIS-TCN], po podatkih Europola in v podatkovnih zbirkah Interpola;</w:t>
      </w:r>
    </w:p>
    <w:p>
      <w:pPr>
        <w:pStyle w:val="Point1letter"/>
        <w:widowControl w:val="0"/>
        <w:numPr>
          <w:ilvl w:val="3"/>
          <w:numId w:val="92"/>
        </w:numPr>
        <w:adjustRightInd w:val="0"/>
        <w:textAlignment w:val="baseline"/>
        <w:rPr>
          <w:noProof/>
        </w:rPr>
      </w:pPr>
      <w:r>
        <w:rPr>
          <w:noProof/>
        </w:rPr>
        <w:t>varen komunikacijski kanal med ESP, državami članicami in organi EU, ki so upravičeni do uporabe ESP v skladu s pravom Unije;</w:t>
      </w:r>
    </w:p>
    <w:p>
      <w:pPr>
        <w:pStyle w:val="Point1letter"/>
        <w:widowControl w:val="0"/>
        <w:numPr>
          <w:ilvl w:val="3"/>
          <w:numId w:val="92"/>
        </w:numPr>
        <w:adjustRightInd w:val="0"/>
        <w:textAlignment w:val="baseline"/>
        <w:rPr>
          <w:noProof/>
        </w:rPr>
      </w:pPr>
      <w:r>
        <w:rPr>
          <w:noProof/>
        </w:rPr>
        <w:t>varna komunikacijska infrastruktura med ESP in SVI, VIS, [sistemom ETIAS], sistemom Eurodac, centralnim SIS, [sistemom ECRIS-TCN], podatki Europola in podatkovnima zbirkama Interpola ter med ESP in centralno infrastrukturo skupnega odložišča podatkov o identiteti (CIR) in detektorja več identitet.</w:t>
      </w:r>
    </w:p>
    <w:p>
      <w:pPr>
        <w:pStyle w:val="ManualNumPar1"/>
        <w:rPr>
          <w:noProof/>
        </w:rPr>
      </w:pPr>
      <w:r>
        <w:t>3.</w:t>
      </w:r>
      <w:r>
        <w:tab/>
      </w:r>
      <w:r>
        <w:rPr>
          <w:noProof/>
        </w:rPr>
        <w:t>ESP razvija in tehnično upravlja agencija eu-LISA.</w:t>
      </w:r>
    </w:p>
    <w:p>
      <w:pPr>
        <w:pStyle w:val="Titrearticle"/>
        <w:spacing w:before="0" w:after="0"/>
        <w:rPr>
          <w:noProof/>
        </w:rPr>
      </w:pPr>
    </w:p>
    <w:p>
      <w:pPr>
        <w:pStyle w:val="Titrearticle"/>
        <w:spacing w:before="0" w:after="0"/>
        <w:rPr>
          <w:noProof/>
        </w:rPr>
      </w:pPr>
      <w:r>
        <w:rPr>
          <w:noProof/>
        </w:rPr>
        <w:t>Člen 7</w:t>
      </w:r>
    </w:p>
    <w:p>
      <w:pPr>
        <w:pStyle w:val="Titrearticle"/>
        <w:spacing w:before="0"/>
        <w:rPr>
          <w:noProof/>
        </w:rPr>
      </w:pPr>
      <w:r>
        <w:rPr>
          <w:noProof/>
        </w:rPr>
        <w:t>Uporaba evropskega iskalnega portala</w:t>
      </w:r>
    </w:p>
    <w:p>
      <w:pPr>
        <w:pStyle w:val="ManualNumPar1"/>
        <w:rPr>
          <w:noProof/>
        </w:rPr>
      </w:pPr>
      <w:r>
        <w:t>1.</w:t>
      </w:r>
      <w:r>
        <w:tab/>
      </w:r>
      <w:r>
        <w:rPr>
          <w:noProof/>
        </w:rPr>
        <w:t>Uporaba ESP je omejena na organe držav članic in EU, ki imajo dostop do SVI</w:t>
      </w:r>
      <w:r>
        <w:rPr>
          <w:rStyle w:val="Emphasis"/>
          <w:i w:val="0"/>
          <w:noProof/>
        </w:rPr>
        <w:t>, [sistema ETIAS], VIS, SIS, sistema Eurodac, [sistema ECRIS-TCN], CIR, detektorja več identitet, podatkov Europola in podatkovnih zbirk Interpola</w:t>
      </w:r>
      <w:r>
        <w:rPr>
          <w:noProof/>
        </w:rPr>
        <w:t xml:space="preserve"> v skladu s pravom Unije ali nacionalnim pravom, ki ureja tak dostop.</w:t>
      </w:r>
    </w:p>
    <w:p>
      <w:pPr>
        <w:pStyle w:val="ManualNumPar1"/>
        <w:rPr>
          <w:noProof/>
        </w:rPr>
      </w:pPr>
      <w:r>
        <w:lastRenderedPageBreak/>
        <w:t>2.</w:t>
      </w:r>
      <w:r>
        <w:tab/>
      </w:r>
      <w:r>
        <w:rPr>
          <w:noProof/>
        </w:rPr>
        <w:t>Organi iz odstavka 1 uporabljajo ESP za iskanje podatkov, ki se nanašajo na osebe ali njihove potovalne dokumente, v centralnem SVI, VIS in [sistemu ETIAS] v skladu s pravicami do dostopa po pravu Unije in nacionalnem pravu. Uporabljajo ga tudi za poizvedovanje v CIR v skladu s pravicami do dostopa po tej uredbi za namene iz členov 20, 21 in 22.</w:t>
      </w:r>
    </w:p>
    <w:p>
      <w:pPr>
        <w:pStyle w:val="ManualNumPar1"/>
        <w:rPr>
          <w:noProof/>
        </w:rPr>
      </w:pPr>
      <w:r>
        <w:t>3.</w:t>
      </w:r>
      <w:r>
        <w:tab/>
      </w:r>
      <w:r>
        <w:rPr>
          <w:noProof/>
        </w:rPr>
        <w:t>Organi držav članic iz odstavka 1 lahko uporabljajo ESP za iskanje podatkov, ki se nanašajo na osebe ali njihove potovalne dokumente, v centralnem SIS iz [uredbe o SIS na področju mejne kontrole in uredbe o SIS na področju kazenskega pregona]. Dostop do centralnega SIS prek ESP se vzpostavi prek nacionalnega sistema (N.SIS) vsake države članice v skladu s [členom 4(2) uredbe o SIS na področju mejne kontrole in uredbe o SIS na področju kazenskega pregona].</w:t>
      </w:r>
    </w:p>
    <w:p>
      <w:pPr>
        <w:pStyle w:val="ManualNumPar1"/>
        <w:rPr>
          <w:noProof/>
        </w:rPr>
      </w:pPr>
      <w:r>
        <w:t>4.</w:t>
      </w:r>
      <w:r>
        <w:tab/>
      </w:r>
      <w:r>
        <w:rPr>
          <w:noProof/>
        </w:rPr>
        <w:t>Organi EU uporabljajo ESP za iskanje podatkov, ki se nanašajo na osebe ali njihove potovalne dokumente, v centralnem SIS.</w:t>
      </w:r>
    </w:p>
    <w:p>
      <w:pPr>
        <w:pStyle w:val="ManualNumPar1"/>
        <w:rPr>
          <w:noProof/>
        </w:rPr>
      </w:pPr>
      <w:r>
        <w:t>5.</w:t>
      </w:r>
      <w:r>
        <w:tab/>
      </w:r>
      <w:r>
        <w:rPr>
          <w:noProof/>
        </w:rPr>
        <w:t>Organi iz odstavka 1 lahko uporabljajo ESP za iskanje podatkov, ki se nanašajo na osebe ali njihove potovalne dokumente, v podatkovnih zbirkah Interpola v skladu s pravicami do dostopa po pravu Unije in nacionalnem pravu.</w:t>
      </w:r>
    </w:p>
    <w:p>
      <w:pPr>
        <w:rPr>
          <w:noProof/>
        </w:rPr>
      </w:pPr>
    </w:p>
    <w:p>
      <w:pPr>
        <w:pStyle w:val="Titrearticle"/>
        <w:spacing w:before="0" w:after="0"/>
        <w:rPr>
          <w:noProof/>
        </w:rPr>
      </w:pPr>
      <w:r>
        <w:rPr>
          <w:noProof/>
        </w:rPr>
        <w:t>Člen 8</w:t>
      </w:r>
    </w:p>
    <w:p>
      <w:pPr>
        <w:pStyle w:val="Titrearticle"/>
        <w:spacing w:before="0"/>
        <w:rPr>
          <w:noProof/>
        </w:rPr>
      </w:pPr>
      <w:r>
        <w:rPr>
          <w:noProof/>
        </w:rPr>
        <w:t>Profili uporabnikov evropskega iskalnega portala</w:t>
      </w:r>
    </w:p>
    <w:p>
      <w:pPr>
        <w:pStyle w:val="ManualNumPar1"/>
        <w:rPr>
          <w:noProof/>
        </w:rPr>
      </w:pPr>
      <w:r>
        <w:t>1.</w:t>
      </w:r>
      <w:r>
        <w:tab/>
      </w:r>
      <w:r>
        <w:rPr>
          <w:noProof/>
        </w:rPr>
        <w:t>Da se omogoči uporaba ESP, agencija eu-LISA ustvari profil za vsako kategorijo uporabnikov ESP v skladu s tehničnimi podrobnostmi in pravicami do dostopa iz odstavka 2, vključno (v skladu s pravom Unije in nacionalnim pravom) s:</w:t>
      </w:r>
    </w:p>
    <w:p>
      <w:pPr>
        <w:pStyle w:val="Point1letter"/>
        <w:widowControl w:val="0"/>
        <w:numPr>
          <w:ilvl w:val="3"/>
          <w:numId w:val="59"/>
        </w:numPr>
        <w:adjustRightInd w:val="0"/>
        <w:textAlignment w:val="baseline"/>
        <w:rPr>
          <w:noProof/>
        </w:rPr>
      </w:pPr>
      <w:r>
        <w:rPr>
          <w:noProof/>
        </w:rPr>
        <w:t>podatkovnimi polji, ki se uporabljajo za poizvedovanje;</w:t>
      </w:r>
    </w:p>
    <w:p>
      <w:pPr>
        <w:pStyle w:val="Point1letter"/>
        <w:widowControl w:val="0"/>
        <w:numPr>
          <w:ilvl w:val="3"/>
          <w:numId w:val="59"/>
        </w:numPr>
        <w:adjustRightInd w:val="0"/>
        <w:textAlignment w:val="baseline"/>
        <w:rPr>
          <w:noProof/>
        </w:rPr>
      </w:pPr>
      <w:r>
        <w:rPr>
          <w:noProof/>
        </w:rPr>
        <w:t>informacijskimi sistemi EU, podatki Europola in podatkovnima zbirkama Interpola, ki se in se lahko uporabljajo ter ki zagotovijo odgovor uporabniku, ter</w:t>
      </w:r>
    </w:p>
    <w:p>
      <w:pPr>
        <w:pStyle w:val="Point1letter"/>
        <w:widowControl w:val="0"/>
        <w:numPr>
          <w:ilvl w:val="3"/>
          <w:numId w:val="59"/>
        </w:numPr>
        <w:adjustRightInd w:val="0"/>
        <w:textAlignment w:val="baseline"/>
        <w:rPr>
          <w:noProof/>
        </w:rPr>
      </w:pPr>
      <w:r>
        <w:rPr>
          <w:noProof/>
        </w:rPr>
        <w:t>podatki v posameznem odgovoru.</w:t>
      </w:r>
    </w:p>
    <w:p>
      <w:pPr>
        <w:pStyle w:val="ManualNumPar1"/>
        <w:rPr>
          <w:noProof/>
        </w:rPr>
      </w:pPr>
      <w:r>
        <w:t>2.</w:t>
      </w:r>
      <w:r>
        <w:tab/>
      </w:r>
      <w:r>
        <w:rPr>
          <w:noProof/>
        </w:rPr>
        <w:t>Komisija sprejme delegirane akte v skladu s členom 63, ki določajo tehnične podrobnosti profilov iz odstavka 1 za uporabnike ESP iz člena 7(1) v skladu z njihovimi pravicami do dostopa.</w:t>
      </w:r>
    </w:p>
    <w:p>
      <w:pPr>
        <w:pStyle w:val="Text1"/>
        <w:rPr>
          <w:noProof/>
        </w:rPr>
      </w:pPr>
    </w:p>
    <w:p>
      <w:pPr>
        <w:pStyle w:val="Titrearticle"/>
        <w:spacing w:before="0" w:after="0"/>
        <w:rPr>
          <w:noProof/>
        </w:rPr>
      </w:pPr>
      <w:r>
        <w:rPr>
          <w:noProof/>
        </w:rPr>
        <w:t>Člen 9</w:t>
      </w:r>
    </w:p>
    <w:p>
      <w:pPr>
        <w:pStyle w:val="Titrearticle"/>
        <w:spacing w:before="0"/>
        <w:rPr>
          <w:noProof/>
        </w:rPr>
      </w:pPr>
      <w:r>
        <w:rPr>
          <w:noProof/>
        </w:rPr>
        <w:t>Poizvedbe</w:t>
      </w:r>
    </w:p>
    <w:p>
      <w:pPr>
        <w:pStyle w:val="ManualNumPar1"/>
        <w:rPr>
          <w:rStyle w:val="Emphasis"/>
          <w:i w:val="0"/>
          <w:noProof/>
          <w:szCs w:val="24"/>
        </w:rPr>
      </w:pPr>
      <w:r>
        <w:rPr>
          <w:rStyle w:val="Emphasis"/>
        </w:rPr>
        <w:t>1.</w:t>
      </w:r>
      <w:r>
        <w:rPr>
          <w:rStyle w:val="Emphasis"/>
        </w:rPr>
        <w:tab/>
      </w:r>
      <w:r>
        <w:rPr>
          <w:noProof/>
        </w:rPr>
        <w:t>Uporabniki ESP opravijo poizvedbo z uvedbo podatkov v ESP v skladu s svojimi uporabniškimi profili in pravicami do dostopa. Pri tem ESP s podatki, ki jih uvede uporabnik ESP, opravi istočasno poizvedbo v SVI, [sistemu ETIAS], VIS, SIS, sistemu Eurodac, [sistemu ECRIS-TCN], CIR, po podatkih Europola in v podatkovnih zbirkah Interpola.</w:t>
      </w:r>
    </w:p>
    <w:p>
      <w:pPr>
        <w:pStyle w:val="ManualNumPar1"/>
        <w:rPr>
          <w:noProof/>
        </w:rPr>
      </w:pPr>
      <w:r>
        <w:t>2.</w:t>
      </w:r>
      <w:r>
        <w:tab/>
      </w:r>
      <w:r>
        <w:rPr>
          <w:noProof/>
        </w:rPr>
        <w:t>Podatkovna polja, ki se uporabijo za poizvedbo prek ESP, ustrezajo podatkovnim poljem, ki se nanašajo na osebe ali potovalne dokumente in se lahko uporabijo za poizvedovanje v različnih informacijskih sistemih EU, po podatkih Europola in v podatkovnih zbirkah Interpola v skladu s pravnimi instrumenti, ki jih urejajo.</w:t>
      </w:r>
    </w:p>
    <w:p>
      <w:pPr>
        <w:pStyle w:val="ManualNumPar1"/>
        <w:rPr>
          <w:noProof/>
        </w:rPr>
      </w:pPr>
      <w:r>
        <w:t>3.</w:t>
      </w:r>
      <w:r>
        <w:tab/>
      </w:r>
      <w:r>
        <w:rPr>
          <w:noProof/>
        </w:rPr>
        <w:t>Agencija eu-LISA za ESP uvede kontrolni dokument vmesnika, ki temelji na UMF iz člena 38.</w:t>
      </w:r>
    </w:p>
    <w:p>
      <w:pPr>
        <w:pStyle w:val="ManualNumPar1"/>
        <w:rPr>
          <w:noProof/>
        </w:rPr>
      </w:pPr>
      <w:r>
        <w:lastRenderedPageBreak/>
        <w:t>4.</w:t>
      </w:r>
      <w:r>
        <w:tab/>
      </w:r>
      <w:r>
        <w:rPr>
          <w:noProof/>
        </w:rPr>
        <w:t>Na podlagi poizvedbe prek ESP se zagotovijo podatki iz SVI, [sistema ETIAS], VIS, SIS, sistema Eurodac, [sistema ECRIS-TCN], CIR, detektorja več identitet, podatkov Europola in podatkovnih zbirk Interpola.</w:t>
      </w:r>
    </w:p>
    <w:p>
      <w:pPr>
        <w:pStyle w:val="ManualNumPar1"/>
        <w:rPr>
          <w:noProof/>
        </w:rPr>
      </w:pPr>
      <w:r>
        <w:t>5.</w:t>
      </w:r>
      <w:r>
        <w:tab/>
      </w:r>
      <w:r>
        <w:rPr>
          <w:noProof/>
        </w:rPr>
        <w:t>Pri poizvedovanju v podatkovnih zbirkah Interpola zasnova ESP zagotovi, da se podatki, ki jih je uporabnik ESP uporabil za poizvedbo, ne delijo z lastniki podatkov Interpola.</w:t>
      </w:r>
    </w:p>
    <w:p>
      <w:pPr>
        <w:pStyle w:val="ManualNumPar1"/>
        <w:rPr>
          <w:noProof/>
        </w:rPr>
      </w:pPr>
      <w:r>
        <w:t>6.</w:t>
      </w:r>
      <w:r>
        <w:tab/>
      </w:r>
      <w:r>
        <w:rPr>
          <w:noProof/>
        </w:rPr>
        <w:t>Odgovor uporabniku ESP je edinstven in vsebuje vse podatke, do katerih ima ta uporabnik dostop v skladu s pravom Unije. Po potrebi je v odgovoru prek ESP navedeno, kateremu informacijskemu sistemu ali podatkovni zbirki podatki pripadajo.</w:t>
      </w:r>
    </w:p>
    <w:p>
      <w:pPr>
        <w:pStyle w:val="ManualNumPar1"/>
        <w:rPr>
          <w:noProof/>
        </w:rPr>
      </w:pPr>
      <w:r>
        <w:t>7.</w:t>
      </w:r>
      <w:r>
        <w:tab/>
      </w:r>
      <w:r>
        <w:rPr>
          <w:noProof/>
        </w:rPr>
        <w:t>Komisija sprejme delegirani akt v skladu s členom 63, ki določa vsebino in format odgovorov prek ESP.</w:t>
      </w:r>
    </w:p>
    <w:p>
      <w:pPr>
        <w:pStyle w:val="Text1"/>
        <w:rPr>
          <w:noProof/>
        </w:rPr>
      </w:pPr>
    </w:p>
    <w:p>
      <w:pPr>
        <w:pStyle w:val="Titrearticle"/>
        <w:spacing w:before="0" w:after="0"/>
        <w:rPr>
          <w:noProof/>
        </w:rPr>
      </w:pPr>
      <w:r>
        <w:rPr>
          <w:noProof/>
        </w:rPr>
        <w:t>Člen 10</w:t>
      </w:r>
    </w:p>
    <w:p>
      <w:pPr>
        <w:pStyle w:val="Titrearticle"/>
        <w:spacing w:before="0"/>
        <w:rPr>
          <w:noProof/>
        </w:rPr>
      </w:pPr>
      <w:r>
        <w:rPr>
          <w:noProof/>
        </w:rPr>
        <w:t>Vodenje evidenc</w:t>
      </w:r>
    </w:p>
    <w:p>
      <w:pPr>
        <w:pStyle w:val="ManualNumPar1"/>
        <w:rPr>
          <w:noProof/>
        </w:rPr>
      </w:pPr>
      <w:r>
        <w:t>1.</w:t>
      </w:r>
      <w:r>
        <w:tab/>
      </w:r>
      <w:r>
        <w:rPr>
          <w:noProof/>
        </w:rPr>
        <w:t xml:space="preserve">Brez poseganja v [člen 46 uredbe o SVI], člen 34 Uredbe (ES) št. 767/2008, [člen 59 predloga uredbe o sistemu ETIAS] ter člena 12 in 18 uredbe o SIS na področju mejne kontrole agencija eu-LISA vodi </w:t>
      </w:r>
      <w:bookmarkStart w:id="86" w:name="_DV_C1328"/>
      <w:r>
        <w:rPr>
          <w:noProof/>
        </w:rPr>
        <w:t>evidence</w:t>
      </w:r>
      <w:bookmarkStart w:id="87" w:name="_DV_M1068"/>
      <w:bookmarkEnd w:id="86"/>
      <w:bookmarkEnd w:id="87"/>
      <w:r>
        <w:rPr>
          <w:noProof/>
        </w:rPr>
        <w:t xml:space="preserve"> o vseh postopkih obdelave podatkov v ESP. Te </w:t>
      </w:r>
      <w:bookmarkStart w:id="88" w:name="_DV_C1330"/>
      <w:r>
        <w:rPr>
          <w:noProof/>
        </w:rPr>
        <w:t>evidence</w:t>
      </w:r>
      <w:bookmarkStart w:id="89" w:name="_DV_M1069"/>
      <w:bookmarkEnd w:id="88"/>
      <w:bookmarkEnd w:id="89"/>
      <w:r>
        <w:rPr>
          <w:noProof/>
        </w:rPr>
        <w:t xml:space="preserve"> vključujejo zlasti:</w:t>
      </w:r>
    </w:p>
    <w:p>
      <w:pPr>
        <w:pStyle w:val="Point1letter"/>
        <w:widowControl w:val="0"/>
        <w:numPr>
          <w:ilvl w:val="3"/>
          <w:numId w:val="62"/>
        </w:numPr>
        <w:adjustRightInd w:val="0"/>
        <w:textAlignment w:val="baseline"/>
        <w:rPr>
          <w:noProof/>
        </w:rPr>
      </w:pPr>
      <w:r>
        <w:rPr>
          <w:noProof/>
        </w:rPr>
        <w:t>organ države članice in posameznega uporabnika ESP, vključno z uporabljenim profilom ESP iz člena 8;</w:t>
      </w:r>
    </w:p>
    <w:p>
      <w:pPr>
        <w:pStyle w:val="Point1letter"/>
        <w:widowControl w:val="0"/>
        <w:numPr>
          <w:ilvl w:val="3"/>
          <w:numId w:val="62"/>
        </w:numPr>
        <w:adjustRightInd w:val="0"/>
        <w:textAlignment w:val="baseline"/>
        <w:rPr>
          <w:noProof/>
        </w:rPr>
      </w:pPr>
      <w:r>
        <w:rPr>
          <w:noProof/>
        </w:rPr>
        <w:t>datum in čas poizvedbe;</w:t>
      </w:r>
    </w:p>
    <w:p>
      <w:pPr>
        <w:pStyle w:val="Point1letter"/>
        <w:widowControl w:val="0"/>
        <w:numPr>
          <w:ilvl w:val="3"/>
          <w:numId w:val="62"/>
        </w:numPr>
        <w:adjustRightInd w:val="0"/>
        <w:textAlignment w:val="baseline"/>
        <w:rPr>
          <w:noProof/>
        </w:rPr>
      </w:pPr>
      <w:r>
        <w:rPr>
          <w:noProof/>
        </w:rPr>
        <w:t>poizvedovane informacijske sisteme EU in podatkovni zbirki Interpola;</w:t>
      </w:r>
    </w:p>
    <w:p>
      <w:pPr>
        <w:pStyle w:val="Point1letter"/>
        <w:widowControl w:val="0"/>
        <w:numPr>
          <w:ilvl w:val="3"/>
          <w:numId w:val="62"/>
        </w:numPr>
        <w:adjustRightInd w:val="0"/>
        <w:textAlignment w:val="baseline"/>
        <w:rPr>
          <w:noProof/>
        </w:rPr>
      </w:pPr>
      <w:r>
        <w:rPr>
          <w:noProof/>
        </w:rPr>
        <w:t>identifikacijsko oznako osebe, ki je opravila poizvedbo, v skladu z nacionalnimi pravili ali, kadar je to primerno, Uredbo (ES) št. 45/2001.</w:t>
      </w:r>
    </w:p>
    <w:p>
      <w:pPr>
        <w:pStyle w:val="ManualNumPar1"/>
        <w:rPr>
          <w:noProof/>
        </w:rPr>
      </w:pPr>
      <w:bookmarkStart w:id="90" w:name="_DV_M1070"/>
      <w:bookmarkStart w:id="91" w:name="_DV_M1073"/>
      <w:bookmarkStart w:id="92" w:name="_DV_C1338"/>
      <w:bookmarkEnd w:id="90"/>
      <w:bookmarkEnd w:id="91"/>
      <w:r>
        <w:t>2.</w:t>
      </w:r>
      <w:r>
        <w:tab/>
      </w:r>
      <w:r>
        <w:rPr>
          <w:noProof/>
        </w:rPr>
        <w:t>Evidence</w:t>
      </w:r>
      <w:bookmarkStart w:id="93" w:name="_DV_M1074"/>
      <w:bookmarkEnd w:id="92"/>
      <w:bookmarkEnd w:id="93"/>
      <w:r>
        <w:rPr>
          <w:noProof/>
        </w:rPr>
        <w:t xml:space="preserve"> se lahko uporabljajo izključno za spremljanje varstva podatkov, vključno s preverjanjem dopustnosti poizvedbe in zakonitosti obdelave podatkov, in za zagotavljanje varnosti podatkov </w:t>
      </w:r>
      <w:bookmarkStart w:id="94" w:name="_DV_C1340"/>
      <w:r>
        <w:rPr>
          <w:noProof/>
        </w:rPr>
        <w:t>v skladu s členom 42.</w:t>
      </w:r>
      <w:bookmarkStart w:id="95" w:name="_DV_M1075"/>
      <w:bookmarkEnd w:id="94"/>
      <w:bookmarkEnd w:id="95"/>
      <w:r>
        <w:rPr>
          <w:noProof/>
        </w:rPr>
        <w:t xml:space="preserve"> Te </w:t>
      </w:r>
      <w:bookmarkStart w:id="96" w:name="_DV_C1342"/>
      <w:r>
        <w:rPr>
          <w:noProof/>
        </w:rPr>
        <w:t>evidence</w:t>
      </w:r>
      <w:bookmarkStart w:id="97" w:name="_DV_M1076"/>
      <w:bookmarkEnd w:id="96"/>
      <w:bookmarkEnd w:id="97"/>
      <w:r>
        <w:rPr>
          <w:noProof/>
        </w:rPr>
        <w:t xml:space="preserve"> se z ustreznimi ukrepi zaščitijo pred nepooblaščenim dostopom in izbrišejo po enem letu od nastanka, </w:t>
      </w:r>
      <w:bookmarkStart w:id="98" w:name="_DV_C1344"/>
      <w:r>
        <w:rPr>
          <w:noProof/>
        </w:rPr>
        <w:t>razen</w:t>
      </w:r>
      <w:bookmarkStart w:id="99" w:name="_DV_M1077"/>
      <w:bookmarkEnd w:id="98"/>
      <w:bookmarkEnd w:id="99"/>
      <w:r>
        <w:rPr>
          <w:noProof/>
        </w:rPr>
        <w:t xml:space="preserve"> če so </w:t>
      </w:r>
      <w:bookmarkStart w:id="100" w:name="_DV_M1078"/>
      <w:bookmarkEnd w:id="100"/>
      <w:r>
        <w:rPr>
          <w:noProof/>
        </w:rPr>
        <w:t>potrebne za že začete postopke spremljanja.</w:t>
      </w:r>
    </w:p>
    <w:p>
      <w:pPr>
        <w:pStyle w:val="Titrearticle"/>
        <w:spacing w:before="0" w:after="0"/>
        <w:rPr>
          <w:noProof/>
        </w:rPr>
      </w:pPr>
      <w:r>
        <w:rPr>
          <w:noProof/>
        </w:rPr>
        <w:t>Člen 11</w:t>
      </w:r>
    </w:p>
    <w:p>
      <w:pPr>
        <w:pStyle w:val="Titrearticle"/>
        <w:spacing w:before="0" w:after="0"/>
        <w:rPr>
          <w:noProof/>
        </w:rPr>
      </w:pPr>
      <w:r>
        <w:rPr>
          <w:noProof/>
        </w:rPr>
        <w:t>Nadomestni postopki v primeru tehnične nezmožnosti uporabe evropskega iskalnega portala</w:t>
      </w:r>
    </w:p>
    <w:p>
      <w:pPr>
        <w:pStyle w:val="ManualNumPar1"/>
        <w:rPr>
          <w:noProof/>
        </w:rPr>
      </w:pPr>
      <w:r>
        <w:t>1.</w:t>
      </w:r>
      <w:r>
        <w:tab/>
      </w:r>
      <w:r>
        <w:rPr>
          <w:noProof/>
        </w:rPr>
        <w:t xml:space="preserve">Če je zaradi izpada delovanja ESP slednjega tehnično nemogoče uporabiti za poizvedovanje v enem ali več informacijskih sistemih EU iz člena 9(1) ali CIR, agencija eu-LISA o tem obvesti uporabnike ESP. </w:t>
      </w:r>
    </w:p>
    <w:p>
      <w:pPr>
        <w:pStyle w:val="ManualNumPar1"/>
        <w:rPr>
          <w:noProof/>
        </w:rPr>
      </w:pPr>
      <w:r>
        <w:t>2.</w:t>
      </w:r>
      <w:r>
        <w:tab/>
      </w:r>
      <w:r>
        <w:rPr>
          <w:noProof/>
        </w:rPr>
        <w:t xml:space="preserve">Če je zaradi izpada delovanja nacionalne infrastrukture v državi članici ESP tehnično nemogoče uporabiti za poizvedovanje v enem ali več informacijskih sistemih EU iz člena 9(1) ali CIR, pristojni organ države članice o tem obvesti agencijo eu-LISA in Komisijo. </w:t>
      </w:r>
    </w:p>
    <w:p>
      <w:pPr>
        <w:pStyle w:val="ManualNumPar1"/>
        <w:rPr>
          <w:noProof/>
        </w:rPr>
      </w:pPr>
      <w:r>
        <w:t>3.</w:t>
      </w:r>
      <w:r>
        <w:tab/>
      </w:r>
      <w:r>
        <w:rPr>
          <w:noProof/>
        </w:rPr>
        <w:t>V obeh primerih in do odprave tehnične okvare obveznosti iz člena 7(2) in (4) ne veljajo in države članice lahko dostopajo do informacijskih sistemov iz člena 9(1) ali CIR neposredno prek nacionalnih enotnih vmesnikov ali nacionalnih komunikacijskih infrastruktur.</w:t>
      </w:r>
    </w:p>
    <w:p>
      <w:pPr>
        <w:rPr>
          <w:noProof/>
        </w:rPr>
      </w:pPr>
      <w:bookmarkStart w:id="101" w:name="_DV_M1564"/>
      <w:bookmarkEnd w:id="101"/>
    </w:p>
    <w:p>
      <w:pPr>
        <w:pStyle w:val="ChapterTitle"/>
        <w:rPr>
          <w:noProof/>
        </w:rPr>
      </w:pPr>
      <w:r>
        <w:rPr>
          <w:noProof/>
        </w:rPr>
        <w:lastRenderedPageBreak/>
        <w:t>POGLAVJE III</w:t>
      </w:r>
      <w:r>
        <w:rPr>
          <w:noProof/>
        </w:rPr>
        <w:br/>
        <w:t>Skupna storitev za ugotavljanje ujemanja biometričnih podatkov</w:t>
      </w:r>
    </w:p>
    <w:p>
      <w:pPr>
        <w:pStyle w:val="Titrearticle"/>
        <w:spacing w:before="0" w:after="0"/>
        <w:rPr>
          <w:noProof/>
        </w:rPr>
      </w:pPr>
      <w:r>
        <w:rPr>
          <w:noProof/>
        </w:rPr>
        <w:t>Člen 12</w:t>
      </w:r>
    </w:p>
    <w:p>
      <w:pPr>
        <w:pStyle w:val="Titrearticle"/>
        <w:spacing w:before="0" w:after="0"/>
        <w:rPr>
          <w:noProof/>
        </w:rPr>
      </w:pPr>
      <w:r>
        <w:rPr>
          <w:noProof/>
        </w:rPr>
        <w:t>Skupna storitev za ugotavljanje ujemanja biometričnih podatkov</w:t>
      </w:r>
    </w:p>
    <w:p>
      <w:pPr>
        <w:pStyle w:val="ManualNumPar1"/>
        <w:rPr>
          <w:noProof/>
        </w:rPr>
      </w:pPr>
      <w:r>
        <w:t>1.</w:t>
      </w:r>
      <w:r>
        <w:tab/>
      </w:r>
      <w:r>
        <w:rPr>
          <w:noProof/>
        </w:rPr>
        <w:t>Skupna storitev za ugotavljanje ujemanja biometričnih podatkov (shared biometric matching service – skupna BMS), ki hrani biometrične predloge in omogoča poizvedovanje v več informacijskih sistemih EU na podlagi biometričnih podatkov, se vzpostavi za podpiranje CIR, detektorja več identitet ter ciljev SVI, VIS, sistema Eurodac, SIS in [sistema ECRIS-TCN].</w:t>
      </w:r>
    </w:p>
    <w:p>
      <w:pPr>
        <w:pStyle w:val="ManualNumPar1"/>
        <w:rPr>
          <w:noProof/>
        </w:rPr>
      </w:pPr>
      <w:r>
        <w:t>2.</w:t>
      </w:r>
      <w:r>
        <w:tab/>
      </w:r>
      <w:r>
        <w:rPr>
          <w:noProof/>
        </w:rPr>
        <w:t>Skupno BMS sestavljajo:</w:t>
      </w:r>
    </w:p>
    <w:p>
      <w:pPr>
        <w:pStyle w:val="Point1letter"/>
        <w:widowControl w:val="0"/>
        <w:numPr>
          <w:ilvl w:val="3"/>
          <w:numId w:val="63"/>
        </w:numPr>
        <w:adjustRightInd w:val="0"/>
        <w:textAlignment w:val="baseline"/>
        <w:rPr>
          <w:noProof/>
        </w:rPr>
      </w:pPr>
      <w:r>
        <w:rPr>
          <w:noProof/>
        </w:rPr>
        <w:t>centralna infrastruktura, vključno z iskalnikom in hrambo podatkov iz člena 13;</w:t>
      </w:r>
    </w:p>
    <w:p>
      <w:pPr>
        <w:pStyle w:val="Point1letter"/>
        <w:widowControl w:val="0"/>
        <w:numPr>
          <w:ilvl w:val="3"/>
          <w:numId w:val="63"/>
        </w:numPr>
        <w:adjustRightInd w:val="0"/>
        <w:textAlignment w:val="baseline"/>
        <w:rPr>
          <w:noProof/>
        </w:rPr>
      </w:pPr>
      <w:r>
        <w:rPr>
          <w:noProof/>
        </w:rPr>
        <w:t>varna komunikacijska infrastruktura med skupno BMS, centralnim SIS in CIR.</w:t>
      </w:r>
    </w:p>
    <w:p>
      <w:pPr>
        <w:pStyle w:val="ManualNumPar1"/>
        <w:rPr>
          <w:noProof/>
        </w:rPr>
      </w:pPr>
      <w:r>
        <w:t>3.</w:t>
      </w:r>
      <w:r>
        <w:tab/>
      </w:r>
      <w:r>
        <w:rPr>
          <w:noProof/>
        </w:rPr>
        <w:t>Skupno BMS razvija in tehnično upravlja agencija eu-LISA.</w:t>
      </w:r>
    </w:p>
    <w:p>
      <w:pPr>
        <w:pStyle w:val="Text1"/>
        <w:rPr>
          <w:noProof/>
        </w:rPr>
      </w:pPr>
    </w:p>
    <w:p>
      <w:pPr>
        <w:pStyle w:val="Titrearticle"/>
        <w:spacing w:before="0" w:after="0"/>
        <w:rPr>
          <w:noProof/>
        </w:rPr>
      </w:pPr>
      <w:r>
        <w:rPr>
          <w:noProof/>
        </w:rPr>
        <w:t>Člen 13</w:t>
      </w:r>
    </w:p>
    <w:p>
      <w:pPr>
        <w:pStyle w:val="Titrearticle"/>
        <w:spacing w:before="0"/>
        <w:rPr>
          <w:noProof/>
        </w:rPr>
      </w:pPr>
      <w:r>
        <w:rPr>
          <w:noProof/>
        </w:rPr>
        <w:t>Podatki, ki se hranijo v skupni storitvi za ugotavljanje ujemanja biometričnih podatkov</w:t>
      </w:r>
    </w:p>
    <w:p>
      <w:pPr>
        <w:pStyle w:val="ManualNumPar1"/>
        <w:rPr>
          <w:noProof/>
        </w:rPr>
      </w:pPr>
      <w:r>
        <w:t>1.</w:t>
      </w:r>
      <w:r>
        <w:tab/>
      </w:r>
      <w:r>
        <w:rPr>
          <w:noProof/>
        </w:rPr>
        <w:t>Skupna BMS hrani biometrične predloge, pridobljene iz naslednjih biometričnih podatkov:</w:t>
      </w:r>
    </w:p>
    <w:p>
      <w:pPr>
        <w:pStyle w:val="Point1letter"/>
        <w:widowControl w:val="0"/>
        <w:numPr>
          <w:ilvl w:val="3"/>
          <w:numId w:val="64"/>
        </w:numPr>
        <w:adjustRightInd w:val="0"/>
        <w:textAlignment w:val="baseline"/>
        <w:rPr>
          <w:noProof/>
        </w:rPr>
      </w:pPr>
      <w:r>
        <w:rPr>
          <w:noProof/>
        </w:rPr>
        <w:t>podatkov iz členov 16(1)(d) ter 17(1)(b) in (c) Uredbe (EU) 2017/2226;</w:t>
      </w:r>
    </w:p>
    <w:p>
      <w:pPr>
        <w:pStyle w:val="Point1letter"/>
        <w:widowControl w:val="0"/>
        <w:numPr>
          <w:ilvl w:val="3"/>
          <w:numId w:val="64"/>
        </w:numPr>
        <w:adjustRightInd w:val="0"/>
        <w:textAlignment w:val="baseline"/>
        <w:rPr>
          <w:noProof/>
        </w:rPr>
      </w:pPr>
      <w:r>
        <w:rPr>
          <w:noProof/>
        </w:rPr>
        <w:t>podatkov iz člena 9(6) Uredbe (ES) št. 767/2008;</w:t>
      </w:r>
    </w:p>
    <w:p>
      <w:pPr>
        <w:pStyle w:val="Point1letter"/>
        <w:widowControl w:val="0"/>
        <w:numPr>
          <w:ilvl w:val="3"/>
          <w:numId w:val="64"/>
        </w:numPr>
        <w:adjustRightInd w:val="0"/>
        <w:textAlignment w:val="baseline"/>
        <w:rPr>
          <w:noProof/>
        </w:rPr>
      </w:pPr>
      <w:r>
        <w:rPr>
          <w:noProof/>
        </w:rPr>
        <w:t>[podatkov iz člena 20(2)(w) in (x) uredbe o SIS na področju mejne kontrole;</w:t>
      </w:r>
    </w:p>
    <w:p>
      <w:pPr>
        <w:pStyle w:val="Point1letter"/>
        <w:widowControl w:val="0"/>
        <w:numPr>
          <w:ilvl w:val="3"/>
          <w:numId w:val="64"/>
        </w:numPr>
        <w:adjustRightInd w:val="0"/>
        <w:textAlignment w:val="baseline"/>
        <w:rPr>
          <w:noProof/>
        </w:rPr>
      </w:pPr>
      <w:r>
        <w:rPr>
          <w:noProof/>
        </w:rPr>
        <w:t>podatkov iz člena 20(3)(w) in (x) uredbe o SIS na področju kazenskega pregona;</w:t>
      </w:r>
    </w:p>
    <w:p>
      <w:pPr>
        <w:pStyle w:val="Point1letter"/>
        <w:widowControl w:val="0"/>
        <w:numPr>
          <w:ilvl w:val="3"/>
          <w:numId w:val="64"/>
        </w:numPr>
        <w:adjustRightInd w:val="0"/>
        <w:textAlignment w:val="baseline"/>
        <w:rPr>
          <w:noProof/>
        </w:rPr>
      </w:pPr>
      <w:r>
        <w:rPr>
          <w:noProof/>
        </w:rPr>
        <w:t>podatkov iz člena 4(3)(t) in (u) uredbe o SIS na področju nezakonitega vračanja];</w:t>
      </w:r>
    </w:p>
    <w:p>
      <w:pPr>
        <w:pStyle w:val="Point1letter"/>
        <w:widowControl w:val="0"/>
        <w:numPr>
          <w:ilvl w:val="3"/>
          <w:numId w:val="64"/>
        </w:numPr>
        <w:adjustRightInd w:val="0"/>
        <w:textAlignment w:val="baseline"/>
        <w:rPr>
          <w:noProof/>
        </w:rPr>
      </w:pPr>
      <w:r>
        <w:rPr>
          <w:noProof/>
        </w:rPr>
        <w:t>[podatkov iz člena 13(a) uredbe Eurodac;]</w:t>
      </w:r>
    </w:p>
    <w:p>
      <w:pPr>
        <w:pStyle w:val="Point1letter"/>
        <w:widowControl w:val="0"/>
        <w:numPr>
          <w:ilvl w:val="3"/>
          <w:numId w:val="64"/>
        </w:numPr>
        <w:adjustRightInd w:val="0"/>
        <w:textAlignment w:val="baseline"/>
        <w:rPr>
          <w:noProof/>
        </w:rPr>
      </w:pPr>
      <w:r>
        <w:rPr>
          <w:noProof/>
        </w:rPr>
        <w:t>[podatkov iz člena 5(1)(b) in člena 5(2) uredbe o sistemu ECRIS-TCN.]</w:t>
      </w:r>
    </w:p>
    <w:p>
      <w:pPr>
        <w:pStyle w:val="ManualNumPar1"/>
        <w:rPr>
          <w:noProof/>
        </w:rPr>
      </w:pPr>
      <w:r>
        <w:t>2.</w:t>
      </w:r>
      <w:r>
        <w:tab/>
      </w:r>
      <w:r>
        <w:rPr>
          <w:noProof/>
        </w:rPr>
        <w:t>Skupna BMS v vsako biometrično predlogo vključi sklic na informacijske sisteme, v katerih se hranijo zadevni biometrični podatki.</w:t>
      </w:r>
    </w:p>
    <w:p>
      <w:pPr>
        <w:pStyle w:val="ManualNumPar1"/>
        <w:rPr>
          <w:noProof/>
        </w:rPr>
      </w:pPr>
      <w:r>
        <w:t>3.</w:t>
      </w:r>
      <w:r>
        <w:tab/>
      </w:r>
      <w:r>
        <w:rPr>
          <w:noProof/>
        </w:rPr>
        <w:t>Biometrične predloge se vnesejo v skupno BMS šele po avtomatiziranem pregledu kakovosti biometričnih podatkov, ki so bili dodani enemu od informacijskih sistemov, s katerim skupna BMS preveri, ali so izpolnjeni minimalni standardi kakovosti podatkov.</w:t>
      </w:r>
    </w:p>
    <w:p>
      <w:pPr>
        <w:pStyle w:val="ManualNumPar1"/>
        <w:rPr>
          <w:noProof/>
        </w:rPr>
      </w:pPr>
      <w:r>
        <w:t>4.</w:t>
      </w:r>
      <w:r>
        <w:tab/>
      </w:r>
      <w:r>
        <w:rPr>
          <w:noProof/>
        </w:rPr>
        <w:t>Pri hrambi podatkov iz odstavka 1 so izpolnjeni standardi kakovosti iz člena 37(2).</w:t>
      </w:r>
    </w:p>
    <w:p>
      <w:pPr>
        <w:pStyle w:val="Text1"/>
        <w:rPr>
          <w:noProof/>
        </w:rPr>
      </w:pPr>
    </w:p>
    <w:p>
      <w:pPr>
        <w:pStyle w:val="Titrearticle"/>
        <w:spacing w:before="0" w:after="0"/>
        <w:rPr>
          <w:noProof/>
        </w:rPr>
      </w:pPr>
      <w:r>
        <w:rPr>
          <w:noProof/>
        </w:rPr>
        <w:lastRenderedPageBreak/>
        <w:t>Člen 14</w:t>
      </w:r>
    </w:p>
    <w:p>
      <w:pPr>
        <w:pStyle w:val="Titrearticle"/>
        <w:spacing w:before="0"/>
        <w:rPr>
          <w:noProof/>
        </w:rPr>
      </w:pPr>
      <w:r>
        <w:rPr>
          <w:noProof/>
        </w:rPr>
        <w:t>Iskanje biometričnih podatkov prek skupne storitve za ugotavljanje ujemanja biometričnih podatkov</w:t>
      </w:r>
    </w:p>
    <w:p>
      <w:pPr>
        <w:rPr>
          <w:iCs/>
          <w:noProof/>
        </w:rPr>
      </w:pPr>
      <w:r>
        <w:rPr>
          <w:noProof/>
        </w:rPr>
        <w:t>Za iskanje biometričnih podatkov, ki se hranijo v CIR in SIS, slednja uporabljata biometrične predloge, ki se hranijo v skupni BMS. Poizvedbe na podlagi biometričnih podatkov se opravljajo v skladu z nameni iz te uredbe ter uredbe o SVI, uredbe o VIS, uredbe Eurodac, [uredb o SIS] in [uredbe o sistemu ECRIS-TCN].</w:t>
      </w:r>
    </w:p>
    <w:p>
      <w:pPr>
        <w:pStyle w:val="Titrearticle"/>
        <w:spacing w:before="0" w:after="0"/>
        <w:rPr>
          <w:noProof/>
        </w:rPr>
      </w:pPr>
      <w:r>
        <w:rPr>
          <w:noProof/>
        </w:rPr>
        <w:t>Člen 15</w:t>
      </w:r>
    </w:p>
    <w:p>
      <w:pPr>
        <w:pStyle w:val="Titrearticle"/>
        <w:spacing w:before="0" w:after="0"/>
        <w:rPr>
          <w:noProof/>
        </w:rPr>
      </w:pPr>
      <w:r>
        <w:rPr>
          <w:noProof/>
        </w:rPr>
        <w:t>Hramba podatkov v skupni storitvi za ugotavljanje ujemanja biometričnih podatkov</w:t>
      </w:r>
    </w:p>
    <w:p>
      <w:pPr>
        <w:rPr>
          <w:noProof/>
        </w:rPr>
      </w:pPr>
      <w:r>
        <w:rPr>
          <w:noProof/>
        </w:rPr>
        <w:t>Podatki iz člena 13 se hranijo v skupni BMS le, dokler se zadevni biometrični podatki hranijo v CIR ali SIS.</w:t>
      </w:r>
    </w:p>
    <w:p>
      <w:pPr>
        <w:pStyle w:val="Titrearticle"/>
        <w:spacing w:before="0" w:after="0"/>
        <w:rPr>
          <w:noProof/>
        </w:rPr>
      </w:pPr>
    </w:p>
    <w:p>
      <w:pPr>
        <w:pStyle w:val="Titrearticle"/>
        <w:spacing w:before="0" w:after="0"/>
        <w:rPr>
          <w:noProof/>
        </w:rPr>
      </w:pPr>
      <w:r>
        <w:rPr>
          <w:noProof/>
        </w:rPr>
        <w:t>Člen 16</w:t>
      </w:r>
    </w:p>
    <w:p>
      <w:pPr>
        <w:pStyle w:val="Titrearticle"/>
        <w:spacing w:before="0"/>
        <w:rPr>
          <w:noProof/>
        </w:rPr>
      </w:pPr>
      <w:r>
        <w:rPr>
          <w:noProof/>
        </w:rPr>
        <w:t>Vodenje evidenc</w:t>
      </w:r>
    </w:p>
    <w:p>
      <w:pPr>
        <w:pStyle w:val="ManualNumPar1"/>
        <w:rPr>
          <w:noProof/>
        </w:rPr>
      </w:pPr>
      <w:r>
        <w:t>1.</w:t>
      </w:r>
      <w:r>
        <w:tab/>
      </w:r>
      <w:r>
        <w:rPr>
          <w:noProof/>
        </w:rPr>
        <w:t>Brez poseganja v [člen 46 uredbe o SVI], člen 34 Uredbe (ES) št. 767/2008 ter [člena 12 in 18 uredbe o SIS na področju kazenskega pregona] agencija eu-LISA vodi evidence o vseh postopkih obdelave podatkov v skupni BMS. Te evidence vključujejo zlasti:</w:t>
      </w:r>
    </w:p>
    <w:p>
      <w:pPr>
        <w:pStyle w:val="Point1letter"/>
        <w:widowControl w:val="0"/>
        <w:numPr>
          <w:ilvl w:val="3"/>
          <w:numId w:val="65"/>
        </w:numPr>
        <w:adjustRightInd w:val="0"/>
        <w:textAlignment w:val="baseline"/>
        <w:rPr>
          <w:noProof/>
        </w:rPr>
      </w:pPr>
      <w:r>
        <w:rPr>
          <w:noProof/>
        </w:rPr>
        <w:t>zgodovino v zvezi z nastankom in hrambo biometričnih predlog;</w:t>
      </w:r>
    </w:p>
    <w:p>
      <w:pPr>
        <w:pStyle w:val="Point1letter"/>
        <w:widowControl w:val="0"/>
        <w:numPr>
          <w:ilvl w:val="3"/>
          <w:numId w:val="65"/>
        </w:numPr>
        <w:adjustRightInd w:val="0"/>
        <w:textAlignment w:val="baseline"/>
        <w:rPr>
          <w:noProof/>
        </w:rPr>
      </w:pPr>
      <w:r>
        <w:rPr>
          <w:noProof/>
        </w:rPr>
        <w:t>sklic na informacijske sisteme EU, poizvedovane na podlagi biometričnih predlog, ki se hranijo v skupni BMS;</w:t>
      </w:r>
    </w:p>
    <w:p>
      <w:pPr>
        <w:pStyle w:val="Point1letter"/>
        <w:widowControl w:val="0"/>
        <w:numPr>
          <w:ilvl w:val="3"/>
          <w:numId w:val="65"/>
        </w:numPr>
        <w:adjustRightInd w:val="0"/>
        <w:textAlignment w:val="baseline"/>
        <w:rPr>
          <w:noProof/>
        </w:rPr>
      </w:pPr>
      <w:r>
        <w:rPr>
          <w:noProof/>
        </w:rPr>
        <w:t>datum in čas poizvedbe;</w:t>
      </w:r>
    </w:p>
    <w:p>
      <w:pPr>
        <w:pStyle w:val="Point1letter"/>
        <w:widowControl w:val="0"/>
        <w:numPr>
          <w:ilvl w:val="3"/>
          <w:numId w:val="65"/>
        </w:numPr>
        <w:adjustRightInd w:val="0"/>
        <w:textAlignment w:val="baseline"/>
        <w:rPr>
          <w:noProof/>
        </w:rPr>
      </w:pPr>
      <w:r>
        <w:rPr>
          <w:noProof/>
        </w:rPr>
        <w:t>vrsto biometričnih podatkov, uporabljenih za poizvedbo;</w:t>
      </w:r>
    </w:p>
    <w:p>
      <w:pPr>
        <w:pStyle w:val="Point1letter"/>
        <w:widowControl w:val="0"/>
        <w:numPr>
          <w:ilvl w:val="3"/>
          <w:numId w:val="65"/>
        </w:numPr>
        <w:adjustRightInd w:val="0"/>
        <w:textAlignment w:val="baseline"/>
        <w:rPr>
          <w:noProof/>
        </w:rPr>
      </w:pPr>
      <w:r>
        <w:rPr>
          <w:noProof/>
        </w:rPr>
        <w:t>trajanje poizvedbe;</w:t>
      </w:r>
    </w:p>
    <w:p>
      <w:pPr>
        <w:pStyle w:val="Point1letter"/>
        <w:widowControl w:val="0"/>
        <w:numPr>
          <w:ilvl w:val="3"/>
          <w:numId w:val="65"/>
        </w:numPr>
        <w:adjustRightInd w:val="0"/>
        <w:textAlignment w:val="baseline"/>
        <w:rPr>
          <w:noProof/>
        </w:rPr>
      </w:pPr>
      <w:r>
        <w:rPr>
          <w:noProof/>
        </w:rPr>
        <w:t>rezultate poizvedbe ter datum in čas rezultatov;</w:t>
      </w:r>
    </w:p>
    <w:p>
      <w:pPr>
        <w:pStyle w:val="Point1letter"/>
        <w:widowControl w:val="0"/>
        <w:numPr>
          <w:ilvl w:val="3"/>
          <w:numId w:val="65"/>
        </w:numPr>
        <w:adjustRightInd w:val="0"/>
        <w:textAlignment w:val="baseline"/>
        <w:rPr>
          <w:noProof/>
        </w:rPr>
      </w:pPr>
      <w:r>
        <w:rPr>
          <w:noProof/>
        </w:rPr>
        <w:t>identifikacijsko oznako osebe, ki je opravila poizvedbo, v skladu z nacionalnimi pravili ali, kadar je to primerno, Uredbo (ES) št. 45/2001.</w:t>
      </w:r>
    </w:p>
    <w:p>
      <w:pPr>
        <w:pStyle w:val="ManualNumPar1"/>
        <w:rPr>
          <w:noProof/>
        </w:rPr>
      </w:pPr>
      <w:r>
        <w:t>2.</w:t>
      </w:r>
      <w:r>
        <w:tab/>
      </w:r>
      <w:r>
        <w:rPr>
          <w:noProof/>
        </w:rPr>
        <w:t>Evidence se lahko uporabljajo izključno za spremljanje varstva podatkov, vključno s preverjanjem dopustnosti poizvedbe in zakonitosti obdelave podatkov, in za zagotavljanje varnosti podatkov v skladu s členom 42. Te evidence se z ustreznimi ukrepi zaščitijo pred nepooblaščenim dostopom in izbrišejo po enem letu od nastanka, razen če so potrebne za že začete postopke spremljanja. Evidence iz odstavka 1(a) se izbrišejo, ko se izbrišejo podatki.</w:t>
      </w:r>
    </w:p>
    <w:p>
      <w:pPr>
        <w:pStyle w:val="Text1"/>
        <w:rPr>
          <w:noProof/>
        </w:rPr>
      </w:pPr>
    </w:p>
    <w:p>
      <w:pPr>
        <w:pStyle w:val="ChapterTitle"/>
        <w:rPr>
          <w:noProof/>
        </w:rPr>
      </w:pPr>
      <w:r>
        <w:rPr>
          <w:noProof/>
        </w:rPr>
        <w:t>POGLAVJE IV</w:t>
      </w:r>
      <w:r>
        <w:rPr>
          <w:noProof/>
        </w:rPr>
        <w:br/>
        <w:t>Skupno odložišče podatkov o identiteti</w:t>
      </w:r>
    </w:p>
    <w:p>
      <w:pPr>
        <w:pStyle w:val="Titrearticle"/>
        <w:spacing w:before="0" w:after="0"/>
        <w:rPr>
          <w:noProof/>
        </w:rPr>
      </w:pPr>
      <w:r>
        <w:rPr>
          <w:noProof/>
        </w:rPr>
        <w:t>Člen 17</w:t>
      </w:r>
    </w:p>
    <w:p>
      <w:pPr>
        <w:pStyle w:val="Titrearticle"/>
        <w:spacing w:before="0" w:after="0"/>
        <w:rPr>
          <w:noProof/>
        </w:rPr>
      </w:pPr>
      <w:r>
        <w:rPr>
          <w:noProof/>
        </w:rPr>
        <w:t>Skupno odložišče podatkov o identiteti</w:t>
      </w:r>
    </w:p>
    <w:p>
      <w:pPr>
        <w:pStyle w:val="ManualNumPar1"/>
        <w:rPr>
          <w:noProof/>
        </w:rPr>
      </w:pPr>
      <w:r>
        <w:t>1.</w:t>
      </w:r>
      <w:r>
        <w:tab/>
      </w:r>
      <w:r>
        <w:rPr>
          <w:noProof/>
        </w:rPr>
        <w:t xml:space="preserve">Skupno odložišče podatkov o identiteti (common identity repository – CIR), ki ustvari individualno dokumentacijo za vsako osebo, ki je evidentirana v SVI, VIS, [sistemu ETIAS], sistemu Eurodac ali [sistemu ECRIS-TCN], in vsebuje podatke iz člena 18, se vzpostavi, da se olajša in izboljša pravilna identifikacija oseb, </w:t>
      </w:r>
      <w:r>
        <w:rPr>
          <w:noProof/>
        </w:rPr>
        <w:lastRenderedPageBreak/>
        <w:t>registriranih v SVI, VIS, [sistemu ETIAS], sistemu Eurodac in [sistemu ECRIS-TCN], podpre delovanje detektorja več identitet ter olajša in racionalizira dostop organov kazenskega pregona do informacijskih sistemov na ravni EU, ki niso povezani s kazenskim pregonom, kadar je to potrebno za preprečevanje, preiskovanje, odkrivanje ali pregon hudih kaznivih dejanj.</w:t>
      </w:r>
    </w:p>
    <w:p>
      <w:pPr>
        <w:pStyle w:val="ManualNumPar1"/>
        <w:rPr>
          <w:noProof/>
        </w:rPr>
      </w:pPr>
      <w:r>
        <w:t>2.</w:t>
      </w:r>
      <w:r>
        <w:tab/>
      </w:r>
      <w:r>
        <w:rPr>
          <w:noProof/>
        </w:rPr>
        <w:t>CIR sestavljajo:</w:t>
      </w:r>
    </w:p>
    <w:p>
      <w:pPr>
        <w:pStyle w:val="Point1letter"/>
        <w:widowControl w:val="0"/>
        <w:numPr>
          <w:ilvl w:val="3"/>
          <w:numId w:val="93"/>
        </w:numPr>
        <w:adjustRightInd w:val="0"/>
        <w:textAlignment w:val="baseline"/>
        <w:rPr>
          <w:noProof/>
        </w:rPr>
      </w:pPr>
      <w:r>
        <w:rPr>
          <w:noProof/>
        </w:rPr>
        <w:t>centralna infrastruktura, ki nadomesti centralno infrastrukturo SVI, VIS, [sistema ETIAS], sistema Eurodac in [sistema ECRIS-TCN] v smislu, da hrani podatke iz člena 18;</w:t>
      </w:r>
    </w:p>
    <w:p>
      <w:pPr>
        <w:pStyle w:val="Point1letter"/>
        <w:widowControl w:val="0"/>
        <w:numPr>
          <w:ilvl w:val="3"/>
          <w:numId w:val="93"/>
        </w:numPr>
        <w:adjustRightInd w:val="0"/>
        <w:textAlignment w:val="baseline"/>
        <w:rPr>
          <w:noProof/>
        </w:rPr>
      </w:pPr>
      <w:r>
        <w:rPr>
          <w:noProof/>
        </w:rPr>
        <w:t>varen komunikacijski kanal med CIR, državami članicami in organi EU, ki so upravičeni do uporabe evropskega iskalnega portala (ESP) v skladu s pravom Unije;</w:t>
      </w:r>
    </w:p>
    <w:p>
      <w:pPr>
        <w:pStyle w:val="Point1letter"/>
        <w:widowControl w:val="0"/>
        <w:numPr>
          <w:ilvl w:val="3"/>
          <w:numId w:val="93"/>
        </w:numPr>
        <w:adjustRightInd w:val="0"/>
        <w:textAlignment w:val="baseline"/>
        <w:rPr>
          <w:noProof/>
        </w:rPr>
      </w:pPr>
      <w:r>
        <w:rPr>
          <w:noProof/>
        </w:rPr>
        <w:t>varna komunikacijska infrastruktura med CIR, SVI, [sistemom ETIAS], VIS, sistemom Eurodac, [sistemom ECRIS-TCN] ter centralno infrastrukturo ESP, skupne BMS in detektorja več identitet.</w:t>
      </w:r>
    </w:p>
    <w:p>
      <w:pPr>
        <w:pStyle w:val="ManualNumPar1"/>
        <w:rPr>
          <w:noProof/>
        </w:rPr>
      </w:pPr>
      <w:r>
        <w:t>3.</w:t>
      </w:r>
      <w:r>
        <w:tab/>
      </w:r>
      <w:r>
        <w:rPr>
          <w:noProof/>
        </w:rPr>
        <w:t>CIR razvija in tehnično upravlja agencija eu-LISA.</w:t>
      </w:r>
    </w:p>
    <w:p>
      <w:pPr>
        <w:rPr>
          <w:noProof/>
        </w:rPr>
      </w:pPr>
    </w:p>
    <w:p>
      <w:pPr>
        <w:pStyle w:val="Titrearticle"/>
        <w:spacing w:before="0" w:after="0"/>
        <w:rPr>
          <w:noProof/>
        </w:rPr>
      </w:pPr>
      <w:r>
        <w:rPr>
          <w:noProof/>
        </w:rPr>
        <w:t>Člen 18</w:t>
      </w:r>
    </w:p>
    <w:p>
      <w:pPr>
        <w:pStyle w:val="Titrearticle"/>
        <w:spacing w:before="0"/>
        <w:rPr>
          <w:noProof/>
        </w:rPr>
      </w:pPr>
      <w:r>
        <w:rPr>
          <w:noProof/>
        </w:rPr>
        <w:t>Podatki v skupnem odložišču podatkov o identiteti</w:t>
      </w:r>
    </w:p>
    <w:p>
      <w:pPr>
        <w:pStyle w:val="ManualNumPar1"/>
        <w:rPr>
          <w:noProof/>
        </w:rPr>
      </w:pPr>
      <w:r>
        <w:t>1.</w:t>
      </w:r>
      <w:r>
        <w:tab/>
      </w:r>
      <w:r>
        <w:rPr>
          <w:noProof/>
        </w:rPr>
        <w:t>CIR hrani naslednje podatke, ki so logično ločeni glede na informacijski sistem, kateremu pripadajo:</w:t>
      </w:r>
    </w:p>
    <w:p>
      <w:pPr>
        <w:pStyle w:val="Point1letter"/>
        <w:widowControl w:val="0"/>
        <w:numPr>
          <w:ilvl w:val="3"/>
          <w:numId w:val="66"/>
        </w:numPr>
        <w:adjustRightInd w:val="0"/>
        <w:textAlignment w:val="baseline"/>
        <w:rPr>
          <w:noProof/>
        </w:rPr>
      </w:pPr>
      <w:r>
        <w:rPr>
          <w:noProof/>
        </w:rPr>
        <w:t>podatke iz [členov 16(1)(a) do (d) in 17(1)(a) do (c) uredbe o SVI];</w:t>
      </w:r>
    </w:p>
    <w:p>
      <w:pPr>
        <w:pStyle w:val="Point1letter"/>
        <w:widowControl w:val="0"/>
        <w:numPr>
          <w:ilvl w:val="3"/>
          <w:numId w:val="66"/>
        </w:numPr>
        <w:adjustRightInd w:val="0"/>
        <w:textAlignment w:val="baseline"/>
        <w:rPr>
          <w:noProof/>
        </w:rPr>
      </w:pPr>
      <w:r>
        <w:rPr>
          <w:noProof/>
        </w:rPr>
        <w:t>podatke iz člena 9(4)(a) do (c), (5) in (6) Uredbe (ES) št. 767/2008;</w:t>
      </w:r>
    </w:p>
    <w:p>
      <w:pPr>
        <w:pStyle w:val="Point1letter"/>
        <w:widowControl w:val="0"/>
        <w:numPr>
          <w:ilvl w:val="3"/>
          <w:numId w:val="66"/>
        </w:numPr>
        <w:adjustRightInd w:val="0"/>
        <w:textAlignment w:val="baseline"/>
        <w:rPr>
          <w:noProof/>
        </w:rPr>
      </w:pPr>
      <w:r>
        <w:rPr>
          <w:noProof/>
        </w:rPr>
        <w:t>[podatke iz člena 15(2)(a) do (e) uredbe o sistemu ETIAS;]</w:t>
      </w:r>
    </w:p>
    <w:p>
      <w:pPr>
        <w:pStyle w:val="Point1letter"/>
        <w:widowControl w:val="0"/>
        <w:numPr>
          <w:ilvl w:val="3"/>
          <w:numId w:val="66"/>
        </w:numPr>
        <w:adjustRightInd w:val="0"/>
        <w:textAlignment w:val="baseline"/>
        <w:rPr>
          <w:noProof/>
        </w:rPr>
      </w:pPr>
      <w:r>
        <w:rPr>
          <w:noProof/>
        </w:rPr>
        <w:t xml:space="preserve">– (se ne uporablja); </w:t>
      </w:r>
    </w:p>
    <w:p>
      <w:pPr>
        <w:pStyle w:val="Point1letter"/>
        <w:widowControl w:val="0"/>
        <w:numPr>
          <w:ilvl w:val="3"/>
          <w:numId w:val="66"/>
        </w:numPr>
        <w:adjustRightInd w:val="0"/>
        <w:textAlignment w:val="baseline"/>
        <w:rPr>
          <w:noProof/>
        </w:rPr>
      </w:pPr>
      <w:r>
        <w:rPr>
          <w:noProof/>
        </w:rPr>
        <w:t xml:space="preserve">– (se ne uporablja). </w:t>
      </w:r>
    </w:p>
    <w:p>
      <w:pPr>
        <w:pStyle w:val="ManualNumPar1"/>
        <w:rPr>
          <w:noProof/>
        </w:rPr>
      </w:pPr>
      <w:r>
        <w:t>2.</w:t>
      </w:r>
      <w:r>
        <w:tab/>
      </w:r>
      <w:r>
        <w:rPr>
          <w:noProof/>
        </w:rPr>
        <w:t>CIR za vsak niz podatkov iz odstavka 1 vključi sklic na informacijske sisteme, katerim podatki pripadajo.</w:t>
      </w:r>
    </w:p>
    <w:p>
      <w:pPr>
        <w:pStyle w:val="ManualNumPar1"/>
        <w:rPr>
          <w:noProof/>
        </w:rPr>
      </w:pPr>
      <w:r>
        <w:t>3.</w:t>
      </w:r>
      <w:r>
        <w:tab/>
      </w:r>
      <w:r>
        <w:rPr>
          <w:noProof/>
        </w:rPr>
        <w:t>Pri hrambi podatkov iz odstavka 1 so izpolnjeni standardi kakovosti iz člena 37(2).</w:t>
      </w:r>
    </w:p>
    <w:p>
      <w:pPr>
        <w:pStyle w:val="Titrearticle"/>
        <w:spacing w:before="0" w:after="0"/>
        <w:rPr>
          <w:noProof/>
        </w:rPr>
      </w:pPr>
      <w:r>
        <w:rPr>
          <w:noProof/>
        </w:rPr>
        <w:t>Člen 19</w:t>
      </w:r>
    </w:p>
    <w:p>
      <w:pPr>
        <w:pStyle w:val="Titrearticle"/>
        <w:spacing w:before="0"/>
        <w:rPr>
          <w:noProof/>
        </w:rPr>
      </w:pPr>
      <w:r>
        <w:rPr>
          <w:noProof/>
        </w:rPr>
        <w:t>Dodajanje, spreminjanje in brisanje podatkov v skupnem odložišču podatkov o identiteti</w:t>
      </w:r>
    </w:p>
    <w:p>
      <w:pPr>
        <w:pStyle w:val="ManualNumPar1"/>
        <w:rPr>
          <w:noProof/>
        </w:rPr>
      </w:pPr>
      <w:r>
        <w:t>1.</w:t>
      </w:r>
      <w:r>
        <w:tab/>
      </w:r>
      <w:r>
        <w:rPr>
          <w:noProof/>
        </w:rPr>
        <w:t>Če se podatki v SVI, VIS in [sistemu ETIAS] dodajo, spremenijo ali izbrišejo, se podatki iz člena 18, ki se hranijo v individualni dokumentaciji v CIR, ustrezno in avtomatizirano dodajo, spremenijo ali izbrišejo.</w:t>
      </w:r>
    </w:p>
    <w:p>
      <w:pPr>
        <w:pStyle w:val="ManualNumPar1"/>
        <w:rPr>
          <w:noProof/>
        </w:rPr>
      </w:pPr>
      <w:r>
        <w:t>2.</w:t>
      </w:r>
      <w:r>
        <w:tab/>
      </w:r>
      <w:r>
        <w:rPr>
          <w:noProof/>
        </w:rPr>
        <w:t>Če detektor več identitet v skladu s členoma 32 in 33 vzpostavi belo ali rdečo povezavo med podatki iz dveh ali več informacijskih sistemov EU, ki jih zajema CIR, namesto da ustvari novo individualno dokumentacijo, CIR doda nove podatke individualni dokumentaciji, ki vsebuje povezane podatke.</w:t>
      </w:r>
    </w:p>
    <w:p>
      <w:pPr>
        <w:rPr>
          <w:noProof/>
        </w:rPr>
      </w:pPr>
    </w:p>
    <w:p>
      <w:pPr>
        <w:pStyle w:val="Titrearticle"/>
        <w:tabs>
          <w:tab w:val="left" w:pos="3930"/>
          <w:tab w:val="center" w:pos="4536"/>
        </w:tabs>
        <w:spacing w:before="0" w:after="0"/>
        <w:jc w:val="left"/>
        <w:rPr>
          <w:noProof/>
        </w:rPr>
      </w:pPr>
      <w:r>
        <w:rPr>
          <w:noProof/>
        </w:rPr>
        <w:lastRenderedPageBreak/>
        <w:tab/>
      </w:r>
      <w:r>
        <w:rPr>
          <w:noProof/>
        </w:rPr>
        <w:tab/>
        <w:t>Člen 20</w:t>
      </w:r>
    </w:p>
    <w:p>
      <w:pPr>
        <w:pStyle w:val="Titrearticle"/>
        <w:spacing w:before="0"/>
        <w:rPr>
          <w:noProof/>
        </w:rPr>
      </w:pPr>
      <w:r>
        <w:rPr>
          <w:noProof/>
        </w:rPr>
        <w:t xml:space="preserve">Dostop do skupnega odložišča podatkov o identiteti za namene identifikacije </w:t>
      </w:r>
    </w:p>
    <w:p>
      <w:pPr>
        <w:pStyle w:val="ManualNumPar1"/>
        <w:rPr>
          <w:noProof/>
        </w:rPr>
      </w:pPr>
      <w:r>
        <w:t>1.</w:t>
      </w:r>
      <w:r>
        <w:tab/>
      </w:r>
      <w:r>
        <w:rPr>
          <w:noProof/>
        </w:rPr>
        <w:t xml:space="preserve">Če je policijski organ države članice za to pooblaščen z nacionalnimi zakonodajnimi ukrepi iz odstavka 2, lahko izključno za namene identifikacije osebe poizveduje v CIR na podlagi biometričnih podatkov te osebe, pridobljenih med ugotavljanjem identitete. </w:t>
      </w:r>
    </w:p>
    <w:p>
      <w:pPr>
        <w:pStyle w:val="Text1"/>
        <w:rPr>
          <w:noProof/>
        </w:rPr>
      </w:pPr>
      <w:r>
        <w:rPr>
          <w:noProof/>
        </w:rPr>
        <w:t>Če poizvedba pokaže, da se podatki o tej osebi hranijo v CIR, ima organ države članice dostop do podatkov iz člena 18(1).</w:t>
      </w:r>
    </w:p>
    <w:p>
      <w:pPr>
        <w:pStyle w:val="Text1"/>
        <w:rPr>
          <w:noProof/>
        </w:rPr>
      </w:pPr>
      <w:r>
        <w:rPr>
          <w:noProof/>
        </w:rPr>
        <w:t>Če biometričnih podatkov osebe ni mogoče uporabiti ali če je poizvedba na podlagi teh podatkov neuspešna, se poizvedba opravi na podlagi podatkov o identiteti osebe in podatkov o potovalnih dokumentih ali podatkov o identiteti, ki jih predloži ta oseba.</w:t>
      </w:r>
    </w:p>
    <w:p>
      <w:pPr>
        <w:pStyle w:val="ManualNumPar1"/>
        <w:rPr>
          <w:noProof/>
        </w:rPr>
      </w:pPr>
      <w:r>
        <w:t>2.</w:t>
      </w:r>
      <w:r>
        <w:tab/>
      </w:r>
      <w:r>
        <w:rPr>
          <w:noProof/>
        </w:rPr>
        <w:t>Države članice, ki želijo uporabiti možnost iz tega člena, sprejmejo nacionalne zakonodajne ukrepe. Taki zakonodajni ukrepi natančno določajo cilje ugotavljanja identitete za namene iz člena 2(1)(b) in (c). Določajo tudi pristojne policijske organe ter postopke, pogoje in merila za ugotavljanje identitete.</w:t>
      </w:r>
    </w:p>
    <w:p>
      <w:pPr>
        <w:rPr>
          <w:noProof/>
        </w:rPr>
      </w:pPr>
    </w:p>
    <w:p>
      <w:pPr>
        <w:pStyle w:val="Titrearticle"/>
        <w:spacing w:before="0" w:after="0"/>
        <w:rPr>
          <w:noProof/>
        </w:rPr>
      </w:pPr>
      <w:r>
        <w:rPr>
          <w:noProof/>
        </w:rPr>
        <w:t>Člen 21</w:t>
      </w:r>
    </w:p>
    <w:p>
      <w:pPr>
        <w:pStyle w:val="Titrearticle"/>
        <w:spacing w:before="0" w:after="0"/>
        <w:rPr>
          <w:noProof/>
        </w:rPr>
      </w:pPr>
      <w:r>
        <w:rPr>
          <w:noProof/>
        </w:rPr>
        <w:t>Dostop do skupnega odložišča podatkov o identiteti za namene odkrivanja več identitet</w:t>
      </w:r>
    </w:p>
    <w:p>
      <w:pPr>
        <w:pStyle w:val="ManualNumPar1"/>
        <w:rPr>
          <w:noProof/>
        </w:rPr>
      </w:pPr>
      <w:r>
        <w:t>1.</w:t>
      </w:r>
      <w:r>
        <w:tab/>
      </w:r>
      <w:r>
        <w:rPr>
          <w:noProof/>
        </w:rPr>
        <w:t>Če poizvedba v CIR privede do rumene povezave v skladu s členom 28(4), ima organ iz člena 29, ki je pristojen za preverjanje različnih identitet, izključno za namene preverjanja dostop do podatkov o identiteti, ki se hranijo v CIR in pripadajo različnim informacijskim sistemom, na katere se nanaša rumena povezava.</w:t>
      </w:r>
    </w:p>
    <w:p>
      <w:pPr>
        <w:pStyle w:val="ManualNumPar1"/>
        <w:rPr>
          <w:noProof/>
        </w:rPr>
      </w:pPr>
      <w:r>
        <w:t>2.</w:t>
      </w:r>
      <w:r>
        <w:tab/>
      </w:r>
      <w:r>
        <w:rPr>
          <w:noProof/>
        </w:rPr>
        <w:t>Če poizvedba v CIR privede do rdeče povezave v skladu s členom 32, imajo organi iz člena 26(2) izključno za namene boja proti identitetnim prevaram dostop do podatkov o identiteti, ki se hranijo v CIR in pripadajo različnim informacijskim sistemom, na katere se nanaša rdeča povezava.</w:t>
      </w:r>
    </w:p>
    <w:p>
      <w:pPr>
        <w:pStyle w:val="Titrearticle"/>
        <w:spacing w:before="0" w:after="0"/>
        <w:rPr>
          <w:noProof/>
        </w:rPr>
      </w:pPr>
    </w:p>
    <w:p>
      <w:pPr>
        <w:pStyle w:val="Titrearticle"/>
        <w:spacing w:before="0" w:after="0"/>
        <w:rPr>
          <w:noProof/>
        </w:rPr>
      </w:pPr>
      <w:r>
        <w:rPr>
          <w:noProof/>
        </w:rPr>
        <w:t>Člen 22</w:t>
      </w:r>
    </w:p>
    <w:p>
      <w:pPr>
        <w:pStyle w:val="Titrearticle"/>
        <w:spacing w:before="0"/>
        <w:rPr>
          <w:noProof/>
        </w:rPr>
      </w:pPr>
      <w:r>
        <w:rPr>
          <w:noProof/>
        </w:rPr>
        <w:t xml:space="preserve">Poizvedovanje v skupnem odložišču podatkov o identiteti za namene kazenskega pregona </w:t>
      </w:r>
    </w:p>
    <w:p>
      <w:pPr>
        <w:pStyle w:val="ManualNumPar1"/>
        <w:rPr>
          <w:noProof/>
        </w:rPr>
      </w:pPr>
      <w:r>
        <w:t>1.</w:t>
      </w:r>
      <w:r>
        <w:tab/>
      </w:r>
      <w:r>
        <w:rPr>
          <w:noProof/>
        </w:rPr>
        <w:t>Imenovani organi držav članic in Europol lahko uporabljajo CIR za namene preprečevanja, odkrivanja in preiskovanja terorističnih kaznivih dejanj ali drugih hudih kaznivih dejanj v posameznem primeru ter za pridobitev informacij o obstoju podatkov o določeni osebi v SVI, VIS in [sistemu ETIAS].</w:t>
      </w:r>
    </w:p>
    <w:p>
      <w:pPr>
        <w:pStyle w:val="ManualNumPar1"/>
        <w:rPr>
          <w:noProof/>
        </w:rPr>
      </w:pPr>
      <w:r>
        <w:t>2.</w:t>
      </w:r>
      <w:r>
        <w:tab/>
      </w:r>
      <w:r>
        <w:rPr>
          <w:noProof/>
        </w:rPr>
        <w:t>Imenovani organi držav članic in Europol pri uporabi CIR za namene iz odstavka 1 nimajo dostopa do podatkov v [sistemu ECRIS-TCN].</w:t>
      </w:r>
    </w:p>
    <w:p>
      <w:pPr>
        <w:pStyle w:val="ManualNumPar1"/>
        <w:rPr>
          <w:noProof/>
        </w:rPr>
      </w:pPr>
      <w:r>
        <w:t>3.</w:t>
      </w:r>
      <w:r>
        <w:tab/>
      </w:r>
      <w:r>
        <w:rPr>
          <w:noProof/>
        </w:rPr>
        <w:t>Če v odgovor na poizvedbo CIR pokaže na obstoj podatkov o zadevni osebi v SVI, VIS in [sistemu ETIAS], pošlje imenovanim organom držav članic in Europolu odgovor v obliki sklica na informacijske sisteme, ki vsebujejo ustrezne podatke iz člena 18(2). Odgovor CIR ne ogroža varnosti podatkov.</w:t>
      </w:r>
    </w:p>
    <w:p>
      <w:pPr>
        <w:pStyle w:val="ManualNumPar1"/>
        <w:rPr>
          <w:noProof/>
        </w:rPr>
      </w:pPr>
      <w:r>
        <w:t>4.</w:t>
      </w:r>
      <w:r>
        <w:tab/>
      </w:r>
      <w:r>
        <w:rPr>
          <w:noProof/>
        </w:rPr>
        <w:t>Za popoln dostop do podatkov v informacijskih sistemih EU za namene preprečevanja, odkrivanja in preiskovanja terorističnih kaznivih dejanj ali drugih hudih kaznivih dejanj še naprej veljajo pogoji in postopki iz ustreznih zakonodajnih instrumentov, ki urejajo tak dostop.</w:t>
      </w:r>
    </w:p>
    <w:p>
      <w:pPr>
        <w:pStyle w:val="Titrearticle"/>
        <w:spacing w:before="0" w:after="0"/>
        <w:rPr>
          <w:noProof/>
        </w:rPr>
      </w:pPr>
      <w:bookmarkStart w:id="102" w:name="_DV_M722"/>
      <w:bookmarkStart w:id="103" w:name="_DV_M726"/>
      <w:bookmarkStart w:id="104" w:name="_DV_M755"/>
      <w:bookmarkStart w:id="105" w:name="_DV_M756"/>
      <w:bookmarkStart w:id="106" w:name="_DV_M760"/>
      <w:bookmarkStart w:id="107" w:name="_DV_M761"/>
      <w:bookmarkStart w:id="108" w:name="_DV_M764"/>
      <w:bookmarkStart w:id="109" w:name="_DV_M766"/>
      <w:bookmarkStart w:id="110" w:name="_DV_M768"/>
      <w:bookmarkStart w:id="111" w:name="_DV_M771"/>
      <w:bookmarkStart w:id="112" w:name="_DV_M779"/>
      <w:bookmarkStart w:id="113" w:name="_DV_M784"/>
      <w:bookmarkStart w:id="114" w:name="_DV_M785"/>
      <w:bookmarkStart w:id="115" w:name="_DV_M786"/>
      <w:bookmarkStart w:id="116" w:name="_DV_M787"/>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noProof/>
        </w:rPr>
        <w:lastRenderedPageBreak/>
        <w:t>Člen 23</w:t>
      </w:r>
    </w:p>
    <w:p>
      <w:pPr>
        <w:pStyle w:val="Titrearticle"/>
        <w:spacing w:before="0"/>
        <w:rPr>
          <w:noProof/>
        </w:rPr>
      </w:pPr>
      <w:r>
        <w:rPr>
          <w:noProof/>
        </w:rPr>
        <w:t>Hramba podatkov v skupnem odložišču podatkov o identiteti</w:t>
      </w:r>
    </w:p>
    <w:p>
      <w:pPr>
        <w:pStyle w:val="ManualNumPar1"/>
        <w:rPr>
          <w:noProof/>
        </w:rPr>
      </w:pPr>
      <w:r>
        <w:t>1.</w:t>
      </w:r>
      <w:r>
        <w:tab/>
      </w:r>
      <w:r>
        <w:rPr>
          <w:noProof/>
        </w:rPr>
        <w:t>Podatki iz člena 18(1) in (2) se izbrišejo iz CIR v skladu z določbami o hrambi podatkov iz [uredbe o SVI], uredbe o VIS in [uredbe o sistemu ETIAS].</w:t>
      </w:r>
    </w:p>
    <w:p>
      <w:pPr>
        <w:pStyle w:val="ManualNumPar1"/>
        <w:rPr>
          <w:noProof/>
        </w:rPr>
      </w:pPr>
      <w:r>
        <w:t>2.</w:t>
      </w:r>
      <w:r>
        <w:tab/>
      </w:r>
      <w:r>
        <w:rPr>
          <w:noProof/>
        </w:rPr>
        <w:t>Individualna dokumentacija se hrani v CIR, dokler se ustrezni podatki, ki jih vsebuje CIR, hranijo vsaj v enem od informacijskih sistemov. Vzpostavitev povezave ne vpliva na obdobje hrambe posameznih povezanih podatkov.</w:t>
      </w:r>
    </w:p>
    <w:p>
      <w:pPr>
        <w:pStyle w:val="Titrearticle"/>
        <w:spacing w:before="0" w:after="0"/>
        <w:rPr>
          <w:noProof/>
        </w:rPr>
      </w:pPr>
      <w:r>
        <w:rPr>
          <w:noProof/>
        </w:rPr>
        <w:t>Člen 24</w:t>
      </w:r>
    </w:p>
    <w:p>
      <w:pPr>
        <w:pStyle w:val="Titrearticle"/>
        <w:spacing w:before="0"/>
        <w:rPr>
          <w:noProof/>
        </w:rPr>
      </w:pPr>
      <w:r>
        <w:rPr>
          <w:noProof/>
        </w:rPr>
        <w:t>Vodenje evidenc</w:t>
      </w:r>
    </w:p>
    <w:p>
      <w:pPr>
        <w:pStyle w:val="ManualNumPar1"/>
        <w:rPr>
          <w:noProof/>
        </w:rPr>
      </w:pPr>
      <w:r>
        <w:t>1.</w:t>
      </w:r>
      <w:r>
        <w:tab/>
      </w:r>
      <w:r>
        <w:rPr>
          <w:noProof/>
        </w:rPr>
        <w:t>Brez poseganja v [člen 46 uredbe o SVI], člen 34 Uredbe (ES) št. 767/2008 in [člen 59 predloga uredbe o sistemu ETIAS] agencija eu-LISA vodi evidence o vseh postopkih obdelave podatkov v CIR v skladu z odstavki 2, 3 in 4.</w:t>
      </w:r>
    </w:p>
    <w:p>
      <w:pPr>
        <w:pStyle w:val="ManualNumPar1"/>
        <w:rPr>
          <w:noProof/>
        </w:rPr>
      </w:pPr>
      <w:r>
        <w:t>2.</w:t>
      </w:r>
      <w:r>
        <w:tab/>
      </w:r>
      <w:r>
        <w:rPr>
          <w:noProof/>
        </w:rPr>
        <w:t>Kar zadeva dostop do CIR v skladu s členom 20, agencija eu-LISA vodi evidence o vseh postopkih obdelave podatkov v CIR. Te evidence vključujejo zlasti:</w:t>
      </w:r>
    </w:p>
    <w:p>
      <w:pPr>
        <w:pStyle w:val="Point1letter"/>
        <w:widowControl w:val="0"/>
        <w:numPr>
          <w:ilvl w:val="3"/>
          <w:numId w:val="68"/>
        </w:numPr>
        <w:adjustRightInd w:val="0"/>
        <w:textAlignment w:val="baseline"/>
        <w:rPr>
          <w:noProof/>
        </w:rPr>
      </w:pPr>
      <w:r>
        <w:rPr>
          <w:noProof/>
        </w:rPr>
        <w:t>namen dostopa uporabnika, ki poizveduje prek CIR;</w:t>
      </w:r>
    </w:p>
    <w:p>
      <w:pPr>
        <w:pStyle w:val="Point1letter"/>
        <w:widowControl w:val="0"/>
        <w:numPr>
          <w:ilvl w:val="3"/>
          <w:numId w:val="68"/>
        </w:numPr>
        <w:adjustRightInd w:val="0"/>
        <w:textAlignment w:val="baseline"/>
        <w:rPr>
          <w:noProof/>
        </w:rPr>
      </w:pPr>
      <w:r>
        <w:rPr>
          <w:noProof/>
        </w:rPr>
        <w:t>datum in čas poizvedbe;</w:t>
      </w:r>
    </w:p>
    <w:p>
      <w:pPr>
        <w:pStyle w:val="Point1letter"/>
        <w:widowControl w:val="0"/>
        <w:numPr>
          <w:ilvl w:val="3"/>
          <w:numId w:val="68"/>
        </w:numPr>
        <w:adjustRightInd w:val="0"/>
        <w:textAlignment w:val="baseline"/>
        <w:rPr>
          <w:noProof/>
        </w:rPr>
      </w:pPr>
      <w:r>
        <w:rPr>
          <w:noProof/>
        </w:rPr>
        <w:t>vrsto podatkov, uporabljenih za poizvedbo;</w:t>
      </w:r>
    </w:p>
    <w:p>
      <w:pPr>
        <w:pStyle w:val="Point1letter"/>
        <w:widowControl w:val="0"/>
        <w:numPr>
          <w:ilvl w:val="3"/>
          <w:numId w:val="68"/>
        </w:numPr>
        <w:adjustRightInd w:val="0"/>
        <w:textAlignment w:val="baseline"/>
        <w:rPr>
          <w:noProof/>
        </w:rPr>
      </w:pPr>
      <w:r>
        <w:rPr>
          <w:noProof/>
        </w:rPr>
        <w:t>rezultate poizvedbe;</w:t>
      </w:r>
    </w:p>
    <w:p>
      <w:pPr>
        <w:pStyle w:val="Point1letter"/>
        <w:widowControl w:val="0"/>
        <w:numPr>
          <w:ilvl w:val="3"/>
          <w:numId w:val="68"/>
        </w:numPr>
        <w:adjustRightInd w:val="0"/>
        <w:textAlignment w:val="baseline"/>
        <w:rPr>
          <w:noProof/>
        </w:rPr>
      </w:pPr>
      <w:r>
        <w:rPr>
          <w:noProof/>
        </w:rPr>
        <w:t>identifikacijsko oznako osebe, ki je opravila poizvedbo, v skladu z nacionalnimi pravili ali Uredbo (EU) 2016/794 ali, kadar je to primerno, Uredbo (ES) št. 45/2001.</w:t>
      </w:r>
    </w:p>
    <w:p>
      <w:pPr>
        <w:pStyle w:val="ManualNumPar1"/>
        <w:rPr>
          <w:noProof/>
        </w:rPr>
      </w:pPr>
      <w:r>
        <w:t>3.</w:t>
      </w:r>
      <w:r>
        <w:tab/>
      </w:r>
      <w:r>
        <w:rPr>
          <w:noProof/>
        </w:rPr>
        <w:t>Kar zadeva dostop do CIR v skladu s členom 21, agencija eu-LISA vodi evidence o vseh postopkih obdelave podatkov v CIR. Te evidence vključujejo zlasti:</w:t>
      </w:r>
    </w:p>
    <w:p>
      <w:pPr>
        <w:pStyle w:val="Point1letter"/>
        <w:widowControl w:val="0"/>
        <w:numPr>
          <w:ilvl w:val="3"/>
          <w:numId w:val="67"/>
        </w:numPr>
        <w:adjustRightInd w:val="0"/>
        <w:textAlignment w:val="baseline"/>
        <w:rPr>
          <w:noProof/>
        </w:rPr>
      </w:pPr>
      <w:r>
        <w:rPr>
          <w:noProof/>
        </w:rPr>
        <w:t>namen dostopa uporabnika, ki poizveduje prek CIR;</w:t>
      </w:r>
    </w:p>
    <w:p>
      <w:pPr>
        <w:pStyle w:val="Point1letter"/>
        <w:widowControl w:val="0"/>
        <w:numPr>
          <w:ilvl w:val="3"/>
          <w:numId w:val="67"/>
        </w:numPr>
        <w:adjustRightInd w:val="0"/>
        <w:textAlignment w:val="baseline"/>
        <w:rPr>
          <w:noProof/>
        </w:rPr>
      </w:pPr>
      <w:r>
        <w:rPr>
          <w:noProof/>
        </w:rPr>
        <w:t>datum in čas poizvedbe;</w:t>
      </w:r>
    </w:p>
    <w:p>
      <w:pPr>
        <w:pStyle w:val="Point1letter"/>
        <w:widowControl w:val="0"/>
        <w:numPr>
          <w:ilvl w:val="3"/>
          <w:numId w:val="67"/>
        </w:numPr>
        <w:adjustRightInd w:val="0"/>
        <w:textAlignment w:val="baseline"/>
        <w:rPr>
          <w:noProof/>
        </w:rPr>
      </w:pPr>
      <w:r>
        <w:rPr>
          <w:noProof/>
        </w:rPr>
        <w:t>vrsto podatkov, uporabljenih za poizvedbo, kadar je to primerno;</w:t>
      </w:r>
    </w:p>
    <w:p>
      <w:pPr>
        <w:pStyle w:val="Point1letter"/>
        <w:widowControl w:val="0"/>
        <w:numPr>
          <w:ilvl w:val="3"/>
          <w:numId w:val="67"/>
        </w:numPr>
        <w:adjustRightInd w:val="0"/>
        <w:textAlignment w:val="baseline"/>
        <w:rPr>
          <w:noProof/>
        </w:rPr>
      </w:pPr>
      <w:r>
        <w:rPr>
          <w:noProof/>
        </w:rPr>
        <w:t>rezultate poizvedbe, kadar je to primerno;</w:t>
      </w:r>
    </w:p>
    <w:p>
      <w:pPr>
        <w:pStyle w:val="Point1letter"/>
        <w:widowControl w:val="0"/>
        <w:numPr>
          <w:ilvl w:val="3"/>
          <w:numId w:val="67"/>
        </w:numPr>
        <w:adjustRightInd w:val="0"/>
        <w:textAlignment w:val="baseline"/>
        <w:rPr>
          <w:noProof/>
        </w:rPr>
      </w:pPr>
      <w:r>
        <w:rPr>
          <w:noProof/>
        </w:rPr>
        <w:t>identifikacijsko oznako osebe, ki je opravila poizvedbo, v skladu z nacionalnimi pravili ali Uredbo (EU) 2016/794 ali, kadar je to primerno, Uredbo (ES) št. 45/2001.</w:t>
      </w:r>
    </w:p>
    <w:p>
      <w:pPr>
        <w:pStyle w:val="ManualNumPar1"/>
        <w:rPr>
          <w:noProof/>
        </w:rPr>
      </w:pPr>
      <w:r>
        <w:t>4.</w:t>
      </w:r>
      <w:r>
        <w:tab/>
      </w:r>
      <w:r>
        <w:rPr>
          <w:noProof/>
        </w:rPr>
        <w:t>Kar zadeva dostop do CIR v skladu s členom 22, agencija eu-LISA vodi evidence o vseh postopkih obdelave podatkov v CIR. Te evidence vključujejo zlasti:</w:t>
      </w:r>
    </w:p>
    <w:p>
      <w:pPr>
        <w:pStyle w:val="Point1letter"/>
        <w:widowControl w:val="0"/>
        <w:numPr>
          <w:ilvl w:val="3"/>
          <w:numId w:val="69"/>
        </w:numPr>
        <w:adjustRightInd w:val="0"/>
        <w:textAlignment w:val="baseline"/>
        <w:rPr>
          <w:noProof/>
        </w:rPr>
      </w:pPr>
      <w:r>
        <w:rPr>
          <w:noProof/>
        </w:rPr>
        <w:t>sklic na nacionalno dokumentacijo;</w:t>
      </w:r>
    </w:p>
    <w:p>
      <w:pPr>
        <w:pStyle w:val="Point1letter"/>
        <w:widowControl w:val="0"/>
        <w:numPr>
          <w:ilvl w:val="3"/>
          <w:numId w:val="69"/>
        </w:numPr>
        <w:adjustRightInd w:val="0"/>
        <w:textAlignment w:val="baseline"/>
        <w:rPr>
          <w:noProof/>
        </w:rPr>
      </w:pPr>
      <w:r>
        <w:rPr>
          <w:noProof/>
        </w:rPr>
        <w:t>datum in čas poizvedbe;</w:t>
      </w:r>
    </w:p>
    <w:p>
      <w:pPr>
        <w:pStyle w:val="Point1letter"/>
        <w:widowControl w:val="0"/>
        <w:numPr>
          <w:ilvl w:val="3"/>
          <w:numId w:val="69"/>
        </w:numPr>
        <w:adjustRightInd w:val="0"/>
        <w:textAlignment w:val="baseline"/>
        <w:rPr>
          <w:noProof/>
        </w:rPr>
      </w:pPr>
      <w:r>
        <w:rPr>
          <w:noProof/>
        </w:rPr>
        <w:t>vrsto podatkov, uporabljenih za poizvedbo;</w:t>
      </w:r>
    </w:p>
    <w:p>
      <w:pPr>
        <w:pStyle w:val="Point1letter"/>
        <w:widowControl w:val="0"/>
        <w:numPr>
          <w:ilvl w:val="3"/>
          <w:numId w:val="69"/>
        </w:numPr>
        <w:adjustRightInd w:val="0"/>
        <w:textAlignment w:val="baseline"/>
        <w:rPr>
          <w:noProof/>
        </w:rPr>
      </w:pPr>
      <w:r>
        <w:rPr>
          <w:noProof/>
        </w:rPr>
        <w:t>rezultate poizvedbe;</w:t>
      </w:r>
    </w:p>
    <w:p>
      <w:pPr>
        <w:pStyle w:val="Point1letter"/>
        <w:widowControl w:val="0"/>
        <w:numPr>
          <w:ilvl w:val="3"/>
          <w:numId w:val="69"/>
        </w:numPr>
        <w:adjustRightInd w:val="0"/>
        <w:textAlignment w:val="baseline"/>
        <w:rPr>
          <w:noProof/>
        </w:rPr>
      </w:pPr>
      <w:r>
        <w:rPr>
          <w:noProof/>
        </w:rPr>
        <w:t>naziv organa, ki je uporabil CIR;</w:t>
      </w:r>
    </w:p>
    <w:p>
      <w:pPr>
        <w:pStyle w:val="Point1letter"/>
        <w:widowControl w:val="0"/>
        <w:numPr>
          <w:ilvl w:val="3"/>
          <w:numId w:val="69"/>
        </w:numPr>
        <w:adjustRightInd w:val="0"/>
        <w:textAlignment w:val="baseline"/>
        <w:rPr>
          <w:noProof/>
        </w:rPr>
      </w:pPr>
      <w:r>
        <w:rPr>
          <w:noProof/>
        </w:rPr>
        <w:t>identifikacijsko oznako uradnika, ki je opravil poizvedbo, in uradnika, ki je dal nalog za poizvedbo, v skladu z nacionalnimi pravili ali Uredbo (EU) 2016/794 ali, kadar je to primerno, Uredbo (ES) št. 45/2001.</w:t>
      </w:r>
    </w:p>
    <w:p>
      <w:pPr>
        <w:pStyle w:val="Text1"/>
        <w:rPr>
          <w:noProof/>
        </w:rPr>
      </w:pPr>
      <w:r>
        <w:rPr>
          <w:noProof/>
        </w:rPr>
        <w:lastRenderedPageBreak/>
        <w:t>Evidence takega dostopa redno preverja pristojni nadzorni organ, ustanovljen v skladu s členom 51 Uredbe (EU) 2016/679 ali členom 41 Direktive (EU) 2016/680, in sicer v časovnih presledkih, ki niso daljši od šest mesecev, da preveri, ali so izpolnjeni postopki in pogoji iz člena 22(1) do (3).</w:t>
      </w:r>
    </w:p>
    <w:p>
      <w:pPr>
        <w:pStyle w:val="ManualNumPar1"/>
        <w:rPr>
          <w:noProof/>
        </w:rPr>
      </w:pPr>
      <w:r>
        <w:t>5.</w:t>
      </w:r>
      <w:r>
        <w:tab/>
      </w:r>
      <w:r>
        <w:rPr>
          <w:noProof/>
        </w:rPr>
        <w:t xml:space="preserve">Vsaka država članica vodi evidence o poizvedbah, ki jih je opravilo osebje, pooblaščeno za uporabo CIR v skladu s členi 20, 21 in 22. </w:t>
      </w:r>
    </w:p>
    <w:p>
      <w:pPr>
        <w:pStyle w:val="ManualNumPar1"/>
        <w:rPr>
          <w:noProof/>
        </w:rPr>
      </w:pPr>
      <w:r>
        <w:t>6.</w:t>
      </w:r>
      <w:r>
        <w:tab/>
      </w:r>
      <w:r>
        <w:rPr>
          <w:noProof/>
        </w:rPr>
        <w:t>Evidence iz odstavkov 1 in 5 se lahko uporabljajo izključno za spremljanje varstva podatkov, vključno s preverjanjem dopustnosti zahtevka in zakonitosti obdelave podatkov, in za zagotavljanje varnosti podatkov v skladu s členom 42. Te evidence se z ustreznimi ukrepi zaščitijo pred nepooblaščenim dostopom in izbrišejo po enem letu od nastanka, razen če so potrebne za že začete postopke spremljanja.</w:t>
      </w:r>
    </w:p>
    <w:p>
      <w:pPr>
        <w:pStyle w:val="ManualNumPar1"/>
        <w:rPr>
          <w:noProof/>
        </w:rPr>
      </w:pPr>
      <w:r>
        <w:t>7.</w:t>
      </w:r>
      <w:r>
        <w:tab/>
      </w:r>
      <w:r>
        <w:rPr>
          <w:noProof/>
        </w:rPr>
        <w:t>Agencija eu-LISA vodi evidence v zvezi z zgodovino podatkov, ki se hranijo v individualni dokumentaciji, za namene iz odstavka 6. Evidence v zvezi z zgodovino shranjenih podatkov se izbrišejo, ko se izbrišejo podatki.</w:t>
      </w:r>
    </w:p>
    <w:p>
      <w:pPr>
        <w:spacing w:before="0"/>
        <w:rPr>
          <w:noProof/>
          <w:szCs w:val="24"/>
        </w:rPr>
      </w:pPr>
    </w:p>
    <w:p>
      <w:pPr>
        <w:pStyle w:val="ChapterTitle"/>
        <w:ind w:left="360"/>
        <w:rPr>
          <w:noProof/>
        </w:rPr>
      </w:pPr>
      <w:r>
        <w:rPr>
          <w:noProof/>
        </w:rPr>
        <w:t>POGLAVJE V</w:t>
      </w:r>
      <w:r>
        <w:rPr>
          <w:noProof/>
        </w:rPr>
        <w:br/>
        <w:t>Detektor več identitet</w:t>
      </w:r>
    </w:p>
    <w:p>
      <w:pPr>
        <w:pStyle w:val="Titrearticle"/>
        <w:spacing w:before="0" w:after="0"/>
        <w:rPr>
          <w:noProof/>
        </w:rPr>
      </w:pPr>
      <w:r>
        <w:rPr>
          <w:noProof/>
        </w:rPr>
        <w:t>Člen 25</w:t>
      </w:r>
    </w:p>
    <w:p>
      <w:pPr>
        <w:pStyle w:val="Titrearticle"/>
        <w:spacing w:before="0" w:after="0"/>
        <w:rPr>
          <w:noProof/>
        </w:rPr>
      </w:pPr>
      <w:r>
        <w:rPr>
          <w:noProof/>
        </w:rPr>
        <w:t>Detektor več identitet</w:t>
      </w:r>
    </w:p>
    <w:p>
      <w:pPr>
        <w:pStyle w:val="ManualNumPar1"/>
        <w:rPr>
          <w:noProof/>
        </w:rPr>
      </w:pPr>
      <w:r>
        <w:t>1.</w:t>
      </w:r>
      <w:r>
        <w:tab/>
      </w:r>
      <w:r>
        <w:rPr>
          <w:noProof/>
        </w:rPr>
        <w:t>Detektor več identitet (multiple-identity detector – MID), ki vzpostavlja in hrani povezave med podatki v informacijskih sistemih EU, ki jih zajema skupno odložišče podatkov o identiteti (CIR), in SIS ter posledično odkriva več identitet z namenom lažjega ugotavljanja identitete in boja proti identitetnim prevaram, se vzpostavi za podpiranje delovanja CIR ter ciljev SVI, VIS, [sistema ETIAS], sistema Eurodac, SIS in [sistema ECRIS-TCN].</w:t>
      </w:r>
    </w:p>
    <w:p>
      <w:pPr>
        <w:pStyle w:val="ManualNumPar1"/>
        <w:rPr>
          <w:noProof/>
        </w:rPr>
      </w:pPr>
      <w:r>
        <w:t>2.</w:t>
      </w:r>
      <w:r>
        <w:tab/>
      </w:r>
      <w:r>
        <w:rPr>
          <w:noProof/>
        </w:rPr>
        <w:t>MID sestavljajo:</w:t>
      </w:r>
    </w:p>
    <w:p>
      <w:pPr>
        <w:pStyle w:val="Point1letter"/>
        <w:widowControl w:val="0"/>
        <w:numPr>
          <w:ilvl w:val="3"/>
          <w:numId w:val="70"/>
        </w:numPr>
        <w:adjustRightInd w:val="0"/>
        <w:textAlignment w:val="baseline"/>
        <w:rPr>
          <w:noProof/>
        </w:rPr>
      </w:pPr>
      <w:r>
        <w:rPr>
          <w:noProof/>
        </w:rPr>
        <w:t>centralna infrastruktura, ki hrani povezave in sklice na informacijske sisteme;</w:t>
      </w:r>
    </w:p>
    <w:p>
      <w:pPr>
        <w:pStyle w:val="Point1letter"/>
        <w:widowControl w:val="0"/>
        <w:numPr>
          <w:ilvl w:val="3"/>
          <w:numId w:val="70"/>
        </w:numPr>
        <w:adjustRightInd w:val="0"/>
        <w:textAlignment w:val="baseline"/>
        <w:rPr>
          <w:noProof/>
        </w:rPr>
      </w:pPr>
      <w:r>
        <w:rPr>
          <w:noProof/>
        </w:rPr>
        <w:t>varna komunikacijska infrastruktura med MID, SIS ter centralno infrastrukturo evropskega iskalnega portala in CIR.</w:t>
      </w:r>
    </w:p>
    <w:p>
      <w:pPr>
        <w:pStyle w:val="ManualNumPar1"/>
        <w:rPr>
          <w:noProof/>
        </w:rPr>
      </w:pPr>
      <w:r>
        <w:t>3.</w:t>
      </w:r>
      <w:r>
        <w:tab/>
      </w:r>
      <w:r>
        <w:rPr>
          <w:noProof/>
        </w:rPr>
        <w:t>MID razvija in tehnično upravlja agencija eu-LISA.</w:t>
      </w:r>
    </w:p>
    <w:p>
      <w:pPr>
        <w:rPr>
          <w:noProof/>
        </w:rPr>
      </w:pPr>
    </w:p>
    <w:p>
      <w:pPr>
        <w:pStyle w:val="Titrearticle"/>
        <w:spacing w:before="0" w:after="0"/>
        <w:rPr>
          <w:noProof/>
        </w:rPr>
      </w:pPr>
      <w:r>
        <w:rPr>
          <w:noProof/>
        </w:rPr>
        <w:t>Člen 26</w:t>
      </w:r>
    </w:p>
    <w:p>
      <w:pPr>
        <w:pStyle w:val="Titrearticle"/>
        <w:spacing w:before="0"/>
        <w:rPr>
          <w:noProof/>
        </w:rPr>
      </w:pPr>
      <w:r>
        <w:rPr>
          <w:noProof/>
        </w:rPr>
        <w:t>Dostop do detektorja več identitet</w:t>
      </w:r>
    </w:p>
    <w:p>
      <w:pPr>
        <w:pStyle w:val="ManualNumPar1"/>
        <w:rPr>
          <w:noProof/>
        </w:rPr>
      </w:pPr>
      <w:r>
        <w:t>1.</w:t>
      </w:r>
      <w:r>
        <w:tab/>
      </w:r>
      <w:r>
        <w:rPr>
          <w:noProof/>
        </w:rPr>
        <w:t>Za namene ročnega preverjanja identitete iz člena 29 se dostop do podatkov iz člena 34, ki se hranijo v MID, odobri:</w:t>
      </w:r>
    </w:p>
    <w:p>
      <w:pPr>
        <w:pStyle w:val="Point1letter"/>
        <w:widowControl w:val="0"/>
        <w:numPr>
          <w:ilvl w:val="3"/>
          <w:numId w:val="71"/>
        </w:numPr>
        <w:adjustRightInd w:val="0"/>
        <w:textAlignment w:val="baseline"/>
        <w:rPr>
          <w:noProof/>
        </w:rPr>
      </w:pPr>
      <w:r>
        <w:rPr>
          <w:noProof/>
        </w:rPr>
        <w:t>mejnim organom pri pripravi ali posodobitvi individualne dokumentacije v skladu s členom 14 [uredbe o SVI];</w:t>
      </w:r>
    </w:p>
    <w:p>
      <w:pPr>
        <w:pStyle w:val="Point1letter"/>
        <w:widowControl w:val="0"/>
        <w:numPr>
          <w:ilvl w:val="3"/>
          <w:numId w:val="71"/>
        </w:numPr>
        <w:adjustRightInd w:val="0"/>
        <w:textAlignment w:val="baseline"/>
        <w:rPr>
          <w:noProof/>
        </w:rPr>
      </w:pPr>
      <w:r>
        <w:rPr>
          <w:noProof/>
        </w:rPr>
        <w:t>pristojnim organom iz člena 6(1) in (2) Uredbe (ES) št. 767/2008 pri pripravi ali posodobitvi dosjeja v VIS v skladu s členom 8 Uredbe (ES) št. 767/2008;</w:t>
      </w:r>
    </w:p>
    <w:p>
      <w:pPr>
        <w:pStyle w:val="Point1letter"/>
        <w:widowControl w:val="0"/>
        <w:numPr>
          <w:ilvl w:val="3"/>
          <w:numId w:val="71"/>
        </w:numPr>
        <w:adjustRightInd w:val="0"/>
        <w:textAlignment w:val="baseline"/>
        <w:rPr>
          <w:noProof/>
        </w:rPr>
      </w:pPr>
      <w:r>
        <w:rPr>
          <w:noProof/>
        </w:rPr>
        <w:t>[centralni enoti ETIAS in nacionalnim enotam ETIAS pri oceni iz členov 20 in 22 uredbe o sistemu ETIAS;]</w:t>
      </w:r>
    </w:p>
    <w:p>
      <w:pPr>
        <w:pStyle w:val="Point1letter"/>
        <w:widowControl w:val="0"/>
        <w:numPr>
          <w:ilvl w:val="3"/>
          <w:numId w:val="71"/>
        </w:numPr>
        <w:adjustRightInd w:val="0"/>
        <w:textAlignment w:val="baseline"/>
        <w:rPr>
          <w:noProof/>
        </w:rPr>
      </w:pPr>
      <w:r>
        <w:rPr>
          <w:noProof/>
        </w:rPr>
        <w:lastRenderedPageBreak/>
        <w:t>– (se ne uporablja);</w:t>
      </w:r>
    </w:p>
    <w:p>
      <w:pPr>
        <w:pStyle w:val="Point1letter"/>
        <w:widowControl w:val="0"/>
        <w:numPr>
          <w:ilvl w:val="3"/>
          <w:numId w:val="71"/>
        </w:numPr>
        <w:adjustRightInd w:val="0"/>
        <w:textAlignment w:val="baseline"/>
        <w:rPr>
          <w:noProof/>
        </w:rPr>
      </w:pPr>
      <w:r>
        <w:rPr>
          <w:noProof/>
        </w:rPr>
        <w:t>uradu SIRENE države članice pri izdaji [razpisa ukrepa v SIS v skladu z uredbo o SIS na področju mejne kontrole];</w:t>
      </w:r>
    </w:p>
    <w:p>
      <w:pPr>
        <w:pStyle w:val="Point1letter"/>
        <w:widowControl w:val="0"/>
        <w:numPr>
          <w:ilvl w:val="3"/>
          <w:numId w:val="71"/>
        </w:numPr>
        <w:adjustRightInd w:val="0"/>
        <w:textAlignment w:val="baseline"/>
        <w:rPr>
          <w:noProof/>
        </w:rPr>
      </w:pPr>
      <w:r>
        <w:rPr>
          <w:noProof/>
        </w:rPr>
        <w:t>– (se ne uporablja).</w:t>
      </w:r>
    </w:p>
    <w:p>
      <w:pPr>
        <w:pStyle w:val="ManualNumPar1"/>
        <w:rPr>
          <w:noProof/>
        </w:rPr>
      </w:pPr>
      <w:r>
        <w:t>2.</w:t>
      </w:r>
      <w:r>
        <w:tab/>
      </w:r>
      <w:r>
        <w:rPr>
          <w:noProof/>
        </w:rPr>
        <w:t>Organi držav članic in EU, ki imajo dostop do vsaj enega informacijskega sistema EU, ki ga zajema skupno odložišče podatkov o identiteti, ali do SIS, imajo dostop do podatkov iz člena 34(a) in (b) v zvezi z rdečimi povezavami iz člena 32.</w:t>
      </w:r>
    </w:p>
    <w:p>
      <w:pPr>
        <w:pStyle w:val="Titrearticle"/>
        <w:spacing w:before="0" w:after="0"/>
        <w:rPr>
          <w:noProof/>
        </w:rPr>
      </w:pPr>
      <w:r>
        <w:rPr>
          <w:noProof/>
        </w:rPr>
        <w:t>Člen 27</w:t>
      </w:r>
    </w:p>
    <w:p>
      <w:pPr>
        <w:pStyle w:val="Titrearticle"/>
        <w:spacing w:before="0"/>
        <w:rPr>
          <w:noProof/>
        </w:rPr>
      </w:pPr>
      <w:r>
        <w:rPr>
          <w:noProof/>
        </w:rPr>
        <w:t>Odkrivanje več identitet</w:t>
      </w:r>
    </w:p>
    <w:p>
      <w:pPr>
        <w:pStyle w:val="ManualNumPar1"/>
        <w:rPr>
          <w:noProof/>
        </w:rPr>
      </w:pPr>
      <w:r>
        <w:t>1.</w:t>
      </w:r>
      <w:r>
        <w:tab/>
      </w:r>
      <w:r>
        <w:rPr>
          <w:noProof/>
        </w:rPr>
        <w:t>Odkrivanje več identitet v skupnem odložišču podatkov o identiteti in SIS se opravi pri:</w:t>
      </w:r>
    </w:p>
    <w:p>
      <w:pPr>
        <w:pStyle w:val="Point1letter"/>
        <w:widowControl w:val="0"/>
        <w:numPr>
          <w:ilvl w:val="3"/>
          <w:numId w:val="72"/>
        </w:numPr>
        <w:adjustRightInd w:val="0"/>
        <w:textAlignment w:val="baseline"/>
        <w:rPr>
          <w:noProof/>
        </w:rPr>
      </w:pPr>
      <w:r>
        <w:rPr>
          <w:noProof/>
        </w:rPr>
        <w:t>pripravi ali posodobitvi individualne dokumentacije v [SVI v skladu s členom 14 uredbe o SVI];</w:t>
      </w:r>
    </w:p>
    <w:p>
      <w:pPr>
        <w:pStyle w:val="Point1letter"/>
        <w:widowControl w:val="0"/>
        <w:numPr>
          <w:ilvl w:val="3"/>
          <w:numId w:val="72"/>
        </w:numPr>
        <w:adjustRightInd w:val="0"/>
        <w:textAlignment w:val="baseline"/>
        <w:rPr>
          <w:noProof/>
        </w:rPr>
      </w:pPr>
      <w:r>
        <w:rPr>
          <w:noProof/>
        </w:rPr>
        <w:t>pripravi ali posodobitvi dosjeja v VIS v skladu s členom 8 Uredbe (ES) št. 767/2008;</w:t>
      </w:r>
    </w:p>
    <w:p>
      <w:pPr>
        <w:pStyle w:val="Point1letter"/>
        <w:widowControl w:val="0"/>
        <w:numPr>
          <w:ilvl w:val="3"/>
          <w:numId w:val="72"/>
        </w:numPr>
        <w:adjustRightInd w:val="0"/>
        <w:textAlignment w:val="baseline"/>
        <w:rPr>
          <w:noProof/>
        </w:rPr>
      </w:pPr>
      <w:r>
        <w:rPr>
          <w:noProof/>
        </w:rPr>
        <w:t>[pripravi ali posodobitvi dosjeja v sistemu ETIAS v skladu s členom 17 uredbe o sistemu ETIAS;]</w:t>
      </w:r>
    </w:p>
    <w:p>
      <w:pPr>
        <w:pStyle w:val="Point1letter"/>
        <w:widowControl w:val="0"/>
        <w:numPr>
          <w:ilvl w:val="3"/>
          <w:numId w:val="72"/>
        </w:numPr>
        <w:adjustRightInd w:val="0"/>
        <w:textAlignment w:val="baseline"/>
        <w:rPr>
          <w:noProof/>
        </w:rPr>
      </w:pPr>
      <w:r>
        <w:rPr>
          <w:noProof/>
        </w:rPr>
        <w:t>– (se ne uporablja);</w:t>
      </w:r>
    </w:p>
    <w:p>
      <w:pPr>
        <w:pStyle w:val="Point1letter"/>
        <w:widowControl w:val="0"/>
        <w:numPr>
          <w:ilvl w:val="3"/>
          <w:numId w:val="72"/>
        </w:numPr>
        <w:adjustRightInd w:val="0"/>
        <w:textAlignment w:val="baseline"/>
        <w:rPr>
          <w:noProof/>
        </w:rPr>
      </w:pPr>
      <w:r>
        <w:rPr>
          <w:noProof/>
        </w:rPr>
        <w:t>[izdaji ali posodobitvi razpisa ukrepa v zvezi z osebo v SIS v skladu s poglavjem V uredbe o SIS na področju mejne kontrole];</w:t>
      </w:r>
    </w:p>
    <w:p>
      <w:pPr>
        <w:pStyle w:val="Point1letter"/>
        <w:widowControl w:val="0"/>
        <w:numPr>
          <w:ilvl w:val="3"/>
          <w:numId w:val="72"/>
        </w:numPr>
        <w:adjustRightInd w:val="0"/>
        <w:textAlignment w:val="baseline"/>
        <w:rPr>
          <w:noProof/>
        </w:rPr>
      </w:pPr>
      <w:r>
        <w:rPr>
          <w:noProof/>
        </w:rPr>
        <w:t>– (se ne uporablja).</w:t>
      </w:r>
    </w:p>
    <w:p>
      <w:pPr>
        <w:pStyle w:val="ManualNumPar1"/>
        <w:rPr>
          <w:noProof/>
        </w:rPr>
      </w:pPr>
      <w:r>
        <w:t>2.</w:t>
      </w:r>
      <w:r>
        <w:tab/>
      </w:r>
      <w:r>
        <w:rPr>
          <w:noProof/>
        </w:rPr>
        <w:t>Če podatki v informacijskem sistemu iz odstavka 1 vsebujejo biometrične podatke, skupno odložišče podatkov o identiteti (CIR) in centralni SIS opravita odkrivanje več identitet prek skupne storitve za ugotavljanje ujemanja biometričnih podatkov (skupna BMS). Skupna BMS primerja biometrične predloge, pridobljene iz novih biometričnih podatkov, z biometričnimi predlogami, ki jih že vsebuje, da preveri, ali se podatki, ki se nanašajo na istega državljana tretje države, že hranijo v CIR ali centralnem SIS.</w:t>
      </w:r>
    </w:p>
    <w:p>
      <w:pPr>
        <w:pStyle w:val="ManualNumPar1"/>
        <w:rPr>
          <w:noProof/>
        </w:rPr>
      </w:pPr>
      <w:r>
        <w:t>3.</w:t>
      </w:r>
      <w:r>
        <w:tab/>
      </w:r>
      <w:r>
        <w:rPr>
          <w:noProof/>
        </w:rPr>
        <w:t>Poleg postopka iz odstavka 2 CIR in centralni SIS prek evropskega iskalnega portala iščeta podatke, ki se hranijo v CIR in centralnem SIS, na podlagi naslednjih podatkov:</w:t>
      </w:r>
    </w:p>
    <w:p>
      <w:pPr>
        <w:pStyle w:val="Point1letter"/>
        <w:widowControl w:val="0"/>
        <w:numPr>
          <w:ilvl w:val="3"/>
          <w:numId w:val="73"/>
        </w:numPr>
        <w:adjustRightInd w:val="0"/>
        <w:textAlignment w:val="baseline"/>
        <w:rPr>
          <w:noProof/>
        </w:rPr>
      </w:pPr>
      <w:r>
        <w:rPr>
          <w:noProof/>
        </w:rPr>
        <w:t>priimka, imena (rojstnega imena), datuma rojstva, spola in državljanstva, kakor je navedeno v členu 16(1)(a) [uredbe o SVI];</w:t>
      </w:r>
    </w:p>
    <w:p>
      <w:pPr>
        <w:pStyle w:val="Point1letter"/>
        <w:widowControl w:val="0"/>
        <w:numPr>
          <w:ilvl w:val="3"/>
          <w:numId w:val="73"/>
        </w:numPr>
        <w:adjustRightInd w:val="0"/>
        <w:textAlignment w:val="baseline"/>
        <w:rPr>
          <w:noProof/>
        </w:rPr>
      </w:pPr>
      <w:r>
        <w:rPr>
          <w:noProof/>
        </w:rPr>
        <w:t>priimka, imena (rojstnega imena), datuma rojstva, spola in državljanstva, kakor je navedeno v členu 9(4)(a) Uredbe (ES) št. 767/2008;</w:t>
      </w:r>
    </w:p>
    <w:p>
      <w:pPr>
        <w:pStyle w:val="Point1letter"/>
        <w:widowControl w:val="0"/>
        <w:numPr>
          <w:ilvl w:val="3"/>
          <w:numId w:val="73"/>
        </w:numPr>
        <w:adjustRightInd w:val="0"/>
        <w:textAlignment w:val="baseline"/>
        <w:rPr>
          <w:noProof/>
        </w:rPr>
      </w:pPr>
      <w:r>
        <w:rPr>
          <w:noProof/>
        </w:rPr>
        <w:t>[priimka, imena (rojstnega imena), priimka ob rojstvu, datuma in kraja rojstva, spola in državljanstva, kakor je navedeno v členu 15(2) uredbe o sistemu ETIAS;]</w:t>
      </w:r>
    </w:p>
    <w:p>
      <w:pPr>
        <w:pStyle w:val="Point1letter"/>
        <w:widowControl w:val="0"/>
        <w:numPr>
          <w:ilvl w:val="3"/>
          <w:numId w:val="73"/>
        </w:numPr>
        <w:adjustRightInd w:val="0"/>
        <w:textAlignment w:val="baseline"/>
        <w:rPr>
          <w:noProof/>
        </w:rPr>
      </w:pPr>
      <w:r>
        <w:rPr>
          <w:noProof/>
        </w:rPr>
        <w:t>– (se ne uporablja);</w:t>
      </w:r>
    </w:p>
    <w:p>
      <w:pPr>
        <w:pStyle w:val="Point1letter"/>
        <w:widowControl w:val="0"/>
        <w:numPr>
          <w:ilvl w:val="3"/>
          <w:numId w:val="73"/>
        </w:numPr>
        <w:adjustRightInd w:val="0"/>
        <w:textAlignment w:val="baseline"/>
        <w:rPr>
          <w:noProof/>
        </w:rPr>
      </w:pPr>
      <w:r>
        <w:rPr>
          <w:noProof/>
        </w:rPr>
        <w:t>[priimka, imena, imena ob rojstvu, prej uporabljanega imena in privzetega imena, datuma in kraja rojstva, spola in državljanstva, kakor je navedeno v členu 20(2) uredbe o SIS na področju mejne kontrole; ]</w:t>
      </w:r>
    </w:p>
    <w:p>
      <w:pPr>
        <w:pStyle w:val="Point1letter"/>
        <w:widowControl w:val="0"/>
        <w:numPr>
          <w:ilvl w:val="3"/>
          <w:numId w:val="73"/>
        </w:numPr>
        <w:adjustRightInd w:val="0"/>
        <w:textAlignment w:val="baseline"/>
        <w:rPr>
          <w:b/>
          <w:noProof/>
        </w:rPr>
      </w:pPr>
      <w:r>
        <w:rPr>
          <w:noProof/>
        </w:rPr>
        <w:lastRenderedPageBreak/>
        <w:t>– (se ne uporablja);</w:t>
      </w:r>
    </w:p>
    <w:p>
      <w:pPr>
        <w:pStyle w:val="Point1letter"/>
        <w:widowControl w:val="0"/>
        <w:numPr>
          <w:ilvl w:val="3"/>
          <w:numId w:val="73"/>
        </w:numPr>
        <w:adjustRightInd w:val="0"/>
        <w:textAlignment w:val="baseline"/>
        <w:rPr>
          <w:noProof/>
        </w:rPr>
      </w:pPr>
      <w:r>
        <w:rPr>
          <w:noProof/>
        </w:rPr>
        <w:t>– (se ne uporablja);</w:t>
      </w:r>
    </w:p>
    <w:p>
      <w:pPr>
        <w:pStyle w:val="Point1letter"/>
        <w:widowControl w:val="0"/>
        <w:numPr>
          <w:ilvl w:val="3"/>
          <w:numId w:val="73"/>
        </w:numPr>
        <w:adjustRightInd w:val="0"/>
        <w:textAlignment w:val="baseline"/>
        <w:rPr>
          <w:noProof/>
        </w:rPr>
      </w:pPr>
      <w:r>
        <w:rPr>
          <w:noProof/>
        </w:rPr>
        <w:t>– (se ne uporablja).</w:t>
      </w:r>
    </w:p>
    <w:p>
      <w:pPr>
        <w:pStyle w:val="ManualNumPar1"/>
        <w:rPr>
          <w:noProof/>
        </w:rPr>
      </w:pPr>
      <w:r>
        <w:t>4.</w:t>
      </w:r>
      <w:r>
        <w:tab/>
      </w:r>
      <w:r>
        <w:rPr>
          <w:noProof/>
        </w:rPr>
        <w:t>Odkrivanje več identitet se opravi le za primerjavo podatkov iz enega informacijskega sistema s podatki iz drugih informacijskih sistemov.</w:t>
      </w:r>
    </w:p>
    <w:p>
      <w:pPr>
        <w:pStyle w:val="Titrearticle"/>
        <w:spacing w:before="0"/>
        <w:rPr>
          <w:noProof/>
        </w:rPr>
      </w:pPr>
      <w:r>
        <w:rPr>
          <w:noProof/>
        </w:rPr>
        <w:t>Člen 28</w:t>
      </w:r>
      <w:r>
        <w:rPr>
          <w:noProof/>
        </w:rPr>
        <w:br/>
        <w:t>Rezultati odkrivanja več identitet</w:t>
      </w:r>
    </w:p>
    <w:p>
      <w:pPr>
        <w:pStyle w:val="ManualNumPar1"/>
        <w:rPr>
          <w:noProof/>
        </w:rPr>
      </w:pPr>
      <w:r>
        <w:t>1.</w:t>
      </w:r>
      <w:r>
        <w:tab/>
      </w:r>
      <w:r>
        <w:rPr>
          <w:noProof/>
        </w:rPr>
        <w:t>Če poizvedbe iz člena 27(2) in (3) ne privedejo do zadetka, se postopki iz člena 27(1) nadaljujejo v skladu z uredbami, ki jih urejajo.</w:t>
      </w:r>
    </w:p>
    <w:p>
      <w:pPr>
        <w:pStyle w:val="ManualNumPar1"/>
        <w:rPr>
          <w:noProof/>
        </w:rPr>
      </w:pPr>
      <w:r>
        <w:t>2.</w:t>
      </w:r>
      <w:r>
        <w:tab/>
      </w:r>
      <w:r>
        <w:rPr>
          <w:noProof/>
        </w:rPr>
        <w:t xml:space="preserve">Če poizvedba iz člena 27(2) in (3) privede do enega ali več zadetkov, skupno odložišče podatkov o identiteti in, kadar je to primerno, SIS vzpostavita povezavo med podatki, uporabljenimi za poizvedbo, in podatki, ki so privedli do zadetka. </w:t>
      </w:r>
    </w:p>
    <w:p>
      <w:pPr>
        <w:pStyle w:val="Text1"/>
        <w:rPr>
          <w:noProof/>
        </w:rPr>
      </w:pPr>
      <w:r>
        <w:rPr>
          <w:noProof/>
        </w:rPr>
        <w:t>V primeru več zadetkov se povezava vzpostavi med vsemi podatki, ki so privedli do zadetka. Če so podatki že povezani, se obstoječa povezava razširi na podatke, uporabljene za poizvedbo.</w:t>
      </w:r>
    </w:p>
    <w:p>
      <w:pPr>
        <w:pStyle w:val="ManualNumPar1"/>
        <w:rPr>
          <w:noProof/>
        </w:rPr>
      </w:pPr>
      <w:r>
        <w:t>3.</w:t>
      </w:r>
      <w:r>
        <w:tab/>
      </w:r>
      <w:r>
        <w:rPr>
          <w:noProof/>
        </w:rPr>
        <w:t>Če poizvedba iz člena 27(2) ali (3) privede do enega ali več zadetkov in so podatki o identiteti iz povezanih dokumentacij enaki ali podobni, se vzpostavi bela povezava v skladu s členom 33.</w:t>
      </w:r>
    </w:p>
    <w:p>
      <w:pPr>
        <w:pStyle w:val="ManualNumPar1"/>
        <w:rPr>
          <w:noProof/>
        </w:rPr>
      </w:pPr>
      <w:r>
        <w:t>4.</w:t>
      </w:r>
      <w:r>
        <w:tab/>
      </w:r>
      <w:r>
        <w:rPr>
          <w:noProof/>
        </w:rPr>
        <w:t>Če poizvedba iz člena 27(2) ali (3) privede do enega ali več zadetkov in podatkov o identiteti iz povezanih dokumentacij ni mogoče šteti za podobne, se vzpostavi rumena povezava v skladu s členom 30 in uporablja se postopek iz člena 29.</w:t>
      </w:r>
    </w:p>
    <w:p>
      <w:pPr>
        <w:pStyle w:val="ManualNumPar1"/>
        <w:rPr>
          <w:noProof/>
        </w:rPr>
      </w:pPr>
      <w:r>
        <w:t>5.</w:t>
      </w:r>
      <w:r>
        <w:tab/>
      </w:r>
      <w:r>
        <w:rPr>
          <w:noProof/>
        </w:rPr>
        <w:t>Komisija z izvedbenimi akti določi postopke za opredelitev primerov, v katerih se lahko podatki o identiteti štejejo za enake ali podobne. Ti izvedbeni akti se sprejmejo v skladu s postopkom pregleda iz člena 64(2).</w:t>
      </w:r>
    </w:p>
    <w:p>
      <w:pPr>
        <w:pStyle w:val="ManualNumPar1"/>
        <w:rPr>
          <w:noProof/>
        </w:rPr>
      </w:pPr>
      <w:r>
        <w:t>6.</w:t>
      </w:r>
      <w:r>
        <w:tab/>
      </w:r>
      <w:r>
        <w:rPr>
          <w:noProof/>
        </w:rPr>
        <w:t>Povezave se hranijo v dokumentaciji o potrditvi identitete iz člena 34.</w:t>
      </w:r>
    </w:p>
    <w:p>
      <w:pPr>
        <w:rPr>
          <w:noProof/>
        </w:rPr>
      </w:pPr>
      <w:r>
        <w:rPr>
          <w:noProof/>
        </w:rPr>
        <w:t>Komisija z izvedbenimi akti določi tehnična pravila o povezovanju podatkov iz različnih informacijskih sistemov. Ti izvedbeni akti se sprejmejo v skladu s postopkom pregleda iz člena 64(2).</w:t>
      </w:r>
    </w:p>
    <w:p>
      <w:pPr>
        <w:pStyle w:val="Text1"/>
        <w:rPr>
          <w:noProof/>
        </w:rPr>
      </w:pPr>
    </w:p>
    <w:p>
      <w:pPr>
        <w:pStyle w:val="Titrearticle"/>
        <w:spacing w:before="0"/>
        <w:rPr>
          <w:noProof/>
        </w:rPr>
      </w:pPr>
      <w:r>
        <w:rPr>
          <w:noProof/>
        </w:rPr>
        <w:t>Člen 29</w:t>
      </w:r>
      <w:r>
        <w:rPr>
          <w:noProof/>
        </w:rPr>
        <w:br/>
        <w:t>Ročno preverjanje različnih identitet</w:t>
      </w:r>
    </w:p>
    <w:p>
      <w:pPr>
        <w:pStyle w:val="ManualNumPar1"/>
        <w:rPr>
          <w:noProof/>
        </w:rPr>
      </w:pPr>
      <w:r>
        <w:t>1.</w:t>
      </w:r>
      <w:r>
        <w:tab/>
      </w:r>
      <w:r>
        <w:rPr>
          <w:noProof/>
        </w:rPr>
        <w:t>Brez poseganja v odstavek 2 organ, ki je pristojen za preverjanje različnih identitet, pomeni:</w:t>
      </w:r>
    </w:p>
    <w:p>
      <w:pPr>
        <w:pStyle w:val="Point1letter"/>
        <w:widowControl w:val="0"/>
        <w:numPr>
          <w:ilvl w:val="3"/>
          <w:numId w:val="74"/>
        </w:numPr>
        <w:adjustRightInd w:val="0"/>
        <w:textAlignment w:val="baseline"/>
        <w:rPr>
          <w:noProof/>
        </w:rPr>
      </w:pPr>
      <w:r>
        <w:rPr>
          <w:noProof/>
        </w:rPr>
        <w:t>mejni organ za zadetke pri vnosu ali posodobitvi posameznika v [SVI v skladu s členom 14 uredbe o SVI];</w:t>
      </w:r>
    </w:p>
    <w:p>
      <w:pPr>
        <w:pStyle w:val="Point1letter"/>
        <w:widowControl w:val="0"/>
        <w:numPr>
          <w:ilvl w:val="3"/>
          <w:numId w:val="74"/>
        </w:numPr>
        <w:adjustRightInd w:val="0"/>
        <w:textAlignment w:val="baseline"/>
        <w:rPr>
          <w:noProof/>
        </w:rPr>
      </w:pPr>
      <w:r>
        <w:rPr>
          <w:noProof/>
        </w:rPr>
        <w:t>pristojne organe iz člena 6(1) in (2) Uredbe (ES) št. 767/2008 za zadetke pri pripravi ali posodobitvi dosjeja v VIS v skladu s členom 8 Uredbe (ES) št. 767/2008;</w:t>
      </w:r>
    </w:p>
    <w:p>
      <w:pPr>
        <w:pStyle w:val="Point1letter"/>
        <w:widowControl w:val="0"/>
        <w:numPr>
          <w:ilvl w:val="3"/>
          <w:numId w:val="74"/>
        </w:numPr>
        <w:adjustRightInd w:val="0"/>
        <w:textAlignment w:val="baseline"/>
        <w:rPr>
          <w:noProof/>
        </w:rPr>
      </w:pPr>
      <w:r>
        <w:rPr>
          <w:noProof/>
        </w:rPr>
        <w:t>[centralno enoto ETIAS in nacionalne enote ETIAS za zadetke v skladu s členi 18, 20 in 22 uredbe o sistemu ETIAS;]</w:t>
      </w:r>
    </w:p>
    <w:p>
      <w:pPr>
        <w:pStyle w:val="Point1letter"/>
        <w:widowControl w:val="0"/>
        <w:numPr>
          <w:ilvl w:val="3"/>
          <w:numId w:val="74"/>
        </w:numPr>
        <w:adjustRightInd w:val="0"/>
        <w:textAlignment w:val="baseline"/>
        <w:rPr>
          <w:noProof/>
        </w:rPr>
      </w:pPr>
      <w:r>
        <w:rPr>
          <w:noProof/>
        </w:rPr>
        <w:t>– (se ne uporablja);</w:t>
      </w:r>
    </w:p>
    <w:p>
      <w:pPr>
        <w:pStyle w:val="Point1letter"/>
        <w:widowControl w:val="0"/>
        <w:numPr>
          <w:ilvl w:val="3"/>
          <w:numId w:val="74"/>
        </w:numPr>
        <w:adjustRightInd w:val="0"/>
        <w:textAlignment w:val="baseline"/>
        <w:rPr>
          <w:noProof/>
        </w:rPr>
      </w:pPr>
      <w:r>
        <w:rPr>
          <w:noProof/>
        </w:rPr>
        <w:t xml:space="preserve">urad SIRENE države članice za zadetke pri izdaji razpisa ukrepa v SIS v </w:t>
      </w:r>
      <w:r>
        <w:rPr>
          <w:noProof/>
        </w:rPr>
        <w:lastRenderedPageBreak/>
        <w:t>skladu z [uredbo o SIS na področju mejne kontrole];</w:t>
      </w:r>
    </w:p>
    <w:p>
      <w:pPr>
        <w:pStyle w:val="Point1letter"/>
        <w:widowControl w:val="0"/>
        <w:numPr>
          <w:ilvl w:val="3"/>
          <w:numId w:val="74"/>
        </w:numPr>
        <w:adjustRightInd w:val="0"/>
        <w:textAlignment w:val="baseline"/>
        <w:rPr>
          <w:noProof/>
        </w:rPr>
      </w:pPr>
      <w:r>
        <w:rPr>
          <w:noProof/>
        </w:rPr>
        <w:t>– (se ne uporablja).</w:t>
      </w:r>
    </w:p>
    <w:p>
      <w:pPr>
        <w:pStyle w:val="Text1"/>
        <w:rPr>
          <w:noProof/>
        </w:rPr>
      </w:pPr>
      <w:r>
        <w:rPr>
          <w:noProof/>
        </w:rPr>
        <w:t>Detektor več identitet navede organ, ki je pristojen za preverjanje različnih identitet v dokumentaciji za preverjanje identitete.</w:t>
      </w:r>
    </w:p>
    <w:p>
      <w:pPr>
        <w:pStyle w:val="ManualNumPar1"/>
        <w:rPr>
          <w:noProof/>
        </w:rPr>
      </w:pPr>
      <w:r>
        <w:t>2.</w:t>
      </w:r>
      <w:r>
        <w:tab/>
      </w:r>
      <w:r>
        <w:rPr>
          <w:noProof/>
        </w:rPr>
        <w:t>Organ, ki je pristojen za preverjanje različnih identitet v dokumentaciji o potrditvi identitete, je urad SIRENE države članice, ki je izdala razpis ukrepa, če se vzpostavi povezava do podatkov v:</w:t>
      </w:r>
    </w:p>
    <w:p>
      <w:pPr>
        <w:pStyle w:val="Point1letter"/>
        <w:widowControl w:val="0"/>
        <w:numPr>
          <w:ilvl w:val="3"/>
          <w:numId w:val="75"/>
        </w:numPr>
        <w:adjustRightInd w:val="0"/>
        <w:textAlignment w:val="baseline"/>
        <w:rPr>
          <w:noProof/>
        </w:rPr>
      </w:pPr>
      <w:r>
        <w:rPr>
          <w:noProof/>
        </w:rPr>
        <w:t>razpisu ukrepa v zvezi z osebami, za katere se zahteva prijetje zaradi predaje ali izročitve v skladu s členom 26 [uredbe o SIS na področju kazenskega pregona];</w:t>
      </w:r>
    </w:p>
    <w:p>
      <w:pPr>
        <w:pStyle w:val="Point1letter"/>
        <w:widowControl w:val="0"/>
        <w:numPr>
          <w:ilvl w:val="3"/>
          <w:numId w:val="75"/>
        </w:numPr>
        <w:adjustRightInd w:val="0"/>
        <w:textAlignment w:val="baseline"/>
        <w:rPr>
          <w:noProof/>
        </w:rPr>
      </w:pPr>
      <w:r>
        <w:rPr>
          <w:noProof/>
        </w:rPr>
        <w:t>razpisu ukrepa v zvezi s pogrešanimi ali ranljivimi osebami v skladu s členom 32 [uredbe o SIS na področju kazenskega pregona];</w:t>
      </w:r>
    </w:p>
    <w:p>
      <w:pPr>
        <w:pStyle w:val="Point1letter"/>
        <w:widowControl w:val="0"/>
        <w:numPr>
          <w:ilvl w:val="3"/>
          <w:numId w:val="75"/>
        </w:numPr>
        <w:adjustRightInd w:val="0"/>
        <w:textAlignment w:val="baseline"/>
        <w:rPr>
          <w:noProof/>
        </w:rPr>
      </w:pPr>
      <w:r>
        <w:rPr>
          <w:noProof/>
        </w:rPr>
        <w:t>razpisu ukrepa v zvezi z osebami, iskanimi zaradi sodelovanja v sodnem postopku v skladu s členom 34 [uredbe o SIS na področju kazenskega pregona];</w:t>
      </w:r>
    </w:p>
    <w:p>
      <w:pPr>
        <w:pStyle w:val="Point1letter"/>
        <w:widowControl w:val="0"/>
        <w:numPr>
          <w:ilvl w:val="3"/>
          <w:numId w:val="75"/>
        </w:numPr>
        <w:adjustRightInd w:val="0"/>
        <w:textAlignment w:val="baseline"/>
        <w:rPr>
          <w:noProof/>
        </w:rPr>
      </w:pPr>
      <w:r>
        <w:rPr>
          <w:noProof/>
        </w:rPr>
        <w:t>[razpisu ukrepa za vrnitev v skladu z uredbo o SIS na področju nezakonitega vračanja];</w:t>
      </w:r>
    </w:p>
    <w:p>
      <w:pPr>
        <w:pStyle w:val="Point1letter"/>
        <w:widowControl w:val="0"/>
        <w:numPr>
          <w:ilvl w:val="3"/>
          <w:numId w:val="75"/>
        </w:numPr>
        <w:adjustRightInd w:val="0"/>
        <w:textAlignment w:val="baseline"/>
        <w:rPr>
          <w:noProof/>
        </w:rPr>
      </w:pPr>
      <w:r>
        <w:rPr>
          <w:noProof/>
        </w:rPr>
        <w:t>razpisu ukrepa v zvezi z osebami, ki so predmet prikrite, poizvedovalne ali namenske kontrole v skladu s členom 36 [uredbe o SIS na področju kazenskega pregona];</w:t>
      </w:r>
    </w:p>
    <w:p>
      <w:pPr>
        <w:pStyle w:val="Point1letter"/>
        <w:widowControl w:val="0"/>
        <w:numPr>
          <w:ilvl w:val="3"/>
          <w:numId w:val="75"/>
        </w:numPr>
        <w:adjustRightInd w:val="0"/>
        <w:textAlignment w:val="baseline"/>
        <w:rPr>
          <w:noProof/>
        </w:rPr>
      </w:pPr>
      <w:r>
        <w:rPr>
          <w:noProof/>
        </w:rPr>
        <w:t>razpisu ukrepa v zvezi z neznanimi iskanimi osebami za identifikacijo v skladu z nacionalnim pravom in iskanje na podlagi biometričnih podatkov v skladu s členom 40 [uredbe o SIS na področju kazenskega pregona].</w:t>
      </w:r>
    </w:p>
    <w:p>
      <w:pPr>
        <w:pStyle w:val="ManualNumPar1"/>
        <w:rPr>
          <w:noProof/>
        </w:rPr>
      </w:pPr>
      <w:r>
        <w:t>3.</w:t>
      </w:r>
      <w:r>
        <w:tab/>
      </w:r>
      <w:r>
        <w:rPr>
          <w:noProof/>
        </w:rPr>
        <w:t>Brez poseganja v odstavek 4 ima organ, ki je pristojen za preverjanje različnih identitet, dostop do povezanih podatkov v zadevni dokumentaciji o potrditvi identitete in povezanih podatkov o identiteti v skupnem odložišču podatkov o identiteti in, kadar je to primerno, v SIS, oceni različne identitete, posodobi povezavo v skladu s členi 31, 32 in 33 ter jo nemudoma doda dokumentaciji o potrditvi identitete.</w:t>
      </w:r>
    </w:p>
    <w:p>
      <w:pPr>
        <w:pStyle w:val="ManualNumPar1"/>
        <w:rPr>
          <w:noProof/>
        </w:rPr>
      </w:pPr>
      <w:r>
        <w:t>4.</w:t>
      </w:r>
      <w:r>
        <w:tab/>
      </w:r>
      <w:r>
        <w:rPr>
          <w:noProof/>
        </w:rPr>
        <w:t>Če je organ, ki je pristojen za preverjanje različnih identitet v dokumentaciji o potrditvi identitete, mejni organ, ki pripravlja ali posodablja individualno dokumentacijo v SVI v skladu s členom 14 uredbe o SVI, in če je vzpostavljena rumena povezava, mejni organ izvede dodatna preverjanja kot del kontrole v drugi vrsti. Med to kontrolo v drugi vrsti imajo mejni organi dostop do povezanih podatkov v zadevni dokumentaciji o potrditvi identitete, ocenijo različne identitete, posodobijo povezavo v skladu s členi 31 do 33 ter jo nemudoma dodajo dokumentaciji o potrditvi identitete.</w:t>
      </w:r>
    </w:p>
    <w:p>
      <w:pPr>
        <w:pStyle w:val="ManualNumPar1"/>
        <w:rPr>
          <w:noProof/>
        </w:rPr>
      </w:pPr>
      <w:r>
        <w:t>5.</w:t>
      </w:r>
      <w:r>
        <w:tab/>
      </w:r>
      <w:r>
        <w:rPr>
          <w:noProof/>
        </w:rPr>
        <w:t>V primeru več povezav organ, ki je pristojen za preverjanje različnih identitet, oceni vsako povezavo posebej.</w:t>
      </w:r>
    </w:p>
    <w:p>
      <w:pPr>
        <w:pStyle w:val="ManualNumPar1"/>
        <w:rPr>
          <w:noProof/>
        </w:rPr>
      </w:pPr>
      <w:r>
        <w:t>6.</w:t>
      </w:r>
      <w:r>
        <w:tab/>
      </w:r>
      <w:r>
        <w:rPr>
          <w:noProof/>
        </w:rPr>
        <w:t>Če so podatki, ki so privedli do zadetka, že povezani, organ, ki je pristojen za preverjanje različnih identitet, upošteva obstoječe povezave pri oceni novih povezav.</w:t>
      </w:r>
    </w:p>
    <w:p>
      <w:pPr>
        <w:pStyle w:val="Text1"/>
        <w:rPr>
          <w:noProof/>
        </w:rPr>
      </w:pPr>
    </w:p>
    <w:p>
      <w:pPr>
        <w:pStyle w:val="Titrearticle"/>
        <w:spacing w:before="0" w:after="0"/>
        <w:rPr>
          <w:noProof/>
        </w:rPr>
      </w:pPr>
      <w:r>
        <w:rPr>
          <w:noProof/>
        </w:rPr>
        <w:lastRenderedPageBreak/>
        <w:t>Člen 30</w:t>
      </w:r>
    </w:p>
    <w:p>
      <w:pPr>
        <w:pStyle w:val="Titrearticle"/>
        <w:spacing w:before="0" w:after="0"/>
        <w:rPr>
          <w:noProof/>
        </w:rPr>
      </w:pPr>
      <w:r>
        <w:rPr>
          <w:noProof/>
        </w:rPr>
        <w:t>Rumena povezava</w:t>
      </w:r>
    </w:p>
    <w:p>
      <w:pPr>
        <w:pStyle w:val="ManualNumPar1"/>
        <w:rPr>
          <w:noProof/>
        </w:rPr>
      </w:pPr>
      <w:r>
        <w:t>1.</w:t>
      </w:r>
      <w:r>
        <w:tab/>
      </w:r>
      <w:r>
        <w:rPr>
          <w:noProof/>
        </w:rPr>
        <w:t>Povezava med podatki iz dveh ali več informacijskih sistemov se razvrsti kot rumena v katerem koli od naslednjih primerov:</w:t>
      </w:r>
    </w:p>
    <w:p>
      <w:pPr>
        <w:pStyle w:val="Point1letter"/>
        <w:widowControl w:val="0"/>
        <w:numPr>
          <w:ilvl w:val="3"/>
          <w:numId w:val="76"/>
        </w:numPr>
        <w:adjustRightInd w:val="0"/>
        <w:textAlignment w:val="baseline"/>
        <w:rPr>
          <w:noProof/>
        </w:rPr>
      </w:pPr>
      <w:r>
        <w:rPr>
          <w:noProof/>
        </w:rPr>
        <w:t xml:space="preserve">povezani podatki vključujejo enake biometrične podatke, vendar različne podatke o identiteti, različna identiteta pa ni bila ročno preverjena; </w:t>
      </w:r>
    </w:p>
    <w:p>
      <w:pPr>
        <w:pStyle w:val="Point1letter"/>
        <w:widowControl w:val="0"/>
        <w:numPr>
          <w:ilvl w:val="3"/>
          <w:numId w:val="76"/>
        </w:numPr>
        <w:adjustRightInd w:val="0"/>
        <w:textAlignment w:val="baseline"/>
        <w:rPr>
          <w:noProof/>
        </w:rPr>
      </w:pPr>
      <w:r>
        <w:rPr>
          <w:noProof/>
        </w:rPr>
        <w:t>povezani podatki vključujejo različne podatke o identiteti, različna identiteta pa ni bila ročno preverjena.</w:t>
      </w:r>
    </w:p>
    <w:p>
      <w:pPr>
        <w:pStyle w:val="ManualNumPar1"/>
        <w:rPr>
          <w:noProof/>
        </w:rPr>
      </w:pPr>
      <w:r>
        <w:t>2.</w:t>
      </w:r>
      <w:r>
        <w:tab/>
      </w:r>
      <w:r>
        <w:rPr>
          <w:noProof/>
        </w:rPr>
        <w:t>Če se povezava razvrsti kot rumena v skladu z odstavkom 1, se uporablja postopek iz člena 29.</w:t>
      </w:r>
    </w:p>
    <w:p>
      <w:pPr>
        <w:pStyle w:val="Text1"/>
        <w:rPr>
          <w:noProof/>
        </w:rPr>
      </w:pPr>
    </w:p>
    <w:p>
      <w:pPr>
        <w:pStyle w:val="Titrearticle"/>
        <w:spacing w:before="0" w:after="0"/>
        <w:rPr>
          <w:noProof/>
        </w:rPr>
      </w:pPr>
      <w:r>
        <w:rPr>
          <w:noProof/>
        </w:rPr>
        <w:t>Člen 31</w:t>
      </w:r>
    </w:p>
    <w:p>
      <w:pPr>
        <w:pStyle w:val="Titrearticle"/>
        <w:spacing w:before="0" w:after="0"/>
        <w:rPr>
          <w:noProof/>
        </w:rPr>
      </w:pPr>
      <w:r>
        <w:rPr>
          <w:noProof/>
        </w:rPr>
        <w:t>Zelena povezava</w:t>
      </w:r>
    </w:p>
    <w:p>
      <w:pPr>
        <w:pStyle w:val="ManualNumPar1"/>
        <w:rPr>
          <w:noProof/>
        </w:rPr>
      </w:pPr>
      <w:r>
        <w:t>1.</w:t>
      </w:r>
      <w:r>
        <w:tab/>
      </w:r>
      <w:r>
        <w:rPr>
          <w:noProof/>
        </w:rPr>
        <w:t>Povezava med podatki iz dveh ali več informacijskih sistemov se razvrsti kot zelena, če povezani podatki ne vključujejo enakih biometričnih podatkov, temveč podobne podatke o identiteti, organ, ki je pristojen za preverjanje različnih identitet, pa je sklenil, da se nanašajo na različni osebi.</w:t>
      </w:r>
    </w:p>
    <w:p>
      <w:pPr>
        <w:pStyle w:val="ManualNumPar1"/>
        <w:rPr>
          <w:noProof/>
        </w:rPr>
      </w:pPr>
      <w:r>
        <w:t>2.</w:t>
      </w:r>
      <w:r>
        <w:tab/>
      </w:r>
      <w:r>
        <w:rPr>
          <w:noProof/>
        </w:rPr>
        <w:t>V primeru poizvedovanja v skupnem odložišču podatkov o identiteti (CIR) ali SIS in zelene povezave med dvema ali več informacijskimi sistemi, ki jih zajema CIR, ali s SIS detektor več identitet navede, da se podatki o identiteti, ki jih vključujejo povezani podatki, ne nanašajo na isto osebo. V odgovoru poizvedovanega informacijskega sistema so navedeni le podatki osebe, uporabljeni za poizvedbo, ne da bi prišlo do zadetka na podlagi podatkov, na katere se nanaša zelena povezava.</w:t>
      </w:r>
    </w:p>
    <w:p>
      <w:pPr>
        <w:pStyle w:val="Text1"/>
        <w:rPr>
          <w:noProof/>
        </w:rPr>
      </w:pPr>
    </w:p>
    <w:p>
      <w:pPr>
        <w:pStyle w:val="Titrearticle"/>
        <w:spacing w:before="0" w:after="0"/>
        <w:rPr>
          <w:noProof/>
        </w:rPr>
      </w:pPr>
      <w:r>
        <w:rPr>
          <w:noProof/>
        </w:rPr>
        <w:t>Člen 32</w:t>
      </w:r>
    </w:p>
    <w:p>
      <w:pPr>
        <w:pStyle w:val="Titrearticle"/>
        <w:spacing w:before="0" w:after="0"/>
        <w:rPr>
          <w:noProof/>
        </w:rPr>
      </w:pPr>
      <w:r>
        <w:rPr>
          <w:noProof/>
        </w:rPr>
        <w:t>Rdeča povezava</w:t>
      </w:r>
    </w:p>
    <w:p>
      <w:pPr>
        <w:pStyle w:val="ManualNumPar1"/>
        <w:rPr>
          <w:noProof/>
        </w:rPr>
      </w:pPr>
      <w:r>
        <w:t>1.</w:t>
      </w:r>
      <w:r>
        <w:tab/>
      </w:r>
      <w:r>
        <w:rPr>
          <w:noProof/>
        </w:rPr>
        <w:t>Povezava med podatki iz dveh ali več informacijskih sistemov se razvrsti kot rdeča v katerem koli od naslednjih primerov:</w:t>
      </w:r>
    </w:p>
    <w:p>
      <w:pPr>
        <w:pStyle w:val="Point1letter"/>
        <w:widowControl w:val="0"/>
        <w:numPr>
          <w:ilvl w:val="3"/>
          <w:numId w:val="77"/>
        </w:numPr>
        <w:adjustRightInd w:val="0"/>
        <w:textAlignment w:val="baseline"/>
        <w:rPr>
          <w:noProof/>
        </w:rPr>
      </w:pPr>
      <w:r>
        <w:rPr>
          <w:noProof/>
        </w:rPr>
        <w:t xml:space="preserve">povezani podatki vključujejo enake biometrične podatke, vendar različne podatke o identiteti, organ, ki je pristojen za preverjanje različnih identitet, pa je sklenil, da se nezakonito nanašajo na isto osebo; </w:t>
      </w:r>
    </w:p>
    <w:p>
      <w:pPr>
        <w:pStyle w:val="Point1letter"/>
        <w:widowControl w:val="0"/>
        <w:numPr>
          <w:ilvl w:val="3"/>
          <w:numId w:val="77"/>
        </w:numPr>
        <w:adjustRightInd w:val="0"/>
        <w:textAlignment w:val="baseline"/>
        <w:rPr>
          <w:noProof/>
        </w:rPr>
      </w:pPr>
      <w:r>
        <w:rPr>
          <w:noProof/>
        </w:rPr>
        <w:t>povezani podatki vključujejo podobne podatke o identiteti, organ, ki je pristojen za preverjanje različnih identitet, pa je sklenil, da se nezakonito nanašajo na isto osebo.</w:t>
      </w:r>
    </w:p>
    <w:p>
      <w:pPr>
        <w:pStyle w:val="ManualNumPar1"/>
        <w:rPr>
          <w:noProof/>
        </w:rPr>
      </w:pPr>
      <w:r>
        <w:t>2.</w:t>
      </w:r>
      <w:r>
        <w:tab/>
      </w:r>
      <w:r>
        <w:rPr>
          <w:noProof/>
        </w:rPr>
        <w:t>V primeru poizvedovanja v CIR ali SIS in rdeče povezave med dvema ali več informacijskimi sistemi, ki jih zajema CIR, ali s SIS detektor več identitet v odgovoru navede podatke iz člena 34. Po rdeči povezavi se nadalje ukrepa v skladu s pravom Unije in nacionalnim pravom.</w:t>
      </w:r>
    </w:p>
    <w:p>
      <w:pPr>
        <w:pStyle w:val="ManualNumPar1"/>
        <w:rPr>
          <w:noProof/>
        </w:rPr>
      </w:pPr>
      <w:r>
        <w:t>3.</w:t>
      </w:r>
      <w:r>
        <w:tab/>
      </w:r>
      <w:r>
        <w:rPr>
          <w:noProof/>
        </w:rPr>
        <w:t>Če se vzpostavi rdeča povezava med podatki iz SVI, VIS, [sistema ETIAS], sistema Eurodac ali [sistema ECRIS-TCN], se individualna dokumentacija, ki se hrani v CIR, posodobi v skladu s členom 19(1).</w:t>
      </w:r>
    </w:p>
    <w:p>
      <w:pPr>
        <w:pStyle w:val="ManualNumPar1"/>
        <w:rPr>
          <w:noProof/>
        </w:rPr>
      </w:pPr>
      <w:r>
        <w:t>4.</w:t>
      </w:r>
      <w:r>
        <w:tab/>
      </w:r>
      <w:r>
        <w:rPr>
          <w:noProof/>
        </w:rPr>
        <w:t xml:space="preserve">Brez poseganja v določbe v zvezi z obdelavo razpisov ukrepov v SIS iz [uredb o SIS na področju mejne kontrole, kazenskega pregona in nezakonitega vračanja] ter brez poseganja v omejitve, potrebne za zaščito varnosti in javnega reda, preprečevanje </w:t>
      </w:r>
      <w:r>
        <w:rPr>
          <w:noProof/>
        </w:rPr>
        <w:lastRenderedPageBreak/>
        <w:t>kaznivih dejanj in zagotavljanje varnosti nacionalnih preiskav, organ, ki je pristojen za preverjanje različnih identitet, v primeru rdeče povezave obvesti osebo o obstoju več nezakonitih identitet.</w:t>
      </w:r>
    </w:p>
    <w:p>
      <w:pPr>
        <w:pStyle w:val="ManualNumPar1"/>
        <w:rPr>
          <w:noProof/>
        </w:rPr>
      </w:pPr>
      <w:r>
        <w:t>5.</w:t>
      </w:r>
      <w:r>
        <w:tab/>
      </w:r>
      <w:r>
        <w:rPr>
          <w:noProof/>
        </w:rPr>
        <w:t>Če se vzpostavi rdeča povezava, organ, ki je pristojen za preverjanje različnih identitet, navede sklic na organe, ki so pristojni za povezane podatke.</w:t>
      </w:r>
    </w:p>
    <w:p>
      <w:pPr>
        <w:pStyle w:val="Titrearticle"/>
        <w:spacing w:before="0" w:after="0"/>
        <w:rPr>
          <w:noProof/>
        </w:rPr>
      </w:pPr>
      <w:r>
        <w:rPr>
          <w:noProof/>
        </w:rPr>
        <w:t>Člen 33</w:t>
      </w:r>
    </w:p>
    <w:p>
      <w:pPr>
        <w:pStyle w:val="Titrearticle"/>
        <w:spacing w:before="0" w:after="0"/>
        <w:rPr>
          <w:noProof/>
        </w:rPr>
      </w:pPr>
      <w:r>
        <w:rPr>
          <w:noProof/>
        </w:rPr>
        <w:t>Bela povezava</w:t>
      </w:r>
    </w:p>
    <w:p>
      <w:pPr>
        <w:pStyle w:val="ManualNumPar1"/>
        <w:rPr>
          <w:noProof/>
        </w:rPr>
      </w:pPr>
      <w:r>
        <w:t>1.</w:t>
      </w:r>
      <w:r>
        <w:tab/>
      </w:r>
      <w:r>
        <w:rPr>
          <w:noProof/>
        </w:rPr>
        <w:t>Povezava med podatki iz dveh ali več informacijskih sistemov se razvrsti kot bela v katerem koli od naslednjih primerov:</w:t>
      </w:r>
    </w:p>
    <w:p>
      <w:pPr>
        <w:pStyle w:val="Point1letter"/>
        <w:widowControl w:val="0"/>
        <w:numPr>
          <w:ilvl w:val="3"/>
          <w:numId w:val="78"/>
        </w:numPr>
        <w:adjustRightInd w:val="0"/>
        <w:textAlignment w:val="baseline"/>
        <w:rPr>
          <w:noProof/>
        </w:rPr>
      </w:pPr>
      <w:r>
        <w:rPr>
          <w:noProof/>
        </w:rPr>
        <w:t>povezani podatki vključujejo enake biometrične podatke in enake ali podobne podatke o identiteti;</w:t>
      </w:r>
    </w:p>
    <w:p>
      <w:pPr>
        <w:pStyle w:val="Point1letter"/>
        <w:widowControl w:val="0"/>
        <w:numPr>
          <w:ilvl w:val="3"/>
          <w:numId w:val="78"/>
        </w:numPr>
        <w:adjustRightInd w:val="0"/>
        <w:textAlignment w:val="baseline"/>
        <w:rPr>
          <w:noProof/>
        </w:rPr>
      </w:pPr>
      <w:r>
        <w:rPr>
          <w:noProof/>
        </w:rPr>
        <w:t>povezani podatki vključujejo enake ali podobne podatke o identiteti, vsaj eden od informacijskih sistemov pa ne vsebuje biometričnih podatkov o osebi;</w:t>
      </w:r>
    </w:p>
    <w:p>
      <w:pPr>
        <w:pStyle w:val="Point1letter"/>
        <w:widowControl w:val="0"/>
        <w:numPr>
          <w:ilvl w:val="3"/>
          <w:numId w:val="78"/>
        </w:numPr>
        <w:adjustRightInd w:val="0"/>
        <w:textAlignment w:val="baseline"/>
        <w:rPr>
          <w:noProof/>
        </w:rPr>
      </w:pPr>
      <w:r>
        <w:rPr>
          <w:noProof/>
        </w:rPr>
        <w:t>povezani podatki vključujejo enake biometrične podatke, vendar različne podatke o identiteti, organ, ki je pristojen za preverjanje različnih identitet, pa je sklenil, da se nanašajo na isto osebo z zakonito različnimi podatki o identiteti.</w:t>
      </w:r>
    </w:p>
    <w:p>
      <w:pPr>
        <w:pStyle w:val="ManualNumPar1"/>
        <w:rPr>
          <w:noProof/>
        </w:rPr>
      </w:pPr>
      <w:r>
        <w:t>2.</w:t>
      </w:r>
      <w:r>
        <w:tab/>
      </w:r>
      <w:r>
        <w:rPr>
          <w:noProof/>
        </w:rPr>
        <w:t>V primeru poizvedovanja v CIR ali SIS in bele povezave med enim ali več informacijskimi sistemi, ki jih zajema CIR, ali s SIS detektor več identitet navede, da se podatki o identiteti, ki jih vključujejo povezani podatki, nanašajo na isto osebo. V odgovoru poizvedovanih informacijskih sistemov so, kadar je to primerno, navedeni vsi povezani podatki osebe, kar privede do zadetka na podlagi podatkov, na katere se nanaša bela povezava, če ima organ, ki je opravil poizvedbo, dostop do povezanih podatkov v skladu s pravom Unije ali nacionalnim pravom.</w:t>
      </w:r>
    </w:p>
    <w:p>
      <w:pPr>
        <w:pStyle w:val="ManualNumPar1"/>
        <w:rPr>
          <w:noProof/>
        </w:rPr>
      </w:pPr>
      <w:r>
        <w:t>3.</w:t>
      </w:r>
      <w:r>
        <w:tab/>
      </w:r>
      <w:r>
        <w:rPr>
          <w:noProof/>
        </w:rPr>
        <w:t>Če se vzpostavi bela povezava med podatki iz SVI, VIS, [sistema ETIAS], sistema Eurodac ali [sistema ECRIS-TCN], se individualna dokumentacija, ki se hrani v CIR, posodobi v skladu s členom 19(1).</w:t>
      </w:r>
    </w:p>
    <w:p>
      <w:pPr>
        <w:pStyle w:val="ManualNumPar1"/>
        <w:rPr>
          <w:noProof/>
        </w:rPr>
      </w:pPr>
      <w:r>
        <w:t>4.</w:t>
      </w:r>
      <w:r>
        <w:tab/>
      </w:r>
      <w:r>
        <w:rPr>
          <w:noProof/>
        </w:rPr>
        <w:t>Brez poseganja v določbe v zvezi z obdelavo razpisov ukrepov v SIS iz [uredb o SIS na področju mejne kontrole, kazenskega pregona in nezakonitega vračanja] organ, ki je pristojen za preverjanje različnih identitet, v primeru bele povezave po ročnem preverjanju več identitet obvesti osebo o neskladnosti med njenimi osebnimi podatki v različnih sistemih in navede sklic na organe, ki so pristojni za povezane podatke.</w:t>
      </w:r>
    </w:p>
    <w:p>
      <w:pPr>
        <w:rPr>
          <w:noProof/>
          <w:highlight w:val="yellow"/>
        </w:rPr>
      </w:pPr>
    </w:p>
    <w:p>
      <w:pPr>
        <w:pStyle w:val="Titrearticle"/>
        <w:spacing w:before="0" w:after="0"/>
        <w:rPr>
          <w:noProof/>
        </w:rPr>
      </w:pPr>
      <w:r>
        <w:rPr>
          <w:noProof/>
        </w:rPr>
        <w:t>Člen 34</w:t>
      </w:r>
    </w:p>
    <w:p>
      <w:pPr>
        <w:pStyle w:val="Titrearticle"/>
        <w:spacing w:before="0" w:after="0"/>
        <w:rPr>
          <w:noProof/>
        </w:rPr>
      </w:pPr>
      <w:r>
        <w:rPr>
          <w:noProof/>
        </w:rPr>
        <w:t>Dokumentacija o potrditvi identitete</w:t>
      </w:r>
    </w:p>
    <w:p>
      <w:pPr>
        <w:rPr>
          <w:noProof/>
        </w:rPr>
      </w:pPr>
      <w:r>
        <w:rPr>
          <w:noProof/>
        </w:rPr>
        <w:t>Dokumentacija o potrditvi identitete vsebuje naslednje podatke:</w:t>
      </w:r>
    </w:p>
    <w:p>
      <w:pPr>
        <w:pStyle w:val="Point1letter"/>
        <w:widowControl w:val="0"/>
        <w:numPr>
          <w:ilvl w:val="3"/>
          <w:numId w:val="79"/>
        </w:numPr>
        <w:adjustRightInd w:val="0"/>
        <w:textAlignment w:val="baseline"/>
        <w:rPr>
          <w:noProof/>
        </w:rPr>
      </w:pPr>
      <w:r>
        <w:rPr>
          <w:noProof/>
        </w:rPr>
        <w:t xml:space="preserve">povezave iz členov 30 do 33, vključno z opisom njihove barve; </w:t>
      </w:r>
    </w:p>
    <w:p>
      <w:pPr>
        <w:pStyle w:val="Point1letter"/>
        <w:widowControl w:val="0"/>
        <w:numPr>
          <w:ilvl w:val="3"/>
          <w:numId w:val="79"/>
        </w:numPr>
        <w:adjustRightInd w:val="0"/>
        <w:textAlignment w:val="baseline"/>
        <w:rPr>
          <w:noProof/>
        </w:rPr>
      </w:pPr>
      <w:r>
        <w:rPr>
          <w:noProof/>
        </w:rPr>
        <w:t>sklic na informacijske sisteme, ki vsebujejo povezane podatke;</w:t>
      </w:r>
    </w:p>
    <w:p>
      <w:pPr>
        <w:pStyle w:val="Point1letter"/>
        <w:widowControl w:val="0"/>
        <w:numPr>
          <w:ilvl w:val="3"/>
          <w:numId w:val="79"/>
        </w:numPr>
        <w:adjustRightInd w:val="0"/>
        <w:textAlignment w:val="baseline"/>
        <w:rPr>
          <w:noProof/>
        </w:rPr>
      </w:pPr>
      <w:r>
        <w:rPr>
          <w:noProof/>
        </w:rPr>
        <w:t>enotno identifikacijsko številko, ki omogoča pridobivanje podatkov iz zadevnih povezanih dokumentacij v informacijskih sistemih;</w:t>
      </w:r>
    </w:p>
    <w:p>
      <w:pPr>
        <w:pStyle w:val="Point1letter"/>
        <w:widowControl w:val="0"/>
        <w:numPr>
          <w:ilvl w:val="3"/>
          <w:numId w:val="79"/>
        </w:numPr>
        <w:adjustRightInd w:val="0"/>
        <w:textAlignment w:val="baseline"/>
        <w:rPr>
          <w:noProof/>
        </w:rPr>
      </w:pPr>
      <w:r>
        <w:rPr>
          <w:noProof/>
        </w:rPr>
        <w:t>kadar je to potrebno, organ, ki je pristojen za preverjanje različnih identitet.</w:t>
      </w:r>
    </w:p>
    <w:p>
      <w:pPr>
        <w:pStyle w:val="Titrearticle"/>
        <w:spacing w:before="0" w:after="0"/>
        <w:rPr>
          <w:noProof/>
        </w:rPr>
      </w:pPr>
    </w:p>
    <w:p>
      <w:pPr>
        <w:pStyle w:val="Titrearticle"/>
        <w:spacing w:before="0" w:after="0"/>
        <w:rPr>
          <w:noProof/>
        </w:rPr>
      </w:pPr>
      <w:r>
        <w:rPr>
          <w:noProof/>
        </w:rPr>
        <w:t>Člen 35</w:t>
      </w:r>
    </w:p>
    <w:p>
      <w:pPr>
        <w:pStyle w:val="Titrearticle"/>
        <w:spacing w:before="0"/>
        <w:rPr>
          <w:noProof/>
        </w:rPr>
      </w:pPr>
      <w:r>
        <w:rPr>
          <w:noProof/>
        </w:rPr>
        <w:t>Hramba podatkov v detektorju več identitet</w:t>
      </w:r>
    </w:p>
    <w:p>
      <w:pPr>
        <w:rPr>
          <w:noProof/>
        </w:rPr>
      </w:pPr>
      <w:r>
        <w:rPr>
          <w:noProof/>
        </w:rPr>
        <w:t>Dokumentacije o potrditvi identitete in podatki v njih, vključno s povezavami, se hranijo v detektorju več identitet (MID) le, dokler se povezani podatki hranijo v dveh ali več informacijskih sistemih EU.</w:t>
      </w:r>
    </w:p>
    <w:p>
      <w:pPr>
        <w:pStyle w:val="Text1"/>
        <w:rPr>
          <w:noProof/>
        </w:rPr>
      </w:pPr>
    </w:p>
    <w:p>
      <w:pPr>
        <w:pStyle w:val="Titrearticle"/>
        <w:spacing w:before="0" w:after="0"/>
        <w:rPr>
          <w:noProof/>
        </w:rPr>
      </w:pPr>
      <w:r>
        <w:rPr>
          <w:noProof/>
        </w:rPr>
        <w:t>Člen 36</w:t>
      </w:r>
    </w:p>
    <w:p>
      <w:pPr>
        <w:pStyle w:val="Titrearticle"/>
        <w:spacing w:before="0"/>
        <w:rPr>
          <w:noProof/>
        </w:rPr>
      </w:pPr>
      <w:r>
        <w:rPr>
          <w:noProof/>
        </w:rPr>
        <w:t>Vodenje evidenc</w:t>
      </w:r>
    </w:p>
    <w:p>
      <w:pPr>
        <w:pStyle w:val="ManualNumPar1"/>
        <w:rPr>
          <w:noProof/>
        </w:rPr>
      </w:pPr>
      <w:r>
        <w:t>1.</w:t>
      </w:r>
      <w:r>
        <w:tab/>
      </w:r>
      <w:r>
        <w:rPr>
          <w:noProof/>
        </w:rPr>
        <w:t>Agencija eu-LISA vodi evidence o vseh postopkih obdelave podatkov v MID. Te evidence vključujejo zlasti:</w:t>
      </w:r>
    </w:p>
    <w:p>
      <w:pPr>
        <w:pStyle w:val="Point1letter"/>
        <w:widowControl w:val="0"/>
        <w:numPr>
          <w:ilvl w:val="3"/>
          <w:numId w:val="80"/>
        </w:numPr>
        <w:adjustRightInd w:val="0"/>
        <w:textAlignment w:val="baseline"/>
        <w:rPr>
          <w:noProof/>
        </w:rPr>
      </w:pPr>
      <w:r>
        <w:rPr>
          <w:noProof/>
        </w:rPr>
        <w:t>namen dostopa uporabnika in njegove pravice do dostopa;</w:t>
      </w:r>
    </w:p>
    <w:p>
      <w:pPr>
        <w:pStyle w:val="Point1letter"/>
        <w:widowControl w:val="0"/>
        <w:numPr>
          <w:ilvl w:val="3"/>
          <w:numId w:val="80"/>
        </w:numPr>
        <w:adjustRightInd w:val="0"/>
        <w:textAlignment w:val="baseline"/>
        <w:rPr>
          <w:noProof/>
        </w:rPr>
      </w:pPr>
      <w:r>
        <w:rPr>
          <w:noProof/>
        </w:rPr>
        <w:t>datum in čas poizvedbe;</w:t>
      </w:r>
    </w:p>
    <w:p>
      <w:pPr>
        <w:pStyle w:val="Point1letter"/>
        <w:widowControl w:val="0"/>
        <w:numPr>
          <w:ilvl w:val="3"/>
          <w:numId w:val="80"/>
        </w:numPr>
        <w:adjustRightInd w:val="0"/>
        <w:textAlignment w:val="baseline"/>
        <w:rPr>
          <w:noProof/>
        </w:rPr>
      </w:pPr>
      <w:r>
        <w:rPr>
          <w:noProof/>
        </w:rPr>
        <w:t>vrsto podatkov, uporabljenih za poizvedbo;</w:t>
      </w:r>
    </w:p>
    <w:p>
      <w:pPr>
        <w:pStyle w:val="Point1letter"/>
        <w:widowControl w:val="0"/>
        <w:numPr>
          <w:ilvl w:val="3"/>
          <w:numId w:val="80"/>
        </w:numPr>
        <w:adjustRightInd w:val="0"/>
        <w:textAlignment w:val="baseline"/>
        <w:rPr>
          <w:noProof/>
        </w:rPr>
      </w:pPr>
      <w:r>
        <w:rPr>
          <w:noProof/>
        </w:rPr>
        <w:t>sklic na povezane podatke;</w:t>
      </w:r>
    </w:p>
    <w:p>
      <w:pPr>
        <w:pStyle w:val="Point1letter"/>
        <w:widowControl w:val="0"/>
        <w:numPr>
          <w:ilvl w:val="3"/>
          <w:numId w:val="80"/>
        </w:numPr>
        <w:adjustRightInd w:val="0"/>
        <w:textAlignment w:val="baseline"/>
        <w:rPr>
          <w:noProof/>
        </w:rPr>
      </w:pPr>
      <w:r>
        <w:rPr>
          <w:noProof/>
        </w:rPr>
        <w:t>zgodovino dokumentacije o potrditvi identitete;</w:t>
      </w:r>
    </w:p>
    <w:p>
      <w:pPr>
        <w:pStyle w:val="Point1letter"/>
        <w:widowControl w:val="0"/>
        <w:numPr>
          <w:ilvl w:val="3"/>
          <w:numId w:val="80"/>
        </w:numPr>
        <w:adjustRightInd w:val="0"/>
        <w:textAlignment w:val="baseline"/>
        <w:rPr>
          <w:noProof/>
        </w:rPr>
      </w:pPr>
      <w:r>
        <w:rPr>
          <w:noProof/>
        </w:rPr>
        <w:t>identifikacijsko oznako osebe, ki je opravila poizvedbo.</w:t>
      </w:r>
    </w:p>
    <w:p>
      <w:pPr>
        <w:pStyle w:val="ManualNumPar1"/>
        <w:rPr>
          <w:noProof/>
        </w:rPr>
      </w:pPr>
      <w:r>
        <w:t>2.</w:t>
      </w:r>
      <w:r>
        <w:tab/>
      </w:r>
      <w:r>
        <w:rPr>
          <w:noProof/>
        </w:rPr>
        <w:t>Vsaka država članica vodi evidence o osebju, pooblaščenem za uporabo MID.</w:t>
      </w:r>
    </w:p>
    <w:p>
      <w:pPr>
        <w:pStyle w:val="ManualNumPar1"/>
        <w:rPr>
          <w:noProof/>
        </w:rPr>
      </w:pPr>
      <w:r>
        <w:t>3.</w:t>
      </w:r>
      <w:r>
        <w:tab/>
      </w:r>
      <w:r>
        <w:rPr>
          <w:noProof/>
        </w:rPr>
        <w:t>Evidence se lahko uporabljajo izključno za spremljanje varstva podatkov, vključno s preverjanjem dopustnosti zahtevka in zakonitosti obdelave podatkov, in za zagotavljanje varnosti podatkov v skladu s členom 42. Te evidence se z ustreznimi ukrepi zaščitijo pred nepooblaščenim dostopom in izbrišejo po enem letu od nastanka, razen če so potrebne za že začete postopke spremljanja. Evidence v zvezi z zgodovino dokumentacije o potrditvi identitete se izbrišejo, ko se izbrišejo podatki v dokumentaciji o potrditvi identitete.</w:t>
      </w:r>
    </w:p>
    <w:p>
      <w:pPr>
        <w:rPr>
          <w:noProof/>
        </w:rPr>
      </w:pPr>
    </w:p>
    <w:p>
      <w:pPr>
        <w:pStyle w:val="ChapterTitle"/>
        <w:rPr>
          <w:noProof/>
        </w:rPr>
      </w:pPr>
      <w:r>
        <w:rPr>
          <w:noProof/>
        </w:rPr>
        <w:t>POGLAVJE VI</w:t>
      </w:r>
      <w:r>
        <w:rPr>
          <w:noProof/>
        </w:rPr>
        <w:br/>
        <w:t>Ukrepi za podporo interoperabilnosti</w:t>
      </w:r>
    </w:p>
    <w:p>
      <w:pPr>
        <w:pStyle w:val="Titrearticle"/>
        <w:spacing w:before="0" w:after="0"/>
        <w:rPr>
          <w:noProof/>
        </w:rPr>
      </w:pPr>
      <w:r>
        <w:rPr>
          <w:noProof/>
        </w:rPr>
        <w:t>Člen 37</w:t>
      </w:r>
    </w:p>
    <w:p>
      <w:pPr>
        <w:pStyle w:val="Titrearticle"/>
        <w:spacing w:before="0"/>
        <w:rPr>
          <w:noProof/>
        </w:rPr>
      </w:pPr>
      <w:r>
        <w:rPr>
          <w:noProof/>
        </w:rPr>
        <w:t>Kakovost podatkov</w:t>
      </w:r>
    </w:p>
    <w:p>
      <w:pPr>
        <w:pStyle w:val="ManualNumPar1"/>
        <w:rPr>
          <w:noProof/>
        </w:rPr>
      </w:pPr>
      <w:r>
        <w:t>1.</w:t>
      </w:r>
      <w:r>
        <w:tab/>
      </w:r>
      <w:r>
        <w:rPr>
          <w:noProof/>
        </w:rPr>
        <w:t>Agencija eu-LISA vzpostavi avtomatizirane mehanizme in postopke za nadzor kakovosti podatkov glede podatkov, shranjenih v SVI, [sistemu ETIAS], VIS, SIS, skupni storitvi za ugotavljanje ujemanja biometričnih podatkov (skupna BMS), skupnem odložišču podatkov o identiteti (CIR) ter detektorju več identitet (MID).</w:t>
      </w:r>
    </w:p>
    <w:p>
      <w:pPr>
        <w:pStyle w:val="ManualNumPar1"/>
        <w:rPr>
          <w:noProof/>
        </w:rPr>
      </w:pPr>
      <w:r>
        <w:t>2.</w:t>
      </w:r>
      <w:r>
        <w:tab/>
      </w:r>
      <w:r>
        <w:rPr>
          <w:noProof/>
        </w:rPr>
        <w:t>Agencija eu-LISA vzpostavi skupne kazalnike kakovosti podatkov ter minimalne standarde kakovosti za hrambo podatkov v SVI, [sistemu ETIAS], VIS, SIS, skupni BMS, CIR in MID.</w:t>
      </w:r>
    </w:p>
    <w:p>
      <w:pPr>
        <w:pStyle w:val="ManualNumPar1"/>
        <w:rPr>
          <w:noProof/>
        </w:rPr>
      </w:pPr>
      <w:r>
        <w:t>3.</w:t>
      </w:r>
      <w:r>
        <w:tab/>
      </w:r>
      <w:r>
        <w:rPr>
          <w:noProof/>
        </w:rPr>
        <w:t>Agencija eu-LISA državam članicam redno poroča o avtomatiziranih mehanizmih in postopkih za nadzor kakovosti podatkov ter o skupnih kazalnikih kakovosti podatkov. Agencija eu-LISA tudi redno poroča Komisiji o težavah, ki se pojavijo, in zadevnih državah članicah.</w:t>
      </w:r>
    </w:p>
    <w:p>
      <w:pPr>
        <w:pStyle w:val="ManualNumPar1"/>
        <w:rPr>
          <w:noProof/>
        </w:rPr>
      </w:pPr>
      <w:r>
        <w:lastRenderedPageBreak/>
        <w:t>4.</w:t>
      </w:r>
      <w:r>
        <w:tab/>
      </w:r>
      <w:r>
        <w:rPr>
          <w:noProof/>
        </w:rPr>
        <w:t>Podrobnosti glede avtomatiziranih mehanizmov in postopkov za nadzor kakovosti podatkov ter glede skupnih kazalnikov kakovosti podatkov in minimalnih standardov kakovosti za hrambo podatkov v SVI, [sistemu ETIAS], VIS, SIS, skupni BMS, CIR in MID, zlasti v zvezi z biometričnimi podatki, se določijo v izvedbenih aktih. Ti izvedbeni akti se sprejmejo v skladu s postopkom pregleda iz člena 64(2).</w:t>
      </w:r>
    </w:p>
    <w:p>
      <w:pPr>
        <w:pStyle w:val="ManualNumPar1"/>
        <w:rPr>
          <w:noProof/>
        </w:rPr>
      </w:pPr>
      <w:r>
        <w:t>5.</w:t>
      </w:r>
      <w:r>
        <w:tab/>
      </w:r>
      <w:r>
        <w:rPr>
          <w:noProof/>
        </w:rPr>
        <w:t>Komisija eno leto po vzpostavitvi avtomatiziranih mehanizmov in postopkov za nadzor kakovosti podatkov ter skupnih kazalnikov kakovosti podatkov, nato pa vsako leto, oceni, kako države članice izvajajo zahteve glede kakovosti podatkov, in poda morebitna potrebna priporočila. Države članice Komisiji predložijo akcijski načrt za odpravo morebitnih pomanjkljivosti, ugotovljenih v poročilu o oceni, ter poročajo o napredku glede akcijskega načrta do njegove izvedbe v celoti. Komisija poročilo o oceni posreduje Evropskemu parlamentu, Svetu, Evropskemu nadzorniku za varstvo podatkov in Agenciji Evropske unije za temeljne pravice, ustanovljeni z Uredbo Sveta (ES) št. 168/2007</w:t>
      </w:r>
      <w:r>
        <w:rPr>
          <w:rStyle w:val="FootnoteReference"/>
          <w:noProof/>
        </w:rPr>
        <w:footnoteReference w:id="75"/>
      </w:r>
      <w:r>
        <w:rPr>
          <w:noProof/>
        </w:rPr>
        <w:t>.</w:t>
      </w:r>
    </w:p>
    <w:p>
      <w:pPr>
        <w:rPr>
          <w:noProof/>
        </w:rPr>
      </w:pPr>
    </w:p>
    <w:p>
      <w:pPr>
        <w:pStyle w:val="Titrearticle"/>
        <w:spacing w:before="0" w:after="0"/>
        <w:rPr>
          <w:noProof/>
        </w:rPr>
      </w:pPr>
      <w:r>
        <w:rPr>
          <w:noProof/>
        </w:rPr>
        <w:t>Člen 38</w:t>
      </w:r>
    </w:p>
    <w:p>
      <w:pPr>
        <w:pStyle w:val="Titrearticle"/>
        <w:spacing w:before="0"/>
        <w:rPr>
          <w:noProof/>
        </w:rPr>
      </w:pPr>
      <w:r>
        <w:rPr>
          <w:noProof/>
        </w:rPr>
        <w:t>Univerzalni format sporočil</w:t>
      </w:r>
    </w:p>
    <w:p>
      <w:pPr>
        <w:pStyle w:val="ManualNumPar1"/>
        <w:rPr>
          <w:noProof/>
        </w:rPr>
      </w:pPr>
      <w:r>
        <w:t>1.</w:t>
      </w:r>
      <w:r>
        <w:tab/>
      </w:r>
      <w:r>
        <w:rPr>
          <w:noProof/>
        </w:rPr>
        <w:t>Vzpostavi se standard univerzalnega formata sporočil (Universal Message Format – UMF). UMF opredeljuje standarde za določene elemente vsebin čezmejne izmenjave informacij med informacijskimi sistemi, organi in/ali organizacijami na področju pravosodja in notranjih zadev.</w:t>
      </w:r>
    </w:p>
    <w:p>
      <w:pPr>
        <w:pStyle w:val="ManualNumPar1"/>
        <w:rPr>
          <w:noProof/>
        </w:rPr>
      </w:pPr>
      <w:r>
        <w:t>2.</w:t>
      </w:r>
      <w:r>
        <w:tab/>
      </w:r>
      <w:r>
        <w:rPr>
          <w:noProof/>
        </w:rPr>
        <w:t>Standard UMF se uporablja pri razvoju SVI, [sistema ETIAS], evropskega iskalnega portala, CIR in MID ter, po potrebi, pri razvoju novih modelov za izmenjavo informacij in informacijskih sistemov na področju pravosodja in notranjih zadev s strani agencije eu-LISA ali drugega organa EU.</w:t>
      </w:r>
    </w:p>
    <w:p>
      <w:pPr>
        <w:pStyle w:val="ManualNumPar1"/>
        <w:rPr>
          <w:noProof/>
        </w:rPr>
      </w:pPr>
      <w:r>
        <w:t>3.</w:t>
      </w:r>
      <w:r>
        <w:tab/>
      </w:r>
      <w:r>
        <w:rPr>
          <w:noProof/>
        </w:rPr>
        <w:t>Prouči se lahko izvajanje standarda UMF za VIS, SIS in katere koli obstoječe ali nove modele za čezmejno izmenjavo informacij ter informacijske sisteme na področju pravosodja in notranjih zadev, ki jih razvijejo države članice ali pridružene države.</w:t>
      </w:r>
    </w:p>
    <w:p>
      <w:pPr>
        <w:pStyle w:val="ManualNumPar1"/>
        <w:rPr>
          <w:noProof/>
        </w:rPr>
      </w:pPr>
      <w:r>
        <w:t>4.</w:t>
      </w:r>
      <w:r>
        <w:tab/>
      </w:r>
      <w:r>
        <w:rPr>
          <w:noProof/>
        </w:rPr>
        <w:t>Komisija sprejme izvedbeni akt za določitev in razvoj standarda UMF iz odstavka 1. Ti izvedbeni akti se sprejmejo v skladu s postopkom pregleda iz člena 64(2).</w:t>
      </w:r>
    </w:p>
    <w:p>
      <w:pPr>
        <w:pStyle w:val="Titrearticle"/>
        <w:spacing w:before="0" w:after="0"/>
        <w:rPr>
          <w:noProof/>
        </w:rPr>
      </w:pPr>
    </w:p>
    <w:p>
      <w:pPr>
        <w:pStyle w:val="Titrearticle"/>
        <w:spacing w:before="0" w:after="0"/>
        <w:rPr>
          <w:noProof/>
        </w:rPr>
      </w:pPr>
      <w:r>
        <w:rPr>
          <w:noProof/>
        </w:rPr>
        <w:t>Člen 39</w:t>
      </w:r>
    </w:p>
    <w:p>
      <w:pPr>
        <w:pStyle w:val="Titrearticle"/>
        <w:spacing w:before="0" w:after="0"/>
        <w:rPr>
          <w:noProof/>
        </w:rPr>
      </w:pPr>
      <w:r>
        <w:rPr>
          <w:noProof/>
        </w:rPr>
        <w:t>Centralni register za poročanje in statistične podatke</w:t>
      </w:r>
    </w:p>
    <w:p>
      <w:pPr>
        <w:pStyle w:val="ManualNumPar1"/>
        <w:rPr>
          <w:noProof/>
        </w:rPr>
      </w:pPr>
      <w:r>
        <w:t>1.</w:t>
      </w:r>
      <w:r>
        <w:tab/>
      </w:r>
      <w:r>
        <w:rPr>
          <w:noProof/>
        </w:rPr>
        <w:t>Vzpostavi se centralni register za poročanje in statistične podatke (central repository for reporting and statistics – CRRS) za namene podpiranja ciljev SVI, VIS, [sistema ETIAS] in SIS ter za ustvarjanje medsistemskih statističnih podatkov in analitičnega poročanja za politične in operativne namene ter namene kakovosti podatkov.</w:t>
      </w:r>
    </w:p>
    <w:p>
      <w:pPr>
        <w:pStyle w:val="ManualNumPar1"/>
        <w:rPr>
          <w:noProof/>
        </w:rPr>
      </w:pPr>
      <w:r>
        <w:t>2.</w:t>
      </w:r>
      <w:r>
        <w:tab/>
      </w:r>
      <w:r>
        <w:rPr>
          <w:noProof/>
        </w:rPr>
        <w:t xml:space="preserve">Agencija eu-LISA logično ločeno vzpostavi, izvaja in gosti CRRS na svojih tehničnih spletnih mestih, ki vsebujejo podatke iz [člena 63 uredbe o SVI], člena 17 Uredbe (ES) št. 767/2008, [člena 73 uredbe o sistemu ETIAS] ter [člena 54 uredbe o SIS na področju mejne kontrole]. Podatki, ki jih vsebuje CRRS, ne omogočajo identifikacije posameznikov. Dostop do registra se z varnim dostopom prek omrežne </w:t>
      </w:r>
      <w:r>
        <w:rPr>
          <w:noProof/>
        </w:rPr>
        <w:lastRenderedPageBreak/>
        <w:t>storitve čezevropskih telematskih storitev med upravami (TESTA), in sicer z nadzorom dostopa in posebnimi uporabniškimi profili ter izključno za namene poročanja in statistične namene, dovoli organom iz [člena 63 uredbe o SVI], člena 17 Uredbe (ES) št. 767/2008, [člena 73 uredbe o sistemu ETIAS] ter [člena 54 uredbe o SIS na področju mejne kontrole].</w:t>
      </w:r>
    </w:p>
    <w:p>
      <w:pPr>
        <w:pStyle w:val="ManualNumPar1"/>
        <w:rPr>
          <w:noProof/>
        </w:rPr>
      </w:pPr>
      <w:r>
        <w:t>3.</w:t>
      </w:r>
      <w:r>
        <w:tab/>
      </w:r>
      <w:r>
        <w:rPr>
          <w:noProof/>
        </w:rPr>
        <w:t xml:space="preserve">Agencija eu-LISA podatke anonimizira in take anonimne podatke evidentira v CRRS. Postopek anonimizacije podatkov je avtomatiziran. </w:t>
      </w:r>
    </w:p>
    <w:p>
      <w:pPr>
        <w:pStyle w:val="ManualNumPar1"/>
        <w:rPr>
          <w:noProof/>
        </w:rPr>
      </w:pPr>
      <w:r>
        <w:t>4.</w:t>
      </w:r>
      <w:r>
        <w:tab/>
      </w:r>
      <w:r>
        <w:rPr>
          <w:noProof/>
        </w:rPr>
        <w:t>CRRS sestavljajo:</w:t>
      </w:r>
    </w:p>
    <w:p>
      <w:pPr>
        <w:pStyle w:val="Point1letter"/>
        <w:widowControl w:val="0"/>
        <w:numPr>
          <w:ilvl w:val="3"/>
          <w:numId w:val="81"/>
        </w:numPr>
        <w:adjustRightInd w:val="0"/>
        <w:textAlignment w:val="baseline"/>
        <w:rPr>
          <w:noProof/>
        </w:rPr>
      </w:pPr>
      <w:r>
        <w:rPr>
          <w:noProof/>
        </w:rPr>
        <w:t>centralna infrastruktura, ki jo sestavlja register podatkov in ki omogoča anonimizacijo podatkov;</w:t>
      </w:r>
    </w:p>
    <w:p>
      <w:pPr>
        <w:pStyle w:val="Point1letter"/>
        <w:widowControl w:val="0"/>
        <w:numPr>
          <w:ilvl w:val="3"/>
          <w:numId w:val="81"/>
        </w:numPr>
        <w:adjustRightInd w:val="0"/>
        <w:textAlignment w:val="baseline"/>
        <w:rPr>
          <w:noProof/>
        </w:rPr>
      </w:pPr>
      <w:r>
        <w:rPr>
          <w:noProof/>
        </w:rPr>
        <w:t>varna komunikacijska infrastruktura za povezavo CRRS s SVI, [sistemom ETIAS], VIS in SIS ter s centralnimi infrastrukturami skupne BMS, CIR in MID.</w:t>
      </w:r>
    </w:p>
    <w:p>
      <w:pPr>
        <w:pStyle w:val="ManualNumPar1"/>
        <w:rPr>
          <w:noProof/>
        </w:rPr>
      </w:pPr>
      <w:r>
        <w:t>5.</w:t>
      </w:r>
      <w:r>
        <w:tab/>
      </w:r>
      <w:r>
        <w:rPr>
          <w:noProof/>
        </w:rPr>
        <w:t>Komisija z izvedbenimi akti določi podrobna pravila o delovanju CRRS, vključno s posebnimi zaščitnimi ukrepi za obdelavo osebnih podatkov iz odstavkov 2 in 3, ter pravila o varnosti, ki se uporabljajo za register. Ti izvedbeni akti se sprejmejo v skladu s postopkom pregleda iz člena 64(2).</w:t>
      </w:r>
    </w:p>
    <w:p>
      <w:pPr>
        <w:rPr>
          <w:noProof/>
        </w:rPr>
      </w:pPr>
    </w:p>
    <w:p>
      <w:pPr>
        <w:pStyle w:val="ChapterTitle"/>
        <w:rPr>
          <w:noProof/>
        </w:rPr>
      </w:pPr>
      <w:bookmarkStart w:id="117" w:name="_DV_M840"/>
      <w:bookmarkStart w:id="118" w:name="_DV_M1326"/>
      <w:bookmarkStart w:id="119" w:name="_DV_M1328"/>
      <w:bookmarkStart w:id="120" w:name="_DV_M1334"/>
      <w:bookmarkStart w:id="121" w:name="_DV_M1335"/>
      <w:bookmarkStart w:id="122" w:name="_DV_M1337"/>
      <w:bookmarkStart w:id="123" w:name="_DV_M1338"/>
      <w:bookmarkStart w:id="124" w:name="_DV_M1342"/>
      <w:bookmarkStart w:id="125" w:name="_DV_M1343"/>
      <w:bookmarkStart w:id="126" w:name="_DV_M1344"/>
      <w:bookmarkStart w:id="127" w:name="_DV_M1346"/>
      <w:bookmarkStart w:id="128" w:name="_DV_M1347"/>
      <w:bookmarkStart w:id="129" w:name="_DV_M1354"/>
      <w:bookmarkStart w:id="130" w:name="_DV_M1355"/>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noProof/>
        </w:rPr>
        <w:t>POGLAVJE VII</w:t>
      </w:r>
      <w:r>
        <w:rPr>
          <w:noProof/>
        </w:rPr>
        <w:br/>
        <w:t>Varstvo podatkov</w:t>
      </w:r>
    </w:p>
    <w:p>
      <w:pPr>
        <w:pStyle w:val="Titrearticle"/>
        <w:rPr>
          <w:noProof/>
        </w:rPr>
      </w:pPr>
      <w:r>
        <w:rPr>
          <w:noProof/>
        </w:rPr>
        <w:t>Člen 40</w:t>
      </w:r>
      <w:r>
        <w:rPr>
          <w:noProof/>
        </w:rPr>
        <w:br/>
        <w:t>Upravljavec podatkov</w:t>
      </w:r>
    </w:p>
    <w:p>
      <w:pPr>
        <w:pStyle w:val="ManualNumPar1"/>
        <w:rPr>
          <w:noProof/>
        </w:rPr>
      </w:pPr>
      <w:r>
        <w:t>1.</w:t>
      </w:r>
      <w:r>
        <w:tab/>
      </w:r>
      <w:r>
        <w:rPr>
          <w:noProof/>
        </w:rPr>
        <w:t>V zvezi z obdelavo podatkov v skupni storitvi za ugotavljanje ujemanja biometričnih podatkov (skupna BMS) se organi držav članic, ki so upravljavci, kot je ustrezno, za VIS, SVI in SIS, štejejo tudi za upravljavce v skladu s členom 4(7) Uredbe (EU) 2016/679 v zvezi z biometričnimi predlogami, pridobljenimi iz podatkov iz člena 13, ki jih vnesejo v ustrezne sisteme, odgovorni pa so tudi za obdelavo biometričnih predlog v skupni BMS.</w:t>
      </w:r>
    </w:p>
    <w:p>
      <w:pPr>
        <w:pStyle w:val="ManualNumPar1"/>
        <w:rPr>
          <w:noProof/>
        </w:rPr>
      </w:pPr>
      <w:r>
        <w:t>2.</w:t>
      </w:r>
      <w:r>
        <w:tab/>
      </w:r>
      <w:r>
        <w:rPr>
          <w:noProof/>
        </w:rPr>
        <w:t>V zvezi z obdelavo podatkov v skupnem odložišču podatkov o identiteti (CIR) se organi držav članic, ki so upravljavci, kot je ustrezno, za VIS, SVI in [sistem ETIAS], štejejo tudi za upravljavce v skladu s členom 4(7) Uredbe (EU) 2016/679 v zvezi s podatki iz člena 18, ki jih vnesejo v ustrezne sisteme, odgovorni pa so tudi za obdelavo teh osebnih podatkov v CIR.</w:t>
      </w:r>
    </w:p>
    <w:p>
      <w:pPr>
        <w:pStyle w:val="ManualNumPar1"/>
        <w:rPr>
          <w:noProof/>
        </w:rPr>
      </w:pPr>
      <w:r>
        <w:t>3.</w:t>
      </w:r>
      <w:r>
        <w:tab/>
      </w:r>
      <w:r>
        <w:rPr>
          <w:noProof/>
        </w:rPr>
        <w:t>V zvezi z obdelavo podatkov v detektorju več identitet:</w:t>
      </w:r>
    </w:p>
    <w:p>
      <w:pPr>
        <w:pStyle w:val="Point1letter"/>
        <w:widowControl w:val="0"/>
        <w:numPr>
          <w:ilvl w:val="3"/>
          <w:numId w:val="96"/>
        </w:numPr>
        <w:adjustRightInd w:val="0"/>
        <w:textAlignment w:val="baseline"/>
        <w:rPr>
          <w:noProof/>
        </w:rPr>
      </w:pPr>
      <w:r>
        <w:rPr>
          <w:noProof/>
        </w:rPr>
        <w:t>Evropska agencija za mejno in obalno stražo se šteje za upravljavca podatkov v skladu s členom 2(d) Uredbe (ES) št. 45/2001 v zvezi z obdelavo osebnih podatkov s strani centralne enote ETIAS;</w:t>
      </w:r>
    </w:p>
    <w:p>
      <w:pPr>
        <w:pStyle w:val="Point1letter"/>
        <w:widowControl w:val="0"/>
        <w:numPr>
          <w:ilvl w:val="3"/>
          <w:numId w:val="96"/>
        </w:numPr>
        <w:adjustRightInd w:val="0"/>
        <w:textAlignment w:val="baseline"/>
        <w:rPr>
          <w:noProof/>
        </w:rPr>
      </w:pPr>
      <w:r>
        <w:rPr>
          <w:noProof/>
        </w:rPr>
        <w:t>organi držav članic, ki dodajajo ali spreminjajo podatke v dokumentaciji o potrditvi identitete, se prav tako štejejo za upravljavce v skladu s členom 4(7) Uredbe (EU) 2016/679 in so odgovorni za obdelavo osebnih podatkov v detektorju več identitet.</w:t>
      </w:r>
    </w:p>
    <w:p>
      <w:pPr>
        <w:pStyle w:val="Titrearticle"/>
        <w:rPr>
          <w:noProof/>
        </w:rPr>
      </w:pPr>
      <w:r>
        <w:rPr>
          <w:noProof/>
        </w:rPr>
        <w:lastRenderedPageBreak/>
        <w:t>Člen 41</w:t>
      </w:r>
      <w:r>
        <w:rPr>
          <w:noProof/>
        </w:rPr>
        <w:br/>
        <w:t>Obdelovalec podatkov</w:t>
      </w:r>
    </w:p>
    <w:p>
      <w:pPr>
        <w:rPr>
          <w:noProof/>
        </w:rPr>
      </w:pPr>
      <w:r>
        <w:rPr>
          <w:noProof/>
        </w:rPr>
        <w:t>V zvezi z obdelavo osebnih podatkov v CIR se agencija eu-LISA šteje za obdelovalca podatkov v skladu s členom 2(e) Uredbe (ES) št. 45/2001.</w:t>
      </w:r>
    </w:p>
    <w:p>
      <w:pPr>
        <w:pStyle w:val="Titrearticle"/>
        <w:rPr>
          <w:noProof/>
        </w:rPr>
      </w:pPr>
      <w:r>
        <w:rPr>
          <w:noProof/>
        </w:rPr>
        <w:t>Člen 42</w:t>
      </w:r>
      <w:r>
        <w:rPr>
          <w:noProof/>
        </w:rPr>
        <w:br/>
        <w:t>Varnost obdelave</w:t>
      </w:r>
    </w:p>
    <w:p>
      <w:pPr>
        <w:pStyle w:val="ManualNumPar1"/>
        <w:rPr>
          <w:noProof/>
        </w:rPr>
      </w:pPr>
      <w:r>
        <w:t>1.</w:t>
      </w:r>
      <w:r>
        <w:tab/>
      </w:r>
      <w:r>
        <w:rPr>
          <w:noProof/>
        </w:rPr>
        <w:t>Agencija eu-LISA in organi držav članic zagotovijo varnost obdelave osebnih podatkov, ki poteka v skladu z uporabo te uredbe. Agencija eu-LISA, [centralna enota ETIAS] in organi držav članic pri nalogah, povezanih z varnostjo, sodelujejo.</w:t>
      </w:r>
    </w:p>
    <w:p>
      <w:pPr>
        <w:pStyle w:val="ManualNumPar1"/>
        <w:rPr>
          <w:noProof/>
        </w:rPr>
      </w:pPr>
      <w:r>
        <w:t>2.</w:t>
      </w:r>
      <w:r>
        <w:tab/>
      </w:r>
      <w:r>
        <w:rPr>
          <w:noProof/>
        </w:rPr>
        <w:t>Brez poseganja v člen 22 Uredbe (ES) št. 45/2001 agencija eu-LISA sprejme potrebne ukrepe za zagotovitev varnosti sestavnih delov interoperabilnosti in z njimi povezane komunikacijske infrastrukture.</w:t>
      </w:r>
    </w:p>
    <w:p>
      <w:pPr>
        <w:pStyle w:val="ManualNumPar1"/>
        <w:rPr>
          <w:noProof/>
        </w:rPr>
      </w:pPr>
      <w:r>
        <w:t>3.</w:t>
      </w:r>
      <w:r>
        <w:tab/>
      </w:r>
      <w:r>
        <w:rPr>
          <w:noProof/>
        </w:rPr>
        <w:t>Agencija eu-LISA zlasti sprejme potrebne ukrepe, vključno z varnostnim načrtom, načrtom neprekinjenega delovanja in sanacijskim načrtom po nesreči, za:</w:t>
      </w:r>
    </w:p>
    <w:p>
      <w:pPr>
        <w:pStyle w:val="Point1letter"/>
        <w:widowControl w:val="0"/>
        <w:numPr>
          <w:ilvl w:val="3"/>
          <w:numId w:val="82"/>
        </w:numPr>
        <w:adjustRightInd w:val="0"/>
        <w:textAlignment w:val="baseline"/>
        <w:rPr>
          <w:noProof/>
        </w:rPr>
      </w:pPr>
      <w:r>
        <w:rPr>
          <w:noProof/>
        </w:rPr>
        <w:t>fizično zaščito podatkov, med drugim z izdelavo načrtov ukrepov za zaščito ključne infrastrukture ob nepredvidljivih dogodkih;</w:t>
      </w:r>
    </w:p>
    <w:p>
      <w:pPr>
        <w:pStyle w:val="Point1letter"/>
        <w:widowControl w:val="0"/>
        <w:numPr>
          <w:ilvl w:val="3"/>
          <w:numId w:val="82"/>
        </w:numPr>
        <w:adjustRightInd w:val="0"/>
        <w:textAlignment w:val="baseline"/>
        <w:rPr>
          <w:noProof/>
        </w:rPr>
      </w:pPr>
      <w:r>
        <w:rPr>
          <w:noProof/>
        </w:rPr>
        <w:t>preprečitev nepooblaščenega branja, kopiranja, spreminjanja ali odstranjevanja nosilcev podatkov;</w:t>
      </w:r>
    </w:p>
    <w:p>
      <w:pPr>
        <w:pStyle w:val="Point1letter"/>
        <w:widowControl w:val="0"/>
        <w:numPr>
          <w:ilvl w:val="3"/>
          <w:numId w:val="82"/>
        </w:numPr>
        <w:adjustRightInd w:val="0"/>
        <w:textAlignment w:val="baseline"/>
        <w:rPr>
          <w:noProof/>
        </w:rPr>
      </w:pPr>
      <w:r>
        <w:rPr>
          <w:noProof/>
        </w:rPr>
        <w:t>preprečitev nepooblaščenega vnosa podatkov in nedovoljenega preverjanja, spreminjanja ali brisanja zabeleženih osebnih podatkov;</w:t>
      </w:r>
    </w:p>
    <w:p>
      <w:pPr>
        <w:pStyle w:val="Point1letter"/>
        <w:widowControl w:val="0"/>
        <w:numPr>
          <w:ilvl w:val="3"/>
          <w:numId w:val="82"/>
        </w:numPr>
        <w:adjustRightInd w:val="0"/>
        <w:textAlignment w:val="baseline"/>
        <w:rPr>
          <w:noProof/>
        </w:rPr>
      </w:pPr>
      <w:r>
        <w:rPr>
          <w:noProof/>
        </w:rPr>
        <w:t>preprečitev nepooblaščene obdelave podatkov in vsakega nepooblaščenega kopiranja, spreminjanja ali brisanja podatkov;</w:t>
      </w:r>
    </w:p>
    <w:p>
      <w:pPr>
        <w:pStyle w:val="Point1letter"/>
        <w:widowControl w:val="0"/>
        <w:numPr>
          <w:ilvl w:val="3"/>
          <w:numId w:val="82"/>
        </w:numPr>
        <w:adjustRightInd w:val="0"/>
        <w:textAlignment w:val="baseline"/>
        <w:rPr>
          <w:noProof/>
        </w:rPr>
      </w:pPr>
      <w:r>
        <w:rPr>
          <w:noProof/>
        </w:rPr>
        <w:t>zagotovitev, da imajo osebe, pooblaščene za dostop do sestavnih delov interoperabilnosti, dostop samo do podatkov, ki jih zajema njihovo pooblastilo za dostop, in sicer na podlagi individualne uporabniške identitete ter zaupnega načina dostopa;</w:t>
      </w:r>
    </w:p>
    <w:p>
      <w:pPr>
        <w:pStyle w:val="Point1letter"/>
        <w:widowControl w:val="0"/>
        <w:numPr>
          <w:ilvl w:val="3"/>
          <w:numId w:val="82"/>
        </w:numPr>
        <w:adjustRightInd w:val="0"/>
        <w:textAlignment w:val="baseline"/>
        <w:rPr>
          <w:noProof/>
        </w:rPr>
      </w:pPr>
      <w:r>
        <w:rPr>
          <w:noProof/>
        </w:rPr>
        <w:t>zagotovitev možnosti za preverjanje in ugotavljanje, katerim organom se lahko prek opreme za prenos podatkov posredujejo osebni podatki;</w:t>
      </w:r>
    </w:p>
    <w:p>
      <w:pPr>
        <w:pStyle w:val="Point1letter"/>
        <w:widowControl w:val="0"/>
        <w:numPr>
          <w:ilvl w:val="3"/>
          <w:numId w:val="82"/>
        </w:numPr>
        <w:adjustRightInd w:val="0"/>
        <w:textAlignment w:val="baseline"/>
        <w:rPr>
          <w:noProof/>
        </w:rPr>
      </w:pPr>
      <w:r>
        <w:rPr>
          <w:noProof/>
        </w:rPr>
        <w:t>zagotovitev možnosti za preverjanje in ugotavljanje, kateri podatki so bili obdelani v sestavnih delih interoperabilnosti ter kdo jih je obdeloval, kdaj in za kateri namen;</w:t>
      </w:r>
    </w:p>
    <w:p>
      <w:pPr>
        <w:pStyle w:val="Point1letter"/>
        <w:widowControl w:val="0"/>
        <w:numPr>
          <w:ilvl w:val="3"/>
          <w:numId w:val="82"/>
        </w:numPr>
        <w:adjustRightInd w:val="0"/>
        <w:textAlignment w:val="baseline"/>
        <w:rPr>
          <w:noProof/>
        </w:rPr>
      </w:pPr>
      <w:r>
        <w:rPr>
          <w:noProof/>
        </w:rPr>
        <w:t>preprečitev nepooblaščenega branja, kopiranja, spreminjanja ali brisanja osebnih podatkov med njihovim prenosom v sestavne dele interoperabilnosti ali iz njih ali med prenosom nosilcev podatkov, zlasti z ustreznimi tehnikami šifriranja;</w:t>
      </w:r>
    </w:p>
    <w:p>
      <w:pPr>
        <w:pStyle w:val="Point1letter"/>
        <w:widowControl w:val="0"/>
        <w:numPr>
          <w:ilvl w:val="3"/>
          <w:numId w:val="82"/>
        </w:numPr>
        <w:adjustRightInd w:val="0"/>
        <w:textAlignment w:val="baseline"/>
        <w:rPr>
          <w:noProof/>
        </w:rPr>
      </w:pPr>
      <w:r>
        <w:rPr>
          <w:noProof/>
        </w:rPr>
        <w:t>spremljanje učinkovitosti varnostnih ukrepov iz tega odstavka in vzpostavitev potrebnih organizacijskih ukrepov v zvezi z notranjim spremljanjem, da se zagotovi skladnost s to uredbo.</w:t>
      </w:r>
    </w:p>
    <w:p>
      <w:pPr>
        <w:pStyle w:val="ManualNumPar1"/>
        <w:rPr>
          <w:noProof/>
        </w:rPr>
      </w:pPr>
      <w:r>
        <w:t>4.</w:t>
      </w:r>
      <w:r>
        <w:tab/>
      </w:r>
      <w:r>
        <w:rPr>
          <w:noProof/>
        </w:rPr>
        <w:t xml:space="preserve">Države članice v zvezi z varnostjo glede obdelave osebnih podatkov, ki jo izvajajo organi, ki imajo pravico do dostopa do katerega koli sestavnega dela interoperabilnosti, sprejmejo ukrepe, enakovredne tistim iz odstavka 3. </w:t>
      </w:r>
    </w:p>
    <w:p>
      <w:pPr>
        <w:pStyle w:val="Titrearticle"/>
        <w:spacing w:after="0"/>
        <w:rPr>
          <w:noProof/>
        </w:rPr>
      </w:pPr>
      <w:r>
        <w:rPr>
          <w:noProof/>
        </w:rPr>
        <w:lastRenderedPageBreak/>
        <w:t>Člen 43</w:t>
      </w:r>
    </w:p>
    <w:p>
      <w:pPr>
        <w:pStyle w:val="Titrearticle"/>
        <w:spacing w:before="0"/>
        <w:rPr>
          <w:noProof/>
        </w:rPr>
      </w:pPr>
      <w:r>
        <w:rPr>
          <w:noProof/>
        </w:rPr>
        <w:t>Zaupnost podatkov SIS</w:t>
      </w:r>
    </w:p>
    <w:p>
      <w:pPr>
        <w:pStyle w:val="ManualNumPar1"/>
        <w:rPr>
          <w:noProof/>
        </w:rPr>
      </w:pPr>
      <w:r>
        <w:t>1.</w:t>
      </w:r>
      <w:r>
        <w:tab/>
      </w:r>
      <w:r>
        <w:rPr>
          <w:noProof/>
        </w:rPr>
        <w:t>Vsaka država članica uporablja svoja pravila glede poklicne skrivnosti ali druge enakovredne obveznosti glede zaupnosti za vse osebe in organe, ki delajo s podatki SIS, do katerih se dostopa prek katerega koli sestavnega dela interoperabilnosti, v skladu s svojo nacionalno zakonodajo. Ta obveznost velja tudi po tem, ko navedene osebe zapustijo delovno mesto ali prekinejo delovno razmerje, ali po prenehanju dejavnosti navedenih organov.</w:t>
      </w:r>
    </w:p>
    <w:p>
      <w:pPr>
        <w:pStyle w:val="ManualNumPar1"/>
        <w:rPr>
          <w:noProof/>
        </w:rPr>
      </w:pPr>
      <w:r>
        <w:t>2.</w:t>
      </w:r>
      <w:r>
        <w:tab/>
      </w:r>
      <w:r>
        <w:rPr>
          <w:noProof/>
        </w:rPr>
        <w:t>Brez poseganja v člen 17 Kadrovskih predpisov za uradnike Evropske unije in Pogojev za zaposlitev drugih uslužbencev Evropske unije agencija eu-LISA za vse osebje, ki dela s podatki SIS, uporablja ustrezna pravila glede poklicne skrivnosti ali druge enakovredne obveznosti glede zaupnosti, ki ustrezajo standardom, primerljivim s tistimi iz odstavka 1. Ta obveznost velja tudi po tem, ko navedene osebe zapustijo delovno mesto ali prekinejo delovno razmerje, ali po prenehanju njihovih dejavnosti.</w:t>
      </w:r>
    </w:p>
    <w:p>
      <w:pPr>
        <w:pStyle w:val="Titrearticle"/>
        <w:rPr>
          <w:noProof/>
        </w:rPr>
      </w:pPr>
      <w:r>
        <w:rPr>
          <w:noProof/>
        </w:rPr>
        <w:t>Člen 4</w:t>
      </w:r>
      <w:bookmarkStart w:id="131" w:name="_DV_C1316"/>
      <w:r>
        <w:rPr>
          <w:noProof/>
        </w:rPr>
        <w:t>4</w:t>
      </w:r>
      <w:r>
        <w:rPr>
          <w:noProof/>
        </w:rPr>
        <w:br/>
        <w:t>Varnostni incidenti</w:t>
      </w:r>
      <w:bookmarkEnd w:id="131"/>
    </w:p>
    <w:p>
      <w:pPr>
        <w:pStyle w:val="ManualNumPar1"/>
        <w:rPr>
          <w:noProof/>
        </w:rPr>
      </w:pPr>
      <w:bookmarkStart w:id="132" w:name="_DV_C1317"/>
      <w:r>
        <w:t>1.</w:t>
      </w:r>
      <w:r>
        <w:tab/>
      </w:r>
      <w:r>
        <w:rPr>
          <w:noProof/>
        </w:rPr>
        <w:t>Kot varnostni incident se šteje vsak dogodek, ki vpliva ali bi lahko vplival na varnost sestavnih delov interoperabilnosti in bi lahko povzročil poškodovanje ali izgubo v njih shranjenih podatkov, zlasti v primeru morebitnega nedovoljenega dostopa do podatkov ali kadar so bile ali bi lahko bile ogrožene razpoložljivost, celovitost in zaupnost podatkov.</w:t>
      </w:r>
      <w:bookmarkEnd w:id="132"/>
    </w:p>
    <w:p>
      <w:pPr>
        <w:pStyle w:val="ManualNumPar1"/>
        <w:rPr>
          <w:noProof/>
        </w:rPr>
      </w:pPr>
      <w:bookmarkStart w:id="133" w:name="_DV_C1318"/>
      <w:r>
        <w:t>2.</w:t>
      </w:r>
      <w:r>
        <w:tab/>
      </w:r>
      <w:r>
        <w:rPr>
          <w:noProof/>
        </w:rPr>
        <w:t>Varnostni incidenti se obvladujejo tako, da se zagotovi hiter, učinkovit in ustrezen odziv.</w:t>
      </w:r>
      <w:bookmarkEnd w:id="133"/>
    </w:p>
    <w:p>
      <w:pPr>
        <w:pStyle w:val="ManualNumPar1"/>
        <w:rPr>
          <w:noProof/>
        </w:rPr>
      </w:pPr>
      <w:bookmarkStart w:id="134" w:name="_DV_C1319"/>
      <w:r>
        <w:t>3.</w:t>
      </w:r>
      <w:r>
        <w:tab/>
      </w:r>
      <w:r>
        <w:rPr>
          <w:noProof/>
        </w:rPr>
        <w:t>Brez poseganja v uradna obvestila in sporočila o kršitvi varstva osebnih podatkov v skladu s členom 33 Uredbe (EU) 2016/679, členom 30 Direktive (EU) 2016/680 ali obema države članice obvestijo Komisijo, agencijo eu-LISA in Evropskega nadzornika za varstvo podatkov o varnostnih incidentih. V primeru varnostnega incidenta, povezanega s centralno infrastrukturo sestavnih delov interoperabilnosti, agencija eu-LISA uradno obvesti Komisijo in Evropskega nadzornika za varstvo podatkov.</w:t>
      </w:r>
      <w:bookmarkEnd w:id="134"/>
    </w:p>
    <w:p>
      <w:pPr>
        <w:pStyle w:val="ManualNumPar1"/>
        <w:rPr>
          <w:noProof/>
        </w:rPr>
      </w:pPr>
      <w:bookmarkStart w:id="135" w:name="_DV_C1320"/>
      <w:r>
        <w:t>4.</w:t>
      </w:r>
      <w:r>
        <w:tab/>
      </w:r>
      <w:r>
        <w:rPr>
          <w:noProof/>
        </w:rPr>
        <w:t>Informacije o varnostnem incidentu, ki vpliva ali bi lahko vplival na delovanje sestavnih delov interoperabilnosti ali na razpoložljivost, celovitost in zaupnost podatkov, se posredujejo državam članicam in se o njih poroča v skladu z načrtom za obvladovanje incidentov, ki ga zagotovi agencija eu-LISA.</w:t>
      </w:r>
      <w:bookmarkEnd w:id="135"/>
    </w:p>
    <w:p>
      <w:pPr>
        <w:pStyle w:val="ManualNumPar1"/>
        <w:rPr>
          <w:noProof/>
        </w:rPr>
      </w:pPr>
      <w:bookmarkStart w:id="136" w:name="_DV_C1321"/>
      <w:r>
        <w:t>5.</w:t>
      </w:r>
      <w:r>
        <w:tab/>
      </w:r>
      <w:r>
        <w:rPr>
          <w:noProof/>
        </w:rPr>
        <w:t>V primeru varnostnega incidenta zadevne države članice in agencija eu-LISA sodelujejo.</w:t>
      </w:r>
      <w:bookmarkEnd w:id="136"/>
      <w:r>
        <w:rPr>
          <w:noProof/>
        </w:rPr>
        <w:t xml:space="preserve"> Komisija z izvedbenimi akti določi podrobnosti tega postopka sodelovanja. Ti izvedbeni akti se sprejmejo v skladu s postopkom pregleda iz člena 64(2).</w:t>
      </w:r>
    </w:p>
    <w:p>
      <w:pPr>
        <w:pStyle w:val="Titrearticle"/>
        <w:rPr>
          <w:iCs/>
          <w:noProof/>
        </w:rPr>
      </w:pPr>
      <w:r>
        <w:rPr>
          <w:noProof/>
        </w:rPr>
        <w:t>Člen 45</w:t>
      </w:r>
      <w:r>
        <w:rPr>
          <w:noProof/>
        </w:rPr>
        <w:br/>
        <w:t>Notranji nadzor</w:t>
      </w:r>
    </w:p>
    <w:p>
      <w:pPr>
        <w:pStyle w:val="Text1"/>
        <w:ind w:left="0"/>
        <w:rPr>
          <w:noProof/>
        </w:rPr>
      </w:pPr>
      <w:r>
        <w:rPr>
          <w:noProof/>
        </w:rPr>
        <w:t>Države članice in ustrezni organi EU zagotovijo, da vsak organ s pravico dostopa do sestavnih delov interoperabilnosti sprejme ukrepe, potrebne za nadzor njegove skladnosti s to uredbo, in da po potrebi sodeluje z nadzornim organom.</w:t>
      </w:r>
    </w:p>
    <w:p>
      <w:pPr>
        <w:pStyle w:val="Text1"/>
        <w:ind w:left="0"/>
        <w:rPr>
          <w:noProof/>
        </w:rPr>
      </w:pPr>
      <w:r>
        <w:rPr>
          <w:noProof/>
        </w:rPr>
        <w:lastRenderedPageBreak/>
        <w:t>Upravljavci podatkov, kakor so navedeni v členu 40, sprejmejo potrebne ukrepe za nadzor nad skladnostjo obdelave podatkov s to uredbo, vključno s pogostim preverjanjem evidenc, ter po potrebi sodelujejo z nadzornimi organi iz členov 49 in 50.</w:t>
      </w:r>
    </w:p>
    <w:p>
      <w:pPr>
        <w:pStyle w:val="Titrearticle"/>
        <w:rPr>
          <w:noProof/>
        </w:rPr>
      </w:pPr>
      <w:bookmarkStart w:id="137" w:name="_DV_M1085"/>
      <w:bookmarkStart w:id="138" w:name="_DV_M1087"/>
      <w:bookmarkEnd w:id="137"/>
      <w:bookmarkEnd w:id="138"/>
      <w:r>
        <w:rPr>
          <w:noProof/>
        </w:rPr>
        <w:t>Člen 46</w:t>
      </w:r>
      <w:r>
        <w:rPr>
          <w:noProof/>
        </w:rPr>
        <w:br/>
        <w:t>Pravica do obveščenosti</w:t>
      </w:r>
    </w:p>
    <w:p>
      <w:pPr>
        <w:pStyle w:val="ManualNumPar1"/>
        <w:rPr>
          <w:noProof/>
        </w:rPr>
      </w:pPr>
      <w:r>
        <w:t>1.</w:t>
      </w:r>
      <w:r>
        <w:tab/>
      </w:r>
      <w:r>
        <w:rPr>
          <w:noProof/>
        </w:rPr>
        <w:t>Brez poseganja v pravico do obveščenosti iz členov 11 in 12 Uredbe (ES) št. 45/2001 ter členov 13 in 14 Uredbe (EU) 2016/679 organ, ki zbira podatke o osebah, katerih podatki so shranjeni v skupni storitvi za ugotavljanje ujemanja biometričnih podatkov, skupnem odložišču podatkov o identiteti ali detektorju več identitet, te osebe ob zbiranju njihovih podatkov obvesti o obdelavi osebnih podatkov za namene te uredbe, vključno z navedbo identitete in kontaktnih podatkov zadevnih upravljavcev podatkov, o postopkih za uveljavljanje pravic teh oseb do dostopa, popravka in izbrisa ter o kontaktnih podatkih Evropskega nadzornika za varstvo podatkov in nacionalnega nadzornega organa države članice, odgovorne za zbiranje podatkov.</w:t>
      </w:r>
    </w:p>
    <w:p>
      <w:pPr>
        <w:pStyle w:val="ManualNumPar1"/>
        <w:rPr>
          <w:noProof/>
        </w:rPr>
      </w:pPr>
      <w:r>
        <w:t>2.</w:t>
      </w:r>
      <w:r>
        <w:tab/>
      </w:r>
      <w:r>
        <w:rPr>
          <w:noProof/>
        </w:rPr>
        <w:t xml:space="preserve">Osebe, katerih podatki so evidentirani v SVI, VIS ali [sistemu ETIAS], se obvestijo o obdelavi podatkov za namene te uredbe v skladu z odstavkom 1 ob: </w:t>
      </w:r>
    </w:p>
    <w:p>
      <w:pPr>
        <w:pStyle w:val="Point1letter"/>
        <w:widowControl w:val="0"/>
        <w:numPr>
          <w:ilvl w:val="3"/>
          <w:numId w:val="95"/>
        </w:numPr>
        <w:adjustRightInd w:val="0"/>
        <w:textAlignment w:val="baseline"/>
        <w:rPr>
          <w:noProof/>
        </w:rPr>
      </w:pPr>
      <w:r>
        <w:rPr>
          <w:noProof/>
        </w:rPr>
        <w:t>[pripravi ali posodobitvi individualne dokumentacije v SVI v skladu s členom 14 uredbe o SVI];</w:t>
      </w:r>
    </w:p>
    <w:p>
      <w:pPr>
        <w:pStyle w:val="Point1letter"/>
        <w:widowControl w:val="0"/>
        <w:numPr>
          <w:ilvl w:val="3"/>
          <w:numId w:val="95"/>
        </w:numPr>
        <w:adjustRightInd w:val="0"/>
        <w:textAlignment w:val="baseline"/>
        <w:rPr>
          <w:noProof/>
        </w:rPr>
      </w:pPr>
      <w:r>
        <w:rPr>
          <w:noProof/>
        </w:rPr>
        <w:t>pripravi ali posodobitvi dosjeja v VIS v skladu s členom 8 Uredbe (ES) št. 767/2008;</w:t>
      </w:r>
    </w:p>
    <w:p>
      <w:pPr>
        <w:pStyle w:val="Point1letter"/>
        <w:widowControl w:val="0"/>
        <w:numPr>
          <w:ilvl w:val="3"/>
          <w:numId w:val="95"/>
        </w:numPr>
        <w:adjustRightInd w:val="0"/>
        <w:textAlignment w:val="baseline"/>
        <w:rPr>
          <w:noProof/>
        </w:rPr>
      </w:pPr>
      <w:r>
        <w:rPr>
          <w:noProof/>
        </w:rPr>
        <w:t>[pripravi ali posodobitvi dosjeja v sistemu ETIAS v skladu s členom 17 uredbe o sistemu ETIAS;]</w:t>
      </w:r>
    </w:p>
    <w:p>
      <w:pPr>
        <w:pStyle w:val="Point1letter"/>
        <w:widowControl w:val="0"/>
        <w:numPr>
          <w:ilvl w:val="3"/>
          <w:numId w:val="95"/>
        </w:numPr>
        <w:adjustRightInd w:val="0"/>
        <w:textAlignment w:val="baseline"/>
        <w:rPr>
          <w:noProof/>
        </w:rPr>
      </w:pPr>
      <w:r>
        <w:rPr>
          <w:noProof/>
        </w:rPr>
        <w:t>– (se ne uporablja);</w:t>
      </w:r>
    </w:p>
    <w:p>
      <w:pPr>
        <w:pStyle w:val="Point1letter"/>
        <w:widowControl w:val="0"/>
        <w:numPr>
          <w:ilvl w:val="3"/>
          <w:numId w:val="95"/>
        </w:numPr>
        <w:adjustRightInd w:val="0"/>
        <w:textAlignment w:val="baseline"/>
        <w:rPr>
          <w:b/>
          <w:noProof/>
        </w:rPr>
      </w:pPr>
      <w:r>
        <w:rPr>
          <w:noProof/>
        </w:rPr>
        <w:t>– (se ne uporablja).</w:t>
      </w:r>
    </w:p>
    <w:p>
      <w:pPr>
        <w:pStyle w:val="Titrearticle"/>
        <w:rPr>
          <w:noProof/>
        </w:rPr>
      </w:pPr>
      <w:r>
        <w:rPr>
          <w:noProof/>
        </w:rPr>
        <w:t>Člen 47</w:t>
      </w:r>
      <w:r>
        <w:rPr>
          <w:noProof/>
        </w:rPr>
        <w:br/>
        <w:t>Pravica do dostopa, popravka in izbrisa</w:t>
      </w:r>
    </w:p>
    <w:p>
      <w:pPr>
        <w:pStyle w:val="ManualNumPar1"/>
        <w:rPr>
          <w:noProof/>
        </w:rPr>
      </w:pPr>
      <w:r>
        <w:t>1.</w:t>
      </w:r>
      <w:r>
        <w:tab/>
      </w:r>
      <w:r>
        <w:rPr>
          <w:noProof/>
        </w:rPr>
        <w:t>Za uresničevanje pravic iz členov 13, 14, 15 in 16 Uredbe (ES) št. 45/2001 ter členov 15, 16, 17 in 18 Uredbe (EU) 2016/679 ima vsaka oseba pravico, da se obrne na državo članico, odgovorno za ročno preverjanje različnih identitet, ali na katero koli državo članico, ki prouči zahtevo in nanjo odgovori.</w:t>
      </w:r>
      <w:bookmarkStart w:id="139" w:name="_DV_C1412"/>
    </w:p>
    <w:p>
      <w:pPr>
        <w:pStyle w:val="ManualNumPar1"/>
        <w:rPr>
          <w:noProof/>
        </w:rPr>
      </w:pPr>
      <w:r>
        <w:t>2.</w:t>
      </w:r>
      <w:r>
        <w:tab/>
      </w:r>
      <w:r>
        <w:rPr>
          <w:noProof/>
        </w:rPr>
        <w:t>Država članica, odgovorna za ročno preverjanje različnih identitet, kakor je opredeljeno v členu 29, ali država članica, pri kateri je bila zahteva vložena, na tako zahtevo odgovori v 45 dneh od prejema zahteve.</w:t>
      </w:r>
      <w:bookmarkEnd w:id="139"/>
    </w:p>
    <w:p>
      <w:pPr>
        <w:pStyle w:val="ManualNumPar1"/>
        <w:rPr>
          <w:noProof/>
        </w:rPr>
      </w:pPr>
      <w:r>
        <w:t>3.</w:t>
      </w:r>
      <w:r>
        <w:tab/>
      </w:r>
      <w:r>
        <w:rPr>
          <w:noProof/>
        </w:rPr>
        <w:t xml:space="preserve">Če je zahteva za </w:t>
      </w:r>
      <w:bookmarkStart w:id="140" w:name="_DV_C1414"/>
      <w:r>
        <w:rPr>
          <w:noProof/>
        </w:rPr>
        <w:t xml:space="preserve">popravek ali izbris osebnih podatkov </w:t>
      </w:r>
      <w:bookmarkStart w:id="141" w:name="_DV_M1132"/>
      <w:bookmarkEnd w:id="140"/>
      <w:bookmarkEnd w:id="141"/>
      <w:r>
        <w:rPr>
          <w:noProof/>
        </w:rPr>
        <w:t xml:space="preserve">vložena pri državi članici, ki ni odgovorna država članica, država članica, pri kateri je bila zahteva vložena, v </w:t>
      </w:r>
      <w:bookmarkStart w:id="142" w:name="_DV_C1418"/>
      <w:r>
        <w:rPr>
          <w:noProof/>
        </w:rPr>
        <w:t>sedmih</w:t>
      </w:r>
      <w:bookmarkStart w:id="143" w:name="_DV_M1134"/>
      <w:bookmarkEnd w:id="142"/>
      <w:bookmarkEnd w:id="143"/>
      <w:r>
        <w:rPr>
          <w:noProof/>
        </w:rPr>
        <w:t xml:space="preserve"> dneh vzpostavi stik z organi odgovorne države članice, odgovorna država članica pa nato v 30 dneh od takega stika preveri točnost podatkov in zakonitost obdelave podatkov.</w:t>
      </w:r>
    </w:p>
    <w:p>
      <w:pPr>
        <w:pStyle w:val="ManualNumPar1"/>
        <w:rPr>
          <w:noProof/>
        </w:rPr>
      </w:pPr>
      <w:r>
        <w:t>4.</w:t>
      </w:r>
      <w:r>
        <w:tab/>
      </w:r>
      <w:r>
        <w:rPr>
          <w:noProof/>
        </w:rPr>
        <w:t>Če se po pregledu ugotovi, da so podatki, shranjeni v detektorju več identitet (MID), vsebinsko netočni ali da so bili evidentirani nezakonito, odgovorna država članica ali po potrebi država članica, pri kateri je bila zahteva vložena, popravi ali izbriše podatke.</w:t>
      </w:r>
    </w:p>
    <w:p>
      <w:pPr>
        <w:pStyle w:val="ManualNumPar1"/>
        <w:rPr>
          <w:noProof/>
        </w:rPr>
      </w:pPr>
      <w:r>
        <w:lastRenderedPageBreak/>
        <w:t>5.</w:t>
      </w:r>
      <w:r>
        <w:tab/>
      </w:r>
      <w:r>
        <w:rPr>
          <w:noProof/>
        </w:rPr>
        <w:t>Kadar odgovorna država članica podatke v MID spremeni med njihovim obdobjem veljavnosti, izvede obdelavo iz člena 27 in, kjer je ustrezno, člena 29, da se ugotovi, ali naj se spremenjeni podatki povežejo. Če obdelava ne privede do zadetka, odgovorna država članica ali po potrebi država članica, pri kateri je bila zahteva vložena, podatke izbriše iz dokumentacije o potrditvi identitete. Če avtomatizirana obdelava privede do enega ali več zadetkov, odgovorna država članica ustvari ali posodobi ustrezno povezavo v skladu z ustreznimi določbami te uredbe.</w:t>
      </w:r>
    </w:p>
    <w:p>
      <w:pPr>
        <w:pStyle w:val="ManualNumPar1"/>
        <w:rPr>
          <w:noProof/>
        </w:rPr>
      </w:pPr>
      <w:r>
        <w:t>6.</w:t>
      </w:r>
      <w:r>
        <w:tab/>
      </w:r>
      <w:r>
        <w:rPr>
          <w:noProof/>
        </w:rPr>
        <w:t>Če se odgovorna država članica ali po potrebi država članica, pri kateri je bila zahteva vložena, ne strinja, da so podatki, shranjeni v MID, vsebinsko netočni ali da so bili evidentirani nezakonito, navedena država članica sprejme upravno odločbo, v kateri zadevni osebi nemudoma pisno pojasni razloge za nestrinjanje s popravkom ali izbrisom podatkov, ki se nanašajo nanjo.</w:t>
      </w:r>
    </w:p>
    <w:p>
      <w:pPr>
        <w:pStyle w:val="ManualNumPar1"/>
        <w:rPr>
          <w:noProof/>
        </w:rPr>
      </w:pPr>
      <w:r>
        <w:t>7.</w:t>
      </w:r>
      <w:r>
        <w:tab/>
      </w:r>
      <w:r>
        <w:rPr>
          <w:noProof/>
        </w:rPr>
        <w:t>Ta odločba zadevni osebi zagotovi tudi informacije o možnosti izpodbijanja odločitve, sprejete v zvezi z zahtevo iz odstavka 3, ter po potrebi informacije o tem, kako vložiti tožbo ali pritožbo pri pristojnih organih ali sodiščih, in o vsakršni pomoči, vključno s pomočjo pristojnih nacionalnih nadzornih organov.</w:t>
      </w:r>
    </w:p>
    <w:p>
      <w:pPr>
        <w:pStyle w:val="ManualNumPar1"/>
        <w:rPr>
          <w:noProof/>
        </w:rPr>
      </w:pPr>
      <w:r>
        <w:t>8.</w:t>
      </w:r>
      <w:r>
        <w:tab/>
      </w:r>
      <w:r>
        <w:rPr>
          <w:noProof/>
        </w:rPr>
        <w:t xml:space="preserve">Vsaka zahteva, podana v skladu z odstavkom 3, vsebuje potrebne informacije za identifikacijo zadevne osebe. Navedene informacije se uporabijo izključno zaradi uresničevanja pravic iz odstavka 3 in se takoj po uporabi izbrišejo. </w:t>
      </w:r>
    </w:p>
    <w:p>
      <w:pPr>
        <w:pStyle w:val="ManualNumPar1"/>
        <w:rPr>
          <w:noProof/>
        </w:rPr>
      </w:pPr>
      <w:r>
        <w:t>9.</w:t>
      </w:r>
      <w:r>
        <w:tab/>
      </w:r>
      <w:r>
        <w:rPr>
          <w:noProof/>
        </w:rPr>
        <w:t>Odgovorna država članica ali po potrebi država članica, pri kateri je bila zahteva vložena, vodi pisno evidenco o tem, da je bila podana zahteva iz odstavka 3 in kako je bila obravnavana, ter to evidenco nemudoma da na voljo pristojnim nacionalnim nadzornim organom za varstvo podatkov.</w:t>
      </w:r>
    </w:p>
    <w:p>
      <w:pPr>
        <w:pStyle w:val="Titrearticle"/>
        <w:rPr>
          <w:noProof/>
        </w:rPr>
      </w:pPr>
      <w:r>
        <w:rPr>
          <w:noProof/>
        </w:rPr>
        <w:t>Člen 48</w:t>
      </w:r>
      <w:r>
        <w:rPr>
          <w:noProof/>
        </w:rPr>
        <w:br/>
        <w:t>Pošiljanje osebnih podatkov tretjim državam, mednarodnim organizacijam in zasebnim subjektom</w:t>
      </w:r>
    </w:p>
    <w:p>
      <w:pPr>
        <w:rPr>
          <w:noProof/>
        </w:rPr>
      </w:pPr>
      <w:r>
        <w:rPr>
          <w:noProof/>
        </w:rPr>
        <w:t>Osebni podatki, ki so v sestavnih delih interoperabilnosti shranjeni ali ti do njih dostopajo, se ne smejo posredovati ali dajati na voljo tretjim državam, mednarodnim organizacijam ali zasebnim subjektom, z izjemo prenosov Interpolu za izvajanje avtomatizirane obdelave iz [člena 18(2)(b) in (m) uredbe o sistemu ETIAS] ali za namene člena 8(2) Uredbe (EU) 2016/399. Taki prenosi osebnih podatkov Interpolu morajo biti skladni z določbami člena 9 Uredbe (ES) št. 45/2001 in poglavja V Uredbe (EU) 2016/679.</w:t>
      </w:r>
    </w:p>
    <w:p>
      <w:pPr>
        <w:pStyle w:val="Titrearticle"/>
        <w:rPr>
          <w:noProof/>
        </w:rPr>
      </w:pPr>
      <w:r>
        <w:rPr>
          <w:noProof/>
        </w:rPr>
        <w:t>Člen 49</w:t>
      </w:r>
      <w:r>
        <w:rPr>
          <w:noProof/>
        </w:rPr>
        <w:br/>
        <w:t>Nadzor, ki ga izvaja nacionalni nadzorni organ</w:t>
      </w:r>
    </w:p>
    <w:p>
      <w:pPr>
        <w:pStyle w:val="ManualNumPar1"/>
        <w:rPr>
          <w:noProof/>
        </w:rPr>
      </w:pPr>
      <w:r>
        <w:t>1.</w:t>
      </w:r>
      <w:r>
        <w:tab/>
      </w:r>
      <w:r>
        <w:rPr>
          <w:noProof/>
        </w:rPr>
        <w:t>Nadzorni organ ali organi, določeni v skladu s členom 49 Uredbe (EU) 2016/679, zagotovijo, da se vsaj vsaka štiri leta izvede revizija postopkov obdelave podatkov s strani odgovornih nacionalnih organov v skladu z ustreznimi mednarodnimi revizijskimi standardi.</w:t>
      </w:r>
    </w:p>
    <w:p>
      <w:pPr>
        <w:pStyle w:val="ManualNumPar1"/>
        <w:rPr>
          <w:noProof/>
        </w:rPr>
      </w:pPr>
      <w:r>
        <w:t>2.</w:t>
      </w:r>
      <w:r>
        <w:tab/>
      </w:r>
      <w:r>
        <w:rPr>
          <w:noProof/>
        </w:rPr>
        <w:t>Države članice svojim nadzornim organom zagotovijo zadostna sredstva za opravljanje nalog, ki so jim poverjene v skladu s to uredbo.</w:t>
      </w:r>
    </w:p>
    <w:p>
      <w:pPr>
        <w:pStyle w:val="Titrearticle"/>
        <w:rPr>
          <w:noProof/>
        </w:rPr>
      </w:pPr>
      <w:r>
        <w:rPr>
          <w:noProof/>
        </w:rPr>
        <w:lastRenderedPageBreak/>
        <w:t>Člen 50</w:t>
      </w:r>
      <w:r>
        <w:rPr>
          <w:noProof/>
        </w:rPr>
        <w:br/>
        <w:t>Nadzor, ki ga izvaja Evropski nadzornik za varstvo podatkov</w:t>
      </w:r>
    </w:p>
    <w:p>
      <w:pPr>
        <w:pStyle w:val="Text1"/>
        <w:ind w:left="0"/>
        <w:rPr>
          <w:noProof/>
        </w:rPr>
      </w:pPr>
      <w:r>
        <w:rPr>
          <w:noProof/>
        </w:rPr>
        <w:t>Evropski nadzornik za varstvo podatkov zagotovi, da se vsaj vsaka štiri leta izvede revizija dejavnosti agencije eu-LISA v zvezi z obdelavo osebnih podatkov v skladu z ustreznimi mednarodnimi revizijskimi standardi. Poročilo o navedeni reviziji se pošlje Evropskemu parlamentu, Svetu, agenciji eu-LISA, Komisiji in državam članicam. Agencija eu-LISA ima možnost, da pred sprejetjem poročil poda pripombe.</w:t>
      </w:r>
    </w:p>
    <w:p>
      <w:pPr>
        <w:pStyle w:val="Titrearticle"/>
        <w:rPr>
          <w:noProof/>
        </w:rPr>
      </w:pPr>
      <w:r>
        <w:rPr>
          <w:noProof/>
        </w:rPr>
        <w:t>Člen 51</w:t>
      </w:r>
      <w:r>
        <w:rPr>
          <w:noProof/>
        </w:rPr>
        <w:br/>
        <w:t>Sodelovanje med nacionalnimi nadzornimi organi in Evropskim nadzornikom za varstvo podatkov</w:t>
      </w:r>
    </w:p>
    <w:p>
      <w:pPr>
        <w:pStyle w:val="ManualNumPar1"/>
        <w:rPr>
          <w:noProof/>
        </w:rPr>
      </w:pPr>
      <w:r>
        <w:t>1.</w:t>
      </w:r>
      <w:r>
        <w:tab/>
      </w:r>
      <w:r>
        <w:rPr>
          <w:noProof/>
        </w:rPr>
        <w:t>Evropski nadzornik za varstvo podatkov tesno sodeluje z nacionalnimi nadzornimi organi v zvezi s posebnimi vprašanji, ki zahtevajo nacionalno sodelovanje, zlasti če Evropski nadzornik za varstvo podatkov ali nacionalni nadzorni organ ugotovi večja neskladja med praksami držav članic ali morebitne nezakonite prenose z uporabo komunikacijskih kanalov sestavnih delov interoperabilnosti, ali v zvezi z vprašanji o izvajanju in razlagi te uredbe, ki jih zastavi en ali več nacionalnih nadzornih organov.</w:t>
      </w:r>
    </w:p>
    <w:p>
      <w:pPr>
        <w:pStyle w:val="ManualNumPar1"/>
        <w:rPr>
          <w:noProof/>
        </w:rPr>
      </w:pPr>
      <w:r>
        <w:t>2.</w:t>
      </w:r>
      <w:r>
        <w:tab/>
      </w:r>
      <w:r>
        <w:rPr>
          <w:noProof/>
        </w:rPr>
        <w:t>V primerih iz odstavka 1 se zagotovi usklajen nadzor v skladu s členom 62 Uredbe (EU) 2018/XXXX [revidirana Uredba (ES) št. 45/2001].</w:t>
      </w:r>
    </w:p>
    <w:p>
      <w:pPr>
        <w:rPr>
          <w:noProof/>
        </w:rPr>
      </w:pPr>
    </w:p>
    <w:p>
      <w:pPr>
        <w:pStyle w:val="ChapterTitle"/>
        <w:rPr>
          <w:noProof/>
        </w:rPr>
      </w:pPr>
      <w:r>
        <w:rPr>
          <w:noProof/>
        </w:rPr>
        <w:t>POGLAVJE VIII</w:t>
      </w:r>
      <w:r>
        <w:rPr>
          <w:noProof/>
        </w:rPr>
        <w:br/>
        <w:t>Odgovornosti</w:t>
      </w:r>
    </w:p>
    <w:p>
      <w:pPr>
        <w:pStyle w:val="Titrearticle"/>
        <w:rPr>
          <w:noProof/>
        </w:rPr>
      </w:pPr>
      <w:r>
        <w:rPr>
          <w:noProof/>
        </w:rPr>
        <w:t>Člen 52</w:t>
      </w:r>
      <w:r>
        <w:rPr>
          <w:noProof/>
        </w:rPr>
        <w:br/>
        <w:t>Odgovornosti agencije eu-LISA med fazo zasnove in razvoja</w:t>
      </w:r>
    </w:p>
    <w:p>
      <w:pPr>
        <w:pStyle w:val="ManualNumPar1"/>
        <w:rPr>
          <w:noProof/>
        </w:rPr>
      </w:pPr>
      <w:r>
        <w:t>1.</w:t>
      </w:r>
      <w:r>
        <w:tab/>
      </w:r>
      <w:r>
        <w:rPr>
          <w:noProof/>
        </w:rPr>
        <w:t>Agencija eu-LISA zagotovi, da centralne infrastrukture sestavnih delov interoperabilnosti delujejo v skladu s to uredbo.</w:t>
      </w:r>
    </w:p>
    <w:p>
      <w:pPr>
        <w:pStyle w:val="ManualNumPar1"/>
        <w:rPr>
          <w:noProof/>
        </w:rPr>
      </w:pPr>
      <w:r>
        <w:t>2.</w:t>
      </w:r>
      <w:r>
        <w:tab/>
      </w:r>
      <w:r>
        <w:rPr>
          <w:noProof/>
        </w:rPr>
        <w:t>Sestavne dele interoperabilnosti gosti agencija eu-LISA na svojih tehničnih spletnih mestih in zagotavljajo funkcionalnosti iz te uredbe v skladu s pogoji glede varnosti, razpoložljivosti, kakovosti in hitrosti, navedenimi v členu 53(1).</w:t>
      </w:r>
    </w:p>
    <w:p>
      <w:pPr>
        <w:pStyle w:val="ManualNumPar1"/>
        <w:rPr>
          <w:noProof/>
        </w:rPr>
      </w:pPr>
      <w:r>
        <w:t>3.</w:t>
      </w:r>
      <w:r>
        <w:tab/>
      </w:r>
      <w:r>
        <w:rPr>
          <w:noProof/>
        </w:rPr>
        <w:t>Agencija eu-LISA je odgovorna za razvoj sestavnih delov interoperabilnosti, za vsakršne prilagoditve, potrebne za vzpostavitev interoperabilnosti centralnih sistemov SVI, VIS, [sistema ETIAS], SIS in sistema Eurodac ter [sistema ECRIS-TCN] in evropskega iskalnega portala, skupne storitve za ugotavljanje ujemanja biometričnih podatkov, skupnega odložišča podatkov o identiteti ter detektorja več identitet.</w:t>
      </w:r>
    </w:p>
    <w:p>
      <w:pPr>
        <w:pStyle w:val="Text1"/>
        <w:rPr>
          <w:noProof/>
        </w:rPr>
      </w:pPr>
      <w:r>
        <w:rPr>
          <w:noProof/>
        </w:rPr>
        <w:t xml:space="preserve">Agencija eu-LISA določi zasnovo fizične arhitekture sestavnih delov interoperabilnosti, vključno z njihovo komunikacijsko infrastrukturo, ter tehnične specifikacije in njihov razvoj glede centralne infrastrukture ter varne komunikacijske infrastrukture, ki jih sprejme upravni odbor na podlagi pozitivnega mnenja Komisije. Agencija eu-LISA izvede tudi morebitne prilagoditve SVI, [sistema ETIAS], SIS ali VIS, ki so potrebne zaradi vzpostavitve interoperabilnosti in določene s to uredbo. </w:t>
      </w:r>
    </w:p>
    <w:p>
      <w:pPr>
        <w:pStyle w:val="Text1"/>
        <w:rPr>
          <w:noProof/>
        </w:rPr>
      </w:pPr>
      <w:r>
        <w:rPr>
          <w:noProof/>
        </w:rPr>
        <w:t xml:space="preserve">Agencija eu-LISA razvije in vzpostavi sestavne dele interoperabilnosti čim prej po začetku veljavnosti te uredbe in sprejetju ukrepov iz </w:t>
      </w:r>
      <w:r>
        <w:rPr>
          <w:noProof/>
          <w:color w:val="000000"/>
        </w:rPr>
        <w:t xml:space="preserve">členov </w:t>
      </w:r>
      <w:r>
        <w:rPr>
          <w:noProof/>
        </w:rPr>
        <w:t>8(2), 9(7), 28(5) in (6), 37(4), 38(4), 39(5) ter 44(5) s strani Komisije.</w:t>
      </w:r>
    </w:p>
    <w:p>
      <w:pPr>
        <w:pStyle w:val="Text1"/>
        <w:rPr>
          <w:noProof/>
        </w:rPr>
      </w:pPr>
      <w:r>
        <w:rPr>
          <w:noProof/>
        </w:rPr>
        <w:lastRenderedPageBreak/>
        <w:t>Razvoj zajema pripravo in izvajanje tehničnih specifikacij, preskušanje in splošno usklajevanje projektov.</w:t>
      </w:r>
    </w:p>
    <w:p>
      <w:pPr>
        <w:pStyle w:val="ManualNumPar1"/>
        <w:rPr>
          <w:noProof/>
        </w:rPr>
      </w:pPr>
      <w:r>
        <w:t>4.</w:t>
      </w:r>
      <w:r>
        <w:tab/>
      </w:r>
      <w:r>
        <w:rPr>
          <w:noProof/>
        </w:rPr>
        <w:t>Med fazo zasnove in razvoja se ustanovi Odbor za upravljanje programa z največ desetimi člani. Sestavlja ga sedem članov, ki jih izmed svojih članov ali nadomestnih članov imenuje upravni odbor agencije eu-LISA, predsednik svetovalne skupine za interoperabilnost iz člena 65, en član, ki zastopa agencijo eu-LISA in ga imenuje njen izvršni direktor, in en član, ki ga imenuje Komisija. Člani, ki jih imenuje upravni odbor agencije eu-LISA, se izberejo med tistimi državami članicami, za katere so po pravu Unije zakonodajni instrumenti o razvoju, vzpostavitvi, delovanju in uporabi vseh obsežnih informacijskih sistemov, ki jih upravlja agencija eu-LISA, v celoti zavezujoči in ki bodo sodelovale pri sestavnih delih interoperabilnosti.</w:t>
      </w:r>
    </w:p>
    <w:p>
      <w:pPr>
        <w:pStyle w:val="ManualNumPar1"/>
        <w:rPr>
          <w:noProof/>
        </w:rPr>
      </w:pPr>
      <w:r>
        <w:t>5.</w:t>
      </w:r>
      <w:r>
        <w:tab/>
      </w:r>
      <w:r>
        <w:rPr>
          <w:noProof/>
        </w:rPr>
        <w:t xml:space="preserve">Odbor za upravljanje programa se sestaja </w:t>
      </w:r>
      <w:bookmarkStart w:id="144" w:name="_DV_C1194"/>
      <w:r>
        <w:rPr>
          <w:noProof/>
        </w:rPr>
        <w:t>redno in vsaj trikrat v četrtletju</w:t>
      </w:r>
      <w:bookmarkStart w:id="145" w:name="_DV_M946"/>
      <w:bookmarkEnd w:id="144"/>
      <w:bookmarkEnd w:id="145"/>
      <w:r>
        <w:rPr>
          <w:noProof/>
        </w:rPr>
        <w:t>. Zagotovi ustrezno upravljanje faze zasnove in razvoja sestavnih delov interoperabilnosti.</w:t>
      </w:r>
    </w:p>
    <w:p>
      <w:pPr>
        <w:pStyle w:val="Text1"/>
        <w:rPr>
          <w:noProof/>
        </w:rPr>
      </w:pPr>
      <w:r>
        <w:rPr>
          <w:noProof/>
        </w:rPr>
        <w:t>Odbor za upravljanje programa upravnemu odboru mesečno predloži pisna poročila o napredku pri projektu. Odbor za upravljanje programa nima nobene pristojnosti za sprejemanje odločitev ali pooblastil za zastopanje članov upravnega odbora agencije eu-LISA.</w:t>
      </w:r>
    </w:p>
    <w:p>
      <w:pPr>
        <w:pStyle w:val="ManualNumPar1"/>
        <w:rPr>
          <w:noProof/>
        </w:rPr>
      </w:pPr>
      <w:r>
        <w:t>6.</w:t>
      </w:r>
      <w:r>
        <w:tab/>
      </w:r>
      <w:r>
        <w:rPr>
          <w:noProof/>
        </w:rPr>
        <w:t xml:space="preserve">Upravni odbor agencije eu-LISA določi poslovnik Odbora za upravljanje programa, ki vključuje zlasti pravila o: </w:t>
      </w:r>
    </w:p>
    <w:p>
      <w:pPr>
        <w:pStyle w:val="Point1letter"/>
        <w:widowControl w:val="0"/>
        <w:numPr>
          <w:ilvl w:val="3"/>
          <w:numId w:val="83"/>
        </w:numPr>
        <w:adjustRightInd w:val="0"/>
        <w:textAlignment w:val="baseline"/>
        <w:rPr>
          <w:noProof/>
        </w:rPr>
      </w:pPr>
      <w:r>
        <w:rPr>
          <w:noProof/>
        </w:rPr>
        <w:t xml:space="preserve">predsedovanju; </w:t>
      </w:r>
    </w:p>
    <w:p>
      <w:pPr>
        <w:pStyle w:val="Point1letter"/>
        <w:widowControl w:val="0"/>
        <w:numPr>
          <w:ilvl w:val="3"/>
          <w:numId w:val="83"/>
        </w:numPr>
        <w:adjustRightInd w:val="0"/>
        <w:textAlignment w:val="baseline"/>
        <w:rPr>
          <w:noProof/>
        </w:rPr>
      </w:pPr>
      <w:r>
        <w:rPr>
          <w:noProof/>
        </w:rPr>
        <w:t>krajih sej;</w:t>
      </w:r>
    </w:p>
    <w:p>
      <w:pPr>
        <w:pStyle w:val="Point1letter"/>
        <w:widowControl w:val="0"/>
        <w:numPr>
          <w:ilvl w:val="3"/>
          <w:numId w:val="83"/>
        </w:numPr>
        <w:adjustRightInd w:val="0"/>
        <w:textAlignment w:val="baseline"/>
        <w:rPr>
          <w:noProof/>
        </w:rPr>
      </w:pPr>
      <w:r>
        <w:rPr>
          <w:noProof/>
        </w:rPr>
        <w:t>pripravi sej;</w:t>
      </w:r>
    </w:p>
    <w:p>
      <w:pPr>
        <w:pStyle w:val="Point1letter"/>
        <w:widowControl w:val="0"/>
        <w:numPr>
          <w:ilvl w:val="3"/>
          <w:numId w:val="83"/>
        </w:numPr>
        <w:adjustRightInd w:val="0"/>
        <w:textAlignment w:val="baseline"/>
        <w:rPr>
          <w:noProof/>
        </w:rPr>
      </w:pPr>
      <w:r>
        <w:rPr>
          <w:noProof/>
        </w:rPr>
        <w:t>sprejemu strokovnjakov na seje;</w:t>
      </w:r>
    </w:p>
    <w:p>
      <w:pPr>
        <w:pStyle w:val="Point1letter"/>
        <w:widowControl w:val="0"/>
        <w:numPr>
          <w:ilvl w:val="3"/>
          <w:numId w:val="83"/>
        </w:numPr>
        <w:adjustRightInd w:val="0"/>
        <w:textAlignment w:val="baseline"/>
        <w:rPr>
          <w:noProof/>
        </w:rPr>
      </w:pPr>
      <w:r>
        <w:rPr>
          <w:noProof/>
        </w:rPr>
        <w:t>komunikacijskih načrtih, ki zagotavljajo popolno obveščenost držav članic, ki ne sodelujejo v upravnem odboru.</w:t>
      </w:r>
    </w:p>
    <w:p>
      <w:pPr>
        <w:pStyle w:val="Text1"/>
        <w:rPr>
          <w:noProof/>
        </w:rPr>
      </w:pPr>
      <w:r>
        <w:rPr>
          <w:noProof/>
        </w:rPr>
        <w:t xml:space="preserve">Predseduje </w:t>
      </w:r>
      <w:bookmarkStart w:id="146" w:name="_DV_C1196"/>
      <w:bookmarkStart w:id="147" w:name="_DV_M955"/>
      <w:bookmarkEnd w:id="146"/>
      <w:bookmarkEnd w:id="147"/>
      <w:r>
        <w:rPr>
          <w:noProof/>
        </w:rPr>
        <w:t>država članica</w:t>
      </w:r>
      <w:bookmarkStart w:id="148" w:name="_DV_C1198"/>
      <w:r>
        <w:rPr>
          <w:noProof/>
        </w:rPr>
        <w:t xml:space="preserve">, </w:t>
      </w:r>
      <w:bookmarkEnd w:id="148"/>
      <w:r>
        <w:rPr>
          <w:noProof/>
        </w:rPr>
        <w:t>za katero so po pravu Unije zakonodajni instrumenti o razvoju, vzpostavitvi, delovanju in uporabi vseh obsežnih informacijskih sistemov, ki jih upravlja agencija eu-LISA</w:t>
      </w:r>
      <w:bookmarkStart w:id="149" w:name="_DV_M957"/>
      <w:bookmarkEnd w:id="149"/>
      <w:r>
        <w:rPr>
          <w:noProof/>
        </w:rPr>
        <w:t>, v celoti zavezujoči.</w:t>
      </w:r>
    </w:p>
    <w:p>
      <w:pPr>
        <w:pStyle w:val="Text1"/>
        <w:ind w:hanging="10"/>
        <w:rPr>
          <w:noProof/>
        </w:rPr>
      </w:pPr>
      <w:r>
        <w:rPr>
          <w:noProof/>
        </w:rPr>
        <w:t>Vse potne stroške in dnevnice članov Odbora za upravljanje programa krije agencija, pri čemer se smiselno uporablja člen 10 Poslovnika agencije eu-LISA. Sekretariat Odboru za upravljanje programa zagotovi agencija eu-LISA.</w:t>
      </w:r>
    </w:p>
    <w:p>
      <w:pPr>
        <w:pStyle w:val="Text1"/>
        <w:rPr>
          <w:noProof/>
        </w:rPr>
      </w:pPr>
      <w:r>
        <w:rPr>
          <w:noProof/>
        </w:rPr>
        <w:t>Svetovalna skupina za interoperabilnost iz člena 65 se redno sestaja do začetka delovanja sestavnih delov interoperabilnosti. Po vsakem sestanku poroča Odboru za upravljanje programa. Zagotavlja tehnično strokovno znanje za pomoč pri nalogah Odbora za upravljanje programa in spremlja pripravljenost držav članic.</w:t>
      </w:r>
    </w:p>
    <w:p>
      <w:pPr>
        <w:pStyle w:val="Titrearticle"/>
        <w:rPr>
          <w:noProof/>
        </w:rPr>
      </w:pPr>
      <w:r>
        <w:rPr>
          <w:noProof/>
        </w:rPr>
        <w:t>Člen 53</w:t>
      </w:r>
      <w:r>
        <w:rPr>
          <w:noProof/>
        </w:rPr>
        <w:br/>
        <w:t>Odgovornosti agencije eu-LISA po začetku delovanja</w:t>
      </w:r>
    </w:p>
    <w:p>
      <w:pPr>
        <w:pStyle w:val="ManualNumPar1"/>
        <w:rPr>
          <w:noProof/>
        </w:rPr>
      </w:pPr>
      <w:r>
        <w:t>1.</w:t>
      </w:r>
      <w:r>
        <w:tab/>
      </w:r>
      <w:r>
        <w:rPr>
          <w:noProof/>
        </w:rPr>
        <w:t>Po začetku delovanja vsakega posameznega sestavnega dela interoperabilnosti je agencija eu-LISA odgovorna za tehnično upravljanje centralne infrastrukture in nacionalnih enotnih vmesnikov. V sodelovanju z državami članicami zagotovi, da se vedno uporablja najboljša razpoložljiva tehnologija na podlagi analize stroškov in koristi. Agencija eu-LISA je odgovorna tudi za tehnično upravljanje komunikacijske infrastrukture iz členov 6, 12, 17, 25 in 39.</w:t>
      </w:r>
    </w:p>
    <w:p>
      <w:pPr>
        <w:pStyle w:val="Text1"/>
        <w:rPr>
          <w:noProof/>
        </w:rPr>
      </w:pPr>
      <w:r>
        <w:rPr>
          <w:noProof/>
        </w:rPr>
        <w:lastRenderedPageBreak/>
        <w:t>Tehnično upravljanje sestavnih delov interoperabilnosti v skladu s to uredbo obsega vse naloge, ki so potrebne za delovanje sestavnih delov interoperabilnosti 24 ur na dan in 7 dni v tednu, zlasti vzdrževalna dela in tehnični razvoj, ki so potrebni za zagotovitev zadovoljive ravni tehnične kakovosti delovanja sestavnih delov, predvsem glede odzivnega časa, ki je potreben za iskanje po centralnih infrastrukturah, v skladu s tehničnimi specifikacijami.</w:t>
      </w:r>
    </w:p>
    <w:p>
      <w:pPr>
        <w:pStyle w:val="ManualNumPar1"/>
        <w:rPr>
          <w:noProof/>
        </w:rPr>
      </w:pPr>
      <w:r>
        <w:t>2.</w:t>
      </w:r>
      <w:r>
        <w:tab/>
      </w:r>
      <w:r>
        <w:rPr>
          <w:noProof/>
        </w:rPr>
        <w:t>Ne glede na člen 17 Kadrovskih predpisov za uradnike Evropske unije agencija eu-LISA za vse svoje osebje, ki dela s podatki, shranjenimi v sestavnih delih interoperabilnosti, uporablja ustrezna pravila glede poklicne skrivnosti ali druge enakovredne obveznosti glede zaupnosti. Ta obveznost velja tudi po tem, ko navedene osebe zapustijo delovno mesto ali prekinejo delovno razmerje, ali po prenehanju njihovih dejavnosti.</w:t>
      </w:r>
    </w:p>
    <w:p>
      <w:pPr>
        <w:pStyle w:val="ManualNumPar1"/>
        <w:rPr>
          <w:noProof/>
        </w:rPr>
      </w:pPr>
      <w:r>
        <w:t>3.</w:t>
      </w:r>
      <w:r>
        <w:tab/>
      </w:r>
      <w:r>
        <w:rPr>
          <w:noProof/>
        </w:rPr>
        <w:t>Agencija eu-LISA razvije in vzdržuje mehanizem in postopke za preverjanje kakovosti podatkov, shranjenih v skupni storitvi za ugotavljanje ujemanja biometričnih podatkov in skupnem odložišču podatkov o identiteti, v skladu s členom 37.</w:t>
      </w:r>
    </w:p>
    <w:p>
      <w:pPr>
        <w:pStyle w:val="ManualNumPar1"/>
        <w:rPr>
          <w:noProof/>
        </w:rPr>
      </w:pPr>
      <w:r>
        <w:t>4.</w:t>
      </w:r>
      <w:r>
        <w:tab/>
      </w:r>
      <w:r>
        <w:rPr>
          <w:noProof/>
        </w:rPr>
        <w:t>Agencija eu-LISA izvaja tudi naloge, povezane z zagotavljanjem usposabljanja o tehnični uporabi sestavnih delov interoperabilnosti.</w:t>
      </w:r>
    </w:p>
    <w:p>
      <w:pPr>
        <w:pStyle w:val="Titrearticle"/>
        <w:rPr>
          <w:noProof/>
        </w:rPr>
      </w:pPr>
      <w:r>
        <w:rPr>
          <w:noProof/>
        </w:rPr>
        <w:t xml:space="preserve"> Člen 54</w:t>
      </w:r>
      <w:r>
        <w:rPr>
          <w:noProof/>
        </w:rPr>
        <w:br/>
        <w:t>Odgovornosti držav članic</w:t>
      </w:r>
    </w:p>
    <w:p>
      <w:pPr>
        <w:pStyle w:val="ManualNumPar1"/>
        <w:rPr>
          <w:noProof/>
        </w:rPr>
      </w:pPr>
      <w:r>
        <w:t>1.</w:t>
      </w:r>
      <w:r>
        <w:tab/>
      </w:r>
      <w:r>
        <w:rPr>
          <w:noProof/>
        </w:rPr>
        <w:t>Vsaka država članica je odgovorna za:</w:t>
      </w:r>
    </w:p>
    <w:p>
      <w:pPr>
        <w:pStyle w:val="Point1letter"/>
        <w:widowControl w:val="0"/>
        <w:numPr>
          <w:ilvl w:val="3"/>
          <w:numId w:val="84"/>
        </w:numPr>
        <w:adjustRightInd w:val="0"/>
        <w:textAlignment w:val="baseline"/>
        <w:rPr>
          <w:noProof/>
        </w:rPr>
      </w:pPr>
      <w:bookmarkStart w:id="150" w:name="_DV_M973"/>
      <w:bookmarkEnd w:id="150"/>
      <w:r>
        <w:rPr>
          <w:noProof/>
        </w:rPr>
        <w:t>povezavo s komunikacijsko infrastrukturo evropskega iskalnega portala (ESP) in skupnega odložišča podatkov o identiteti (CIR);</w:t>
      </w:r>
    </w:p>
    <w:p>
      <w:pPr>
        <w:pStyle w:val="Point1letter"/>
        <w:widowControl w:val="0"/>
        <w:numPr>
          <w:ilvl w:val="3"/>
          <w:numId w:val="84"/>
        </w:numPr>
        <w:adjustRightInd w:val="0"/>
        <w:textAlignment w:val="baseline"/>
        <w:rPr>
          <w:noProof/>
        </w:rPr>
      </w:pPr>
      <w:r>
        <w:rPr>
          <w:noProof/>
        </w:rPr>
        <w:t xml:space="preserve">povezovanje obstoječih nacionalnih </w:t>
      </w:r>
      <w:bookmarkStart w:id="151" w:name="_DV_M974"/>
      <w:bookmarkEnd w:id="151"/>
      <w:r>
        <w:rPr>
          <w:noProof/>
        </w:rPr>
        <w:t xml:space="preserve">sistemov in </w:t>
      </w:r>
      <w:bookmarkStart w:id="152" w:name="_DV_C1213"/>
      <w:r>
        <w:rPr>
          <w:noProof/>
        </w:rPr>
        <w:t xml:space="preserve">infrastruktur z </w:t>
      </w:r>
      <w:bookmarkStart w:id="153" w:name="_DV_M975"/>
      <w:bookmarkEnd w:id="152"/>
      <w:bookmarkEnd w:id="153"/>
      <w:r>
        <w:rPr>
          <w:noProof/>
        </w:rPr>
        <w:t>ESP, skupno storitvijo za ugotavljanje ujemanja biometričnih podatkov, CIR ter detektorjem več identitet;</w:t>
      </w:r>
    </w:p>
    <w:p>
      <w:pPr>
        <w:pStyle w:val="Point1letter"/>
        <w:widowControl w:val="0"/>
        <w:numPr>
          <w:ilvl w:val="3"/>
          <w:numId w:val="84"/>
        </w:numPr>
        <w:adjustRightInd w:val="0"/>
        <w:textAlignment w:val="baseline"/>
        <w:rPr>
          <w:noProof/>
        </w:rPr>
      </w:pPr>
      <w:bookmarkStart w:id="154" w:name="_DV_M976"/>
      <w:bookmarkEnd w:id="154"/>
      <w:r>
        <w:rPr>
          <w:noProof/>
        </w:rPr>
        <w:t>organizacijo, upravljanje, delovanje in vzdrževanje svoje obstoječe nacionalne infrastrukture in njene povezave s sestavnimi deli interoperabilnosti;</w:t>
      </w:r>
    </w:p>
    <w:p>
      <w:pPr>
        <w:pStyle w:val="Point1letter"/>
        <w:widowControl w:val="0"/>
        <w:numPr>
          <w:ilvl w:val="3"/>
          <w:numId w:val="84"/>
        </w:numPr>
        <w:adjustRightInd w:val="0"/>
        <w:textAlignment w:val="baseline"/>
        <w:rPr>
          <w:noProof/>
        </w:rPr>
      </w:pPr>
      <w:bookmarkStart w:id="155" w:name="_DV_M978"/>
      <w:bookmarkStart w:id="156" w:name="_DV_M979"/>
      <w:bookmarkEnd w:id="155"/>
      <w:bookmarkEnd w:id="156"/>
      <w:r>
        <w:rPr>
          <w:noProof/>
        </w:rPr>
        <w:t>upravljanje in ureditev dostopa ustrezno pooblaščenega osebja in osebja z ustreznimi pooblastili pristojnih nacionalnih organov do ESP, CIR in detektorja več identitet v skladu s to uredbo ter za vzpostavitev in redno posodabljanje seznama takega osebja in njegovih profilov;</w:t>
      </w:r>
    </w:p>
    <w:p>
      <w:pPr>
        <w:pStyle w:val="Point1letter"/>
        <w:widowControl w:val="0"/>
        <w:numPr>
          <w:ilvl w:val="3"/>
          <w:numId w:val="84"/>
        </w:numPr>
        <w:adjustRightInd w:val="0"/>
        <w:textAlignment w:val="baseline"/>
        <w:rPr>
          <w:noProof/>
        </w:rPr>
      </w:pPr>
      <w:r>
        <w:rPr>
          <w:noProof/>
        </w:rPr>
        <w:t>sprejetje zakonodajnih ukrepov iz člena 20(3) za dostopanje do CIR za namene identifikacije;</w:t>
      </w:r>
    </w:p>
    <w:p>
      <w:pPr>
        <w:pStyle w:val="Point1letter"/>
        <w:widowControl w:val="0"/>
        <w:numPr>
          <w:ilvl w:val="3"/>
          <w:numId w:val="84"/>
        </w:numPr>
        <w:adjustRightInd w:val="0"/>
        <w:textAlignment w:val="baseline"/>
        <w:rPr>
          <w:noProof/>
        </w:rPr>
      </w:pPr>
      <w:r>
        <w:rPr>
          <w:noProof/>
        </w:rPr>
        <w:t>ročno preverjanje različnih identitet iz člena 29;</w:t>
      </w:r>
    </w:p>
    <w:p>
      <w:pPr>
        <w:pStyle w:val="Point1letter"/>
        <w:widowControl w:val="0"/>
        <w:numPr>
          <w:ilvl w:val="3"/>
          <w:numId w:val="84"/>
        </w:numPr>
        <w:adjustRightInd w:val="0"/>
        <w:textAlignment w:val="baseline"/>
        <w:rPr>
          <w:noProof/>
        </w:rPr>
      </w:pPr>
      <w:r>
        <w:rPr>
          <w:noProof/>
        </w:rPr>
        <w:t>izvajanje zahtev glede kakovosti podatkov v informacijskih sistemih EU in v sestavnih delih interoperabilnosti;</w:t>
      </w:r>
    </w:p>
    <w:p>
      <w:pPr>
        <w:pStyle w:val="Point1letter"/>
        <w:widowControl w:val="0"/>
        <w:numPr>
          <w:ilvl w:val="3"/>
          <w:numId w:val="84"/>
        </w:numPr>
        <w:adjustRightInd w:val="0"/>
        <w:textAlignment w:val="baseline"/>
        <w:rPr>
          <w:noProof/>
        </w:rPr>
      </w:pPr>
      <w:r>
        <w:rPr>
          <w:noProof/>
        </w:rPr>
        <w:t>odpravo vseh pomanjkljivosti, ugotovljenih v poročilu Komisije o oceni v zvezi s kakovostjo podatkov iz člena 37(5).</w:t>
      </w:r>
    </w:p>
    <w:p>
      <w:pPr>
        <w:pStyle w:val="ManualNumPar1"/>
        <w:rPr>
          <w:i/>
          <w:noProof/>
        </w:rPr>
      </w:pPr>
      <w:r>
        <w:t>2.</w:t>
      </w:r>
      <w:r>
        <w:tab/>
      </w:r>
      <w:r>
        <w:rPr>
          <w:noProof/>
        </w:rPr>
        <w:t xml:space="preserve">Vse države članice </w:t>
      </w:r>
      <w:bookmarkStart w:id="157" w:name="_DV_M981"/>
      <w:bookmarkEnd w:id="157"/>
      <w:r>
        <w:rPr>
          <w:noProof/>
        </w:rPr>
        <w:t>povežejo svoje imenovane organe iz člena 4(24) s CIR.</w:t>
      </w:r>
    </w:p>
    <w:p>
      <w:pPr>
        <w:pStyle w:val="Titrearticle"/>
        <w:rPr>
          <w:noProof/>
        </w:rPr>
      </w:pPr>
      <w:r>
        <w:rPr>
          <w:noProof/>
        </w:rPr>
        <w:lastRenderedPageBreak/>
        <w:t>Člen 55</w:t>
      </w:r>
      <w:r>
        <w:rPr>
          <w:noProof/>
        </w:rPr>
        <w:br/>
        <w:t>Odgovornosti centralne enote ETIAS</w:t>
      </w:r>
    </w:p>
    <w:p>
      <w:pPr>
        <w:rPr>
          <w:noProof/>
        </w:rPr>
      </w:pPr>
      <w:r>
        <w:rPr>
          <w:noProof/>
        </w:rPr>
        <w:t>Centralna enota ETIAS je odgovorna za:</w:t>
      </w:r>
    </w:p>
    <w:p>
      <w:pPr>
        <w:pStyle w:val="Point1letter"/>
        <w:widowControl w:val="0"/>
        <w:numPr>
          <w:ilvl w:val="3"/>
          <w:numId w:val="85"/>
        </w:numPr>
        <w:adjustRightInd w:val="0"/>
        <w:textAlignment w:val="baseline"/>
        <w:rPr>
          <w:noProof/>
        </w:rPr>
      </w:pPr>
      <w:r>
        <w:rPr>
          <w:noProof/>
        </w:rPr>
        <w:t>ročno preverjanje različnih identitet iz člena 29;</w:t>
      </w:r>
    </w:p>
    <w:p>
      <w:pPr>
        <w:pStyle w:val="Point1letter"/>
        <w:widowControl w:val="0"/>
        <w:numPr>
          <w:ilvl w:val="3"/>
          <w:numId w:val="85"/>
        </w:numPr>
        <w:adjustRightInd w:val="0"/>
        <w:textAlignment w:val="baseline"/>
        <w:rPr>
          <w:noProof/>
        </w:rPr>
      </w:pPr>
      <w:r>
        <w:rPr>
          <w:noProof/>
        </w:rPr>
        <w:t>odkrivanje več identitet med podatki, ki so shranjeni v VIS, sistemu Eurodac in SIS, iz člena 59.</w:t>
      </w:r>
    </w:p>
    <w:p>
      <w:pPr>
        <w:rPr>
          <w:noProof/>
        </w:rPr>
      </w:pPr>
    </w:p>
    <w:p>
      <w:pPr>
        <w:pStyle w:val="ChapterTitle"/>
        <w:rPr>
          <w:noProof/>
        </w:rPr>
      </w:pPr>
      <w:r>
        <w:rPr>
          <w:noProof/>
        </w:rPr>
        <w:t>POGLAVJE IX</w:t>
      </w:r>
      <w:r>
        <w:rPr>
          <w:noProof/>
        </w:rPr>
        <w:br/>
        <w:t>Spremembe drugih instrumentov Unije</w:t>
      </w:r>
    </w:p>
    <w:p>
      <w:pPr>
        <w:pStyle w:val="Titrearticle"/>
        <w:spacing w:before="0" w:after="0"/>
        <w:rPr>
          <w:noProof/>
        </w:rPr>
      </w:pPr>
      <w:bookmarkStart w:id="158" w:name="_DV_M516"/>
      <w:bookmarkStart w:id="159" w:name="_DV_M483"/>
      <w:bookmarkStart w:id="160" w:name="_DV_M487"/>
      <w:bookmarkStart w:id="161" w:name="_DV_M490"/>
      <w:bookmarkStart w:id="162" w:name="_DV_M492"/>
      <w:bookmarkStart w:id="163" w:name="_DV_M533"/>
      <w:bookmarkStart w:id="164" w:name="_DV_M535"/>
      <w:bookmarkStart w:id="165" w:name="_DV_M540"/>
      <w:bookmarkStart w:id="166" w:name="_DV_M1627"/>
      <w:bookmarkEnd w:id="158"/>
      <w:bookmarkEnd w:id="159"/>
      <w:bookmarkEnd w:id="160"/>
      <w:bookmarkEnd w:id="161"/>
      <w:bookmarkEnd w:id="162"/>
      <w:bookmarkEnd w:id="163"/>
      <w:bookmarkEnd w:id="164"/>
      <w:bookmarkEnd w:id="165"/>
      <w:bookmarkEnd w:id="166"/>
      <w:r>
        <w:rPr>
          <w:noProof/>
        </w:rPr>
        <w:t>Člen 55a</w:t>
      </w:r>
    </w:p>
    <w:p>
      <w:pPr>
        <w:pStyle w:val="Titrearticle"/>
        <w:spacing w:before="0"/>
        <w:rPr>
          <w:noProof/>
        </w:rPr>
      </w:pPr>
      <w:r>
        <w:rPr>
          <w:noProof/>
        </w:rPr>
        <w:t>Spremembe Uredbe (EU) 2016/399</w:t>
      </w:r>
    </w:p>
    <w:p>
      <w:pPr>
        <w:rPr>
          <w:noProof/>
        </w:rPr>
      </w:pPr>
      <w:r>
        <w:rPr>
          <w:noProof/>
        </w:rPr>
        <w:t>Uredba (EU) 2016/399 se spremeni:</w:t>
      </w:r>
    </w:p>
    <w:p>
      <w:pPr>
        <w:rPr>
          <w:noProof/>
        </w:rPr>
      </w:pPr>
      <w:r>
        <w:rPr>
          <w:noProof/>
        </w:rPr>
        <w:t>v členu 8 Uredbe (EU) 2016/399 se doda naslednji odstavek 4a:</w:t>
      </w:r>
    </w:p>
    <w:p>
      <w:pPr>
        <w:rPr>
          <w:noProof/>
        </w:rPr>
      </w:pPr>
      <w:r>
        <w:rPr>
          <w:noProof/>
        </w:rPr>
        <w:t>„4a. Kadar pri vstopu ali izstopu preverjanje podatkov v ustreznih zbirkah podatkov, vključno z detektorjem več identitet, prek evropskega iskalnega portala iz [člena 4(36) oziroma (33) Uredbe (EU) 2018/XX o interoperabilnosti] privede do rumene povezave ali odkrije rdečo povezavo, se oseba, ki se preverja, napoti na kontrolo v drugi vrsti.</w:t>
      </w:r>
    </w:p>
    <w:p>
      <w:pPr>
        <w:rPr>
          <w:noProof/>
        </w:rPr>
      </w:pPr>
      <w:r>
        <w:rPr>
          <w:noProof/>
        </w:rPr>
        <w:t>Mejni policist v drugi vrsti preveri podatke v detektorju več identitet skupaj s podatki v skupnem odložišču podatkov o identiteti iz [člena 4(35) Uredbe (EU) 2018/XX o interoperabilnosti] ali schengenskem informacijskem sistemu oziroma obojem, da oceni razlike v povezanih identitetah, ter opravi vsa dodatna preverjanja, potrebna za odločitev o statusu in barvi povezave ter sprejetje odločitve o vstopu ali zavrnitvi vstopa glede zadevne osebe.</w:t>
      </w:r>
    </w:p>
    <w:p>
      <w:pPr>
        <w:rPr>
          <w:noProof/>
        </w:rPr>
      </w:pPr>
      <w:r>
        <w:rPr>
          <w:noProof/>
        </w:rPr>
        <w:t>V skladu s [členom 59(1) Uredbe (EU) 2018/XX] se ta odstavek uporablja šele od začetka delovanja detektorja več identitet.“</w:t>
      </w:r>
    </w:p>
    <w:p>
      <w:pPr>
        <w:pStyle w:val="Titrearticle"/>
        <w:spacing w:before="0" w:after="0"/>
        <w:rPr>
          <w:noProof/>
        </w:rPr>
      </w:pPr>
      <w:r>
        <w:rPr>
          <w:noProof/>
        </w:rPr>
        <w:t>Člen 55b</w:t>
      </w:r>
    </w:p>
    <w:p>
      <w:pPr>
        <w:pStyle w:val="Titrearticle"/>
        <w:spacing w:before="0"/>
        <w:rPr>
          <w:noProof/>
        </w:rPr>
      </w:pPr>
      <w:r>
        <w:rPr>
          <w:noProof/>
        </w:rPr>
        <w:t>Spremembe Uredbe (EU) 2017/2226</w:t>
      </w:r>
    </w:p>
    <w:p>
      <w:pPr>
        <w:rPr>
          <w:noProof/>
        </w:rPr>
      </w:pPr>
      <w:r>
        <w:rPr>
          <w:noProof/>
        </w:rPr>
        <w:t>Uredba (EU) 2017/2226 se spremeni:</w:t>
      </w:r>
    </w:p>
    <w:p>
      <w:pPr>
        <w:rPr>
          <w:noProof/>
        </w:rPr>
      </w:pPr>
      <w:r>
        <w:rPr>
          <w:noProof/>
        </w:rPr>
        <w:t>(1)</w:t>
      </w:r>
      <w:r>
        <w:rPr>
          <w:noProof/>
        </w:rPr>
        <w:tab/>
        <w:t>v členu 1 se doda naslednji odstavek:</w:t>
      </w:r>
    </w:p>
    <w:p>
      <w:pPr>
        <w:rPr>
          <w:noProof/>
        </w:rPr>
      </w:pPr>
      <w:r>
        <w:rPr>
          <w:noProof/>
        </w:rPr>
        <w:tab/>
        <w:t>„1a. SVI s shranjevanjem podatkov o identiteti, podatkov iz potnih listin in biometričnih podatkov v skupno odložišče podatkov o identiteti (CIR), vzpostavljeno s [členom 17 Uredbe (EU) 2018/XX o interoperabilnosti], prispeva k olajševanju in podpiranju pravilne identifikacije oseb, ki so evidentirane v SVI, pod pogoji in za namene končnih ciljev iz [člena 20] navedene uredbe.“;</w:t>
      </w:r>
    </w:p>
    <w:p>
      <w:pPr>
        <w:rPr>
          <w:noProof/>
        </w:rPr>
      </w:pPr>
      <w:r>
        <w:rPr>
          <w:noProof/>
        </w:rPr>
        <w:t>(2)</w:t>
      </w:r>
      <w:r>
        <w:rPr>
          <w:noProof/>
        </w:rPr>
        <w:tab/>
        <w:t>v členu 3 se doda naslednja točka 21a:</w:t>
      </w:r>
    </w:p>
    <w:p>
      <w:pPr>
        <w:rPr>
          <w:noProof/>
        </w:rPr>
      </w:pPr>
      <w:r>
        <w:rPr>
          <w:noProof/>
        </w:rPr>
        <w:tab/>
        <w:t>„‚CIR‘ pomeni skupno odložišče podatkov o identiteti, kakor je opredeljeno v [členu 4(35) Uredbe (EU) 2018/XX o interoperabilnosti];“;</w:t>
      </w:r>
    </w:p>
    <w:p>
      <w:pPr>
        <w:rPr>
          <w:noProof/>
        </w:rPr>
      </w:pPr>
      <w:r>
        <w:rPr>
          <w:noProof/>
        </w:rPr>
        <w:t>(3)</w:t>
      </w:r>
      <w:r>
        <w:rPr>
          <w:noProof/>
        </w:rPr>
        <w:tab/>
        <w:t>člen 3(1)(22) se nadomesti z naslednjim:</w:t>
      </w:r>
    </w:p>
    <w:p>
      <w:pPr>
        <w:rPr>
          <w:noProof/>
        </w:rPr>
      </w:pPr>
      <w:r>
        <w:rPr>
          <w:noProof/>
        </w:rPr>
        <w:tab/>
        <w:t>„(22) ‚podatki iz SVI‘ pomeni vse podatke, shranjene v centralnem sistemu SVI in v CIR v skladu s členom 14 in členi 16 do 20;“;</w:t>
      </w:r>
    </w:p>
    <w:p>
      <w:pPr>
        <w:rPr>
          <w:noProof/>
        </w:rPr>
      </w:pPr>
      <w:r>
        <w:rPr>
          <w:noProof/>
        </w:rPr>
        <w:lastRenderedPageBreak/>
        <w:t>(4)</w:t>
      </w:r>
      <w:r>
        <w:rPr>
          <w:noProof/>
        </w:rPr>
        <w:tab/>
        <w:t>v členu 3 se doda nova točka 22a:</w:t>
      </w:r>
    </w:p>
    <w:p>
      <w:pPr>
        <w:ind w:left="720"/>
        <w:rPr>
          <w:noProof/>
        </w:rPr>
      </w:pPr>
      <w:r>
        <w:rPr>
          <w:noProof/>
        </w:rPr>
        <w:t>„(22a) ‚podatki o identiteti‘ pomeni podatke iz člena 16(1)(a);“;</w:t>
      </w:r>
    </w:p>
    <w:p>
      <w:pPr>
        <w:rPr>
          <w:noProof/>
        </w:rPr>
      </w:pPr>
      <w:r>
        <w:rPr>
          <w:noProof/>
        </w:rPr>
        <w:t>(5)</w:t>
      </w:r>
      <w:r>
        <w:rPr>
          <w:noProof/>
        </w:rPr>
        <w:tab/>
        <w:t>v členu 6(1) se vstavi naslednja točka:</w:t>
      </w:r>
    </w:p>
    <w:p>
      <w:pPr>
        <w:ind w:firstLine="720"/>
        <w:rPr>
          <w:noProof/>
        </w:rPr>
      </w:pPr>
      <w:r>
        <w:rPr>
          <w:noProof/>
        </w:rPr>
        <w:t>„(j) zagotovi pravilna identifikacija oseb.“;</w:t>
      </w:r>
    </w:p>
    <w:p>
      <w:pPr>
        <w:rPr>
          <w:noProof/>
        </w:rPr>
      </w:pPr>
      <w:r>
        <w:rPr>
          <w:noProof/>
        </w:rPr>
        <w:t>(6)</w:t>
      </w:r>
      <w:r>
        <w:rPr>
          <w:noProof/>
        </w:rPr>
        <w:tab/>
        <w:t>člen 7(1)(a) se nadomesti z naslednjim:</w:t>
      </w:r>
    </w:p>
    <w:p>
      <w:pPr>
        <w:rPr>
          <w:noProof/>
        </w:rPr>
      </w:pPr>
      <w:r>
        <w:rPr>
          <w:noProof/>
        </w:rPr>
        <w:tab/>
        <w:t>„(a) skupno odložišče podatkov o identiteti (CIR) iz [člena 17(2)(a) Uredbe (EU) 2018/XX o interoperabilnosti];</w:t>
      </w:r>
    </w:p>
    <w:p>
      <w:pPr>
        <w:ind w:left="720"/>
        <w:rPr>
          <w:noProof/>
        </w:rPr>
      </w:pPr>
      <w:r>
        <w:rPr>
          <w:noProof/>
        </w:rPr>
        <w:t>(aa) centralni sistem (v nadaljnjem besedilu: centralni sistem SVI);“;</w:t>
      </w:r>
    </w:p>
    <w:p>
      <w:pPr>
        <w:rPr>
          <w:noProof/>
        </w:rPr>
      </w:pPr>
      <w:r>
        <w:rPr>
          <w:noProof/>
        </w:rPr>
        <w:t>(7)</w:t>
      </w:r>
      <w:r>
        <w:rPr>
          <w:noProof/>
        </w:rPr>
        <w:tab/>
        <w:t>v členu 7(1) se točka f nadomesti z naslednjim:</w:t>
      </w:r>
    </w:p>
    <w:p>
      <w:pPr>
        <w:ind w:left="720"/>
        <w:rPr>
          <w:noProof/>
        </w:rPr>
      </w:pPr>
      <w:r>
        <w:rPr>
          <w:noProof/>
        </w:rPr>
        <w:t>„(f) varna komunikacijska infrastruktura med centralnim sistemom SVI ter centralnimi infrastrukturami evropskega iskalnega portala, vzpostavljenega s [členom 6 Uredbe (EU) 2018/XX o interoperabilnosti], skupne storitve za ugotavljanje ujemanja biometričnih podatkov, vzpostavljene s [členom 12 Uredbe (EU) 2018/XX o interoperabilnosti], skupnega odložišča podatkov o identiteti, vzpostavljenega s [členom 17 Uredbe (EU) 2018/XX o interoperabilnosti], in detektorja več identitet, vzpostavljenega s [členom 25 Uredbe (EU) 2018/XX o interoperabilnosti].“;</w:t>
      </w:r>
    </w:p>
    <w:p>
      <w:pPr>
        <w:rPr>
          <w:noProof/>
        </w:rPr>
      </w:pPr>
      <w:r>
        <w:rPr>
          <w:noProof/>
        </w:rPr>
        <w:t>(8)</w:t>
      </w:r>
      <w:r>
        <w:rPr>
          <w:noProof/>
        </w:rPr>
        <w:tab/>
        <w:t>v členu 7 se doda naslednji odstavek:</w:t>
      </w:r>
    </w:p>
    <w:p>
      <w:pPr>
        <w:rPr>
          <w:noProof/>
        </w:rPr>
      </w:pPr>
      <w:r>
        <w:rPr>
          <w:noProof/>
        </w:rPr>
        <w:tab/>
        <w:t>„1a. CIR vsebuje podatke iz člena 16(1)(a) do (d) in člena 17(1)(a) do (c), preostali podatki iz SVI pa se hranijo v centralnem sistemu SVI.“;</w:t>
      </w:r>
    </w:p>
    <w:p>
      <w:pPr>
        <w:rPr>
          <w:noProof/>
        </w:rPr>
      </w:pPr>
      <w:r>
        <w:rPr>
          <w:noProof/>
        </w:rPr>
        <w:t>(9)</w:t>
      </w:r>
      <w:r>
        <w:rPr>
          <w:noProof/>
        </w:rPr>
        <w:tab/>
        <w:t>v členu 9 se doda naslednji odstavek:</w:t>
      </w:r>
    </w:p>
    <w:p>
      <w:pPr>
        <w:ind w:left="720"/>
        <w:rPr>
          <w:noProof/>
        </w:rPr>
      </w:pPr>
      <w:r>
        <w:rPr>
          <w:noProof/>
        </w:rPr>
        <w:t>„3. Dostop do vpogleda v podatke iz SVI, shranjene v CIR, je omejen izključno na ustrezno pooblaščeno osebje nacionalnih organov posameznih držav članic in na ustrezno pooblaščeno osebje organov EU, ki so pristojni za namene iz [člena 20 in člena 21 Uredbe (EU) 2018/XX o interoperabilnosti]. Navedeni dostop je omejen na obseg, potreben za izvajanje nalog teh nacionalnih organov in organov EU v skladu s temi nameni, ter mora biti sorazmeren z zasledovanimi cilji.“;</w:t>
      </w:r>
    </w:p>
    <w:p>
      <w:pPr>
        <w:rPr>
          <w:noProof/>
        </w:rPr>
      </w:pPr>
      <w:r>
        <w:rPr>
          <w:noProof/>
        </w:rPr>
        <w:t>(10)</w:t>
      </w:r>
      <w:r>
        <w:rPr>
          <w:noProof/>
        </w:rPr>
        <w:tab/>
        <w:t>v členu 21(1) se besedilo „centralni sistem SVI“ v obeh pojavljanjih nadomesti z besedilom „centralni sistem SVI ali CIR“, beseda „njegovega“ pa se nadomesti z besedo „njunega“;</w:t>
      </w:r>
    </w:p>
    <w:p>
      <w:pPr>
        <w:rPr>
          <w:noProof/>
        </w:rPr>
      </w:pPr>
      <w:r>
        <w:rPr>
          <w:noProof/>
        </w:rPr>
        <w:t>(11)</w:t>
      </w:r>
      <w:r>
        <w:rPr>
          <w:noProof/>
        </w:rPr>
        <w:tab/>
        <w:t>v členu 21(2) se besedilo „centralni sistem SVI in v nacionalni enotni vmesnik“ nadomesti z besedilom „centralni sistem SVI in CIR na eni strani in v nacionalni enotni vmesnik na drugi“;</w:t>
      </w:r>
    </w:p>
    <w:p>
      <w:pPr>
        <w:rPr>
          <w:noProof/>
        </w:rPr>
      </w:pPr>
      <w:r>
        <w:rPr>
          <w:noProof/>
        </w:rPr>
        <w:t>(12)</w:t>
      </w:r>
      <w:r>
        <w:rPr>
          <w:noProof/>
        </w:rPr>
        <w:tab/>
        <w:t>v členu 21(2) se besedilo „se vnesejo v centralni sistem SVI“ nadomesti z besedilom „se vnesejo v centralni sistem SVI in CIR“;</w:t>
      </w:r>
    </w:p>
    <w:p>
      <w:pPr>
        <w:rPr>
          <w:noProof/>
        </w:rPr>
      </w:pPr>
      <w:r>
        <w:rPr>
          <w:noProof/>
        </w:rPr>
        <w:t>(13)</w:t>
      </w:r>
      <w:r>
        <w:rPr>
          <w:noProof/>
        </w:rPr>
        <w:tab/>
        <w:t>v členu 32 se doda nov odstavek 1a:</w:t>
      </w:r>
    </w:p>
    <w:p>
      <w:pPr>
        <w:pStyle w:val="Text1"/>
        <w:ind w:left="720"/>
        <w:rPr>
          <w:noProof/>
        </w:rPr>
      </w:pPr>
      <w:r>
        <w:rPr>
          <w:noProof/>
        </w:rPr>
        <w:t>„1a. V primerih, ko so imenovani organi opravili poizvedbo v CIR v skladu s [členom 22 Uredbe (EU) 2018/XX o interoperabilnosti], lahko dostopajo do SVI za namene vpogleda, če prejeti odgovor iz odstavka 3 [člena 22 Uredbe (EU) 2018/XX o interoperabilnosti] izkazuje, da so podatki shranjeni v SVI.“;</w:t>
      </w:r>
    </w:p>
    <w:p>
      <w:pPr>
        <w:rPr>
          <w:noProof/>
        </w:rPr>
      </w:pPr>
      <w:r>
        <w:rPr>
          <w:noProof/>
        </w:rPr>
        <w:t>(14)</w:t>
      </w:r>
      <w:r>
        <w:rPr>
          <w:noProof/>
        </w:rPr>
        <w:tab/>
        <w:t>člen 32(2) se nadomesti z naslednjim:</w:t>
      </w:r>
    </w:p>
    <w:p>
      <w:pPr>
        <w:pStyle w:val="Text1"/>
        <w:ind w:left="720" w:hanging="720"/>
        <w:rPr>
          <w:noProof/>
        </w:rPr>
      </w:pPr>
      <w:r>
        <w:rPr>
          <w:noProof/>
        </w:rPr>
        <w:tab/>
        <w:t xml:space="preserve">„2. Dostop do SVI kot orodja za namen ugotavljanja identitete neznanega osumljenca, storilca ali domnevne žrtve terorističnega kaznivega dejanja ali drugega hudega </w:t>
      </w:r>
      <w:r>
        <w:rPr>
          <w:noProof/>
        </w:rPr>
        <w:lastRenderedPageBreak/>
        <w:t>kaznivega dejanja se omogoči le, kadar je bila opravljena poizvedba v CIR v skladu s [členom 22 Uredbe (EU) 2018/XX o interoperabilnosti] in so izpolnjeni vsi pogoji iz odstavka 1 in odstavka 1a.</w:t>
      </w:r>
    </w:p>
    <w:p>
      <w:pPr>
        <w:pStyle w:val="Text1"/>
        <w:ind w:left="720"/>
        <w:rPr>
          <w:noProof/>
        </w:rPr>
      </w:pPr>
      <w:r>
        <w:rPr>
          <w:noProof/>
        </w:rPr>
        <w:t xml:space="preserve">Ta dodatni pogoj </w:t>
      </w:r>
      <w:bookmarkStart w:id="167" w:name="_DV_C1026"/>
      <w:r>
        <w:rPr>
          <w:noProof/>
        </w:rPr>
        <w:t>pa se ne uporablja</w:t>
      </w:r>
      <w:bookmarkStart w:id="168" w:name="_DV_M780"/>
      <w:bookmarkEnd w:id="167"/>
      <w:bookmarkEnd w:id="168"/>
      <w:r>
        <w:rPr>
          <w:noProof/>
        </w:rPr>
        <w:t xml:space="preserve"> </w:t>
      </w:r>
      <w:bookmarkStart w:id="169" w:name="_DV_C1027"/>
      <w:r>
        <w:rPr>
          <w:noProof/>
        </w:rPr>
        <w:t>v nujnih primerih, če je treba preprečiti neposredno nevarnost za življenje ljudi, povezano s terorističnim kaznivim dejanjem ali drugim hudim kaznivim dejanjem</w:t>
      </w:r>
      <w:bookmarkStart w:id="170" w:name="_DV_M781"/>
      <w:bookmarkEnd w:id="169"/>
      <w:bookmarkEnd w:id="170"/>
      <w:r>
        <w:rPr>
          <w:noProof/>
        </w:rPr>
        <w:t>. Navedeni utemeljeni razlogi morajo biti vključeni v elektronsko</w:t>
      </w:r>
      <w:bookmarkStart w:id="171" w:name="_DV_C1028"/>
      <w:r>
        <w:rPr>
          <w:noProof/>
        </w:rPr>
        <w:t xml:space="preserve"> ali pisno</w:t>
      </w:r>
      <w:bookmarkStart w:id="172" w:name="_DV_M782"/>
      <w:bookmarkEnd w:id="171"/>
      <w:bookmarkEnd w:id="172"/>
      <w:r>
        <w:rPr>
          <w:noProof/>
        </w:rPr>
        <w:t xml:space="preserve"> zahtevo, ki jo </w:t>
      </w:r>
      <w:bookmarkStart w:id="173" w:name="_DV_C1029"/>
      <w:r>
        <w:rPr>
          <w:noProof/>
        </w:rPr>
        <w:t xml:space="preserve">operativna enota </w:t>
      </w:r>
      <w:bookmarkStart w:id="174" w:name="_DV_M783"/>
      <w:bookmarkEnd w:id="173"/>
      <w:bookmarkEnd w:id="174"/>
      <w:r>
        <w:rPr>
          <w:noProof/>
        </w:rPr>
        <w:t>imenovanega organa pošlje centralni točki dostopa.“;</w:t>
      </w:r>
    </w:p>
    <w:p>
      <w:pPr>
        <w:pStyle w:val="Text1"/>
        <w:ind w:left="0"/>
        <w:rPr>
          <w:noProof/>
        </w:rPr>
      </w:pPr>
      <w:r>
        <w:rPr>
          <w:noProof/>
        </w:rPr>
        <w:t>(15)</w:t>
      </w:r>
      <w:r>
        <w:rPr>
          <w:noProof/>
        </w:rPr>
        <w:tab/>
        <w:t>člen 32(4) se črta;</w:t>
      </w:r>
    </w:p>
    <w:p>
      <w:pPr>
        <w:rPr>
          <w:noProof/>
        </w:rPr>
      </w:pPr>
      <w:r>
        <w:rPr>
          <w:noProof/>
        </w:rPr>
        <w:t>(16)</w:t>
      </w:r>
      <w:r>
        <w:rPr>
          <w:noProof/>
        </w:rPr>
        <w:tab/>
        <w:t>v členu 33 se doda nov odstavek 1a:</w:t>
      </w:r>
    </w:p>
    <w:p>
      <w:pPr>
        <w:pStyle w:val="Text1"/>
        <w:ind w:left="720"/>
        <w:rPr>
          <w:noProof/>
        </w:rPr>
      </w:pPr>
      <w:r>
        <w:rPr>
          <w:noProof/>
        </w:rPr>
        <w:t>„1a. V primerih, ko je Europol opravil poizvedbo v CIR v skladu s [členom 22 Uredbe (EU) 2018/XX o interoperabilnosti], lahko dostopa do SVI za namene vpogleda, če prejeti odgovor iz odstavka 3 [člena 22 Uredbe (EU) 2018/XX o interoperabilnosti] izkazuje, da so podatki shranjeni v SVI.“;</w:t>
      </w:r>
    </w:p>
    <w:p>
      <w:pPr>
        <w:rPr>
          <w:noProof/>
        </w:rPr>
      </w:pPr>
      <w:r>
        <w:rPr>
          <w:noProof/>
        </w:rPr>
        <w:t>(17)</w:t>
      </w:r>
      <w:r>
        <w:rPr>
          <w:noProof/>
        </w:rPr>
        <w:tab/>
        <w:t>v členu 33 se odstavek 3 nadomesti z naslednjim:</w:t>
      </w:r>
    </w:p>
    <w:p>
      <w:pPr>
        <w:pStyle w:val="ListParagraph"/>
        <w:rPr>
          <w:noProof/>
        </w:rPr>
      </w:pPr>
      <w:r>
        <w:rPr>
          <w:noProof/>
        </w:rPr>
        <w:tab/>
        <w:t>„Ustrezno se uporabljajo pogoji iz člena 32(</w:t>
      </w:r>
      <w:bookmarkStart w:id="175" w:name="_DV_C1079"/>
      <w:r>
        <w:rPr>
          <w:noProof/>
        </w:rPr>
        <w:t>3</w:t>
      </w:r>
      <w:bookmarkStart w:id="176" w:name="_DV_M836"/>
      <w:bookmarkEnd w:id="175"/>
      <w:bookmarkEnd w:id="176"/>
      <w:r>
        <w:rPr>
          <w:noProof/>
        </w:rPr>
        <w:t xml:space="preserve">) in (5).“; </w:t>
      </w:r>
    </w:p>
    <w:p>
      <w:pPr>
        <w:rPr>
          <w:noProof/>
        </w:rPr>
      </w:pPr>
      <w:r>
        <w:rPr>
          <w:noProof/>
        </w:rPr>
        <w:t>(18)</w:t>
      </w:r>
      <w:r>
        <w:rPr>
          <w:noProof/>
        </w:rPr>
        <w:tab/>
        <w:t>v členu 34(1) in (2) se besedilo „v centralnem sistemu SVI“ nadomesti z besedilom „v CIR oziroma v centralnem sistemu SVI“;</w:t>
      </w:r>
    </w:p>
    <w:p>
      <w:pPr>
        <w:rPr>
          <w:noProof/>
        </w:rPr>
      </w:pPr>
      <w:r>
        <w:rPr>
          <w:noProof/>
        </w:rPr>
        <w:t>(19)</w:t>
      </w:r>
      <w:r>
        <w:rPr>
          <w:noProof/>
        </w:rPr>
        <w:tab/>
        <w:t>v členu 34(5) se besedilo „iz centralnega sistema SVI“ nadomesti z besedilom „iz centralnega sistema SVI in iz CIR“;</w:t>
      </w:r>
    </w:p>
    <w:p>
      <w:pPr>
        <w:rPr>
          <w:noProof/>
        </w:rPr>
      </w:pPr>
      <w:r>
        <w:rPr>
          <w:noProof/>
        </w:rPr>
        <w:t>(20)</w:t>
      </w:r>
      <w:r>
        <w:rPr>
          <w:noProof/>
        </w:rPr>
        <w:tab/>
        <w:t>v členu 35 se odstavek 7 nadomesti z naslednjim:</w:t>
      </w:r>
    </w:p>
    <w:p>
      <w:pPr>
        <w:rPr>
          <w:noProof/>
        </w:rPr>
      </w:pPr>
      <w:r>
        <w:rPr>
          <w:noProof/>
        </w:rPr>
        <w:tab/>
        <w:t>„Centralni sistem SVI in CIR nemudoma obvestita vse države članice o izbrisu podatkov iz SVI ali iz CIR in, kjer je primerno, s seznama identificiranih oseb iz člena 12(3).“;</w:t>
      </w:r>
    </w:p>
    <w:p>
      <w:pPr>
        <w:rPr>
          <w:noProof/>
        </w:rPr>
      </w:pPr>
      <w:r>
        <w:rPr>
          <w:noProof/>
        </w:rPr>
        <w:t>(21)</w:t>
      </w:r>
      <w:r>
        <w:rPr>
          <w:noProof/>
        </w:rPr>
        <w:tab/>
        <w:t>v členu 36 se besedilo „centralnega sistema SVI“ nadomesti z besedilom „centralnega sistema SVI in CIR“;</w:t>
      </w:r>
    </w:p>
    <w:p>
      <w:pPr>
        <w:rPr>
          <w:noProof/>
        </w:rPr>
      </w:pPr>
      <w:r>
        <w:rPr>
          <w:noProof/>
        </w:rPr>
        <w:t>(22)</w:t>
      </w:r>
      <w:r>
        <w:rPr>
          <w:noProof/>
        </w:rPr>
        <w:tab/>
        <w:t>v členu (37)1 se besedilo „razvoj centralnega sistema SVI“ nadomesti z besedilom „razvoj centralnega sistema SVI in CIR“;</w:t>
      </w:r>
    </w:p>
    <w:p>
      <w:pPr>
        <w:rPr>
          <w:noProof/>
        </w:rPr>
      </w:pPr>
      <w:r>
        <w:rPr>
          <w:noProof/>
        </w:rPr>
        <w:t>(23)</w:t>
      </w:r>
      <w:r>
        <w:rPr>
          <w:noProof/>
        </w:rPr>
        <w:tab/>
        <w:t>v prvem pododstavku člena 37(3) se v prvem stavku besedilo „centralnega sistema SVI“ nadomesti z besedilom „centralnega sistema SVI in CIR“, v drugem stavku pa se besedilo „centralni sistem SVI“ nadomesti z besedilom „centralni sistem SVI in CIR“;</w:t>
      </w:r>
    </w:p>
    <w:p>
      <w:pPr>
        <w:rPr>
          <w:noProof/>
        </w:rPr>
      </w:pPr>
      <w:r>
        <w:rPr>
          <w:noProof/>
        </w:rPr>
        <w:t>(24)</w:t>
      </w:r>
      <w:r>
        <w:rPr>
          <w:noProof/>
        </w:rPr>
        <w:tab/>
        <w:t>v členu 46(1) se doda naslednja točka f:</w:t>
      </w:r>
    </w:p>
    <w:p>
      <w:pPr>
        <w:rPr>
          <w:noProof/>
        </w:rPr>
      </w:pPr>
      <w:r>
        <w:rPr>
          <w:noProof/>
        </w:rPr>
        <w:tab/>
        <w:t>„(f) kjer je ustrezno, sklic na uporabo evropskega iskalnega portala za poizvedovanje v SVI, kakor je navedena v [členu 7(2) Uredbe (EU) 2018/XX o interoperabilnosti].“;</w:t>
      </w:r>
    </w:p>
    <w:p>
      <w:pPr>
        <w:rPr>
          <w:noProof/>
        </w:rPr>
      </w:pPr>
      <w:r>
        <w:rPr>
          <w:noProof/>
        </w:rPr>
        <w:t>(25)</w:t>
      </w:r>
      <w:r>
        <w:rPr>
          <w:noProof/>
        </w:rPr>
        <w:tab/>
        <w:t>člen 63(2) se nadomesti z naslednjim:</w:t>
      </w:r>
    </w:p>
    <w:p>
      <w:pPr>
        <w:ind w:firstLine="720"/>
        <w:rPr>
          <w:noProof/>
        </w:rPr>
      </w:pPr>
      <w:r>
        <w:rPr>
          <w:noProof/>
        </w:rPr>
        <w:t>„2. Eu-LISA za namen odstavka 1 tega člena hrani podatke iz odstavka 1 v centralnem registru za poročanje in statistične podatke iz [člena 39 Uredbe (EU) 2018/XX o interoperabilnosti].“;</w:t>
      </w:r>
    </w:p>
    <w:p>
      <w:pPr>
        <w:rPr>
          <w:noProof/>
        </w:rPr>
      </w:pPr>
      <w:r>
        <w:rPr>
          <w:noProof/>
        </w:rPr>
        <w:t>(26) v členu 63(4) se doda nov pododstavek:</w:t>
      </w:r>
    </w:p>
    <w:p>
      <w:pPr>
        <w:rPr>
          <w:noProof/>
        </w:rPr>
      </w:pPr>
      <w:r>
        <w:rPr>
          <w:noProof/>
        </w:rPr>
        <w:tab/>
        <w:t>„Dnevni statistični podatki se hranijo v centralnem registru za poročanje in statistične podatke.“</w:t>
      </w:r>
    </w:p>
    <w:p>
      <w:pPr>
        <w:pStyle w:val="Titrearticle"/>
        <w:spacing w:before="0" w:after="0"/>
        <w:rPr>
          <w:noProof/>
        </w:rPr>
      </w:pPr>
      <w:r>
        <w:rPr>
          <w:noProof/>
        </w:rPr>
        <w:lastRenderedPageBreak/>
        <w:t>Člen 55c</w:t>
      </w:r>
    </w:p>
    <w:p>
      <w:pPr>
        <w:pStyle w:val="Titrearticle"/>
        <w:spacing w:before="0"/>
        <w:rPr>
          <w:noProof/>
        </w:rPr>
      </w:pPr>
      <w:r>
        <w:rPr>
          <w:noProof/>
        </w:rPr>
        <w:t>Spremembe Odločbe Sveta 2004/512/ES</w:t>
      </w:r>
    </w:p>
    <w:p>
      <w:pPr>
        <w:rPr>
          <w:noProof/>
        </w:rPr>
      </w:pPr>
      <w:r>
        <w:rPr>
          <w:noProof/>
        </w:rPr>
        <w:t>Odločba Sveta 2004/512/ES o vzpostavitvi vizumskega informacijskega sistema (VIS) se spremeni:</w:t>
      </w:r>
    </w:p>
    <w:p>
      <w:pPr>
        <w:rPr>
          <w:noProof/>
        </w:rPr>
      </w:pPr>
      <w:r>
        <w:rPr>
          <w:noProof/>
        </w:rPr>
        <w:t>člen 1(2) se spremeni:</w:t>
      </w:r>
    </w:p>
    <w:p>
      <w:pPr>
        <w:ind w:left="720"/>
        <w:rPr>
          <w:noProof/>
        </w:rPr>
      </w:pPr>
      <w:r>
        <w:rPr>
          <w:noProof/>
        </w:rPr>
        <w:t>„2. Vizumski informacijski sistem je osnovan na centralizirani arhitekturi, sestavljajo pa ga:</w:t>
      </w:r>
    </w:p>
    <w:p>
      <w:pPr>
        <w:ind w:left="720"/>
        <w:rPr>
          <w:noProof/>
        </w:rPr>
      </w:pPr>
      <w:r>
        <w:rPr>
          <w:noProof/>
        </w:rPr>
        <w:t xml:space="preserve">(a) skupno odložišče podatkov o identiteti iz [člena 17(2)(a) Uredbe (EU) 2018/XX o interoperabilnosti]; </w:t>
      </w:r>
    </w:p>
    <w:p>
      <w:pPr>
        <w:ind w:left="720"/>
        <w:rPr>
          <w:noProof/>
        </w:rPr>
      </w:pPr>
      <w:r>
        <w:rPr>
          <w:noProof/>
        </w:rPr>
        <w:t xml:space="preserve">(b) centralni informacijski sistem, v nadaljnjem besedilu: ‚centralni vizumski informacijski sistem‘ (CS-VIS); </w:t>
      </w:r>
    </w:p>
    <w:p>
      <w:pPr>
        <w:ind w:left="720"/>
        <w:rPr>
          <w:noProof/>
        </w:rPr>
      </w:pPr>
      <w:r>
        <w:rPr>
          <w:noProof/>
        </w:rPr>
        <w:t>(c) vmesnik v vsaki državi članici, v nadaljnjem besedilu: ‚nacionalni vmesnik‘ (NI-VIS), ki zagotavlja povezavo do pristojnega centralnega nacionalnega organa zadevne države članice;</w:t>
      </w:r>
    </w:p>
    <w:p>
      <w:pPr>
        <w:ind w:left="720"/>
        <w:rPr>
          <w:noProof/>
        </w:rPr>
      </w:pPr>
      <w:r>
        <w:rPr>
          <w:noProof/>
        </w:rPr>
        <w:t>(d) komunikacijska infrastruktura med centralnim vizumskim informacijskim sistemom in nacionalnimi vmesniki;</w:t>
      </w:r>
    </w:p>
    <w:p>
      <w:pPr>
        <w:ind w:left="720"/>
        <w:rPr>
          <w:noProof/>
        </w:rPr>
      </w:pPr>
      <w:r>
        <w:rPr>
          <w:noProof/>
        </w:rPr>
        <w:t>(e) varni komunikacijski kanal med centralnim sistemom SVI in CS-VIS;</w:t>
      </w:r>
    </w:p>
    <w:p>
      <w:pPr>
        <w:ind w:left="720"/>
        <w:rPr>
          <w:noProof/>
        </w:rPr>
      </w:pPr>
      <w:r>
        <w:rPr>
          <w:noProof/>
        </w:rPr>
        <w:t>(f) varna komunikacijska infrastruktura med centralnim sistemom VIS ter centralnimi infrastrukturami evropskega iskalnega portala, vzpostavljenega s [členom 6 Uredbe (EU) 2018/XX o interoperabilnosti], skupne storitve za ugotavljanje ujemanja biometričnih podatkov, vzpostavljene s [členom 12 Uredbe (EU) 2018/XX o interoperabilnosti], skupnega odložišča podatkov o identiteti, vzpostavljenega s [členom 17 Uredbe (EU) 2018/XX o interoperabilnosti], in detektorja več identitet (MID), vzpostavljenega s [členom 25 Uredbe (EU) 2018/XX o interoperabilnosti].“</w:t>
      </w:r>
    </w:p>
    <w:p>
      <w:pPr>
        <w:pStyle w:val="Titrearticle"/>
        <w:spacing w:before="0" w:after="0"/>
        <w:rPr>
          <w:noProof/>
        </w:rPr>
      </w:pPr>
      <w:r>
        <w:rPr>
          <w:noProof/>
        </w:rPr>
        <w:t>Člen 55d</w:t>
      </w:r>
    </w:p>
    <w:p>
      <w:pPr>
        <w:pStyle w:val="Titrearticle"/>
        <w:spacing w:before="0"/>
        <w:rPr>
          <w:noProof/>
        </w:rPr>
      </w:pPr>
      <w:r>
        <w:rPr>
          <w:noProof/>
        </w:rPr>
        <w:t>Spremembe Uredbe (ES) št. 767/2008</w:t>
      </w:r>
    </w:p>
    <w:p>
      <w:pPr>
        <w:rPr>
          <w:noProof/>
        </w:rPr>
      </w:pPr>
      <w:r>
        <w:rPr>
          <w:noProof/>
        </w:rPr>
        <w:t>(1)</w:t>
      </w:r>
      <w:r>
        <w:rPr>
          <w:noProof/>
        </w:rPr>
        <w:tab/>
        <w:t>V členu 1 se doda naslednji odstavek:</w:t>
      </w:r>
    </w:p>
    <w:p>
      <w:pPr>
        <w:ind w:left="720"/>
        <w:rPr>
          <w:noProof/>
        </w:rPr>
      </w:pPr>
      <w:r>
        <w:rPr>
          <w:noProof/>
        </w:rPr>
        <w:t>„2. VIS s shranjevanjem podatkov o identiteti, podatkov iz potnih listin in biometričnih podatkov v skupno odložišče podatkov o identiteti (CIR), vzpostavljeno s [členom 17 Uredbe (EU) 2018/XX o interoperabilnosti], prispeva k olajševanju in podpiranju pravilne identifikacije oseb, ki so evidentirane v VIS, pod pogoji in za namene končnih ciljev iz odstavka 1 tega člena.“</w:t>
      </w:r>
    </w:p>
    <w:p>
      <w:pPr>
        <w:rPr>
          <w:noProof/>
        </w:rPr>
      </w:pPr>
      <w:r>
        <w:rPr>
          <w:noProof/>
        </w:rPr>
        <w:t>(2)</w:t>
      </w:r>
      <w:r>
        <w:rPr>
          <w:noProof/>
        </w:rPr>
        <w:tab/>
        <w:t>V členu 4 se dodajo naslednje točke:</w:t>
      </w:r>
    </w:p>
    <w:p>
      <w:pPr>
        <w:ind w:left="720"/>
        <w:rPr>
          <w:noProof/>
        </w:rPr>
      </w:pPr>
      <w:r>
        <w:rPr>
          <w:noProof/>
        </w:rPr>
        <w:t>„12. ‚podatki iz VIS‘ pomeni vse podatke, shranjene v centralnem sistemu VIS in v CIR v skladu s členi 9 do 14;</w:t>
      </w:r>
    </w:p>
    <w:p>
      <w:pPr>
        <w:ind w:left="720"/>
        <w:rPr>
          <w:noProof/>
        </w:rPr>
      </w:pPr>
      <w:r>
        <w:rPr>
          <w:noProof/>
        </w:rPr>
        <w:t>13. ‚podatki o identiteti‘ pomeni podatke iz člena 9(4)(a) do (aa);</w:t>
      </w:r>
    </w:p>
    <w:p>
      <w:pPr>
        <w:pStyle w:val="Point1"/>
        <w:rPr>
          <w:noProof/>
        </w:rPr>
      </w:pPr>
      <w:r>
        <w:rPr>
          <w:noProof/>
        </w:rPr>
        <w:t>14.</w:t>
      </w:r>
      <w:r>
        <w:rPr>
          <w:noProof/>
        </w:rPr>
        <w:tab/>
        <w:t xml:space="preserve">‚podatki o prstnih odtisih‘ pomeni podatke, </w:t>
      </w:r>
      <w:bookmarkStart w:id="177" w:name="_DV_M260"/>
      <w:bookmarkEnd w:id="177"/>
      <w:r>
        <w:rPr>
          <w:noProof/>
        </w:rPr>
        <w:t>povezane s petimi prstnimi odtisi, in sicer kazalca, sredinca, prstanca, mezinca in palca na desni roki</w:t>
      </w:r>
      <w:bookmarkStart w:id="178" w:name="_DV_M261"/>
      <w:bookmarkEnd w:id="178"/>
      <w:r>
        <w:rPr>
          <w:noProof/>
        </w:rPr>
        <w:t>, kadar obstajajo, ter na levi roki;</w:t>
      </w:r>
    </w:p>
    <w:p>
      <w:pPr>
        <w:pStyle w:val="Point1"/>
        <w:rPr>
          <w:noProof/>
        </w:rPr>
      </w:pPr>
      <w:r>
        <w:rPr>
          <w:noProof/>
        </w:rPr>
        <w:t>15.</w:t>
      </w:r>
      <w:r>
        <w:rPr>
          <w:noProof/>
        </w:rPr>
        <w:tab/>
        <w:t>‚podoba obraza‘ pomeni digitalno sliko obraza</w:t>
      </w:r>
      <w:bookmarkStart w:id="179" w:name="_DV_M263"/>
      <w:bookmarkEnd w:id="179"/>
      <w:r>
        <w:rPr>
          <w:noProof/>
        </w:rPr>
        <w:t>;</w:t>
      </w:r>
    </w:p>
    <w:p>
      <w:pPr>
        <w:pStyle w:val="Point1"/>
        <w:rPr>
          <w:noProof/>
        </w:rPr>
      </w:pPr>
      <w:r>
        <w:rPr>
          <w:noProof/>
        </w:rPr>
        <w:t>16.</w:t>
      </w:r>
      <w:r>
        <w:rPr>
          <w:noProof/>
        </w:rPr>
        <w:tab/>
        <w:t>‚biometrični podatki‘ pomeni podatke o prstnih odtisih in podobo obraza.“</w:t>
      </w:r>
    </w:p>
    <w:p>
      <w:pPr>
        <w:rPr>
          <w:noProof/>
        </w:rPr>
      </w:pPr>
      <w:r>
        <w:rPr>
          <w:noProof/>
        </w:rPr>
        <w:t>(3)</w:t>
      </w:r>
      <w:r>
        <w:rPr>
          <w:noProof/>
        </w:rPr>
        <w:tab/>
        <w:t>V členu 5 se doda naslednji odstavek:</w:t>
      </w:r>
    </w:p>
    <w:p>
      <w:pPr>
        <w:ind w:left="720"/>
        <w:rPr>
          <w:noProof/>
        </w:rPr>
      </w:pPr>
      <w:r>
        <w:rPr>
          <w:noProof/>
        </w:rPr>
        <w:lastRenderedPageBreak/>
        <w:t>„1a. CIR vsebuje podatke iz člena 9(4)(a) do (cc) ter členov 9(5) in 9(6), preostali podatki iz VIS pa se hranijo v centralnem sistemu VIS.“</w:t>
      </w:r>
    </w:p>
    <w:p>
      <w:pPr>
        <w:rPr>
          <w:noProof/>
        </w:rPr>
      </w:pPr>
      <w:r>
        <w:rPr>
          <w:noProof/>
        </w:rPr>
        <w:t>(4)</w:t>
      </w:r>
      <w:r>
        <w:rPr>
          <w:noProof/>
        </w:rPr>
        <w:tab/>
        <w:t>Člen 6(2) se spremeni:</w:t>
      </w:r>
    </w:p>
    <w:p>
      <w:pPr>
        <w:ind w:left="720"/>
        <w:rPr>
          <w:noProof/>
        </w:rPr>
      </w:pPr>
      <w:r>
        <w:rPr>
          <w:noProof/>
        </w:rPr>
        <w:t>„2. Dostop do VIS za iskanje podatkov je omejen izključno na ustrezno pooblaščeno osebje nacionalnih organov posamezne države članice, ki so pristojni za namene iz členov 15 do 22, ter na ustrezno pooblaščeno osebje nacionalnih organov posamezne države članice in organov EU, ki so pristojni za namene iz [člena 20 in člena 21 Uredbe (EU) 2018/XX o interoperabilnosti], v obsegu, potrebnem za izvajanje nalog v skladu s temi nameni in sorazmerno z zasledovanimi cilji.“</w:t>
      </w:r>
    </w:p>
    <w:p>
      <w:pPr>
        <w:rPr>
          <w:noProof/>
        </w:rPr>
      </w:pPr>
      <w:r>
        <w:rPr>
          <w:noProof/>
        </w:rPr>
        <w:t xml:space="preserve">(5) </w:t>
      </w:r>
      <w:r>
        <w:rPr>
          <w:noProof/>
        </w:rPr>
        <w:tab/>
        <w:t>Člen 9(4)(a) do (c) se spremeni:</w:t>
      </w:r>
    </w:p>
    <w:p>
      <w:pPr>
        <w:pStyle w:val="Point1"/>
        <w:rPr>
          <w:noProof/>
        </w:rPr>
      </w:pPr>
      <w:r>
        <w:rPr>
          <w:noProof/>
        </w:rPr>
        <w:t>„(a)</w:t>
      </w:r>
      <w:r>
        <w:rPr>
          <w:noProof/>
        </w:rPr>
        <w:tab/>
        <w:t>priimek, ime ali imena, datum rojstva, državljanstvo ali državljanstva, spol;</w:t>
      </w:r>
    </w:p>
    <w:p>
      <w:pPr>
        <w:pStyle w:val="Point1"/>
        <w:rPr>
          <w:noProof/>
        </w:rPr>
      </w:pPr>
      <w:r>
        <w:rPr>
          <w:noProof/>
        </w:rPr>
        <w:t xml:space="preserve">(aa) priimek ob rojstvu (prejšnji priimek(-ki)), kraj in država rojstva, državljanstvo ob rojstvu; </w:t>
      </w:r>
    </w:p>
    <w:p>
      <w:pPr>
        <w:pStyle w:val="Point1"/>
        <w:rPr>
          <w:noProof/>
        </w:rPr>
      </w:pPr>
      <w:r>
        <w:rPr>
          <w:noProof/>
        </w:rPr>
        <w:t xml:space="preserve"> (b)</w:t>
      </w:r>
      <w:r>
        <w:rPr>
          <w:noProof/>
        </w:rPr>
        <w:tab/>
        <w:t>vrsta</w:t>
      </w:r>
      <w:bookmarkStart w:id="180" w:name="_DV_C706"/>
      <w:r>
        <w:rPr>
          <w:noProof/>
        </w:rPr>
        <w:t xml:space="preserve"> in</w:t>
      </w:r>
      <w:bookmarkStart w:id="181" w:name="_DV_M485"/>
      <w:bookmarkEnd w:id="180"/>
      <w:bookmarkEnd w:id="181"/>
      <w:r>
        <w:rPr>
          <w:noProof/>
        </w:rPr>
        <w:t xml:space="preserve"> številka</w:t>
      </w:r>
      <w:bookmarkStart w:id="182" w:name="_DV_C707"/>
      <w:r>
        <w:rPr>
          <w:noProof/>
        </w:rPr>
        <w:t xml:space="preserve"> potne listine ali potnih listin</w:t>
      </w:r>
      <w:bookmarkStart w:id="183" w:name="_DV_M486"/>
      <w:bookmarkEnd w:id="182"/>
      <w:bookmarkEnd w:id="183"/>
      <w:r>
        <w:rPr>
          <w:noProof/>
        </w:rPr>
        <w:t xml:space="preserve"> ter tričrkovna oznaka države izdajateljice potne listine ali potnih listin;</w:t>
      </w:r>
    </w:p>
    <w:p>
      <w:pPr>
        <w:pStyle w:val="Point1"/>
        <w:rPr>
          <w:noProof/>
        </w:rPr>
      </w:pPr>
      <w:r>
        <w:rPr>
          <w:noProof/>
        </w:rPr>
        <w:t>(c)</w:t>
      </w:r>
      <w:r>
        <w:rPr>
          <w:noProof/>
        </w:rPr>
        <w:tab/>
        <w:t>datum izteka veljavnosti potne listine ali potnih listin;</w:t>
      </w:r>
      <w:bookmarkStart w:id="184" w:name="_DV_M488"/>
      <w:bookmarkEnd w:id="184"/>
    </w:p>
    <w:p>
      <w:pPr>
        <w:pStyle w:val="Point1"/>
        <w:rPr>
          <w:noProof/>
        </w:rPr>
      </w:pPr>
      <w:r>
        <w:rPr>
          <w:noProof/>
        </w:rPr>
        <w:t>(cc)</w:t>
      </w:r>
      <w:r>
        <w:rPr>
          <w:noProof/>
        </w:rPr>
        <w:tab/>
        <w:t>organ, ki je izdal potno listino, in datum njene izdaje;“.</w:t>
      </w:r>
    </w:p>
    <w:p>
      <w:pPr>
        <w:pStyle w:val="Point1"/>
        <w:ind w:left="567"/>
        <w:rPr>
          <w:noProof/>
        </w:rPr>
      </w:pPr>
      <w:r>
        <w:rPr>
          <w:noProof/>
        </w:rPr>
        <w:t xml:space="preserve">(6) </w:t>
      </w:r>
      <w:r>
        <w:rPr>
          <w:noProof/>
        </w:rPr>
        <w:tab/>
        <w:t>Člen 9(5) se nadomesti z naslednjim:</w:t>
      </w:r>
    </w:p>
    <w:p>
      <w:pPr>
        <w:pStyle w:val="Point1"/>
        <w:ind w:left="567"/>
        <w:rPr>
          <w:noProof/>
        </w:rPr>
      </w:pPr>
      <w:r>
        <w:rPr>
          <w:noProof/>
        </w:rPr>
        <w:tab/>
        <w:t>„podoba obraza, kakor je opredeljena v členu 4(15);“.</w:t>
      </w:r>
    </w:p>
    <w:p>
      <w:pPr>
        <w:ind w:left="720" w:hanging="720"/>
        <w:rPr>
          <w:noProof/>
        </w:rPr>
      </w:pPr>
      <w:r>
        <w:rPr>
          <w:noProof/>
        </w:rPr>
        <w:t>(7)</w:t>
      </w:r>
      <w:r>
        <w:rPr>
          <w:noProof/>
        </w:rPr>
        <w:tab/>
        <w:t>V členu 29(2)(a) se besedilo „VIS“ v obeh pojavljanjih nadomesti z besedilom „VIS ali CIR“.</w:t>
      </w:r>
    </w:p>
    <w:p>
      <w:pPr>
        <w:pStyle w:val="Titrearticle"/>
        <w:spacing w:before="0" w:after="0"/>
        <w:rPr>
          <w:noProof/>
        </w:rPr>
      </w:pPr>
      <w:r>
        <w:rPr>
          <w:noProof/>
        </w:rPr>
        <w:t>Člen 55e</w:t>
      </w:r>
    </w:p>
    <w:p>
      <w:pPr>
        <w:pStyle w:val="Titrearticle"/>
        <w:spacing w:before="0"/>
        <w:rPr>
          <w:noProof/>
        </w:rPr>
      </w:pPr>
      <w:r>
        <w:rPr>
          <w:noProof/>
        </w:rPr>
        <w:t>Spremembe Sklepa Sveta 2008/633/PNZ</w:t>
      </w:r>
    </w:p>
    <w:p>
      <w:pPr>
        <w:rPr>
          <w:noProof/>
          <w:szCs w:val="24"/>
        </w:rPr>
      </w:pPr>
      <w:r>
        <w:rPr>
          <w:noProof/>
        </w:rPr>
        <w:t>(1) V členu 5 se doda nov odstavek 1a:</w:t>
      </w:r>
    </w:p>
    <w:p>
      <w:pPr>
        <w:rPr>
          <w:noProof/>
        </w:rPr>
      </w:pPr>
      <w:r>
        <w:rPr>
          <w:noProof/>
        </w:rPr>
        <w:t>„1a. V primerih, ko so imenovani organi opravili poizvedbo v CIR v skladu s [členom 22 Uredbe (EU) 2018/XX o interoperabilnosti], lahko dostopajo do VIS za namene vpogleda, če prejeti odgovor iz odstavka 3 [člena 22 Uredbe (EU) 2018/XX o interoperabilnosti] izkazuje, da so podatki shranjeni v VIS.“</w:t>
      </w:r>
    </w:p>
    <w:p>
      <w:pPr>
        <w:rPr>
          <w:noProof/>
          <w:szCs w:val="24"/>
        </w:rPr>
      </w:pPr>
      <w:r>
        <w:rPr>
          <w:noProof/>
        </w:rPr>
        <w:t>(2) V členu 7 se doda nova točka 1a:</w:t>
      </w:r>
    </w:p>
    <w:p>
      <w:pPr>
        <w:pStyle w:val="Text1"/>
        <w:ind w:left="0"/>
        <w:rPr>
          <w:noProof/>
        </w:rPr>
      </w:pPr>
      <w:r>
        <w:rPr>
          <w:noProof/>
        </w:rPr>
        <w:t>„1a. V primerih, ko je Europol opravil poizvedbo v CIR v skladu s [členom 22 Uredbe (EU) 2018/XX o interoperabilnosti], lahko dostopa do VIS za namene vpogleda, če prejeti odgovor iz odstavka 3 [člena 22 Uredbe (EU) 2018/XX o interoperabilnosti] izkazuje, da so podatki shranjeni v VIS.“</w:t>
      </w:r>
    </w:p>
    <w:p>
      <w:pPr>
        <w:pStyle w:val="ChapterTitle"/>
        <w:rPr>
          <w:noProof/>
        </w:rPr>
      </w:pPr>
      <w:r>
        <w:rPr>
          <w:noProof/>
        </w:rPr>
        <w:t>POGLAVJE X</w:t>
      </w:r>
      <w:r>
        <w:rPr>
          <w:noProof/>
        </w:rPr>
        <w:br/>
        <w:t>Končne določbe</w:t>
      </w:r>
    </w:p>
    <w:p>
      <w:pPr>
        <w:pStyle w:val="Titrearticle"/>
        <w:spacing w:before="0" w:after="0"/>
        <w:rPr>
          <w:noProof/>
        </w:rPr>
      </w:pPr>
      <w:r>
        <w:rPr>
          <w:noProof/>
        </w:rPr>
        <w:t>Člen 56</w:t>
      </w:r>
    </w:p>
    <w:p>
      <w:pPr>
        <w:pStyle w:val="Titrearticle"/>
        <w:spacing w:before="0"/>
        <w:rPr>
          <w:noProof/>
        </w:rPr>
      </w:pPr>
      <w:r>
        <w:rPr>
          <w:noProof/>
        </w:rPr>
        <w:t>Poročanje in statistični podatki</w:t>
      </w:r>
    </w:p>
    <w:p>
      <w:pPr>
        <w:pStyle w:val="ManualNumPar1"/>
        <w:rPr>
          <w:noProof/>
        </w:rPr>
      </w:pPr>
      <w:r>
        <w:t>1.</w:t>
      </w:r>
      <w:r>
        <w:tab/>
      </w:r>
      <w:r>
        <w:rPr>
          <w:noProof/>
        </w:rPr>
        <w:t>Brez omogočanja ugotavljanja istovetnosti posameznikov ima ustrezno pooblaščeno osebje pristojnih organov držav članic, Komisije in agencije eu-LISA, izključno za pripravo poročil in statistične namene, dostop do naslednjih podatkov, povezanih z evropskim iskalnim portalom (ESP):</w:t>
      </w:r>
    </w:p>
    <w:p>
      <w:pPr>
        <w:pStyle w:val="Point1letter"/>
        <w:widowControl w:val="0"/>
        <w:numPr>
          <w:ilvl w:val="3"/>
          <w:numId w:val="87"/>
        </w:numPr>
        <w:adjustRightInd w:val="0"/>
        <w:textAlignment w:val="baseline"/>
        <w:rPr>
          <w:noProof/>
        </w:rPr>
      </w:pPr>
      <w:bookmarkStart w:id="185" w:name="_DV_M1546"/>
      <w:bookmarkEnd w:id="185"/>
      <w:r>
        <w:rPr>
          <w:noProof/>
        </w:rPr>
        <w:lastRenderedPageBreak/>
        <w:t>število poizvedb na uporabnika profila ESP;</w:t>
      </w:r>
    </w:p>
    <w:p>
      <w:pPr>
        <w:pStyle w:val="Point1letter"/>
        <w:widowControl w:val="0"/>
        <w:numPr>
          <w:ilvl w:val="3"/>
          <w:numId w:val="87"/>
        </w:numPr>
        <w:adjustRightInd w:val="0"/>
        <w:textAlignment w:val="baseline"/>
        <w:rPr>
          <w:noProof/>
        </w:rPr>
      </w:pPr>
      <w:bookmarkStart w:id="186" w:name="_DV_M1548"/>
      <w:bookmarkStart w:id="187" w:name="_DV_M1549"/>
      <w:bookmarkEnd w:id="186"/>
      <w:bookmarkEnd w:id="187"/>
      <w:r>
        <w:rPr>
          <w:noProof/>
        </w:rPr>
        <w:t>število poizvedb v vsaki posamezni podatkovni zbirki Interpola.</w:t>
      </w:r>
    </w:p>
    <w:p>
      <w:pPr>
        <w:pStyle w:val="ManualNumPar1"/>
        <w:rPr>
          <w:noProof/>
        </w:rPr>
      </w:pPr>
      <w:r>
        <w:t>2.</w:t>
      </w:r>
      <w:r>
        <w:tab/>
      </w:r>
      <w:r>
        <w:rPr>
          <w:noProof/>
        </w:rPr>
        <w:t>Brez omogočanja ugotavljanja istovetnosti posameznikov ima ustrezno pooblaščeno osebje pristojnih organov držav članic, Komisije in agencije eu-LISA, izključno za pripravo poročil in statistične namene, dostop do naslednjih podatkov, povezanih s skupnim odložiščem podatkov o identiteti:</w:t>
      </w:r>
    </w:p>
    <w:p>
      <w:pPr>
        <w:pStyle w:val="Point1letter"/>
        <w:widowControl w:val="0"/>
        <w:numPr>
          <w:ilvl w:val="3"/>
          <w:numId w:val="86"/>
        </w:numPr>
        <w:adjustRightInd w:val="0"/>
        <w:textAlignment w:val="baseline"/>
        <w:rPr>
          <w:noProof/>
        </w:rPr>
      </w:pPr>
      <w:r>
        <w:rPr>
          <w:noProof/>
        </w:rPr>
        <w:t>število poizvedb za namene členov 20, 21 in 22;</w:t>
      </w:r>
      <w:r>
        <w:rPr>
          <w:noProof/>
        </w:rPr>
        <w:tab/>
      </w:r>
    </w:p>
    <w:p>
      <w:pPr>
        <w:pStyle w:val="Point1letter"/>
        <w:widowControl w:val="0"/>
        <w:numPr>
          <w:ilvl w:val="3"/>
          <w:numId w:val="86"/>
        </w:numPr>
        <w:adjustRightInd w:val="0"/>
        <w:textAlignment w:val="baseline"/>
        <w:rPr>
          <w:noProof/>
        </w:rPr>
      </w:pPr>
      <w:r>
        <w:rPr>
          <w:noProof/>
        </w:rPr>
        <w:t xml:space="preserve">državljanstvo, spol in </w:t>
      </w:r>
      <w:bookmarkStart w:id="188" w:name="_DV_C1724"/>
      <w:r>
        <w:rPr>
          <w:noProof/>
        </w:rPr>
        <w:t>leto</w:t>
      </w:r>
      <w:bookmarkStart w:id="189" w:name="_DV_M1547"/>
      <w:bookmarkEnd w:id="188"/>
      <w:bookmarkEnd w:id="189"/>
      <w:r>
        <w:rPr>
          <w:noProof/>
        </w:rPr>
        <w:t xml:space="preserve"> rojstva osebe;</w:t>
      </w:r>
    </w:p>
    <w:p>
      <w:pPr>
        <w:pStyle w:val="Point1letter"/>
        <w:widowControl w:val="0"/>
        <w:numPr>
          <w:ilvl w:val="3"/>
          <w:numId w:val="86"/>
        </w:numPr>
        <w:adjustRightInd w:val="0"/>
        <w:textAlignment w:val="baseline"/>
        <w:rPr>
          <w:noProof/>
        </w:rPr>
      </w:pPr>
      <w:r>
        <w:rPr>
          <w:noProof/>
        </w:rPr>
        <w:t>vrsta potovalnega dokumenta in tričrkovna oznaka države izdajateljice;</w:t>
      </w:r>
    </w:p>
    <w:p>
      <w:pPr>
        <w:pStyle w:val="Point1letter"/>
        <w:widowControl w:val="0"/>
        <w:numPr>
          <w:ilvl w:val="3"/>
          <w:numId w:val="86"/>
        </w:numPr>
        <w:adjustRightInd w:val="0"/>
        <w:textAlignment w:val="baseline"/>
        <w:rPr>
          <w:noProof/>
        </w:rPr>
      </w:pPr>
      <w:r>
        <w:rPr>
          <w:noProof/>
        </w:rPr>
        <w:t>število iskanj, opravljenih z biometričnimi podatki in brez njih.</w:t>
      </w:r>
    </w:p>
    <w:p>
      <w:pPr>
        <w:pStyle w:val="ManualNumPar1"/>
        <w:rPr>
          <w:noProof/>
        </w:rPr>
      </w:pPr>
      <w:r>
        <w:t>3.</w:t>
      </w:r>
      <w:r>
        <w:tab/>
      </w:r>
      <w:r>
        <w:rPr>
          <w:noProof/>
        </w:rPr>
        <w:t>Brez omogočanja ugotavljanja istovetnosti posameznikov ima ustrezno pooblaščeno osebje pristojnih organov držav članic, Komisije in agencije eu-LISA, izključno za pripravo poročil in statistične namene, dostop do naslednjih podatkov, povezanih z detektorjem več identitet:</w:t>
      </w:r>
    </w:p>
    <w:p>
      <w:pPr>
        <w:pStyle w:val="Point1letter"/>
        <w:widowControl w:val="0"/>
        <w:numPr>
          <w:ilvl w:val="3"/>
          <w:numId w:val="49"/>
        </w:numPr>
        <w:adjustRightInd w:val="0"/>
        <w:textAlignment w:val="baseline"/>
        <w:rPr>
          <w:noProof/>
        </w:rPr>
      </w:pPr>
      <w:r>
        <w:rPr>
          <w:noProof/>
        </w:rPr>
        <w:tab/>
        <w:t>državljanstvo, spol in leto rojstva osebe;</w:t>
      </w:r>
    </w:p>
    <w:p>
      <w:pPr>
        <w:pStyle w:val="Point1letter"/>
        <w:widowControl w:val="0"/>
        <w:numPr>
          <w:ilvl w:val="3"/>
          <w:numId w:val="46"/>
        </w:numPr>
        <w:adjustRightInd w:val="0"/>
        <w:textAlignment w:val="baseline"/>
        <w:rPr>
          <w:noProof/>
        </w:rPr>
      </w:pPr>
      <w:r>
        <w:rPr>
          <w:noProof/>
        </w:rPr>
        <w:t>vrsta potovalnega dokumenta in tričrkovna oznaka države izdajateljice;</w:t>
      </w:r>
    </w:p>
    <w:p>
      <w:pPr>
        <w:pStyle w:val="Point1letter"/>
        <w:widowControl w:val="0"/>
        <w:numPr>
          <w:ilvl w:val="3"/>
          <w:numId w:val="46"/>
        </w:numPr>
        <w:adjustRightInd w:val="0"/>
        <w:textAlignment w:val="baseline"/>
        <w:rPr>
          <w:noProof/>
        </w:rPr>
      </w:pPr>
      <w:r>
        <w:rPr>
          <w:noProof/>
        </w:rPr>
        <w:t>število iskanj, opravljenih z biometričnimi podatki in brez njih;</w:t>
      </w:r>
    </w:p>
    <w:p>
      <w:pPr>
        <w:pStyle w:val="Point1letter"/>
        <w:widowControl w:val="0"/>
        <w:numPr>
          <w:ilvl w:val="3"/>
          <w:numId w:val="46"/>
        </w:numPr>
        <w:adjustRightInd w:val="0"/>
        <w:textAlignment w:val="baseline"/>
        <w:rPr>
          <w:noProof/>
        </w:rPr>
      </w:pPr>
      <w:r>
        <w:rPr>
          <w:noProof/>
        </w:rPr>
        <w:t>število posameznih vrst povezave.</w:t>
      </w:r>
    </w:p>
    <w:p>
      <w:pPr>
        <w:pStyle w:val="ManualNumPar1"/>
        <w:rPr>
          <w:noProof/>
        </w:rPr>
      </w:pPr>
      <w:r>
        <w:t>4.</w:t>
      </w:r>
      <w:r>
        <w:tab/>
      </w:r>
      <w:r>
        <w:rPr>
          <w:noProof/>
        </w:rPr>
        <w:t>Ustrezno pooblaščeno osebje Evropske agencije za mejno in obalno stražo, ustanovljene z Uredbo (EU) 2016/1624 Evropskega parlamenta in Sveta</w:t>
      </w:r>
      <w:r>
        <w:rPr>
          <w:rStyle w:val="FootnoteReference"/>
          <w:noProof/>
        </w:rPr>
        <w:footnoteReference w:id="76"/>
      </w:r>
      <w:r>
        <w:rPr>
          <w:noProof/>
        </w:rPr>
        <w:t>, ima pravico do vpogleda v podatke iz odstavkov 1, 2 in 3 za namene izvajanja analiz tveganj in ocen ranljivosti iz členov 11 in 13 navedene uredbe.</w:t>
      </w:r>
    </w:p>
    <w:p>
      <w:pPr>
        <w:pStyle w:val="ManualNumPar1"/>
        <w:rPr>
          <w:noProof/>
        </w:rPr>
      </w:pPr>
      <w:bookmarkStart w:id="190" w:name="_DV_M1559"/>
      <w:bookmarkEnd w:id="190"/>
      <w:r>
        <w:t>5.</w:t>
      </w:r>
      <w:r>
        <w:tab/>
      </w:r>
      <w:r>
        <w:rPr>
          <w:noProof/>
        </w:rPr>
        <w:t xml:space="preserve">Agencija eu-LISA za namen odstavka 1 tega člena hrani podatke iz odstavka 1 tega člena v centralnem registru za poročanje in statistične podatke iz poglavja VI te uredbe. Podatki, vključeni v register, ne omogočajo identifikacije posameznikov, omogočajo pa organom iz odstavka 1 tega člena, da pridobijo prilagodljiva poročila in statistične podatke </w:t>
      </w:r>
      <w:bookmarkStart w:id="191" w:name="_DV_M1562"/>
      <w:bookmarkEnd w:id="191"/>
      <w:r>
        <w:rPr>
          <w:noProof/>
        </w:rPr>
        <w:t>za izboljšanje učinkovitosti mejnih kontrol, pomoč konzulatom pri obdelavi vlog za izdajo vizuma ter podporo oblikovanju migracijske in varnostne politike Unije na podlagi dokazov.</w:t>
      </w:r>
    </w:p>
    <w:p>
      <w:pPr>
        <w:pStyle w:val="Titrearticle"/>
        <w:rPr>
          <w:noProof/>
        </w:rPr>
      </w:pPr>
      <w:r>
        <w:rPr>
          <w:noProof/>
        </w:rPr>
        <w:t>Člen 57</w:t>
      </w:r>
      <w:r>
        <w:rPr>
          <w:noProof/>
        </w:rPr>
        <w:br/>
        <w:t>Prehodno obdobje za uporabo evropskega iskalnega portala</w:t>
      </w:r>
    </w:p>
    <w:p>
      <w:pPr>
        <w:rPr>
          <w:noProof/>
        </w:rPr>
      </w:pPr>
      <w:r>
        <w:rPr>
          <w:noProof/>
        </w:rPr>
        <w:t>Obveznosti iz člena 7(2) in (4) se v obdobju dveh let po začetku delovanja ESP ne uporabljajo in uporaba ESP v tem obdobju ni obvezna.</w:t>
      </w:r>
    </w:p>
    <w:p>
      <w:pPr>
        <w:pStyle w:val="Titrearticle"/>
        <w:spacing w:after="0"/>
        <w:rPr>
          <w:noProof/>
        </w:rPr>
      </w:pPr>
      <w:r>
        <w:rPr>
          <w:noProof/>
        </w:rPr>
        <w:lastRenderedPageBreak/>
        <w:t>Člen 58</w:t>
      </w:r>
    </w:p>
    <w:p>
      <w:pPr>
        <w:pStyle w:val="Titrearticle"/>
        <w:spacing w:before="0"/>
        <w:rPr>
          <w:noProof/>
        </w:rPr>
      </w:pPr>
      <w:r>
        <w:rPr>
          <w:noProof/>
        </w:rPr>
        <w:t>Prehodno obdobje za določbe o dostopu do skupnega odložišča podatkov o identiteti za namene kazenskega pregona</w:t>
      </w:r>
    </w:p>
    <w:p>
      <w:pPr>
        <w:pStyle w:val="Text1"/>
        <w:ind w:left="0"/>
        <w:rPr>
          <w:noProof/>
        </w:rPr>
      </w:pPr>
      <w:r>
        <w:rPr>
          <w:noProof/>
        </w:rPr>
        <w:t>Člen 22, točke 13, 14, 15 in 16 člena 55b ter člen 55e se uporabljajo od datuma začetka delovanja iz člena 62(1).</w:t>
      </w:r>
    </w:p>
    <w:p>
      <w:pPr>
        <w:pStyle w:val="Titrearticle"/>
        <w:rPr>
          <w:noProof/>
        </w:rPr>
      </w:pPr>
      <w:r>
        <w:rPr>
          <w:noProof/>
        </w:rPr>
        <w:t>Člen 59</w:t>
      </w:r>
      <w:r>
        <w:rPr>
          <w:noProof/>
        </w:rPr>
        <w:br/>
        <w:t>Prehodno obdobje za odkrivanje več identitet</w:t>
      </w:r>
    </w:p>
    <w:p>
      <w:pPr>
        <w:pStyle w:val="ManualNumPar1"/>
        <w:rPr>
          <w:noProof/>
        </w:rPr>
      </w:pPr>
      <w:r>
        <w:t>1.</w:t>
      </w:r>
      <w:r>
        <w:tab/>
      </w:r>
      <w:r>
        <w:rPr>
          <w:noProof/>
        </w:rPr>
        <w:t>V obdobju enega leta po tem, ko agencija eu-LISA pošlje uradno obvestilo o zaključku preskusa iz člena 62(1)(b) v zvezi z detektorjem več identitet (MID), in pred začetkom delovanja MID je za odkrivanje več identitet med podatki, shranjenimi v VIS, sistemu Eurodac in SIS, odgovorna centralna enota ETIAS, kakor je navedena v [členu 33a Uredbe (EU) 2016/1624]. Odkrivanje več identitet se opravlja samo z uporabo biometričnih podatkov v skladu s členom 27(2) te uredbe.</w:t>
      </w:r>
    </w:p>
    <w:p>
      <w:pPr>
        <w:pStyle w:val="ManualNumPar1"/>
        <w:rPr>
          <w:noProof/>
        </w:rPr>
      </w:pPr>
      <w:r>
        <w:t>2.</w:t>
      </w:r>
      <w:r>
        <w:tab/>
      </w:r>
      <w:r>
        <w:rPr>
          <w:noProof/>
        </w:rPr>
        <w:t>Če poizvedba privede do enega ali več zadetkov in so podatki o identiteti iz povezanih dokumentacij enaki ali podobni, se vzpostavi bela povezava v skladu s členom 33.</w:t>
      </w:r>
    </w:p>
    <w:p>
      <w:pPr>
        <w:pStyle w:val="Text1"/>
        <w:rPr>
          <w:noProof/>
        </w:rPr>
      </w:pPr>
      <w:r>
        <w:rPr>
          <w:noProof/>
        </w:rPr>
        <w:t xml:space="preserve">Če poizvedba privede do enega ali več zadetkov in podatkov o identiteti iz povezanih dokumentacij ni mogoče šteti za podobne, se vzpostavi rumena povezava v skladu s členom 30 in se uporablja postopek iz člena 29. </w:t>
      </w:r>
    </w:p>
    <w:p>
      <w:pPr>
        <w:pStyle w:val="Text1"/>
        <w:rPr>
          <w:noProof/>
        </w:rPr>
      </w:pPr>
      <w:r>
        <w:rPr>
          <w:noProof/>
        </w:rPr>
        <w:t>V primeru več zadetkov se vzpostavi povezava na vsak podatek, ki je privedel do zadetka.</w:t>
      </w:r>
    </w:p>
    <w:p>
      <w:pPr>
        <w:pStyle w:val="ManualNumPar1"/>
        <w:rPr>
          <w:noProof/>
        </w:rPr>
      </w:pPr>
      <w:r>
        <w:t>3.</w:t>
      </w:r>
      <w:r>
        <w:tab/>
      </w:r>
      <w:r>
        <w:rPr>
          <w:noProof/>
        </w:rPr>
        <w:t>Kadar se vzpostavi rumena povezava, MID centralni enoti ETIAS dovoli dostop do podatkov o identiteti, ki se nahajajo v različnih informacijskih sistemih.</w:t>
      </w:r>
    </w:p>
    <w:p>
      <w:pPr>
        <w:pStyle w:val="ManualNumPar1"/>
        <w:rPr>
          <w:noProof/>
        </w:rPr>
      </w:pPr>
      <w:r>
        <w:t>4.</w:t>
      </w:r>
      <w:r>
        <w:tab/>
      </w:r>
      <w:r>
        <w:rPr>
          <w:noProof/>
        </w:rPr>
        <w:t>Kadar se vzpostavi povezava na razpis ukrepa v SIS, ki ni razpis ukrepa zaradi zavrnitve vstopa ali razpis ukrepa o potovalnem dokumentu, ki je prijavljen kot izgubljen, ukraden ali razveljavljen, in sicer v skladu s členom 24 uredbe o SIS na področju mejne kontrole oziroma s členom 38 uredbe o SIS na področju kazenskega pregona, MID uradu SIRENE države članice, ki je izdala razpis ukrepa, dovoli dostop do podatkov o identiteti, ki se nahajajo v različnih informacijskih sistemih.</w:t>
      </w:r>
    </w:p>
    <w:p>
      <w:pPr>
        <w:pStyle w:val="ManualNumPar1"/>
        <w:rPr>
          <w:noProof/>
        </w:rPr>
      </w:pPr>
      <w:r>
        <w:t>5.</w:t>
      </w:r>
      <w:r>
        <w:tab/>
      </w:r>
      <w:r>
        <w:rPr>
          <w:noProof/>
        </w:rPr>
        <w:t>Centralna enota ETIAS ali urad SIRENE države članice, ki je izdala razpis ukrepa, ima dostop do podatkov v dokumentaciji o potrditvi identitete in oceni različne identitete, posodobi povezavo v skladu s členi 31, 32 in 33 ter jo doda dokumentaciji o potrditvi identitete.</w:t>
      </w:r>
    </w:p>
    <w:p>
      <w:pPr>
        <w:pStyle w:val="ManualNumPar1"/>
        <w:rPr>
          <w:noProof/>
        </w:rPr>
      </w:pPr>
      <w:r>
        <w:t>6.</w:t>
      </w:r>
      <w:r>
        <w:tab/>
      </w:r>
      <w:r>
        <w:rPr>
          <w:noProof/>
        </w:rPr>
        <w:t>Centralni enoti ETIAS pri odkrivanju več identitet iz tega člena po potrebi pomaga agencija eu-LISA.</w:t>
      </w:r>
    </w:p>
    <w:p>
      <w:pPr>
        <w:pStyle w:val="Titrearticle"/>
        <w:rPr>
          <w:noProof/>
        </w:rPr>
      </w:pPr>
      <w:r>
        <w:rPr>
          <w:noProof/>
        </w:rPr>
        <w:t>Člen 60</w:t>
      </w:r>
      <w:r>
        <w:rPr>
          <w:noProof/>
        </w:rPr>
        <w:br/>
        <w:t>Stroški</w:t>
      </w:r>
    </w:p>
    <w:p>
      <w:pPr>
        <w:pStyle w:val="ManualNumPar1"/>
        <w:rPr>
          <w:noProof/>
        </w:rPr>
      </w:pPr>
      <w:r>
        <w:rPr>
          <w:noProof/>
        </w:rPr>
        <w:t>1.</w:t>
      </w:r>
      <w:r>
        <w:rPr>
          <w:noProof/>
        </w:rPr>
        <w:tab/>
        <w:t xml:space="preserve">Stroški, ki nastanejo v zvezi z uvedbo in delovanjem </w:t>
      </w:r>
      <w:bookmarkStart w:id="192" w:name="_DV_C1738"/>
      <w:r>
        <w:rPr>
          <w:noProof/>
        </w:rPr>
        <w:t xml:space="preserve">ESP, skupne storitve za ugotavljanje ujemanja biometričnih podatkov, skupnega odložišča podatkov o identiteti (CIR) in MID, </w:t>
      </w:r>
      <w:bookmarkStart w:id="193" w:name="_DV_M1575"/>
      <w:bookmarkEnd w:id="192"/>
      <w:bookmarkEnd w:id="193"/>
      <w:r>
        <w:rPr>
          <w:noProof/>
        </w:rPr>
        <w:t>se krijejo iz splošnega proračuna Unije.</w:t>
      </w:r>
    </w:p>
    <w:p>
      <w:pPr>
        <w:pStyle w:val="ManualNumPar1"/>
        <w:rPr>
          <w:noProof/>
        </w:rPr>
      </w:pPr>
      <w:bookmarkStart w:id="194" w:name="_DV_M1576"/>
      <w:bookmarkEnd w:id="194"/>
      <w:r>
        <w:rPr>
          <w:noProof/>
        </w:rPr>
        <w:t>2.</w:t>
      </w:r>
      <w:r>
        <w:rPr>
          <w:noProof/>
        </w:rPr>
        <w:tab/>
        <w:t>Stroški, ki nastanejo v zvezi s povezovanjem obstoječih nacionalnih infrastruktur in njihovo povezavo z nacionalnimi enotnimi vmesniki ter v zvezi z gostitvijo nacionalnih enotnih vmesnikov, se krijejo iz splošnega proračuna Unije.</w:t>
      </w:r>
    </w:p>
    <w:p>
      <w:pPr>
        <w:pStyle w:val="Text1"/>
        <w:rPr>
          <w:noProof/>
        </w:rPr>
      </w:pPr>
      <w:bookmarkStart w:id="195" w:name="_DV_M1577"/>
      <w:bookmarkEnd w:id="195"/>
      <w:r>
        <w:rPr>
          <w:noProof/>
        </w:rPr>
        <w:lastRenderedPageBreak/>
        <w:t>Izključeni so naslednji stroški:</w:t>
      </w:r>
    </w:p>
    <w:p>
      <w:pPr>
        <w:pStyle w:val="Point1letter"/>
        <w:widowControl w:val="0"/>
        <w:numPr>
          <w:ilvl w:val="3"/>
          <w:numId w:val="88"/>
        </w:numPr>
        <w:adjustRightInd w:val="0"/>
        <w:textAlignment w:val="baseline"/>
        <w:rPr>
          <w:noProof/>
        </w:rPr>
      </w:pPr>
      <w:bookmarkStart w:id="196" w:name="_DV_M1578"/>
      <w:bookmarkEnd w:id="196"/>
      <w:r>
        <w:rPr>
          <w:noProof/>
        </w:rPr>
        <w:t>pisarna države članice za projektno vodenje (srečanja, misije, uradi);</w:t>
      </w:r>
    </w:p>
    <w:p>
      <w:pPr>
        <w:pStyle w:val="Point1letter"/>
        <w:widowControl w:val="0"/>
        <w:numPr>
          <w:ilvl w:val="3"/>
          <w:numId w:val="88"/>
        </w:numPr>
        <w:adjustRightInd w:val="0"/>
        <w:textAlignment w:val="baseline"/>
        <w:rPr>
          <w:noProof/>
        </w:rPr>
      </w:pPr>
      <w:bookmarkStart w:id="197" w:name="_DV_M1579"/>
      <w:bookmarkEnd w:id="197"/>
      <w:r>
        <w:rPr>
          <w:noProof/>
        </w:rPr>
        <w:t>gostitev nacionalnih</w:t>
      </w:r>
      <w:bookmarkStart w:id="198" w:name="_DV_C1739"/>
      <w:r>
        <w:rPr>
          <w:noProof/>
        </w:rPr>
        <w:t xml:space="preserve"> sistemov IT</w:t>
      </w:r>
      <w:bookmarkStart w:id="199" w:name="_DV_M1580"/>
      <w:bookmarkEnd w:id="198"/>
      <w:bookmarkEnd w:id="199"/>
      <w:r>
        <w:rPr>
          <w:noProof/>
        </w:rPr>
        <w:t xml:space="preserve"> (prostor, izvajanje, električna energija, hlajenje);</w:t>
      </w:r>
    </w:p>
    <w:p>
      <w:pPr>
        <w:pStyle w:val="Point1letter"/>
        <w:widowControl w:val="0"/>
        <w:numPr>
          <w:ilvl w:val="3"/>
          <w:numId w:val="88"/>
        </w:numPr>
        <w:adjustRightInd w:val="0"/>
        <w:textAlignment w:val="baseline"/>
        <w:rPr>
          <w:noProof/>
        </w:rPr>
      </w:pPr>
      <w:bookmarkStart w:id="200" w:name="_DV_M1581"/>
      <w:bookmarkEnd w:id="200"/>
      <w:r>
        <w:rPr>
          <w:noProof/>
        </w:rPr>
        <w:t xml:space="preserve">delovanje nacionalnih </w:t>
      </w:r>
      <w:bookmarkStart w:id="201" w:name="_DV_C1740"/>
      <w:r>
        <w:rPr>
          <w:noProof/>
        </w:rPr>
        <w:t xml:space="preserve">sistemov IT </w:t>
      </w:r>
      <w:bookmarkStart w:id="202" w:name="_DV_M1582"/>
      <w:bookmarkEnd w:id="201"/>
      <w:bookmarkEnd w:id="202"/>
      <w:r>
        <w:rPr>
          <w:noProof/>
        </w:rPr>
        <w:t>(operaterji in pogodbe za izvajanje podpornih storitev);</w:t>
      </w:r>
    </w:p>
    <w:p>
      <w:pPr>
        <w:pStyle w:val="Point1letter"/>
        <w:widowControl w:val="0"/>
        <w:numPr>
          <w:ilvl w:val="3"/>
          <w:numId w:val="88"/>
        </w:numPr>
        <w:adjustRightInd w:val="0"/>
        <w:textAlignment w:val="baseline"/>
        <w:rPr>
          <w:noProof/>
        </w:rPr>
      </w:pPr>
      <w:bookmarkStart w:id="203" w:name="_DV_M1583"/>
      <w:bookmarkStart w:id="204" w:name="_DV_M1585"/>
      <w:bookmarkStart w:id="205" w:name="_DV_M1586"/>
      <w:bookmarkEnd w:id="203"/>
      <w:bookmarkEnd w:id="204"/>
      <w:bookmarkEnd w:id="205"/>
      <w:r>
        <w:rPr>
          <w:noProof/>
        </w:rPr>
        <w:t>zasnova, razvoj, izvajanje, delovanje in vzdrževanje nacionalnih komunikacijskih omrežij.</w:t>
      </w:r>
    </w:p>
    <w:p>
      <w:pPr>
        <w:pStyle w:val="ManualNumPar1"/>
        <w:rPr>
          <w:noProof/>
        </w:rPr>
      </w:pPr>
      <w:bookmarkStart w:id="206" w:name="_DV_M1587"/>
      <w:bookmarkEnd w:id="206"/>
      <w:r>
        <w:rPr>
          <w:noProof/>
        </w:rPr>
        <w:t>3.</w:t>
      </w:r>
      <w:r>
        <w:rPr>
          <w:noProof/>
        </w:rPr>
        <w:tab/>
        <w:t xml:space="preserve">Stroške imenovanih organov </w:t>
      </w:r>
      <w:bookmarkStart w:id="207" w:name="_DV_C1744"/>
      <w:r>
        <w:rPr>
          <w:noProof/>
        </w:rPr>
        <w:t>iz člena 4(24) krije vsaka država članica oziroma Europol. Stroške</w:t>
      </w:r>
      <w:bookmarkEnd w:id="207"/>
      <w:r>
        <w:rPr>
          <w:noProof/>
        </w:rPr>
        <w:t xml:space="preserve"> </w:t>
      </w:r>
      <w:bookmarkStart w:id="208" w:name="_DV_C1746"/>
      <w:bookmarkStart w:id="209" w:name="_DV_M1589"/>
      <w:bookmarkEnd w:id="208"/>
      <w:bookmarkEnd w:id="209"/>
      <w:r>
        <w:rPr>
          <w:noProof/>
        </w:rPr>
        <w:t xml:space="preserve">povezave </w:t>
      </w:r>
      <w:bookmarkStart w:id="210" w:name="_DV_C1747"/>
      <w:r>
        <w:rPr>
          <w:noProof/>
        </w:rPr>
        <w:t xml:space="preserve">imenovanih organov </w:t>
      </w:r>
      <w:bookmarkStart w:id="211" w:name="_DV_M1590"/>
      <w:bookmarkEnd w:id="210"/>
      <w:bookmarkEnd w:id="211"/>
      <w:r>
        <w:rPr>
          <w:noProof/>
        </w:rPr>
        <w:t xml:space="preserve">s </w:t>
      </w:r>
      <w:bookmarkStart w:id="212" w:name="_DV_C1748"/>
      <w:r>
        <w:rPr>
          <w:noProof/>
        </w:rPr>
        <w:t xml:space="preserve">CIR </w:t>
      </w:r>
      <w:bookmarkStart w:id="213" w:name="_DV_M1591"/>
      <w:bookmarkEnd w:id="212"/>
      <w:bookmarkEnd w:id="213"/>
      <w:r>
        <w:rPr>
          <w:noProof/>
        </w:rPr>
        <w:t>krije vsaka država članica</w:t>
      </w:r>
      <w:bookmarkStart w:id="214" w:name="_DV_C1749"/>
      <w:r>
        <w:rPr>
          <w:noProof/>
        </w:rPr>
        <w:t xml:space="preserve"> oziroma Europol</w:t>
      </w:r>
      <w:bookmarkStart w:id="215" w:name="_DV_M1592"/>
      <w:bookmarkEnd w:id="214"/>
      <w:bookmarkEnd w:id="215"/>
      <w:r>
        <w:rPr>
          <w:noProof/>
        </w:rPr>
        <w:t>.</w:t>
      </w:r>
    </w:p>
    <w:p>
      <w:pPr>
        <w:pStyle w:val="Titrearticle"/>
        <w:rPr>
          <w:noProof/>
        </w:rPr>
      </w:pPr>
      <w:bookmarkStart w:id="216" w:name="_DV_M1593"/>
      <w:bookmarkEnd w:id="216"/>
      <w:r>
        <w:rPr>
          <w:noProof/>
        </w:rPr>
        <w:t>Člen 61</w:t>
      </w:r>
      <w:r>
        <w:rPr>
          <w:noProof/>
        </w:rPr>
        <w:br/>
        <w:t>Uradna obvestila</w:t>
      </w:r>
    </w:p>
    <w:p>
      <w:pPr>
        <w:pStyle w:val="ManualNumPar1"/>
        <w:rPr>
          <w:noProof/>
        </w:rPr>
      </w:pPr>
      <w:r>
        <w:t>1.</w:t>
      </w:r>
      <w:r>
        <w:tab/>
      </w:r>
      <w:r>
        <w:rPr>
          <w:noProof/>
        </w:rPr>
        <w:t>Države članice agencijo eu-LISA uradno obvestijo o organih iz členov 7, 20, 21 in 26, ki lahko uporabljajo ESP, CIR oziroma MID ali imajo do njih dostop.</w:t>
      </w:r>
    </w:p>
    <w:p>
      <w:pPr>
        <w:pStyle w:val="Text1"/>
        <w:rPr>
          <w:noProof/>
        </w:rPr>
      </w:pPr>
      <w:r>
        <w:rPr>
          <w:noProof/>
        </w:rPr>
        <w:t xml:space="preserve">V treh mesecih po začetku delovanja vsakega posameznega sestavnega dela interoperabilnosti v skladu s členom 62 se v </w:t>
      </w:r>
      <w:r>
        <w:rPr>
          <w:i/>
          <w:noProof/>
        </w:rPr>
        <w:t>Uradnem listu Evropske unije</w:t>
      </w:r>
      <w:r>
        <w:rPr>
          <w:noProof/>
        </w:rPr>
        <w:t xml:space="preserve"> objavi zbirni seznam navedenih organov. V primeru sprememb tega seznama agencija eu-LISA enkrat letno objavi posodobljen zbirni seznam.</w:t>
      </w:r>
    </w:p>
    <w:p>
      <w:pPr>
        <w:pStyle w:val="ManualNumPar1"/>
        <w:rPr>
          <w:noProof/>
        </w:rPr>
      </w:pPr>
      <w:r>
        <w:t>2.</w:t>
      </w:r>
      <w:r>
        <w:tab/>
      </w:r>
      <w:r>
        <w:rPr>
          <w:noProof/>
        </w:rPr>
        <w:t>Agencija eu-LISA Komisijo uradno obvesti o uspešnem dokončanju preskusa iz člena 62(1)(b).</w:t>
      </w:r>
    </w:p>
    <w:p>
      <w:pPr>
        <w:pStyle w:val="ManualNumPar1"/>
        <w:rPr>
          <w:noProof/>
        </w:rPr>
      </w:pPr>
      <w:r>
        <w:t>3.</w:t>
      </w:r>
      <w:r>
        <w:tab/>
      </w:r>
      <w:r>
        <w:rPr>
          <w:noProof/>
        </w:rPr>
        <w:t>Centralna enota ETIAS Komisijo uradno obvesti o uspešnem dokončanju prehodnega ukrepa iz člena 59.</w:t>
      </w:r>
    </w:p>
    <w:p>
      <w:pPr>
        <w:pStyle w:val="ManualNumPar1"/>
        <w:rPr>
          <w:noProof/>
        </w:rPr>
      </w:pPr>
      <w:r>
        <w:t>4.</w:t>
      </w:r>
      <w:r>
        <w:tab/>
      </w:r>
      <w:r>
        <w:rPr>
          <w:noProof/>
        </w:rPr>
        <w:t>Komisija da informacije, o katerih je uradno obveščena v skladu z odstavkom 1, državam članicam in javnosti na voljo prek javnega spletnega mesta, ki se stalno posodablja.</w:t>
      </w:r>
    </w:p>
    <w:p>
      <w:pPr>
        <w:pStyle w:val="Titrearticle"/>
        <w:rPr>
          <w:bCs/>
          <w:noProof/>
        </w:rPr>
      </w:pPr>
      <w:r>
        <w:rPr>
          <w:noProof/>
        </w:rPr>
        <w:t>Člen 62</w:t>
      </w:r>
      <w:r>
        <w:rPr>
          <w:noProof/>
        </w:rPr>
        <w:br/>
        <w:t>Začetek delovanja</w:t>
      </w:r>
    </w:p>
    <w:p>
      <w:pPr>
        <w:pStyle w:val="ManualNumPar1"/>
        <w:rPr>
          <w:noProof/>
        </w:rPr>
      </w:pPr>
      <w:r>
        <w:t>1.</w:t>
      </w:r>
      <w:r>
        <w:tab/>
      </w:r>
      <w:r>
        <w:rPr>
          <w:noProof/>
        </w:rPr>
        <w:t>Komisija določi datum začetka delovanja vsakega posameznega sestavnega dela interoperabilnosti, ko so izpolnjeni naslednji pogoji:</w:t>
      </w:r>
    </w:p>
    <w:p>
      <w:pPr>
        <w:pStyle w:val="Point1letter"/>
        <w:widowControl w:val="0"/>
        <w:numPr>
          <w:ilvl w:val="3"/>
          <w:numId w:val="89"/>
        </w:numPr>
        <w:adjustRightInd w:val="0"/>
        <w:textAlignment w:val="baseline"/>
        <w:rPr>
          <w:noProof/>
        </w:rPr>
      </w:pPr>
      <w:bookmarkStart w:id="217" w:name="_DV_M1614"/>
      <w:bookmarkEnd w:id="217"/>
      <w:r>
        <w:rPr>
          <w:noProof/>
        </w:rPr>
        <w:t>sprejeti so ukrepi iz členov 8(2), 9(7), 28(5) in (6), 37(4), 38(4), 39(5) ter 44(5);</w:t>
      </w:r>
    </w:p>
    <w:p>
      <w:pPr>
        <w:pStyle w:val="Point1letter"/>
        <w:widowControl w:val="0"/>
        <w:numPr>
          <w:ilvl w:val="3"/>
          <w:numId w:val="89"/>
        </w:numPr>
        <w:adjustRightInd w:val="0"/>
        <w:textAlignment w:val="baseline"/>
        <w:rPr>
          <w:noProof/>
        </w:rPr>
      </w:pPr>
      <w:bookmarkStart w:id="218" w:name="_DV_M1615"/>
      <w:bookmarkEnd w:id="218"/>
      <w:r>
        <w:rPr>
          <w:noProof/>
        </w:rPr>
        <w:t>agencija eu-LISA objavi uspešno dokončanje celovitega preskusa zadevnega sestavnega dela interoperabilnosti, ki ga eu-LISA izvede skupaj z državami članicami;</w:t>
      </w:r>
    </w:p>
    <w:p>
      <w:pPr>
        <w:pStyle w:val="Point1letter"/>
        <w:widowControl w:val="0"/>
        <w:numPr>
          <w:ilvl w:val="3"/>
          <w:numId w:val="89"/>
        </w:numPr>
        <w:adjustRightInd w:val="0"/>
        <w:textAlignment w:val="baseline"/>
        <w:rPr>
          <w:noProof/>
        </w:rPr>
      </w:pPr>
      <w:bookmarkStart w:id="219" w:name="_DV_M1616"/>
      <w:bookmarkEnd w:id="219"/>
      <w:r>
        <w:rPr>
          <w:noProof/>
        </w:rPr>
        <w:t>agencija eu-LISA potrdi tehnične in pravne ukrepe za zbiranje in prenos podatkov iz členov 8(1), 13, 19, 34 in 39 ter o njih uradno obvesti Komisijo;</w:t>
      </w:r>
    </w:p>
    <w:p>
      <w:pPr>
        <w:pStyle w:val="Point1letter"/>
        <w:widowControl w:val="0"/>
        <w:numPr>
          <w:ilvl w:val="3"/>
          <w:numId w:val="89"/>
        </w:numPr>
        <w:adjustRightInd w:val="0"/>
        <w:textAlignment w:val="baseline"/>
        <w:rPr>
          <w:noProof/>
        </w:rPr>
      </w:pPr>
      <w:bookmarkStart w:id="220" w:name="_DV_M1617"/>
      <w:bookmarkEnd w:id="220"/>
      <w:r>
        <w:rPr>
          <w:noProof/>
        </w:rPr>
        <w:t>države članice uradno obvestijo Komisijo, kot je navedeno v členu 61(1);</w:t>
      </w:r>
    </w:p>
    <w:p>
      <w:pPr>
        <w:pStyle w:val="Point1letter"/>
        <w:widowControl w:val="0"/>
        <w:numPr>
          <w:ilvl w:val="3"/>
          <w:numId w:val="89"/>
        </w:numPr>
        <w:adjustRightInd w:val="0"/>
        <w:textAlignment w:val="baseline"/>
        <w:rPr>
          <w:noProof/>
        </w:rPr>
      </w:pPr>
      <w:r>
        <w:rPr>
          <w:noProof/>
        </w:rPr>
        <w:t>v zvezi z detektorjem več identitet centralna enota ETIAS Komisijo uradno obvesti, kot je določeno v členu 61(3).</w:t>
      </w:r>
    </w:p>
    <w:p>
      <w:pPr>
        <w:pStyle w:val="ManualNumPar1"/>
        <w:rPr>
          <w:noProof/>
        </w:rPr>
      </w:pPr>
      <w:r>
        <w:lastRenderedPageBreak/>
        <w:t>2.</w:t>
      </w:r>
      <w:r>
        <w:tab/>
      </w:r>
      <w:r>
        <w:rPr>
          <w:noProof/>
        </w:rPr>
        <w:t>Komisija obvesti Evropski parlament in Svet o rezultatih preskusa, opravljenega v skladu s točko b odstavka 1.</w:t>
      </w:r>
    </w:p>
    <w:p>
      <w:pPr>
        <w:pStyle w:val="ManualNumPar1"/>
        <w:rPr>
          <w:noProof/>
        </w:rPr>
      </w:pPr>
      <w:bookmarkStart w:id="221" w:name="_DV_M1619"/>
      <w:bookmarkEnd w:id="221"/>
      <w:r>
        <w:t>3.</w:t>
      </w:r>
      <w:r>
        <w:tab/>
      </w:r>
      <w:r>
        <w:rPr>
          <w:noProof/>
        </w:rPr>
        <w:t>Sklep Komisije iz odstavka 1</w:t>
      </w:r>
      <w:bookmarkStart w:id="222" w:name="_DV_C1768"/>
      <w:r>
        <w:rPr>
          <w:noProof/>
        </w:rPr>
        <w:t xml:space="preserve"> </w:t>
      </w:r>
      <w:bookmarkEnd w:id="222"/>
      <w:r>
        <w:rPr>
          <w:noProof/>
        </w:rPr>
        <w:t xml:space="preserve">se objavi v </w:t>
      </w:r>
      <w:r>
        <w:rPr>
          <w:i/>
          <w:noProof/>
        </w:rPr>
        <w:t>Uradnem listu Evropske unije</w:t>
      </w:r>
      <w:r>
        <w:rPr>
          <w:noProof/>
        </w:rPr>
        <w:t>.</w:t>
      </w:r>
    </w:p>
    <w:p>
      <w:pPr>
        <w:pStyle w:val="ManualNumPar1"/>
        <w:rPr>
          <w:noProof/>
        </w:rPr>
      </w:pPr>
      <w:bookmarkStart w:id="223" w:name="_DV_M1621"/>
      <w:bookmarkEnd w:id="223"/>
      <w:r>
        <w:t>4.</w:t>
      </w:r>
      <w:r>
        <w:tab/>
      </w:r>
      <w:r>
        <w:rPr>
          <w:noProof/>
        </w:rPr>
        <w:t>Države članice in Europol začnejo uporabljati sestavne dele interoperabilnosti od datuma, ki ga Komisija določi v skladu z odstavkom 1.</w:t>
      </w:r>
    </w:p>
    <w:p>
      <w:pPr>
        <w:pStyle w:val="Titrearticle"/>
        <w:spacing w:after="0"/>
        <w:rPr>
          <w:bCs/>
          <w:noProof/>
        </w:rPr>
      </w:pPr>
      <w:r>
        <w:rPr>
          <w:noProof/>
        </w:rPr>
        <w:t>Člen 63</w:t>
      </w:r>
      <w:r>
        <w:rPr>
          <w:noProof/>
        </w:rPr>
        <w:br/>
        <w:t>Izvajanje prenosa pooblastila</w:t>
      </w:r>
    </w:p>
    <w:p>
      <w:pPr>
        <w:pStyle w:val="ManualNumPar1"/>
        <w:rPr>
          <w:noProof/>
        </w:rPr>
      </w:pPr>
      <w:r>
        <w:t>1.</w:t>
      </w:r>
      <w:r>
        <w:tab/>
      </w:r>
      <w:r>
        <w:rPr>
          <w:noProof/>
        </w:rPr>
        <w:t>Pooblastilo za sprejemanje delegiranih aktov je preneseno na Komisijo pod pogoji, določenimi v tem členu.</w:t>
      </w:r>
    </w:p>
    <w:p>
      <w:pPr>
        <w:pStyle w:val="ManualNumPar1"/>
        <w:rPr>
          <w:noProof/>
        </w:rPr>
      </w:pPr>
      <w:r>
        <w:t>2.</w:t>
      </w:r>
      <w:r>
        <w:tab/>
      </w:r>
      <w:r>
        <w:rPr>
          <w:noProof/>
        </w:rPr>
        <w:t xml:space="preserve">Pooblastilo za sprejemanje delegiranih aktov iz </w:t>
      </w:r>
      <w:r>
        <w:rPr>
          <w:noProof/>
          <w:color w:val="000000"/>
        </w:rPr>
        <w:t xml:space="preserve">členov </w:t>
      </w:r>
      <w:r>
        <w:rPr>
          <w:noProof/>
        </w:rPr>
        <w:t>8(2) in 9(7) se prenese</w:t>
      </w:r>
      <w:r>
        <w:rPr>
          <w:b/>
          <w:noProof/>
        </w:rPr>
        <w:t xml:space="preserve"> </w:t>
      </w:r>
      <w:r>
        <w:rPr>
          <w:noProof/>
        </w:rPr>
        <w:t>na Komisijo za nedoločen čas od [</w:t>
      </w:r>
      <w:r>
        <w:rPr>
          <w:i/>
          <w:noProof/>
        </w:rPr>
        <w:t>dneva začetka veljavnosti te uredbe</w:t>
      </w:r>
      <w:r>
        <w:rPr>
          <w:noProof/>
        </w:rPr>
        <w:t>].</w:t>
      </w:r>
    </w:p>
    <w:p>
      <w:pPr>
        <w:pStyle w:val="ManualNumPar1"/>
        <w:rPr>
          <w:noProof/>
        </w:rPr>
      </w:pPr>
      <w:r>
        <w:t>3.</w:t>
      </w:r>
      <w:r>
        <w:tab/>
      </w:r>
      <w:r>
        <w:rPr>
          <w:noProof/>
        </w:rPr>
        <w:t xml:space="preserve">Prenos pooblastila iz </w:t>
      </w:r>
      <w:r>
        <w:rPr>
          <w:noProof/>
          <w:color w:val="000000"/>
        </w:rPr>
        <w:t xml:space="preserve">členov </w:t>
      </w:r>
      <w:r>
        <w:rPr>
          <w:noProof/>
        </w:rPr>
        <w:t xml:space="preserve">8(2) in 9(7) lahko kadar koli prekliče Evropski parlament ali Svet. S sklepom o preklicu preneha veljati prenos pooblastila iz navedenega sklepa. Sklep začne učinkovati dan po njegovi objavi v </w:t>
      </w:r>
      <w:r>
        <w:rPr>
          <w:i/>
          <w:noProof/>
        </w:rPr>
        <w:t>Uradnem listu</w:t>
      </w:r>
      <w:r>
        <w:rPr>
          <w:noProof/>
        </w:rPr>
        <w:t xml:space="preserve"> </w:t>
      </w:r>
      <w:r>
        <w:rPr>
          <w:i/>
          <w:noProof/>
        </w:rPr>
        <w:t>Evropske unije</w:t>
      </w:r>
      <w:r>
        <w:rPr>
          <w:noProof/>
        </w:rPr>
        <w:t xml:space="preserve"> ali na poznejši dan, ki je določen v navedenem sklepu. Sklep ne vpliva na veljavnost že veljavnih delegiranih aktov.</w:t>
      </w:r>
    </w:p>
    <w:p>
      <w:pPr>
        <w:pStyle w:val="ManualNumPar1"/>
        <w:rPr>
          <w:noProof/>
        </w:rPr>
      </w:pPr>
      <w:r>
        <w:t>4.</w:t>
      </w:r>
      <w:r>
        <w:tab/>
      </w:r>
      <w:r>
        <w:rPr>
          <w:noProof/>
        </w:rPr>
        <w:t>Komisija se pred sprejetjem delegiranega akta posvetuje s strokovnjaki, ki jih imenujejo države članice, v skladu z načeli, določenimi v Medinstitucionalnem sporazumu o boljši pripravi zakonodaje z dne 13. aprila 2016.</w:t>
      </w:r>
    </w:p>
    <w:p>
      <w:pPr>
        <w:pStyle w:val="ManualNumPar1"/>
        <w:rPr>
          <w:noProof/>
        </w:rPr>
      </w:pPr>
      <w:r>
        <w:t>5.</w:t>
      </w:r>
      <w:r>
        <w:tab/>
      </w:r>
      <w:r>
        <w:rPr>
          <w:noProof/>
        </w:rPr>
        <w:t>Komisija takoj po sprejetju delegiranega akta o njem sočasno uradno obvesti Evropski parlament in Svet.</w:t>
      </w:r>
    </w:p>
    <w:p>
      <w:pPr>
        <w:pStyle w:val="ManualNumPar1"/>
        <w:rPr>
          <w:noProof/>
        </w:rPr>
      </w:pPr>
      <w:r>
        <w:t>6.</w:t>
      </w:r>
      <w:r>
        <w:tab/>
      </w:r>
      <w:r>
        <w:rPr>
          <w:noProof/>
        </w:rPr>
        <w:t xml:space="preserve">Delegirani akt, sprejet na podlagi </w:t>
      </w:r>
      <w:r>
        <w:rPr>
          <w:noProof/>
          <w:color w:val="000000"/>
        </w:rPr>
        <w:t>členov </w:t>
      </w:r>
      <w:r>
        <w:rPr>
          <w:noProof/>
        </w:rPr>
        <w:t>8(2) in 9(7), začne veljati le, če mu niti Evropski parlament niti Svet ne nasprotuje v [dveh mesecih] od uradnega obvestila Evropskemu parlamentu in Svetu</w:t>
      </w:r>
      <w:r>
        <w:rPr>
          <w:b/>
          <w:noProof/>
        </w:rPr>
        <w:t xml:space="preserve"> </w:t>
      </w:r>
      <w:r>
        <w:rPr>
          <w:noProof/>
        </w:rPr>
        <w:t>o tem aktu ali če pred iztekom tega roka tako Evropski parlament kot Svet obvestita Komisijo, da mu ne bosta nasprotovala.</w:t>
      </w:r>
      <w:r>
        <w:rPr>
          <w:i/>
          <w:noProof/>
        </w:rPr>
        <w:t xml:space="preserve"> </w:t>
      </w:r>
      <w:r>
        <w:rPr>
          <w:noProof/>
        </w:rPr>
        <w:t>Ta rok se na pobudo Evropskega parlamenta ali Sveta podaljša za [dva meseca].</w:t>
      </w:r>
    </w:p>
    <w:p>
      <w:pPr>
        <w:pStyle w:val="Titrearticle"/>
        <w:rPr>
          <w:noProof/>
        </w:rPr>
      </w:pPr>
      <w:r>
        <w:rPr>
          <w:noProof/>
        </w:rPr>
        <w:t>Člen 64</w:t>
      </w:r>
      <w:r>
        <w:rPr>
          <w:noProof/>
        </w:rPr>
        <w:br/>
        <w:t>Postopek v odboru</w:t>
      </w:r>
    </w:p>
    <w:p>
      <w:pPr>
        <w:pStyle w:val="ManualNumPar1"/>
        <w:rPr>
          <w:noProof/>
        </w:rPr>
      </w:pPr>
      <w:r>
        <w:t>1.</w:t>
      </w:r>
      <w:r>
        <w:tab/>
      </w:r>
      <w:r>
        <w:rPr>
          <w:noProof/>
        </w:rPr>
        <w:t>Komisiji pomaga odbor. Navedeni odbor je odbor v smislu Uredbe (EU) št. 182/2011.</w:t>
      </w:r>
    </w:p>
    <w:p>
      <w:pPr>
        <w:pStyle w:val="ManualNumPar1"/>
        <w:rPr>
          <w:noProof/>
        </w:rPr>
      </w:pPr>
      <w:r>
        <w:t>2.</w:t>
      </w:r>
      <w:r>
        <w:tab/>
      </w:r>
      <w:r>
        <w:rPr>
          <w:noProof/>
        </w:rPr>
        <w:t>Pri sklicevanju na ta odstavek se uporablja člen 5 Uredbe (EU) št. 182/2011.</w:t>
      </w:r>
    </w:p>
    <w:p>
      <w:pPr>
        <w:pStyle w:val="Titrearticle"/>
        <w:rPr>
          <w:noProof/>
        </w:rPr>
      </w:pPr>
      <w:r>
        <w:rPr>
          <w:noProof/>
        </w:rPr>
        <w:t>Člen 65</w:t>
      </w:r>
      <w:r>
        <w:rPr>
          <w:noProof/>
        </w:rPr>
        <w:br/>
        <w:t>Svetovalna skupina</w:t>
      </w:r>
    </w:p>
    <w:p>
      <w:pPr>
        <w:pStyle w:val="Applicationdirecte"/>
        <w:rPr>
          <w:noProof/>
        </w:rPr>
      </w:pPr>
      <w:r>
        <w:rPr>
          <w:noProof/>
        </w:rPr>
        <w:t xml:space="preserve">Agencija eu-LISA ustanovi svetovalno skupino, da ji zagotavlja strokovno znanje in izkušnje v zvezi z interoperabilnostjo, zlasti v okviru priprave njenega letnega delovnega programa in letnega poročila o dejavnostih. </w:t>
      </w:r>
      <w:bookmarkStart w:id="224" w:name="_DV_C1776"/>
      <w:r>
        <w:rPr>
          <w:noProof/>
        </w:rPr>
        <w:t>V fazi zasnove in razvoja instrumentov interoperabilnosti se uporablja člen 52(4) do (6).</w:t>
      </w:r>
      <w:bookmarkEnd w:id="224"/>
    </w:p>
    <w:p>
      <w:pPr>
        <w:pStyle w:val="Titrearticle"/>
        <w:rPr>
          <w:noProof/>
        </w:rPr>
      </w:pPr>
      <w:r>
        <w:rPr>
          <w:noProof/>
        </w:rPr>
        <w:lastRenderedPageBreak/>
        <w:t xml:space="preserve">Člen </w:t>
      </w:r>
      <w:bookmarkStart w:id="225" w:name="_DV_M1629"/>
      <w:bookmarkEnd w:id="225"/>
      <w:r>
        <w:rPr>
          <w:noProof/>
        </w:rPr>
        <w:t>66</w:t>
      </w:r>
      <w:r>
        <w:rPr>
          <w:noProof/>
        </w:rPr>
        <w:br/>
        <w:t>Usposabljanje</w:t>
      </w:r>
    </w:p>
    <w:p>
      <w:pPr>
        <w:rPr>
          <w:noProof/>
        </w:rPr>
      </w:pPr>
      <w:bookmarkStart w:id="226" w:name="_DV_M1630"/>
      <w:bookmarkEnd w:id="226"/>
      <w:r>
        <w:rPr>
          <w:noProof/>
        </w:rPr>
        <w:t xml:space="preserve">Agencija eu-LISA izvaja naloge, povezane z zagotavljanjem usposabljanja o tehnični uporabi </w:t>
      </w:r>
      <w:bookmarkStart w:id="227" w:name="_DV_C1778"/>
      <w:r>
        <w:rPr>
          <w:noProof/>
        </w:rPr>
        <w:t>sestavnih delov interoperabilnosti, v skladu z Uredbo (EU) št. 1077/2011.</w:t>
      </w:r>
      <w:bookmarkEnd w:id="227"/>
    </w:p>
    <w:p>
      <w:pPr>
        <w:pStyle w:val="Titrearticle"/>
        <w:rPr>
          <w:noProof/>
        </w:rPr>
      </w:pPr>
      <w:bookmarkStart w:id="228" w:name="_DV_C1779"/>
      <w:r>
        <w:rPr>
          <w:noProof/>
        </w:rPr>
        <w:t>Člen</w:t>
      </w:r>
      <w:bookmarkEnd w:id="228"/>
      <w:r>
        <w:rPr>
          <w:noProof/>
        </w:rPr>
        <w:t> </w:t>
      </w:r>
      <w:bookmarkStart w:id="229" w:name="_DV_C1780"/>
      <w:r>
        <w:rPr>
          <w:noProof/>
        </w:rPr>
        <w:t>67</w:t>
      </w:r>
      <w:r>
        <w:rPr>
          <w:noProof/>
        </w:rPr>
        <w:br/>
        <w:t>Praktični priročnik</w:t>
      </w:r>
      <w:bookmarkEnd w:id="229"/>
    </w:p>
    <w:p>
      <w:pPr>
        <w:rPr>
          <w:noProof/>
        </w:rPr>
      </w:pPr>
      <w:bookmarkStart w:id="230" w:name="_DV_C1781"/>
      <w:r>
        <w:rPr>
          <w:noProof/>
        </w:rPr>
        <w:t>Komisija v tesnem sodelovanju z državami članicami, agencijo eu-LISA in drugimi zadevnimi agencijami pripravi praktični priročnik za izvajanje in upravljanje sestavnih delov interoperabilnosti. Praktični priročnik vključuje tehnične in operativne smernice, priporočila in najboljše prakse. Komisija sprejme praktični priročnik v obliki priporočila.</w:t>
      </w:r>
      <w:bookmarkEnd w:id="230"/>
    </w:p>
    <w:p>
      <w:pPr>
        <w:pStyle w:val="Titrearticle"/>
        <w:rPr>
          <w:noProof/>
        </w:rPr>
      </w:pPr>
      <w:r>
        <w:rPr>
          <w:noProof/>
        </w:rPr>
        <w:t>Člen 68</w:t>
      </w:r>
      <w:r>
        <w:rPr>
          <w:noProof/>
        </w:rPr>
        <w:br/>
        <w:t>Spremljanje in ocenjevanje</w:t>
      </w:r>
    </w:p>
    <w:p>
      <w:pPr>
        <w:pStyle w:val="ManualNumPar1"/>
        <w:rPr>
          <w:noProof/>
        </w:rPr>
      </w:pPr>
      <w:r>
        <w:t>1.</w:t>
      </w:r>
      <w:r>
        <w:tab/>
      </w:r>
      <w:r>
        <w:rPr>
          <w:noProof/>
        </w:rPr>
        <w:t>Agencija eu-LISA zagotovi, da so vzpostavljeni postopki za spremljanje razvoja sestavnih delov interoperabilnosti ob upoštevanju ciljev v zvezi z načrtovanjem in stroški ter spremljanje delovanja sestavnih delov interoperabilnosti ob upoštevanju ciljev v zvezi s tehničnimi rezultati, stroškovno učinkovitostjo, varnostjo in kakovostjo storitev.</w:t>
      </w:r>
    </w:p>
    <w:p>
      <w:pPr>
        <w:pStyle w:val="ManualNumPar1"/>
        <w:rPr>
          <w:noProof/>
        </w:rPr>
      </w:pPr>
      <w:r>
        <w:t>2.</w:t>
      </w:r>
      <w:r>
        <w:tab/>
      </w:r>
      <w:r>
        <w:rPr>
          <w:noProof/>
        </w:rPr>
        <w:t>Agencija eu-LISA do [</w:t>
      </w:r>
      <w:r>
        <w:rPr>
          <w:i/>
          <w:noProof/>
        </w:rPr>
        <w:t>šest mesecev po začetku veljavnosti te uredbe</w:t>
      </w:r>
      <w:r>
        <w:rPr>
          <w:noProof/>
        </w:rPr>
        <w:t> – Urad za publikacije Evropske unije vstavi dejanski datum] in nato vsakih šest mesecev med razvojno fazo sestavnih delov interoperabilnosti Evropskemu parlamentu in Svetu predloži poročilo o trenutnem stanju razvoja sestavnih delov interoperabilnosti. Po končanem razvoju se Evropskemu parlamentu in Svetu predloži poročilo, ki podrobno pojasnjuje, kako so bili izpolnjeni zlasti cilji, povezani z načrtovanjem in stroški, ter utemeljuje morebitna odstopanja.</w:t>
      </w:r>
    </w:p>
    <w:p>
      <w:pPr>
        <w:pStyle w:val="ManualNumPar1"/>
        <w:rPr>
          <w:noProof/>
        </w:rPr>
      </w:pPr>
      <w:r>
        <w:t>3.</w:t>
      </w:r>
      <w:r>
        <w:tab/>
      </w:r>
      <w:r>
        <w:rPr>
          <w:noProof/>
        </w:rPr>
        <w:t>Agencija eu-LISA ima zaradi tehničnega vzdrževanja dostop do potrebnih informacij o postopkih obdelave podatkov, ki se izvajajo v sestavnih delih interoperabilnosti.</w:t>
      </w:r>
    </w:p>
    <w:p>
      <w:pPr>
        <w:pStyle w:val="ManualNumPar1"/>
        <w:rPr>
          <w:noProof/>
        </w:rPr>
      </w:pPr>
      <w:r>
        <w:t>4.</w:t>
      </w:r>
      <w:r>
        <w:tab/>
      </w:r>
      <w:r>
        <w:rPr>
          <w:noProof/>
        </w:rPr>
        <w:t xml:space="preserve">Agencija eu-LISA štiri leta po začetku delovanja vsakega posameznega sestavnega dela interoperabilnosti in nato vsaka štiri leta Evropskemu parlamentu, Svetu in Komisiji predloži poročilo o tehničnem delovanju sestavnih delov interoperabilnosti, vključno z njihovo varnostjo. </w:t>
      </w:r>
    </w:p>
    <w:p>
      <w:pPr>
        <w:pStyle w:val="ManualNumPar1"/>
        <w:rPr>
          <w:noProof/>
        </w:rPr>
      </w:pPr>
      <w:r>
        <w:t>5.</w:t>
      </w:r>
      <w:r>
        <w:tab/>
      </w:r>
      <w:r>
        <w:rPr>
          <w:noProof/>
        </w:rPr>
        <w:t>Poleg tega Komisija eno leto po vsakem poročilu agencije eu-LISA izdela splošno oceno sestavnih delov, ki vključuje:</w:t>
      </w:r>
    </w:p>
    <w:p>
      <w:pPr>
        <w:pStyle w:val="Point1letter"/>
        <w:widowControl w:val="0"/>
        <w:numPr>
          <w:ilvl w:val="3"/>
          <w:numId w:val="90"/>
        </w:numPr>
        <w:adjustRightInd w:val="0"/>
        <w:textAlignment w:val="baseline"/>
        <w:rPr>
          <w:noProof/>
        </w:rPr>
      </w:pPr>
      <w:bookmarkStart w:id="231" w:name="_DV_C1786"/>
      <w:r>
        <w:rPr>
          <w:noProof/>
        </w:rPr>
        <w:t>oceno uporabe te uredbe;</w:t>
      </w:r>
      <w:bookmarkEnd w:id="231"/>
    </w:p>
    <w:p>
      <w:pPr>
        <w:pStyle w:val="Point1letter"/>
        <w:widowControl w:val="0"/>
        <w:numPr>
          <w:ilvl w:val="3"/>
          <w:numId w:val="90"/>
        </w:numPr>
        <w:adjustRightInd w:val="0"/>
        <w:textAlignment w:val="baseline"/>
        <w:rPr>
          <w:noProof/>
        </w:rPr>
      </w:pPr>
      <w:bookmarkStart w:id="232" w:name="_DV_M1640"/>
      <w:bookmarkEnd w:id="232"/>
      <w:r>
        <w:rPr>
          <w:noProof/>
        </w:rPr>
        <w:t>pregled doseženih rezultatov glede na zastavljene cilje in učinkov na temeljne pravice</w:t>
      </w:r>
      <w:bookmarkStart w:id="233" w:name="_DV_C1789"/>
      <w:r>
        <w:rPr>
          <w:noProof/>
        </w:rPr>
        <w:t>;</w:t>
      </w:r>
      <w:bookmarkEnd w:id="233"/>
    </w:p>
    <w:p>
      <w:pPr>
        <w:pStyle w:val="Point1letter"/>
        <w:widowControl w:val="0"/>
        <w:numPr>
          <w:ilvl w:val="3"/>
          <w:numId w:val="90"/>
        </w:numPr>
        <w:adjustRightInd w:val="0"/>
        <w:textAlignment w:val="baseline"/>
        <w:rPr>
          <w:noProof/>
        </w:rPr>
      </w:pPr>
      <w:bookmarkStart w:id="234" w:name="_DV_C1790"/>
      <w:r>
        <w:rPr>
          <w:noProof/>
        </w:rPr>
        <w:t>oceno</w:t>
      </w:r>
      <w:bookmarkStart w:id="235" w:name="_DV_M1641"/>
      <w:bookmarkEnd w:id="234"/>
      <w:bookmarkEnd w:id="235"/>
      <w:r>
        <w:rPr>
          <w:noProof/>
        </w:rPr>
        <w:t xml:space="preserve"> nadaljnje ustreznosti temeljnih razlogov za </w:t>
      </w:r>
      <w:bookmarkStart w:id="236" w:name="_DV_C1792"/>
      <w:r>
        <w:rPr>
          <w:noProof/>
        </w:rPr>
        <w:t>sestavne dele interoperabilnosti;</w:t>
      </w:r>
      <w:bookmarkEnd w:id="236"/>
    </w:p>
    <w:p>
      <w:pPr>
        <w:pStyle w:val="Point1letter"/>
        <w:widowControl w:val="0"/>
        <w:numPr>
          <w:ilvl w:val="3"/>
          <w:numId w:val="90"/>
        </w:numPr>
        <w:adjustRightInd w:val="0"/>
        <w:textAlignment w:val="baseline"/>
        <w:rPr>
          <w:noProof/>
        </w:rPr>
      </w:pPr>
      <w:bookmarkStart w:id="237" w:name="_DV_C1795"/>
      <w:r>
        <w:rPr>
          <w:noProof/>
        </w:rPr>
        <w:t>oceno varnosti sestavnih delov interoperabilnosti;</w:t>
      </w:r>
      <w:bookmarkEnd w:id="237"/>
    </w:p>
    <w:p>
      <w:pPr>
        <w:pStyle w:val="Point1letter"/>
        <w:widowControl w:val="0"/>
        <w:numPr>
          <w:ilvl w:val="3"/>
          <w:numId w:val="90"/>
        </w:numPr>
        <w:adjustRightInd w:val="0"/>
        <w:textAlignment w:val="baseline"/>
        <w:rPr>
          <w:noProof/>
        </w:rPr>
      </w:pPr>
      <w:bookmarkStart w:id="238" w:name="_DV_C1796"/>
      <w:r>
        <w:rPr>
          <w:noProof/>
        </w:rPr>
        <w:t>oceno morebitnih posledic, vključno s kakršnimi koli nesorazmernimi vplivi na pretok prometa na mejnih prehodih in posledicami s proračunskim vplivom na proračun Unije.</w:t>
      </w:r>
      <w:bookmarkEnd w:id="238"/>
    </w:p>
    <w:p>
      <w:pPr>
        <w:pStyle w:val="Text1"/>
        <w:rPr>
          <w:noProof/>
        </w:rPr>
      </w:pPr>
      <w:bookmarkStart w:id="239" w:name="_DV_C1797"/>
      <w:r>
        <w:rPr>
          <w:noProof/>
        </w:rPr>
        <w:lastRenderedPageBreak/>
        <w:t>Ocene vključujejo</w:t>
      </w:r>
      <w:bookmarkStart w:id="240" w:name="_DV_M1642"/>
      <w:bookmarkEnd w:id="239"/>
      <w:bookmarkEnd w:id="240"/>
      <w:r>
        <w:rPr>
          <w:noProof/>
        </w:rPr>
        <w:t xml:space="preserve"> morebitna potrebna priporočila. Komisija poročilo o oceni posreduje Evropskemu parlamentu</w:t>
      </w:r>
      <w:bookmarkStart w:id="241" w:name="_DV_C1799"/>
      <w:r>
        <w:rPr>
          <w:noProof/>
        </w:rPr>
        <w:t>,</w:t>
      </w:r>
      <w:bookmarkStart w:id="242" w:name="_DV_M1643"/>
      <w:bookmarkEnd w:id="241"/>
      <w:bookmarkEnd w:id="242"/>
      <w:r>
        <w:rPr>
          <w:noProof/>
        </w:rPr>
        <w:t xml:space="preserve"> Svetu</w:t>
      </w:r>
      <w:bookmarkStart w:id="243" w:name="_DV_C1800"/>
      <w:r>
        <w:rPr>
          <w:noProof/>
        </w:rPr>
        <w:t>, Evropskemu nadzorniku za varstvo podatkov in Agenciji Evropske unije za temeljne pravice, ustanovljeni z Uredbo Sveta (ES) št. 168/2007</w:t>
      </w:r>
      <w:r>
        <w:rPr>
          <w:rStyle w:val="FootnoteReference"/>
          <w:noProof/>
        </w:rPr>
        <w:footnoteReference w:id="77"/>
      </w:r>
      <w:r>
        <w:rPr>
          <w:noProof/>
        </w:rPr>
        <w:t>.</w:t>
      </w:r>
      <w:bookmarkEnd w:id="243"/>
    </w:p>
    <w:p>
      <w:pPr>
        <w:pStyle w:val="ManualNumPar1"/>
        <w:rPr>
          <w:noProof/>
        </w:rPr>
      </w:pPr>
      <w:r>
        <w:t>6.</w:t>
      </w:r>
      <w:r>
        <w:tab/>
      </w:r>
      <w:r>
        <w:rPr>
          <w:noProof/>
        </w:rPr>
        <w:t>Države članice in Europol agenciji eu-LISA in Komisiji predložijo informacije, potrebne za pripravo poročil iz odstavkov 4 in 5. Te informacije ne smejo ogroziti delovnih metod ali vključevati informacij, ki razkrivajo vire, člane osebja ali preiskave imenovanih organov.</w:t>
      </w:r>
    </w:p>
    <w:p>
      <w:pPr>
        <w:pStyle w:val="ManualNumPar1"/>
        <w:rPr>
          <w:noProof/>
        </w:rPr>
      </w:pPr>
      <w:r>
        <w:t>7.</w:t>
      </w:r>
      <w:r>
        <w:tab/>
      </w:r>
      <w:r>
        <w:rPr>
          <w:noProof/>
        </w:rPr>
        <w:t>Agencija eu-LISA Komisiji predloži informacije, potrebne za pripravo ocene iz odstavka 5.</w:t>
      </w:r>
    </w:p>
    <w:p>
      <w:pPr>
        <w:pStyle w:val="ManualNumPar1"/>
        <w:rPr>
          <w:noProof/>
        </w:rPr>
      </w:pPr>
      <w:r>
        <w:t>8.</w:t>
      </w:r>
      <w:r>
        <w:tab/>
      </w:r>
      <w:r>
        <w:rPr>
          <w:noProof/>
        </w:rPr>
        <w:t>V skladu s predpisi nacionalnega prava o objavi občutljivih informacij vse države članice in Europol za namene kazenskega pregona pripravijo letna poročila o učinkovitosti dostopa do podatkov, shranjenih v skupnem odložišču podatkov o identiteti, ki morajo zajemati informacije in statistične podatke o:</w:t>
      </w:r>
    </w:p>
    <w:p>
      <w:pPr>
        <w:pStyle w:val="Point1letter"/>
        <w:widowControl w:val="0"/>
        <w:numPr>
          <w:ilvl w:val="3"/>
          <w:numId w:val="91"/>
        </w:numPr>
        <w:adjustRightInd w:val="0"/>
        <w:textAlignment w:val="baseline"/>
        <w:rPr>
          <w:noProof/>
        </w:rPr>
      </w:pPr>
      <w:r>
        <w:rPr>
          <w:noProof/>
        </w:rPr>
        <w:t>natančnem namenu vpogleda, vključno z vrsto terorističnega dejanja ali hudega kaznivega dejanja;</w:t>
      </w:r>
    </w:p>
    <w:p>
      <w:pPr>
        <w:pStyle w:val="Point1letter"/>
        <w:widowControl w:val="0"/>
        <w:numPr>
          <w:ilvl w:val="3"/>
          <w:numId w:val="91"/>
        </w:numPr>
        <w:adjustRightInd w:val="0"/>
        <w:textAlignment w:val="baseline"/>
        <w:rPr>
          <w:noProof/>
        </w:rPr>
      </w:pPr>
      <w:r>
        <w:rPr>
          <w:noProof/>
        </w:rPr>
        <w:t>razumnih razlogih za utemeljen sum, da je osumljenec, storilec ali žrtev zajet z [uredbo o SVI], uredbo o VIS ali [uredbo o sistemu ETIAS];</w:t>
      </w:r>
    </w:p>
    <w:p>
      <w:pPr>
        <w:pStyle w:val="Point1letter"/>
        <w:widowControl w:val="0"/>
        <w:numPr>
          <w:ilvl w:val="3"/>
          <w:numId w:val="91"/>
        </w:numPr>
        <w:adjustRightInd w:val="0"/>
        <w:textAlignment w:val="baseline"/>
        <w:rPr>
          <w:noProof/>
        </w:rPr>
      </w:pPr>
      <w:r>
        <w:rPr>
          <w:noProof/>
        </w:rPr>
        <w:t>številu zahtev za dostop do skupnega odložišča podatkov o identiteti za namene kazenskega pregona;</w:t>
      </w:r>
    </w:p>
    <w:p>
      <w:pPr>
        <w:pStyle w:val="Point1letter"/>
        <w:widowControl w:val="0"/>
        <w:numPr>
          <w:ilvl w:val="3"/>
          <w:numId w:val="91"/>
        </w:numPr>
        <w:adjustRightInd w:val="0"/>
        <w:textAlignment w:val="baseline"/>
        <w:rPr>
          <w:noProof/>
        </w:rPr>
      </w:pPr>
      <w:r>
        <w:rPr>
          <w:noProof/>
        </w:rPr>
        <w:t>številu in vrsti zadev, ki so vodile do uspešne identifikacije;</w:t>
      </w:r>
    </w:p>
    <w:p>
      <w:pPr>
        <w:pStyle w:val="Point1letter"/>
        <w:widowControl w:val="0"/>
        <w:numPr>
          <w:ilvl w:val="3"/>
          <w:numId w:val="91"/>
        </w:numPr>
        <w:adjustRightInd w:val="0"/>
        <w:textAlignment w:val="baseline"/>
        <w:rPr>
          <w:noProof/>
        </w:rPr>
      </w:pPr>
      <w:r>
        <w:rPr>
          <w:noProof/>
        </w:rPr>
        <w:t>potrebi in uporabi izjemnih nujnih primerov, vključno s tistimi primeri, pri katerih se po naknadnem preverjanju, ki ga je opravila centralna točka dostopa, ta nujnost ni sprejela.</w:t>
      </w:r>
    </w:p>
    <w:p>
      <w:pPr>
        <w:pStyle w:val="Text1"/>
        <w:rPr>
          <w:noProof/>
        </w:rPr>
      </w:pPr>
      <w:r>
        <w:rPr>
          <w:noProof/>
        </w:rPr>
        <w:t>Letna poročila držav članic in Europola se pošljejo Komisiji do 30. junija naslednjega leta.</w:t>
      </w:r>
    </w:p>
    <w:p>
      <w:pPr>
        <w:rPr>
          <w:noProof/>
        </w:rPr>
      </w:pPr>
    </w:p>
    <w:p>
      <w:pPr>
        <w:pStyle w:val="Titrearticle"/>
        <w:rPr>
          <w:noProof/>
        </w:rPr>
      </w:pPr>
      <w:r>
        <w:rPr>
          <w:noProof/>
        </w:rPr>
        <w:t>Člen 69</w:t>
      </w:r>
      <w:r>
        <w:rPr>
          <w:noProof/>
        </w:rPr>
        <w:br/>
        <w:t>Začetek veljavnosti in uporaba</w:t>
      </w:r>
    </w:p>
    <w:p>
      <w:pPr>
        <w:pStyle w:val="Applicationdirecte"/>
        <w:rPr>
          <w:noProof/>
        </w:rPr>
      </w:pPr>
      <w:r>
        <w:rPr>
          <w:noProof/>
        </w:rPr>
        <w:t xml:space="preserve">Ta uredba začne veljati dvajseti dan po objavi v </w:t>
      </w:r>
      <w:r>
        <w:rPr>
          <w:i/>
          <w:noProof/>
        </w:rPr>
        <w:t>Uradnem listu Evropske unije</w:t>
      </w:r>
      <w:r>
        <w:rPr>
          <w:noProof/>
        </w:rPr>
        <w:t>.</w:t>
      </w:r>
    </w:p>
    <w:p>
      <w:pPr>
        <w:pStyle w:val="Applicationdirecte"/>
        <w:rPr>
          <w:noProof/>
        </w:rPr>
      </w:pPr>
      <w:r>
        <w:rPr>
          <w:noProof/>
        </w:rPr>
        <w:t>Ta uredba je v celoti zavezujoča in se neposredno uporablja v državah članicah v skladu s Pogodbama.</w:t>
      </w:r>
    </w:p>
    <w:p>
      <w:pPr>
        <w:pStyle w:val="Fait"/>
        <w:rPr>
          <w:noProof/>
        </w:rPr>
      </w:pPr>
      <w:r>
        <w:t>V Strasbourgu,</w:t>
      </w:r>
    </w:p>
    <w:p>
      <w:pPr>
        <w:pStyle w:val="Institutionquisigne"/>
        <w:rPr>
          <w:noProof/>
        </w:rPr>
      </w:pPr>
      <w:r>
        <w:rPr>
          <w:noProof/>
        </w:rPr>
        <w:t>Za Evropski parlament</w:t>
      </w:r>
      <w:r>
        <w:rPr>
          <w:noProof/>
        </w:rPr>
        <w:tab/>
        <w:t>Za Svet</w:t>
      </w:r>
    </w:p>
    <w:p>
      <w:pPr>
        <w:pStyle w:val="Personnequisigne"/>
        <w:rPr>
          <w:noProof/>
        </w:rPr>
      </w:pPr>
      <w:r>
        <w:rPr>
          <w:noProof/>
        </w:rPr>
        <w:t>Predsednik</w:t>
      </w:r>
      <w:r>
        <w:rPr>
          <w:noProof/>
        </w:rPr>
        <w:tab/>
        <w:t>Predsednik</w:t>
      </w:r>
      <w:bookmarkStart w:id="244" w:name="_CopyToNewDocument_"/>
      <w:bookmarkEnd w:id="244"/>
    </w:p>
    <w:p>
      <w:pPr>
        <w:rPr>
          <w:noProof/>
        </w:rPr>
        <w:sectPr>
          <w:pgSz w:w="11907" w:h="16839"/>
          <w:pgMar w:top="1134" w:right="1417" w:bottom="1134" w:left="1417" w:header="709" w:footer="709" w:gutter="0"/>
          <w:cols w:space="708"/>
          <w:docGrid w:linePitch="360"/>
        </w:sectPr>
      </w:pPr>
    </w:p>
    <w:p>
      <w:pPr>
        <w:pStyle w:val="Fichefinanciretitre"/>
        <w:rPr>
          <w:noProof/>
        </w:rPr>
      </w:pPr>
      <w:r>
        <w:rPr>
          <w:noProof/>
        </w:rPr>
        <w:lastRenderedPageBreak/>
        <w:t>OCENA FINANČNIH POSLEDIC ZAKONODAJNEGA PREDLOGA</w:t>
      </w:r>
    </w:p>
    <w:p>
      <w:pPr>
        <w:pStyle w:val="ManualHeading1"/>
        <w:rPr>
          <w:noProof/>
        </w:rPr>
      </w:pPr>
      <w:r>
        <w:rPr>
          <w:noProof/>
        </w:rPr>
        <w:t>1.</w:t>
      </w:r>
      <w:r>
        <w:rPr>
          <w:noProof/>
        </w:rPr>
        <w:tab/>
        <w:t>OKVIR PREDLOGA/POBUDE</w:t>
      </w:r>
    </w:p>
    <w:p>
      <w:pPr>
        <w:pStyle w:val="ManualHeading2"/>
        <w:ind w:left="1418" w:hanging="568"/>
        <w:rPr>
          <w:b w:val="0"/>
          <w:noProof/>
        </w:rPr>
      </w:pPr>
      <w:bookmarkStart w:id="245" w:name="_Toc498514129"/>
      <w:r>
        <w:rPr>
          <w:b w:val="0"/>
          <w:noProof/>
        </w:rPr>
        <w:t>1.1.</w:t>
      </w:r>
      <w:r>
        <w:rPr>
          <w:noProof/>
        </w:rPr>
        <w:tab/>
      </w:r>
      <w:r>
        <w:rPr>
          <w:b w:val="0"/>
          <w:noProof/>
        </w:rPr>
        <w:t>Naslov predloga/pobude</w:t>
      </w:r>
      <w:bookmarkEnd w:id="245"/>
      <w:r>
        <w:rPr>
          <w:b w:val="0"/>
          <w:noProof/>
        </w:rPr>
        <w:t xml:space="preserve"> </w:t>
      </w:r>
    </w:p>
    <w:p>
      <w:pPr>
        <w:pStyle w:val="ManualHeading2"/>
        <w:rPr>
          <w:b w:val="0"/>
          <w:noProof/>
        </w:rPr>
      </w:pPr>
      <w:r>
        <w:rPr>
          <w:noProof/>
        </w:rPr>
        <w:tab/>
      </w:r>
      <w:bookmarkStart w:id="246" w:name="_Toc498514130"/>
      <w:r>
        <w:rPr>
          <w:b w:val="0"/>
          <w:noProof/>
        </w:rPr>
        <w:t>1.2.</w:t>
      </w:r>
      <w:r>
        <w:rPr>
          <w:noProof/>
        </w:rPr>
        <w:tab/>
      </w:r>
      <w:r>
        <w:rPr>
          <w:b w:val="0"/>
          <w:noProof/>
        </w:rPr>
        <w:t>Zadevna področja</w:t>
      </w:r>
      <w:bookmarkEnd w:id="246"/>
    </w:p>
    <w:p>
      <w:pPr>
        <w:pStyle w:val="ManualHeading2"/>
        <w:rPr>
          <w:b w:val="0"/>
          <w:noProof/>
        </w:rPr>
      </w:pPr>
      <w:r>
        <w:rPr>
          <w:noProof/>
        </w:rPr>
        <w:tab/>
      </w:r>
      <w:bookmarkStart w:id="247" w:name="_Toc498514131"/>
      <w:r>
        <w:rPr>
          <w:b w:val="0"/>
          <w:noProof/>
        </w:rPr>
        <w:t>1.3.</w:t>
      </w:r>
      <w:r>
        <w:rPr>
          <w:noProof/>
        </w:rPr>
        <w:tab/>
      </w:r>
      <w:r>
        <w:rPr>
          <w:b w:val="0"/>
          <w:noProof/>
        </w:rPr>
        <w:t>Vrsta predloga/pobude</w:t>
      </w:r>
      <w:bookmarkEnd w:id="247"/>
      <w:r>
        <w:rPr>
          <w:b w:val="0"/>
          <w:noProof/>
        </w:rPr>
        <w:t xml:space="preserve"> </w:t>
      </w:r>
    </w:p>
    <w:p>
      <w:pPr>
        <w:pStyle w:val="ManualHeading2"/>
        <w:rPr>
          <w:b w:val="0"/>
          <w:noProof/>
        </w:rPr>
      </w:pPr>
      <w:r>
        <w:rPr>
          <w:noProof/>
        </w:rPr>
        <w:tab/>
      </w:r>
      <w:bookmarkStart w:id="248" w:name="_Toc498514132"/>
      <w:r>
        <w:rPr>
          <w:b w:val="0"/>
          <w:noProof/>
        </w:rPr>
        <w:t>1.4.</w:t>
      </w:r>
      <w:r>
        <w:rPr>
          <w:noProof/>
        </w:rPr>
        <w:tab/>
      </w:r>
      <w:r>
        <w:rPr>
          <w:b w:val="0"/>
          <w:noProof/>
        </w:rPr>
        <w:t>Cilji</w:t>
      </w:r>
      <w:bookmarkEnd w:id="248"/>
      <w:r>
        <w:rPr>
          <w:b w:val="0"/>
          <w:noProof/>
        </w:rPr>
        <w:t xml:space="preserve"> </w:t>
      </w:r>
    </w:p>
    <w:p>
      <w:pPr>
        <w:pStyle w:val="ManualHeading2"/>
        <w:rPr>
          <w:b w:val="0"/>
          <w:noProof/>
        </w:rPr>
      </w:pPr>
      <w:r>
        <w:rPr>
          <w:noProof/>
        </w:rPr>
        <w:tab/>
      </w:r>
      <w:bookmarkStart w:id="249" w:name="_Toc498514133"/>
      <w:r>
        <w:rPr>
          <w:b w:val="0"/>
          <w:noProof/>
        </w:rPr>
        <w:t>1.5.</w:t>
      </w:r>
      <w:r>
        <w:rPr>
          <w:noProof/>
        </w:rPr>
        <w:tab/>
      </w:r>
      <w:r>
        <w:rPr>
          <w:b w:val="0"/>
          <w:noProof/>
        </w:rPr>
        <w:t>Utemeljitev predloga/pobude</w:t>
      </w:r>
      <w:bookmarkEnd w:id="249"/>
      <w:r>
        <w:rPr>
          <w:b w:val="0"/>
          <w:noProof/>
        </w:rPr>
        <w:t xml:space="preserve"> </w:t>
      </w:r>
    </w:p>
    <w:p>
      <w:pPr>
        <w:pStyle w:val="ManualHeading2"/>
        <w:rPr>
          <w:b w:val="0"/>
          <w:noProof/>
        </w:rPr>
      </w:pPr>
      <w:r>
        <w:rPr>
          <w:noProof/>
        </w:rPr>
        <w:tab/>
      </w:r>
      <w:bookmarkStart w:id="250" w:name="_Toc498514134"/>
      <w:r>
        <w:rPr>
          <w:b w:val="0"/>
          <w:noProof/>
        </w:rPr>
        <w:t>1.6.</w:t>
      </w:r>
      <w:r>
        <w:rPr>
          <w:noProof/>
        </w:rPr>
        <w:tab/>
      </w:r>
      <w:r>
        <w:rPr>
          <w:b w:val="0"/>
          <w:noProof/>
        </w:rPr>
        <w:t>Trajanje ukrepa in finančnih posledic</w:t>
      </w:r>
      <w:bookmarkEnd w:id="250"/>
      <w:r>
        <w:rPr>
          <w:b w:val="0"/>
          <w:noProof/>
        </w:rPr>
        <w:t xml:space="preserve"> </w:t>
      </w:r>
    </w:p>
    <w:p>
      <w:pPr>
        <w:pStyle w:val="ManualHeading2"/>
        <w:rPr>
          <w:b w:val="0"/>
          <w:noProof/>
        </w:rPr>
      </w:pPr>
      <w:r>
        <w:rPr>
          <w:noProof/>
        </w:rPr>
        <w:tab/>
      </w:r>
      <w:bookmarkStart w:id="251" w:name="_Toc498514135"/>
      <w:r>
        <w:rPr>
          <w:b w:val="0"/>
          <w:noProof/>
        </w:rPr>
        <w:t>1.7.</w:t>
      </w:r>
      <w:r>
        <w:rPr>
          <w:noProof/>
        </w:rPr>
        <w:tab/>
      </w:r>
      <w:r>
        <w:rPr>
          <w:b w:val="0"/>
          <w:noProof/>
        </w:rPr>
        <w:t>Načrtovani načini upravljanja</w:t>
      </w:r>
      <w:bookmarkEnd w:id="251"/>
      <w:r>
        <w:rPr>
          <w:b w:val="0"/>
          <w:noProof/>
        </w:rPr>
        <w:t xml:space="preserve"> </w:t>
      </w:r>
    </w:p>
    <w:p>
      <w:pPr>
        <w:pStyle w:val="ManualHeading1"/>
        <w:rPr>
          <w:noProof/>
        </w:rPr>
      </w:pPr>
      <w:bookmarkStart w:id="252" w:name="_Toc498514136"/>
      <w:r>
        <w:rPr>
          <w:noProof/>
        </w:rPr>
        <w:t>2.</w:t>
      </w:r>
      <w:r>
        <w:rPr>
          <w:noProof/>
        </w:rPr>
        <w:tab/>
        <w:t>UKREPI UPRAVLJANJA</w:t>
      </w:r>
      <w:bookmarkEnd w:id="252"/>
      <w:r>
        <w:rPr>
          <w:noProof/>
        </w:rPr>
        <w:t xml:space="preserve"> </w:t>
      </w:r>
    </w:p>
    <w:p>
      <w:pPr>
        <w:pStyle w:val="ManualHeading2"/>
        <w:rPr>
          <w:b w:val="0"/>
          <w:noProof/>
        </w:rPr>
      </w:pPr>
      <w:r>
        <w:rPr>
          <w:noProof/>
        </w:rPr>
        <w:tab/>
      </w:r>
      <w:bookmarkStart w:id="253" w:name="_Toc498514137"/>
      <w:r>
        <w:rPr>
          <w:b w:val="0"/>
          <w:noProof/>
        </w:rPr>
        <w:t>2.1.</w:t>
      </w:r>
      <w:r>
        <w:rPr>
          <w:noProof/>
        </w:rPr>
        <w:tab/>
      </w:r>
      <w:r>
        <w:rPr>
          <w:b w:val="0"/>
          <w:noProof/>
        </w:rPr>
        <w:t>Pravila o spremljanju in poročanju</w:t>
      </w:r>
      <w:bookmarkEnd w:id="253"/>
      <w:r>
        <w:rPr>
          <w:b w:val="0"/>
          <w:noProof/>
        </w:rPr>
        <w:t xml:space="preserve"> </w:t>
      </w:r>
    </w:p>
    <w:p>
      <w:pPr>
        <w:pStyle w:val="ManualHeading2"/>
        <w:rPr>
          <w:b w:val="0"/>
          <w:noProof/>
        </w:rPr>
      </w:pPr>
      <w:r>
        <w:rPr>
          <w:noProof/>
        </w:rPr>
        <w:tab/>
      </w:r>
      <w:bookmarkStart w:id="254" w:name="_Toc498514138"/>
      <w:r>
        <w:rPr>
          <w:b w:val="0"/>
          <w:noProof/>
        </w:rPr>
        <w:t>2.2.</w:t>
      </w:r>
      <w:r>
        <w:rPr>
          <w:noProof/>
        </w:rPr>
        <w:tab/>
      </w:r>
      <w:r>
        <w:rPr>
          <w:b w:val="0"/>
          <w:noProof/>
        </w:rPr>
        <w:t>Upravljavski in kontrolni sistem</w:t>
      </w:r>
      <w:bookmarkEnd w:id="254"/>
      <w:r>
        <w:rPr>
          <w:b w:val="0"/>
          <w:noProof/>
        </w:rPr>
        <w:t xml:space="preserve"> </w:t>
      </w:r>
    </w:p>
    <w:p>
      <w:pPr>
        <w:pStyle w:val="ManualHeading2"/>
        <w:rPr>
          <w:b w:val="0"/>
          <w:noProof/>
        </w:rPr>
      </w:pPr>
      <w:r>
        <w:rPr>
          <w:noProof/>
        </w:rPr>
        <w:tab/>
      </w:r>
      <w:bookmarkStart w:id="255" w:name="_Toc498514139"/>
      <w:r>
        <w:rPr>
          <w:b w:val="0"/>
          <w:noProof/>
        </w:rPr>
        <w:t>2.3.</w:t>
      </w:r>
      <w:r>
        <w:rPr>
          <w:noProof/>
        </w:rPr>
        <w:tab/>
      </w:r>
      <w:r>
        <w:rPr>
          <w:b w:val="0"/>
          <w:noProof/>
        </w:rPr>
        <w:t>Ukrepi za preprečevanje goljufij in nepravilnosti</w:t>
      </w:r>
      <w:bookmarkEnd w:id="255"/>
      <w:r>
        <w:rPr>
          <w:b w:val="0"/>
          <w:noProof/>
        </w:rPr>
        <w:t xml:space="preserve"> </w:t>
      </w:r>
    </w:p>
    <w:p>
      <w:pPr>
        <w:pStyle w:val="ManualHeading1"/>
        <w:rPr>
          <w:noProof/>
        </w:rPr>
      </w:pPr>
      <w:bookmarkStart w:id="256" w:name="_Toc498514140"/>
      <w:r>
        <w:rPr>
          <w:noProof/>
        </w:rPr>
        <w:t>3.</w:t>
      </w:r>
      <w:r>
        <w:rPr>
          <w:noProof/>
        </w:rPr>
        <w:tab/>
        <w:t>OCENA FINANČNIH POSLEDIC PREDLOGA/POBUDE</w:t>
      </w:r>
      <w:bookmarkEnd w:id="256"/>
      <w:r>
        <w:rPr>
          <w:noProof/>
        </w:rPr>
        <w:t xml:space="preserve"> </w:t>
      </w:r>
    </w:p>
    <w:p>
      <w:pPr>
        <w:pStyle w:val="ManualHeading2"/>
        <w:rPr>
          <w:b w:val="0"/>
          <w:noProof/>
        </w:rPr>
      </w:pPr>
      <w:r>
        <w:rPr>
          <w:noProof/>
        </w:rPr>
        <w:tab/>
      </w:r>
      <w:bookmarkStart w:id="257" w:name="_Toc498514141"/>
      <w:r>
        <w:rPr>
          <w:b w:val="0"/>
          <w:noProof/>
        </w:rPr>
        <w:t>3.1.</w:t>
      </w:r>
      <w:r>
        <w:rPr>
          <w:noProof/>
        </w:rPr>
        <w:tab/>
      </w:r>
      <w:r>
        <w:rPr>
          <w:b w:val="0"/>
          <w:noProof/>
        </w:rPr>
        <w:t>Zadevni razdelki večletnega finančnega okvira in odhodkovne proračunske vrstice</w:t>
      </w:r>
      <w:bookmarkEnd w:id="257"/>
      <w:r>
        <w:rPr>
          <w:b w:val="0"/>
          <w:noProof/>
        </w:rPr>
        <w:t xml:space="preserve"> </w:t>
      </w:r>
    </w:p>
    <w:p>
      <w:pPr>
        <w:pStyle w:val="ManualHeading2"/>
        <w:rPr>
          <w:noProof/>
        </w:rPr>
      </w:pPr>
      <w:r>
        <w:rPr>
          <w:noProof/>
        </w:rPr>
        <w:tab/>
      </w:r>
      <w:bookmarkStart w:id="258" w:name="_Toc498514142"/>
      <w:r>
        <w:rPr>
          <w:b w:val="0"/>
          <w:noProof/>
        </w:rPr>
        <w:t>3.2.</w:t>
      </w:r>
      <w:r>
        <w:rPr>
          <w:noProof/>
        </w:rPr>
        <w:tab/>
      </w:r>
      <w:r>
        <w:rPr>
          <w:b w:val="0"/>
          <w:noProof/>
        </w:rPr>
        <w:t>Ocenjene posledice za odhodke</w:t>
      </w:r>
      <w:bookmarkEnd w:id="258"/>
      <w:r>
        <w:rPr>
          <w:noProof/>
        </w:rPr>
        <w:t xml:space="preserve"> </w:t>
      </w:r>
    </w:p>
    <w:p>
      <w:pPr>
        <w:pStyle w:val="ManualHeading3"/>
        <w:rPr>
          <w:noProof/>
        </w:rPr>
      </w:pPr>
      <w:r>
        <w:rPr>
          <w:noProof/>
        </w:rPr>
        <w:tab/>
      </w:r>
      <w:bookmarkStart w:id="259" w:name="_Toc498514143"/>
      <w:r>
        <w:rPr>
          <w:noProof/>
        </w:rPr>
        <w:t>3.2.1.</w:t>
      </w:r>
      <w:r>
        <w:rPr>
          <w:noProof/>
        </w:rPr>
        <w:tab/>
        <w:t>Povzetek ocenjenih posledic za odhodke</w:t>
      </w:r>
      <w:bookmarkEnd w:id="259"/>
      <w:r>
        <w:rPr>
          <w:noProof/>
        </w:rPr>
        <w:t xml:space="preserve"> </w:t>
      </w:r>
    </w:p>
    <w:p>
      <w:pPr>
        <w:pStyle w:val="ManualHeading3"/>
        <w:rPr>
          <w:noProof/>
        </w:rPr>
      </w:pPr>
      <w:r>
        <w:rPr>
          <w:noProof/>
        </w:rPr>
        <w:tab/>
      </w:r>
      <w:bookmarkStart w:id="260" w:name="_Toc498514144"/>
      <w:r>
        <w:rPr>
          <w:noProof/>
        </w:rPr>
        <w:t>3.2.2.</w:t>
      </w:r>
      <w:r>
        <w:rPr>
          <w:noProof/>
        </w:rPr>
        <w:tab/>
        <w:t>Ocenjene posledice za odobritve za poslovanje</w:t>
      </w:r>
      <w:bookmarkEnd w:id="260"/>
      <w:r>
        <w:rPr>
          <w:noProof/>
        </w:rPr>
        <w:t xml:space="preserve"> </w:t>
      </w:r>
    </w:p>
    <w:p>
      <w:pPr>
        <w:pStyle w:val="ManualHeading3"/>
        <w:rPr>
          <w:noProof/>
        </w:rPr>
      </w:pPr>
      <w:r>
        <w:rPr>
          <w:noProof/>
        </w:rPr>
        <w:tab/>
      </w:r>
      <w:bookmarkStart w:id="261" w:name="_Toc498514145"/>
      <w:r>
        <w:rPr>
          <w:noProof/>
        </w:rPr>
        <w:t>3.2.3.</w:t>
      </w:r>
      <w:r>
        <w:rPr>
          <w:noProof/>
        </w:rPr>
        <w:tab/>
        <w:t>Ocenjene posledice za odobritve za upravne zadeve</w:t>
      </w:r>
      <w:bookmarkEnd w:id="261"/>
    </w:p>
    <w:p>
      <w:pPr>
        <w:pStyle w:val="ManualHeading3"/>
        <w:rPr>
          <w:noProof/>
        </w:rPr>
      </w:pPr>
      <w:r>
        <w:rPr>
          <w:noProof/>
        </w:rPr>
        <w:tab/>
      </w:r>
      <w:bookmarkStart w:id="262" w:name="_Toc498514146"/>
      <w:r>
        <w:rPr>
          <w:noProof/>
        </w:rPr>
        <w:t>3.2.4.</w:t>
      </w:r>
      <w:r>
        <w:rPr>
          <w:noProof/>
        </w:rPr>
        <w:tab/>
        <w:t>Skladnost z veljavnim večletnim finančnim okvirom</w:t>
      </w:r>
      <w:bookmarkEnd w:id="262"/>
    </w:p>
    <w:p>
      <w:pPr>
        <w:pStyle w:val="ManualHeading3"/>
        <w:rPr>
          <w:noProof/>
        </w:rPr>
      </w:pPr>
      <w:r>
        <w:rPr>
          <w:noProof/>
        </w:rPr>
        <w:tab/>
      </w:r>
      <w:bookmarkStart w:id="263" w:name="_Toc498514147"/>
      <w:r>
        <w:rPr>
          <w:noProof/>
        </w:rPr>
        <w:t>3.2.5.</w:t>
      </w:r>
      <w:r>
        <w:rPr>
          <w:noProof/>
        </w:rPr>
        <w:tab/>
        <w:t>Udeležba tretjih oseb pri financiranju</w:t>
      </w:r>
      <w:bookmarkEnd w:id="263"/>
      <w:r>
        <w:rPr>
          <w:noProof/>
        </w:rPr>
        <w:t xml:space="preserve"> </w:t>
      </w:r>
    </w:p>
    <w:p>
      <w:pPr>
        <w:pStyle w:val="ManualHeading2"/>
        <w:jc w:val="left"/>
        <w:rPr>
          <w:b w:val="0"/>
          <w:noProof/>
        </w:rPr>
      </w:pPr>
      <w:r>
        <w:rPr>
          <w:noProof/>
        </w:rPr>
        <w:tab/>
      </w:r>
      <w:bookmarkStart w:id="264" w:name="_Toc498514148"/>
      <w:r>
        <w:rPr>
          <w:b w:val="0"/>
          <w:noProof/>
        </w:rPr>
        <w:t>3.3.</w:t>
      </w:r>
      <w:r>
        <w:rPr>
          <w:noProof/>
        </w:rPr>
        <w:tab/>
      </w:r>
      <w:r>
        <w:rPr>
          <w:b w:val="0"/>
          <w:noProof/>
        </w:rPr>
        <w:t>Ocenjene posledice za prihodke</w:t>
      </w:r>
      <w:bookmarkEnd w:id="264"/>
    </w:p>
    <w:p>
      <w:pPr>
        <w:pStyle w:val="Text1"/>
        <w:rPr>
          <w:noProof/>
        </w:rPr>
      </w:pPr>
    </w:p>
    <w:p>
      <w:pPr>
        <w:pStyle w:val="Text1"/>
        <w:rPr>
          <w:noProof/>
        </w:rPr>
        <w:sectPr>
          <w:pgSz w:w="11907" w:h="16840" w:code="9"/>
          <w:pgMar w:top="1134" w:right="1418" w:bottom="1134" w:left="1418" w:header="709" w:footer="709" w:gutter="0"/>
          <w:cols w:space="720"/>
          <w:docGrid w:linePitch="360"/>
        </w:sectPr>
      </w:pPr>
    </w:p>
    <w:p>
      <w:pPr>
        <w:jc w:val="center"/>
        <w:rPr>
          <w:b/>
          <w:noProof/>
          <w:u w:val="single"/>
        </w:rPr>
      </w:pPr>
      <w:r>
        <w:rPr>
          <w:b/>
          <w:noProof/>
          <w:u w:val="single"/>
        </w:rPr>
        <w:t>OCENA FINANČNIH POSLEDIC ZAKONODAJNEGA PREDLOGA</w:t>
      </w:r>
    </w:p>
    <w:p>
      <w:pPr>
        <w:pStyle w:val="ManualHeading1"/>
        <w:rPr>
          <w:noProof/>
        </w:rPr>
      </w:pPr>
      <w:bookmarkStart w:id="265" w:name="_Toc498514149"/>
      <w:r>
        <w:t>1.</w:t>
      </w:r>
      <w:r>
        <w:tab/>
      </w:r>
      <w:r>
        <w:rPr>
          <w:noProof/>
        </w:rPr>
        <w:t>OKVIR PREDLOGA/POBUDE</w:t>
      </w:r>
      <w:bookmarkEnd w:id="265"/>
      <w:r>
        <w:rPr>
          <w:noProof/>
        </w:rPr>
        <w:t xml:space="preserve"> </w:t>
      </w:r>
    </w:p>
    <w:p>
      <w:pPr>
        <w:pStyle w:val="ManualHeading2"/>
        <w:rPr>
          <w:noProof/>
        </w:rPr>
      </w:pPr>
      <w:bookmarkStart w:id="266" w:name="_Toc498514150"/>
      <w:r>
        <w:t>1.1.</w:t>
      </w:r>
      <w:r>
        <w:tab/>
      </w:r>
      <w:r>
        <w:rPr>
          <w:noProof/>
        </w:rPr>
        <w:t>Naslov predloga/pobude</w:t>
      </w:r>
      <w:bookmarkEnd w:id="266"/>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Predlog uredbe Evropskega parlamenta in Sveta o vzpostavitvi interoperabilnosti informacijskih sistemov Evropske unije za upravljanje varnosti, meja in migracij.</w:t>
      </w:r>
    </w:p>
    <w:p>
      <w:pPr>
        <w:pStyle w:val="ManualHeading2"/>
        <w:rPr>
          <w:noProof/>
          <w:szCs w:val="24"/>
        </w:rPr>
      </w:pPr>
      <w:bookmarkStart w:id="267" w:name="_Toc498514151"/>
      <w:r>
        <w:t>1.2.</w:t>
      </w:r>
      <w:r>
        <w:tab/>
      </w:r>
      <w:r>
        <w:rPr>
          <w:noProof/>
        </w:rPr>
        <w:t>Zadevna področja</w:t>
      </w:r>
      <w:bookmarkEnd w:id="267"/>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Notranje zadeve (naslov 18)</w:t>
      </w:r>
    </w:p>
    <w:p>
      <w:pPr>
        <w:pStyle w:val="ManualHeading2"/>
        <w:rPr>
          <w:bCs/>
          <w:noProof/>
          <w:szCs w:val="24"/>
        </w:rPr>
      </w:pPr>
      <w:bookmarkStart w:id="268" w:name="_Toc498514152"/>
      <w:r>
        <w:t>1.3.</w:t>
      </w:r>
      <w:r>
        <w:tab/>
      </w:r>
      <w:r>
        <w:rPr>
          <w:noProof/>
        </w:rPr>
        <w:t>Vrsta predloga/pobude</w:t>
      </w:r>
      <w:bookmarkEnd w:id="268"/>
      <w:r>
        <w:rPr>
          <w:noProof/>
        </w:rPr>
        <w:t xml:space="preserve"> </w:t>
      </w:r>
    </w:p>
    <w:p>
      <w:pPr>
        <w:pStyle w:val="Text1"/>
        <w:rPr>
          <w:b/>
          <w:noProof/>
          <w:sz w:val="22"/>
        </w:rPr>
      </w:pPr>
      <w:r>
        <w:rPr>
          <w:noProof/>
          <w:sz w:val="23"/>
        </w:rPr>
        <w:t>X</w:t>
      </w:r>
      <w:r>
        <w:rPr>
          <w:b/>
          <w:i/>
          <w:noProof/>
          <w:sz w:val="22"/>
        </w:rPr>
        <w:t xml:space="preserve"> </w:t>
      </w:r>
      <w:r>
        <w:rPr>
          <w:noProof/>
        </w:rPr>
        <w:t xml:space="preserve">Predlog/pobuda se nanaša na </w:t>
      </w:r>
      <w:r>
        <w:rPr>
          <w:b/>
          <w:noProof/>
        </w:rPr>
        <w:t>nov ukrep</w:t>
      </w:r>
      <w:r>
        <w:rPr>
          <w:noProof/>
        </w:rPr>
        <w:t>.</w:t>
      </w:r>
      <w:r>
        <w:rPr>
          <w:b/>
          <w:noProof/>
          <w:sz w:val="22"/>
        </w:rPr>
        <w:t xml:space="preserve"> </w:t>
      </w:r>
    </w:p>
    <w:p>
      <w:pPr>
        <w:pStyle w:val="Text1"/>
        <w:rPr>
          <w:noProof/>
          <w:sz w:val="22"/>
        </w:rPr>
      </w:pPr>
      <w:r>
        <w:rPr>
          <w:noProof/>
          <w:sz w:val="22"/>
        </w:rPr>
        <w:sym w:font="Wingdings" w:char="F0A8"/>
      </w:r>
      <w:r>
        <w:rPr>
          <w:i/>
          <w:noProof/>
          <w:sz w:val="22"/>
        </w:rPr>
        <w:t xml:space="preserve"> </w:t>
      </w:r>
      <w:r>
        <w:rPr>
          <w:noProof/>
        </w:rPr>
        <w:t xml:space="preserve">Predlog/pobuda se nanaša na </w:t>
      </w:r>
      <w:r>
        <w:rPr>
          <w:b/>
          <w:noProof/>
        </w:rPr>
        <w:t>nov ukrep na podlagi pilotnega projekta / pripravljalnega ukrepa</w:t>
      </w:r>
      <w:r>
        <w:rPr>
          <w:rStyle w:val="FootnoteReference"/>
          <w:b/>
          <w:noProof/>
        </w:rPr>
        <w:footnoteReference w:id="78"/>
      </w:r>
      <w:r>
        <w:rPr>
          <w:noProof/>
        </w:rPr>
        <w:t>.</w:t>
      </w:r>
      <w:r>
        <w:rPr>
          <w:noProof/>
          <w:sz w:val="22"/>
        </w:rPr>
        <w:t xml:space="preserve"> </w:t>
      </w:r>
    </w:p>
    <w:p>
      <w:pPr>
        <w:pStyle w:val="Text1"/>
        <w:rPr>
          <w:noProof/>
          <w:sz w:val="22"/>
        </w:rPr>
      </w:pPr>
      <w:r>
        <w:rPr>
          <w:noProof/>
          <w:sz w:val="22"/>
        </w:rPr>
        <w:sym w:font="Wingdings" w:char="F0A8"/>
      </w:r>
      <w:r>
        <w:rPr>
          <w:i/>
          <w:noProof/>
          <w:sz w:val="22"/>
        </w:rPr>
        <w:t xml:space="preserve"> </w:t>
      </w:r>
      <w:r>
        <w:rPr>
          <w:noProof/>
        </w:rPr>
        <w:t xml:space="preserve">Predlog/pobuda se nanaša na </w:t>
      </w:r>
      <w:r>
        <w:rPr>
          <w:b/>
          <w:noProof/>
        </w:rPr>
        <w:t>podaljšanje obstoječega ukrepa</w:t>
      </w:r>
      <w:r>
        <w:rPr>
          <w:noProof/>
        </w:rPr>
        <w:t>.</w:t>
      </w:r>
      <w:r>
        <w:rPr>
          <w:noProof/>
          <w:sz w:val="22"/>
        </w:rPr>
        <w:t xml:space="preserve"> </w:t>
      </w:r>
    </w:p>
    <w:p>
      <w:pPr>
        <w:pStyle w:val="Text1"/>
        <w:rPr>
          <w:noProof/>
        </w:rPr>
      </w:pPr>
      <w:r>
        <w:rPr>
          <w:noProof/>
          <w:sz w:val="22"/>
        </w:rPr>
        <w:sym w:font="Wingdings" w:char="F0A8"/>
      </w:r>
      <w:r>
        <w:rPr>
          <w:i/>
          <w:noProof/>
          <w:sz w:val="22"/>
        </w:rPr>
        <w:t xml:space="preserve"> </w:t>
      </w:r>
      <w:r>
        <w:rPr>
          <w:noProof/>
        </w:rPr>
        <w:t xml:space="preserve">Predlog/pobuda se nanaša na </w:t>
      </w:r>
      <w:r>
        <w:rPr>
          <w:b/>
          <w:noProof/>
        </w:rPr>
        <w:t>obstoječ ukrep, preusmerjen v nov ukrep</w:t>
      </w:r>
      <w:r>
        <w:rPr>
          <w:noProof/>
        </w:rPr>
        <w:t xml:space="preserve">. </w:t>
      </w:r>
    </w:p>
    <w:p>
      <w:pPr>
        <w:pStyle w:val="ManualHeading2"/>
        <w:rPr>
          <w:bCs/>
          <w:noProof/>
          <w:szCs w:val="24"/>
        </w:rPr>
      </w:pPr>
      <w:bookmarkStart w:id="269" w:name="_Toc498514153"/>
      <w:r>
        <w:t>1.4.</w:t>
      </w:r>
      <w:r>
        <w:tab/>
      </w:r>
      <w:r>
        <w:rPr>
          <w:noProof/>
        </w:rPr>
        <w:t>Cilji</w:t>
      </w:r>
      <w:bookmarkEnd w:id="269"/>
    </w:p>
    <w:p>
      <w:pPr>
        <w:pStyle w:val="ManualHeading3"/>
        <w:rPr>
          <w:noProof/>
        </w:rPr>
      </w:pPr>
      <w:bookmarkStart w:id="270" w:name="_Toc498514154"/>
      <w:r>
        <w:t>1.4.1.</w:t>
      </w:r>
      <w:r>
        <w:tab/>
      </w:r>
      <w:r>
        <w:rPr>
          <w:noProof/>
        </w:rPr>
        <w:t>Večletni strateški cilji Komisije, ki naj bi bili doseženi s predlogom/pobudo</w:t>
      </w:r>
      <w:bookmarkEnd w:id="270"/>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Upravljanje meja – reševanje življenj in varovanje zunanjih meja</w:t>
      </w:r>
    </w:p>
    <w:p>
      <w:pPr>
        <w:pStyle w:val="Text1"/>
        <w:pBdr>
          <w:top w:val="single" w:sz="4" w:space="1" w:color="auto"/>
          <w:left w:val="single" w:sz="4" w:space="4" w:color="auto"/>
          <w:bottom w:val="single" w:sz="4" w:space="1" w:color="auto"/>
          <w:right w:val="single" w:sz="4" w:space="4" w:color="auto"/>
        </w:pBdr>
        <w:rPr>
          <w:noProof/>
        </w:rPr>
      </w:pPr>
      <w:r>
        <w:rPr>
          <w:noProof/>
        </w:rPr>
        <w:t>Sestavni deli interoperabilnosti ponujajo priložnost za boljšo uporabo informacij iz obstoječih sistemov EU za upravljanje varnosti, meja in migracij. S temi ukrepi se večinoma preprečuje, da bi bila ista oseba v različnih sistemih zabeležena z različnimi identitetami. Trenutno je edinstvena identifikacija osebe mogoča znotraj posameznega sistema, ne pa tudi med različnimi sistemi. To stanje lahko privede do napačnih odločitev organov ali pa ga nedobroverni potniki izkoriščajo za prikrivanje svoje resnične identitete.</w:t>
      </w:r>
    </w:p>
    <w:p>
      <w:pPr>
        <w:pStyle w:val="Text1"/>
        <w:pBdr>
          <w:top w:val="single" w:sz="4" w:space="1" w:color="auto"/>
          <w:left w:val="single" w:sz="4" w:space="4" w:color="auto"/>
          <w:bottom w:val="single" w:sz="4" w:space="1" w:color="auto"/>
          <w:right w:val="single" w:sz="4" w:space="4" w:color="auto"/>
        </w:pBdr>
        <w:rPr>
          <w:noProof/>
        </w:rPr>
      </w:pPr>
      <w:r>
        <w:rPr>
          <w:noProof/>
        </w:rPr>
        <w:t>Boljša izmenjava informacij</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Predlagani ukrepi zagotavljajo poenostavljen, vendar še vedno razmejen dostop organov kazenskega pregona do teh podatkov. Za razliko od zdajšnjega stanja pa obstaja samo en sklop pogojev in ne več različni sklopi za dostopanje do posameznih zbirk podatkov.</w:t>
      </w:r>
    </w:p>
    <w:p>
      <w:pPr>
        <w:pStyle w:val="Text1"/>
        <w:pBdr>
          <w:top w:val="single" w:sz="4" w:space="1" w:color="auto"/>
          <w:left w:val="single" w:sz="4" w:space="4" w:color="auto"/>
          <w:bottom w:val="single" w:sz="4" w:space="1" w:color="auto"/>
          <w:right w:val="single" w:sz="4" w:space="4" w:color="auto"/>
        </w:pBdr>
        <w:rPr>
          <w:noProof/>
          <w:color w:val="000000" w:themeColor="text1"/>
        </w:rPr>
      </w:pPr>
    </w:p>
    <w:p>
      <w:pPr>
        <w:pStyle w:val="ManualHeading3"/>
        <w:rPr>
          <w:bCs/>
          <w:noProof/>
          <w:szCs w:val="24"/>
        </w:rPr>
      </w:pPr>
      <w:bookmarkStart w:id="271" w:name="_Toc498514155"/>
      <w:r>
        <w:t>1.4.2.</w:t>
      </w:r>
      <w:r>
        <w:tab/>
      </w:r>
      <w:r>
        <w:rPr>
          <w:noProof/>
        </w:rPr>
        <w:t>Specifični cilji in specifični cilj št. [ ]</w:t>
      </w:r>
      <w:bookmarkEnd w:id="271"/>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Vzpostavitev sestavnih delov interoperabilnosti ima naslednje splošne cilje:</w:t>
      </w:r>
    </w:p>
    <w:p>
      <w:pPr>
        <w:pStyle w:val="Point1letter"/>
        <w:numPr>
          <w:ilvl w:val="3"/>
          <w:numId w:val="111"/>
        </w:numPr>
        <w:rPr>
          <w:noProof/>
        </w:rPr>
      </w:pPr>
      <w:r>
        <w:rPr>
          <w:noProof/>
        </w:rPr>
        <w:t>izboljšati upravljanje zunanjih meja;</w:t>
      </w:r>
    </w:p>
    <w:p>
      <w:pPr>
        <w:pStyle w:val="Point1letter"/>
        <w:rPr>
          <w:noProof/>
        </w:rPr>
      </w:pPr>
      <w:r>
        <w:rPr>
          <w:noProof/>
        </w:rPr>
        <w:t>prispevati k preprečevanju nedovoljenih migracij in boju proti njim ter</w:t>
      </w:r>
    </w:p>
    <w:p>
      <w:pPr>
        <w:pStyle w:val="Point1letter"/>
        <w:rPr>
          <w:noProof/>
        </w:rPr>
      </w:pPr>
      <w:r>
        <w:rPr>
          <w:noProof/>
        </w:rPr>
        <w:t>prispevati k visoki ravni varnosti na območju svobode, varnosti in pravice v Uniji, vključno z vzdrževanjem javnega reda in varnosti ter varovanjem varnosti na ozemljih držav članic.</w:t>
      </w:r>
    </w:p>
    <w:p>
      <w:pPr>
        <w:pStyle w:val="Text1"/>
        <w:pBdr>
          <w:top w:val="single" w:sz="4" w:space="1" w:color="auto"/>
          <w:left w:val="single" w:sz="4" w:space="4" w:color="auto"/>
          <w:bottom w:val="single" w:sz="4" w:space="1" w:color="auto"/>
          <w:right w:val="single" w:sz="4" w:space="4" w:color="auto"/>
        </w:pBdr>
        <w:rPr>
          <w:noProof/>
        </w:rPr>
      </w:pPr>
      <w:r>
        <w:rPr>
          <w:noProof/>
        </w:rPr>
        <w:t>Cilji zagotavljanja interoperabilnosti se bodo dosegli z:</w:t>
      </w:r>
    </w:p>
    <w:p>
      <w:pPr>
        <w:pStyle w:val="Text1"/>
        <w:pBdr>
          <w:top w:val="single" w:sz="4" w:space="1" w:color="auto"/>
          <w:left w:val="single" w:sz="4" w:space="4" w:color="auto"/>
          <w:bottom w:val="single" w:sz="4" w:space="1" w:color="auto"/>
          <w:right w:val="single" w:sz="4" w:space="4" w:color="auto"/>
        </w:pBdr>
        <w:rPr>
          <w:noProof/>
        </w:rPr>
      </w:pPr>
      <w:r>
        <w:rPr>
          <w:noProof/>
        </w:rPr>
        <w:t>(a)</w:t>
      </w:r>
      <w:r>
        <w:rPr>
          <w:noProof/>
        </w:rPr>
        <w:tab/>
        <w:t>zagotavljanjem pravilne identifikacije oseb;</w:t>
      </w:r>
    </w:p>
    <w:p>
      <w:pPr>
        <w:pStyle w:val="Text1"/>
        <w:pBdr>
          <w:top w:val="single" w:sz="4" w:space="1" w:color="auto"/>
          <w:left w:val="single" w:sz="4" w:space="4" w:color="auto"/>
          <w:bottom w:val="single" w:sz="4" w:space="1" w:color="auto"/>
          <w:right w:val="single" w:sz="4" w:space="4" w:color="auto"/>
        </w:pBdr>
        <w:rPr>
          <w:noProof/>
        </w:rPr>
      </w:pPr>
      <w:r>
        <w:rPr>
          <w:noProof/>
        </w:rPr>
        <w:t>(b)</w:t>
      </w:r>
      <w:r>
        <w:rPr>
          <w:noProof/>
        </w:rPr>
        <w:tab/>
        <w:t>prispevanjem k boju proti identitetnim prevaram;</w:t>
      </w:r>
    </w:p>
    <w:p>
      <w:pPr>
        <w:pStyle w:val="Text1"/>
        <w:pBdr>
          <w:top w:val="single" w:sz="4" w:space="1" w:color="auto"/>
          <w:left w:val="single" w:sz="4" w:space="4" w:color="auto"/>
          <w:bottom w:val="single" w:sz="4" w:space="1" w:color="auto"/>
          <w:right w:val="single" w:sz="4" w:space="4" w:color="auto"/>
        </w:pBdr>
        <w:rPr>
          <w:noProof/>
        </w:rPr>
      </w:pPr>
      <w:r>
        <w:rPr>
          <w:noProof/>
        </w:rPr>
        <w:t>(c)</w:t>
      </w:r>
      <w:r>
        <w:rPr>
          <w:noProof/>
        </w:rPr>
        <w:tab/>
        <w:t>izboljšanjem in uskladitvijo zahtev glede kakovosti podatkov za zadevne informacijske sisteme EU;</w:t>
      </w:r>
    </w:p>
    <w:p>
      <w:pPr>
        <w:pStyle w:val="Text1"/>
        <w:pBdr>
          <w:top w:val="single" w:sz="4" w:space="1" w:color="auto"/>
          <w:left w:val="single" w:sz="4" w:space="4" w:color="auto"/>
          <w:bottom w:val="single" w:sz="4" w:space="1" w:color="auto"/>
          <w:right w:val="single" w:sz="4" w:space="4" w:color="auto"/>
        </w:pBdr>
        <w:rPr>
          <w:noProof/>
        </w:rPr>
      </w:pPr>
      <w:r>
        <w:rPr>
          <w:noProof/>
        </w:rPr>
        <w:t>(d)</w:t>
      </w:r>
      <w:r>
        <w:rPr>
          <w:noProof/>
        </w:rPr>
        <w:tab/>
        <w:t>olajšanjem tehničnega in operativnega izvajanja obstoječih in prihodnjih informacijskih sistemov EU s strani držav članic;</w:t>
      </w:r>
    </w:p>
    <w:p>
      <w:pPr>
        <w:pStyle w:val="Text1"/>
        <w:pBdr>
          <w:top w:val="single" w:sz="4" w:space="1" w:color="auto"/>
          <w:left w:val="single" w:sz="4" w:space="4" w:color="auto"/>
          <w:bottom w:val="single" w:sz="4" w:space="1" w:color="auto"/>
          <w:right w:val="single" w:sz="4" w:space="4" w:color="auto"/>
        </w:pBdr>
        <w:rPr>
          <w:noProof/>
        </w:rPr>
      </w:pPr>
      <w:r>
        <w:rPr>
          <w:noProof/>
        </w:rPr>
        <w:t>(e)</w:t>
      </w:r>
      <w:r>
        <w:rPr>
          <w:noProof/>
        </w:rPr>
        <w:tab/>
        <w:t>krepitvijo, poenostavitvijo in večjim poenotenjem pogojev za varnost in varstvo podatkov, ki urejajo zadevne informacijske sisteme EU;</w:t>
      </w:r>
    </w:p>
    <w:p>
      <w:pPr>
        <w:pStyle w:val="Text1"/>
        <w:pBdr>
          <w:top w:val="single" w:sz="4" w:space="1" w:color="auto"/>
          <w:left w:val="single" w:sz="4" w:space="4" w:color="auto"/>
          <w:bottom w:val="single" w:sz="4" w:space="1" w:color="auto"/>
          <w:right w:val="single" w:sz="4" w:space="4" w:color="auto"/>
        </w:pBdr>
        <w:rPr>
          <w:noProof/>
        </w:rPr>
      </w:pPr>
      <w:r>
        <w:rPr>
          <w:noProof/>
        </w:rPr>
        <w:t>(f)</w:t>
      </w:r>
      <w:r>
        <w:rPr>
          <w:noProof/>
        </w:rPr>
        <w:tab/>
        <w:t>poenostavitvijo in večjim poenotenjem pogojev za dostop organov kazenskega pregona do SVI, VIS, sistema ETIAS in sistema Eurodac;</w:t>
      </w:r>
    </w:p>
    <w:p>
      <w:pPr>
        <w:pStyle w:val="Text1"/>
        <w:pBdr>
          <w:top w:val="single" w:sz="4" w:space="1" w:color="auto"/>
          <w:left w:val="single" w:sz="4" w:space="4" w:color="auto"/>
          <w:bottom w:val="single" w:sz="4" w:space="1" w:color="auto"/>
          <w:right w:val="single" w:sz="4" w:space="4" w:color="auto"/>
        </w:pBdr>
        <w:rPr>
          <w:noProof/>
        </w:rPr>
      </w:pPr>
      <w:r>
        <w:rPr>
          <w:noProof/>
        </w:rPr>
        <w:t>(g)</w:t>
      </w:r>
      <w:r>
        <w:rPr>
          <w:noProof/>
        </w:rPr>
        <w:tab/>
        <w:t>podpiranjem namenov SVI, VIS, sistema ETIAS, sistema Eurodac, SIS in sistema ECRIS-TCN.</w:t>
      </w:r>
    </w:p>
    <w:p>
      <w:pPr>
        <w:pStyle w:val="Text1"/>
        <w:pBdr>
          <w:top w:val="single" w:sz="4" w:space="1" w:color="auto"/>
          <w:left w:val="single" w:sz="4" w:space="4" w:color="auto"/>
          <w:bottom w:val="single" w:sz="4" w:space="1" w:color="auto"/>
          <w:right w:val="single" w:sz="4" w:space="4" w:color="auto"/>
        </w:pBdr>
        <w:rPr>
          <w:noProof/>
        </w:rPr>
      </w:pPr>
      <w:r>
        <w:rPr>
          <w:noProof/>
        </w:rPr>
        <w:t>Zadevne dejavnosti v strukturi ABM/ABB</w:t>
      </w:r>
    </w:p>
    <w:p>
      <w:pPr>
        <w:pStyle w:val="Text1"/>
        <w:pBdr>
          <w:top w:val="single" w:sz="4" w:space="1" w:color="auto"/>
          <w:left w:val="single" w:sz="4" w:space="4" w:color="auto"/>
          <w:bottom w:val="single" w:sz="4" w:space="1" w:color="auto"/>
          <w:right w:val="single" w:sz="4" w:space="4" w:color="auto"/>
        </w:pBdr>
        <w:rPr>
          <w:noProof/>
        </w:rPr>
      </w:pPr>
      <w:r>
        <w:rPr>
          <w:noProof/>
        </w:rPr>
        <w:t>Poglavje Varnost in varstvo svoboščin: Notranja varnost</w:t>
      </w:r>
    </w:p>
    <w:p>
      <w:pPr>
        <w:pStyle w:val="Text1"/>
        <w:pBdr>
          <w:top w:val="single" w:sz="4" w:space="1" w:color="auto"/>
          <w:left w:val="single" w:sz="4" w:space="4" w:color="auto"/>
          <w:bottom w:val="single" w:sz="4" w:space="1" w:color="auto"/>
          <w:right w:val="single" w:sz="4" w:space="4" w:color="auto"/>
        </w:pBdr>
        <w:rPr>
          <w:noProof/>
        </w:rPr>
      </w:pPr>
    </w:p>
    <w:p>
      <w:pPr>
        <w:pStyle w:val="ManualHeading3"/>
        <w:rPr>
          <w:bCs/>
          <w:noProof/>
          <w:szCs w:val="24"/>
        </w:rPr>
      </w:pPr>
      <w:r>
        <w:rPr>
          <w:noProof/>
        </w:rPr>
        <w:br w:type="page"/>
      </w:r>
      <w:bookmarkStart w:id="272" w:name="_Toc498514156"/>
      <w:r>
        <w:t>1.4.3.</w:t>
      </w:r>
      <w:r>
        <w:tab/>
      </w:r>
      <w:r>
        <w:rPr>
          <w:noProof/>
        </w:rPr>
        <w:t>Pričakovani rezultati in posledice</w:t>
      </w:r>
      <w:bookmarkEnd w:id="272"/>
    </w:p>
    <w:p>
      <w:pPr>
        <w:pStyle w:val="Text1"/>
        <w:rPr>
          <w:i/>
          <w:noProof/>
          <w:sz w:val="20"/>
        </w:rPr>
      </w:pPr>
      <w:r>
        <w:rPr>
          <w:i/>
          <w:noProof/>
          <w:sz w:val="20"/>
        </w:rPr>
        <w:t>Navedite, kakšne posledice naj bi imel(-a) predlog/pobuda za upravičence/ciljne skupine.</w:t>
      </w:r>
    </w:p>
    <w:p>
      <w:pPr>
        <w:pStyle w:val="Text1"/>
        <w:pBdr>
          <w:top w:val="single" w:sz="4" w:space="1" w:color="auto"/>
          <w:left w:val="single" w:sz="4" w:space="4" w:color="auto"/>
          <w:bottom w:val="single" w:sz="4" w:space="1" w:color="auto"/>
          <w:right w:val="single" w:sz="4" w:space="4" w:color="auto"/>
        </w:pBdr>
        <w:rPr>
          <w:noProof/>
        </w:rPr>
      </w:pPr>
      <w:r>
        <w:rPr>
          <w:noProof/>
        </w:rPr>
        <w:t>Splošni cilji te pobude izhajajo iz dveh ciljev, ki temeljita na Pogodbah:</w:t>
      </w:r>
    </w:p>
    <w:p>
      <w:pPr>
        <w:pStyle w:val="Text1"/>
        <w:pBdr>
          <w:top w:val="single" w:sz="4" w:space="1" w:color="auto"/>
          <w:left w:val="single" w:sz="4" w:space="4" w:color="auto"/>
          <w:bottom w:val="single" w:sz="4" w:space="1" w:color="auto"/>
          <w:right w:val="single" w:sz="4" w:space="4" w:color="auto"/>
        </w:pBdr>
        <w:rPr>
          <w:noProof/>
        </w:rPr>
      </w:pPr>
      <w:r>
        <w:rPr>
          <w:noProof/>
        </w:rPr>
        <w:tab/>
        <w:t>1. izboljšati upravljanje schengenskih zunanjih meja na podlagi evropske agende o migracijah in nadaljnjih sporočil, vključno s sporočilom o ohranitvi in krepitvi schengenskega območja;</w:t>
      </w:r>
    </w:p>
    <w:p>
      <w:pPr>
        <w:pStyle w:val="Text1"/>
        <w:pBdr>
          <w:top w:val="single" w:sz="4" w:space="1" w:color="auto"/>
          <w:left w:val="single" w:sz="4" w:space="4" w:color="auto"/>
          <w:bottom w:val="single" w:sz="4" w:space="1" w:color="auto"/>
          <w:right w:val="single" w:sz="4" w:space="4" w:color="auto"/>
        </w:pBdr>
        <w:rPr>
          <w:noProof/>
        </w:rPr>
      </w:pPr>
      <w:r>
        <w:rPr>
          <w:noProof/>
        </w:rPr>
        <w:tab/>
        <w:t>2. prispevati k notranji varnosti Evropske unije na podlagi evropske agende za varnost ter dela Komisije pri vzpostavljanju učinkovite in prave varnostne unije.</w:t>
      </w:r>
    </w:p>
    <w:p>
      <w:pPr>
        <w:pStyle w:val="Text1"/>
        <w:pBdr>
          <w:top w:val="single" w:sz="4" w:space="1" w:color="auto"/>
          <w:left w:val="single" w:sz="4" w:space="4" w:color="auto"/>
          <w:bottom w:val="single" w:sz="4" w:space="1" w:color="auto"/>
          <w:right w:val="single" w:sz="4" w:space="4" w:color="auto"/>
        </w:pBdr>
        <w:rPr>
          <w:noProof/>
        </w:rPr>
      </w:pPr>
      <w:r>
        <w:rPr>
          <w:noProof/>
        </w:rPr>
        <w:t>Specifični cilji politike te pobude za interoperabilnost so:</w:t>
      </w:r>
    </w:p>
    <w:p>
      <w:pPr>
        <w:pStyle w:val="Text1"/>
        <w:pBdr>
          <w:top w:val="single" w:sz="4" w:space="1" w:color="auto"/>
          <w:left w:val="single" w:sz="4" w:space="4" w:color="auto"/>
          <w:bottom w:val="single" w:sz="4" w:space="1" w:color="auto"/>
          <w:right w:val="single" w:sz="4" w:space="4" w:color="auto"/>
        </w:pBdr>
        <w:rPr>
          <w:noProof/>
        </w:rPr>
      </w:pPr>
      <w:r>
        <w:rPr>
          <w:noProof/>
        </w:rPr>
        <w:t>Specifični cilji tega predloga so:</w:t>
      </w:r>
    </w:p>
    <w:p>
      <w:pPr>
        <w:pStyle w:val="Text1"/>
        <w:pBdr>
          <w:top w:val="single" w:sz="4" w:space="1" w:color="auto"/>
          <w:left w:val="single" w:sz="4" w:space="4" w:color="auto"/>
          <w:bottom w:val="single" w:sz="4" w:space="1" w:color="auto"/>
          <w:right w:val="single" w:sz="4" w:space="4" w:color="auto"/>
        </w:pBdr>
        <w:rPr>
          <w:noProof/>
        </w:rPr>
      </w:pPr>
      <w:r>
        <w:rPr>
          <w:noProof/>
        </w:rPr>
        <w:t>1.</w:t>
      </w:r>
      <w:r>
        <w:rPr>
          <w:noProof/>
        </w:rPr>
        <w:tab/>
        <w:t>zagotoviti, da imajo končni uporabniki, zlasti mejni policisti, uslužbenci organov kazenskega pregona, uradniki za priseljevanje in sodni organi, hiter, nemoten, sistematičen in nadzorovan dostop do informacij, ki jih potrebujejo za opravljanje svojih nalog;</w:t>
      </w:r>
    </w:p>
    <w:p>
      <w:pPr>
        <w:pStyle w:val="Text1"/>
        <w:pBdr>
          <w:top w:val="single" w:sz="4" w:space="1" w:color="auto"/>
          <w:left w:val="single" w:sz="4" w:space="4" w:color="auto"/>
          <w:bottom w:val="single" w:sz="4" w:space="1" w:color="auto"/>
          <w:right w:val="single" w:sz="4" w:space="4" w:color="auto"/>
        </w:pBdr>
        <w:rPr>
          <w:noProof/>
        </w:rPr>
      </w:pPr>
      <w:r>
        <w:rPr>
          <w:noProof/>
        </w:rPr>
        <w:t>2.</w:t>
      </w:r>
      <w:r>
        <w:rPr>
          <w:noProof/>
        </w:rPr>
        <w:tab/>
        <w:t>najti rešitev za odkrivanje več identitet, povezanih z istim nizom biometričnih podatkov, z namenom zagotavljanja pravilne identifikacije dobrovernih oseb in boja proti identitetni prevari;</w:t>
      </w:r>
    </w:p>
    <w:p>
      <w:pPr>
        <w:pStyle w:val="Text1"/>
        <w:pBdr>
          <w:top w:val="single" w:sz="4" w:space="1" w:color="auto"/>
          <w:left w:val="single" w:sz="4" w:space="4" w:color="auto"/>
          <w:bottom w:val="single" w:sz="4" w:space="1" w:color="auto"/>
          <w:right w:val="single" w:sz="4" w:space="4" w:color="auto"/>
        </w:pBdr>
        <w:rPr>
          <w:noProof/>
        </w:rPr>
      </w:pPr>
      <w:r>
        <w:rPr>
          <w:noProof/>
        </w:rPr>
        <w:t>3.</w:t>
      </w:r>
      <w:r>
        <w:rPr>
          <w:noProof/>
        </w:rPr>
        <w:tab/>
        <w:t>policijskim organom olajšati ugotavljanje identitete državljanov tretjih držav na ozemlju države članice ter</w:t>
      </w:r>
    </w:p>
    <w:p>
      <w:pPr>
        <w:pStyle w:val="Text1"/>
        <w:pBdr>
          <w:top w:val="single" w:sz="4" w:space="1" w:color="auto"/>
          <w:left w:val="single" w:sz="4" w:space="4" w:color="auto"/>
          <w:bottom w:val="single" w:sz="4" w:space="1" w:color="auto"/>
          <w:right w:val="single" w:sz="4" w:space="4" w:color="auto"/>
        </w:pBdr>
        <w:rPr>
          <w:noProof/>
        </w:rPr>
      </w:pPr>
      <w:r>
        <w:rPr>
          <w:noProof/>
        </w:rPr>
        <w:t>4.</w:t>
      </w:r>
      <w:r>
        <w:rPr>
          <w:noProof/>
        </w:rPr>
        <w:tab/>
        <w:t>olajšati in racionalizirati dostop organov kazenskega pregona do informacijskih sistemov na ravni EU, ki niso povezani s kazenskim pregonom, kadar je to potrebno za preprečevanje, preiskovanje, odkrivanje ali pregon hudih kaznivih dejanj in terorizma.</w:t>
      </w:r>
      <w:r>
        <w:rPr>
          <w:noProof/>
        </w:rPr>
        <w:tab/>
      </w:r>
    </w:p>
    <w:p>
      <w:pPr>
        <w:pStyle w:val="Text1"/>
        <w:pBdr>
          <w:top w:val="single" w:sz="4" w:space="1" w:color="auto"/>
          <w:left w:val="single" w:sz="4" w:space="4" w:color="auto"/>
          <w:bottom w:val="single" w:sz="4" w:space="1" w:color="auto"/>
          <w:right w:val="single" w:sz="4" w:space="4" w:color="auto"/>
        </w:pBdr>
        <w:rPr>
          <w:noProof/>
        </w:rPr>
      </w:pPr>
      <w:r>
        <w:rPr>
          <w:noProof/>
        </w:rPr>
        <w:t>Za doseganje specifičnega cilja 1 se bo razvil evropski iskalni portal (ESP).</w:t>
      </w:r>
    </w:p>
    <w:p>
      <w:pPr>
        <w:pStyle w:val="Text1"/>
        <w:pBdr>
          <w:top w:val="single" w:sz="4" w:space="1" w:color="auto"/>
          <w:left w:val="single" w:sz="4" w:space="4" w:color="auto"/>
          <w:bottom w:val="single" w:sz="4" w:space="1" w:color="auto"/>
          <w:right w:val="single" w:sz="4" w:space="4" w:color="auto"/>
        </w:pBdr>
        <w:rPr>
          <w:noProof/>
        </w:rPr>
      </w:pPr>
      <w:r>
        <w:rPr>
          <w:noProof/>
        </w:rPr>
        <w:t>Za doseganje specifičnega cilja 2 se bo uvedel detektor več identitet (MID), ki ga bosta podpirala skupno odložišče podatkov o identiteti (CIR) in skupna storitev za ugotavljanje ujemanja biometričnih podatkov (skupna BMS).</w:t>
      </w:r>
    </w:p>
    <w:p>
      <w:pPr>
        <w:pStyle w:val="Text1"/>
        <w:pBdr>
          <w:top w:val="single" w:sz="4" w:space="1" w:color="auto"/>
          <w:left w:val="single" w:sz="4" w:space="4" w:color="auto"/>
          <w:bottom w:val="single" w:sz="4" w:space="1" w:color="auto"/>
          <w:right w:val="single" w:sz="4" w:space="4" w:color="auto"/>
        </w:pBdr>
        <w:rPr>
          <w:noProof/>
        </w:rPr>
      </w:pPr>
      <w:r>
        <w:rPr>
          <w:noProof/>
        </w:rPr>
        <w:t xml:space="preserve">Za doseganje specifičnega cilja 3 bo pooblaščenim uradnikom odobren dostop do CIR za namene identifikacije. </w:t>
      </w:r>
    </w:p>
    <w:p>
      <w:pPr>
        <w:pStyle w:val="Text1"/>
        <w:pBdr>
          <w:top w:val="single" w:sz="4" w:space="1" w:color="auto"/>
          <w:left w:val="single" w:sz="4" w:space="4" w:color="auto"/>
          <w:bottom w:val="single" w:sz="4" w:space="1" w:color="auto"/>
          <w:right w:val="single" w:sz="4" w:space="4" w:color="auto"/>
        </w:pBdr>
        <w:rPr>
          <w:noProof/>
        </w:rPr>
      </w:pPr>
      <w:r>
        <w:rPr>
          <w:noProof/>
        </w:rPr>
        <w:t>Za doseganje cilja 4 bo CIR vseboval funkcionalnost zadetkov, ki bo omogočala dvostopenjski pristop k dostopu organov kazenskega pregona do sistemov za upravljanje meja.</w:t>
      </w:r>
    </w:p>
    <w:p>
      <w:pPr>
        <w:pStyle w:val="Text1"/>
        <w:pBdr>
          <w:top w:val="single" w:sz="4" w:space="1" w:color="auto"/>
          <w:left w:val="single" w:sz="4" w:space="4" w:color="auto"/>
          <w:bottom w:val="single" w:sz="4" w:space="1" w:color="auto"/>
          <w:right w:val="single" w:sz="4" w:space="4" w:color="auto"/>
        </w:pBdr>
        <w:rPr>
          <w:noProof/>
        </w:rPr>
      </w:pPr>
      <w:r>
        <w:rPr>
          <w:noProof/>
        </w:rPr>
        <w:t>Poleg teh štirih sestavnih delov interoperabilnosti bodo cilji iz oddelka 1.4.2 nadalje podprti z uvedbo in upravljanjem univerzalnega formata sporočil (UMF) kot standarda EU za razvoj informacijskih sistemov na področju pravosodja in notranjih zadev ter z vzpostavitvijo centralnega registra za poročanje in statistične podatke (CRRS).</w:t>
      </w:r>
    </w:p>
    <w:p>
      <w:pPr>
        <w:pStyle w:val="ManualHeading3"/>
        <w:rPr>
          <w:bCs/>
          <w:noProof/>
          <w:szCs w:val="24"/>
        </w:rPr>
      </w:pPr>
      <w:bookmarkStart w:id="273" w:name="_Toc498514157"/>
      <w:r>
        <w:t>1.4.4.</w:t>
      </w:r>
      <w:r>
        <w:tab/>
      </w:r>
      <w:r>
        <w:rPr>
          <w:noProof/>
        </w:rPr>
        <w:t>Kazalniki rezultatov in posledic</w:t>
      </w:r>
      <w:bookmarkEnd w:id="273"/>
      <w:r>
        <w:rPr>
          <w:noProof/>
        </w:rPr>
        <w:t xml:space="preserve"> </w:t>
      </w:r>
    </w:p>
    <w:p>
      <w:pPr>
        <w:pStyle w:val="Text1"/>
        <w:rPr>
          <w:i/>
          <w:noProof/>
          <w:sz w:val="20"/>
        </w:rPr>
      </w:pPr>
      <w:r>
        <w:rPr>
          <w:i/>
          <w:noProof/>
          <w:sz w:val="20"/>
        </w:rPr>
        <w:t>Navedite, s katerimi kazalniki se bo spremljalo izvajanje predloga/pobude.</w:t>
      </w:r>
    </w:p>
    <w:p>
      <w:pPr>
        <w:pStyle w:val="Text1"/>
        <w:pBdr>
          <w:top w:val="single" w:sz="4" w:space="1" w:color="auto"/>
          <w:left w:val="single" w:sz="4" w:space="4" w:color="auto"/>
          <w:bottom w:val="single" w:sz="4" w:space="1" w:color="auto"/>
          <w:right w:val="single" w:sz="4" w:space="4" w:color="auto"/>
        </w:pBdr>
        <w:rPr>
          <w:noProof/>
        </w:rPr>
      </w:pPr>
      <w:r>
        <w:rPr>
          <w:noProof/>
        </w:rPr>
        <w:t>Pri vsakem predlaganem ukrepu bodo potrebni razvoj, nato pa vzdrževanje in delovanje posameznega sestavnega dela.</w:t>
      </w:r>
    </w:p>
    <w:p>
      <w:pPr>
        <w:pStyle w:val="Text1"/>
        <w:pBdr>
          <w:top w:val="single" w:sz="4" w:space="1" w:color="auto"/>
          <w:left w:val="single" w:sz="4" w:space="4" w:color="auto"/>
          <w:bottom w:val="single" w:sz="4" w:space="1" w:color="auto"/>
          <w:right w:val="single" w:sz="4" w:space="4" w:color="auto"/>
        </w:pBdr>
        <w:rPr>
          <w:noProof/>
        </w:rPr>
      </w:pPr>
      <w:r>
        <w:rPr>
          <w:noProof/>
        </w:rPr>
        <w:t>Med razvojem</w:t>
      </w:r>
    </w:p>
    <w:p>
      <w:pPr>
        <w:pStyle w:val="Text1"/>
        <w:pBdr>
          <w:top w:val="single" w:sz="4" w:space="1" w:color="auto"/>
          <w:left w:val="single" w:sz="4" w:space="4" w:color="auto"/>
          <w:bottom w:val="single" w:sz="4" w:space="1" w:color="auto"/>
          <w:right w:val="single" w:sz="4" w:space="4" w:color="auto"/>
        </w:pBdr>
        <w:rPr>
          <w:noProof/>
        </w:rPr>
      </w:pPr>
      <w:r>
        <w:rPr>
          <w:noProof/>
        </w:rPr>
        <w:t>Razvoj vsakega sestavnega dela se bo izvedel, ko bodo za to izpolnjeni predpogoji, tj. ko bosta sozakonodajalca sprejela pravni predlog in bodo izpolnjeni tehnični predpogoji, saj se nekateri sestavni deli lahko vzpostavijo šele, ko so na voljo drugi.</w:t>
      </w:r>
    </w:p>
    <w:p>
      <w:pPr>
        <w:pStyle w:val="Text1"/>
        <w:pBdr>
          <w:top w:val="single" w:sz="4" w:space="1" w:color="auto"/>
          <w:left w:val="single" w:sz="4" w:space="4" w:color="auto"/>
          <w:bottom w:val="single" w:sz="4" w:space="1" w:color="auto"/>
          <w:right w:val="single" w:sz="4" w:space="4" w:color="auto"/>
        </w:pBdr>
        <w:rPr>
          <w:noProof/>
        </w:rPr>
      </w:pPr>
      <w:r>
        <w:rPr>
          <w:noProof/>
        </w:rPr>
        <w:t>Specifični cilj: pripravljenost za delovanje do ciljnega roka</w:t>
      </w:r>
    </w:p>
    <w:p>
      <w:pPr>
        <w:pStyle w:val="Text1"/>
        <w:pBdr>
          <w:top w:val="single" w:sz="4" w:space="1" w:color="auto"/>
          <w:left w:val="single" w:sz="4" w:space="4" w:color="auto"/>
          <w:bottom w:val="single" w:sz="4" w:space="1" w:color="auto"/>
          <w:right w:val="single" w:sz="4" w:space="4" w:color="auto"/>
        </w:pBdr>
        <w:rPr>
          <w:noProof/>
        </w:rPr>
      </w:pPr>
      <w:r>
        <w:rPr>
          <w:noProof/>
        </w:rPr>
        <w:t>Do konca leta 2017 se predlog pošlje sozakonodajalcema v sprejetje. Predpostavlja se, da bo po analogiji glede na čas, potreben za sprejetje drugih predlogov, postopek sprejetja končan v letu 2018.</w:t>
      </w:r>
    </w:p>
    <w:p>
      <w:pPr>
        <w:pStyle w:val="Text1"/>
        <w:pBdr>
          <w:top w:val="single" w:sz="4" w:space="1" w:color="auto"/>
          <w:left w:val="single" w:sz="4" w:space="4" w:color="auto"/>
          <w:bottom w:val="single" w:sz="4" w:space="1" w:color="auto"/>
          <w:right w:val="single" w:sz="4" w:space="4" w:color="auto"/>
        </w:pBdr>
        <w:rPr>
          <w:noProof/>
        </w:rPr>
      </w:pPr>
      <w:r>
        <w:rPr>
          <w:noProof/>
        </w:rPr>
        <w:t>V skladu s to predpostavko je kot začetek obdobja razvoja določen začetek leta 2019 (= T0), s čimer je postavljena referenčna točka za merjenje trajanja, ne pa absolutni datumi. Če bosta sozakonodajalca predlog sprejela pozneje, se celoten razpored ustrezno zamakne. Poleg tega mora biti pred dokončanjem CIR in MID skupna BMS že na voljo. Trajanje razvoja je prikazano v spodnji razpredelnici:</w:t>
      </w:r>
    </w:p>
    <w:p>
      <w:pPr>
        <w:pStyle w:val="Text1"/>
        <w:pBdr>
          <w:top w:val="single" w:sz="4" w:space="1" w:color="auto"/>
          <w:left w:val="single" w:sz="4" w:space="4" w:color="auto"/>
          <w:bottom w:val="single" w:sz="4" w:space="1" w:color="auto"/>
          <w:right w:val="single" w:sz="4" w:space="4" w:color="auto"/>
        </w:pBdr>
        <w:rPr>
          <w:noProof/>
        </w:rPr>
      </w:pPr>
      <w:r>
        <w:rPr>
          <w:noProof/>
          <w:lang w:val="en-US" w:eastAsia="en-US" w:bidi="ar-SA"/>
        </w:rPr>
        <w:drawing>
          <wp:inline distT="0" distB="0" distL="0" distR="0">
            <wp:extent cx="5124450" cy="171629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24450" cy="1716294"/>
                    </a:xfrm>
                    <a:prstGeom prst="rect">
                      <a:avLst/>
                    </a:prstGeom>
                    <a:noFill/>
                    <a:ln>
                      <a:noFill/>
                    </a:ln>
                  </pic:spPr>
                </pic:pic>
              </a:graphicData>
            </a:graphic>
          </wp:inline>
        </w:drawing>
      </w:r>
    </w:p>
    <w:p>
      <w:pPr>
        <w:pStyle w:val="Text1"/>
        <w:pBdr>
          <w:top w:val="single" w:sz="4" w:space="1" w:color="auto"/>
          <w:left w:val="single" w:sz="4" w:space="4" w:color="auto"/>
          <w:bottom w:val="single" w:sz="4" w:space="1" w:color="auto"/>
          <w:right w:val="single" w:sz="4" w:space="4" w:color="auto"/>
        </w:pBdr>
        <w:rPr>
          <w:noProof/>
        </w:rPr>
      </w:pPr>
      <w:r>
        <w:rPr>
          <w:noProof/>
        </w:rPr>
        <w:t>(rumeno polje se nanaša na posebno nalogo, povezano s sistemom Eurodac).</w:t>
      </w:r>
    </w:p>
    <w:p>
      <w:pPr>
        <w:pStyle w:val="Text1"/>
        <w:pBdr>
          <w:top w:val="single" w:sz="4" w:space="1" w:color="auto"/>
          <w:left w:val="single" w:sz="4" w:space="4" w:color="auto"/>
          <w:bottom w:val="single" w:sz="4" w:space="1" w:color="auto"/>
          <w:right w:val="single" w:sz="4" w:space="4" w:color="auto"/>
        </w:pBdr>
        <w:rPr>
          <w:noProof/>
        </w:rPr>
      </w:pPr>
      <w:r>
        <w:rPr>
          <w:noProof/>
        </w:rPr>
        <w:t>– Centralni register za poročanje in statistične podatke (CRRS): rok: T0 + 12 mesecev (2019–2020).</w:t>
      </w:r>
    </w:p>
    <w:p>
      <w:pPr>
        <w:pStyle w:val="Text1"/>
        <w:pBdr>
          <w:top w:val="single" w:sz="4" w:space="1" w:color="auto"/>
          <w:left w:val="single" w:sz="4" w:space="4" w:color="auto"/>
          <w:bottom w:val="single" w:sz="4" w:space="1" w:color="auto"/>
          <w:right w:val="single" w:sz="4" w:space="4" w:color="auto"/>
        </w:pBdr>
        <w:rPr>
          <w:noProof/>
        </w:rPr>
      </w:pPr>
      <w:r>
        <w:rPr>
          <w:noProof/>
        </w:rPr>
        <w:t>– Evropski iskalni portal (ESP): rok: T0 + 36 mesecev (2019–2021).</w:t>
      </w:r>
    </w:p>
    <w:p>
      <w:pPr>
        <w:pStyle w:val="Text1"/>
        <w:pBdr>
          <w:top w:val="single" w:sz="4" w:space="1" w:color="auto"/>
          <w:left w:val="single" w:sz="4" w:space="4" w:color="auto"/>
          <w:bottom w:val="single" w:sz="4" w:space="1" w:color="auto"/>
          <w:right w:val="single" w:sz="4" w:space="4" w:color="auto"/>
        </w:pBdr>
        <w:rPr>
          <w:noProof/>
        </w:rPr>
      </w:pPr>
      <w:r>
        <w:rPr>
          <w:noProof/>
        </w:rPr>
        <w:t>– Skupna storitev za ugotavljanje ujemanja biometričnih podatkov (skupna BMS) se najprej ustvari za izvajanje sistema vstopa/izstopa (SVI). Ko bo ta ključna točka dosežena, bo treba aplikacije, ki bodo uporabljale skupno BMS, posodobiti, podatki iz sistema za avtomatizirano identifikacijo prstnih odtisov (AFIS) SIS, AFIS sistema Eurodac ter podatki iz sistema ECRIS-TCN pa bodo migrirali na skupno BMS. Rok za dokončanje je konec leta 2023.</w:t>
      </w:r>
    </w:p>
    <w:p>
      <w:pPr>
        <w:pStyle w:val="Text1"/>
        <w:pBdr>
          <w:top w:val="single" w:sz="4" w:space="1" w:color="auto"/>
          <w:left w:val="single" w:sz="4" w:space="4" w:color="auto"/>
          <w:bottom w:val="single" w:sz="4" w:space="1" w:color="auto"/>
          <w:right w:val="single" w:sz="4" w:space="4" w:color="auto"/>
        </w:pBdr>
        <w:rPr>
          <w:noProof/>
        </w:rPr>
      </w:pPr>
      <w:r>
        <w:rPr>
          <w:noProof/>
        </w:rPr>
        <w:t xml:space="preserve">– Skupno odložišče podatkov o identiteti (CIR) se najprej ustvari med uvedbo SVI. Po dokončanju SVI se bodo podatki iz sistemov Eurodac in ECRIS vključili v CIR. Rok za dokončanje je konec leta 2022 (razpoložljivost skupne BMS + 12 mesecev). </w:t>
      </w:r>
    </w:p>
    <w:p>
      <w:pPr>
        <w:pStyle w:val="Text1"/>
        <w:pBdr>
          <w:top w:val="single" w:sz="4" w:space="1" w:color="auto"/>
          <w:left w:val="single" w:sz="4" w:space="4" w:color="auto"/>
          <w:bottom w:val="single" w:sz="4" w:space="1" w:color="auto"/>
          <w:right w:val="single" w:sz="4" w:space="4" w:color="auto"/>
        </w:pBdr>
        <w:rPr>
          <w:noProof/>
        </w:rPr>
      </w:pPr>
      <w:r>
        <w:rPr>
          <w:noProof/>
        </w:rPr>
        <w:t>– Detektor več identitet (MID) se ustvari po tem, ko CIR že deluje. Rok za dokončanje je konec leta 2022 (razpoložljivost skupne BMS + 24 mesecev), obstaja pa obdobje, ki bo zahtevalo veliko virov in med katerim se bodo potrjevale povezave med identitetami, ki jih bo predlagal MID. Vsako ocenjeno povezavo je treba potrditi ročno. To bo trajalo do konca leta 2023.</w:t>
      </w:r>
    </w:p>
    <w:p>
      <w:pPr>
        <w:pStyle w:val="Text1"/>
        <w:pBdr>
          <w:top w:val="single" w:sz="4" w:space="1" w:color="auto"/>
          <w:left w:val="single" w:sz="4" w:space="4" w:color="auto"/>
          <w:bottom w:val="single" w:sz="4" w:space="1" w:color="auto"/>
          <w:right w:val="single" w:sz="4" w:space="4" w:color="auto"/>
        </w:pBdr>
        <w:rPr>
          <w:noProof/>
        </w:rPr>
      </w:pPr>
      <w:r>
        <w:rPr>
          <w:noProof/>
        </w:rPr>
        <w:t>Obdobje delovanja se bo začelo po zaključku zgoraj navedenega obdobja razvoja.</w:t>
      </w:r>
    </w:p>
    <w:p>
      <w:pPr>
        <w:pStyle w:val="Text1"/>
        <w:pBdr>
          <w:top w:val="single" w:sz="4" w:space="1" w:color="auto"/>
          <w:left w:val="single" w:sz="4" w:space="4" w:color="auto"/>
          <w:bottom w:val="single" w:sz="4" w:space="1" w:color="auto"/>
          <w:right w:val="single" w:sz="4" w:space="4" w:color="auto"/>
        </w:pBdr>
        <w:rPr>
          <w:noProof/>
        </w:rPr>
      </w:pPr>
      <w:r>
        <w:rPr>
          <w:noProof/>
        </w:rPr>
        <w:t>Delovanje</w:t>
      </w:r>
    </w:p>
    <w:p>
      <w:pPr>
        <w:pStyle w:val="Text1"/>
        <w:pBdr>
          <w:top w:val="single" w:sz="4" w:space="1" w:color="auto"/>
          <w:left w:val="single" w:sz="4" w:space="4" w:color="auto"/>
          <w:bottom w:val="single" w:sz="4" w:space="1" w:color="auto"/>
          <w:right w:val="single" w:sz="4" w:space="4" w:color="auto"/>
        </w:pBdr>
        <w:rPr>
          <w:noProof/>
        </w:rPr>
      </w:pPr>
      <w:r>
        <w:rPr>
          <w:noProof/>
        </w:rPr>
        <w:t xml:space="preserve">Kazalniki, povezani s posameznim specifičnim ciljem iz točke 1.4.3: </w:t>
      </w:r>
    </w:p>
    <w:p>
      <w:pPr>
        <w:pStyle w:val="Text1"/>
        <w:pBdr>
          <w:top w:val="single" w:sz="4" w:space="1" w:color="auto"/>
          <w:left w:val="single" w:sz="4" w:space="4" w:color="auto"/>
          <w:bottom w:val="single" w:sz="4" w:space="1" w:color="auto"/>
          <w:right w:val="single" w:sz="4" w:space="4" w:color="auto"/>
        </w:pBdr>
        <w:rPr>
          <w:noProof/>
        </w:rPr>
      </w:pPr>
      <w:r>
        <w:rPr>
          <w:noProof/>
        </w:rPr>
        <w:t>1. Specifični cilj: Hiter, nemoten in sistematičen dostop do pooblaščenih virov podatkov</w:t>
      </w:r>
    </w:p>
    <w:p>
      <w:pPr>
        <w:pStyle w:val="Text1"/>
        <w:pBdr>
          <w:top w:val="single" w:sz="4" w:space="1" w:color="auto"/>
          <w:left w:val="single" w:sz="4" w:space="4" w:color="auto"/>
          <w:bottom w:val="single" w:sz="4" w:space="1" w:color="auto"/>
          <w:right w:val="single" w:sz="4" w:space="4" w:color="auto"/>
        </w:pBdr>
        <w:rPr>
          <w:noProof/>
        </w:rPr>
      </w:pPr>
      <w:r>
        <w:rPr>
          <w:noProof/>
        </w:rPr>
        <w:t>– Število primerov uporabe (= število poizvedb, ki se lahko opravijo prek ESP) v določenem obdobju.</w:t>
      </w:r>
    </w:p>
    <w:p>
      <w:pPr>
        <w:pStyle w:val="Text1"/>
        <w:pBdr>
          <w:top w:val="single" w:sz="4" w:space="1" w:color="auto"/>
          <w:left w:val="single" w:sz="4" w:space="4" w:color="auto"/>
          <w:bottom w:val="single" w:sz="4" w:space="1" w:color="auto"/>
          <w:right w:val="single" w:sz="4" w:space="4" w:color="auto"/>
        </w:pBdr>
        <w:rPr>
          <w:noProof/>
        </w:rPr>
      </w:pPr>
      <w:r>
        <w:rPr>
          <w:noProof/>
        </w:rPr>
        <w:t>– Število poizvedb, ki se opravijo prek ESP, v primerjavi s skupnim številom poizvedb (prek ESP in sistemov neposredno) v določenem obdobju.</w:t>
      </w:r>
    </w:p>
    <w:p>
      <w:pPr>
        <w:pStyle w:val="Text1"/>
        <w:pBdr>
          <w:top w:val="single" w:sz="4" w:space="1" w:color="auto"/>
          <w:left w:val="single" w:sz="4" w:space="4" w:color="auto"/>
          <w:bottom w:val="single" w:sz="4" w:space="1" w:color="auto"/>
          <w:right w:val="single" w:sz="4" w:space="4" w:color="auto"/>
        </w:pBdr>
        <w:rPr>
          <w:noProof/>
        </w:rPr>
      </w:pPr>
      <w:r>
        <w:rPr>
          <w:noProof/>
        </w:rPr>
        <w:t>2. Specifični cilj: Odkrivanje več identitet</w:t>
      </w:r>
    </w:p>
    <w:p>
      <w:pPr>
        <w:pStyle w:val="Text1"/>
        <w:pBdr>
          <w:top w:val="single" w:sz="4" w:space="1" w:color="auto"/>
          <w:left w:val="single" w:sz="4" w:space="4" w:color="auto"/>
          <w:bottom w:val="single" w:sz="4" w:space="1" w:color="auto"/>
          <w:right w:val="single" w:sz="4" w:space="4" w:color="auto"/>
        </w:pBdr>
        <w:rPr>
          <w:noProof/>
        </w:rPr>
      </w:pPr>
      <w:r>
        <w:rPr>
          <w:noProof/>
        </w:rPr>
        <w:t xml:space="preserve">– Število identitet, povezanih z istim nizom biometričnih podatkov, </w:t>
      </w:r>
      <w:r>
        <w:rPr>
          <w:noProof/>
          <w:color w:val="000000" w:themeColor="text1"/>
        </w:rPr>
        <w:t>v primerjavi</w:t>
      </w:r>
      <w:r>
        <w:rPr>
          <w:noProof/>
        </w:rPr>
        <w:t xml:space="preserve"> s številom identitet z biografskimi podatki v določenem obdobju.</w:t>
      </w:r>
    </w:p>
    <w:p>
      <w:pPr>
        <w:pStyle w:val="Text1"/>
        <w:pBdr>
          <w:top w:val="single" w:sz="4" w:space="1" w:color="auto"/>
          <w:left w:val="single" w:sz="4" w:space="4" w:color="auto"/>
          <w:bottom w:val="single" w:sz="4" w:space="1" w:color="auto"/>
          <w:right w:val="single" w:sz="4" w:space="4" w:color="auto"/>
        </w:pBdr>
        <w:rPr>
          <w:noProof/>
        </w:rPr>
      </w:pPr>
      <w:r>
        <w:rPr>
          <w:noProof/>
        </w:rPr>
        <w:t>– Število ugotovljenih primerov identitetne prevare v primerjavi s številom povezanih identitet in skupnim številom identitet</w:t>
      </w:r>
      <w:r>
        <w:rPr>
          <w:noProof/>
          <w:color w:val="000000" w:themeColor="text1"/>
        </w:rPr>
        <w:t xml:space="preserve"> </w:t>
      </w:r>
      <w:r>
        <w:rPr>
          <w:noProof/>
        </w:rPr>
        <w:t>v določenem obdobju.</w:t>
      </w:r>
    </w:p>
    <w:p>
      <w:pPr>
        <w:pStyle w:val="Text1"/>
        <w:pBdr>
          <w:top w:val="single" w:sz="4" w:space="1" w:color="auto"/>
          <w:left w:val="single" w:sz="4" w:space="4" w:color="auto"/>
          <w:bottom w:val="single" w:sz="4" w:space="1" w:color="auto"/>
          <w:right w:val="single" w:sz="4" w:space="4" w:color="auto"/>
        </w:pBdr>
        <w:rPr>
          <w:noProof/>
        </w:rPr>
      </w:pPr>
      <w:r>
        <w:rPr>
          <w:noProof/>
        </w:rPr>
        <w:t>3. Specifični cilj: Olajšanje identifikacije državljanov tretjih držav</w:t>
      </w:r>
    </w:p>
    <w:p>
      <w:pPr>
        <w:pStyle w:val="Text1"/>
        <w:pBdr>
          <w:top w:val="single" w:sz="4" w:space="1" w:color="auto"/>
          <w:left w:val="single" w:sz="4" w:space="4" w:color="auto"/>
          <w:bottom w:val="single" w:sz="4" w:space="1" w:color="auto"/>
          <w:right w:val="single" w:sz="4" w:space="4" w:color="auto"/>
        </w:pBdr>
        <w:rPr>
          <w:noProof/>
        </w:rPr>
      </w:pPr>
      <w:r>
        <w:rPr>
          <w:noProof/>
        </w:rPr>
        <w:t xml:space="preserve">– Število opravljenih preverjanj identitete </w:t>
      </w:r>
      <w:r>
        <w:rPr>
          <w:noProof/>
          <w:color w:val="000000" w:themeColor="text1"/>
        </w:rPr>
        <w:t>v primerjavi</w:t>
      </w:r>
      <w:r>
        <w:rPr>
          <w:noProof/>
        </w:rPr>
        <w:t xml:space="preserve"> s skupnim številom transakcij v določenem obdobju.</w:t>
      </w:r>
    </w:p>
    <w:p>
      <w:pPr>
        <w:pStyle w:val="Text1"/>
        <w:pBdr>
          <w:top w:val="single" w:sz="4" w:space="1" w:color="auto"/>
          <w:left w:val="single" w:sz="4" w:space="4" w:color="auto"/>
          <w:bottom w:val="single" w:sz="4" w:space="1" w:color="auto"/>
          <w:right w:val="single" w:sz="4" w:space="4" w:color="auto"/>
        </w:pBdr>
        <w:rPr>
          <w:noProof/>
        </w:rPr>
      </w:pPr>
      <w:r>
        <w:rPr>
          <w:noProof/>
        </w:rPr>
        <w:t>4. Specifični cilj: Poenostavitev dostopa do pooblaščenih virov podatkov za namene kazenskega pregona</w:t>
      </w:r>
    </w:p>
    <w:p>
      <w:pPr>
        <w:pStyle w:val="Text1"/>
        <w:pBdr>
          <w:top w:val="single" w:sz="4" w:space="1" w:color="auto"/>
          <w:left w:val="single" w:sz="4" w:space="4" w:color="auto"/>
          <w:bottom w:val="single" w:sz="4" w:space="1" w:color="auto"/>
          <w:right w:val="single" w:sz="4" w:space="4" w:color="auto"/>
        </w:pBdr>
        <w:rPr>
          <w:noProof/>
        </w:rPr>
      </w:pPr>
      <w:r>
        <w:rPr>
          <w:noProof/>
        </w:rPr>
        <w:t>– Število dostopanj po „koraku 1“ (= preverjanje prisotnosti podatkov) za namene kazenskega pregona v določenem obdobju.</w:t>
      </w:r>
    </w:p>
    <w:p>
      <w:pPr>
        <w:pStyle w:val="Text1"/>
        <w:pBdr>
          <w:top w:val="single" w:sz="4" w:space="1" w:color="auto"/>
          <w:left w:val="single" w:sz="4" w:space="4" w:color="auto"/>
          <w:bottom w:val="single" w:sz="4" w:space="1" w:color="auto"/>
          <w:right w:val="single" w:sz="4" w:space="4" w:color="auto"/>
        </w:pBdr>
        <w:rPr>
          <w:noProof/>
        </w:rPr>
      </w:pPr>
      <w:r>
        <w:rPr>
          <w:noProof/>
        </w:rPr>
        <w:t>– Število dostopanj po „koraku 2“ (= dejanski vpogled v podatke iz sistemov EU v njihovem okviru) za namene kazenskega pregona v določenem obdobju.</w:t>
      </w:r>
    </w:p>
    <w:p>
      <w:pPr>
        <w:pStyle w:val="Text1"/>
        <w:pBdr>
          <w:top w:val="single" w:sz="4" w:space="1" w:color="auto"/>
          <w:left w:val="single" w:sz="4" w:space="4" w:color="auto"/>
          <w:bottom w:val="single" w:sz="4" w:space="1" w:color="auto"/>
          <w:right w:val="single" w:sz="4" w:space="4" w:color="auto"/>
        </w:pBdr>
        <w:rPr>
          <w:noProof/>
        </w:rPr>
      </w:pPr>
      <w:r>
        <w:rPr>
          <w:noProof/>
        </w:rPr>
        <w:t>5. Horizontalnost, dodatni cilj: Izboljšanje kakovosti podatkov in njihove uporabe za boljše oblikovanje politik</w:t>
      </w:r>
    </w:p>
    <w:p>
      <w:pPr>
        <w:pStyle w:val="Text1"/>
        <w:pBdr>
          <w:top w:val="single" w:sz="4" w:space="1" w:color="auto"/>
          <w:left w:val="single" w:sz="4" w:space="4" w:color="auto"/>
          <w:bottom w:val="single" w:sz="4" w:space="1" w:color="auto"/>
          <w:right w:val="single" w:sz="4" w:space="4" w:color="auto"/>
        </w:pBdr>
        <w:rPr>
          <w:noProof/>
        </w:rPr>
      </w:pPr>
      <w:r>
        <w:rPr>
          <w:noProof/>
        </w:rPr>
        <w:t>– Redno izdajanje poročil za spremljanje kakovosti podatkov.</w:t>
      </w:r>
    </w:p>
    <w:p>
      <w:pPr>
        <w:pStyle w:val="Text1"/>
        <w:pBdr>
          <w:top w:val="single" w:sz="4" w:space="1" w:color="auto"/>
          <w:left w:val="single" w:sz="4" w:space="4" w:color="auto"/>
          <w:bottom w:val="single" w:sz="4" w:space="1" w:color="auto"/>
          <w:right w:val="single" w:sz="4" w:space="4" w:color="auto"/>
        </w:pBdr>
        <w:rPr>
          <w:noProof/>
        </w:rPr>
      </w:pPr>
      <w:r>
        <w:rPr>
          <w:noProof/>
        </w:rPr>
        <w:t xml:space="preserve">– Število </w:t>
      </w:r>
      <w:r>
        <w:rPr>
          <w:i/>
          <w:noProof/>
        </w:rPr>
        <w:t>ad hoc</w:t>
      </w:r>
      <w:r>
        <w:rPr>
          <w:noProof/>
        </w:rPr>
        <w:t xml:space="preserve"> zahtev po statističnih informacijah v določenem obdobju.</w:t>
      </w:r>
    </w:p>
    <w:p>
      <w:pPr>
        <w:pStyle w:val="Text1"/>
        <w:pBdr>
          <w:top w:val="single" w:sz="4" w:space="1" w:color="auto"/>
          <w:left w:val="single" w:sz="4" w:space="4" w:color="auto"/>
          <w:bottom w:val="single" w:sz="4" w:space="1" w:color="auto"/>
          <w:right w:val="single" w:sz="4" w:space="4" w:color="auto"/>
        </w:pBdr>
        <w:rPr>
          <w:noProof/>
        </w:rPr>
      </w:pPr>
    </w:p>
    <w:p>
      <w:pPr>
        <w:pStyle w:val="ManualHeading2"/>
        <w:rPr>
          <w:bCs/>
          <w:noProof/>
          <w:szCs w:val="24"/>
        </w:rPr>
      </w:pPr>
      <w:bookmarkStart w:id="274" w:name="_Toc498514158"/>
      <w:r>
        <w:t>1.5.</w:t>
      </w:r>
      <w:r>
        <w:tab/>
      </w:r>
      <w:r>
        <w:rPr>
          <w:noProof/>
        </w:rPr>
        <w:t>Utemeljitev predloga/pobude</w:t>
      </w:r>
      <w:bookmarkEnd w:id="274"/>
      <w:r>
        <w:rPr>
          <w:noProof/>
        </w:rPr>
        <w:t xml:space="preserve"> </w:t>
      </w:r>
    </w:p>
    <w:p>
      <w:pPr>
        <w:pStyle w:val="ManualHeading3"/>
        <w:rPr>
          <w:noProof/>
        </w:rPr>
      </w:pPr>
      <w:bookmarkStart w:id="275" w:name="_Toc498514159"/>
      <w:r>
        <w:t>1.5.1.</w:t>
      </w:r>
      <w:r>
        <w:tab/>
      </w:r>
      <w:r>
        <w:rPr>
          <w:noProof/>
        </w:rPr>
        <w:t>Potrebe, ki jih je treba zadovoljiti kratkoročno ali dolgoročno</w:t>
      </w:r>
      <w:bookmarkEnd w:id="275"/>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Kot je prikazano v oceni učinka, ki spremlja ta zakonodajni predlog, so za doseganje interoperabilnosti potrebni naslednji ustrezni sestavni deli:</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za dosego cilja zagotavljanja hitrega, nemotenega, sistematičnega in nadzorovanega dostopa pooblaščenih uporabnikov do zadevnih informacijskih sistemov bi bilo treba vzpostaviti evropski iskalni portal (ESP), ki bo temeljil na skupni BMS, da se obravnavajo vse podatkovne zbirke;</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za dosego cilja lažjega ugotavljanja identitete državljanov tretjih držav na ozemlju države članice s strani pooblaščenih uradnikov bi bilo treba vzpostaviti skupno odložišče podatkov o identiteti (CIR), ki bo vsebovalo najmanjši niz identifikacijskih podatkov in bo temeljilo na isti skupni BMS;</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za dosego cilja odkrivanja več identitet, povezanih z istim nizom biometričnih podatkov, z namenom lažjega ugotavljanja identitete dobrovernih potnikov in boja proti identitetnim prevaram bi bilo treba vzpostaviti detektor več identitet (MID), ki bo vseboval povezave med več identitetami iz različnih sistemov;</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za dosego cilja lažjega in racionaliziranega dostopa organov kazenskega pregona do informacijskih sistemov, ki niso povezani s kazenskim pregonom, z namenom preprečevanja, preiskovanja, odkrivanja ali pregona hudih kaznivih dejanj in terorizma bi bilo treba v skupnem odložišču podatkov o identiteti (CIR) dodati funkcijo „zadetek/ni zadetka“.</w:t>
      </w:r>
    </w:p>
    <w:p>
      <w:pPr>
        <w:pStyle w:val="Text1"/>
        <w:pBdr>
          <w:top w:val="single" w:sz="4" w:space="1" w:color="auto"/>
          <w:left w:val="single" w:sz="4" w:space="4" w:color="auto"/>
          <w:bottom w:val="single" w:sz="4" w:space="1" w:color="auto"/>
          <w:right w:val="single" w:sz="4" w:space="4" w:color="auto"/>
        </w:pBdr>
        <w:rPr>
          <w:noProof/>
        </w:rPr>
      </w:pPr>
      <w:r>
        <w:rPr>
          <w:noProof/>
        </w:rPr>
        <w:t>Ker je treba doseči vse cilje, je popolna rešitev kombinacija ESP, CIR (s funkcijo „zadetek/ni zadetka“) in MID na podlagi skupne BMS.</w:t>
      </w:r>
    </w:p>
    <w:p>
      <w:pPr>
        <w:pStyle w:val="ManualHeading3"/>
        <w:rPr>
          <w:bCs/>
          <w:noProof/>
          <w:szCs w:val="24"/>
        </w:rPr>
      </w:pPr>
      <w:bookmarkStart w:id="276" w:name="_Toc498514160"/>
      <w:r>
        <w:t>1.5.2.</w:t>
      </w:r>
      <w:r>
        <w:tab/>
      </w:r>
      <w:r>
        <w:rPr>
          <w:noProof/>
        </w:rPr>
        <w:t>Dodana vrednost ukrepanja Unije (ki je lahko posledica različnih dejavnikov, npr. usklajevalnih koristi, pravne varnosti, večje učinkovitosti ali dopolnjevanja). Za namene te točke je „dodana vrednost ukrepanja Unije“ vrednost, ki izhaja iz ukrepanja Unije in predstavlja dodatno vrednost poleg tiste, ki bi jo sicer ustvarile države članice same.</w:t>
      </w:r>
      <w:bookmarkEnd w:id="276"/>
    </w:p>
    <w:p>
      <w:pPr>
        <w:pStyle w:val="Text1"/>
        <w:pBdr>
          <w:top w:val="single" w:sz="4" w:space="1" w:color="auto"/>
          <w:left w:val="single" w:sz="4" w:space="4" w:color="auto"/>
          <w:bottom w:val="single" w:sz="4" w:space="1" w:color="auto"/>
          <w:right w:val="single" w:sz="4" w:space="4" w:color="auto"/>
        </w:pBdr>
        <w:rPr>
          <w:noProof/>
        </w:rPr>
      </w:pPr>
      <w:r>
        <w:rPr>
          <w:noProof/>
        </w:rPr>
        <w:t>Potrebno je ukrepanje na evropski ravni, saj sisteme, za katere se predlaga interoperabilnost, uporabljajo različne države članice: bodisi vse države članice (v primeru sistema Eurodac) bodisi vse države članice, ki so del schengenskega območja (v primeru SVI, VIS, sistema ETIAS in SIS). Po definiciji ukrepanje preprosto ni mogoče na drugi ravni.</w:t>
      </w:r>
    </w:p>
    <w:p>
      <w:pPr>
        <w:pStyle w:val="Text1"/>
        <w:pBdr>
          <w:top w:val="single" w:sz="4" w:space="1" w:color="auto"/>
          <w:left w:val="single" w:sz="4" w:space="4" w:color="auto"/>
          <w:bottom w:val="single" w:sz="4" w:space="1" w:color="auto"/>
          <w:right w:val="single" w:sz="4" w:space="4" w:color="auto"/>
        </w:pBdr>
        <w:rPr>
          <w:noProof/>
        </w:rPr>
      </w:pPr>
      <w:r>
        <w:rPr>
          <w:noProof/>
        </w:rPr>
        <w:t xml:space="preserve">Osrednja pričakovana dodana vrednost je odprava primerov identitetne prevare, zabeleženje primerov, ko je oseba za vstop v EU uporabila različne identitete, in izognitev zamenjevanju dobrovernih oseb z nedobrovernimi osebami z enakim imenom. Dodatno dodano vrednost prinaša to, da predlagana interoperabilnost omogoča lažje izvajanje in vzdrževanje obsežnih informacijskih sistemov EU. Pri organih pregona bi morali predlagani ukrepi privesti do pogostejšega in uspešnejšega dostopanja do določenih podatkov v obsežnih informacijskih sistemih EU. Na operativni ravni je mogoče kakovost podatkov vzdrževati in izboljševati le, če se spremlja. Poleg tega je treba za oblikovanje politik in odločanje omogočiti </w:t>
      </w:r>
      <w:r>
        <w:rPr>
          <w:i/>
          <w:noProof/>
        </w:rPr>
        <w:t>ad hoc</w:t>
      </w:r>
      <w:r>
        <w:rPr>
          <w:noProof/>
        </w:rPr>
        <w:t xml:space="preserve"> poizvedovanja po anonimiziranih podatkih.</w:t>
      </w:r>
    </w:p>
    <w:p>
      <w:pPr>
        <w:pStyle w:val="Text1"/>
        <w:pBdr>
          <w:top w:val="single" w:sz="4" w:space="1" w:color="auto"/>
          <w:left w:val="single" w:sz="4" w:space="4" w:color="auto"/>
          <w:bottom w:val="single" w:sz="4" w:space="1" w:color="auto"/>
          <w:right w:val="single" w:sz="4" w:space="4" w:color="auto"/>
        </w:pBdr>
        <w:rPr>
          <w:noProof/>
        </w:rPr>
      </w:pPr>
      <w:bookmarkStart w:id="277" w:name="_Toc498514161"/>
      <w:r>
        <w:rPr>
          <w:noProof/>
        </w:rPr>
        <w:t>Analiza stroškov in koristi je del ocene učinka, kaže pa, da je ob upoštevanju zgolj tistih koristi, ki jih je mogoče količinsko opredeliti, pričakovane koristi mogoče razumno oceniti na približno 77,5 milijona EUR na leto, večinoma za države članice. Te koristi izvirajo zlasti iz:</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zmanjšanja stroškov za spremembe nacionalnih aplikacij po začetku delovanja centralnega sistema (ocenjeno na 6 milijonov EUR na leto za IT službe držav članic);</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prihrankov pri stroških za eno centralno skupno BMS glede na posamezne BMS za vsak centralni sistem, ki vsebuje biometrične podatke (ocenjeno na 1,5 milijona EUR na leto in enkraten prihranek 8 milijonov EUR za agencijo eu-LISA);</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prihrankov pri stroških identifikacije v primeru več identitet glede na stanje, v katerem je mogoče isti rezultat doseči brez predlaganih sredstev. To bi pomenilo prihranek v višini vsaj 50 milijonov EUR na leto za organe držav članic za upravljanje meja, migracije in kazenski pregon;</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prihrankov pri stroških za usposabljanje velike skupine končnih uporabnikov v primerjavi s stanjem, v katerem je potrebno periodično usposabljanje, ki so ocenjeni na 20 milijonov EUR na leto za organe držav članic za upravljanje meja, migracije in kazenski pregon.</w:t>
      </w:r>
    </w:p>
    <w:p>
      <w:pPr>
        <w:pStyle w:val="ManualHeading3"/>
        <w:rPr>
          <w:bCs/>
          <w:noProof/>
          <w:szCs w:val="24"/>
        </w:rPr>
      </w:pPr>
      <w:r>
        <w:t>1.5.3.</w:t>
      </w:r>
      <w:r>
        <w:tab/>
      </w:r>
      <w:r>
        <w:rPr>
          <w:noProof/>
        </w:rPr>
        <w:t>Spoznanja iz podobnih izkušenj v preteklosti</w:t>
      </w:r>
      <w:bookmarkEnd w:id="277"/>
    </w:p>
    <w:p>
      <w:pPr>
        <w:pStyle w:val="Text1"/>
        <w:pBdr>
          <w:top w:val="single" w:sz="4" w:space="1" w:color="auto"/>
          <w:left w:val="single" w:sz="4" w:space="4" w:color="auto"/>
          <w:bottom w:val="single" w:sz="4" w:space="1" w:color="auto"/>
          <w:right w:val="single" w:sz="4" w:space="4" w:color="auto"/>
        </w:pBdr>
        <w:rPr>
          <w:noProof/>
        </w:rPr>
      </w:pPr>
      <w:r>
        <w:rPr>
          <w:noProof/>
        </w:rPr>
        <w:t>Izkušnje z razvojem druge generacije schengenskega (SIS II) in vizumskega informacijskega sistema (VIS) so privedle do naslednjih spoznanj:</w:t>
      </w:r>
    </w:p>
    <w:p>
      <w:pPr>
        <w:pStyle w:val="Text1"/>
        <w:pBdr>
          <w:top w:val="single" w:sz="4" w:space="1" w:color="auto"/>
          <w:left w:val="single" w:sz="4" w:space="4" w:color="auto"/>
          <w:bottom w:val="single" w:sz="4" w:space="1" w:color="auto"/>
          <w:right w:val="single" w:sz="4" w:space="4" w:color="auto"/>
        </w:pBdr>
        <w:rPr>
          <w:noProof/>
        </w:rPr>
      </w:pPr>
      <w:r>
        <w:rPr>
          <w:noProof/>
        </w:rPr>
        <w:t>1. Da bi se preprečile prekoračitve stroškov in zamude, ki so posledica spreminjajočih se zahtev, bi bilo treba nove informacijske sisteme na področju svobode, varnosti in pravice, zlasti če vsebujejo obsežen informacijski sistem, razvijati šele po dokončnem sprejetju pravnih aktov, ki opredeljujejo njihov namen, področje uporabe, naloge in tehnične podrobnosti.</w:t>
      </w:r>
    </w:p>
    <w:p>
      <w:pPr>
        <w:pStyle w:val="Text1"/>
        <w:pBdr>
          <w:top w:val="single" w:sz="4" w:space="1" w:color="auto"/>
          <w:left w:val="single" w:sz="4" w:space="4" w:color="auto"/>
          <w:bottom w:val="single" w:sz="4" w:space="1" w:color="auto"/>
          <w:right w:val="single" w:sz="4" w:space="4" w:color="auto"/>
        </w:pBdr>
        <w:rPr>
          <w:noProof/>
        </w:rPr>
      </w:pPr>
      <w:r>
        <w:rPr>
          <w:noProof/>
        </w:rPr>
        <w:t>2. Za sistema SIS II in VIS bi se lahko razvoj na nacionalni ravni držav članic sofinanciral v okviru Sklada za zunanje meje, vendar to ni bilo obvezno. Zato ni bil mogoč pregled stopnje napredka v državah članicah, ki v večletnem načrtovanju programov niso predvidele zadevnih dejavnosti ali pa so bile pri načrtovanju premalo natančne. Podan je bil predlog, da Komisija povrne vse stroške povezovanja, ki jih imajo države članice, da bo lahko spremljala napredek teh dejavnosti.</w:t>
      </w:r>
    </w:p>
    <w:p>
      <w:pPr>
        <w:pStyle w:val="Text1"/>
        <w:pBdr>
          <w:top w:val="single" w:sz="4" w:space="1" w:color="auto"/>
          <w:left w:val="single" w:sz="4" w:space="4" w:color="auto"/>
          <w:bottom w:val="single" w:sz="4" w:space="1" w:color="auto"/>
          <w:right w:val="single" w:sz="4" w:space="4" w:color="auto"/>
        </w:pBdr>
        <w:rPr>
          <w:noProof/>
        </w:rPr>
      </w:pPr>
      <w:r>
        <w:rPr>
          <w:noProof/>
        </w:rPr>
        <w:t>3. Zaradi lažjega splošnega usklajevanja izvajanja se bodo za vse predlagane izmenjave sporočil med nacionalnimi sistemi in centralnimi sistemi uporabljala obstoječa omrežja in nacionalni enotni vmesnik.</w:t>
      </w:r>
    </w:p>
    <w:p>
      <w:pPr>
        <w:pStyle w:val="ManualHeading3"/>
        <w:rPr>
          <w:bCs/>
          <w:noProof/>
          <w:szCs w:val="24"/>
        </w:rPr>
      </w:pPr>
      <w:bookmarkStart w:id="278" w:name="_Toc498514162"/>
      <w:r>
        <w:t>1.5.4.</w:t>
      </w:r>
      <w:r>
        <w:tab/>
      </w:r>
      <w:r>
        <w:rPr>
          <w:noProof/>
        </w:rPr>
        <w:t>Skladnost in možnosti sinergij z drugimi ustreznimi instrumenti</w:t>
      </w:r>
      <w:bookmarkEnd w:id="278"/>
    </w:p>
    <w:p>
      <w:pPr>
        <w:pStyle w:val="Text1"/>
        <w:pBdr>
          <w:top w:val="single" w:sz="4" w:space="1" w:color="auto"/>
          <w:left w:val="single" w:sz="4" w:space="4" w:color="auto"/>
          <w:bottom w:val="single" w:sz="4" w:space="1" w:color="auto"/>
          <w:right w:val="single" w:sz="4" w:space="4" w:color="auto"/>
        </w:pBdr>
        <w:rPr>
          <w:noProof/>
        </w:rPr>
      </w:pPr>
      <w:r>
        <w:rPr>
          <w:noProof/>
        </w:rPr>
        <w:t>Skladnost z veljavnim večletnim finančnim okvirom</w:t>
      </w:r>
    </w:p>
    <w:p>
      <w:pPr>
        <w:pStyle w:val="Text1"/>
        <w:pBdr>
          <w:top w:val="single" w:sz="4" w:space="1" w:color="auto"/>
          <w:left w:val="single" w:sz="4" w:space="4" w:color="auto"/>
          <w:bottom w:val="single" w:sz="4" w:space="1" w:color="auto"/>
          <w:right w:val="single" w:sz="4" w:space="4" w:color="auto"/>
        </w:pBdr>
        <w:rPr>
          <w:noProof/>
        </w:rPr>
      </w:pPr>
      <w:r>
        <w:rPr>
          <w:noProof/>
        </w:rPr>
        <w:t>Finančni instrument, v katerega je vključen proračun za izvajanje pobude o interoperabilnosti, je Uredba o Skladu za notranjo varnost (meje in vizumi).</w:t>
      </w:r>
    </w:p>
    <w:p>
      <w:pPr>
        <w:pStyle w:val="Text1"/>
        <w:pBdr>
          <w:top w:val="single" w:sz="4" w:space="1" w:color="auto"/>
          <w:left w:val="single" w:sz="4" w:space="4" w:color="auto"/>
          <w:bottom w:val="single" w:sz="4" w:space="1" w:color="auto"/>
          <w:right w:val="single" w:sz="4" w:space="4" w:color="auto"/>
        </w:pBdr>
        <w:rPr>
          <w:noProof/>
        </w:rPr>
      </w:pPr>
      <w:r>
        <w:rPr>
          <w:noProof/>
        </w:rPr>
        <w:t>V členu 5(b) uredbe je določeno, da se 791 milijonov EUR uporabi za program za razvoj informacijskih sistemov na podlagi obstoječih in/ali novih informacijskih sistemov za podporo upravljanja migracijskih tokov prek zunanjih meja, če bodo sprejeti ustrezni zakonodajni akti Unije in v skladu s pogoji iz člena 15. Od teh 791 milijonov EUR je 480,2 milijona EUR rezerviranih za razvoj SVI, 210 milijonov EUR za sistem ETIAS in 67,9 milijona EUR za spremembo SIS II. Preostanek (32,9 milijona EUR) se prerazporedi prek mehanizmov ISF-B. Ta predlog zahteva 32,1 milijona EUR za trenutno obdobje večletnega finančnega okvira, kar se ujema s preostalimi proračunskimi sredstvi.</w:t>
      </w:r>
    </w:p>
    <w:p>
      <w:pPr>
        <w:pStyle w:val="Text1"/>
        <w:pBdr>
          <w:top w:val="single" w:sz="4" w:space="1" w:color="auto"/>
          <w:left w:val="single" w:sz="4" w:space="4" w:color="auto"/>
          <w:bottom w:val="single" w:sz="4" w:space="1" w:color="auto"/>
          <w:right w:val="single" w:sz="4" w:space="4" w:color="auto"/>
        </w:pBdr>
        <w:rPr>
          <w:noProof/>
        </w:rPr>
      </w:pPr>
      <w:r>
        <w:rPr>
          <w:noProof/>
        </w:rPr>
        <w:t>Za predlog so potrebna proračunska sredstva v skupni višini 424,7 milijona EUR (vključno z razdelkom 5) v obdobju od 2019 do 2027. Veljavni večletni finančni okvir zajema le dveletno obdobje 2019–2020. Vendar so stroški ocenjeni do vključno leta 2027, da bi se prikazal informiran pregled finančnih posledic predloga, ne da bi se pri tem posegalo v naslednji večletni finančni okvir.</w:t>
      </w:r>
    </w:p>
    <w:p>
      <w:pPr>
        <w:pStyle w:val="Text1"/>
        <w:pBdr>
          <w:top w:val="single" w:sz="4" w:space="1" w:color="auto"/>
          <w:left w:val="single" w:sz="4" w:space="4" w:color="auto"/>
          <w:bottom w:val="single" w:sz="4" w:space="1" w:color="auto"/>
          <w:right w:val="single" w:sz="4" w:space="4" w:color="auto"/>
        </w:pBdr>
        <w:rPr>
          <w:noProof/>
        </w:rPr>
      </w:pPr>
      <w:r>
        <w:rPr>
          <w:noProof/>
        </w:rPr>
        <w:t>Zahtevana proračunska sredstva v devetletnem obdobju znašajo 424,7 milijona EUR, saj vključujejo tudi kritje naslednjih postavk:</w:t>
      </w:r>
    </w:p>
    <w:p>
      <w:pPr>
        <w:pStyle w:val="Text1"/>
        <w:pBdr>
          <w:top w:val="single" w:sz="4" w:space="1" w:color="auto"/>
          <w:left w:val="single" w:sz="4" w:space="4" w:color="auto"/>
          <w:bottom w:val="single" w:sz="4" w:space="1" w:color="auto"/>
          <w:right w:val="single" w:sz="4" w:space="4" w:color="auto"/>
        </w:pBdr>
        <w:rPr>
          <w:noProof/>
        </w:rPr>
      </w:pPr>
      <w:r>
        <w:rPr>
          <w:noProof/>
        </w:rPr>
        <w:t>(1)</w:t>
      </w:r>
      <w:r>
        <w:rPr>
          <w:noProof/>
        </w:rPr>
        <w:tab/>
        <w:t>136,3 milijona EUR za države članice za spremembe nacionalnih sistemov zaradi uporabe sestavnih delov interoperabilnosti, nacionalni enotni vmesnik, ki ga zagotovi agencija eu-LISA, in usposabljanje obsežnega števila končnih uporabnikov. Na veljavni večletni finančni okvir to ne vpliva, saj financiranje poteka od leta 2021 naprej.</w:t>
      </w:r>
    </w:p>
    <w:p>
      <w:pPr>
        <w:pStyle w:val="Text1"/>
        <w:pBdr>
          <w:top w:val="single" w:sz="4" w:space="1" w:color="auto"/>
          <w:left w:val="single" w:sz="4" w:space="4" w:color="auto"/>
          <w:bottom w:val="single" w:sz="4" w:space="1" w:color="auto"/>
          <w:right w:val="single" w:sz="4" w:space="4" w:color="auto"/>
        </w:pBdr>
        <w:rPr>
          <w:noProof/>
        </w:rPr>
      </w:pPr>
      <w:r>
        <w:rPr>
          <w:noProof/>
        </w:rPr>
        <w:t>(2)</w:t>
      </w:r>
      <w:r>
        <w:rPr>
          <w:noProof/>
        </w:rPr>
        <w:tab/>
        <w:t>4,8 milijona EUR za Evropsko agencijo za mejno in obalno stražo, ki bo gostila skupino strokovnjakov, ki bo v enem letu (2023) potrdila povezave med identitetami ob uvedbi MID. Dejavnosti skupine je mogoče povezati z razreševanjem nesporazumov glede istovetnosti, kakor je Evropski agenciji za mejno in obalno stražo pripisano v predlogu o sistemu ETIAS. Na veljavni večletni finančni okvir to ne vpliva, saj financiranje poteka od leta 2021 naprej.</w:t>
      </w:r>
    </w:p>
    <w:p>
      <w:pPr>
        <w:pStyle w:val="Text1"/>
        <w:pBdr>
          <w:top w:val="single" w:sz="4" w:space="1" w:color="auto"/>
          <w:left w:val="single" w:sz="4" w:space="4" w:color="auto"/>
          <w:bottom w:val="single" w:sz="4" w:space="1" w:color="auto"/>
          <w:right w:val="single" w:sz="4" w:space="4" w:color="auto"/>
        </w:pBdr>
        <w:rPr>
          <w:noProof/>
        </w:rPr>
      </w:pPr>
      <w:r>
        <w:rPr>
          <w:noProof/>
        </w:rPr>
        <w:t>(3)</w:t>
      </w:r>
      <w:r>
        <w:rPr>
          <w:noProof/>
        </w:rPr>
        <w:tab/>
        <w:t>48,9 milijona EUR za nadgradnjo informacijskih sistemov Europola glede na obseg sporočil, ki jih bo treba obdelati, in višjo stopnjo učinkovitosti. Sestavni deli interoperabilnosti bodo omogočali uporabo podatkov Europola prek sistema ETIAS. Vendar trenutna zmogljivost Europola za obdelavo informacij ni v skladu z znatnim obsegom (povprečno 100 000 iskanj na dan) in krajšim odzivnim časom. 9,1 milijona EUR se porabi iz veljavnega večletnega finančnega okvira.</w:t>
      </w:r>
    </w:p>
    <w:p>
      <w:pPr>
        <w:pStyle w:val="Text1"/>
        <w:pBdr>
          <w:top w:val="single" w:sz="4" w:space="1" w:color="auto"/>
          <w:left w:val="single" w:sz="4" w:space="4" w:color="auto"/>
          <w:bottom w:val="single" w:sz="4" w:space="1" w:color="auto"/>
          <w:right w:val="single" w:sz="4" w:space="4" w:color="auto"/>
        </w:pBdr>
        <w:rPr>
          <w:noProof/>
        </w:rPr>
      </w:pPr>
      <w:r>
        <w:rPr>
          <w:noProof/>
        </w:rPr>
        <w:t>(4)</w:t>
      </w:r>
      <w:r>
        <w:rPr>
          <w:noProof/>
        </w:rPr>
        <w:tab/>
        <w:t>2,0 milijona EUR za CEPOL za kritje priprave in izvajanja usposabljanja operativnega osebja. 0,1 milijona EUR je predvideno za leto 2020.</w:t>
      </w:r>
      <w:r>
        <w:rPr>
          <w:noProof/>
        </w:rPr>
        <w:tab/>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(5)</w:t>
      </w:r>
      <w:r>
        <w:rPr>
          <w:noProof/>
        </w:rPr>
        <w:tab/>
        <w:t>225,0 milijona EUR za agencijo eu-LISA za skupne stroške razvoja programa za uvedbo petih sestavnih delov interoperabilnosti (68,3 milijona EUR), stroške vzdrževanja od uvedbe sestavnih delov do leta 2027 (56,1 milijona EUR), posebna proračunska sredstva v višini 25,0 milijona EUR za prenos podatkov iz obstoječih sistemov na skupno BMS ter dodatne stroške za posodobitev nacionalnega enotnega vmesnika, omrežje, usposabljanje in srečanja. Posebna proračunska sredstva v višini 18,7 milijona EUR krijejo stroške nadgradnje in delovanja sistema ECRIS-TCN v načinu visoke dostopnosti od leta 2022. Od celotnega zneska se 23,0 milijona EUR porabi v okviru veljavnega večletnega finančnega okvira.</w:t>
      </w:r>
    </w:p>
    <w:p>
      <w:pPr>
        <w:pStyle w:val="Text1"/>
        <w:pBdr>
          <w:top w:val="single" w:sz="4" w:space="1" w:color="auto"/>
          <w:left w:val="single" w:sz="4" w:space="4" w:color="auto"/>
          <w:bottom w:val="single" w:sz="4" w:space="1" w:color="auto"/>
          <w:right w:val="single" w:sz="4" w:space="4" w:color="auto"/>
        </w:pBdr>
        <w:rPr>
          <w:noProof/>
        </w:rPr>
      </w:pPr>
      <w:r>
        <w:rPr>
          <w:noProof/>
        </w:rPr>
        <w:t>(6)</w:t>
      </w:r>
      <w:r>
        <w:rPr>
          <w:noProof/>
        </w:rPr>
        <w:tab/>
        <w:t>7,7 milijona EUR za GD HOME za omejeno povečanje osebja in s tem povezanih stroškov v obdobju razvoja posameznih sestavnih delov, saj bo Komisija odgovorna tudi za odbor za UMF (univerzalni format sporočil). Ta proračunska sredstva, ki spadajo pod razdelek 5, se ne krijejo iz proračuna Sklada za notranjo varnost. Kot obvestilo, za obdobje 2019–2020 bo potrebnih 2,0 milijona EUR.</w:t>
      </w:r>
    </w:p>
    <w:p>
      <w:pPr>
        <w:pStyle w:val="Text1"/>
        <w:pBdr>
          <w:top w:val="single" w:sz="4" w:space="1" w:color="auto"/>
          <w:left w:val="single" w:sz="4" w:space="4" w:color="auto"/>
          <w:bottom w:val="single" w:sz="4" w:space="1" w:color="auto"/>
          <w:right w:val="single" w:sz="4" w:space="4" w:color="auto"/>
        </w:pBdr>
        <w:rPr>
          <w:noProof/>
        </w:rPr>
      </w:pPr>
      <w:r>
        <w:rPr>
          <w:noProof/>
        </w:rPr>
        <w:t>Skladnost s prejšnjimi pobudami</w:t>
      </w:r>
    </w:p>
    <w:p>
      <w:pPr>
        <w:pStyle w:val="Text1"/>
        <w:pBdr>
          <w:top w:val="single" w:sz="4" w:space="1" w:color="auto"/>
          <w:left w:val="single" w:sz="4" w:space="4" w:color="auto"/>
          <w:bottom w:val="single" w:sz="4" w:space="1" w:color="auto"/>
          <w:right w:val="single" w:sz="4" w:space="4" w:color="auto"/>
        </w:pBdr>
        <w:rPr>
          <w:noProof/>
        </w:rPr>
      </w:pPr>
      <w:r>
        <w:rPr>
          <w:noProof/>
        </w:rPr>
        <w:t>Ta pobuda je skladna z naslednjim:</w:t>
      </w:r>
    </w:p>
    <w:p>
      <w:pPr>
        <w:pStyle w:val="Text1"/>
        <w:pBdr>
          <w:top w:val="single" w:sz="4" w:space="1" w:color="auto"/>
          <w:left w:val="single" w:sz="4" w:space="4" w:color="auto"/>
          <w:bottom w:val="single" w:sz="4" w:space="1" w:color="auto"/>
          <w:right w:val="single" w:sz="4" w:space="4" w:color="auto"/>
        </w:pBdr>
        <w:rPr>
          <w:noProof/>
          <w:szCs w:val="24"/>
        </w:rPr>
      </w:pPr>
      <w:r>
        <w:rPr>
          <w:noProof/>
        </w:rPr>
        <w:t xml:space="preserve">Komisija je aprila 2016 predstavila </w:t>
      </w:r>
      <w:r>
        <w:rPr>
          <w:b/>
          <w:noProof/>
        </w:rPr>
        <w:t xml:space="preserve">sporočilo z naslovom </w:t>
      </w:r>
      <w:r>
        <w:rPr>
          <w:b/>
          <w:i/>
          <w:noProof/>
        </w:rPr>
        <w:t>Trdnejši in pametnejši informacijski sistemi za meje in varnost</w:t>
      </w:r>
      <w:r>
        <w:rPr>
          <w:noProof/>
        </w:rPr>
        <w:t>, da bi obravnavala več strukturnih pomanjkljivosti v zvezi z informacijskimi sistemi. Iz tega izvirajo trije ukrepi:</w:t>
      </w:r>
    </w:p>
    <w:p>
      <w:pPr>
        <w:pStyle w:val="Text1"/>
        <w:pBdr>
          <w:top w:val="single" w:sz="4" w:space="1" w:color="auto"/>
          <w:left w:val="single" w:sz="4" w:space="4" w:color="auto"/>
          <w:bottom w:val="single" w:sz="4" w:space="1" w:color="auto"/>
          <w:right w:val="single" w:sz="4" w:space="4" w:color="auto"/>
        </w:pBdr>
        <w:rPr>
          <w:noProof/>
          <w:szCs w:val="24"/>
        </w:rPr>
      </w:pPr>
      <w:r>
        <w:rPr>
          <w:noProof/>
        </w:rPr>
        <w:t xml:space="preserve">Prvič, Komisija je sprejela </w:t>
      </w:r>
      <w:r>
        <w:rPr>
          <w:b/>
          <w:noProof/>
        </w:rPr>
        <w:t>ukrepe za okrepitev in čim boljši izkoristek obstoječih informacijskih sistemov</w:t>
      </w:r>
      <w:r>
        <w:rPr>
          <w:noProof/>
        </w:rPr>
        <w:t>. Komisija je decembra 2016 sprejela predloge za dodatno okrepitev obstoječega schengenskega informacijskega sistema (SIS). Medtem so se po predlogu Komisije iz maja 2016 pospešila pogajanja o spremenjeni pravni podlagi za sistem Eurodac – evropska podatkovna zbirka prstnih odtisov prosilcev za azil. V pripravi je tudi predlog o novi pravni podlagi za VIS, ki bo predložen v drugem četrtletju leta 2018.</w:t>
      </w:r>
    </w:p>
    <w:p>
      <w:pPr>
        <w:pStyle w:val="Text1"/>
        <w:pBdr>
          <w:top w:val="single" w:sz="4" w:space="1" w:color="auto"/>
          <w:left w:val="single" w:sz="4" w:space="4" w:color="auto"/>
          <w:bottom w:val="single" w:sz="4" w:space="1" w:color="auto"/>
          <w:right w:val="single" w:sz="4" w:space="4" w:color="auto"/>
        </w:pBdr>
        <w:rPr>
          <w:noProof/>
          <w:szCs w:val="24"/>
        </w:rPr>
      </w:pPr>
      <w:r>
        <w:rPr>
          <w:noProof/>
        </w:rPr>
        <w:t xml:space="preserve">Drugič, Komisija je predlagala vzpostavitev </w:t>
      </w:r>
      <w:r>
        <w:rPr>
          <w:b/>
          <w:noProof/>
        </w:rPr>
        <w:t>dodatnih informacijskih sistemov za odpravo ugotovljenih vrzeli</w:t>
      </w:r>
      <w:r>
        <w:rPr>
          <w:noProof/>
        </w:rPr>
        <w:t xml:space="preserve"> v arhitekturi EU za upravljanje podatkov. Pogajanja o predlogu Komisije iz aprila 2016 o vzpostavitvi sistema vstopa/izstopa (SVI)</w:t>
      </w:r>
      <w:r>
        <w:rPr>
          <w:rStyle w:val="FootnoteReference"/>
          <w:noProof/>
        </w:rPr>
        <w:footnoteReference w:id="79"/>
      </w:r>
      <w:r>
        <w:rPr>
          <w:noProof/>
        </w:rPr>
        <w:t xml:space="preserve"> za izboljšanje postopkov mejne kontrole državljanov tretjih držav, ki potujejo v EU, so se zaključila že julija 2017, ko sta sozakonodajalca sklenila politični dogovor, ki ga je Evropski parlament potrdil oktobra 2017, Svet pa uradno sprejel novembra 2017. Komisija je novembra 2016 predstavila tudi predlog za vzpostavitev evropskega sistema za potovalne informacije in odobritve (ETIAS)</w:t>
      </w:r>
      <w:r>
        <w:rPr>
          <w:rStyle w:val="FootnoteReference"/>
          <w:noProof/>
        </w:rPr>
        <w:footnoteReference w:id="80"/>
      </w:r>
      <w:r>
        <w:rPr>
          <w:noProof/>
        </w:rPr>
        <w:t>. Cilj tega predloga je okrepiti varnostno preverjanje potnikov, ki ne potrebujejo vizuma, z omogočanjem vnaprejšnjega preverjanja z vidika nedovoljenih migracij in varnostnega preverjanja. Trenutno je v postopku pogajanj pri sozakonodajalcih. Junija 2017 je bil predlagan tudi evropski informacijski sistem kazenskih evidenc za državljane tretjih držav (ECRIS-TCN)</w:t>
      </w:r>
      <w:r>
        <w:rPr>
          <w:rStyle w:val="FootnoteReference"/>
          <w:noProof/>
        </w:rPr>
        <w:footnoteReference w:id="81"/>
      </w:r>
      <w:r>
        <w:rPr>
          <w:noProof/>
        </w:rPr>
        <w:t>, da bi se odpravila vrzel, ugotovljena v zvezi z izmenjavo informacij o obsojenih državljanih tretjih držav med državami članicami.</w:t>
      </w:r>
    </w:p>
    <w:p>
      <w:pPr>
        <w:pStyle w:val="Text1"/>
        <w:pBdr>
          <w:top w:val="single" w:sz="4" w:space="1" w:color="auto"/>
          <w:left w:val="single" w:sz="4" w:space="4" w:color="auto"/>
          <w:bottom w:val="single" w:sz="4" w:space="1" w:color="auto"/>
          <w:right w:val="single" w:sz="4" w:space="4" w:color="auto"/>
        </w:pBdr>
        <w:rPr>
          <w:noProof/>
        </w:rPr>
      </w:pPr>
      <w:r>
        <w:rPr>
          <w:noProof/>
        </w:rPr>
        <w:t xml:space="preserve">Tretjič, Komisija si je prizadevala </w:t>
      </w:r>
      <w:r>
        <w:rPr>
          <w:b/>
          <w:noProof/>
        </w:rPr>
        <w:t>za interoperabilnost informacijskih sistemov</w:t>
      </w:r>
      <w:r>
        <w:rPr>
          <w:noProof/>
        </w:rPr>
        <w:t xml:space="preserve"> s poudarkom na štirih možnostih, predstavljenih v sporočilu iz aprila 2016</w:t>
      </w:r>
      <w:r>
        <w:rPr>
          <w:rStyle w:val="FootnoteReference"/>
          <w:noProof/>
        </w:rPr>
        <w:footnoteReference w:id="82"/>
      </w:r>
      <w:r>
        <w:rPr>
          <w:noProof/>
        </w:rPr>
        <w:t xml:space="preserve"> za dosego interoperabilnosti. Tri od teh štirih možnosti so ESP, CIR in skupna BMS. Pozneje se je izkazalo, da je treba razlikovati med CIR kot bazo podatkov o identiteti in novim sestavnim delom, ki prepoznava več identitet, povezanih z istim biometričnim identifikatorjem (MID). Tako imamo zdaj naslednje štiri sestavne dele: ESP, CIR, MID in skupno BMS.</w:t>
      </w:r>
    </w:p>
    <w:p>
      <w:pPr>
        <w:pStyle w:val="Text1"/>
        <w:pBdr>
          <w:top w:val="single" w:sz="4" w:space="1" w:color="auto"/>
          <w:left w:val="single" w:sz="4" w:space="4" w:color="auto"/>
          <w:bottom w:val="single" w:sz="4" w:space="1" w:color="auto"/>
          <w:right w:val="single" w:sz="4" w:space="4" w:color="auto"/>
        </w:pBdr>
        <w:rPr>
          <w:noProof/>
        </w:rPr>
      </w:pPr>
      <w:r>
        <w:rPr>
          <w:noProof/>
        </w:rPr>
        <w:t>Sinergije</w:t>
      </w:r>
    </w:p>
    <w:p>
      <w:pPr>
        <w:pStyle w:val="Text1"/>
        <w:pBdr>
          <w:top w:val="single" w:sz="4" w:space="1" w:color="auto"/>
          <w:left w:val="single" w:sz="4" w:space="4" w:color="auto"/>
          <w:bottom w:val="single" w:sz="4" w:space="1" w:color="auto"/>
          <w:right w:val="single" w:sz="4" w:space="4" w:color="auto"/>
        </w:pBdr>
        <w:rPr>
          <w:noProof/>
        </w:rPr>
      </w:pPr>
      <w:r>
        <w:rPr>
          <w:noProof/>
        </w:rPr>
        <w:t>Kot sinergija se v tem primeru razumeta korist, ki jo prinaša ponovna uporaba obstoječih rešitev, in izognitev povsem novim naložbam.</w:t>
      </w:r>
    </w:p>
    <w:p>
      <w:pPr>
        <w:pStyle w:val="Text1"/>
        <w:pBdr>
          <w:top w:val="single" w:sz="4" w:space="1" w:color="auto"/>
          <w:left w:val="single" w:sz="4" w:space="4" w:color="auto"/>
          <w:bottom w:val="single" w:sz="4" w:space="1" w:color="auto"/>
          <w:right w:val="single" w:sz="4" w:space="4" w:color="auto"/>
        </w:pBdr>
        <w:rPr>
          <w:noProof/>
        </w:rPr>
      </w:pPr>
      <w:r>
        <w:rPr>
          <w:noProof/>
        </w:rPr>
        <w:t>Sinergija je močna tudi med temi pobudami in razvojem SVI in sistema ETIAS.</w:t>
      </w:r>
    </w:p>
    <w:p>
      <w:pPr>
        <w:pStyle w:val="Text1"/>
        <w:pBdr>
          <w:top w:val="single" w:sz="4" w:space="1" w:color="auto"/>
          <w:left w:val="single" w:sz="4" w:space="4" w:color="auto"/>
          <w:bottom w:val="single" w:sz="4" w:space="1" w:color="auto"/>
          <w:right w:val="single" w:sz="4" w:space="4" w:color="auto"/>
        </w:pBdr>
        <w:rPr>
          <w:noProof/>
        </w:rPr>
      </w:pPr>
      <w:r>
        <w:rPr>
          <w:noProof/>
        </w:rPr>
        <w:t>Za delovanje SVI se za vse državljane tretjih držav, ki vstopajo v schengensko območje zaradi kratkoročnega bivanja, ustvari individualna dokumentacija. V ta namen bo sedanji biometrični sistem podatkov, ki se uporablja za VIS in vsebuje predloge prstnih odtisov vseh potnikov, za katere velja vizumska obveznost, razširjen tako, da bo vključeval tudi biometrične podatke potnikov, ki so vizumske obveznosti oproščeni. Skupna BMS tako s konceptualnega vidika pomeni nadaljnjo posplošitev orodja za ugotavljanje ujemanja biometričnih podatkov, ki bo izdelano v okviru SVI. Biometrične predloge iz orodja za ugotavljanje ujemanja biometričnih podatkov SIS in sistema Eurodac bodo nato migrirale (to je tehnični izraz za prenos podatkov z enega sistema na drugega) na skupno BMS. Po podatkih dobavitelja stane hramba v ločenih zbirkah podatkov povprečno 1 EUR na niz biometričnih podatkov (skupno bi lahko šlo za 200 milijonov nizov podatkov), z vzpostavitvijo rešitve skupne BMS pa se povprečni strošek zniža na 0,35 EUR na niz biometričnih podatkov. Te koristi se deloma negativno izravnajo z višjimi stroški za strojno opremo, ki je potrebna za veliko količino podatkov, vendar so na koncu stroški za skupno BMS po ocenah 30 % nižji, kot če bi se isti podatki hranili v več manjših sistemih BMS.</w:t>
      </w:r>
    </w:p>
    <w:p>
      <w:pPr>
        <w:pStyle w:val="Text1"/>
        <w:pBdr>
          <w:top w:val="single" w:sz="4" w:space="1" w:color="auto"/>
          <w:left w:val="single" w:sz="4" w:space="4" w:color="auto"/>
          <w:bottom w:val="single" w:sz="4" w:space="1" w:color="auto"/>
          <w:right w:val="single" w:sz="4" w:space="4" w:color="auto"/>
        </w:pBdr>
        <w:rPr>
          <w:noProof/>
        </w:rPr>
      </w:pPr>
      <w:r>
        <w:rPr>
          <w:noProof/>
        </w:rPr>
        <w:t>Za delovanje sistema ETIAS mora biti na voljo sestavni del za poizvedovanje v nizu sistemov EU. Za to bi se lahko uporabil bodisi ESP bodisi poseben sestavni del, ki bi se izdelal v okviru predloga o ESP. Predlog o interoperabilnosti omogoča izdelavo enega sestavnega dela namesto dveh.</w:t>
      </w:r>
    </w:p>
    <w:p>
      <w:pPr>
        <w:pStyle w:val="Text1"/>
        <w:pBdr>
          <w:top w:val="single" w:sz="4" w:space="1" w:color="auto"/>
          <w:left w:val="single" w:sz="4" w:space="4" w:color="auto"/>
          <w:bottom w:val="single" w:sz="4" w:space="1" w:color="auto"/>
          <w:right w:val="single" w:sz="4" w:space="4" w:color="auto"/>
        </w:pBdr>
        <w:rPr>
          <w:noProof/>
        </w:rPr>
      </w:pPr>
      <w:r>
        <w:rPr>
          <w:noProof/>
        </w:rPr>
        <w:t>Sinergija je dosežena tudi s ponovno uporabo istega nacionalnega enotnega vmesnika (NUI), ki se uporablja za SVI in sistem ETIAS. NUI bo treba posodobiti, vendar se bo še naprej uporabljal.</w:t>
      </w:r>
    </w:p>
    <w:p>
      <w:pPr>
        <w:pStyle w:val="Text1"/>
        <w:pBdr>
          <w:top w:val="single" w:sz="4" w:space="1" w:color="auto"/>
          <w:left w:val="single" w:sz="4" w:space="4" w:color="auto"/>
          <w:bottom w:val="single" w:sz="4" w:space="1" w:color="auto"/>
          <w:right w:val="single" w:sz="4" w:space="4" w:color="auto"/>
        </w:pBdr>
        <w:rPr>
          <w:noProof/>
          <w:szCs w:val="24"/>
        </w:rPr>
      </w:pPr>
    </w:p>
    <w:p>
      <w:pPr>
        <w:pStyle w:val="ManualHeading2"/>
        <w:rPr>
          <w:bCs/>
          <w:noProof/>
          <w:szCs w:val="24"/>
        </w:rPr>
      </w:pPr>
      <w:r>
        <w:rPr>
          <w:noProof/>
        </w:rPr>
        <w:br w:type="page"/>
      </w:r>
      <w:bookmarkStart w:id="279" w:name="_Toc498514163"/>
      <w:r>
        <w:t>1.6.</w:t>
      </w:r>
      <w:r>
        <w:tab/>
      </w:r>
      <w:r>
        <w:rPr>
          <w:noProof/>
        </w:rPr>
        <w:t>Trajanje ukrepa in finančnih posledic</w:t>
      </w:r>
      <w:bookmarkEnd w:id="279"/>
      <w:r>
        <w:rPr>
          <w:noProof/>
        </w:rPr>
        <w:t xml:space="preserve"> </w:t>
      </w:r>
    </w:p>
    <w:p>
      <w:pPr>
        <w:pStyle w:val="Text1"/>
        <w:rPr>
          <w:noProof/>
        </w:rPr>
      </w:pPr>
      <w:r>
        <w:rPr>
          <w:noProof/>
        </w:rPr>
        <w:sym w:font="Wingdings" w:char="F0A8"/>
      </w:r>
      <w:r>
        <w:rPr>
          <w:b/>
          <w:i/>
          <w:noProof/>
        </w:rPr>
        <w:t xml:space="preserve"> </w:t>
      </w:r>
      <w:r>
        <w:rPr>
          <w:b/>
          <w:noProof/>
        </w:rPr>
        <w:t>Časovno omejen(-a)</w:t>
      </w:r>
      <w:r>
        <w:rPr>
          <w:noProof/>
        </w:rPr>
        <w:t xml:space="preserve"> predlog/pobuda:</w:t>
      </w:r>
      <w:r>
        <w:rPr>
          <w:b/>
          <w:noProof/>
        </w:rPr>
        <w:t xml:space="preserve"> </w:t>
      </w:r>
    </w:p>
    <w:p>
      <w:pPr>
        <w:pStyle w:val="ListDash2"/>
        <w:rPr>
          <w:noProof/>
        </w:rPr>
      </w:pPr>
      <w:r>
        <w:rPr>
          <w:noProof/>
        </w:rPr>
        <w:sym w:font="Wingdings" w:char="F0A8"/>
      </w:r>
      <w:r>
        <w:rPr>
          <w:noProof/>
        </w:rPr>
        <w:tab/>
        <w:t xml:space="preserve">trajanje predloga/pobude od [D. MMMM] LLLL do [D. MMMM] LLLL, </w:t>
      </w:r>
    </w:p>
    <w:p>
      <w:pPr>
        <w:pStyle w:val="ListDash2"/>
        <w:rPr>
          <w:noProof/>
        </w:rPr>
      </w:pPr>
      <w:r>
        <w:rPr>
          <w:noProof/>
        </w:rPr>
        <w:sym w:font="Wingdings" w:char="F0A8"/>
      </w:r>
      <w:r>
        <w:rPr>
          <w:noProof/>
        </w:rPr>
        <w:tab/>
        <w:t xml:space="preserve">finančne posledice med letoma LLLL in LLLL. </w:t>
      </w:r>
    </w:p>
    <w:p>
      <w:pPr>
        <w:pStyle w:val="Text1"/>
        <w:rPr>
          <w:noProof/>
        </w:rPr>
      </w:pPr>
      <w:r>
        <w:rPr>
          <w:noProof/>
        </w:rPr>
        <w:sym w:font="Wingdings" w:char="F078"/>
      </w:r>
      <w:r>
        <w:rPr>
          <w:b/>
          <w:i/>
          <w:noProof/>
        </w:rPr>
        <w:t xml:space="preserve"> </w:t>
      </w:r>
      <w:r>
        <w:rPr>
          <w:b/>
          <w:noProof/>
        </w:rPr>
        <w:t>Časovno neomejen(-a)</w:t>
      </w:r>
      <w:r>
        <w:rPr>
          <w:noProof/>
        </w:rPr>
        <w:t xml:space="preserve"> predlog/pobuda:</w:t>
      </w:r>
    </w:p>
    <w:p>
      <w:pPr>
        <w:pStyle w:val="ListDash1"/>
        <w:rPr>
          <w:noProof/>
        </w:rPr>
      </w:pPr>
      <w:r>
        <w:rPr>
          <w:noProof/>
        </w:rPr>
        <w:t>Vključeno je obdobje razvoja od 2019 do 2023, ki mu sledi polno delovanje.</w:t>
      </w:r>
    </w:p>
    <w:p>
      <w:pPr>
        <w:pStyle w:val="ListDash1"/>
        <w:rPr>
          <w:noProof/>
        </w:rPr>
      </w:pPr>
      <w:r>
        <w:rPr>
          <w:noProof/>
        </w:rPr>
        <w:t>Trajanje finančnih posledic je zato navedeno za leta od 2019 do 2027.</w:t>
      </w:r>
    </w:p>
    <w:p>
      <w:pPr>
        <w:pStyle w:val="ManualHeading2"/>
        <w:rPr>
          <w:bCs/>
          <w:noProof/>
          <w:szCs w:val="24"/>
        </w:rPr>
      </w:pPr>
      <w:bookmarkStart w:id="280" w:name="_Toc498514164"/>
      <w:r>
        <w:t>1.7.</w:t>
      </w:r>
      <w:r>
        <w:tab/>
      </w:r>
      <w:r>
        <w:rPr>
          <w:noProof/>
        </w:rPr>
        <w:t>Načrtovani načini upravljanja</w:t>
      </w:r>
      <w:r>
        <w:rPr>
          <w:rStyle w:val="FootnoteReference"/>
          <w:noProof/>
        </w:rPr>
        <w:footnoteReference w:id="83"/>
      </w:r>
      <w:bookmarkEnd w:id="280"/>
      <w:r>
        <w:rPr>
          <w:rStyle w:val="FootnoteReference"/>
          <w:noProof/>
        </w:rPr>
        <w:t xml:space="preserve"> </w:t>
      </w:r>
    </w:p>
    <w:p>
      <w:pPr>
        <w:pStyle w:val="Text1"/>
        <w:rPr>
          <w:noProof/>
        </w:rPr>
      </w:pPr>
      <w:r>
        <w:rPr>
          <w:noProof/>
        </w:rPr>
        <w:sym w:font="Wingdings" w:char="F078"/>
      </w:r>
      <w:r>
        <w:rPr>
          <w:i/>
          <w:noProof/>
        </w:rPr>
        <w:t xml:space="preserve"> </w:t>
      </w:r>
      <w:r>
        <w:rPr>
          <w:b/>
          <w:noProof/>
        </w:rPr>
        <w:t>Neposredno upravljanje</w:t>
      </w:r>
      <w:r>
        <w:rPr>
          <w:noProof/>
        </w:rPr>
        <w:t xml:space="preserve"> – Komisija:</w:t>
      </w:r>
    </w:p>
    <w:p>
      <w:pPr>
        <w:pStyle w:val="ListDash2"/>
        <w:rPr>
          <w:rFonts w:cs="EUAlbertina"/>
          <w:noProof/>
        </w:rPr>
      </w:pPr>
      <w:r>
        <w:rPr>
          <w:noProof/>
        </w:rPr>
        <w:t xml:space="preserve">X z lastnimi službami, vključno z zaposlenimi v delegacijah Unije, </w:t>
      </w:r>
    </w:p>
    <w:p>
      <w:pPr>
        <w:pStyle w:val="ListDash2"/>
        <w:rPr>
          <w:noProof/>
        </w:rPr>
      </w:pPr>
      <w:r>
        <w:rPr>
          <w:noProof/>
        </w:rPr>
        <w:sym w:font="Wingdings" w:char="F0A8"/>
      </w:r>
      <w:r>
        <w:rPr>
          <w:noProof/>
        </w:rPr>
        <w:tab/>
        <w:t xml:space="preserve">prek izvajalskih agencij. </w:t>
      </w:r>
    </w:p>
    <w:p>
      <w:pPr>
        <w:pStyle w:val="Text1"/>
        <w:rPr>
          <w:noProof/>
        </w:rPr>
      </w:pPr>
      <w:r>
        <w:rPr>
          <w:noProof/>
        </w:rPr>
        <w:sym w:font="Wingdings" w:char="F078"/>
      </w:r>
      <w:r>
        <w:rPr>
          <w:b/>
          <w:i/>
          <w:noProof/>
        </w:rPr>
        <w:t xml:space="preserve"> </w:t>
      </w:r>
      <w:r>
        <w:rPr>
          <w:b/>
          <w:noProof/>
        </w:rPr>
        <w:t>Deljeno upravljanje</w:t>
      </w:r>
      <w:r>
        <w:rPr>
          <w:noProof/>
        </w:rPr>
        <w:t xml:space="preserve"> z državami članicami. </w:t>
      </w:r>
    </w:p>
    <w:p>
      <w:pPr>
        <w:pStyle w:val="Text1"/>
        <w:rPr>
          <w:noProof/>
        </w:rPr>
      </w:pPr>
      <w:r>
        <w:rPr>
          <w:noProof/>
        </w:rPr>
        <w:sym w:font="Wingdings" w:char="F078"/>
      </w:r>
      <w:r>
        <w:rPr>
          <w:i/>
          <w:noProof/>
        </w:rPr>
        <w:t xml:space="preserve"> </w:t>
      </w:r>
      <w:r>
        <w:rPr>
          <w:b/>
          <w:noProof/>
        </w:rPr>
        <w:t>Posredno upravljanje</w:t>
      </w:r>
      <w:r>
        <w:rPr>
          <w:noProof/>
        </w:rPr>
        <w:t xml:space="preserve"> s poverjanjem nalog izvrševanja proračuna:</w:t>
      </w:r>
    </w:p>
    <w:p>
      <w:pPr>
        <w:pStyle w:val="ListDash2"/>
        <w:rPr>
          <w:noProof/>
        </w:rPr>
      </w:pPr>
      <w:r>
        <w:rPr>
          <w:noProof/>
        </w:rPr>
        <w:sym w:font="Wingdings" w:char="F0A8"/>
      </w:r>
      <w:r>
        <w:rPr>
          <w:noProof/>
        </w:rPr>
        <w:t xml:space="preserve"> tretjim državam ali organom, ki jih te imenujejo,</w:t>
      </w:r>
    </w:p>
    <w:p>
      <w:pPr>
        <w:pStyle w:val="ListDash2"/>
        <w:rPr>
          <w:noProof/>
        </w:rPr>
      </w:pPr>
      <w:r>
        <w:rPr>
          <w:noProof/>
        </w:rPr>
        <w:sym w:font="Wingdings" w:char="F0A8"/>
      </w:r>
      <w:r>
        <w:rPr>
          <w:noProof/>
        </w:rPr>
        <w:t xml:space="preserve"> mednarodnim organizacijam in njihovim agencijam (navedite),</w:t>
      </w:r>
    </w:p>
    <w:p>
      <w:pPr>
        <w:pStyle w:val="ListDash2"/>
        <w:rPr>
          <w:noProof/>
        </w:rPr>
      </w:pPr>
      <w:r>
        <w:rPr>
          <w:noProof/>
        </w:rPr>
        <w:sym w:font="Wingdings" w:char="F0A8"/>
      </w:r>
      <w:r>
        <w:rPr>
          <w:noProof/>
        </w:rPr>
        <w:t xml:space="preserve"> EIB in Evropskemu investicijskemu skladu,</w:t>
      </w:r>
    </w:p>
    <w:p>
      <w:pPr>
        <w:pStyle w:val="ListDash2"/>
        <w:rPr>
          <w:noProof/>
        </w:rPr>
      </w:pPr>
      <w:r>
        <w:rPr>
          <w:noProof/>
        </w:rPr>
        <w:sym w:font="Wingdings" w:char="F078"/>
      </w:r>
      <w:r>
        <w:rPr>
          <w:noProof/>
        </w:rPr>
        <w:t xml:space="preserve"> organom iz členov 208 in 209 finančne uredbe,</w:t>
      </w:r>
    </w:p>
    <w:p>
      <w:pPr>
        <w:pStyle w:val="ListDash2"/>
        <w:rPr>
          <w:noProof/>
        </w:rPr>
      </w:pPr>
      <w:r>
        <w:rPr>
          <w:noProof/>
        </w:rPr>
        <w:sym w:font="Wingdings" w:char="F0A8"/>
      </w:r>
      <w:r>
        <w:rPr>
          <w:noProof/>
        </w:rPr>
        <w:t xml:space="preserve"> subjektom javnega prava,</w:t>
      </w:r>
    </w:p>
    <w:p>
      <w:pPr>
        <w:pStyle w:val="ListDash2"/>
        <w:rPr>
          <w:noProof/>
        </w:rPr>
      </w:pPr>
      <w:r>
        <w:rPr>
          <w:noProof/>
        </w:rPr>
        <w:sym w:font="Wingdings" w:char="F0A8"/>
      </w:r>
      <w:r>
        <w:rPr>
          <w:noProof/>
        </w:rPr>
        <w:t xml:space="preserve"> subjektom zasebnega prava, ki opravljajo javne storitve, kolikor ti subjekti zagotavljajo ustrezna finančna jamstva,</w:t>
      </w:r>
    </w:p>
    <w:p>
      <w:pPr>
        <w:pStyle w:val="ListDash2"/>
        <w:rPr>
          <w:noProof/>
        </w:rPr>
      </w:pPr>
      <w:r>
        <w:rPr>
          <w:noProof/>
        </w:rPr>
        <w:sym w:font="Wingdings" w:char="F0A8"/>
      </w:r>
      <w:r>
        <w:rPr>
          <w:noProof/>
        </w:rPr>
        <w:t xml:space="preserve"> subjektom zasebnega prava države članice, ki so pooblaščeni za izvajanje javno-zasebnih partnerstev in ki zagotavljajo ustrezna finančna jamstva,</w:t>
      </w:r>
    </w:p>
    <w:p>
      <w:pPr>
        <w:pStyle w:val="ListDash2"/>
        <w:rPr>
          <w:noProof/>
        </w:rPr>
      </w:pPr>
      <w:r>
        <w:rPr>
          <w:noProof/>
        </w:rPr>
        <w:sym w:font="Wingdings" w:char="F0A8"/>
      </w:r>
      <w:r>
        <w:rPr>
          <w:noProof/>
        </w:rPr>
        <w:t xml:space="preserve"> osebam, pooblaščenim za izvajanje določenih ukrepov SZVP v skladu z naslovom V PEU in opredeljenim v zadevnem temeljnem aktu.</w:t>
      </w:r>
    </w:p>
    <w:p>
      <w:pPr>
        <w:pStyle w:val="ListDash2"/>
        <w:rPr>
          <w:i/>
          <w:noProof/>
          <w:sz w:val="18"/>
          <w:u w:val="single"/>
        </w:rPr>
      </w:pPr>
      <w:r>
        <w:rPr>
          <w:i/>
          <w:noProof/>
          <w:sz w:val="18"/>
        </w:rPr>
        <w:t>Pri navedbi več kot enega načina upravljanja je treba to natančneje obrazložiti v oddelku „opombe“.</w:t>
      </w:r>
    </w:p>
    <w:p>
      <w:pPr>
        <w:rPr>
          <w:noProof/>
        </w:rPr>
      </w:pPr>
      <w:r>
        <w:rPr>
          <w:noProof/>
        </w:rPr>
        <w:t xml:space="preserve">Opombe </w:t>
      </w:r>
    </w:p>
    <w:tbl>
      <w:tblPr>
        <w:tblStyle w:val="TableGrid"/>
        <w:tblW w:w="9640" w:type="dxa"/>
        <w:tblLayout w:type="fixed"/>
        <w:tblLook w:val="04A0" w:firstRow="1" w:lastRow="0" w:firstColumn="1" w:lastColumn="0" w:noHBand="0" w:noVBand="1"/>
      </w:tblPr>
      <w:tblGrid>
        <w:gridCol w:w="3085"/>
        <w:gridCol w:w="1843"/>
        <w:gridCol w:w="1559"/>
        <w:gridCol w:w="1514"/>
        <w:gridCol w:w="1639"/>
      </w:tblGrid>
      <w:tr>
        <w:trPr>
          <w:tblHeader/>
        </w:trPr>
        <w:tc>
          <w:tcPr>
            <w:tcW w:w="3085" w:type="dxa"/>
          </w:tcPr>
          <w:p>
            <w:pPr>
              <w:jc w:val="center"/>
              <w:rPr>
                <w:noProof/>
              </w:rPr>
            </w:pPr>
            <w:r>
              <w:rPr>
                <w:noProof/>
              </w:rPr>
              <w:t>Sklopi</w:t>
            </w:r>
          </w:p>
        </w:tc>
        <w:tc>
          <w:tcPr>
            <w:tcW w:w="1843" w:type="dxa"/>
          </w:tcPr>
          <w:p>
            <w:pPr>
              <w:jc w:val="center"/>
              <w:rPr>
                <w:noProof/>
              </w:rPr>
            </w:pPr>
            <w:r>
              <w:rPr>
                <w:noProof/>
              </w:rPr>
              <w:t>Razvojna faza</w:t>
            </w:r>
          </w:p>
        </w:tc>
        <w:tc>
          <w:tcPr>
            <w:tcW w:w="1559" w:type="dxa"/>
          </w:tcPr>
          <w:p>
            <w:pPr>
              <w:jc w:val="center"/>
              <w:rPr>
                <w:noProof/>
              </w:rPr>
            </w:pPr>
            <w:r>
              <w:rPr>
                <w:noProof/>
              </w:rPr>
              <w:t>Operativna faza</w:t>
            </w:r>
          </w:p>
        </w:tc>
        <w:tc>
          <w:tcPr>
            <w:tcW w:w="1514" w:type="dxa"/>
          </w:tcPr>
          <w:p>
            <w:pPr>
              <w:jc w:val="center"/>
              <w:rPr>
                <w:noProof/>
              </w:rPr>
            </w:pPr>
            <w:r>
              <w:rPr>
                <w:noProof/>
              </w:rPr>
              <w:t>Način upravljanja</w:t>
            </w:r>
          </w:p>
        </w:tc>
        <w:tc>
          <w:tcPr>
            <w:tcW w:w="1639" w:type="dxa"/>
          </w:tcPr>
          <w:p>
            <w:pPr>
              <w:jc w:val="center"/>
              <w:rPr>
                <w:noProof/>
              </w:rPr>
            </w:pPr>
            <w:r>
              <w:rPr>
                <w:noProof/>
              </w:rPr>
              <w:t>Izvajalec</w:t>
            </w:r>
          </w:p>
        </w:tc>
      </w:tr>
      <w:tr>
        <w:tc>
          <w:tcPr>
            <w:tcW w:w="3085" w:type="dxa"/>
          </w:tcPr>
          <w:p>
            <w:pPr>
              <w:jc w:val="left"/>
              <w:rPr>
                <w:noProof/>
              </w:rPr>
            </w:pPr>
            <w:r>
              <w:rPr>
                <w:noProof/>
              </w:rPr>
              <w:t>Razvoj in vzdrževanje (sestavnih delov interoperabilnosti za centralne sisteme, usposabljanje o sistemih)</w:t>
            </w:r>
          </w:p>
        </w:tc>
        <w:tc>
          <w:tcPr>
            <w:tcW w:w="1843" w:type="dxa"/>
          </w:tcPr>
          <w:p>
            <w:pPr>
              <w:jc w:val="center"/>
              <w:rPr>
                <w:noProof/>
              </w:rPr>
            </w:pPr>
            <w:r>
              <w:rPr>
                <w:noProof/>
              </w:rPr>
              <w:t>X</w:t>
            </w:r>
          </w:p>
        </w:tc>
        <w:tc>
          <w:tcPr>
            <w:tcW w:w="1559" w:type="dxa"/>
          </w:tcPr>
          <w:p>
            <w:pPr>
              <w:jc w:val="center"/>
              <w:rPr>
                <w:noProof/>
              </w:rPr>
            </w:pPr>
            <w:r>
              <w:rPr>
                <w:noProof/>
              </w:rPr>
              <w:t>X</w:t>
            </w:r>
          </w:p>
        </w:tc>
        <w:tc>
          <w:tcPr>
            <w:tcW w:w="1514" w:type="dxa"/>
          </w:tcPr>
          <w:p>
            <w:pPr>
              <w:jc w:val="center"/>
              <w:rPr>
                <w:noProof/>
              </w:rPr>
            </w:pPr>
            <w:r>
              <w:rPr>
                <w:noProof/>
              </w:rPr>
              <w:t>Posredno</w:t>
            </w:r>
          </w:p>
        </w:tc>
        <w:tc>
          <w:tcPr>
            <w:tcW w:w="1639" w:type="dxa"/>
          </w:tcPr>
          <w:p>
            <w:pPr>
              <w:jc w:val="center"/>
              <w:rPr>
                <w:noProof/>
              </w:rPr>
            </w:pPr>
            <w:r>
              <w:rPr>
                <w:noProof/>
              </w:rPr>
              <w:t>eu-LISA</w:t>
            </w:r>
            <w:r>
              <w:rPr>
                <w:noProof/>
              </w:rPr>
              <w:br/>
              <w:t>Europol</w:t>
            </w:r>
            <w:r>
              <w:rPr>
                <w:noProof/>
              </w:rPr>
              <w:br/>
              <w:t>CEPOL</w:t>
            </w:r>
          </w:p>
          <w:p>
            <w:pPr>
              <w:jc w:val="center"/>
              <w:rPr>
                <w:noProof/>
              </w:rPr>
            </w:pPr>
          </w:p>
        </w:tc>
      </w:tr>
      <w:tr>
        <w:tc>
          <w:tcPr>
            <w:tcW w:w="3085" w:type="dxa"/>
          </w:tcPr>
          <w:p>
            <w:pPr>
              <w:jc w:val="left"/>
              <w:rPr>
                <w:noProof/>
              </w:rPr>
            </w:pPr>
            <w:r>
              <w:rPr>
                <w:noProof/>
              </w:rPr>
              <w:t xml:space="preserve">Migracija podatkov (migracija biometričnih predlog na skupno BMS), stroški omrežja, posodobitev nacionalnih enotnih vmesnikov, srečanja in usposabljanje </w:t>
            </w:r>
          </w:p>
        </w:tc>
        <w:tc>
          <w:tcPr>
            <w:tcW w:w="1843" w:type="dxa"/>
          </w:tcPr>
          <w:p>
            <w:pPr>
              <w:jc w:val="center"/>
              <w:rPr>
                <w:noProof/>
              </w:rPr>
            </w:pPr>
            <w:r>
              <w:rPr>
                <w:noProof/>
              </w:rPr>
              <w:t>X</w:t>
            </w:r>
          </w:p>
        </w:tc>
        <w:tc>
          <w:tcPr>
            <w:tcW w:w="1559" w:type="dxa"/>
          </w:tcPr>
          <w:p>
            <w:pPr>
              <w:jc w:val="center"/>
              <w:rPr>
                <w:noProof/>
              </w:rPr>
            </w:pPr>
            <w:r>
              <w:rPr>
                <w:noProof/>
              </w:rPr>
              <w:t>X</w:t>
            </w:r>
          </w:p>
        </w:tc>
        <w:tc>
          <w:tcPr>
            <w:tcW w:w="1514" w:type="dxa"/>
          </w:tcPr>
          <w:p>
            <w:pPr>
              <w:jc w:val="center"/>
              <w:rPr>
                <w:noProof/>
              </w:rPr>
            </w:pPr>
            <w:r>
              <w:rPr>
                <w:noProof/>
              </w:rPr>
              <w:t>Posredno</w:t>
            </w:r>
          </w:p>
        </w:tc>
        <w:tc>
          <w:tcPr>
            <w:tcW w:w="1639" w:type="dxa"/>
          </w:tcPr>
          <w:p>
            <w:pPr>
              <w:jc w:val="center"/>
              <w:rPr>
                <w:noProof/>
              </w:rPr>
            </w:pPr>
            <w:r>
              <w:rPr>
                <w:noProof/>
              </w:rPr>
              <w:t>eu-LISA</w:t>
            </w:r>
          </w:p>
        </w:tc>
      </w:tr>
      <w:tr>
        <w:tc>
          <w:tcPr>
            <w:tcW w:w="3085" w:type="dxa"/>
          </w:tcPr>
          <w:p>
            <w:pPr>
              <w:jc w:val="left"/>
              <w:rPr>
                <w:noProof/>
              </w:rPr>
            </w:pPr>
            <w:r>
              <w:rPr>
                <w:noProof/>
              </w:rPr>
              <w:t>Potrditev povezav pri ustvarjanju MID</w:t>
            </w:r>
          </w:p>
        </w:tc>
        <w:tc>
          <w:tcPr>
            <w:tcW w:w="1843" w:type="dxa"/>
          </w:tcPr>
          <w:p>
            <w:pPr>
              <w:jc w:val="center"/>
              <w:rPr>
                <w:noProof/>
              </w:rPr>
            </w:pPr>
            <w:r>
              <w:rPr>
                <w:noProof/>
              </w:rPr>
              <w:t>X</w:t>
            </w:r>
          </w:p>
        </w:tc>
        <w:tc>
          <w:tcPr>
            <w:tcW w:w="1559" w:type="dxa"/>
          </w:tcPr>
          <w:p>
            <w:pPr>
              <w:jc w:val="center"/>
              <w:rPr>
                <w:noProof/>
              </w:rPr>
            </w:pPr>
            <w:r>
              <w:rPr>
                <w:noProof/>
              </w:rPr>
              <w:t>–</w:t>
            </w:r>
          </w:p>
        </w:tc>
        <w:tc>
          <w:tcPr>
            <w:tcW w:w="1514" w:type="dxa"/>
          </w:tcPr>
          <w:p>
            <w:pPr>
              <w:jc w:val="center"/>
              <w:rPr>
                <w:noProof/>
              </w:rPr>
            </w:pPr>
            <w:r>
              <w:rPr>
                <w:noProof/>
              </w:rPr>
              <w:t>Posredno</w:t>
            </w:r>
          </w:p>
        </w:tc>
        <w:tc>
          <w:tcPr>
            <w:tcW w:w="1639" w:type="dxa"/>
          </w:tcPr>
          <w:p>
            <w:pPr>
              <w:jc w:val="center"/>
              <w:rPr>
                <w:noProof/>
              </w:rPr>
            </w:pPr>
            <w:r>
              <w:rPr>
                <w:noProof/>
              </w:rPr>
              <w:t>evropska mejna in obalna straža</w:t>
            </w:r>
          </w:p>
        </w:tc>
      </w:tr>
      <w:tr>
        <w:tc>
          <w:tcPr>
            <w:tcW w:w="3085" w:type="dxa"/>
          </w:tcPr>
          <w:p>
            <w:pPr>
              <w:jc w:val="left"/>
              <w:rPr>
                <w:noProof/>
              </w:rPr>
            </w:pPr>
            <w:r>
              <w:rPr>
                <w:noProof/>
              </w:rPr>
              <w:t>Prilagoditev nacionalnih enotnih vmesnikov, povezovanje nacionalnih sistemov in usposabljanje končnih uporabnikov</w:t>
            </w:r>
          </w:p>
        </w:tc>
        <w:tc>
          <w:tcPr>
            <w:tcW w:w="1843" w:type="dxa"/>
          </w:tcPr>
          <w:p>
            <w:pPr>
              <w:jc w:val="center"/>
              <w:rPr>
                <w:noProof/>
              </w:rPr>
            </w:pPr>
            <w:r>
              <w:rPr>
                <w:noProof/>
              </w:rPr>
              <w:t>X</w:t>
            </w:r>
          </w:p>
        </w:tc>
        <w:tc>
          <w:tcPr>
            <w:tcW w:w="1559" w:type="dxa"/>
          </w:tcPr>
          <w:p>
            <w:pPr>
              <w:jc w:val="center"/>
              <w:rPr>
                <w:noProof/>
              </w:rPr>
            </w:pPr>
            <w:r>
              <w:rPr>
                <w:noProof/>
              </w:rPr>
              <w:t xml:space="preserve">X </w:t>
            </w:r>
          </w:p>
        </w:tc>
        <w:tc>
          <w:tcPr>
            <w:tcW w:w="1514" w:type="dxa"/>
          </w:tcPr>
          <w:p>
            <w:pPr>
              <w:jc w:val="center"/>
              <w:rPr>
                <w:noProof/>
              </w:rPr>
            </w:pPr>
            <w:r>
              <w:rPr>
                <w:noProof/>
              </w:rPr>
              <w:t>Deljeno</w:t>
            </w:r>
            <w:r>
              <w:rPr>
                <w:noProof/>
              </w:rPr>
              <w:br/>
              <w:t xml:space="preserve"> (ali neposredno) (1)</w:t>
            </w:r>
          </w:p>
        </w:tc>
        <w:tc>
          <w:tcPr>
            <w:tcW w:w="1639" w:type="dxa"/>
          </w:tcPr>
          <w:p>
            <w:pPr>
              <w:jc w:val="center"/>
              <w:rPr>
                <w:noProof/>
              </w:rPr>
            </w:pPr>
            <w:r>
              <w:rPr>
                <w:noProof/>
              </w:rPr>
              <w:t>Komisija</w:t>
            </w:r>
            <w:r>
              <w:rPr>
                <w:noProof/>
              </w:rPr>
              <w:br/>
              <w:t xml:space="preserve">+ </w:t>
            </w:r>
            <w:r>
              <w:rPr>
                <w:noProof/>
              </w:rPr>
              <w:br/>
              <w:t>države članice</w:t>
            </w:r>
          </w:p>
        </w:tc>
      </w:tr>
    </w:tbl>
    <w:p>
      <w:pPr>
        <w:rPr>
          <w:noProof/>
        </w:rPr>
      </w:pPr>
      <w:r>
        <w:rPr>
          <w:noProof/>
        </w:rPr>
        <w:t>(1) V tem instrumentu niso vključeni zneski za operativno fazo.</w:t>
      </w:r>
    </w:p>
    <w:p>
      <w:pPr>
        <w:rPr>
          <w:noProof/>
        </w:rPr>
      </w:pPr>
    </w:p>
    <w:p>
      <w:pPr>
        <w:pBdr>
          <w:top w:val="single" w:sz="4" w:space="1" w:color="auto"/>
          <w:left w:val="single" w:sz="4" w:space="4" w:color="auto"/>
          <w:bottom w:val="single" w:sz="4" w:space="1" w:color="auto"/>
          <w:right w:val="single" w:sz="4" w:space="4" w:color="auto"/>
        </w:pBdr>
        <w:rPr>
          <w:noProof/>
        </w:rPr>
      </w:pPr>
      <w:r>
        <w:rPr>
          <w:noProof/>
        </w:rPr>
        <w:t>Obdobje razvoja se začne leta 2019 in bo trajalo do izvedbe vsakega posameznega sestavnega dela, torej poteka od leta 2019 do leta 2023 (glej oddelek 1.4.4).</w:t>
      </w:r>
    </w:p>
    <w:p>
      <w:pPr>
        <w:pBdr>
          <w:top w:val="single" w:sz="4" w:space="1" w:color="auto"/>
          <w:left w:val="single" w:sz="4" w:space="4" w:color="auto"/>
          <w:bottom w:val="single" w:sz="4" w:space="1" w:color="auto"/>
          <w:right w:val="single" w:sz="4" w:space="4" w:color="auto"/>
        </w:pBdr>
        <w:rPr>
          <w:noProof/>
        </w:rPr>
      </w:pPr>
      <w:r>
        <w:rPr>
          <w:noProof/>
        </w:rPr>
        <w:t>1. Neposredno upravljanje – GD HOME: Med obdobjem razvoja lahko po potrebi ukrepa tudi neposredno Komisija. Ti ukrepi bi lahko vključevali zlasti finančno podporo Unije za dejavnosti v obliki nepovratnih sredstev (tudi za nacionalne organe držav članic), javna naročila in/ali povračila stroškov zunanjim strokovnjakom.</w:t>
      </w:r>
    </w:p>
    <w:p>
      <w:pPr>
        <w:pBdr>
          <w:top w:val="single" w:sz="4" w:space="1" w:color="auto"/>
          <w:left w:val="single" w:sz="4" w:space="4" w:color="auto"/>
          <w:bottom w:val="single" w:sz="4" w:space="1" w:color="auto"/>
          <w:right w:val="single" w:sz="4" w:space="4" w:color="auto"/>
        </w:pBdr>
        <w:rPr>
          <w:noProof/>
        </w:rPr>
      </w:pPr>
      <w:r>
        <w:rPr>
          <w:noProof/>
        </w:rPr>
        <w:t xml:space="preserve">2. Deljeno upravljanje: Med razvojno fazo bodo morale države članice svoje nacionalne sisteme prilagoditi dostopanju do ESP in ne do posameznih sistemov (to velja za izhodna sporočila iz držav članic) in spremembam odgovorov na svoje zahtevke za iskanje (vhodna sporočila pri državah članicah). Posodobljen bo tudi obstoječi NUI, ki je bil uveden za namene SVI in sistema ETIAS. </w:t>
      </w:r>
    </w:p>
    <w:p>
      <w:pPr>
        <w:pBdr>
          <w:top w:val="single" w:sz="4" w:space="1" w:color="auto"/>
          <w:left w:val="single" w:sz="4" w:space="4" w:color="auto"/>
          <w:bottom w:val="single" w:sz="4" w:space="1" w:color="auto"/>
          <w:right w:val="single" w:sz="4" w:space="4" w:color="auto"/>
        </w:pBdr>
        <w:rPr>
          <w:noProof/>
        </w:rPr>
      </w:pPr>
      <w:r>
        <w:rPr>
          <w:noProof/>
        </w:rPr>
        <w:t xml:space="preserve">3. Posredno upravljanje: Agencija eu-LISA bo odgovorna za razvojni del vseh IT sklopov projekta, tj. za sestavne dele interoperabilnosti, posodobitev nacionalnega enotnega vmesnika (NUI) v vseh državah članicah, posodobitev komunikacijske infrastrukture med centralnimi sistemi in nacionalnimi enotnimi vmesniki, migracijo biometričnih predlog z obstoječih biometričnih sistemov SIS in sistema Eurodac na skupno BMS ter za pripadajočo dejavnost čiščenja podatkov. </w:t>
      </w:r>
    </w:p>
    <w:p>
      <w:pPr>
        <w:pBdr>
          <w:top w:val="single" w:sz="4" w:space="1" w:color="auto"/>
          <w:left w:val="single" w:sz="4" w:space="4" w:color="auto"/>
          <w:bottom w:val="single" w:sz="4" w:space="1" w:color="auto"/>
          <w:right w:val="single" w:sz="4" w:space="4" w:color="auto"/>
        </w:pBdr>
        <w:rPr>
          <w:noProof/>
        </w:rPr>
      </w:pPr>
      <w:r>
        <w:rPr>
          <w:noProof/>
        </w:rPr>
        <w:t>V obdobju delovanja bo agencija eu-LISA izvajala vse tehnične dejavnosti, povezane z vzdrževanjem sestavnih delov.</w:t>
      </w:r>
    </w:p>
    <w:p>
      <w:pPr>
        <w:pBdr>
          <w:top w:val="single" w:sz="4" w:space="1" w:color="auto"/>
          <w:left w:val="single" w:sz="4" w:space="4" w:color="auto"/>
          <w:bottom w:val="single" w:sz="4" w:space="1" w:color="auto"/>
          <w:right w:val="single" w:sz="4" w:space="4" w:color="auto"/>
        </w:pBdr>
        <w:rPr>
          <w:noProof/>
        </w:rPr>
      </w:pPr>
      <w:r>
        <w:rPr>
          <w:noProof/>
        </w:rPr>
        <w:t xml:space="preserve">Evropska agencija za mejno in obalno stražo bo po začetku delovanja MID prispevala dodatno ekipo za potrjevanje povezav. Ta naloga je časovno omejena. </w:t>
      </w:r>
    </w:p>
    <w:p>
      <w:pPr>
        <w:pBdr>
          <w:top w:val="single" w:sz="4" w:space="1" w:color="auto"/>
          <w:left w:val="single" w:sz="4" w:space="4" w:color="auto"/>
          <w:bottom w:val="single" w:sz="4" w:space="1" w:color="auto"/>
          <w:right w:val="single" w:sz="4" w:space="4" w:color="auto"/>
        </w:pBdr>
        <w:rPr>
          <w:noProof/>
        </w:rPr>
      </w:pPr>
      <w:r>
        <w:rPr>
          <w:noProof/>
        </w:rPr>
        <w:t>Europol bo odgovoren za razvoj in vzdrževanje svojih sistemov, da se zagotovi interoperabilnost z ESP in sistemom ETIAS.</w:t>
      </w:r>
    </w:p>
    <w:p>
      <w:pPr>
        <w:pBdr>
          <w:top w:val="single" w:sz="4" w:space="1" w:color="auto"/>
          <w:left w:val="single" w:sz="4" w:space="4" w:color="auto"/>
          <w:bottom w:val="single" w:sz="4" w:space="1" w:color="auto"/>
          <w:right w:val="single" w:sz="4" w:space="4" w:color="auto"/>
        </w:pBdr>
        <w:rPr>
          <w:noProof/>
        </w:rPr>
      </w:pPr>
      <w:r>
        <w:rPr>
          <w:noProof/>
        </w:rPr>
        <w:t>CEPOL pripravlja in izvaja usposabljanja za operativne službe po pristopu „usposabljanja inštruktorjev“.</w:t>
      </w:r>
    </w:p>
    <w:p>
      <w:pPr>
        <w:pBdr>
          <w:top w:val="single" w:sz="4" w:space="1" w:color="auto"/>
          <w:left w:val="single" w:sz="4" w:space="4" w:color="auto"/>
          <w:bottom w:val="single" w:sz="4" w:space="1" w:color="auto"/>
          <w:right w:val="single" w:sz="4" w:space="4" w:color="auto"/>
        </w:pBdr>
        <w:rPr>
          <w:noProof/>
        </w:rPr>
      </w:pP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281" w:name="_Toc498514165"/>
      <w:r>
        <w:t>2.</w:t>
      </w:r>
      <w:r>
        <w:tab/>
      </w:r>
      <w:r>
        <w:rPr>
          <w:noProof/>
        </w:rPr>
        <w:t>UKREPI UPRAVLJANJA</w:t>
      </w:r>
      <w:bookmarkEnd w:id="281"/>
      <w:r>
        <w:rPr>
          <w:noProof/>
        </w:rPr>
        <w:t xml:space="preserve"> </w:t>
      </w:r>
    </w:p>
    <w:p>
      <w:pPr>
        <w:pStyle w:val="ManualHeading2"/>
        <w:rPr>
          <w:noProof/>
        </w:rPr>
      </w:pPr>
      <w:bookmarkStart w:id="282" w:name="_Toc498514166"/>
      <w:r>
        <w:t>2.1.</w:t>
      </w:r>
      <w:r>
        <w:tab/>
      </w:r>
      <w:r>
        <w:rPr>
          <w:noProof/>
        </w:rPr>
        <w:t>Pravila o spremljanju in poročanju</w:t>
      </w:r>
      <w:bookmarkEnd w:id="282"/>
      <w:r>
        <w:rPr>
          <w:noProof/>
        </w:rPr>
        <w:t xml:space="preserve"> </w:t>
      </w:r>
    </w:p>
    <w:p>
      <w:pPr>
        <w:pStyle w:val="Text1"/>
        <w:rPr>
          <w:i/>
          <w:noProof/>
          <w:sz w:val="20"/>
          <w:u w:val="single"/>
        </w:rPr>
      </w:pPr>
      <w:r>
        <w:rPr>
          <w:i/>
          <w:noProof/>
          <w:sz w:val="20"/>
        </w:rPr>
        <w:t>Navedite pogostost in pogoje.</w:t>
      </w:r>
    </w:p>
    <w:p>
      <w:pPr>
        <w:pStyle w:val="Text1"/>
        <w:pBdr>
          <w:top w:val="single" w:sz="4" w:space="1" w:color="auto"/>
          <w:left w:val="single" w:sz="4" w:space="4" w:color="auto"/>
          <w:bottom w:val="single" w:sz="4" w:space="1" w:color="auto"/>
          <w:right w:val="single" w:sz="4" w:space="4" w:color="auto"/>
        </w:pBdr>
        <w:rPr>
          <w:noProof/>
        </w:rPr>
      </w:pPr>
      <w:r>
        <w:rPr>
          <w:noProof/>
        </w:rPr>
        <w:t>Pravila o spremljanju in poročanju za razvoj in vzdrževanje drugih sistemov:</w:t>
      </w:r>
    </w:p>
    <w:p>
      <w:pPr>
        <w:pStyle w:val="Text1"/>
        <w:pBdr>
          <w:top w:val="single" w:sz="4" w:space="1" w:color="auto"/>
          <w:left w:val="single" w:sz="4" w:space="4" w:color="auto"/>
          <w:bottom w:val="single" w:sz="4" w:space="1" w:color="auto"/>
          <w:right w:val="single" w:sz="4" w:space="4" w:color="auto"/>
        </w:pBdr>
        <w:rPr>
          <w:noProof/>
        </w:rPr>
      </w:pPr>
      <w:r>
        <w:rPr>
          <w:noProof/>
        </w:rPr>
        <w:t>1. Agencija eu-LISA zagotovi, da so vzpostavljeni postopki za spremljanje razvoja sestavnih delov interoperabilnosti ob upoštevanju ciljev v zvezi z načrtovanjem in stroški ter spremljanje delovanja sestavnih delov ob upoštevanju ciljev v zvezi s tehničnimi rezultati, stroškovno učinkovitostjo, varnostjo in kakovostjo storitev.</w:t>
      </w:r>
    </w:p>
    <w:p>
      <w:pPr>
        <w:pStyle w:val="Text1"/>
        <w:pBdr>
          <w:top w:val="single" w:sz="4" w:space="1" w:color="auto"/>
          <w:left w:val="single" w:sz="4" w:space="4" w:color="auto"/>
          <w:bottom w:val="single" w:sz="4" w:space="1" w:color="auto"/>
          <w:right w:val="single" w:sz="4" w:space="4" w:color="auto"/>
        </w:pBdr>
        <w:rPr>
          <w:noProof/>
        </w:rPr>
      </w:pPr>
      <w:r>
        <w:rPr>
          <w:noProof/>
        </w:rPr>
        <w:t>2. Agencija eu-LISA v šestih mesecih po začetku veljavnosti te uredbe in nato vsakih šest mesecev med razvojno fazo sestavnih delov predloži Evropskemu parlamentu in Svetu poročilo o trenutnem stanju razvoja posameznih sestavnih delov. Po končanem razvoju se Evropskemu parlamentu in Svetu predloži poročilo, ki podrobno pojasnjuje, kako so bili izpolnjeni zlasti cilji, povezani z načrtovanjem in stroški, ter utemeljuje morebitna odstopanja.</w:t>
      </w:r>
    </w:p>
    <w:p>
      <w:pPr>
        <w:pStyle w:val="Text1"/>
        <w:pBdr>
          <w:top w:val="single" w:sz="4" w:space="1" w:color="auto"/>
          <w:left w:val="single" w:sz="4" w:space="4" w:color="auto"/>
          <w:bottom w:val="single" w:sz="4" w:space="1" w:color="auto"/>
          <w:right w:val="single" w:sz="4" w:space="4" w:color="auto"/>
        </w:pBdr>
        <w:rPr>
          <w:noProof/>
        </w:rPr>
      </w:pPr>
      <w:r>
        <w:rPr>
          <w:noProof/>
        </w:rPr>
        <w:t>3. Agencija eu-LISA ima zaradi tehničnega vzdrževanja dostop do potrebnih informacij o postopkih obdelave podatkov, ki se izvajajo v sestavnih delih.</w:t>
      </w:r>
    </w:p>
    <w:p>
      <w:pPr>
        <w:pStyle w:val="Text1"/>
        <w:pBdr>
          <w:top w:val="single" w:sz="4" w:space="1" w:color="auto"/>
          <w:left w:val="single" w:sz="4" w:space="4" w:color="auto"/>
          <w:bottom w:val="single" w:sz="4" w:space="1" w:color="auto"/>
          <w:right w:val="single" w:sz="4" w:space="4" w:color="auto"/>
        </w:pBdr>
        <w:rPr>
          <w:noProof/>
        </w:rPr>
      </w:pPr>
      <w:r>
        <w:rPr>
          <w:noProof/>
        </w:rPr>
        <w:t>4. Agencija eu-LISA štiri leta po začetku delovanja zadnjega uvedenega sestavnega dela in nato vsaka štiri leta Evropskemu parlamentu, Svetu in Komisiji predloži poročilo o tehničnem delovanju sestavnih delov.</w:t>
      </w:r>
    </w:p>
    <w:p>
      <w:pPr>
        <w:pStyle w:val="Text1"/>
        <w:pBdr>
          <w:top w:val="single" w:sz="4" w:space="1" w:color="auto"/>
          <w:left w:val="single" w:sz="4" w:space="4" w:color="auto"/>
          <w:bottom w:val="single" w:sz="4" w:space="1" w:color="auto"/>
          <w:right w:val="single" w:sz="4" w:space="4" w:color="auto"/>
        </w:pBdr>
        <w:rPr>
          <w:noProof/>
        </w:rPr>
      </w:pPr>
      <w:r>
        <w:rPr>
          <w:noProof/>
        </w:rPr>
        <w:t>5. Komisija pet let po začetku delovanja zadnjega uvedenega sestavnega dela in nato vsaka štiri leta pripravi splošno oceno in poda morebitna potrebna priporočila. Ta splošna ocena obsega: rezultate sestavnih delov glede na njihove cilje v zvezi z interoperabilnostjo, zmožnostmi vzdrževanja, uspešnostjo in finančnimi posledicami ter učinke na temeljne pravice.</w:t>
      </w:r>
    </w:p>
    <w:p>
      <w:pPr>
        <w:pStyle w:val="Text1"/>
        <w:pBdr>
          <w:top w:val="single" w:sz="4" w:space="1" w:color="auto"/>
          <w:left w:val="single" w:sz="4" w:space="4" w:color="auto"/>
          <w:bottom w:val="single" w:sz="4" w:space="1" w:color="auto"/>
          <w:right w:val="single" w:sz="4" w:space="4" w:color="auto"/>
        </w:pBdr>
        <w:rPr>
          <w:noProof/>
        </w:rPr>
      </w:pPr>
      <w:r>
        <w:rPr>
          <w:noProof/>
        </w:rPr>
        <w:t>Komisija poročilo o oceni posreduje Evropskemu parlamentu in Svetu.</w:t>
      </w:r>
    </w:p>
    <w:p>
      <w:pPr>
        <w:pStyle w:val="Text1"/>
        <w:pBdr>
          <w:top w:val="single" w:sz="4" w:space="1" w:color="auto"/>
          <w:left w:val="single" w:sz="4" w:space="4" w:color="auto"/>
          <w:bottom w:val="single" w:sz="4" w:space="1" w:color="auto"/>
          <w:right w:val="single" w:sz="4" w:space="4" w:color="auto"/>
        </w:pBdr>
        <w:rPr>
          <w:noProof/>
        </w:rPr>
      </w:pPr>
      <w:r>
        <w:rPr>
          <w:noProof/>
        </w:rPr>
        <w:t>6. Države članice in Europol agenciji eu-LISA in Komisiji predložijo informacije, potrebne za pripravo poročil iz odstavkov 4 in 5, na podlagi količinskih kazalnikov, ki jih vnaprej določita Komisija in/ali agencija eu-LISA. Te informacije ne smejo ogroziti delovnih metod ali vključevati informacij, ki razkrivajo vire, identiteto članov osebja ali preiskave imenovanih organov.</w:t>
      </w:r>
    </w:p>
    <w:p>
      <w:pPr>
        <w:pStyle w:val="Text1"/>
        <w:pBdr>
          <w:top w:val="single" w:sz="4" w:space="1" w:color="auto"/>
          <w:left w:val="single" w:sz="4" w:space="4" w:color="auto"/>
          <w:bottom w:val="single" w:sz="4" w:space="1" w:color="auto"/>
          <w:right w:val="single" w:sz="4" w:space="4" w:color="auto"/>
        </w:pBdr>
        <w:rPr>
          <w:noProof/>
        </w:rPr>
      </w:pPr>
      <w:r>
        <w:rPr>
          <w:noProof/>
        </w:rPr>
        <w:t>7. Agencija eu-LISA Komisiji predloži podatke, potrebne za pripravo splošne ocene iz odstavka 5.</w:t>
      </w:r>
    </w:p>
    <w:p>
      <w:pPr>
        <w:pStyle w:val="Text1"/>
        <w:pBdr>
          <w:top w:val="single" w:sz="4" w:space="1" w:color="auto"/>
          <w:left w:val="single" w:sz="4" w:space="4" w:color="auto"/>
          <w:bottom w:val="single" w:sz="4" w:space="1" w:color="auto"/>
          <w:right w:val="single" w:sz="4" w:space="4" w:color="auto"/>
        </w:pBdr>
        <w:rPr>
          <w:noProof/>
        </w:rPr>
      </w:pPr>
      <w:r>
        <w:rPr>
          <w:noProof/>
        </w:rPr>
        <w:t>8. Ob upoštevanju predpisov nacionalnega prava o objavi občutljivih informacij vsaka država članica in Europol zaradi preprečevanja, odkrivanja in preiskovanja kaznivih dejanj pripravijo letna poročila o učinkovitosti dostopa do sistemov EU, ki zajemajo informacije in statistične podatke o:</w:t>
      </w:r>
    </w:p>
    <w:p>
      <w:pPr>
        <w:pStyle w:val="Text1"/>
        <w:pBdr>
          <w:top w:val="single" w:sz="4" w:space="1" w:color="auto"/>
          <w:left w:val="single" w:sz="4" w:space="4" w:color="auto"/>
          <w:bottom w:val="single" w:sz="4" w:space="1" w:color="auto"/>
          <w:right w:val="single" w:sz="4" w:space="4" w:color="auto"/>
        </w:pBdr>
        <w:rPr>
          <w:noProof/>
        </w:rPr>
      </w:pPr>
      <w:r>
        <w:rPr>
          <w:noProof/>
        </w:rPr>
        <w:t>– natančnem namenu vpogleda, vključno z vrsto terorističnega dejanja ali hudega kaznivega dejanja;</w:t>
      </w:r>
    </w:p>
    <w:p>
      <w:pPr>
        <w:pStyle w:val="Text1"/>
        <w:pBdr>
          <w:top w:val="single" w:sz="4" w:space="1" w:color="auto"/>
          <w:left w:val="single" w:sz="4" w:space="4" w:color="auto"/>
          <w:bottom w:val="single" w:sz="4" w:space="1" w:color="auto"/>
          <w:right w:val="single" w:sz="4" w:space="4" w:color="auto"/>
        </w:pBdr>
        <w:rPr>
          <w:noProof/>
        </w:rPr>
      </w:pPr>
      <w:r>
        <w:rPr>
          <w:noProof/>
        </w:rPr>
        <w:t>– razumnih razlogih za utemeljen sum, da je osumljenec, storilec ali žrtev zajet s to uredbo;</w:t>
      </w:r>
    </w:p>
    <w:p>
      <w:pPr>
        <w:pStyle w:val="Text1"/>
        <w:pBdr>
          <w:top w:val="single" w:sz="4" w:space="1" w:color="auto"/>
          <w:left w:val="single" w:sz="4" w:space="4" w:color="auto"/>
          <w:bottom w:val="single" w:sz="4" w:space="1" w:color="auto"/>
          <w:right w:val="single" w:sz="4" w:space="4" w:color="auto"/>
        </w:pBdr>
        <w:rPr>
          <w:noProof/>
        </w:rPr>
      </w:pPr>
      <w:r>
        <w:rPr>
          <w:noProof/>
        </w:rPr>
        <w:t>– številu zahtev za dostop do sestavnih delov za namene kazenskega pregona;</w:t>
      </w:r>
    </w:p>
    <w:p>
      <w:pPr>
        <w:pStyle w:val="Text1"/>
        <w:pBdr>
          <w:top w:val="single" w:sz="4" w:space="1" w:color="auto"/>
          <w:left w:val="single" w:sz="4" w:space="4" w:color="auto"/>
          <w:bottom w:val="single" w:sz="4" w:space="1" w:color="auto"/>
          <w:right w:val="single" w:sz="4" w:space="4" w:color="auto"/>
        </w:pBdr>
        <w:rPr>
          <w:noProof/>
        </w:rPr>
      </w:pPr>
      <w:r>
        <w:rPr>
          <w:noProof/>
        </w:rPr>
        <w:t>– številu in vrsti zadev, ki so vodile do uspešne identifikacije;</w:t>
      </w:r>
    </w:p>
    <w:p>
      <w:pPr>
        <w:pStyle w:val="Text1"/>
        <w:pBdr>
          <w:top w:val="single" w:sz="4" w:space="1" w:color="auto"/>
          <w:left w:val="single" w:sz="4" w:space="4" w:color="auto"/>
          <w:bottom w:val="single" w:sz="4" w:space="1" w:color="auto"/>
          <w:right w:val="single" w:sz="4" w:space="4" w:color="auto"/>
        </w:pBdr>
        <w:rPr>
          <w:noProof/>
        </w:rPr>
      </w:pPr>
      <w:r>
        <w:rPr>
          <w:noProof/>
        </w:rPr>
        <w:t>– potrebi in uporabi izjemnih nujnih primerov, vključno s tistimi primeri, pri katerih se po naknadnem preverjanju, ki ga je opravila centralna točka dostopa, ta nujnost ni sprejela.</w:t>
      </w:r>
    </w:p>
    <w:p>
      <w:pPr>
        <w:pStyle w:val="Text1"/>
        <w:pBdr>
          <w:top w:val="single" w:sz="4" w:space="1" w:color="auto"/>
          <w:left w:val="single" w:sz="4" w:space="4" w:color="auto"/>
          <w:bottom w:val="single" w:sz="4" w:space="1" w:color="auto"/>
          <w:right w:val="single" w:sz="4" w:space="4" w:color="auto"/>
        </w:pBdr>
        <w:rPr>
          <w:noProof/>
        </w:rPr>
      </w:pPr>
      <w:r>
        <w:rPr>
          <w:noProof/>
        </w:rPr>
        <w:t>Letna poročila držav članic in Europola se pošljejo Komisiji do 30. junija naslednjega leta.</w:t>
      </w:r>
    </w:p>
    <w:p>
      <w:pPr>
        <w:pStyle w:val="ManualHeading2"/>
        <w:rPr>
          <w:bCs/>
          <w:noProof/>
          <w:szCs w:val="24"/>
        </w:rPr>
      </w:pPr>
      <w:bookmarkStart w:id="283" w:name="_Toc498514167"/>
      <w:r>
        <w:t>2.2.</w:t>
      </w:r>
      <w:r>
        <w:tab/>
      </w:r>
      <w:r>
        <w:rPr>
          <w:noProof/>
        </w:rPr>
        <w:t>Upravljavski in kontrolni sistem</w:t>
      </w:r>
      <w:bookmarkEnd w:id="283"/>
      <w:r>
        <w:rPr>
          <w:noProof/>
        </w:rPr>
        <w:t xml:space="preserve"> </w:t>
      </w:r>
    </w:p>
    <w:p>
      <w:pPr>
        <w:pStyle w:val="ManualHeading3"/>
        <w:rPr>
          <w:noProof/>
        </w:rPr>
      </w:pPr>
      <w:bookmarkStart w:id="284" w:name="_Toc498514168"/>
      <w:r>
        <w:t>2.2.1.</w:t>
      </w:r>
      <w:r>
        <w:tab/>
      </w:r>
      <w:r>
        <w:rPr>
          <w:noProof/>
        </w:rPr>
        <w:t>Ugotovljena tveganja</w:t>
      </w:r>
      <w:bookmarkEnd w:id="284"/>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Tveganja se nanašajo na IT razvoj petih sestavnih delov s strani zunanjega izvajalca pod upravljanjem agencije eu-LISA. Gre za naslednja značilna tveganja za projekte:</w:t>
      </w:r>
    </w:p>
    <w:p>
      <w:pPr>
        <w:pStyle w:val="Text1"/>
        <w:pBdr>
          <w:top w:val="single" w:sz="4" w:space="1" w:color="auto"/>
          <w:left w:val="single" w:sz="4" w:space="4" w:color="auto"/>
          <w:bottom w:val="single" w:sz="4" w:space="1" w:color="auto"/>
          <w:right w:val="single" w:sz="4" w:space="4" w:color="auto"/>
        </w:pBdr>
        <w:rPr>
          <w:noProof/>
        </w:rPr>
      </w:pPr>
      <w:r>
        <w:rPr>
          <w:noProof/>
        </w:rPr>
        <w:t>1. projekt ne bo dokončan pravočasno;</w:t>
      </w:r>
    </w:p>
    <w:p>
      <w:pPr>
        <w:pStyle w:val="Text1"/>
        <w:pBdr>
          <w:top w:val="single" w:sz="4" w:space="1" w:color="auto"/>
          <w:left w:val="single" w:sz="4" w:space="4" w:color="auto"/>
          <w:bottom w:val="single" w:sz="4" w:space="1" w:color="auto"/>
          <w:right w:val="single" w:sz="4" w:space="4" w:color="auto"/>
        </w:pBdr>
        <w:rPr>
          <w:noProof/>
        </w:rPr>
      </w:pPr>
      <w:r>
        <w:rPr>
          <w:noProof/>
        </w:rPr>
        <w:t>2. projekt ne bo dokončan v okviru proračuna;</w:t>
      </w:r>
    </w:p>
    <w:p>
      <w:pPr>
        <w:pStyle w:val="Text1"/>
        <w:pBdr>
          <w:top w:val="single" w:sz="4" w:space="1" w:color="auto"/>
          <w:left w:val="single" w:sz="4" w:space="4" w:color="auto"/>
          <w:bottom w:val="single" w:sz="4" w:space="1" w:color="auto"/>
          <w:right w:val="single" w:sz="4" w:space="4" w:color="auto"/>
        </w:pBdr>
        <w:rPr>
          <w:noProof/>
        </w:rPr>
      </w:pPr>
      <w:r>
        <w:rPr>
          <w:noProof/>
        </w:rPr>
        <w:t>3. projekt ne bo zagotovljen v celotnem obsegu.</w:t>
      </w:r>
    </w:p>
    <w:p>
      <w:pPr>
        <w:pStyle w:val="Text1"/>
        <w:pBdr>
          <w:top w:val="single" w:sz="4" w:space="1" w:color="auto"/>
          <w:left w:val="single" w:sz="4" w:space="4" w:color="auto"/>
          <w:bottom w:val="single" w:sz="4" w:space="1" w:color="auto"/>
          <w:right w:val="single" w:sz="4" w:space="4" w:color="auto"/>
        </w:pBdr>
        <w:rPr>
          <w:noProof/>
        </w:rPr>
      </w:pPr>
      <w:r>
        <w:rPr>
          <w:noProof/>
        </w:rPr>
        <w:t>Prvo tveganje je najpomembnejše, saj prekoračitev časovnega okvira prinaša višje stroške, ker so ti večinoma povezani s trajanjem, na primer stroški za osebje, letni stroški licenc itd.</w:t>
      </w:r>
    </w:p>
    <w:p>
      <w:pPr>
        <w:pStyle w:val="Text1"/>
        <w:pBdr>
          <w:top w:val="single" w:sz="4" w:space="1" w:color="auto"/>
          <w:left w:val="single" w:sz="4" w:space="4" w:color="auto"/>
          <w:bottom w:val="single" w:sz="4" w:space="1" w:color="auto"/>
          <w:right w:val="single" w:sz="4" w:space="4" w:color="auto"/>
        </w:pBdr>
        <w:rPr>
          <w:noProof/>
        </w:rPr>
      </w:pPr>
      <w:r>
        <w:rPr>
          <w:noProof/>
        </w:rPr>
        <w:t>Ta tveganja je mogoče ublažiti s tehnikami vodenja projektov, vključno z načrtovanjem za primere nepredvidenih dogodkov pri razvojnih projektih in zagotavljanjem dovolj osebja, da je mogoče pokriti povečan obseg dela. Ocena potrebnega napora se namreč običajno opravi ob predpostavki enakomerne porazdelitve delovne obremenitve po obdobju, dejansko pa pri projektih prihaja do neenakomernih delovnih obremenitev, ki se pokrijejo z dodelitvijo več virov.</w:t>
      </w:r>
    </w:p>
    <w:p>
      <w:pPr>
        <w:pStyle w:val="Text1"/>
        <w:pBdr>
          <w:top w:val="single" w:sz="4" w:space="1" w:color="auto"/>
          <w:left w:val="single" w:sz="4" w:space="4" w:color="auto"/>
          <w:bottom w:val="single" w:sz="4" w:space="1" w:color="auto"/>
          <w:right w:val="single" w:sz="4" w:space="4" w:color="auto"/>
        </w:pBdr>
        <w:rPr>
          <w:noProof/>
        </w:rPr>
      </w:pPr>
      <w:r>
        <w:rPr>
          <w:noProof/>
        </w:rPr>
        <w:t>Za to razvojno delo obstaja več tveganj v zvezi z uporabo zunanjega izvajalca:</w:t>
      </w:r>
    </w:p>
    <w:p>
      <w:pPr>
        <w:pStyle w:val="Text1"/>
        <w:pBdr>
          <w:top w:val="single" w:sz="4" w:space="1" w:color="auto"/>
          <w:left w:val="single" w:sz="4" w:space="4" w:color="auto"/>
          <w:bottom w:val="single" w:sz="4" w:space="1" w:color="auto"/>
          <w:right w:val="single" w:sz="4" w:space="4" w:color="auto"/>
        </w:pBdr>
        <w:rPr>
          <w:noProof/>
        </w:rPr>
      </w:pPr>
      <w:r>
        <w:rPr>
          <w:noProof/>
        </w:rPr>
        <w:t>1. zlasti tveganje, da izvajalec projektu ne bo namenil zadostnih sredstev ali da ne bo zasnoval in razvil najsodobnejšega sistema;</w:t>
      </w:r>
    </w:p>
    <w:p>
      <w:pPr>
        <w:pStyle w:val="Text1"/>
        <w:pBdr>
          <w:top w:val="single" w:sz="4" w:space="1" w:color="auto"/>
          <w:left w:val="single" w:sz="4" w:space="4" w:color="auto"/>
          <w:bottom w:val="single" w:sz="4" w:space="1" w:color="auto"/>
          <w:right w:val="single" w:sz="4" w:space="4" w:color="auto"/>
        </w:pBdr>
        <w:rPr>
          <w:noProof/>
        </w:rPr>
      </w:pPr>
      <w:r>
        <w:rPr>
          <w:noProof/>
        </w:rPr>
        <w:t>2. tveganje, da izvajalec pri upravljanju obsežnih informacijskih projektov ne bo v celoti upošteval upravnih tehnik in metod kot načina za znižanje stroškov;</w:t>
      </w:r>
    </w:p>
    <w:p>
      <w:pPr>
        <w:pStyle w:val="Text1"/>
        <w:pBdr>
          <w:top w:val="single" w:sz="4" w:space="1" w:color="auto"/>
          <w:left w:val="single" w:sz="4" w:space="4" w:color="auto"/>
          <w:bottom w:val="single" w:sz="4" w:space="1" w:color="auto"/>
          <w:right w:val="single" w:sz="4" w:space="4" w:color="auto"/>
        </w:pBdr>
        <w:rPr>
          <w:noProof/>
        </w:rPr>
      </w:pPr>
      <w:r>
        <w:rPr>
          <w:noProof/>
        </w:rPr>
        <w:t>3. nazadnje, ni mogoče v celoti izključiti tveganja, da se bo izvajalec iz razlogov, ki niso povezani s tem projektom, znašel v finančnih težavah.</w:t>
      </w:r>
    </w:p>
    <w:p>
      <w:pPr>
        <w:pStyle w:val="Text1"/>
        <w:pBdr>
          <w:top w:val="single" w:sz="4" w:space="1" w:color="auto"/>
          <w:left w:val="single" w:sz="4" w:space="4" w:color="auto"/>
          <w:bottom w:val="single" w:sz="4" w:space="1" w:color="auto"/>
          <w:right w:val="single" w:sz="4" w:space="4" w:color="auto"/>
        </w:pBdr>
        <w:rPr>
          <w:noProof/>
        </w:rPr>
      </w:pPr>
      <w:r>
        <w:rPr>
          <w:noProof/>
        </w:rPr>
        <w:t xml:space="preserve">Ta tveganja se blažijo z oddajo javnih naročil na podlagi robustnih meril kakovosti, preverjanjem referenc izvajalcev in ohranjanjem trdnih odnosov z njimi. Nazadnje je mogoče v skrajnem primeru vključiti in uporabiti stroge klavzule o pogodbenih kaznih in odpovedi pogodbe. </w:t>
      </w:r>
    </w:p>
    <w:p>
      <w:pPr>
        <w:pStyle w:val="ManualHeading3"/>
        <w:rPr>
          <w:bCs/>
          <w:noProof/>
          <w:szCs w:val="24"/>
        </w:rPr>
      </w:pPr>
      <w:bookmarkStart w:id="285" w:name="_Toc498514169"/>
      <w:r>
        <w:t>2.2.2.</w:t>
      </w:r>
      <w:r>
        <w:tab/>
      </w:r>
      <w:r>
        <w:rPr>
          <w:noProof/>
        </w:rPr>
        <w:t>Podatki o vzpostavljenem sistemu notranje kontrole</w:t>
      </w:r>
      <w:bookmarkEnd w:id="285"/>
    </w:p>
    <w:p>
      <w:pPr>
        <w:pStyle w:val="Text1"/>
        <w:pBdr>
          <w:top w:val="single" w:sz="4" w:space="1" w:color="auto"/>
          <w:left w:val="single" w:sz="4" w:space="4" w:color="auto"/>
          <w:bottom w:val="single" w:sz="4" w:space="1" w:color="auto"/>
          <w:right w:val="single" w:sz="4" w:space="4" w:color="auto"/>
        </w:pBdr>
        <w:rPr>
          <w:noProof/>
        </w:rPr>
      </w:pPr>
      <w:r>
        <w:rPr>
          <w:noProof/>
        </w:rPr>
        <w:t>Agencija eu-LISA naj bi bila center odličnosti na področju razvoja in upravljanja obsežnih informacijskih sistemov. Izvajala bo dejavnosti, povezane z razvojem in delovanjem različnih sestavnih delov interoperabilnosti, vključno z vzdrževanjem nacionalnih enotnih vmesnikov v državah članicah.</w:t>
      </w:r>
    </w:p>
    <w:p>
      <w:pPr>
        <w:pStyle w:val="Text1"/>
        <w:pBdr>
          <w:top w:val="single" w:sz="4" w:space="1" w:color="auto"/>
          <w:left w:val="single" w:sz="4" w:space="4" w:color="auto"/>
          <w:bottom w:val="single" w:sz="4" w:space="1" w:color="auto"/>
          <w:right w:val="single" w:sz="4" w:space="4" w:color="auto"/>
        </w:pBdr>
        <w:rPr>
          <w:noProof/>
        </w:rPr>
      </w:pPr>
      <w:r>
        <w:rPr>
          <w:noProof/>
        </w:rPr>
        <w:t>Med razvojno fazo bo vse razvojne dejavnosti izvajala agencija eu-LISA. To bo zajemalo razvojni del vseh sklopov projekta. S stroški, povezanimi z vključevanjem sistemov v državah članicah med razvojem, bo upravljala Komisija prek deljenega upravljanja ali nepovratnih sredstev.</w:t>
      </w:r>
    </w:p>
    <w:p>
      <w:pPr>
        <w:pStyle w:val="Text1"/>
        <w:pBdr>
          <w:top w:val="single" w:sz="4" w:space="1" w:color="auto"/>
          <w:left w:val="single" w:sz="4" w:space="4" w:color="auto"/>
          <w:bottom w:val="single" w:sz="4" w:space="1" w:color="auto"/>
          <w:right w:val="single" w:sz="4" w:space="4" w:color="auto"/>
        </w:pBdr>
        <w:rPr>
          <w:noProof/>
        </w:rPr>
      </w:pPr>
      <w:r>
        <w:rPr>
          <w:noProof/>
        </w:rPr>
        <w:t>Med operativno fazo bo agencija eu-LISA odgovorna za tehnično in finančno upravljanje sestavnih delov, ki se uporabljajo centralno, zlasti za dodeljevanje pogodb in njihovo upravljanje. Komisija bo upravljala sredstva, ki jih bodo države članice prejele prek Sklada za notranjo varnost/meje (nacionalni programi) za stroške nacionalnih enot.</w:t>
      </w:r>
    </w:p>
    <w:p>
      <w:pPr>
        <w:pStyle w:val="Text1"/>
        <w:pBdr>
          <w:top w:val="single" w:sz="4" w:space="1" w:color="auto"/>
          <w:left w:val="single" w:sz="4" w:space="4" w:color="auto"/>
          <w:bottom w:val="single" w:sz="4" w:space="1" w:color="auto"/>
          <w:right w:val="single" w:sz="4" w:space="4" w:color="auto"/>
        </w:pBdr>
        <w:rPr>
          <w:noProof/>
        </w:rPr>
      </w:pPr>
      <w:r>
        <w:rPr>
          <w:noProof/>
        </w:rPr>
        <w:t>Da bi se preprečile zamude na nacionalni ravni, bo pred začetkom razvoja načrtovano učinkovito upravljanje med vsemi deležniki. Komisija predvideva, da bo interoperabilna arhitektura opredeljena na začetku projekta, da se bo lahko uporabila v projektih SVI in sistema ETIAS, saj ta projekta izvajata in uporabljata skupno BMS, skupno odložišče podatkov o identiteti in evropski iskalni portal. En član skupine za vodenje projekta pri projektu interoperabilnosti bi moral biti vključen v strukturo upravljanja projekta pri SVI in sistemu ETIAS.</w:t>
      </w:r>
    </w:p>
    <w:p>
      <w:pPr>
        <w:pStyle w:val="ManualHeading3"/>
        <w:rPr>
          <w:noProof/>
        </w:rPr>
      </w:pPr>
      <w:bookmarkStart w:id="286" w:name="_Toc498514170"/>
      <w:r>
        <w:t>2.2.3.</w:t>
      </w:r>
      <w:r>
        <w:tab/>
      </w:r>
      <w:r>
        <w:rPr>
          <w:noProof/>
        </w:rPr>
        <w:t>Ocena stroškov in koristi kontrol ter ocena pričakovane stopnje tveganja napak</w:t>
      </w:r>
      <w:bookmarkEnd w:id="286"/>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Ocene ni, saj so kontrole in zmanjševanje tveganj s strukturo upravljanja projekta neločljivo povezane naloge.</w:t>
      </w:r>
    </w:p>
    <w:p>
      <w:pPr>
        <w:pStyle w:val="ManualHeading2"/>
        <w:rPr>
          <w:bCs/>
          <w:noProof/>
          <w:szCs w:val="24"/>
        </w:rPr>
      </w:pPr>
      <w:bookmarkStart w:id="287" w:name="_Toc498514171"/>
      <w:r>
        <w:t>2.3.</w:t>
      </w:r>
      <w:r>
        <w:tab/>
      </w:r>
      <w:r>
        <w:rPr>
          <w:noProof/>
        </w:rPr>
        <w:t>Ukrepi za preprečevanje goljufij in nepravilnosti</w:t>
      </w:r>
      <w:bookmarkEnd w:id="287"/>
      <w:r>
        <w:rPr>
          <w:noProof/>
        </w:rPr>
        <w:t xml:space="preserve"> </w:t>
      </w:r>
    </w:p>
    <w:p>
      <w:pPr>
        <w:pStyle w:val="Text1"/>
        <w:rPr>
          <w:i/>
          <w:noProof/>
          <w:sz w:val="20"/>
        </w:rPr>
      </w:pPr>
      <w:r>
        <w:rPr>
          <w:i/>
          <w:noProof/>
          <w:sz w:val="20"/>
        </w:rPr>
        <w:t>Navedite obstoječe ali načrtovane preprečevalne in zaščitne ukrepe.</w:t>
      </w:r>
    </w:p>
    <w:p>
      <w:pPr>
        <w:pStyle w:val="Text1"/>
        <w:pBdr>
          <w:top w:val="single" w:sz="4" w:space="1" w:color="auto"/>
          <w:left w:val="single" w:sz="4" w:space="4" w:color="auto"/>
          <w:bottom w:val="single" w:sz="4" w:space="1" w:color="auto"/>
          <w:right w:val="single" w:sz="4" w:space="4" w:color="auto"/>
        </w:pBdr>
        <w:rPr>
          <w:noProof/>
        </w:rPr>
      </w:pPr>
      <w:r>
        <w:rPr>
          <w:noProof/>
        </w:rPr>
        <w:t>Predvideni ukrepi za boj proti goljufijam so določeni v členu 35 Uredbe (EU) št. 1077/2011, ki določa:</w:t>
      </w:r>
    </w:p>
    <w:p>
      <w:pPr>
        <w:pStyle w:val="Text1"/>
        <w:pBdr>
          <w:top w:val="single" w:sz="4" w:space="1" w:color="auto"/>
          <w:left w:val="single" w:sz="4" w:space="4" w:color="auto"/>
          <w:bottom w:val="single" w:sz="4" w:space="1" w:color="auto"/>
          <w:right w:val="single" w:sz="4" w:space="4" w:color="auto"/>
        </w:pBdr>
        <w:rPr>
          <w:noProof/>
        </w:rPr>
      </w:pPr>
      <w:r>
        <w:rPr>
          <w:noProof/>
        </w:rPr>
        <w:t>1. Za preprečevanje goljufij, korupcije in drugih nezakonitih dejavnosti se uporablja Uredba (ES) št. 1073/1999.</w:t>
      </w:r>
    </w:p>
    <w:p>
      <w:pPr>
        <w:pStyle w:val="Text1"/>
        <w:pBdr>
          <w:top w:val="single" w:sz="4" w:space="1" w:color="auto"/>
          <w:left w:val="single" w:sz="4" w:space="4" w:color="auto"/>
          <w:bottom w:val="single" w:sz="4" w:space="1" w:color="auto"/>
          <w:right w:val="single" w:sz="4" w:space="4" w:color="auto"/>
        </w:pBdr>
        <w:rPr>
          <w:noProof/>
        </w:rPr>
      </w:pPr>
      <w:r>
        <w:rPr>
          <w:noProof/>
        </w:rPr>
        <w:t>2. Agencije pristopijo k Medinstitucionalnemu sporazumu o internih preiskavah Evropskega urada za boj proti goljufijam (OLAF) in nemudoma izdajo ustrezne določbe, ki se uporabljajo za vse zaposlene na agencijah.</w:t>
      </w:r>
    </w:p>
    <w:p>
      <w:pPr>
        <w:pStyle w:val="Text1"/>
        <w:pBdr>
          <w:top w:val="single" w:sz="4" w:space="1" w:color="auto"/>
          <w:left w:val="single" w:sz="4" w:space="4" w:color="auto"/>
          <w:bottom w:val="single" w:sz="4" w:space="1" w:color="auto"/>
          <w:right w:val="single" w:sz="4" w:space="4" w:color="auto"/>
        </w:pBdr>
        <w:rPr>
          <w:noProof/>
        </w:rPr>
      </w:pPr>
      <w:r>
        <w:rPr>
          <w:noProof/>
        </w:rPr>
        <w:t>3. Odločitve o financiranju ter iz njih izhajajoči izvedbeni sporazumi in instrumenti izrecno določajo, da lahko Računsko sodišče in OLAF po potrebi na kraju samem izvajata nadzor nad prejemniki sredstev agencij in zastopniki, ki so odgovorni za njihovo dodelitev.</w:t>
      </w:r>
    </w:p>
    <w:p>
      <w:pPr>
        <w:pStyle w:val="Text1"/>
        <w:pBdr>
          <w:top w:val="single" w:sz="4" w:space="1" w:color="auto"/>
          <w:left w:val="single" w:sz="4" w:space="4" w:color="auto"/>
          <w:bottom w:val="single" w:sz="4" w:space="1" w:color="auto"/>
          <w:right w:val="single" w:sz="4" w:space="4" w:color="auto"/>
        </w:pBdr>
        <w:rPr>
          <w:noProof/>
        </w:rPr>
      </w:pPr>
      <w:r>
        <w:rPr>
          <w:noProof/>
        </w:rPr>
        <w:t>V skladu s to določbo je bil 28. junija 2012 sprejet sklep upravnega odbora Evropske agencije za operativno upravljanje obsežnih informacijskih sistemov s področja svobode, varnosti in pravice v zvezi s pogoji za notranje preiskave glede preprečevanja goljufij, korupcije in vseh nezakonitih dejavnosti, ki škodujejo interesom Unije.</w:t>
      </w:r>
    </w:p>
    <w:p>
      <w:pPr>
        <w:pStyle w:val="Text1"/>
        <w:pBdr>
          <w:top w:val="single" w:sz="4" w:space="1" w:color="auto"/>
          <w:left w:val="single" w:sz="4" w:space="4" w:color="auto"/>
          <w:bottom w:val="single" w:sz="4" w:space="1" w:color="auto"/>
          <w:right w:val="single" w:sz="4" w:space="4" w:color="auto"/>
        </w:pBdr>
        <w:rPr>
          <w:noProof/>
        </w:rPr>
      </w:pPr>
      <w:r>
        <w:rPr>
          <w:noProof/>
        </w:rPr>
        <w:t>Uporabljala se bo strategija GD HOME za preprečevanje in odkrivanje goljufij.</w:t>
      </w: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288" w:name="_Toc498514172"/>
      <w:r>
        <w:t>3.</w:t>
      </w:r>
      <w:r>
        <w:tab/>
      </w:r>
      <w:r>
        <w:rPr>
          <w:noProof/>
        </w:rPr>
        <w:t>OCENA FINANČNIH POSLEDIC PREDLOGA/POBUDE</w:t>
      </w:r>
      <w:bookmarkEnd w:id="288"/>
      <w:r>
        <w:rPr>
          <w:noProof/>
        </w:rPr>
        <w:t xml:space="preserve"> </w:t>
      </w:r>
    </w:p>
    <w:tbl>
      <w:tblPr>
        <w:tblStyle w:val="TableGrid"/>
        <w:tblW w:w="0" w:type="auto"/>
        <w:tblInd w:w="720" w:type="dxa"/>
        <w:tblLook w:val="04A0" w:firstRow="1" w:lastRow="0" w:firstColumn="1" w:lastColumn="0" w:noHBand="0" w:noVBand="1"/>
      </w:tblPr>
      <w:tblGrid>
        <w:gridCol w:w="8567"/>
      </w:tblGrid>
      <w:tr>
        <w:tc>
          <w:tcPr>
            <w:tcW w:w="9287" w:type="dxa"/>
          </w:tcPr>
          <w:p>
            <w:pPr>
              <w:jc w:val="center"/>
              <w:rPr>
                <w:noProof/>
              </w:rPr>
            </w:pPr>
            <w:r>
              <w:rPr>
                <w:noProof/>
              </w:rPr>
              <w:t>OCENA POSLEDIC ZA ODHODKE IN ZAPOSLOVANJE ZA LETO 2021 IN NASLEDNJA LETA IZ TE OCENE FINANČNIH POSLEDIC ZAKONODAJNEGA PREDLOGA JE PRILOŽENA V INFORMATIVNE NAMENE IN NE POSEGA V PRIHODNJI VEČLETNI FINANČNI OKVIR</w:t>
            </w:r>
          </w:p>
        </w:tc>
      </w:tr>
    </w:tbl>
    <w:p>
      <w:pPr>
        <w:ind w:left="720"/>
        <w:rPr>
          <w:noProof/>
        </w:rPr>
      </w:pPr>
    </w:p>
    <w:p>
      <w:pPr>
        <w:pStyle w:val="ManualHeading2"/>
        <w:rPr>
          <w:noProof/>
        </w:rPr>
      </w:pPr>
      <w:bookmarkStart w:id="289" w:name="_Toc498514173"/>
      <w:r>
        <w:t>3.1.</w:t>
      </w:r>
      <w:r>
        <w:tab/>
      </w:r>
      <w:r>
        <w:rPr>
          <w:noProof/>
        </w:rPr>
        <w:t>Zadevni razdelki večletnega finančnega okvira in odhodkovne proračunske vrstice</w:t>
      </w:r>
      <w:bookmarkEnd w:id="289"/>
      <w:r>
        <w:rPr>
          <w:noProof/>
        </w:rPr>
        <w:t xml:space="preserve"> </w:t>
      </w:r>
    </w:p>
    <w:p>
      <w:pPr>
        <w:pStyle w:val="ListBullet1"/>
        <w:rPr>
          <w:noProof/>
        </w:rPr>
      </w:pPr>
      <w:r>
        <w:rPr>
          <w:noProof/>
        </w:rPr>
        <w:t xml:space="preserve">Obstoječe proračunske vrstice </w:t>
      </w:r>
    </w:p>
    <w:p>
      <w:pPr>
        <w:pStyle w:val="Text1"/>
        <w:rPr>
          <w:noProof/>
        </w:rPr>
      </w:pPr>
      <w:r>
        <w:rPr>
          <w:noProof/>
          <w:u w:val="single"/>
        </w:rPr>
        <w:t>Po vrstnem redu</w:t>
      </w:r>
      <w:r>
        <w:rPr>
          <w:noProof/>
        </w:rPr>
        <w:t xml:space="preserve"> razdelkov večletnega finančnega okvira in proračunskih vrstic.</w:t>
      </w:r>
    </w:p>
    <w:p>
      <w:pPr>
        <w:pStyle w:val="Text1"/>
        <w:rPr>
          <w:noProof/>
        </w:rPr>
      </w:pP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rPr>
            </w:pPr>
            <w:r>
              <w:rPr>
                <w:noProof/>
                <w:sz w:val="18"/>
              </w:rPr>
              <w:t>Razdelek večletnega finančnega okvira</w:t>
            </w:r>
          </w:p>
        </w:tc>
        <w:tc>
          <w:tcPr>
            <w:tcW w:w="3960" w:type="dxa"/>
            <w:vAlign w:val="center"/>
          </w:tcPr>
          <w:p>
            <w:pPr>
              <w:spacing w:before="60" w:after="60"/>
              <w:jc w:val="center"/>
              <w:rPr>
                <w:noProof/>
              </w:rPr>
            </w:pPr>
            <w:r>
              <w:rPr>
                <w:noProof/>
                <w:sz w:val="20"/>
              </w:rPr>
              <w:t>Proračunska vrstica</w:t>
            </w:r>
          </w:p>
        </w:tc>
        <w:tc>
          <w:tcPr>
            <w:tcW w:w="1080" w:type="dxa"/>
            <w:vAlign w:val="center"/>
          </w:tcPr>
          <w:p>
            <w:pPr>
              <w:spacing w:before="60" w:after="60"/>
              <w:jc w:val="center"/>
              <w:rPr>
                <w:noProof/>
              </w:rPr>
            </w:pPr>
            <w:r>
              <w:rPr>
                <w:noProof/>
                <w:sz w:val="18"/>
              </w:rPr>
              <w:t xml:space="preserve">Vrsta </w:t>
            </w:r>
            <w:r>
              <w:rPr>
                <w:noProof/>
                <w:sz w:val="22"/>
              </w:rPr>
              <w:br/>
            </w:r>
            <w:r>
              <w:rPr>
                <w:noProof/>
                <w:sz w:val="18"/>
              </w:rPr>
              <w:t>odhodkov</w:t>
            </w:r>
          </w:p>
        </w:tc>
        <w:tc>
          <w:tcPr>
            <w:tcW w:w="4440" w:type="dxa"/>
            <w:gridSpan w:val="4"/>
            <w:vAlign w:val="center"/>
          </w:tcPr>
          <w:p>
            <w:pPr>
              <w:spacing w:before="60" w:after="60"/>
              <w:jc w:val="center"/>
              <w:rPr>
                <w:noProof/>
              </w:rPr>
            </w:pPr>
            <w:r>
              <w:rPr>
                <w:noProof/>
                <w:sz w:val="20"/>
              </w:rPr>
              <w:t xml:space="preserve">Prispevek </w:t>
            </w:r>
          </w:p>
        </w:tc>
      </w:tr>
      <w:tr>
        <w:tc>
          <w:tcPr>
            <w:tcW w:w="1080" w:type="dxa"/>
            <w:vMerge/>
            <w:vAlign w:val="center"/>
          </w:tcPr>
          <w:p>
            <w:pPr>
              <w:jc w:val="center"/>
              <w:rPr>
                <w:noProof/>
              </w:rPr>
            </w:pPr>
          </w:p>
        </w:tc>
        <w:tc>
          <w:tcPr>
            <w:tcW w:w="3960" w:type="dxa"/>
            <w:vAlign w:val="center"/>
          </w:tcPr>
          <w:p>
            <w:pPr>
              <w:rPr>
                <w:noProof/>
              </w:rPr>
            </w:pPr>
            <w:r>
              <w:rPr>
                <w:noProof/>
                <w:sz w:val="20"/>
              </w:rPr>
              <w:t xml:space="preserve">številka </w:t>
            </w:r>
            <w:r>
              <w:rPr>
                <w:noProof/>
                <w:sz w:val="22"/>
              </w:rPr>
              <w:br/>
            </w:r>
            <w:r>
              <w:rPr>
                <w:noProof/>
                <w:sz w:val="20"/>
              </w:rPr>
              <w:t>[poimenovanje……………..……………]</w:t>
            </w:r>
          </w:p>
        </w:tc>
        <w:tc>
          <w:tcPr>
            <w:tcW w:w="1080" w:type="dxa"/>
            <w:vAlign w:val="center"/>
          </w:tcPr>
          <w:p>
            <w:pPr>
              <w:jc w:val="center"/>
              <w:rPr>
                <w:noProof/>
              </w:rPr>
            </w:pPr>
            <w:r>
              <w:rPr>
                <w:noProof/>
                <w:sz w:val="18"/>
              </w:rPr>
              <w:t>dif./nedif</w:t>
            </w:r>
            <w:r>
              <w:rPr>
                <w:rStyle w:val="FootnoteReference"/>
                <w:noProof/>
                <w:sz w:val="18"/>
              </w:rPr>
              <w:footnoteReference w:id="84"/>
            </w:r>
            <w:r>
              <w:rPr>
                <w:noProof/>
              </w:rPr>
              <w:t>.</w:t>
            </w:r>
          </w:p>
        </w:tc>
        <w:tc>
          <w:tcPr>
            <w:tcW w:w="956" w:type="dxa"/>
            <w:vAlign w:val="center"/>
          </w:tcPr>
          <w:p>
            <w:pPr>
              <w:jc w:val="center"/>
              <w:rPr>
                <w:noProof/>
              </w:rPr>
            </w:pPr>
            <w:r>
              <w:rPr>
                <w:noProof/>
                <w:sz w:val="18"/>
              </w:rPr>
              <w:t>držav Efte</w:t>
            </w:r>
            <w:r>
              <w:rPr>
                <w:rStyle w:val="FootnoteReference"/>
                <w:noProof/>
                <w:sz w:val="18"/>
              </w:rPr>
              <w:footnoteReference w:id="85"/>
            </w:r>
          </w:p>
          <w:p>
            <w:pPr>
              <w:spacing w:before="0" w:after="0"/>
              <w:jc w:val="center"/>
              <w:rPr>
                <w:b/>
                <w:noProof/>
                <w:sz w:val="18"/>
              </w:rPr>
            </w:pPr>
          </w:p>
        </w:tc>
        <w:tc>
          <w:tcPr>
            <w:tcW w:w="1080" w:type="dxa"/>
            <w:vAlign w:val="center"/>
          </w:tcPr>
          <w:p>
            <w:pPr>
              <w:jc w:val="center"/>
              <w:rPr>
                <w:noProof/>
              </w:rPr>
            </w:pPr>
            <w:r>
              <w:rPr>
                <w:noProof/>
                <w:sz w:val="18"/>
              </w:rPr>
              <w:t>držav kandidatk</w:t>
            </w:r>
            <w:r>
              <w:rPr>
                <w:rStyle w:val="FootnoteReference"/>
                <w:noProof/>
                <w:sz w:val="18"/>
              </w:rPr>
              <w:footnoteReference w:id="86"/>
            </w:r>
          </w:p>
          <w:p>
            <w:pPr>
              <w:spacing w:before="0" w:after="0"/>
              <w:jc w:val="center"/>
              <w:rPr>
                <w:noProof/>
                <w:sz w:val="18"/>
              </w:rPr>
            </w:pPr>
          </w:p>
        </w:tc>
        <w:tc>
          <w:tcPr>
            <w:tcW w:w="956" w:type="dxa"/>
            <w:vAlign w:val="center"/>
          </w:tcPr>
          <w:p>
            <w:pPr>
              <w:jc w:val="center"/>
              <w:rPr>
                <w:noProof/>
                <w:sz w:val="18"/>
              </w:rPr>
            </w:pPr>
            <w:r>
              <w:rPr>
                <w:noProof/>
                <w:sz w:val="18"/>
              </w:rPr>
              <w:t>tretjih držav</w:t>
            </w:r>
          </w:p>
        </w:tc>
        <w:tc>
          <w:tcPr>
            <w:tcW w:w="1448" w:type="dxa"/>
            <w:vAlign w:val="center"/>
          </w:tcPr>
          <w:p>
            <w:pPr>
              <w:jc w:val="center"/>
              <w:rPr>
                <w:noProof/>
              </w:rPr>
            </w:pPr>
            <w:r>
              <w:rPr>
                <w:noProof/>
                <w:sz w:val="16"/>
              </w:rPr>
              <w:t xml:space="preserve">po členu 21(2)(b) finančne uredbe </w:t>
            </w:r>
          </w:p>
        </w:tc>
      </w:tr>
      <w:tr>
        <w:tc>
          <w:tcPr>
            <w:tcW w:w="1080" w:type="dxa"/>
            <w:vAlign w:val="center"/>
          </w:tcPr>
          <w:p>
            <w:pPr>
              <w:jc w:val="center"/>
              <w:rPr>
                <w:noProof/>
                <w:sz w:val="20"/>
                <w:szCs w:val="20"/>
              </w:rPr>
            </w:pPr>
            <w:r>
              <w:rPr>
                <w:noProof/>
                <w:sz w:val="20"/>
              </w:rPr>
              <w:t>3</w:t>
            </w:r>
          </w:p>
        </w:tc>
        <w:tc>
          <w:tcPr>
            <w:tcW w:w="3960" w:type="dxa"/>
            <w:vAlign w:val="center"/>
          </w:tcPr>
          <w:p>
            <w:pPr>
              <w:rPr>
                <w:noProof/>
                <w:sz w:val="20"/>
              </w:rPr>
            </w:pPr>
            <w:r>
              <w:rPr>
                <w:noProof/>
                <w:sz w:val="20"/>
              </w:rPr>
              <w:t>18.02.01.03 – Pametne meje</w:t>
            </w:r>
          </w:p>
        </w:tc>
        <w:tc>
          <w:tcPr>
            <w:tcW w:w="1080" w:type="dxa"/>
            <w:vAlign w:val="center"/>
          </w:tcPr>
          <w:p>
            <w:pPr>
              <w:jc w:val="center"/>
              <w:rPr>
                <w:noProof/>
                <w:sz w:val="18"/>
              </w:rPr>
            </w:pPr>
            <w:r>
              <w:rPr>
                <w:noProof/>
                <w:sz w:val="18"/>
              </w:rPr>
              <w:t>dif.</w:t>
            </w:r>
          </w:p>
        </w:tc>
        <w:tc>
          <w:tcPr>
            <w:tcW w:w="956" w:type="dxa"/>
            <w:vAlign w:val="center"/>
          </w:tcPr>
          <w:p>
            <w:pPr>
              <w:jc w:val="center"/>
              <w:rPr>
                <w:noProof/>
                <w:sz w:val="18"/>
              </w:rPr>
            </w:pPr>
            <w:r>
              <w:rPr>
                <w:noProof/>
                <w:sz w:val="18"/>
              </w:rPr>
              <w:t xml:space="preserve">Ne </w:t>
            </w:r>
          </w:p>
        </w:tc>
        <w:tc>
          <w:tcPr>
            <w:tcW w:w="1080" w:type="dxa"/>
            <w:vAlign w:val="center"/>
          </w:tcPr>
          <w:p>
            <w:pPr>
              <w:jc w:val="center"/>
              <w:rPr>
                <w:noProof/>
                <w:sz w:val="18"/>
              </w:rPr>
            </w:pPr>
            <w:r>
              <w:rPr>
                <w:noProof/>
                <w:sz w:val="18"/>
              </w:rPr>
              <w:t xml:space="preserve">Ne </w:t>
            </w:r>
          </w:p>
        </w:tc>
        <w:tc>
          <w:tcPr>
            <w:tcW w:w="956" w:type="dxa"/>
            <w:vAlign w:val="center"/>
          </w:tcPr>
          <w:p>
            <w:pPr>
              <w:jc w:val="center"/>
              <w:rPr>
                <w:noProof/>
                <w:sz w:val="18"/>
              </w:rPr>
            </w:pPr>
            <w:r>
              <w:rPr>
                <w:noProof/>
                <w:sz w:val="18"/>
              </w:rPr>
              <w:t xml:space="preserve">Da </w:t>
            </w:r>
          </w:p>
        </w:tc>
        <w:tc>
          <w:tcPr>
            <w:tcW w:w="1448" w:type="dxa"/>
            <w:vAlign w:val="center"/>
          </w:tcPr>
          <w:p>
            <w:pPr>
              <w:jc w:val="center"/>
              <w:rPr>
                <w:noProof/>
                <w:sz w:val="16"/>
              </w:rPr>
            </w:pPr>
            <w:r>
              <w:rPr>
                <w:noProof/>
                <w:sz w:val="16"/>
              </w:rPr>
              <w:t>Ne</w:t>
            </w:r>
          </w:p>
        </w:tc>
      </w:tr>
      <w:tr>
        <w:tc>
          <w:tcPr>
            <w:tcW w:w="1080" w:type="dxa"/>
            <w:vAlign w:val="center"/>
          </w:tcPr>
          <w:p>
            <w:pPr>
              <w:jc w:val="center"/>
              <w:rPr>
                <w:noProof/>
                <w:sz w:val="20"/>
                <w:szCs w:val="20"/>
              </w:rPr>
            </w:pPr>
            <w:r>
              <w:rPr>
                <w:noProof/>
                <w:sz w:val="20"/>
              </w:rPr>
              <w:t>3</w:t>
            </w:r>
          </w:p>
        </w:tc>
        <w:tc>
          <w:tcPr>
            <w:tcW w:w="3960" w:type="dxa"/>
            <w:vAlign w:val="center"/>
          </w:tcPr>
          <w:p>
            <w:pPr>
              <w:spacing w:before="60"/>
              <w:rPr>
                <w:noProof/>
              </w:rPr>
            </w:pPr>
            <w:r>
              <w:rPr>
                <w:noProof/>
              </w:rPr>
              <w:t xml:space="preserve">18.02.03 – Evropska agencija za </w:t>
            </w:r>
            <w:r>
              <w:rPr>
                <w:noProof/>
                <w:sz w:val="20"/>
              </w:rPr>
              <w:t>mejno in obalno stražo</w:t>
            </w:r>
            <w:r>
              <w:rPr>
                <w:noProof/>
              </w:rPr>
              <w:t xml:space="preserve"> (Frontex)</w:t>
            </w:r>
          </w:p>
        </w:tc>
        <w:tc>
          <w:tcPr>
            <w:tcW w:w="1080" w:type="dxa"/>
          </w:tcPr>
          <w:p>
            <w:pPr>
              <w:jc w:val="center"/>
              <w:rPr>
                <w:noProof/>
                <w:sz w:val="20"/>
              </w:rPr>
            </w:pPr>
            <w:r>
              <w:rPr>
                <w:noProof/>
                <w:sz w:val="20"/>
              </w:rPr>
              <w:t>dif.</w:t>
            </w:r>
          </w:p>
        </w:tc>
        <w:tc>
          <w:tcPr>
            <w:tcW w:w="956" w:type="dxa"/>
          </w:tcPr>
          <w:p>
            <w:pPr>
              <w:jc w:val="center"/>
              <w:rPr>
                <w:noProof/>
                <w:sz w:val="20"/>
              </w:rPr>
            </w:pPr>
            <w:r>
              <w:rPr>
                <w:noProof/>
                <w:sz w:val="20"/>
              </w:rPr>
              <w:t>Ne</w:t>
            </w:r>
          </w:p>
        </w:tc>
        <w:tc>
          <w:tcPr>
            <w:tcW w:w="1080" w:type="dxa"/>
          </w:tcPr>
          <w:p>
            <w:pPr>
              <w:jc w:val="center"/>
              <w:rPr>
                <w:noProof/>
                <w:sz w:val="20"/>
              </w:rPr>
            </w:pPr>
            <w:r>
              <w:rPr>
                <w:noProof/>
                <w:sz w:val="20"/>
              </w:rPr>
              <w:t>Ne</w:t>
            </w:r>
          </w:p>
        </w:tc>
        <w:tc>
          <w:tcPr>
            <w:tcW w:w="956" w:type="dxa"/>
          </w:tcPr>
          <w:p>
            <w:pPr>
              <w:jc w:val="center"/>
              <w:rPr>
                <w:noProof/>
                <w:sz w:val="20"/>
              </w:rPr>
            </w:pPr>
            <w:r>
              <w:rPr>
                <w:noProof/>
                <w:sz w:val="20"/>
              </w:rPr>
              <w:t>Da</w:t>
            </w:r>
          </w:p>
        </w:tc>
        <w:tc>
          <w:tcPr>
            <w:tcW w:w="1448" w:type="dxa"/>
          </w:tcPr>
          <w:p>
            <w:pPr>
              <w:jc w:val="center"/>
              <w:rPr>
                <w:noProof/>
                <w:sz w:val="20"/>
              </w:rPr>
            </w:pPr>
            <w:r>
              <w:rPr>
                <w:noProof/>
                <w:sz w:val="20"/>
              </w:rPr>
              <w:t>Ne</w:t>
            </w:r>
          </w:p>
        </w:tc>
      </w:tr>
      <w:tr>
        <w:tc>
          <w:tcPr>
            <w:tcW w:w="1080" w:type="dxa"/>
            <w:vAlign w:val="center"/>
          </w:tcPr>
          <w:p>
            <w:pPr>
              <w:jc w:val="center"/>
              <w:rPr>
                <w:noProof/>
                <w:sz w:val="20"/>
                <w:szCs w:val="20"/>
              </w:rPr>
            </w:pPr>
            <w:r>
              <w:rPr>
                <w:noProof/>
                <w:sz w:val="20"/>
              </w:rPr>
              <w:t>3</w:t>
            </w:r>
          </w:p>
        </w:tc>
        <w:tc>
          <w:tcPr>
            <w:tcW w:w="3960" w:type="dxa"/>
            <w:vAlign w:val="center"/>
          </w:tcPr>
          <w:p>
            <w:pPr>
              <w:spacing w:before="60"/>
              <w:rPr>
                <w:noProof/>
              </w:rPr>
            </w:pPr>
            <w:r>
              <w:rPr>
                <w:noProof/>
              </w:rPr>
              <w:t>18.02.04 – EUROPOL</w:t>
            </w:r>
          </w:p>
        </w:tc>
        <w:tc>
          <w:tcPr>
            <w:tcW w:w="1080" w:type="dxa"/>
          </w:tcPr>
          <w:p>
            <w:pPr>
              <w:jc w:val="center"/>
              <w:rPr>
                <w:noProof/>
                <w:sz w:val="20"/>
              </w:rPr>
            </w:pPr>
            <w:r>
              <w:rPr>
                <w:noProof/>
                <w:sz w:val="20"/>
              </w:rPr>
              <w:t>dif.</w:t>
            </w:r>
          </w:p>
        </w:tc>
        <w:tc>
          <w:tcPr>
            <w:tcW w:w="956" w:type="dxa"/>
          </w:tcPr>
          <w:p>
            <w:pPr>
              <w:jc w:val="center"/>
              <w:rPr>
                <w:noProof/>
                <w:sz w:val="20"/>
              </w:rPr>
            </w:pPr>
            <w:r>
              <w:rPr>
                <w:noProof/>
                <w:sz w:val="20"/>
              </w:rPr>
              <w:t>Ne</w:t>
            </w:r>
          </w:p>
        </w:tc>
        <w:tc>
          <w:tcPr>
            <w:tcW w:w="1080" w:type="dxa"/>
          </w:tcPr>
          <w:p>
            <w:pPr>
              <w:jc w:val="center"/>
              <w:rPr>
                <w:noProof/>
                <w:sz w:val="20"/>
              </w:rPr>
            </w:pPr>
            <w:r>
              <w:rPr>
                <w:noProof/>
                <w:sz w:val="20"/>
              </w:rPr>
              <w:t>Ne</w:t>
            </w:r>
          </w:p>
        </w:tc>
        <w:tc>
          <w:tcPr>
            <w:tcW w:w="956" w:type="dxa"/>
          </w:tcPr>
          <w:p>
            <w:pPr>
              <w:jc w:val="center"/>
              <w:rPr>
                <w:noProof/>
                <w:sz w:val="20"/>
              </w:rPr>
            </w:pPr>
            <w:r>
              <w:rPr>
                <w:noProof/>
                <w:sz w:val="20"/>
              </w:rPr>
              <w:t>Ne</w:t>
            </w:r>
          </w:p>
        </w:tc>
        <w:tc>
          <w:tcPr>
            <w:tcW w:w="1448" w:type="dxa"/>
          </w:tcPr>
          <w:p>
            <w:pPr>
              <w:jc w:val="center"/>
              <w:rPr>
                <w:noProof/>
                <w:sz w:val="20"/>
              </w:rPr>
            </w:pPr>
            <w:r>
              <w:rPr>
                <w:noProof/>
                <w:sz w:val="20"/>
              </w:rPr>
              <w:t>Ne</w:t>
            </w:r>
          </w:p>
        </w:tc>
      </w:tr>
      <w:tr>
        <w:tc>
          <w:tcPr>
            <w:tcW w:w="1080" w:type="dxa"/>
            <w:vAlign w:val="center"/>
          </w:tcPr>
          <w:p>
            <w:pPr>
              <w:jc w:val="center"/>
              <w:rPr>
                <w:noProof/>
                <w:sz w:val="20"/>
                <w:szCs w:val="20"/>
              </w:rPr>
            </w:pPr>
            <w:r>
              <w:rPr>
                <w:noProof/>
                <w:sz w:val="20"/>
              </w:rPr>
              <w:t>3</w:t>
            </w:r>
          </w:p>
        </w:tc>
        <w:tc>
          <w:tcPr>
            <w:tcW w:w="3960" w:type="dxa"/>
            <w:vAlign w:val="center"/>
          </w:tcPr>
          <w:p>
            <w:pPr>
              <w:spacing w:before="60"/>
              <w:rPr>
                <w:noProof/>
              </w:rPr>
            </w:pPr>
            <w:r>
              <w:rPr>
                <w:noProof/>
              </w:rPr>
              <w:t>18.02.05 – CEPOL</w:t>
            </w:r>
          </w:p>
        </w:tc>
        <w:tc>
          <w:tcPr>
            <w:tcW w:w="1080" w:type="dxa"/>
          </w:tcPr>
          <w:p>
            <w:pPr>
              <w:jc w:val="center"/>
              <w:rPr>
                <w:noProof/>
                <w:sz w:val="20"/>
              </w:rPr>
            </w:pPr>
            <w:r>
              <w:rPr>
                <w:noProof/>
                <w:sz w:val="20"/>
              </w:rPr>
              <w:t>nedif.</w:t>
            </w:r>
          </w:p>
        </w:tc>
        <w:tc>
          <w:tcPr>
            <w:tcW w:w="956" w:type="dxa"/>
          </w:tcPr>
          <w:p>
            <w:pPr>
              <w:jc w:val="center"/>
              <w:rPr>
                <w:noProof/>
                <w:sz w:val="20"/>
              </w:rPr>
            </w:pPr>
            <w:r>
              <w:rPr>
                <w:noProof/>
                <w:sz w:val="20"/>
              </w:rPr>
              <w:t>Ne</w:t>
            </w:r>
          </w:p>
        </w:tc>
        <w:tc>
          <w:tcPr>
            <w:tcW w:w="1080" w:type="dxa"/>
          </w:tcPr>
          <w:p>
            <w:pPr>
              <w:jc w:val="center"/>
              <w:rPr>
                <w:noProof/>
                <w:sz w:val="20"/>
              </w:rPr>
            </w:pPr>
            <w:r>
              <w:rPr>
                <w:noProof/>
                <w:sz w:val="20"/>
              </w:rPr>
              <w:t>Ne</w:t>
            </w:r>
          </w:p>
        </w:tc>
        <w:tc>
          <w:tcPr>
            <w:tcW w:w="956" w:type="dxa"/>
          </w:tcPr>
          <w:p>
            <w:pPr>
              <w:jc w:val="center"/>
              <w:rPr>
                <w:noProof/>
                <w:sz w:val="20"/>
              </w:rPr>
            </w:pPr>
            <w:r>
              <w:rPr>
                <w:noProof/>
                <w:sz w:val="20"/>
              </w:rPr>
              <w:t>Ne</w:t>
            </w:r>
          </w:p>
        </w:tc>
        <w:tc>
          <w:tcPr>
            <w:tcW w:w="1448" w:type="dxa"/>
          </w:tcPr>
          <w:p>
            <w:pPr>
              <w:jc w:val="center"/>
              <w:rPr>
                <w:noProof/>
                <w:sz w:val="20"/>
              </w:rPr>
            </w:pPr>
            <w:r>
              <w:rPr>
                <w:noProof/>
                <w:sz w:val="20"/>
              </w:rPr>
              <w:t>Ne</w:t>
            </w:r>
          </w:p>
        </w:tc>
      </w:tr>
      <w:tr>
        <w:tc>
          <w:tcPr>
            <w:tcW w:w="1080" w:type="dxa"/>
            <w:vAlign w:val="center"/>
          </w:tcPr>
          <w:p>
            <w:pPr>
              <w:jc w:val="center"/>
              <w:rPr>
                <w:noProof/>
                <w:sz w:val="20"/>
                <w:szCs w:val="20"/>
              </w:rPr>
            </w:pPr>
            <w:r>
              <w:rPr>
                <w:noProof/>
                <w:sz w:val="20"/>
              </w:rPr>
              <w:t>3</w:t>
            </w:r>
          </w:p>
        </w:tc>
        <w:tc>
          <w:tcPr>
            <w:tcW w:w="3960" w:type="dxa"/>
            <w:vAlign w:val="center"/>
          </w:tcPr>
          <w:p>
            <w:pPr>
              <w:spacing w:before="60"/>
              <w:rPr>
                <w:noProof/>
              </w:rPr>
            </w:pPr>
            <w:r>
              <w:rPr>
                <w:noProof/>
              </w:rPr>
              <w:t>18.02.07 – Evropska agencija za operativno upravljanje obsežnih informacijskih sistemov s področja svobode, varnosti in pravice (eu-LISA)</w:t>
            </w:r>
          </w:p>
        </w:tc>
        <w:tc>
          <w:tcPr>
            <w:tcW w:w="1080" w:type="dxa"/>
          </w:tcPr>
          <w:p>
            <w:pPr>
              <w:jc w:val="center"/>
              <w:rPr>
                <w:noProof/>
                <w:sz w:val="20"/>
              </w:rPr>
            </w:pPr>
            <w:r>
              <w:rPr>
                <w:noProof/>
                <w:sz w:val="20"/>
              </w:rPr>
              <w:t>dif.</w:t>
            </w:r>
          </w:p>
        </w:tc>
        <w:tc>
          <w:tcPr>
            <w:tcW w:w="956" w:type="dxa"/>
          </w:tcPr>
          <w:p>
            <w:pPr>
              <w:jc w:val="center"/>
              <w:rPr>
                <w:noProof/>
                <w:sz w:val="20"/>
              </w:rPr>
            </w:pPr>
            <w:r>
              <w:rPr>
                <w:noProof/>
                <w:sz w:val="20"/>
              </w:rPr>
              <w:t>Ne</w:t>
            </w:r>
          </w:p>
        </w:tc>
        <w:tc>
          <w:tcPr>
            <w:tcW w:w="1080" w:type="dxa"/>
          </w:tcPr>
          <w:p>
            <w:pPr>
              <w:jc w:val="center"/>
              <w:rPr>
                <w:noProof/>
                <w:sz w:val="20"/>
              </w:rPr>
            </w:pPr>
            <w:r>
              <w:rPr>
                <w:noProof/>
                <w:sz w:val="20"/>
              </w:rPr>
              <w:t>Ne</w:t>
            </w:r>
          </w:p>
        </w:tc>
        <w:tc>
          <w:tcPr>
            <w:tcW w:w="956" w:type="dxa"/>
          </w:tcPr>
          <w:p>
            <w:pPr>
              <w:jc w:val="center"/>
              <w:rPr>
                <w:noProof/>
                <w:sz w:val="20"/>
              </w:rPr>
            </w:pPr>
            <w:r>
              <w:rPr>
                <w:noProof/>
                <w:sz w:val="20"/>
              </w:rPr>
              <w:t xml:space="preserve">Da </w:t>
            </w:r>
          </w:p>
        </w:tc>
        <w:tc>
          <w:tcPr>
            <w:tcW w:w="1448" w:type="dxa"/>
          </w:tcPr>
          <w:p>
            <w:pPr>
              <w:jc w:val="center"/>
              <w:rPr>
                <w:noProof/>
                <w:sz w:val="20"/>
              </w:rPr>
            </w:pPr>
            <w:r>
              <w:rPr>
                <w:noProof/>
                <w:sz w:val="20"/>
              </w:rPr>
              <w:t>Ne</w:t>
            </w: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bookmarkStart w:id="290" w:name="_Toc498514174"/>
      <w:r>
        <w:t>3.2.</w:t>
      </w:r>
      <w:r>
        <w:tab/>
      </w:r>
      <w:r>
        <w:rPr>
          <w:noProof/>
        </w:rPr>
        <w:t>Ocenjene posledice za odhodke</w:t>
      </w:r>
      <w:bookmarkEnd w:id="290"/>
      <w:r>
        <w:rPr>
          <w:noProof/>
        </w:rPr>
        <w:t xml:space="preserve"> </w:t>
      </w:r>
    </w:p>
    <w:p>
      <w:pPr>
        <w:pStyle w:val="Text1"/>
        <w:rPr>
          <w:noProof/>
        </w:rPr>
      </w:pPr>
      <w:r>
        <w:rPr>
          <w:noProof/>
          <w:highlight w:val="lightGray"/>
        </w:rPr>
        <w:t xml:space="preserve">[Ta oddelek bi bilo treba izpolniti s </w:t>
      </w:r>
      <w:hyperlink r:id="rId20">
        <w:r>
          <w:rPr>
            <w:rStyle w:val="Hyperlink"/>
            <w:b/>
            <w:noProof/>
            <w:highlight w:val="lightGray"/>
          </w:rPr>
          <w:t>preglednico o proračunskih podatkih upravne narave</w:t>
        </w:r>
      </w:hyperlink>
      <w:r>
        <w:rPr>
          <w:noProof/>
          <w:highlight w:val="lightGray"/>
        </w:rPr>
        <w:t xml:space="preserve"> (drugi dokument v prilogi k tej oceni finančnih posledic) in prenesti na DECIDE za namene posvetovanj med službami.]</w:t>
      </w:r>
    </w:p>
    <w:p>
      <w:pPr>
        <w:pStyle w:val="ManualHeading3"/>
        <w:rPr>
          <w:noProof/>
          <w:u w:val="single"/>
        </w:rPr>
      </w:pPr>
      <w:bookmarkStart w:id="291" w:name="_Toc498514175"/>
      <w:r>
        <w:t>3.2.1.</w:t>
      </w:r>
      <w:r>
        <w:tab/>
      </w:r>
      <w:r>
        <w:rPr>
          <w:noProof/>
        </w:rPr>
        <w:t>Povzetek ocenjenih posledic za odhodke</w:t>
      </w:r>
      <w:bookmarkEnd w:id="291"/>
      <w:r>
        <w:rPr>
          <w:noProof/>
        </w:rPr>
        <w:t xml:space="preserve"> </w:t>
      </w:r>
    </w:p>
    <w:p>
      <w:pPr>
        <w:jc w:val="right"/>
        <w:rPr>
          <w:noProof/>
          <w:sz w:val="20"/>
        </w:rPr>
      </w:pPr>
      <w:r>
        <w:rPr>
          <w:noProof/>
          <w:sz w:val="20"/>
        </w:rPr>
        <w:t>v mio. EUR (na tri decimalna mesta natančno)</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19"/>
        <w:gridCol w:w="840"/>
        <w:gridCol w:w="8782"/>
      </w:tblGrid>
      <w:tr>
        <w:trPr>
          <w:jc w:val="center"/>
        </w:trPr>
        <w:tc>
          <w:tcPr>
            <w:tcW w:w="4019" w:type="dxa"/>
            <w:shd w:val="thinDiagStripe" w:color="C0C0C0" w:fill="auto"/>
            <w:vAlign w:val="center"/>
          </w:tcPr>
          <w:p>
            <w:pPr>
              <w:spacing w:before="60" w:after="60"/>
              <w:jc w:val="center"/>
              <w:rPr>
                <w:b/>
                <w:noProof/>
              </w:rPr>
            </w:pPr>
            <w:r>
              <w:rPr>
                <w:b/>
                <w:noProof/>
                <w:sz w:val="22"/>
              </w:rPr>
              <w:t xml:space="preserve">Razdelek večletnega finančnega </w:t>
            </w:r>
            <w:r>
              <w:rPr>
                <w:noProof/>
                <w:sz w:val="22"/>
              </w:rPr>
              <w:br/>
            </w:r>
            <w:r>
              <w:rPr>
                <w:b/>
                <w:noProof/>
                <w:sz w:val="22"/>
              </w:rPr>
              <w:t xml:space="preserve">okvira </w:t>
            </w:r>
          </w:p>
        </w:tc>
        <w:tc>
          <w:tcPr>
            <w:tcW w:w="840" w:type="dxa"/>
            <w:vAlign w:val="center"/>
          </w:tcPr>
          <w:p>
            <w:pPr>
              <w:spacing w:before="60" w:after="60"/>
              <w:jc w:val="center"/>
              <w:rPr>
                <w:noProof/>
              </w:rPr>
            </w:pPr>
            <w:r>
              <w:rPr>
                <w:noProof/>
                <w:sz w:val="22"/>
              </w:rPr>
              <w:t>3</w:t>
            </w:r>
          </w:p>
        </w:tc>
        <w:tc>
          <w:tcPr>
            <w:tcW w:w="8782" w:type="dxa"/>
            <w:vAlign w:val="center"/>
          </w:tcPr>
          <w:p>
            <w:pPr>
              <w:spacing w:before="60" w:after="60"/>
              <w:rPr>
                <w:noProof/>
              </w:rPr>
            </w:pPr>
            <w:r>
              <w:rPr>
                <w:noProof/>
              </w:rPr>
              <w:t>Varnost in državljanstvo</w:t>
            </w:r>
          </w:p>
        </w:tc>
      </w:tr>
    </w:tbl>
    <w:p>
      <w:pPr>
        <w:rPr>
          <w:noProof/>
          <w:sz w:val="16"/>
        </w:rPr>
      </w:pPr>
    </w:p>
    <w:tbl>
      <w:tblPr>
        <w:tblW w:w="1493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5"/>
        <w:gridCol w:w="1277"/>
        <w:gridCol w:w="47"/>
        <w:gridCol w:w="661"/>
        <w:gridCol w:w="816"/>
        <w:gridCol w:w="816"/>
        <w:gridCol w:w="816"/>
        <w:gridCol w:w="816"/>
        <w:gridCol w:w="816"/>
        <w:gridCol w:w="816"/>
        <w:gridCol w:w="816"/>
        <w:gridCol w:w="816"/>
        <w:gridCol w:w="816"/>
        <w:gridCol w:w="816"/>
        <w:gridCol w:w="821"/>
      </w:tblGrid>
      <w:tr>
        <w:tc>
          <w:tcPr>
            <w:tcW w:w="3967" w:type="dxa"/>
            <w:vAlign w:val="center"/>
          </w:tcPr>
          <w:p>
            <w:pPr>
              <w:jc w:val="center"/>
              <w:rPr>
                <w:noProof/>
              </w:rPr>
            </w:pPr>
            <w:r>
              <w:rPr>
                <w:noProof/>
                <w:sz w:val="22"/>
              </w:rPr>
              <w:t>GD HOME</w:t>
            </w:r>
          </w:p>
        </w:tc>
        <w:tc>
          <w:tcPr>
            <w:tcW w:w="1325" w:type="dxa"/>
            <w:gridSpan w:val="2"/>
          </w:tcPr>
          <w:p>
            <w:pPr>
              <w:rPr>
                <w:noProof/>
                <w:sz w:val="20"/>
              </w:rPr>
            </w:pPr>
          </w:p>
        </w:tc>
        <w:tc>
          <w:tcPr>
            <w:tcW w:w="658" w:type="dxa"/>
          </w:tcPr>
          <w:p>
            <w:pPr>
              <w:jc w:val="center"/>
              <w:rPr>
                <w:noProof/>
                <w:sz w:val="20"/>
              </w:rPr>
            </w:pPr>
          </w:p>
        </w:tc>
        <w:tc>
          <w:tcPr>
            <w:tcW w:w="816" w:type="dxa"/>
            <w:vAlign w:val="center"/>
          </w:tcPr>
          <w:p>
            <w:pPr>
              <w:jc w:val="center"/>
              <w:rPr>
                <w:noProof/>
                <w:sz w:val="18"/>
              </w:rPr>
            </w:pPr>
            <w:r>
              <w:rPr>
                <w:noProof/>
                <w:sz w:val="18"/>
              </w:rPr>
              <w:t>Leto</w:t>
            </w:r>
            <w:r>
              <w:rPr>
                <w:noProof/>
                <w:sz w:val="18"/>
              </w:rPr>
              <w:br/>
            </w:r>
            <w:r>
              <w:rPr>
                <w:b/>
                <w:noProof/>
                <w:sz w:val="18"/>
              </w:rPr>
              <w:t>2019</w:t>
            </w:r>
          </w:p>
        </w:tc>
        <w:tc>
          <w:tcPr>
            <w:tcW w:w="816" w:type="dxa"/>
            <w:vAlign w:val="center"/>
          </w:tcPr>
          <w:p>
            <w:pPr>
              <w:jc w:val="center"/>
              <w:rPr>
                <w:noProof/>
                <w:sz w:val="18"/>
              </w:rPr>
            </w:pPr>
            <w:r>
              <w:rPr>
                <w:noProof/>
                <w:sz w:val="18"/>
              </w:rPr>
              <w:t>Leto</w:t>
            </w:r>
            <w:r>
              <w:rPr>
                <w:noProof/>
                <w:sz w:val="18"/>
              </w:rPr>
              <w:br/>
            </w:r>
            <w:r>
              <w:rPr>
                <w:b/>
                <w:noProof/>
                <w:sz w:val="18"/>
              </w:rPr>
              <w:t>2020</w:t>
            </w:r>
          </w:p>
        </w:tc>
        <w:tc>
          <w:tcPr>
            <w:tcW w:w="816" w:type="dxa"/>
            <w:vAlign w:val="center"/>
          </w:tcPr>
          <w:p>
            <w:pPr>
              <w:jc w:val="center"/>
              <w:rPr>
                <w:noProof/>
                <w:sz w:val="18"/>
              </w:rPr>
            </w:pPr>
            <w:r>
              <w:rPr>
                <w:noProof/>
                <w:sz w:val="18"/>
              </w:rPr>
              <w:t>Leto</w:t>
            </w:r>
            <w:r>
              <w:rPr>
                <w:noProof/>
                <w:sz w:val="18"/>
              </w:rPr>
              <w:br/>
            </w:r>
            <w:r>
              <w:rPr>
                <w:b/>
                <w:noProof/>
                <w:sz w:val="18"/>
              </w:rPr>
              <w:t>2021</w:t>
            </w:r>
          </w:p>
        </w:tc>
        <w:tc>
          <w:tcPr>
            <w:tcW w:w="816" w:type="dxa"/>
            <w:vAlign w:val="center"/>
          </w:tcPr>
          <w:p>
            <w:pPr>
              <w:jc w:val="center"/>
              <w:rPr>
                <w:noProof/>
                <w:sz w:val="18"/>
              </w:rPr>
            </w:pPr>
            <w:r>
              <w:rPr>
                <w:noProof/>
                <w:sz w:val="18"/>
              </w:rPr>
              <w:t>Leto</w:t>
            </w:r>
            <w:r>
              <w:rPr>
                <w:noProof/>
                <w:sz w:val="18"/>
              </w:rPr>
              <w:br/>
            </w:r>
            <w:r>
              <w:rPr>
                <w:b/>
                <w:noProof/>
                <w:sz w:val="18"/>
              </w:rPr>
              <w:t>2022</w:t>
            </w:r>
          </w:p>
        </w:tc>
        <w:tc>
          <w:tcPr>
            <w:tcW w:w="816" w:type="dxa"/>
            <w:vAlign w:val="center"/>
          </w:tcPr>
          <w:p>
            <w:pPr>
              <w:jc w:val="center"/>
              <w:rPr>
                <w:noProof/>
                <w:sz w:val="18"/>
              </w:rPr>
            </w:pPr>
            <w:r>
              <w:rPr>
                <w:noProof/>
                <w:sz w:val="18"/>
              </w:rPr>
              <w:t>Leto</w:t>
            </w:r>
            <w:r>
              <w:rPr>
                <w:noProof/>
                <w:sz w:val="18"/>
              </w:rPr>
              <w:br/>
            </w:r>
            <w:r>
              <w:rPr>
                <w:b/>
                <w:noProof/>
                <w:sz w:val="18"/>
              </w:rPr>
              <w:t>2023</w:t>
            </w:r>
          </w:p>
        </w:tc>
        <w:tc>
          <w:tcPr>
            <w:tcW w:w="816" w:type="dxa"/>
            <w:vAlign w:val="center"/>
          </w:tcPr>
          <w:p>
            <w:pPr>
              <w:jc w:val="center"/>
              <w:rPr>
                <w:noProof/>
                <w:sz w:val="18"/>
              </w:rPr>
            </w:pPr>
            <w:r>
              <w:rPr>
                <w:noProof/>
                <w:sz w:val="18"/>
              </w:rPr>
              <w:t>Leto</w:t>
            </w:r>
            <w:r>
              <w:rPr>
                <w:noProof/>
                <w:sz w:val="18"/>
              </w:rPr>
              <w:br/>
            </w:r>
            <w:r>
              <w:rPr>
                <w:b/>
                <w:noProof/>
                <w:sz w:val="18"/>
              </w:rPr>
              <w:t>2024</w:t>
            </w:r>
          </w:p>
        </w:tc>
        <w:tc>
          <w:tcPr>
            <w:tcW w:w="816" w:type="dxa"/>
            <w:vAlign w:val="center"/>
          </w:tcPr>
          <w:p>
            <w:pPr>
              <w:jc w:val="center"/>
              <w:rPr>
                <w:noProof/>
                <w:sz w:val="18"/>
              </w:rPr>
            </w:pPr>
            <w:r>
              <w:rPr>
                <w:noProof/>
                <w:sz w:val="18"/>
              </w:rPr>
              <w:t>Leto</w:t>
            </w:r>
            <w:r>
              <w:rPr>
                <w:noProof/>
                <w:sz w:val="18"/>
              </w:rPr>
              <w:br/>
            </w:r>
            <w:r>
              <w:rPr>
                <w:b/>
                <w:noProof/>
                <w:sz w:val="18"/>
              </w:rPr>
              <w:t>2025</w:t>
            </w:r>
          </w:p>
        </w:tc>
        <w:tc>
          <w:tcPr>
            <w:tcW w:w="816" w:type="dxa"/>
          </w:tcPr>
          <w:p>
            <w:pPr>
              <w:jc w:val="center"/>
              <w:rPr>
                <w:noProof/>
                <w:sz w:val="18"/>
              </w:rPr>
            </w:pPr>
            <w:r>
              <w:rPr>
                <w:noProof/>
                <w:sz w:val="18"/>
              </w:rPr>
              <w:t>Leto</w:t>
            </w:r>
            <w:r>
              <w:rPr>
                <w:noProof/>
                <w:sz w:val="18"/>
              </w:rPr>
              <w:br/>
            </w:r>
            <w:r>
              <w:rPr>
                <w:b/>
                <w:noProof/>
                <w:sz w:val="18"/>
              </w:rPr>
              <w:t>2026</w:t>
            </w:r>
          </w:p>
        </w:tc>
        <w:tc>
          <w:tcPr>
            <w:tcW w:w="816" w:type="dxa"/>
          </w:tcPr>
          <w:p>
            <w:pPr>
              <w:jc w:val="center"/>
              <w:rPr>
                <w:noProof/>
                <w:sz w:val="18"/>
              </w:rPr>
            </w:pPr>
            <w:r>
              <w:rPr>
                <w:noProof/>
                <w:sz w:val="18"/>
              </w:rPr>
              <w:t>Leto</w:t>
            </w:r>
            <w:r>
              <w:rPr>
                <w:noProof/>
                <w:sz w:val="18"/>
              </w:rPr>
              <w:br/>
            </w:r>
            <w:r>
              <w:rPr>
                <w:b/>
                <w:noProof/>
                <w:sz w:val="18"/>
              </w:rPr>
              <w:t>2027</w:t>
            </w:r>
          </w:p>
        </w:tc>
        <w:tc>
          <w:tcPr>
            <w:tcW w:w="816" w:type="dxa"/>
          </w:tcPr>
          <w:p>
            <w:pPr>
              <w:jc w:val="center"/>
              <w:rPr>
                <w:b/>
                <w:noProof/>
                <w:sz w:val="18"/>
              </w:rPr>
            </w:pPr>
            <w:r>
              <w:rPr>
                <w:b/>
                <w:noProof/>
                <w:sz w:val="18"/>
              </w:rPr>
              <w:t>Leto 2028</w:t>
            </w:r>
          </w:p>
        </w:tc>
        <w:tc>
          <w:tcPr>
            <w:tcW w:w="821" w:type="dxa"/>
            <w:vAlign w:val="center"/>
          </w:tcPr>
          <w:p>
            <w:pPr>
              <w:jc w:val="center"/>
              <w:rPr>
                <w:b/>
                <w:noProof/>
                <w:sz w:val="18"/>
              </w:rPr>
            </w:pPr>
            <w:r>
              <w:rPr>
                <w:b/>
                <w:noProof/>
                <w:sz w:val="18"/>
              </w:rPr>
              <w:t>SKU</w:t>
            </w:r>
            <w:r>
              <w:rPr>
                <w:b/>
                <w:noProof/>
                <w:sz w:val="18"/>
              </w:rPr>
              <w:br/>
              <w:t>PAJ</w:t>
            </w:r>
          </w:p>
        </w:tc>
      </w:tr>
      <w:tr>
        <w:trPr>
          <w:trHeight w:val="213"/>
        </w:trPr>
        <w:tc>
          <w:tcPr>
            <w:tcW w:w="5950" w:type="dxa"/>
            <w:gridSpan w:val="4"/>
            <w:vAlign w:val="center"/>
          </w:tcPr>
          <w:p>
            <w:pPr>
              <w:spacing w:before="20" w:after="20"/>
              <w:rPr>
                <w:noProof/>
                <w:sz w:val="21"/>
              </w:rPr>
            </w:pPr>
            <w:r>
              <w:rPr>
                <w:noProof/>
                <w:sz w:val="21"/>
              </w:rPr>
              <w:sym w:font="Wingdings" w:char="F09F"/>
            </w:r>
            <w:r>
              <w:rPr>
                <w:noProof/>
                <w:sz w:val="21"/>
              </w:rPr>
              <w:t xml:space="preserve"> Odobritve za poslovanje </w:t>
            </w:r>
          </w:p>
        </w:tc>
        <w:tc>
          <w:tcPr>
            <w:tcW w:w="816" w:type="dxa"/>
            <w:vAlign w:val="center"/>
          </w:tcPr>
          <w:p>
            <w:pPr>
              <w:rPr>
                <w:noProof/>
                <w:sz w:val="20"/>
              </w:rPr>
            </w:pPr>
          </w:p>
        </w:tc>
        <w:tc>
          <w:tcPr>
            <w:tcW w:w="816" w:type="dxa"/>
            <w:vAlign w:val="center"/>
          </w:tcPr>
          <w:p>
            <w:pPr>
              <w:rPr>
                <w:noProof/>
                <w:sz w:val="20"/>
              </w:rPr>
            </w:pPr>
          </w:p>
        </w:tc>
        <w:tc>
          <w:tcPr>
            <w:tcW w:w="816" w:type="dxa"/>
            <w:vAlign w:val="center"/>
          </w:tcPr>
          <w:p>
            <w:pPr>
              <w:rPr>
                <w:noProof/>
                <w:sz w:val="20"/>
              </w:rPr>
            </w:pPr>
          </w:p>
        </w:tc>
        <w:tc>
          <w:tcPr>
            <w:tcW w:w="816" w:type="dxa"/>
            <w:vAlign w:val="center"/>
          </w:tcPr>
          <w:p>
            <w:pPr>
              <w:rPr>
                <w:noProof/>
                <w:sz w:val="20"/>
              </w:rPr>
            </w:pPr>
          </w:p>
        </w:tc>
        <w:tc>
          <w:tcPr>
            <w:tcW w:w="816" w:type="dxa"/>
            <w:vAlign w:val="center"/>
          </w:tcPr>
          <w:p>
            <w:pPr>
              <w:rPr>
                <w:noProof/>
                <w:sz w:val="20"/>
              </w:rPr>
            </w:pPr>
          </w:p>
        </w:tc>
        <w:tc>
          <w:tcPr>
            <w:tcW w:w="816" w:type="dxa"/>
            <w:vAlign w:val="center"/>
          </w:tcPr>
          <w:p>
            <w:pPr>
              <w:rPr>
                <w:noProof/>
                <w:sz w:val="20"/>
              </w:rPr>
            </w:pPr>
          </w:p>
        </w:tc>
        <w:tc>
          <w:tcPr>
            <w:tcW w:w="816" w:type="dxa"/>
            <w:vAlign w:val="center"/>
          </w:tcPr>
          <w:p>
            <w:pPr>
              <w:rPr>
                <w:b/>
                <w:noProof/>
                <w:sz w:val="20"/>
              </w:rPr>
            </w:pPr>
          </w:p>
        </w:tc>
        <w:tc>
          <w:tcPr>
            <w:tcW w:w="816" w:type="dxa"/>
          </w:tcPr>
          <w:p>
            <w:pPr>
              <w:jc w:val="center"/>
              <w:rPr>
                <w:b/>
                <w:noProof/>
                <w:sz w:val="20"/>
              </w:rPr>
            </w:pPr>
          </w:p>
        </w:tc>
        <w:tc>
          <w:tcPr>
            <w:tcW w:w="816" w:type="dxa"/>
          </w:tcPr>
          <w:p>
            <w:pPr>
              <w:jc w:val="center"/>
              <w:rPr>
                <w:b/>
                <w:noProof/>
                <w:sz w:val="20"/>
              </w:rPr>
            </w:pPr>
          </w:p>
        </w:tc>
        <w:tc>
          <w:tcPr>
            <w:tcW w:w="816" w:type="dxa"/>
          </w:tcPr>
          <w:p>
            <w:pPr>
              <w:rPr>
                <w:b/>
                <w:noProof/>
                <w:sz w:val="20"/>
              </w:rPr>
            </w:pPr>
          </w:p>
        </w:tc>
        <w:tc>
          <w:tcPr>
            <w:tcW w:w="821" w:type="dxa"/>
            <w:vAlign w:val="center"/>
          </w:tcPr>
          <w:p>
            <w:pPr>
              <w:rPr>
                <w:b/>
                <w:noProof/>
                <w:sz w:val="20"/>
              </w:rPr>
            </w:pPr>
          </w:p>
        </w:tc>
      </w:tr>
      <w:tr>
        <w:trPr>
          <w:trHeight w:val="213"/>
        </w:trPr>
        <w:tc>
          <w:tcPr>
            <w:tcW w:w="3967" w:type="dxa"/>
            <w:vMerge w:val="restart"/>
            <w:vAlign w:val="center"/>
          </w:tcPr>
          <w:p>
            <w:pPr>
              <w:spacing w:before="20" w:after="20"/>
              <w:rPr>
                <w:noProof/>
                <w:sz w:val="21"/>
              </w:rPr>
            </w:pPr>
            <w:r>
              <w:rPr>
                <w:noProof/>
                <w:sz w:val="20"/>
              </w:rPr>
              <w:t>18.02.01.03 – Pametne meje</w:t>
            </w:r>
          </w:p>
        </w:tc>
        <w:tc>
          <w:tcPr>
            <w:tcW w:w="1275" w:type="dxa"/>
            <w:vAlign w:val="center"/>
          </w:tcPr>
          <w:p>
            <w:pPr>
              <w:spacing w:before="20" w:after="20"/>
              <w:rPr>
                <w:noProof/>
                <w:sz w:val="21"/>
              </w:rPr>
            </w:pPr>
            <w:r>
              <w:rPr>
                <w:noProof/>
                <w:sz w:val="18"/>
              </w:rPr>
              <w:t>obveznosti</w:t>
            </w:r>
          </w:p>
        </w:tc>
        <w:tc>
          <w:tcPr>
            <w:tcW w:w="708" w:type="dxa"/>
            <w:gridSpan w:val="2"/>
            <w:vAlign w:val="center"/>
          </w:tcPr>
          <w:p>
            <w:pPr>
              <w:spacing w:before="20" w:after="20"/>
              <w:rPr>
                <w:noProof/>
                <w:sz w:val="21"/>
              </w:rPr>
            </w:pPr>
            <w:r>
              <w:rPr>
                <w:noProof/>
                <w:sz w:val="14"/>
              </w:rPr>
              <w:t>(1)</w:t>
            </w:r>
          </w:p>
        </w:tc>
        <w:tc>
          <w:tcPr>
            <w:tcW w:w="816" w:type="dxa"/>
            <w:vAlign w:val="center"/>
          </w:tcPr>
          <w:p>
            <w:pPr>
              <w:jc w:val="right"/>
              <w:rPr>
                <w:noProof/>
                <w:sz w:val="20"/>
              </w:rPr>
            </w:pPr>
            <w:r>
              <w:rPr>
                <w:noProof/>
                <w:sz w:val="18"/>
              </w:rPr>
              <w:t>0</w:t>
            </w:r>
          </w:p>
        </w:tc>
        <w:tc>
          <w:tcPr>
            <w:tcW w:w="816" w:type="dxa"/>
            <w:vAlign w:val="center"/>
          </w:tcPr>
          <w:p>
            <w:pPr>
              <w:jc w:val="right"/>
              <w:rPr>
                <w:noProof/>
                <w:sz w:val="20"/>
              </w:rPr>
            </w:pPr>
            <w:r>
              <w:rPr>
                <w:noProof/>
                <w:sz w:val="18"/>
              </w:rPr>
              <w:t>0</w:t>
            </w:r>
          </w:p>
        </w:tc>
        <w:tc>
          <w:tcPr>
            <w:tcW w:w="816" w:type="dxa"/>
            <w:vAlign w:val="center"/>
          </w:tcPr>
          <w:p>
            <w:pPr>
              <w:jc w:val="right"/>
              <w:rPr>
                <w:noProof/>
                <w:sz w:val="20"/>
              </w:rPr>
            </w:pPr>
            <w:r>
              <w:rPr>
                <w:noProof/>
                <w:sz w:val="18"/>
              </w:rPr>
              <w:t>43,150</w:t>
            </w:r>
          </w:p>
        </w:tc>
        <w:tc>
          <w:tcPr>
            <w:tcW w:w="816" w:type="dxa"/>
            <w:vAlign w:val="center"/>
          </w:tcPr>
          <w:p>
            <w:pPr>
              <w:jc w:val="right"/>
              <w:rPr>
                <w:noProof/>
                <w:sz w:val="20"/>
              </w:rPr>
            </w:pPr>
            <w:r>
              <w:rPr>
                <w:noProof/>
                <w:sz w:val="18"/>
              </w:rPr>
              <w:t>48,150</w:t>
            </w:r>
          </w:p>
        </w:tc>
        <w:tc>
          <w:tcPr>
            <w:tcW w:w="816" w:type="dxa"/>
            <w:vAlign w:val="center"/>
          </w:tcPr>
          <w:p>
            <w:pPr>
              <w:jc w:val="right"/>
              <w:rPr>
                <w:noProof/>
                <w:sz w:val="20"/>
              </w:rPr>
            </w:pPr>
            <w:r>
              <w:rPr>
                <w:noProof/>
                <w:sz w:val="18"/>
              </w:rPr>
              <w:t>45,000</w:t>
            </w:r>
          </w:p>
        </w:tc>
        <w:tc>
          <w:tcPr>
            <w:tcW w:w="816" w:type="dxa"/>
            <w:vAlign w:val="center"/>
          </w:tcPr>
          <w:p>
            <w:pPr>
              <w:jc w:val="right"/>
              <w:rPr>
                <w:noProof/>
                <w:sz w:val="20"/>
              </w:rPr>
            </w:pPr>
            <w:r>
              <w:rPr>
                <w:noProof/>
                <w:sz w:val="20"/>
              </w:rPr>
              <w:t>0</w:t>
            </w:r>
          </w:p>
        </w:tc>
        <w:tc>
          <w:tcPr>
            <w:tcW w:w="816" w:type="dxa"/>
            <w:vAlign w:val="center"/>
          </w:tcPr>
          <w:p>
            <w:pPr>
              <w:jc w:val="right"/>
              <w:rPr>
                <w:b/>
                <w:noProof/>
                <w:sz w:val="20"/>
              </w:rPr>
            </w:pPr>
            <w:r>
              <w:rPr>
                <w:b/>
                <w:noProof/>
                <w:sz w:val="20"/>
              </w:rPr>
              <w:t>0</w:t>
            </w:r>
          </w:p>
        </w:tc>
        <w:tc>
          <w:tcPr>
            <w:tcW w:w="816" w:type="dxa"/>
          </w:tcPr>
          <w:p>
            <w:pPr>
              <w:jc w:val="right"/>
              <w:rPr>
                <w:b/>
                <w:noProof/>
                <w:sz w:val="20"/>
              </w:rPr>
            </w:pPr>
            <w:r>
              <w:rPr>
                <w:b/>
                <w:noProof/>
                <w:sz w:val="20"/>
              </w:rPr>
              <w:t>0</w:t>
            </w:r>
          </w:p>
        </w:tc>
        <w:tc>
          <w:tcPr>
            <w:tcW w:w="816" w:type="dxa"/>
          </w:tcPr>
          <w:p>
            <w:pPr>
              <w:jc w:val="right"/>
              <w:rPr>
                <w:b/>
                <w:noProof/>
                <w:sz w:val="20"/>
              </w:rPr>
            </w:pPr>
            <w:r>
              <w:rPr>
                <w:b/>
                <w:noProof/>
                <w:sz w:val="20"/>
              </w:rPr>
              <w:t>0</w:t>
            </w:r>
          </w:p>
        </w:tc>
        <w:tc>
          <w:tcPr>
            <w:tcW w:w="816" w:type="dxa"/>
          </w:tcPr>
          <w:p>
            <w:pPr>
              <w:jc w:val="right"/>
              <w:rPr>
                <w:b/>
                <w:noProof/>
                <w:sz w:val="20"/>
              </w:rPr>
            </w:pPr>
            <w:r>
              <w:rPr>
                <w:b/>
                <w:noProof/>
                <w:sz w:val="20"/>
              </w:rPr>
              <w:t>0</w:t>
            </w:r>
          </w:p>
        </w:tc>
        <w:tc>
          <w:tcPr>
            <w:tcW w:w="821" w:type="dxa"/>
            <w:vAlign w:val="center"/>
          </w:tcPr>
          <w:p>
            <w:pPr>
              <w:jc w:val="right"/>
              <w:rPr>
                <w:b/>
                <w:noProof/>
                <w:sz w:val="20"/>
              </w:rPr>
            </w:pPr>
            <w:r>
              <w:rPr>
                <w:b/>
                <w:noProof/>
                <w:sz w:val="18"/>
              </w:rPr>
              <w:t>136,300</w:t>
            </w:r>
          </w:p>
        </w:tc>
      </w:tr>
      <w:tr>
        <w:trPr>
          <w:trHeight w:val="213"/>
        </w:trPr>
        <w:tc>
          <w:tcPr>
            <w:tcW w:w="3967" w:type="dxa"/>
            <w:vMerge/>
            <w:vAlign w:val="center"/>
          </w:tcPr>
          <w:p>
            <w:pPr>
              <w:spacing w:before="20" w:after="20"/>
              <w:rPr>
                <w:noProof/>
                <w:sz w:val="20"/>
              </w:rPr>
            </w:pPr>
          </w:p>
        </w:tc>
        <w:tc>
          <w:tcPr>
            <w:tcW w:w="1275" w:type="dxa"/>
            <w:vAlign w:val="center"/>
          </w:tcPr>
          <w:p>
            <w:pPr>
              <w:spacing w:before="20" w:after="20"/>
              <w:rPr>
                <w:noProof/>
                <w:sz w:val="18"/>
              </w:rPr>
            </w:pPr>
            <w:r>
              <w:rPr>
                <w:noProof/>
                <w:sz w:val="18"/>
              </w:rPr>
              <w:t>plačila</w:t>
            </w:r>
          </w:p>
        </w:tc>
        <w:tc>
          <w:tcPr>
            <w:tcW w:w="708" w:type="dxa"/>
            <w:gridSpan w:val="2"/>
            <w:vAlign w:val="center"/>
          </w:tcPr>
          <w:p>
            <w:pPr>
              <w:spacing w:before="20" w:after="20"/>
              <w:rPr>
                <w:noProof/>
                <w:sz w:val="14"/>
              </w:rPr>
            </w:pPr>
            <w:r>
              <w:rPr>
                <w:noProof/>
                <w:sz w:val="14"/>
              </w:rPr>
              <w:t>(2)</w:t>
            </w:r>
          </w:p>
        </w:tc>
        <w:tc>
          <w:tcPr>
            <w:tcW w:w="816" w:type="dxa"/>
            <w:vAlign w:val="center"/>
          </w:tcPr>
          <w:p>
            <w:pPr>
              <w:jc w:val="right"/>
              <w:rPr>
                <w:noProof/>
                <w:sz w:val="18"/>
              </w:rPr>
            </w:pPr>
            <w:r>
              <w:rPr>
                <w:noProof/>
                <w:sz w:val="18"/>
              </w:rPr>
              <w:t>0</w:t>
            </w:r>
          </w:p>
        </w:tc>
        <w:tc>
          <w:tcPr>
            <w:tcW w:w="816" w:type="dxa"/>
            <w:vAlign w:val="center"/>
          </w:tcPr>
          <w:p>
            <w:pPr>
              <w:jc w:val="right"/>
              <w:rPr>
                <w:noProof/>
                <w:sz w:val="18"/>
              </w:rPr>
            </w:pPr>
            <w:r>
              <w:rPr>
                <w:noProof/>
                <w:sz w:val="18"/>
              </w:rPr>
              <w:t>0</w:t>
            </w:r>
          </w:p>
        </w:tc>
        <w:tc>
          <w:tcPr>
            <w:tcW w:w="816" w:type="dxa"/>
            <w:vAlign w:val="center"/>
          </w:tcPr>
          <w:p>
            <w:pPr>
              <w:jc w:val="right"/>
              <w:rPr>
                <w:noProof/>
                <w:sz w:val="18"/>
              </w:rPr>
            </w:pPr>
            <w:r>
              <w:rPr>
                <w:noProof/>
                <w:sz w:val="18"/>
              </w:rPr>
              <w:t>34,520</w:t>
            </w:r>
          </w:p>
        </w:tc>
        <w:tc>
          <w:tcPr>
            <w:tcW w:w="816" w:type="dxa"/>
            <w:vAlign w:val="center"/>
          </w:tcPr>
          <w:p>
            <w:pPr>
              <w:jc w:val="right"/>
              <w:rPr>
                <w:noProof/>
                <w:sz w:val="18"/>
              </w:rPr>
            </w:pPr>
            <w:r>
              <w:rPr>
                <w:noProof/>
                <w:sz w:val="18"/>
              </w:rPr>
              <w:t>47,150</w:t>
            </w:r>
          </w:p>
        </w:tc>
        <w:tc>
          <w:tcPr>
            <w:tcW w:w="816" w:type="dxa"/>
            <w:vAlign w:val="center"/>
          </w:tcPr>
          <w:p>
            <w:pPr>
              <w:jc w:val="right"/>
              <w:rPr>
                <w:noProof/>
                <w:sz w:val="18"/>
              </w:rPr>
            </w:pPr>
            <w:r>
              <w:rPr>
                <w:noProof/>
                <w:sz w:val="18"/>
              </w:rPr>
              <w:t>45,630</w:t>
            </w:r>
          </w:p>
        </w:tc>
        <w:tc>
          <w:tcPr>
            <w:tcW w:w="816" w:type="dxa"/>
            <w:vAlign w:val="center"/>
          </w:tcPr>
          <w:p>
            <w:pPr>
              <w:jc w:val="right"/>
              <w:rPr>
                <w:noProof/>
                <w:sz w:val="20"/>
              </w:rPr>
            </w:pPr>
            <w:r>
              <w:rPr>
                <w:noProof/>
                <w:sz w:val="20"/>
              </w:rPr>
              <w:t>9,000</w:t>
            </w:r>
          </w:p>
        </w:tc>
        <w:tc>
          <w:tcPr>
            <w:tcW w:w="816" w:type="dxa"/>
            <w:vAlign w:val="center"/>
          </w:tcPr>
          <w:p>
            <w:pPr>
              <w:jc w:val="right"/>
              <w:rPr>
                <w:b/>
                <w:noProof/>
                <w:sz w:val="20"/>
              </w:rPr>
            </w:pPr>
            <w:r>
              <w:rPr>
                <w:b/>
                <w:noProof/>
                <w:sz w:val="20"/>
              </w:rPr>
              <w:t>0</w:t>
            </w:r>
          </w:p>
        </w:tc>
        <w:tc>
          <w:tcPr>
            <w:tcW w:w="816" w:type="dxa"/>
          </w:tcPr>
          <w:p>
            <w:pPr>
              <w:jc w:val="right"/>
              <w:rPr>
                <w:b/>
                <w:noProof/>
                <w:sz w:val="20"/>
              </w:rPr>
            </w:pPr>
            <w:r>
              <w:rPr>
                <w:b/>
                <w:noProof/>
                <w:sz w:val="20"/>
              </w:rPr>
              <w:t>0</w:t>
            </w:r>
          </w:p>
        </w:tc>
        <w:tc>
          <w:tcPr>
            <w:tcW w:w="816" w:type="dxa"/>
          </w:tcPr>
          <w:p>
            <w:pPr>
              <w:jc w:val="right"/>
              <w:rPr>
                <w:b/>
                <w:noProof/>
                <w:sz w:val="20"/>
              </w:rPr>
            </w:pPr>
            <w:r>
              <w:rPr>
                <w:b/>
                <w:noProof/>
                <w:sz w:val="20"/>
              </w:rPr>
              <w:t>0</w:t>
            </w:r>
          </w:p>
        </w:tc>
        <w:tc>
          <w:tcPr>
            <w:tcW w:w="816" w:type="dxa"/>
          </w:tcPr>
          <w:p>
            <w:pPr>
              <w:jc w:val="right"/>
              <w:rPr>
                <w:b/>
                <w:noProof/>
                <w:sz w:val="20"/>
              </w:rPr>
            </w:pPr>
            <w:r>
              <w:rPr>
                <w:b/>
                <w:noProof/>
                <w:sz w:val="20"/>
              </w:rPr>
              <w:t>0</w:t>
            </w:r>
          </w:p>
        </w:tc>
        <w:tc>
          <w:tcPr>
            <w:tcW w:w="821" w:type="dxa"/>
            <w:vAlign w:val="center"/>
          </w:tcPr>
          <w:p>
            <w:pPr>
              <w:jc w:val="right"/>
              <w:rPr>
                <w:b/>
                <w:noProof/>
                <w:sz w:val="18"/>
              </w:rPr>
            </w:pPr>
            <w:r>
              <w:rPr>
                <w:noProof/>
                <w:sz w:val="18"/>
              </w:rPr>
              <w:t>136,300</w:t>
            </w:r>
          </w:p>
        </w:tc>
      </w:tr>
      <w:tr>
        <w:trPr>
          <w:trHeight w:val="231"/>
        </w:trPr>
        <w:tc>
          <w:tcPr>
            <w:tcW w:w="5950" w:type="dxa"/>
            <w:gridSpan w:val="4"/>
            <w:vAlign w:val="center"/>
          </w:tcPr>
          <w:p>
            <w:pPr>
              <w:spacing w:before="20" w:after="20"/>
              <w:jc w:val="left"/>
              <w:rPr>
                <w:noProof/>
              </w:rPr>
            </w:pPr>
            <w:r>
              <w:rPr>
                <w:noProof/>
                <w:sz w:val="21"/>
              </w:rPr>
              <w:t>Odobritve za upravne zadeve, ki se financirajo iz sredstev določenih programov</w:t>
            </w:r>
            <w:r>
              <w:rPr>
                <w:rStyle w:val="FootnoteReference"/>
                <w:noProof/>
                <w:sz w:val="21"/>
              </w:rPr>
              <w:footnoteReference w:id="87"/>
            </w:r>
            <w:r>
              <w:rPr>
                <w:noProof/>
                <w:sz w:val="21"/>
              </w:rPr>
              <w:t xml:space="preserve"> </w:t>
            </w:r>
          </w:p>
          <w:p>
            <w:pPr>
              <w:spacing w:before="0" w:after="0"/>
              <w:rPr>
                <w:noProof/>
              </w:rPr>
            </w:pPr>
          </w:p>
        </w:tc>
        <w:tc>
          <w:tcPr>
            <w:tcW w:w="816" w:type="dxa"/>
            <w:vAlign w:val="center"/>
          </w:tcPr>
          <w:p>
            <w:pPr>
              <w:rPr>
                <w:b/>
                <w:noProof/>
                <w:sz w:val="18"/>
              </w:rPr>
            </w:pPr>
          </w:p>
        </w:tc>
        <w:tc>
          <w:tcPr>
            <w:tcW w:w="816" w:type="dxa"/>
            <w:vAlign w:val="center"/>
          </w:tcPr>
          <w:p>
            <w:pPr>
              <w:rPr>
                <w:b/>
                <w:noProof/>
                <w:sz w:val="18"/>
              </w:rPr>
            </w:pPr>
          </w:p>
        </w:tc>
        <w:tc>
          <w:tcPr>
            <w:tcW w:w="816" w:type="dxa"/>
            <w:vAlign w:val="center"/>
          </w:tcPr>
          <w:p>
            <w:pPr>
              <w:rPr>
                <w:b/>
                <w:noProof/>
                <w:sz w:val="18"/>
              </w:rPr>
            </w:pPr>
          </w:p>
        </w:tc>
        <w:tc>
          <w:tcPr>
            <w:tcW w:w="816" w:type="dxa"/>
            <w:vAlign w:val="center"/>
          </w:tcPr>
          <w:p>
            <w:pPr>
              <w:rPr>
                <w:b/>
                <w:noProof/>
                <w:sz w:val="18"/>
              </w:rPr>
            </w:pPr>
          </w:p>
        </w:tc>
        <w:tc>
          <w:tcPr>
            <w:tcW w:w="816" w:type="dxa"/>
            <w:vAlign w:val="center"/>
          </w:tcPr>
          <w:p>
            <w:pPr>
              <w:rPr>
                <w:b/>
                <w:noProof/>
                <w:sz w:val="18"/>
              </w:rPr>
            </w:pPr>
          </w:p>
        </w:tc>
        <w:tc>
          <w:tcPr>
            <w:tcW w:w="816" w:type="dxa"/>
            <w:vAlign w:val="center"/>
          </w:tcPr>
          <w:p>
            <w:pPr>
              <w:rPr>
                <w:b/>
                <w:noProof/>
                <w:sz w:val="18"/>
              </w:rPr>
            </w:pPr>
          </w:p>
        </w:tc>
        <w:tc>
          <w:tcPr>
            <w:tcW w:w="816" w:type="dxa"/>
            <w:vAlign w:val="center"/>
          </w:tcPr>
          <w:p>
            <w:pPr>
              <w:rPr>
                <w:b/>
                <w:noProof/>
                <w:sz w:val="18"/>
              </w:rPr>
            </w:pPr>
          </w:p>
        </w:tc>
        <w:tc>
          <w:tcPr>
            <w:tcW w:w="816" w:type="dxa"/>
          </w:tcPr>
          <w:p>
            <w:pPr>
              <w:rPr>
                <w:b/>
                <w:noProof/>
                <w:sz w:val="18"/>
              </w:rPr>
            </w:pPr>
          </w:p>
        </w:tc>
        <w:tc>
          <w:tcPr>
            <w:tcW w:w="816" w:type="dxa"/>
          </w:tcPr>
          <w:p>
            <w:pPr>
              <w:rPr>
                <w:b/>
                <w:noProof/>
                <w:sz w:val="18"/>
              </w:rPr>
            </w:pPr>
          </w:p>
        </w:tc>
        <w:tc>
          <w:tcPr>
            <w:tcW w:w="816" w:type="dxa"/>
          </w:tcPr>
          <w:p>
            <w:pPr>
              <w:rPr>
                <w:b/>
                <w:noProof/>
                <w:sz w:val="18"/>
              </w:rPr>
            </w:pPr>
          </w:p>
        </w:tc>
        <w:tc>
          <w:tcPr>
            <w:tcW w:w="821" w:type="dxa"/>
            <w:vAlign w:val="center"/>
          </w:tcPr>
          <w:p>
            <w:pPr>
              <w:rPr>
                <w:b/>
                <w:noProof/>
                <w:sz w:val="18"/>
              </w:rPr>
            </w:pPr>
          </w:p>
        </w:tc>
      </w:tr>
      <w:tr>
        <w:trPr>
          <w:trHeight w:val="319"/>
        </w:trPr>
        <w:tc>
          <w:tcPr>
            <w:tcW w:w="3967" w:type="dxa"/>
            <w:vAlign w:val="center"/>
          </w:tcPr>
          <w:p>
            <w:pPr>
              <w:spacing w:before="60" w:after="60"/>
              <w:rPr>
                <w:noProof/>
              </w:rPr>
            </w:pPr>
            <w:r>
              <w:rPr>
                <w:noProof/>
                <w:sz w:val="20"/>
              </w:rPr>
              <w:t>Številka proračunske vrstice</w:t>
            </w:r>
          </w:p>
        </w:tc>
        <w:tc>
          <w:tcPr>
            <w:tcW w:w="1278" w:type="dxa"/>
            <w:vAlign w:val="center"/>
          </w:tcPr>
          <w:p>
            <w:pPr>
              <w:spacing w:before="40" w:after="40"/>
              <w:jc w:val="right"/>
              <w:rPr>
                <w:noProof/>
                <w:sz w:val="18"/>
              </w:rPr>
            </w:pPr>
          </w:p>
        </w:tc>
        <w:tc>
          <w:tcPr>
            <w:tcW w:w="705" w:type="dxa"/>
            <w:gridSpan w:val="2"/>
            <w:vAlign w:val="center"/>
          </w:tcPr>
          <w:p>
            <w:pPr>
              <w:spacing w:before="40" w:after="40"/>
              <w:jc w:val="center"/>
              <w:rPr>
                <w:noProof/>
                <w:sz w:val="14"/>
              </w:rPr>
            </w:pPr>
            <w:r>
              <w:rPr>
                <w:noProof/>
                <w:sz w:val="14"/>
              </w:rPr>
              <w:t>(3)</w:t>
            </w:r>
          </w:p>
        </w:tc>
        <w:tc>
          <w:tcPr>
            <w:tcW w:w="816" w:type="dxa"/>
            <w:vAlign w:val="center"/>
          </w:tcPr>
          <w:p>
            <w:pPr>
              <w:spacing w:before="40" w:after="40"/>
              <w:jc w:val="right"/>
              <w:rPr>
                <w:b/>
                <w:noProof/>
                <w:sz w:val="18"/>
              </w:rPr>
            </w:pPr>
          </w:p>
        </w:tc>
        <w:tc>
          <w:tcPr>
            <w:tcW w:w="816" w:type="dxa"/>
            <w:vAlign w:val="center"/>
          </w:tcPr>
          <w:p>
            <w:pPr>
              <w:spacing w:before="40" w:after="40"/>
              <w:jc w:val="right"/>
              <w:rPr>
                <w:b/>
                <w:noProof/>
                <w:sz w:val="18"/>
              </w:rPr>
            </w:pPr>
          </w:p>
        </w:tc>
        <w:tc>
          <w:tcPr>
            <w:tcW w:w="816" w:type="dxa"/>
            <w:vAlign w:val="center"/>
          </w:tcPr>
          <w:p>
            <w:pPr>
              <w:spacing w:before="40" w:after="40"/>
              <w:jc w:val="right"/>
              <w:rPr>
                <w:b/>
                <w:noProof/>
                <w:sz w:val="18"/>
              </w:rPr>
            </w:pPr>
          </w:p>
        </w:tc>
        <w:tc>
          <w:tcPr>
            <w:tcW w:w="816" w:type="dxa"/>
            <w:vAlign w:val="center"/>
          </w:tcPr>
          <w:p>
            <w:pPr>
              <w:spacing w:before="40" w:after="40"/>
              <w:jc w:val="right"/>
              <w:rPr>
                <w:b/>
                <w:noProof/>
                <w:sz w:val="18"/>
              </w:rPr>
            </w:pPr>
          </w:p>
        </w:tc>
        <w:tc>
          <w:tcPr>
            <w:tcW w:w="816" w:type="dxa"/>
            <w:vAlign w:val="center"/>
          </w:tcPr>
          <w:p>
            <w:pPr>
              <w:spacing w:before="40" w:after="40"/>
              <w:jc w:val="right"/>
              <w:rPr>
                <w:b/>
                <w:noProof/>
                <w:sz w:val="18"/>
              </w:rPr>
            </w:pPr>
          </w:p>
        </w:tc>
        <w:tc>
          <w:tcPr>
            <w:tcW w:w="816" w:type="dxa"/>
            <w:vAlign w:val="center"/>
          </w:tcPr>
          <w:p>
            <w:pPr>
              <w:spacing w:before="40" w:after="40"/>
              <w:jc w:val="right"/>
              <w:rPr>
                <w:b/>
                <w:noProof/>
                <w:sz w:val="18"/>
              </w:rPr>
            </w:pPr>
          </w:p>
        </w:tc>
        <w:tc>
          <w:tcPr>
            <w:tcW w:w="816" w:type="dxa"/>
            <w:vAlign w:val="center"/>
          </w:tcPr>
          <w:p>
            <w:pPr>
              <w:spacing w:before="40" w:after="40"/>
              <w:jc w:val="right"/>
              <w:rPr>
                <w:b/>
                <w:noProof/>
                <w:sz w:val="18"/>
              </w:rPr>
            </w:pPr>
          </w:p>
        </w:tc>
        <w:tc>
          <w:tcPr>
            <w:tcW w:w="816" w:type="dxa"/>
          </w:tcPr>
          <w:p>
            <w:pPr>
              <w:spacing w:before="40" w:after="40"/>
              <w:jc w:val="right"/>
              <w:rPr>
                <w:b/>
                <w:noProof/>
                <w:sz w:val="18"/>
              </w:rPr>
            </w:pPr>
          </w:p>
        </w:tc>
        <w:tc>
          <w:tcPr>
            <w:tcW w:w="816" w:type="dxa"/>
          </w:tcPr>
          <w:p>
            <w:pPr>
              <w:spacing w:before="40" w:after="40"/>
              <w:jc w:val="right"/>
              <w:rPr>
                <w:b/>
                <w:noProof/>
                <w:sz w:val="18"/>
              </w:rPr>
            </w:pPr>
          </w:p>
        </w:tc>
        <w:tc>
          <w:tcPr>
            <w:tcW w:w="816" w:type="dxa"/>
          </w:tcPr>
          <w:p>
            <w:pPr>
              <w:spacing w:before="40" w:after="40"/>
              <w:jc w:val="right"/>
              <w:rPr>
                <w:b/>
                <w:noProof/>
                <w:sz w:val="18"/>
              </w:rPr>
            </w:pPr>
          </w:p>
        </w:tc>
        <w:tc>
          <w:tcPr>
            <w:tcW w:w="821" w:type="dxa"/>
            <w:vAlign w:val="center"/>
          </w:tcPr>
          <w:p>
            <w:pPr>
              <w:spacing w:before="40" w:after="40"/>
              <w:jc w:val="right"/>
              <w:rPr>
                <w:b/>
                <w:noProof/>
                <w:sz w:val="18"/>
              </w:rPr>
            </w:pPr>
          </w:p>
        </w:tc>
      </w:tr>
      <w:tr>
        <w:trPr>
          <w:trHeight w:val="213"/>
        </w:trPr>
        <w:tc>
          <w:tcPr>
            <w:tcW w:w="3967" w:type="dxa"/>
            <w:vMerge w:val="restart"/>
            <w:vAlign w:val="center"/>
          </w:tcPr>
          <w:p>
            <w:pPr>
              <w:spacing w:before="20" w:after="20"/>
              <w:rPr>
                <w:noProof/>
                <w:sz w:val="21"/>
              </w:rPr>
            </w:pPr>
            <w:r>
              <w:rPr>
                <w:b/>
                <w:noProof/>
                <w:sz w:val="22"/>
              </w:rPr>
              <w:t>Odobritve za GD</w:t>
            </w:r>
            <w:r>
              <w:rPr>
                <w:noProof/>
                <w:sz w:val="22"/>
              </w:rPr>
              <w:t xml:space="preserve"> HOME</w:t>
            </w:r>
            <w:r>
              <w:rPr>
                <w:noProof/>
              </w:rPr>
              <w:t xml:space="preserve"> </w:t>
            </w:r>
            <w:r>
              <w:rPr>
                <w:b/>
                <w:noProof/>
                <w:sz w:val="22"/>
              </w:rPr>
              <w:t>SKUPAJ</w:t>
            </w:r>
          </w:p>
        </w:tc>
        <w:tc>
          <w:tcPr>
            <w:tcW w:w="1275" w:type="dxa"/>
            <w:vAlign w:val="center"/>
          </w:tcPr>
          <w:p>
            <w:pPr>
              <w:spacing w:before="20" w:after="20"/>
              <w:rPr>
                <w:noProof/>
                <w:sz w:val="21"/>
              </w:rPr>
            </w:pPr>
            <w:r>
              <w:rPr>
                <w:noProof/>
                <w:sz w:val="18"/>
              </w:rPr>
              <w:t>obveznosti</w:t>
            </w:r>
          </w:p>
        </w:tc>
        <w:tc>
          <w:tcPr>
            <w:tcW w:w="708" w:type="dxa"/>
            <w:gridSpan w:val="2"/>
            <w:vAlign w:val="center"/>
          </w:tcPr>
          <w:p>
            <w:pPr>
              <w:spacing w:before="20" w:after="20"/>
              <w:rPr>
                <w:noProof/>
                <w:sz w:val="21"/>
              </w:rPr>
            </w:pPr>
            <w:r>
              <w:rPr>
                <w:noProof/>
                <w:sz w:val="14"/>
              </w:rPr>
              <w:t>=1+1a+3</w:t>
            </w:r>
          </w:p>
        </w:tc>
        <w:tc>
          <w:tcPr>
            <w:tcW w:w="816" w:type="dxa"/>
            <w:vAlign w:val="center"/>
          </w:tcPr>
          <w:p>
            <w:pPr>
              <w:jc w:val="right"/>
              <w:rPr>
                <w:noProof/>
                <w:sz w:val="20"/>
              </w:rPr>
            </w:pPr>
            <w:r>
              <w:rPr>
                <w:noProof/>
                <w:sz w:val="18"/>
              </w:rPr>
              <w:t>0</w:t>
            </w:r>
          </w:p>
        </w:tc>
        <w:tc>
          <w:tcPr>
            <w:tcW w:w="816" w:type="dxa"/>
            <w:vAlign w:val="center"/>
          </w:tcPr>
          <w:p>
            <w:pPr>
              <w:jc w:val="right"/>
              <w:rPr>
                <w:noProof/>
                <w:sz w:val="20"/>
              </w:rPr>
            </w:pPr>
            <w:r>
              <w:rPr>
                <w:noProof/>
                <w:sz w:val="18"/>
              </w:rPr>
              <w:t>0</w:t>
            </w:r>
          </w:p>
        </w:tc>
        <w:tc>
          <w:tcPr>
            <w:tcW w:w="816" w:type="dxa"/>
            <w:vAlign w:val="center"/>
          </w:tcPr>
          <w:p>
            <w:pPr>
              <w:jc w:val="right"/>
              <w:rPr>
                <w:noProof/>
                <w:sz w:val="20"/>
              </w:rPr>
            </w:pPr>
            <w:r>
              <w:rPr>
                <w:noProof/>
                <w:sz w:val="18"/>
              </w:rPr>
              <w:t>43,150</w:t>
            </w:r>
          </w:p>
        </w:tc>
        <w:tc>
          <w:tcPr>
            <w:tcW w:w="816" w:type="dxa"/>
            <w:vAlign w:val="center"/>
          </w:tcPr>
          <w:p>
            <w:pPr>
              <w:jc w:val="right"/>
              <w:rPr>
                <w:noProof/>
                <w:sz w:val="20"/>
              </w:rPr>
            </w:pPr>
            <w:r>
              <w:rPr>
                <w:noProof/>
                <w:sz w:val="18"/>
              </w:rPr>
              <w:t>48,150</w:t>
            </w:r>
          </w:p>
        </w:tc>
        <w:tc>
          <w:tcPr>
            <w:tcW w:w="816" w:type="dxa"/>
            <w:vAlign w:val="center"/>
          </w:tcPr>
          <w:p>
            <w:pPr>
              <w:jc w:val="right"/>
              <w:rPr>
                <w:noProof/>
                <w:sz w:val="20"/>
              </w:rPr>
            </w:pPr>
            <w:r>
              <w:rPr>
                <w:noProof/>
                <w:sz w:val="18"/>
              </w:rPr>
              <w:t>45,000</w:t>
            </w:r>
          </w:p>
        </w:tc>
        <w:tc>
          <w:tcPr>
            <w:tcW w:w="816" w:type="dxa"/>
            <w:vAlign w:val="center"/>
          </w:tcPr>
          <w:p>
            <w:pPr>
              <w:jc w:val="right"/>
              <w:rPr>
                <w:noProof/>
                <w:sz w:val="20"/>
              </w:rPr>
            </w:pPr>
            <w:r>
              <w:rPr>
                <w:noProof/>
                <w:sz w:val="20"/>
              </w:rPr>
              <w:t>0</w:t>
            </w:r>
          </w:p>
        </w:tc>
        <w:tc>
          <w:tcPr>
            <w:tcW w:w="816" w:type="dxa"/>
            <w:vAlign w:val="center"/>
          </w:tcPr>
          <w:p>
            <w:pPr>
              <w:jc w:val="right"/>
              <w:rPr>
                <w:b/>
                <w:noProof/>
                <w:sz w:val="20"/>
              </w:rPr>
            </w:pPr>
            <w:r>
              <w:rPr>
                <w:b/>
                <w:noProof/>
                <w:sz w:val="20"/>
              </w:rPr>
              <w:t>0</w:t>
            </w:r>
          </w:p>
        </w:tc>
        <w:tc>
          <w:tcPr>
            <w:tcW w:w="816" w:type="dxa"/>
          </w:tcPr>
          <w:p>
            <w:pPr>
              <w:jc w:val="right"/>
              <w:rPr>
                <w:b/>
                <w:noProof/>
                <w:sz w:val="20"/>
              </w:rPr>
            </w:pPr>
            <w:r>
              <w:rPr>
                <w:b/>
                <w:noProof/>
                <w:sz w:val="20"/>
              </w:rPr>
              <w:t>0</w:t>
            </w:r>
          </w:p>
        </w:tc>
        <w:tc>
          <w:tcPr>
            <w:tcW w:w="816" w:type="dxa"/>
          </w:tcPr>
          <w:p>
            <w:pPr>
              <w:jc w:val="right"/>
              <w:rPr>
                <w:b/>
                <w:noProof/>
                <w:sz w:val="20"/>
              </w:rPr>
            </w:pPr>
            <w:r>
              <w:rPr>
                <w:b/>
                <w:noProof/>
                <w:sz w:val="20"/>
              </w:rPr>
              <w:t>0</w:t>
            </w:r>
          </w:p>
        </w:tc>
        <w:tc>
          <w:tcPr>
            <w:tcW w:w="816" w:type="dxa"/>
          </w:tcPr>
          <w:p>
            <w:pPr>
              <w:jc w:val="right"/>
              <w:rPr>
                <w:b/>
                <w:noProof/>
                <w:sz w:val="20"/>
              </w:rPr>
            </w:pPr>
            <w:r>
              <w:rPr>
                <w:b/>
                <w:noProof/>
                <w:sz w:val="20"/>
              </w:rPr>
              <w:t>0</w:t>
            </w:r>
          </w:p>
        </w:tc>
        <w:tc>
          <w:tcPr>
            <w:tcW w:w="821" w:type="dxa"/>
            <w:vAlign w:val="center"/>
          </w:tcPr>
          <w:p>
            <w:pPr>
              <w:jc w:val="right"/>
              <w:rPr>
                <w:b/>
                <w:noProof/>
                <w:sz w:val="20"/>
              </w:rPr>
            </w:pPr>
            <w:r>
              <w:rPr>
                <w:b/>
                <w:noProof/>
                <w:sz w:val="18"/>
              </w:rPr>
              <w:t>136,300</w:t>
            </w:r>
          </w:p>
        </w:tc>
      </w:tr>
      <w:tr>
        <w:trPr>
          <w:trHeight w:val="213"/>
        </w:trPr>
        <w:tc>
          <w:tcPr>
            <w:tcW w:w="3967" w:type="dxa"/>
            <w:vMerge/>
            <w:vAlign w:val="center"/>
          </w:tcPr>
          <w:p>
            <w:pPr>
              <w:spacing w:before="20" w:after="20"/>
              <w:rPr>
                <w:noProof/>
                <w:sz w:val="20"/>
              </w:rPr>
            </w:pPr>
          </w:p>
        </w:tc>
        <w:tc>
          <w:tcPr>
            <w:tcW w:w="1275" w:type="dxa"/>
            <w:vAlign w:val="center"/>
          </w:tcPr>
          <w:p>
            <w:pPr>
              <w:spacing w:before="20" w:after="20"/>
              <w:rPr>
                <w:noProof/>
                <w:sz w:val="18"/>
              </w:rPr>
            </w:pPr>
            <w:r>
              <w:rPr>
                <w:noProof/>
                <w:sz w:val="18"/>
              </w:rPr>
              <w:t xml:space="preserve">plačila </w:t>
            </w:r>
          </w:p>
        </w:tc>
        <w:tc>
          <w:tcPr>
            <w:tcW w:w="708" w:type="dxa"/>
            <w:gridSpan w:val="2"/>
            <w:vAlign w:val="center"/>
          </w:tcPr>
          <w:p>
            <w:pPr>
              <w:spacing w:before="20" w:after="20"/>
              <w:rPr>
                <w:noProof/>
                <w:sz w:val="14"/>
              </w:rPr>
            </w:pPr>
            <w:r>
              <w:rPr>
                <w:noProof/>
                <w:sz w:val="14"/>
              </w:rPr>
              <w:t>=2+2a</w:t>
            </w:r>
          </w:p>
          <w:p>
            <w:pPr>
              <w:spacing w:before="20" w:after="20"/>
              <w:rPr>
                <w:noProof/>
                <w:sz w:val="14"/>
              </w:rPr>
            </w:pPr>
            <w:r>
              <w:rPr>
                <w:noProof/>
                <w:sz w:val="14"/>
              </w:rPr>
              <w:t>+3</w:t>
            </w:r>
          </w:p>
        </w:tc>
        <w:tc>
          <w:tcPr>
            <w:tcW w:w="816" w:type="dxa"/>
            <w:vAlign w:val="center"/>
          </w:tcPr>
          <w:p>
            <w:pPr>
              <w:jc w:val="right"/>
              <w:rPr>
                <w:noProof/>
                <w:sz w:val="18"/>
              </w:rPr>
            </w:pPr>
            <w:r>
              <w:rPr>
                <w:noProof/>
                <w:sz w:val="18"/>
              </w:rPr>
              <w:t>0</w:t>
            </w:r>
          </w:p>
        </w:tc>
        <w:tc>
          <w:tcPr>
            <w:tcW w:w="816" w:type="dxa"/>
            <w:vAlign w:val="center"/>
          </w:tcPr>
          <w:p>
            <w:pPr>
              <w:jc w:val="right"/>
              <w:rPr>
                <w:noProof/>
                <w:sz w:val="18"/>
              </w:rPr>
            </w:pPr>
            <w:r>
              <w:rPr>
                <w:noProof/>
                <w:sz w:val="18"/>
              </w:rPr>
              <w:t>0</w:t>
            </w:r>
          </w:p>
        </w:tc>
        <w:tc>
          <w:tcPr>
            <w:tcW w:w="816" w:type="dxa"/>
            <w:vAlign w:val="center"/>
          </w:tcPr>
          <w:p>
            <w:pPr>
              <w:jc w:val="right"/>
              <w:rPr>
                <w:noProof/>
                <w:sz w:val="18"/>
              </w:rPr>
            </w:pPr>
            <w:r>
              <w:rPr>
                <w:noProof/>
                <w:sz w:val="18"/>
              </w:rPr>
              <w:t>34,520</w:t>
            </w:r>
          </w:p>
        </w:tc>
        <w:tc>
          <w:tcPr>
            <w:tcW w:w="816" w:type="dxa"/>
            <w:vAlign w:val="center"/>
          </w:tcPr>
          <w:p>
            <w:pPr>
              <w:jc w:val="right"/>
              <w:rPr>
                <w:noProof/>
                <w:sz w:val="18"/>
              </w:rPr>
            </w:pPr>
            <w:r>
              <w:rPr>
                <w:noProof/>
                <w:sz w:val="18"/>
              </w:rPr>
              <w:t>47,150</w:t>
            </w:r>
          </w:p>
        </w:tc>
        <w:tc>
          <w:tcPr>
            <w:tcW w:w="816" w:type="dxa"/>
            <w:vAlign w:val="center"/>
          </w:tcPr>
          <w:p>
            <w:pPr>
              <w:jc w:val="right"/>
              <w:rPr>
                <w:noProof/>
                <w:sz w:val="18"/>
              </w:rPr>
            </w:pPr>
            <w:r>
              <w:rPr>
                <w:noProof/>
                <w:sz w:val="18"/>
              </w:rPr>
              <w:t>45,630</w:t>
            </w:r>
          </w:p>
        </w:tc>
        <w:tc>
          <w:tcPr>
            <w:tcW w:w="816" w:type="dxa"/>
            <w:vAlign w:val="center"/>
          </w:tcPr>
          <w:p>
            <w:pPr>
              <w:jc w:val="right"/>
              <w:rPr>
                <w:noProof/>
                <w:sz w:val="20"/>
              </w:rPr>
            </w:pPr>
            <w:r>
              <w:rPr>
                <w:noProof/>
                <w:sz w:val="18"/>
              </w:rPr>
              <w:t>9,000</w:t>
            </w:r>
          </w:p>
        </w:tc>
        <w:tc>
          <w:tcPr>
            <w:tcW w:w="816" w:type="dxa"/>
            <w:vAlign w:val="center"/>
          </w:tcPr>
          <w:p>
            <w:pPr>
              <w:jc w:val="right"/>
              <w:rPr>
                <w:b/>
                <w:noProof/>
                <w:sz w:val="20"/>
              </w:rPr>
            </w:pPr>
            <w:r>
              <w:rPr>
                <w:b/>
                <w:noProof/>
                <w:sz w:val="20"/>
              </w:rPr>
              <w:t>0</w:t>
            </w:r>
          </w:p>
        </w:tc>
        <w:tc>
          <w:tcPr>
            <w:tcW w:w="816" w:type="dxa"/>
          </w:tcPr>
          <w:p>
            <w:pPr>
              <w:jc w:val="right"/>
              <w:rPr>
                <w:b/>
                <w:noProof/>
                <w:sz w:val="20"/>
              </w:rPr>
            </w:pPr>
            <w:r>
              <w:rPr>
                <w:b/>
                <w:noProof/>
                <w:sz w:val="20"/>
              </w:rPr>
              <w:t>0</w:t>
            </w:r>
          </w:p>
        </w:tc>
        <w:tc>
          <w:tcPr>
            <w:tcW w:w="816" w:type="dxa"/>
          </w:tcPr>
          <w:p>
            <w:pPr>
              <w:jc w:val="right"/>
              <w:rPr>
                <w:b/>
                <w:noProof/>
                <w:sz w:val="20"/>
              </w:rPr>
            </w:pPr>
            <w:r>
              <w:rPr>
                <w:b/>
                <w:noProof/>
                <w:sz w:val="20"/>
              </w:rPr>
              <w:t>0</w:t>
            </w:r>
          </w:p>
        </w:tc>
        <w:tc>
          <w:tcPr>
            <w:tcW w:w="816" w:type="dxa"/>
          </w:tcPr>
          <w:p>
            <w:pPr>
              <w:jc w:val="right"/>
              <w:rPr>
                <w:b/>
                <w:noProof/>
                <w:sz w:val="20"/>
              </w:rPr>
            </w:pPr>
            <w:r>
              <w:rPr>
                <w:b/>
                <w:noProof/>
                <w:sz w:val="20"/>
              </w:rPr>
              <w:t>0</w:t>
            </w:r>
          </w:p>
        </w:tc>
        <w:tc>
          <w:tcPr>
            <w:tcW w:w="821" w:type="dxa"/>
            <w:vAlign w:val="center"/>
          </w:tcPr>
          <w:p>
            <w:pPr>
              <w:jc w:val="right"/>
              <w:rPr>
                <w:b/>
                <w:noProof/>
                <w:sz w:val="18"/>
              </w:rPr>
            </w:pPr>
            <w:r>
              <w:rPr>
                <w:noProof/>
                <w:sz w:val="18"/>
              </w:rPr>
              <w:t>136,300</w:t>
            </w:r>
          </w:p>
        </w:tc>
      </w:tr>
    </w:tbl>
    <w:p>
      <w:pPr>
        <w:rPr>
          <w:noProof/>
        </w:rPr>
      </w:pPr>
      <w:r>
        <w:rPr>
          <w:noProof/>
        </w:rPr>
        <w:t>Iz teh odhodkov se bodo krili stroški, povezani s:</w:t>
      </w:r>
    </w:p>
    <w:p>
      <w:pPr>
        <w:pStyle w:val="ListDash"/>
        <w:rPr>
          <w:noProof/>
        </w:rPr>
      </w:pPr>
      <w:r>
        <w:rPr>
          <w:noProof/>
        </w:rPr>
        <w:t>stroški prilagoditve NUI (nacionalni enotni vmesnik), katerega razvoj se financira v okviru predloga o SVI, predvidenimi sredstvi za spremembe sistemov v državah članicah zaradi upoštevanja sprememb centralnih sistemov in predvidenimi sredstvi za usposabljanje končnih uporabnikov.</w:t>
      </w:r>
    </w:p>
    <w:p>
      <w:pPr>
        <w:rPr>
          <w:noProof/>
        </w:rPr>
      </w:pPr>
    </w:p>
    <w:tbl>
      <w:tblPr>
        <w:tblW w:w="1382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0"/>
        <w:gridCol w:w="1357"/>
        <w:gridCol w:w="801"/>
        <w:gridCol w:w="801"/>
        <w:gridCol w:w="788"/>
        <w:gridCol w:w="840"/>
        <w:gridCol w:w="840"/>
        <w:gridCol w:w="840"/>
        <w:gridCol w:w="840"/>
        <w:gridCol w:w="840"/>
        <w:gridCol w:w="839"/>
        <w:gridCol w:w="801"/>
        <w:gridCol w:w="1470"/>
      </w:tblGrid>
      <w:tr>
        <w:trPr>
          <w:trHeight w:val="687"/>
        </w:trPr>
        <w:tc>
          <w:tcPr>
            <w:tcW w:w="2770" w:type="dxa"/>
            <w:vAlign w:val="center"/>
          </w:tcPr>
          <w:p>
            <w:pPr>
              <w:jc w:val="center"/>
              <w:rPr>
                <w:b/>
                <w:noProof/>
              </w:rPr>
            </w:pPr>
            <w:r>
              <w:rPr>
                <w:b/>
                <w:noProof/>
                <w:sz w:val="22"/>
              </w:rPr>
              <w:t>18.02.03 – evropska mejna in obalna straža</w:t>
            </w:r>
          </w:p>
        </w:tc>
        <w:tc>
          <w:tcPr>
            <w:tcW w:w="1357" w:type="dxa"/>
          </w:tcPr>
          <w:p>
            <w:pPr>
              <w:rPr>
                <w:noProof/>
                <w:sz w:val="20"/>
              </w:rPr>
            </w:pPr>
          </w:p>
        </w:tc>
        <w:tc>
          <w:tcPr>
            <w:tcW w:w="801" w:type="dxa"/>
          </w:tcPr>
          <w:p>
            <w:pPr>
              <w:jc w:val="center"/>
              <w:rPr>
                <w:noProof/>
                <w:sz w:val="20"/>
              </w:rPr>
            </w:pPr>
          </w:p>
        </w:tc>
        <w:tc>
          <w:tcPr>
            <w:tcW w:w="801" w:type="dxa"/>
            <w:vAlign w:val="center"/>
          </w:tcPr>
          <w:p>
            <w:pPr>
              <w:jc w:val="center"/>
              <w:rPr>
                <w:noProof/>
                <w:sz w:val="20"/>
              </w:rPr>
            </w:pPr>
            <w:r>
              <w:rPr>
                <w:noProof/>
                <w:sz w:val="20"/>
              </w:rPr>
              <w:t>Leto</w:t>
            </w:r>
            <w:r>
              <w:rPr>
                <w:noProof/>
                <w:sz w:val="22"/>
              </w:rPr>
              <w:br/>
            </w:r>
            <w:r>
              <w:rPr>
                <w:b/>
                <w:noProof/>
                <w:sz w:val="20"/>
              </w:rPr>
              <w:t>2019</w:t>
            </w:r>
          </w:p>
        </w:tc>
        <w:tc>
          <w:tcPr>
            <w:tcW w:w="788" w:type="dxa"/>
            <w:vAlign w:val="center"/>
          </w:tcPr>
          <w:p>
            <w:pPr>
              <w:jc w:val="center"/>
              <w:rPr>
                <w:noProof/>
                <w:sz w:val="20"/>
              </w:rPr>
            </w:pPr>
            <w:r>
              <w:rPr>
                <w:noProof/>
                <w:sz w:val="20"/>
              </w:rPr>
              <w:t>Leto</w:t>
            </w:r>
            <w:r>
              <w:rPr>
                <w:noProof/>
                <w:sz w:val="22"/>
              </w:rPr>
              <w:br/>
            </w:r>
            <w:r>
              <w:rPr>
                <w:b/>
                <w:noProof/>
                <w:sz w:val="20"/>
              </w:rPr>
              <w:t>2020</w:t>
            </w:r>
          </w:p>
        </w:tc>
        <w:tc>
          <w:tcPr>
            <w:tcW w:w="840" w:type="dxa"/>
            <w:vAlign w:val="center"/>
          </w:tcPr>
          <w:p>
            <w:pPr>
              <w:jc w:val="center"/>
              <w:rPr>
                <w:noProof/>
                <w:sz w:val="20"/>
              </w:rPr>
            </w:pPr>
            <w:r>
              <w:rPr>
                <w:noProof/>
                <w:sz w:val="20"/>
              </w:rPr>
              <w:t>Leto</w:t>
            </w:r>
            <w:r>
              <w:rPr>
                <w:noProof/>
                <w:sz w:val="22"/>
              </w:rPr>
              <w:br/>
            </w:r>
            <w:r>
              <w:rPr>
                <w:b/>
                <w:noProof/>
                <w:sz w:val="20"/>
              </w:rPr>
              <w:t>2021</w:t>
            </w:r>
          </w:p>
        </w:tc>
        <w:tc>
          <w:tcPr>
            <w:tcW w:w="840" w:type="dxa"/>
            <w:vAlign w:val="center"/>
          </w:tcPr>
          <w:p>
            <w:pPr>
              <w:jc w:val="center"/>
              <w:rPr>
                <w:noProof/>
                <w:sz w:val="20"/>
              </w:rPr>
            </w:pPr>
            <w:r>
              <w:rPr>
                <w:noProof/>
                <w:sz w:val="20"/>
              </w:rPr>
              <w:t>Leto</w:t>
            </w:r>
            <w:r>
              <w:rPr>
                <w:noProof/>
                <w:sz w:val="22"/>
              </w:rPr>
              <w:br/>
            </w:r>
            <w:r>
              <w:rPr>
                <w:b/>
                <w:noProof/>
                <w:sz w:val="20"/>
              </w:rPr>
              <w:t>2022</w:t>
            </w:r>
          </w:p>
        </w:tc>
        <w:tc>
          <w:tcPr>
            <w:tcW w:w="840" w:type="dxa"/>
            <w:vAlign w:val="center"/>
          </w:tcPr>
          <w:p>
            <w:pPr>
              <w:jc w:val="center"/>
              <w:rPr>
                <w:noProof/>
                <w:sz w:val="20"/>
              </w:rPr>
            </w:pPr>
            <w:r>
              <w:rPr>
                <w:noProof/>
                <w:sz w:val="20"/>
              </w:rPr>
              <w:t>Leto</w:t>
            </w:r>
            <w:r>
              <w:rPr>
                <w:noProof/>
                <w:sz w:val="20"/>
              </w:rPr>
              <w:br/>
            </w:r>
            <w:r>
              <w:rPr>
                <w:b/>
                <w:noProof/>
                <w:sz w:val="20"/>
              </w:rPr>
              <w:t>2023</w:t>
            </w:r>
          </w:p>
        </w:tc>
        <w:tc>
          <w:tcPr>
            <w:tcW w:w="840" w:type="dxa"/>
            <w:shd w:val="clear" w:color="auto" w:fill="auto"/>
            <w:vAlign w:val="center"/>
          </w:tcPr>
          <w:p>
            <w:pPr>
              <w:jc w:val="center"/>
              <w:rPr>
                <w:noProof/>
                <w:sz w:val="20"/>
              </w:rPr>
            </w:pPr>
            <w:r>
              <w:rPr>
                <w:noProof/>
                <w:sz w:val="20"/>
              </w:rPr>
              <w:t>Leto</w:t>
            </w:r>
            <w:r>
              <w:rPr>
                <w:noProof/>
                <w:sz w:val="20"/>
              </w:rPr>
              <w:br/>
            </w:r>
            <w:r>
              <w:rPr>
                <w:b/>
                <w:noProof/>
                <w:sz w:val="20"/>
              </w:rPr>
              <w:t>2024</w:t>
            </w:r>
          </w:p>
        </w:tc>
        <w:tc>
          <w:tcPr>
            <w:tcW w:w="840" w:type="dxa"/>
            <w:shd w:val="clear" w:color="auto" w:fill="auto"/>
            <w:vAlign w:val="center"/>
          </w:tcPr>
          <w:p>
            <w:pPr>
              <w:jc w:val="center"/>
              <w:rPr>
                <w:noProof/>
                <w:sz w:val="20"/>
              </w:rPr>
            </w:pPr>
            <w:r>
              <w:rPr>
                <w:noProof/>
                <w:sz w:val="20"/>
              </w:rPr>
              <w:t>Leto</w:t>
            </w:r>
            <w:r>
              <w:rPr>
                <w:noProof/>
                <w:sz w:val="20"/>
              </w:rPr>
              <w:br/>
            </w:r>
            <w:r>
              <w:rPr>
                <w:b/>
                <w:noProof/>
                <w:sz w:val="20"/>
              </w:rPr>
              <w:t>2025</w:t>
            </w:r>
          </w:p>
        </w:tc>
        <w:tc>
          <w:tcPr>
            <w:tcW w:w="839" w:type="dxa"/>
            <w:shd w:val="clear" w:color="auto" w:fill="auto"/>
          </w:tcPr>
          <w:p>
            <w:pPr>
              <w:jc w:val="center"/>
              <w:rPr>
                <w:noProof/>
                <w:sz w:val="20"/>
              </w:rPr>
            </w:pPr>
            <w:r>
              <w:rPr>
                <w:noProof/>
                <w:sz w:val="20"/>
              </w:rPr>
              <w:t>Leto</w:t>
            </w:r>
            <w:r>
              <w:rPr>
                <w:noProof/>
                <w:sz w:val="20"/>
              </w:rPr>
              <w:br/>
            </w:r>
            <w:r>
              <w:rPr>
                <w:b/>
                <w:noProof/>
                <w:sz w:val="20"/>
              </w:rPr>
              <w:t>2026</w:t>
            </w:r>
          </w:p>
        </w:tc>
        <w:tc>
          <w:tcPr>
            <w:tcW w:w="801" w:type="dxa"/>
          </w:tcPr>
          <w:p>
            <w:pPr>
              <w:jc w:val="center"/>
              <w:rPr>
                <w:noProof/>
                <w:sz w:val="20"/>
              </w:rPr>
            </w:pPr>
            <w:r>
              <w:rPr>
                <w:noProof/>
                <w:sz w:val="20"/>
              </w:rPr>
              <w:t>Leto</w:t>
            </w:r>
            <w:r>
              <w:rPr>
                <w:noProof/>
                <w:sz w:val="20"/>
              </w:rPr>
              <w:br/>
            </w:r>
            <w:r>
              <w:rPr>
                <w:b/>
                <w:noProof/>
                <w:sz w:val="20"/>
              </w:rPr>
              <w:t>2027</w:t>
            </w:r>
          </w:p>
        </w:tc>
        <w:tc>
          <w:tcPr>
            <w:tcW w:w="1470" w:type="dxa"/>
            <w:vAlign w:val="center"/>
          </w:tcPr>
          <w:p>
            <w:pPr>
              <w:jc w:val="center"/>
              <w:rPr>
                <w:b/>
                <w:noProof/>
                <w:sz w:val="20"/>
              </w:rPr>
            </w:pPr>
            <w:r>
              <w:rPr>
                <w:b/>
                <w:noProof/>
                <w:sz w:val="20"/>
              </w:rPr>
              <w:t>SKUPAJ</w:t>
            </w:r>
          </w:p>
        </w:tc>
      </w:tr>
      <w:tr>
        <w:trPr>
          <w:trHeight w:val="276"/>
        </w:trPr>
        <w:tc>
          <w:tcPr>
            <w:tcW w:w="2770" w:type="dxa"/>
            <w:vMerge w:val="restart"/>
            <w:vAlign w:val="center"/>
          </w:tcPr>
          <w:p>
            <w:pPr>
              <w:jc w:val="left"/>
              <w:rPr>
                <w:noProof/>
                <w:color w:val="0000FF"/>
              </w:rPr>
            </w:pPr>
            <w:r>
              <w:rPr>
                <w:noProof/>
                <w:sz w:val="20"/>
              </w:rPr>
              <w:t>Naslov 1: Odhodki za zaposlene</w:t>
            </w:r>
          </w:p>
        </w:tc>
        <w:tc>
          <w:tcPr>
            <w:tcW w:w="1357" w:type="dxa"/>
            <w:vAlign w:val="center"/>
          </w:tcPr>
          <w:p>
            <w:pPr>
              <w:spacing w:before="20" w:after="20"/>
              <w:rPr>
                <w:noProof/>
              </w:rPr>
            </w:pPr>
            <w:r>
              <w:rPr>
                <w:noProof/>
                <w:sz w:val="18"/>
              </w:rPr>
              <w:t>obveznosti</w:t>
            </w:r>
          </w:p>
        </w:tc>
        <w:tc>
          <w:tcPr>
            <w:tcW w:w="801" w:type="dxa"/>
            <w:vAlign w:val="center"/>
          </w:tcPr>
          <w:p>
            <w:pPr>
              <w:spacing w:before="20" w:after="20"/>
              <w:jc w:val="center"/>
              <w:rPr>
                <w:noProof/>
                <w:sz w:val="14"/>
              </w:rPr>
            </w:pPr>
            <w:r>
              <w:rPr>
                <w:noProof/>
                <w:sz w:val="14"/>
              </w:rPr>
              <w:t>(1)</w:t>
            </w:r>
          </w:p>
        </w:tc>
        <w:tc>
          <w:tcPr>
            <w:tcW w:w="801" w:type="dxa"/>
          </w:tcPr>
          <w:p>
            <w:pPr>
              <w:spacing w:before="20" w:after="20"/>
              <w:jc w:val="center"/>
              <w:rPr>
                <w:noProof/>
                <w:sz w:val="20"/>
                <w:szCs w:val="20"/>
              </w:rPr>
            </w:pPr>
            <w:r>
              <w:rPr>
                <w:noProof/>
                <w:sz w:val="20"/>
              </w:rPr>
              <w:t>0</w:t>
            </w:r>
          </w:p>
        </w:tc>
        <w:tc>
          <w:tcPr>
            <w:tcW w:w="788" w:type="dxa"/>
          </w:tcPr>
          <w:p>
            <w:pPr>
              <w:spacing w:before="20" w:after="20"/>
              <w:jc w:val="center"/>
              <w:rPr>
                <w:noProof/>
                <w:sz w:val="20"/>
                <w:szCs w:val="20"/>
              </w:rPr>
            </w:pPr>
            <w:r>
              <w:rPr>
                <w:noProof/>
                <w:sz w:val="20"/>
              </w:rPr>
              <w:t>0</w:t>
            </w:r>
          </w:p>
        </w:tc>
        <w:tc>
          <w:tcPr>
            <w:tcW w:w="840" w:type="dxa"/>
          </w:tcPr>
          <w:p>
            <w:pPr>
              <w:spacing w:before="20" w:after="20"/>
              <w:jc w:val="center"/>
              <w:rPr>
                <w:noProof/>
                <w:sz w:val="20"/>
                <w:szCs w:val="20"/>
              </w:rPr>
            </w:pPr>
            <w:r>
              <w:rPr>
                <w:noProof/>
                <w:sz w:val="20"/>
              </w:rPr>
              <w:t>0</w:t>
            </w:r>
          </w:p>
        </w:tc>
        <w:tc>
          <w:tcPr>
            <w:tcW w:w="840" w:type="dxa"/>
          </w:tcPr>
          <w:p>
            <w:pPr>
              <w:spacing w:before="20" w:after="20"/>
              <w:jc w:val="right"/>
              <w:rPr>
                <w:noProof/>
                <w:sz w:val="20"/>
                <w:szCs w:val="20"/>
              </w:rPr>
            </w:pPr>
            <w:r>
              <w:rPr>
                <w:noProof/>
                <w:sz w:val="20"/>
              </w:rPr>
              <w:t>0,488</w:t>
            </w:r>
          </w:p>
        </w:tc>
        <w:tc>
          <w:tcPr>
            <w:tcW w:w="840" w:type="dxa"/>
          </w:tcPr>
          <w:p>
            <w:pPr>
              <w:spacing w:before="20" w:after="20"/>
              <w:jc w:val="right"/>
              <w:rPr>
                <w:noProof/>
                <w:sz w:val="20"/>
                <w:szCs w:val="20"/>
              </w:rPr>
            </w:pPr>
            <w:r>
              <w:rPr>
                <w:noProof/>
                <w:sz w:val="20"/>
              </w:rPr>
              <w:t>2,154</w:t>
            </w:r>
          </w:p>
        </w:tc>
        <w:tc>
          <w:tcPr>
            <w:tcW w:w="840" w:type="dxa"/>
          </w:tcPr>
          <w:p>
            <w:pPr>
              <w:spacing w:before="20" w:after="20"/>
              <w:jc w:val="right"/>
              <w:rPr>
                <w:noProof/>
                <w:sz w:val="20"/>
                <w:szCs w:val="20"/>
              </w:rPr>
            </w:pPr>
            <w:r>
              <w:rPr>
                <w:noProof/>
                <w:sz w:val="20"/>
              </w:rPr>
              <w:t>0,337</w:t>
            </w:r>
          </w:p>
        </w:tc>
        <w:tc>
          <w:tcPr>
            <w:tcW w:w="840" w:type="dxa"/>
          </w:tcPr>
          <w:p>
            <w:pPr>
              <w:spacing w:before="20" w:after="20"/>
              <w:jc w:val="center"/>
              <w:rPr>
                <w:noProof/>
                <w:sz w:val="20"/>
                <w:szCs w:val="20"/>
              </w:rPr>
            </w:pPr>
            <w:r>
              <w:rPr>
                <w:noProof/>
                <w:sz w:val="20"/>
              </w:rPr>
              <w:t>0</w:t>
            </w:r>
          </w:p>
        </w:tc>
        <w:tc>
          <w:tcPr>
            <w:tcW w:w="839" w:type="dxa"/>
          </w:tcPr>
          <w:p>
            <w:pPr>
              <w:spacing w:before="20" w:after="20"/>
              <w:jc w:val="center"/>
              <w:rPr>
                <w:noProof/>
                <w:sz w:val="20"/>
                <w:szCs w:val="20"/>
              </w:rPr>
            </w:pPr>
            <w:r>
              <w:rPr>
                <w:noProof/>
                <w:sz w:val="20"/>
              </w:rPr>
              <w:t>0</w:t>
            </w:r>
          </w:p>
        </w:tc>
        <w:tc>
          <w:tcPr>
            <w:tcW w:w="801" w:type="dxa"/>
          </w:tcPr>
          <w:p>
            <w:pPr>
              <w:spacing w:before="20" w:after="20"/>
              <w:jc w:val="center"/>
              <w:rPr>
                <w:noProof/>
                <w:sz w:val="20"/>
                <w:szCs w:val="20"/>
              </w:rPr>
            </w:pPr>
            <w:r>
              <w:rPr>
                <w:noProof/>
                <w:sz w:val="20"/>
              </w:rPr>
              <w:t>0</w:t>
            </w:r>
          </w:p>
        </w:tc>
        <w:tc>
          <w:tcPr>
            <w:tcW w:w="1470" w:type="dxa"/>
          </w:tcPr>
          <w:p>
            <w:pPr>
              <w:spacing w:before="20" w:after="20"/>
              <w:jc w:val="right"/>
              <w:rPr>
                <w:b/>
                <w:noProof/>
                <w:sz w:val="20"/>
                <w:szCs w:val="20"/>
              </w:rPr>
            </w:pPr>
            <w:r>
              <w:rPr>
                <w:noProof/>
                <w:sz w:val="20"/>
              </w:rPr>
              <w:t>2,979</w:t>
            </w:r>
          </w:p>
        </w:tc>
      </w:tr>
      <w:tr>
        <w:trPr>
          <w:trHeight w:val="144"/>
        </w:trPr>
        <w:tc>
          <w:tcPr>
            <w:tcW w:w="2770" w:type="dxa"/>
            <w:vMerge/>
            <w:vAlign w:val="center"/>
          </w:tcPr>
          <w:p>
            <w:pPr>
              <w:jc w:val="left"/>
              <w:rPr>
                <w:noProof/>
                <w:color w:val="0000FF"/>
              </w:rPr>
            </w:pPr>
          </w:p>
        </w:tc>
        <w:tc>
          <w:tcPr>
            <w:tcW w:w="1357" w:type="dxa"/>
            <w:vAlign w:val="center"/>
          </w:tcPr>
          <w:p>
            <w:pPr>
              <w:spacing w:before="20" w:after="20"/>
              <w:rPr>
                <w:noProof/>
                <w:sz w:val="18"/>
              </w:rPr>
            </w:pPr>
            <w:r>
              <w:rPr>
                <w:noProof/>
                <w:sz w:val="18"/>
              </w:rPr>
              <w:t>plačila</w:t>
            </w:r>
          </w:p>
        </w:tc>
        <w:tc>
          <w:tcPr>
            <w:tcW w:w="801" w:type="dxa"/>
            <w:vAlign w:val="center"/>
          </w:tcPr>
          <w:p>
            <w:pPr>
              <w:spacing w:before="20" w:after="20"/>
              <w:jc w:val="center"/>
              <w:rPr>
                <w:noProof/>
                <w:sz w:val="14"/>
              </w:rPr>
            </w:pPr>
            <w:r>
              <w:rPr>
                <w:noProof/>
                <w:sz w:val="14"/>
              </w:rPr>
              <w:t>(2)</w:t>
            </w:r>
          </w:p>
        </w:tc>
        <w:tc>
          <w:tcPr>
            <w:tcW w:w="801" w:type="dxa"/>
          </w:tcPr>
          <w:p>
            <w:pPr>
              <w:spacing w:before="20" w:after="20"/>
              <w:jc w:val="center"/>
              <w:rPr>
                <w:noProof/>
                <w:sz w:val="20"/>
                <w:szCs w:val="20"/>
              </w:rPr>
            </w:pPr>
            <w:r>
              <w:rPr>
                <w:noProof/>
                <w:sz w:val="20"/>
              </w:rPr>
              <w:t>0</w:t>
            </w:r>
          </w:p>
        </w:tc>
        <w:tc>
          <w:tcPr>
            <w:tcW w:w="788" w:type="dxa"/>
          </w:tcPr>
          <w:p>
            <w:pPr>
              <w:spacing w:before="20" w:after="20"/>
              <w:jc w:val="center"/>
              <w:rPr>
                <w:noProof/>
                <w:sz w:val="20"/>
                <w:szCs w:val="20"/>
              </w:rPr>
            </w:pPr>
            <w:r>
              <w:rPr>
                <w:noProof/>
                <w:sz w:val="20"/>
              </w:rPr>
              <w:t>0</w:t>
            </w:r>
          </w:p>
        </w:tc>
        <w:tc>
          <w:tcPr>
            <w:tcW w:w="840" w:type="dxa"/>
          </w:tcPr>
          <w:p>
            <w:pPr>
              <w:spacing w:before="20" w:after="20"/>
              <w:jc w:val="center"/>
              <w:rPr>
                <w:noProof/>
                <w:sz w:val="20"/>
                <w:szCs w:val="20"/>
              </w:rPr>
            </w:pPr>
            <w:r>
              <w:rPr>
                <w:noProof/>
                <w:sz w:val="20"/>
              </w:rPr>
              <w:t>0</w:t>
            </w:r>
          </w:p>
        </w:tc>
        <w:tc>
          <w:tcPr>
            <w:tcW w:w="840" w:type="dxa"/>
          </w:tcPr>
          <w:p>
            <w:pPr>
              <w:spacing w:before="20" w:after="20"/>
              <w:jc w:val="right"/>
              <w:rPr>
                <w:noProof/>
                <w:sz w:val="20"/>
                <w:szCs w:val="20"/>
              </w:rPr>
            </w:pPr>
            <w:r>
              <w:rPr>
                <w:noProof/>
                <w:sz w:val="20"/>
              </w:rPr>
              <w:t>0,488</w:t>
            </w:r>
          </w:p>
        </w:tc>
        <w:tc>
          <w:tcPr>
            <w:tcW w:w="840" w:type="dxa"/>
          </w:tcPr>
          <w:p>
            <w:pPr>
              <w:spacing w:before="20" w:after="20"/>
              <w:jc w:val="right"/>
              <w:rPr>
                <w:noProof/>
                <w:sz w:val="20"/>
                <w:szCs w:val="20"/>
              </w:rPr>
            </w:pPr>
            <w:r>
              <w:rPr>
                <w:noProof/>
                <w:sz w:val="20"/>
              </w:rPr>
              <w:t>2,154</w:t>
            </w:r>
          </w:p>
        </w:tc>
        <w:tc>
          <w:tcPr>
            <w:tcW w:w="840" w:type="dxa"/>
          </w:tcPr>
          <w:p>
            <w:pPr>
              <w:spacing w:before="20" w:after="20"/>
              <w:jc w:val="right"/>
              <w:rPr>
                <w:noProof/>
                <w:sz w:val="20"/>
                <w:szCs w:val="20"/>
              </w:rPr>
            </w:pPr>
            <w:r>
              <w:rPr>
                <w:noProof/>
                <w:sz w:val="20"/>
              </w:rPr>
              <w:t>0,337</w:t>
            </w:r>
          </w:p>
        </w:tc>
        <w:tc>
          <w:tcPr>
            <w:tcW w:w="840" w:type="dxa"/>
          </w:tcPr>
          <w:p>
            <w:pPr>
              <w:spacing w:before="20" w:after="20"/>
              <w:jc w:val="center"/>
              <w:rPr>
                <w:noProof/>
                <w:sz w:val="20"/>
                <w:szCs w:val="20"/>
              </w:rPr>
            </w:pPr>
            <w:r>
              <w:rPr>
                <w:noProof/>
                <w:sz w:val="20"/>
              </w:rPr>
              <w:t>0</w:t>
            </w:r>
          </w:p>
        </w:tc>
        <w:tc>
          <w:tcPr>
            <w:tcW w:w="839" w:type="dxa"/>
          </w:tcPr>
          <w:p>
            <w:pPr>
              <w:spacing w:before="20" w:after="20"/>
              <w:jc w:val="center"/>
              <w:rPr>
                <w:b/>
                <w:noProof/>
                <w:sz w:val="20"/>
                <w:szCs w:val="20"/>
              </w:rPr>
            </w:pPr>
            <w:r>
              <w:rPr>
                <w:noProof/>
                <w:sz w:val="20"/>
              </w:rPr>
              <w:t>0</w:t>
            </w:r>
          </w:p>
        </w:tc>
        <w:tc>
          <w:tcPr>
            <w:tcW w:w="801" w:type="dxa"/>
          </w:tcPr>
          <w:p>
            <w:pPr>
              <w:spacing w:before="20" w:after="20"/>
              <w:jc w:val="center"/>
              <w:rPr>
                <w:b/>
                <w:noProof/>
                <w:sz w:val="20"/>
                <w:szCs w:val="20"/>
              </w:rPr>
            </w:pPr>
            <w:r>
              <w:rPr>
                <w:noProof/>
                <w:sz w:val="20"/>
              </w:rPr>
              <w:t>0</w:t>
            </w:r>
          </w:p>
        </w:tc>
        <w:tc>
          <w:tcPr>
            <w:tcW w:w="1470" w:type="dxa"/>
          </w:tcPr>
          <w:p>
            <w:pPr>
              <w:spacing w:before="20" w:after="20"/>
              <w:jc w:val="right"/>
              <w:rPr>
                <w:b/>
                <w:noProof/>
                <w:sz w:val="20"/>
                <w:szCs w:val="20"/>
              </w:rPr>
            </w:pPr>
            <w:r>
              <w:rPr>
                <w:noProof/>
                <w:sz w:val="20"/>
              </w:rPr>
              <w:t>2,979</w:t>
            </w:r>
          </w:p>
        </w:tc>
      </w:tr>
      <w:tr>
        <w:trPr>
          <w:trHeight w:val="262"/>
        </w:trPr>
        <w:tc>
          <w:tcPr>
            <w:tcW w:w="2770" w:type="dxa"/>
            <w:vMerge w:val="restart"/>
            <w:vAlign w:val="center"/>
          </w:tcPr>
          <w:p>
            <w:pPr>
              <w:jc w:val="left"/>
              <w:rPr>
                <w:noProof/>
                <w:color w:val="0000FF"/>
              </w:rPr>
            </w:pPr>
            <w:r>
              <w:rPr>
                <w:noProof/>
                <w:sz w:val="20"/>
              </w:rPr>
              <w:t>Naslov 2: Infrastruktura in odhodki iz poslovanja</w:t>
            </w:r>
          </w:p>
        </w:tc>
        <w:tc>
          <w:tcPr>
            <w:tcW w:w="1357" w:type="dxa"/>
            <w:vAlign w:val="center"/>
          </w:tcPr>
          <w:p>
            <w:pPr>
              <w:spacing w:before="20" w:after="20"/>
              <w:rPr>
                <w:noProof/>
                <w:sz w:val="18"/>
              </w:rPr>
            </w:pPr>
            <w:r>
              <w:rPr>
                <w:noProof/>
                <w:sz w:val="18"/>
              </w:rPr>
              <w:t>obveznosti</w:t>
            </w:r>
          </w:p>
        </w:tc>
        <w:tc>
          <w:tcPr>
            <w:tcW w:w="801" w:type="dxa"/>
            <w:vAlign w:val="center"/>
          </w:tcPr>
          <w:p>
            <w:pPr>
              <w:spacing w:before="20" w:after="20"/>
              <w:jc w:val="center"/>
              <w:rPr>
                <w:noProof/>
                <w:sz w:val="14"/>
              </w:rPr>
            </w:pPr>
            <w:r>
              <w:rPr>
                <w:noProof/>
                <w:sz w:val="14"/>
              </w:rPr>
              <w:t>(1a)</w:t>
            </w:r>
          </w:p>
        </w:tc>
        <w:tc>
          <w:tcPr>
            <w:tcW w:w="801" w:type="dxa"/>
          </w:tcPr>
          <w:p>
            <w:pPr>
              <w:spacing w:before="20" w:after="20"/>
              <w:jc w:val="center"/>
              <w:rPr>
                <w:noProof/>
                <w:sz w:val="20"/>
                <w:szCs w:val="20"/>
              </w:rPr>
            </w:pPr>
            <w:r>
              <w:rPr>
                <w:noProof/>
                <w:sz w:val="20"/>
              </w:rPr>
              <w:t>0</w:t>
            </w:r>
          </w:p>
        </w:tc>
        <w:tc>
          <w:tcPr>
            <w:tcW w:w="788" w:type="dxa"/>
          </w:tcPr>
          <w:p>
            <w:pPr>
              <w:spacing w:before="20" w:after="20"/>
              <w:jc w:val="center"/>
              <w:rPr>
                <w:noProof/>
                <w:sz w:val="20"/>
                <w:szCs w:val="20"/>
              </w:rPr>
            </w:pPr>
            <w:r>
              <w:rPr>
                <w:noProof/>
                <w:sz w:val="20"/>
              </w:rPr>
              <w:t xml:space="preserve">0 </w:t>
            </w:r>
          </w:p>
        </w:tc>
        <w:tc>
          <w:tcPr>
            <w:tcW w:w="840" w:type="dxa"/>
          </w:tcPr>
          <w:p>
            <w:pPr>
              <w:spacing w:before="20" w:after="20"/>
              <w:jc w:val="center"/>
              <w:rPr>
                <w:noProof/>
                <w:sz w:val="20"/>
                <w:szCs w:val="20"/>
              </w:rPr>
            </w:pPr>
            <w:r>
              <w:rPr>
                <w:noProof/>
                <w:sz w:val="20"/>
              </w:rPr>
              <w:t xml:space="preserve">0 </w:t>
            </w:r>
          </w:p>
        </w:tc>
        <w:tc>
          <w:tcPr>
            <w:tcW w:w="840" w:type="dxa"/>
          </w:tcPr>
          <w:p>
            <w:pPr>
              <w:spacing w:before="20" w:after="20"/>
              <w:jc w:val="right"/>
              <w:rPr>
                <w:noProof/>
                <w:sz w:val="20"/>
                <w:szCs w:val="20"/>
              </w:rPr>
            </w:pPr>
            <w:r>
              <w:rPr>
                <w:noProof/>
                <w:sz w:val="20"/>
              </w:rPr>
              <w:t xml:space="preserve">0,105 </w:t>
            </w:r>
          </w:p>
        </w:tc>
        <w:tc>
          <w:tcPr>
            <w:tcW w:w="840" w:type="dxa"/>
          </w:tcPr>
          <w:p>
            <w:pPr>
              <w:spacing w:before="20" w:after="20"/>
              <w:jc w:val="right"/>
              <w:rPr>
                <w:noProof/>
                <w:sz w:val="20"/>
                <w:szCs w:val="20"/>
              </w:rPr>
            </w:pPr>
            <w:r>
              <w:rPr>
                <w:noProof/>
                <w:sz w:val="20"/>
              </w:rPr>
              <w:t xml:space="preserve">0,390 </w:t>
            </w:r>
          </w:p>
        </w:tc>
        <w:tc>
          <w:tcPr>
            <w:tcW w:w="840" w:type="dxa"/>
          </w:tcPr>
          <w:p>
            <w:pPr>
              <w:spacing w:before="20" w:after="20"/>
              <w:jc w:val="right"/>
              <w:rPr>
                <w:noProof/>
                <w:sz w:val="20"/>
                <w:szCs w:val="20"/>
              </w:rPr>
            </w:pPr>
            <w:r>
              <w:rPr>
                <w:noProof/>
                <w:sz w:val="20"/>
              </w:rPr>
              <w:t xml:space="preserve">0,065 </w:t>
            </w:r>
          </w:p>
        </w:tc>
        <w:tc>
          <w:tcPr>
            <w:tcW w:w="840" w:type="dxa"/>
          </w:tcPr>
          <w:p>
            <w:pPr>
              <w:spacing w:before="20" w:after="20"/>
              <w:jc w:val="center"/>
              <w:rPr>
                <w:noProof/>
                <w:sz w:val="20"/>
                <w:szCs w:val="20"/>
              </w:rPr>
            </w:pPr>
            <w:r>
              <w:rPr>
                <w:noProof/>
                <w:sz w:val="20"/>
              </w:rPr>
              <w:t>0</w:t>
            </w:r>
          </w:p>
        </w:tc>
        <w:tc>
          <w:tcPr>
            <w:tcW w:w="839" w:type="dxa"/>
          </w:tcPr>
          <w:p>
            <w:pPr>
              <w:spacing w:before="20" w:after="20"/>
              <w:jc w:val="center"/>
              <w:rPr>
                <w:noProof/>
                <w:sz w:val="20"/>
                <w:szCs w:val="20"/>
              </w:rPr>
            </w:pPr>
            <w:r>
              <w:rPr>
                <w:noProof/>
                <w:sz w:val="20"/>
              </w:rPr>
              <w:t xml:space="preserve">0 </w:t>
            </w:r>
          </w:p>
        </w:tc>
        <w:tc>
          <w:tcPr>
            <w:tcW w:w="801" w:type="dxa"/>
          </w:tcPr>
          <w:p>
            <w:pPr>
              <w:spacing w:before="20" w:after="20"/>
              <w:jc w:val="center"/>
              <w:rPr>
                <w:noProof/>
                <w:sz w:val="20"/>
                <w:szCs w:val="20"/>
              </w:rPr>
            </w:pPr>
            <w:r>
              <w:rPr>
                <w:noProof/>
                <w:sz w:val="20"/>
              </w:rPr>
              <w:t xml:space="preserve">0 </w:t>
            </w:r>
          </w:p>
        </w:tc>
        <w:tc>
          <w:tcPr>
            <w:tcW w:w="1470" w:type="dxa"/>
          </w:tcPr>
          <w:p>
            <w:pPr>
              <w:spacing w:before="20" w:after="20"/>
              <w:jc w:val="right"/>
              <w:rPr>
                <w:b/>
                <w:noProof/>
                <w:sz w:val="20"/>
                <w:szCs w:val="20"/>
              </w:rPr>
            </w:pPr>
            <w:r>
              <w:rPr>
                <w:noProof/>
                <w:sz w:val="20"/>
              </w:rPr>
              <w:t xml:space="preserve">0,560 </w:t>
            </w:r>
          </w:p>
        </w:tc>
      </w:tr>
      <w:tr>
        <w:trPr>
          <w:trHeight w:val="144"/>
        </w:trPr>
        <w:tc>
          <w:tcPr>
            <w:tcW w:w="2770" w:type="dxa"/>
            <w:vMerge/>
            <w:vAlign w:val="center"/>
          </w:tcPr>
          <w:p>
            <w:pPr>
              <w:jc w:val="left"/>
              <w:rPr>
                <w:noProof/>
                <w:color w:val="0000FF"/>
              </w:rPr>
            </w:pPr>
          </w:p>
        </w:tc>
        <w:tc>
          <w:tcPr>
            <w:tcW w:w="1357" w:type="dxa"/>
            <w:vAlign w:val="center"/>
          </w:tcPr>
          <w:p>
            <w:pPr>
              <w:spacing w:before="20" w:after="20"/>
              <w:rPr>
                <w:noProof/>
                <w:sz w:val="18"/>
              </w:rPr>
            </w:pPr>
            <w:r>
              <w:rPr>
                <w:noProof/>
                <w:sz w:val="18"/>
              </w:rPr>
              <w:t>plačila</w:t>
            </w:r>
          </w:p>
        </w:tc>
        <w:tc>
          <w:tcPr>
            <w:tcW w:w="801" w:type="dxa"/>
            <w:vAlign w:val="center"/>
          </w:tcPr>
          <w:p>
            <w:pPr>
              <w:spacing w:before="20" w:after="20"/>
              <w:jc w:val="center"/>
              <w:rPr>
                <w:noProof/>
                <w:sz w:val="14"/>
              </w:rPr>
            </w:pPr>
            <w:r>
              <w:rPr>
                <w:noProof/>
                <w:sz w:val="14"/>
              </w:rPr>
              <w:t>(2a)</w:t>
            </w:r>
          </w:p>
        </w:tc>
        <w:tc>
          <w:tcPr>
            <w:tcW w:w="801" w:type="dxa"/>
          </w:tcPr>
          <w:p>
            <w:pPr>
              <w:spacing w:before="20" w:after="20"/>
              <w:jc w:val="center"/>
              <w:rPr>
                <w:noProof/>
                <w:sz w:val="20"/>
                <w:szCs w:val="20"/>
              </w:rPr>
            </w:pPr>
            <w:r>
              <w:rPr>
                <w:noProof/>
                <w:sz w:val="20"/>
              </w:rPr>
              <w:t xml:space="preserve">0 </w:t>
            </w:r>
          </w:p>
        </w:tc>
        <w:tc>
          <w:tcPr>
            <w:tcW w:w="788" w:type="dxa"/>
          </w:tcPr>
          <w:p>
            <w:pPr>
              <w:spacing w:before="20" w:after="20"/>
              <w:jc w:val="center"/>
              <w:rPr>
                <w:noProof/>
                <w:sz w:val="20"/>
                <w:szCs w:val="20"/>
              </w:rPr>
            </w:pPr>
            <w:r>
              <w:rPr>
                <w:noProof/>
                <w:sz w:val="20"/>
              </w:rPr>
              <w:t xml:space="preserve">0 </w:t>
            </w:r>
          </w:p>
        </w:tc>
        <w:tc>
          <w:tcPr>
            <w:tcW w:w="840" w:type="dxa"/>
          </w:tcPr>
          <w:p>
            <w:pPr>
              <w:spacing w:before="20" w:after="20"/>
              <w:jc w:val="center"/>
              <w:rPr>
                <w:noProof/>
                <w:sz w:val="20"/>
                <w:szCs w:val="20"/>
              </w:rPr>
            </w:pPr>
            <w:r>
              <w:rPr>
                <w:noProof/>
                <w:sz w:val="20"/>
              </w:rPr>
              <w:t xml:space="preserve">0 </w:t>
            </w:r>
          </w:p>
        </w:tc>
        <w:tc>
          <w:tcPr>
            <w:tcW w:w="840" w:type="dxa"/>
          </w:tcPr>
          <w:p>
            <w:pPr>
              <w:spacing w:before="20" w:after="20"/>
              <w:jc w:val="right"/>
              <w:rPr>
                <w:noProof/>
                <w:sz w:val="20"/>
                <w:szCs w:val="20"/>
              </w:rPr>
            </w:pPr>
            <w:r>
              <w:rPr>
                <w:noProof/>
                <w:sz w:val="20"/>
              </w:rPr>
              <w:t xml:space="preserve">0,105 </w:t>
            </w:r>
          </w:p>
        </w:tc>
        <w:tc>
          <w:tcPr>
            <w:tcW w:w="840" w:type="dxa"/>
          </w:tcPr>
          <w:p>
            <w:pPr>
              <w:spacing w:before="20" w:after="20"/>
              <w:jc w:val="right"/>
              <w:rPr>
                <w:noProof/>
                <w:sz w:val="20"/>
                <w:szCs w:val="20"/>
              </w:rPr>
            </w:pPr>
            <w:r>
              <w:rPr>
                <w:noProof/>
                <w:sz w:val="20"/>
              </w:rPr>
              <w:t xml:space="preserve">0,390 </w:t>
            </w:r>
          </w:p>
        </w:tc>
        <w:tc>
          <w:tcPr>
            <w:tcW w:w="840" w:type="dxa"/>
          </w:tcPr>
          <w:p>
            <w:pPr>
              <w:spacing w:before="20" w:after="20"/>
              <w:jc w:val="right"/>
              <w:rPr>
                <w:noProof/>
                <w:sz w:val="20"/>
                <w:szCs w:val="20"/>
              </w:rPr>
            </w:pPr>
            <w:r>
              <w:rPr>
                <w:noProof/>
                <w:sz w:val="20"/>
              </w:rPr>
              <w:t xml:space="preserve">0,065 </w:t>
            </w:r>
          </w:p>
        </w:tc>
        <w:tc>
          <w:tcPr>
            <w:tcW w:w="840" w:type="dxa"/>
          </w:tcPr>
          <w:p>
            <w:pPr>
              <w:spacing w:before="20" w:after="20"/>
              <w:jc w:val="center"/>
              <w:rPr>
                <w:noProof/>
                <w:sz w:val="20"/>
                <w:szCs w:val="20"/>
              </w:rPr>
            </w:pPr>
            <w:r>
              <w:rPr>
                <w:noProof/>
                <w:sz w:val="20"/>
              </w:rPr>
              <w:t>0</w:t>
            </w:r>
          </w:p>
        </w:tc>
        <w:tc>
          <w:tcPr>
            <w:tcW w:w="839" w:type="dxa"/>
          </w:tcPr>
          <w:p>
            <w:pPr>
              <w:spacing w:before="20" w:after="20"/>
              <w:jc w:val="center"/>
              <w:rPr>
                <w:b/>
                <w:noProof/>
                <w:sz w:val="20"/>
                <w:szCs w:val="20"/>
              </w:rPr>
            </w:pPr>
            <w:r>
              <w:rPr>
                <w:noProof/>
                <w:sz w:val="20"/>
              </w:rPr>
              <w:t xml:space="preserve">0 </w:t>
            </w:r>
          </w:p>
        </w:tc>
        <w:tc>
          <w:tcPr>
            <w:tcW w:w="801" w:type="dxa"/>
          </w:tcPr>
          <w:p>
            <w:pPr>
              <w:spacing w:before="20" w:after="20"/>
              <w:jc w:val="center"/>
              <w:rPr>
                <w:b/>
                <w:noProof/>
                <w:sz w:val="20"/>
                <w:szCs w:val="20"/>
              </w:rPr>
            </w:pPr>
            <w:r>
              <w:rPr>
                <w:noProof/>
                <w:sz w:val="20"/>
              </w:rPr>
              <w:t xml:space="preserve">0 </w:t>
            </w:r>
          </w:p>
        </w:tc>
        <w:tc>
          <w:tcPr>
            <w:tcW w:w="1470" w:type="dxa"/>
          </w:tcPr>
          <w:p>
            <w:pPr>
              <w:spacing w:before="20" w:after="20"/>
              <w:jc w:val="right"/>
              <w:rPr>
                <w:b/>
                <w:noProof/>
                <w:sz w:val="20"/>
                <w:szCs w:val="20"/>
              </w:rPr>
            </w:pPr>
            <w:r>
              <w:rPr>
                <w:noProof/>
                <w:sz w:val="20"/>
              </w:rPr>
              <w:t xml:space="preserve">0,560 </w:t>
            </w:r>
          </w:p>
        </w:tc>
      </w:tr>
      <w:tr>
        <w:trPr>
          <w:trHeight w:val="318"/>
        </w:trPr>
        <w:tc>
          <w:tcPr>
            <w:tcW w:w="2770" w:type="dxa"/>
            <w:vMerge w:val="restart"/>
            <w:vAlign w:val="center"/>
          </w:tcPr>
          <w:p>
            <w:pPr>
              <w:spacing w:before="60" w:after="60"/>
              <w:jc w:val="left"/>
              <w:rPr>
                <w:noProof/>
                <w:color w:val="0000FF"/>
              </w:rPr>
            </w:pPr>
            <w:r>
              <w:rPr>
                <w:noProof/>
                <w:sz w:val="20"/>
              </w:rPr>
              <w:t>Naslov 3: Odhodki iz poslovanja</w:t>
            </w:r>
          </w:p>
        </w:tc>
        <w:tc>
          <w:tcPr>
            <w:tcW w:w="1357" w:type="dxa"/>
            <w:vAlign w:val="center"/>
          </w:tcPr>
          <w:p>
            <w:pPr>
              <w:spacing w:before="40" w:after="40"/>
              <w:rPr>
                <w:noProof/>
                <w:sz w:val="18"/>
              </w:rPr>
            </w:pPr>
            <w:r>
              <w:rPr>
                <w:noProof/>
                <w:sz w:val="18"/>
              </w:rPr>
              <w:t>obveznosti</w:t>
            </w:r>
          </w:p>
        </w:tc>
        <w:tc>
          <w:tcPr>
            <w:tcW w:w="801" w:type="dxa"/>
            <w:vAlign w:val="center"/>
          </w:tcPr>
          <w:p>
            <w:pPr>
              <w:spacing w:before="40" w:after="40"/>
              <w:jc w:val="center"/>
              <w:rPr>
                <w:noProof/>
                <w:sz w:val="14"/>
              </w:rPr>
            </w:pPr>
            <w:r>
              <w:rPr>
                <w:noProof/>
                <w:sz w:val="14"/>
              </w:rPr>
              <w:t>(3a)</w:t>
            </w:r>
          </w:p>
        </w:tc>
        <w:tc>
          <w:tcPr>
            <w:tcW w:w="801" w:type="dxa"/>
          </w:tcPr>
          <w:p>
            <w:pPr>
              <w:spacing w:before="40" w:after="40"/>
              <w:jc w:val="center"/>
              <w:rPr>
                <w:noProof/>
                <w:sz w:val="20"/>
                <w:szCs w:val="20"/>
              </w:rPr>
            </w:pPr>
            <w:r>
              <w:rPr>
                <w:noProof/>
                <w:sz w:val="20"/>
              </w:rPr>
              <w:t xml:space="preserve">0 </w:t>
            </w:r>
          </w:p>
        </w:tc>
        <w:tc>
          <w:tcPr>
            <w:tcW w:w="788" w:type="dxa"/>
          </w:tcPr>
          <w:p>
            <w:pPr>
              <w:spacing w:before="40" w:after="40"/>
              <w:jc w:val="center"/>
              <w:rPr>
                <w:noProof/>
                <w:sz w:val="20"/>
                <w:szCs w:val="20"/>
              </w:rPr>
            </w:pPr>
            <w:r>
              <w:rPr>
                <w:noProof/>
                <w:sz w:val="20"/>
              </w:rPr>
              <w:t xml:space="preserve">0 </w:t>
            </w:r>
          </w:p>
        </w:tc>
        <w:tc>
          <w:tcPr>
            <w:tcW w:w="840" w:type="dxa"/>
          </w:tcPr>
          <w:p>
            <w:pPr>
              <w:spacing w:before="40" w:after="40"/>
              <w:jc w:val="center"/>
              <w:rPr>
                <w:noProof/>
                <w:sz w:val="20"/>
                <w:szCs w:val="20"/>
              </w:rPr>
            </w:pPr>
            <w:r>
              <w:rPr>
                <w:noProof/>
                <w:sz w:val="20"/>
              </w:rPr>
              <w:t xml:space="preserve">0 </w:t>
            </w:r>
          </w:p>
        </w:tc>
        <w:tc>
          <w:tcPr>
            <w:tcW w:w="840" w:type="dxa"/>
          </w:tcPr>
          <w:p>
            <w:pPr>
              <w:spacing w:before="40" w:after="40"/>
              <w:jc w:val="right"/>
              <w:rPr>
                <w:noProof/>
                <w:sz w:val="20"/>
                <w:szCs w:val="20"/>
              </w:rPr>
            </w:pPr>
            <w:r>
              <w:rPr>
                <w:noProof/>
                <w:sz w:val="20"/>
              </w:rPr>
              <w:t xml:space="preserve">0,183 </w:t>
            </w:r>
          </w:p>
        </w:tc>
        <w:tc>
          <w:tcPr>
            <w:tcW w:w="840" w:type="dxa"/>
          </w:tcPr>
          <w:p>
            <w:pPr>
              <w:spacing w:before="40" w:after="40"/>
              <w:jc w:val="right"/>
              <w:rPr>
                <w:noProof/>
                <w:sz w:val="20"/>
                <w:szCs w:val="20"/>
              </w:rPr>
            </w:pPr>
            <w:r>
              <w:rPr>
                <w:noProof/>
                <w:sz w:val="20"/>
              </w:rPr>
              <w:t xml:space="preserve">2,200 </w:t>
            </w:r>
          </w:p>
        </w:tc>
        <w:tc>
          <w:tcPr>
            <w:tcW w:w="840" w:type="dxa"/>
          </w:tcPr>
          <w:p>
            <w:pPr>
              <w:spacing w:before="40" w:after="40"/>
              <w:jc w:val="center"/>
              <w:rPr>
                <w:noProof/>
                <w:sz w:val="20"/>
                <w:szCs w:val="20"/>
              </w:rPr>
            </w:pPr>
            <w:r>
              <w:rPr>
                <w:noProof/>
                <w:sz w:val="20"/>
              </w:rPr>
              <w:t xml:space="preserve">0 </w:t>
            </w:r>
          </w:p>
        </w:tc>
        <w:tc>
          <w:tcPr>
            <w:tcW w:w="840" w:type="dxa"/>
          </w:tcPr>
          <w:p>
            <w:pPr>
              <w:spacing w:before="40" w:after="40"/>
              <w:jc w:val="center"/>
              <w:rPr>
                <w:noProof/>
                <w:sz w:val="20"/>
                <w:szCs w:val="20"/>
              </w:rPr>
            </w:pPr>
            <w:r>
              <w:rPr>
                <w:noProof/>
                <w:sz w:val="20"/>
              </w:rPr>
              <w:t xml:space="preserve">0 </w:t>
            </w:r>
          </w:p>
        </w:tc>
        <w:tc>
          <w:tcPr>
            <w:tcW w:w="839" w:type="dxa"/>
          </w:tcPr>
          <w:p>
            <w:pPr>
              <w:spacing w:before="40" w:after="40"/>
              <w:jc w:val="center"/>
              <w:rPr>
                <w:noProof/>
                <w:sz w:val="20"/>
                <w:szCs w:val="20"/>
              </w:rPr>
            </w:pPr>
            <w:r>
              <w:rPr>
                <w:noProof/>
                <w:sz w:val="20"/>
              </w:rPr>
              <w:t xml:space="preserve">0 </w:t>
            </w:r>
          </w:p>
        </w:tc>
        <w:tc>
          <w:tcPr>
            <w:tcW w:w="801" w:type="dxa"/>
          </w:tcPr>
          <w:p>
            <w:pPr>
              <w:spacing w:before="40" w:after="40"/>
              <w:jc w:val="center"/>
              <w:rPr>
                <w:noProof/>
                <w:sz w:val="20"/>
                <w:szCs w:val="20"/>
              </w:rPr>
            </w:pPr>
            <w:r>
              <w:rPr>
                <w:noProof/>
                <w:sz w:val="20"/>
              </w:rPr>
              <w:t xml:space="preserve">0 </w:t>
            </w:r>
          </w:p>
        </w:tc>
        <w:tc>
          <w:tcPr>
            <w:tcW w:w="1470" w:type="dxa"/>
          </w:tcPr>
          <w:p>
            <w:pPr>
              <w:spacing w:before="40" w:after="40"/>
              <w:jc w:val="right"/>
              <w:rPr>
                <w:b/>
                <w:noProof/>
                <w:sz w:val="20"/>
                <w:szCs w:val="20"/>
              </w:rPr>
            </w:pPr>
            <w:r>
              <w:rPr>
                <w:noProof/>
                <w:sz w:val="20"/>
              </w:rPr>
              <w:t xml:space="preserve">2,383 </w:t>
            </w:r>
          </w:p>
        </w:tc>
      </w:tr>
      <w:tr>
        <w:trPr>
          <w:trHeight w:val="318"/>
        </w:trPr>
        <w:tc>
          <w:tcPr>
            <w:tcW w:w="2770" w:type="dxa"/>
            <w:vMerge/>
            <w:vAlign w:val="center"/>
          </w:tcPr>
          <w:p>
            <w:pPr>
              <w:spacing w:before="60" w:after="60"/>
              <w:rPr>
                <w:b/>
                <w:noProof/>
                <w:sz w:val="20"/>
              </w:rPr>
            </w:pPr>
          </w:p>
        </w:tc>
        <w:tc>
          <w:tcPr>
            <w:tcW w:w="1357" w:type="dxa"/>
            <w:vAlign w:val="center"/>
          </w:tcPr>
          <w:p>
            <w:pPr>
              <w:spacing w:before="40" w:after="40"/>
              <w:rPr>
                <w:noProof/>
                <w:sz w:val="18"/>
              </w:rPr>
            </w:pPr>
            <w:r>
              <w:rPr>
                <w:noProof/>
                <w:sz w:val="18"/>
              </w:rPr>
              <w:t>plačila</w:t>
            </w:r>
          </w:p>
        </w:tc>
        <w:tc>
          <w:tcPr>
            <w:tcW w:w="801" w:type="dxa"/>
            <w:vAlign w:val="center"/>
          </w:tcPr>
          <w:p>
            <w:pPr>
              <w:spacing w:before="40" w:after="40"/>
              <w:jc w:val="center"/>
              <w:rPr>
                <w:noProof/>
                <w:sz w:val="14"/>
              </w:rPr>
            </w:pPr>
            <w:r>
              <w:rPr>
                <w:noProof/>
                <w:sz w:val="14"/>
              </w:rPr>
              <w:t>(3b)</w:t>
            </w:r>
          </w:p>
        </w:tc>
        <w:tc>
          <w:tcPr>
            <w:tcW w:w="801" w:type="dxa"/>
          </w:tcPr>
          <w:p>
            <w:pPr>
              <w:spacing w:before="40" w:after="40"/>
              <w:jc w:val="center"/>
              <w:rPr>
                <w:noProof/>
                <w:sz w:val="20"/>
                <w:szCs w:val="20"/>
              </w:rPr>
            </w:pPr>
            <w:r>
              <w:rPr>
                <w:noProof/>
                <w:sz w:val="20"/>
              </w:rPr>
              <w:t>0</w:t>
            </w:r>
          </w:p>
        </w:tc>
        <w:tc>
          <w:tcPr>
            <w:tcW w:w="788" w:type="dxa"/>
          </w:tcPr>
          <w:p>
            <w:pPr>
              <w:spacing w:before="40" w:after="40"/>
              <w:jc w:val="center"/>
              <w:rPr>
                <w:noProof/>
                <w:sz w:val="20"/>
                <w:szCs w:val="20"/>
              </w:rPr>
            </w:pPr>
            <w:r>
              <w:rPr>
                <w:noProof/>
                <w:sz w:val="20"/>
              </w:rPr>
              <w:t>0</w:t>
            </w:r>
          </w:p>
        </w:tc>
        <w:tc>
          <w:tcPr>
            <w:tcW w:w="840" w:type="dxa"/>
          </w:tcPr>
          <w:p>
            <w:pPr>
              <w:spacing w:before="40" w:after="40"/>
              <w:jc w:val="center"/>
              <w:rPr>
                <w:noProof/>
                <w:sz w:val="20"/>
                <w:szCs w:val="20"/>
              </w:rPr>
            </w:pPr>
            <w:r>
              <w:rPr>
                <w:noProof/>
                <w:sz w:val="20"/>
              </w:rPr>
              <w:t>0</w:t>
            </w:r>
          </w:p>
        </w:tc>
        <w:tc>
          <w:tcPr>
            <w:tcW w:w="840" w:type="dxa"/>
          </w:tcPr>
          <w:p>
            <w:pPr>
              <w:spacing w:before="40" w:after="40"/>
              <w:jc w:val="right"/>
              <w:rPr>
                <w:noProof/>
                <w:sz w:val="20"/>
                <w:szCs w:val="20"/>
              </w:rPr>
            </w:pPr>
            <w:r>
              <w:rPr>
                <w:noProof/>
                <w:sz w:val="20"/>
              </w:rPr>
              <w:t>0,183</w:t>
            </w:r>
          </w:p>
        </w:tc>
        <w:tc>
          <w:tcPr>
            <w:tcW w:w="840" w:type="dxa"/>
          </w:tcPr>
          <w:p>
            <w:pPr>
              <w:spacing w:before="40" w:after="40"/>
              <w:jc w:val="right"/>
              <w:rPr>
                <w:noProof/>
                <w:sz w:val="20"/>
                <w:szCs w:val="20"/>
              </w:rPr>
            </w:pPr>
            <w:r>
              <w:rPr>
                <w:noProof/>
                <w:sz w:val="20"/>
              </w:rPr>
              <w:t>2,200</w:t>
            </w:r>
          </w:p>
        </w:tc>
        <w:tc>
          <w:tcPr>
            <w:tcW w:w="840" w:type="dxa"/>
          </w:tcPr>
          <w:p>
            <w:pPr>
              <w:spacing w:before="40" w:after="40"/>
              <w:jc w:val="center"/>
              <w:rPr>
                <w:noProof/>
                <w:sz w:val="20"/>
                <w:szCs w:val="20"/>
              </w:rPr>
            </w:pPr>
            <w:r>
              <w:rPr>
                <w:noProof/>
                <w:sz w:val="20"/>
              </w:rPr>
              <w:t>0</w:t>
            </w:r>
          </w:p>
        </w:tc>
        <w:tc>
          <w:tcPr>
            <w:tcW w:w="840" w:type="dxa"/>
          </w:tcPr>
          <w:p>
            <w:pPr>
              <w:spacing w:before="40" w:after="40"/>
              <w:jc w:val="center"/>
              <w:rPr>
                <w:b/>
                <w:noProof/>
                <w:sz w:val="20"/>
                <w:szCs w:val="20"/>
              </w:rPr>
            </w:pPr>
            <w:r>
              <w:rPr>
                <w:noProof/>
                <w:sz w:val="20"/>
              </w:rPr>
              <w:t>0</w:t>
            </w:r>
          </w:p>
        </w:tc>
        <w:tc>
          <w:tcPr>
            <w:tcW w:w="839" w:type="dxa"/>
          </w:tcPr>
          <w:p>
            <w:pPr>
              <w:spacing w:before="40" w:after="40"/>
              <w:jc w:val="center"/>
              <w:rPr>
                <w:b/>
                <w:noProof/>
                <w:sz w:val="20"/>
                <w:szCs w:val="20"/>
              </w:rPr>
            </w:pPr>
            <w:r>
              <w:rPr>
                <w:noProof/>
                <w:sz w:val="20"/>
              </w:rPr>
              <w:t>0</w:t>
            </w:r>
          </w:p>
        </w:tc>
        <w:tc>
          <w:tcPr>
            <w:tcW w:w="801" w:type="dxa"/>
          </w:tcPr>
          <w:p>
            <w:pPr>
              <w:spacing w:before="40" w:after="40"/>
              <w:jc w:val="center"/>
              <w:rPr>
                <w:b/>
                <w:noProof/>
                <w:sz w:val="20"/>
                <w:szCs w:val="20"/>
              </w:rPr>
            </w:pPr>
            <w:r>
              <w:rPr>
                <w:noProof/>
                <w:sz w:val="20"/>
              </w:rPr>
              <w:t>0</w:t>
            </w:r>
          </w:p>
        </w:tc>
        <w:tc>
          <w:tcPr>
            <w:tcW w:w="1470" w:type="dxa"/>
          </w:tcPr>
          <w:p>
            <w:pPr>
              <w:spacing w:before="40" w:after="40"/>
              <w:jc w:val="right"/>
              <w:rPr>
                <w:b/>
                <w:noProof/>
                <w:sz w:val="20"/>
                <w:szCs w:val="20"/>
              </w:rPr>
            </w:pPr>
            <w:r>
              <w:rPr>
                <w:noProof/>
                <w:sz w:val="20"/>
              </w:rPr>
              <w:t>2,383</w:t>
            </w:r>
          </w:p>
        </w:tc>
      </w:tr>
      <w:tr>
        <w:trPr>
          <w:trHeight w:val="749"/>
        </w:trPr>
        <w:tc>
          <w:tcPr>
            <w:tcW w:w="2770" w:type="dxa"/>
            <w:vAlign w:val="center"/>
          </w:tcPr>
          <w:p>
            <w:pPr>
              <w:jc w:val="center"/>
              <w:rPr>
                <w:noProof/>
              </w:rPr>
            </w:pPr>
            <w:r>
              <w:rPr>
                <w:b/>
                <w:noProof/>
                <w:sz w:val="22"/>
              </w:rPr>
              <w:t>Odobritve za</w:t>
            </w:r>
            <w:r>
              <w:rPr>
                <w:noProof/>
                <w:sz w:val="22"/>
              </w:rPr>
              <w:br/>
            </w:r>
            <w:r>
              <w:rPr>
                <w:b/>
                <w:noProof/>
                <w:sz w:val="22"/>
              </w:rPr>
              <w:t>Europol SKUPAJ</w:t>
            </w:r>
          </w:p>
        </w:tc>
        <w:tc>
          <w:tcPr>
            <w:tcW w:w="1357" w:type="dxa"/>
            <w:vAlign w:val="center"/>
          </w:tcPr>
          <w:p>
            <w:pPr>
              <w:rPr>
                <w:noProof/>
                <w:sz w:val="18"/>
              </w:rPr>
            </w:pPr>
            <w:r>
              <w:rPr>
                <w:noProof/>
                <w:sz w:val="18"/>
              </w:rPr>
              <w:t>(obveznosti skupaj = plačila skupaj)</w:t>
            </w:r>
          </w:p>
        </w:tc>
        <w:tc>
          <w:tcPr>
            <w:tcW w:w="801" w:type="dxa"/>
            <w:vAlign w:val="center"/>
          </w:tcPr>
          <w:p>
            <w:pPr>
              <w:jc w:val="center"/>
              <w:rPr>
                <w:noProof/>
                <w:sz w:val="14"/>
              </w:rPr>
            </w:pPr>
            <w:r>
              <w:rPr>
                <w:noProof/>
                <w:sz w:val="14"/>
              </w:rPr>
              <w:t>=1+1a+3a</w:t>
            </w:r>
          </w:p>
        </w:tc>
        <w:tc>
          <w:tcPr>
            <w:tcW w:w="801" w:type="dxa"/>
          </w:tcPr>
          <w:p>
            <w:pPr>
              <w:spacing w:before="20" w:after="20"/>
              <w:jc w:val="center"/>
              <w:rPr>
                <w:b/>
                <w:noProof/>
                <w:sz w:val="20"/>
                <w:szCs w:val="20"/>
              </w:rPr>
            </w:pPr>
            <w:r>
              <w:rPr>
                <w:b/>
                <w:noProof/>
                <w:sz w:val="20"/>
              </w:rPr>
              <w:t xml:space="preserve">0 </w:t>
            </w:r>
          </w:p>
        </w:tc>
        <w:tc>
          <w:tcPr>
            <w:tcW w:w="788" w:type="dxa"/>
          </w:tcPr>
          <w:p>
            <w:pPr>
              <w:spacing w:before="20" w:after="20"/>
              <w:jc w:val="center"/>
              <w:rPr>
                <w:b/>
                <w:noProof/>
                <w:sz w:val="20"/>
                <w:szCs w:val="20"/>
              </w:rPr>
            </w:pPr>
            <w:r>
              <w:rPr>
                <w:b/>
                <w:noProof/>
                <w:sz w:val="20"/>
              </w:rPr>
              <w:t xml:space="preserve">0 </w:t>
            </w:r>
          </w:p>
        </w:tc>
        <w:tc>
          <w:tcPr>
            <w:tcW w:w="840" w:type="dxa"/>
          </w:tcPr>
          <w:p>
            <w:pPr>
              <w:spacing w:before="20" w:after="20"/>
              <w:jc w:val="center"/>
              <w:rPr>
                <w:b/>
                <w:noProof/>
                <w:sz w:val="20"/>
                <w:szCs w:val="20"/>
              </w:rPr>
            </w:pPr>
            <w:r>
              <w:rPr>
                <w:b/>
                <w:noProof/>
                <w:sz w:val="20"/>
              </w:rPr>
              <w:t xml:space="preserve">0 </w:t>
            </w:r>
          </w:p>
        </w:tc>
        <w:tc>
          <w:tcPr>
            <w:tcW w:w="840" w:type="dxa"/>
          </w:tcPr>
          <w:p>
            <w:pPr>
              <w:spacing w:before="20" w:after="20"/>
              <w:jc w:val="right"/>
              <w:rPr>
                <w:b/>
                <w:noProof/>
                <w:sz w:val="20"/>
                <w:szCs w:val="20"/>
              </w:rPr>
            </w:pPr>
            <w:r>
              <w:rPr>
                <w:b/>
                <w:noProof/>
                <w:sz w:val="20"/>
              </w:rPr>
              <w:t xml:space="preserve">0,776 </w:t>
            </w:r>
          </w:p>
        </w:tc>
        <w:tc>
          <w:tcPr>
            <w:tcW w:w="840" w:type="dxa"/>
          </w:tcPr>
          <w:p>
            <w:pPr>
              <w:spacing w:before="20" w:after="20"/>
              <w:jc w:val="right"/>
              <w:rPr>
                <w:b/>
                <w:noProof/>
                <w:sz w:val="20"/>
                <w:szCs w:val="20"/>
              </w:rPr>
            </w:pPr>
            <w:r>
              <w:rPr>
                <w:b/>
                <w:noProof/>
                <w:sz w:val="20"/>
              </w:rPr>
              <w:t xml:space="preserve">4,744 </w:t>
            </w:r>
          </w:p>
        </w:tc>
        <w:tc>
          <w:tcPr>
            <w:tcW w:w="840" w:type="dxa"/>
          </w:tcPr>
          <w:p>
            <w:pPr>
              <w:spacing w:before="20" w:after="20"/>
              <w:jc w:val="right"/>
              <w:rPr>
                <w:b/>
                <w:noProof/>
                <w:sz w:val="20"/>
                <w:szCs w:val="20"/>
              </w:rPr>
            </w:pPr>
            <w:r>
              <w:rPr>
                <w:b/>
                <w:noProof/>
                <w:sz w:val="20"/>
              </w:rPr>
              <w:t xml:space="preserve">0,402 </w:t>
            </w:r>
          </w:p>
        </w:tc>
        <w:tc>
          <w:tcPr>
            <w:tcW w:w="840" w:type="dxa"/>
          </w:tcPr>
          <w:p>
            <w:pPr>
              <w:spacing w:before="20" w:after="20"/>
              <w:jc w:val="center"/>
              <w:rPr>
                <w:b/>
                <w:noProof/>
                <w:sz w:val="20"/>
                <w:szCs w:val="20"/>
              </w:rPr>
            </w:pPr>
            <w:r>
              <w:rPr>
                <w:b/>
                <w:noProof/>
                <w:sz w:val="20"/>
              </w:rPr>
              <w:t xml:space="preserve">0 </w:t>
            </w:r>
          </w:p>
        </w:tc>
        <w:tc>
          <w:tcPr>
            <w:tcW w:w="839" w:type="dxa"/>
          </w:tcPr>
          <w:p>
            <w:pPr>
              <w:spacing w:before="20" w:after="20"/>
              <w:jc w:val="center"/>
              <w:rPr>
                <w:b/>
                <w:noProof/>
                <w:sz w:val="20"/>
                <w:szCs w:val="20"/>
              </w:rPr>
            </w:pPr>
            <w:r>
              <w:rPr>
                <w:b/>
                <w:noProof/>
                <w:sz w:val="20"/>
              </w:rPr>
              <w:t xml:space="preserve">0 </w:t>
            </w:r>
          </w:p>
        </w:tc>
        <w:tc>
          <w:tcPr>
            <w:tcW w:w="801" w:type="dxa"/>
          </w:tcPr>
          <w:p>
            <w:pPr>
              <w:spacing w:before="20" w:after="20"/>
              <w:jc w:val="center"/>
              <w:rPr>
                <w:b/>
                <w:noProof/>
                <w:sz w:val="20"/>
                <w:szCs w:val="20"/>
              </w:rPr>
            </w:pPr>
            <w:r>
              <w:rPr>
                <w:b/>
                <w:noProof/>
                <w:sz w:val="20"/>
              </w:rPr>
              <w:t xml:space="preserve">0 </w:t>
            </w:r>
          </w:p>
        </w:tc>
        <w:tc>
          <w:tcPr>
            <w:tcW w:w="1470" w:type="dxa"/>
          </w:tcPr>
          <w:p>
            <w:pPr>
              <w:spacing w:before="20" w:after="20"/>
              <w:jc w:val="right"/>
              <w:rPr>
                <w:b/>
                <w:noProof/>
                <w:sz w:val="20"/>
                <w:szCs w:val="20"/>
              </w:rPr>
            </w:pPr>
            <w:r>
              <w:rPr>
                <w:b/>
                <w:noProof/>
                <w:sz w:val="20"/>
              </w:rPr>
              <w:t xml:space="preserve">5,923 </w:t>
            </w:r>
          </w:p>
        </w:tc>
      </w:tr>
    </w:tbl>
    <w:p>
      <w:pPr>
        <w:pStyle w:val="ListDash"/>
        <w:rPr>
          <w:noProof/>
        </w:rPr>
      </w:pPr>
      <w:r>
        <w:rPr>
          <w:noProof/>
        </w:rPr>
        <w:t>Sredstva za evropsko mejno in obalno stražo krijejo izdatke ekipe za potrditev povezav, ki jih MID (detektor več identitet) ustvari pri obstoječih podatkih (približno 14 milijonov vnosov). Ocenjeno je, da bo treba ročno potrditi približno 550 000 povezav.</w:t>
      </w:r>
      <w:r>
        <w:rPr>
          <w:noProof/>
        </w:rPr>
        <w:br/>
        <w:t>Namenska ekipa, ustvarjena za ta namen, se priključi ekipi evropske mejne in obalne straže, ustvarjeni za namene sistema ETIAS, saj gre za funkcijsko podobno nalogo in se s tem izogne stroškom vzpostavitve nove ekipe. Delo naj bi potekalo v letu 2023. Pogodbeno zaposleni uslužbenci se zato zaposlijo tri mesece vnaprej, pogodba pa se jim izteče do dva meseca po zaključku migriranja podatkov. Drugi del potrebnih človeških virov naj se ne bi zaposlil kot pogodbeni uslužbenci, temveč kot najeti svetovalci. To upravičuje stroške iz naslova 3 za leto 2023. Najeti naj bi bili en mesec vnaprej. Podrobnosti glede števila osebja so navedene v nadaljevanju.</w:t>
      </w:r>
    </w:p>
    <w:p>
      <w:pPr>
        <w:pStyle w:val="ListDash"/>
        <w:rPr>
          <w:noProof/>
        </w:rPr>
      </w:pPr>
      <w:r>
        <w:rPr>
          <w:noProof/>
        </w:rPr>
        <w:t xml:space="preserve">Naslov 1 tako vključuje stroške za 20 članov notranjega osebja in za okrepitev upravljavskega in podpornega osebja. </w:t>
      </w:r>
    </w:p>
    <w:p>
      <w:pPr>
        <w:pStyle w:val="ListDash"/>
        <w:rPr>
          <w:noProof/>
        </w:rPr>
      </w:pPr>
      <w:r>
        <w:rPr>
          <w:noProof/>
        </w:rPr>
        <w:t xml:space="preserve">Naslov 2 vključuje dodatne stroške za gostitev 10 nadaljnjih članov osebja izvajalca. </w:t>
      </w:r>
    </w:p>
    <w:p>
      <w:pPr>
        <w:pStyle w:val="ListDash"/>
        <w:rPr>
          <w:noProof/>
        </w:rPr>
      </w:pPr>
      <w:r>
        <w:rPr>
          <w:noProof/>
        </w:rPr>
        <w:t>Naslov 3 vključuje plačilo za 10 nadaljnjih članov osebja izvajalca. Stroški druge vrste niso vključeni.</w:t>
      </w:r>
    </w:p>
    <w:p>
      <w:pPr>
        <w:rPr>
          <w:noProof/>
        </w:rPr>
      </w:pPr>
    </w:p>
    <w:tbl>
      <w:tblPr>
        <w:tblW w:w="1382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0"/>
        <w:gridCol w:w="1357"/>
        <w:gridCol w:w="801"/>
        <w:gridCol w:w="801"/>
        <w:gridCol w:w="788"/>
        <w:gridCol w:w="840"/>
        <w:gridCol w:w="840"/>
        <w:gridCol w:w="840"/>
        <w:gridCol w:w="840"/>
        <w:gridCol w:w="840"/>
        <w:gridCol w:w="839"/>
        <w:gridCol w:w="801"/>
        <w:gridCol w:w="1470"/>
      </w:tblGrid>
      <w:tr>
        <w:trPr>
          <w:trHeight w:val="687"/>
        </w:trPr>
        <w:tc>
          <w:tcPr>
            <w:tcW w:w="2770" w:type="dxa"/>
            <w:vAlign w:val="center"/>
          </w:tcPr>
          <w:p>
            <w:pPr>
              <w:jc w:val="center"/>
              <w:rPr>
                <w:b/>
                <w:noProof/>
              </w:rPr>
            </w:pPr>
            <w:r>
              <w:rPr>
                <w:b/>
                <w:noProof/>
                <w:sz w:val="22"/>
              </w:rPr>
              <w:t>18.02.04 – Europol</w:t>
            </w:r>
          </w:p>
        </w:tc>
        <w:tc>
          <w:tcPr>
            <w:tcW w:w="1357" w:type="dxa"/>
          </w:tcPr>
          <w:p>
            <w:pPr>
              <w:rPr>
                <w:noProof/>
                <w:sz w:val="20"/>
              </w:rPr>
            </w:pPr>
          </w:p>
        </w:tc>
        <w:tc>
          <w:tcPr>
            <w:tcW w:w="801" w:type="dxa"/>
          </w:tcPr>
          <w:p>
            <w:pPr>
              <w:jc w:val="center"/>
              <w:rPr>
                <w:noProof/>
                <w:sz w:val="20"/>
              </w:rPr>
            </w:pPr>
          </w:p>
        </w:tc>
        <w:tc>
          <w:tcPr>
            <w:tcW w:w="801" w:type="dxa"/>
            <w:vAlign w:val="center"/>
          </w:tcPr>
          <w:p>
            <w:pPr>
              <w:jc w:val="center"/>
              <w:rPr>
                <w:noProof/>
                <w:sz w:val="20"/>
              </w:rPr>
            </w:pPr>
            <w:r>
              <w:rPr>
                <w:noProof/>
                <w:sz w:val="20"/>
              </w:rPr>
              <w:t>Leto</w:t>
            </w:r>
            <w:r>
              <w:rPr>
                <w:noProof/>
                <w:sz w:val="22"/>
              </w:rPr>
              <w:br/>
            </w:r>
            <w:r>
              <w:rPr>
                <w:b/>
                <w:noProof/>
                <w:sz w:val="20"/>
              </w:rPr>
              <w:t>2019</w:t>
            </w:r>
          </w:p>
        </w:tc>
        <w:tc>
          <w:tcPr>
            <w:tcW w:w="788" w:type="dxa"/>
            <w:vAlign w:val="center"/>
          </w:tcPr>
          <w:p>
            <w:pPr>
              <w:jc w:val="center"/>
              <w:rPr>
                <w:noProof/>
                <w:sz w:val="20"/>
              </w:rPr>
            </w:pPr>
            <w:r>
              <w:rPr>
                <w:noProof/>
                <w:sz w:val="20"/>
              </w:rPr>
              <w:t>Leto</w:t>
            </w:r>
            <w:r>
              <w:rPr>
                <w:noProof/>
                <w:sz w:val="22"/>
              </w:rPr>
              <w:br/>
            </w:r>
            <w:r>
              <w:rPr>
                <w:b/>
                <w:noProof/>
                <w:sz w:val="20"/>
              </w:rPr>
              <w:t>2020</w:t>
            </w:r>
          </w:p>
        </w:tc>
        <w:tc>
          <w:tcPr>
            <w:tcW w:w="840" w:type="dxa"/>
            <w:vAlign w:val="center"/>
          </w:tcPr>
          <w:p>
            <w:pPr>
              <w:jc w:val="center"/>
              <w:rPr>
                <w:noProof/>
                <w:sz w:val="20"/>
              </w:rPr>
            </w:pPr>
            <w:r>
              <w:rPr>
                <w:noProof/>
                <w:sz w:val="20"/>
              </w:rPr>
              <w:t>Leto</w:t>
            </w:r>
            <w:r>
              <w:rPr>
                <w:noProof/>
                <w:sz w:val="22"/>
              </w:rPr>
              <w:br/>
            </w:r>
            <w:r>
              <w:rPr>
                <w:b/>
                <w:noProof/>
                <w:sz w:val="20"/>
              </w:rPr>
              <w:t>2021</w:t>
            </w:r>
          </w:p>
        </w:tc>
        <w:tc>
          <w:tcPr>
            <w:tcW w:w="840" w:type="dxa"/>
            <w:vAlign w:val="center"/>
          </w:tcPr>
          <w:p>
            <w:pPr>
              <w:jc w:val="center"/>
              <w:rPr>
                <w:noProof/>
                <w:sz w:val="20"/>
              </w:rPr>
            </w:pPr>
            <w:r>
              <w:rPr>
                <w:noProof/>
                <w:sz w:val="20"/>
              </w:rPr>
              <w:t>Leto</w:t>
            </w:r>
            <w:r>
              <w:rPr>
                <w:noProof/>
                <w:sz w:val="22"/>
              </w:rPr>
              <w:br/>
            </w:r>
            <w:r>
              <w:rPr>
                <w:b/>
                <w:noProof/>
                <w:sz w:val="20"/>
              </w:rPr>
              <w:t>2022</w:t>
            </w:r>
          </w:p>
        </w:tc>
        <w:tc>
          <w:tcPr>
            <w:tcW w:w="840" w:type="dxa"/>
            <w:vAlign w:val="center"/>
          </w:tcPr>
          <w:p>
            <w:pPr>
              <w:jc w:val="center"/>
              <w:rPr>
                <w:noProof/>
                <w:sz w:val="20"/>
              </w:rPr>
            </w:pPr>
            <w:r>
              <w:rPr>
                <w:noProof/>
                <w:sz w:val="20"/>
              </w:rPr>
              <w:t>Leto</w:t>
            </w:r>
            <w:r>
              <w:rPr>
                <w:noProof/>
                <w:sz w:val="20"/>
              </w:rPr>
              <w:br/>
            </w:r>
            <w:r>
              <w:rPr>
                <w:b/>
                <w:noProof/>
                <w:sz w:val="20"/>
              </w:rPr>
              <w:t>2023</w:t>
            </w:r>
          </w:p>
        </w:tc>
        <w:tc>
          <w:tcPr>
            <w:tcW w:w="840" w:type="dxa"/>
            <w:shd w:val="clear" w:color="auto" w:fill="auto"/>
            <w:vAlign w:val="center"/>
          </w:tcPr>
          <w:p>
            <w:pPr>
              <w:jc w:val="center"/>
              <w:rPr>
                <w:noProof/>
                <w:sz w:val="20"/>
              </w:rPr>
            </w:pPr>
            <w:r>
              <w:rPr>
                <w:noProof/>
                <w:sz w:val="20"/>
              </w:rPr>
              <w:t>Leto</w:t>
            </w:r>
            <w:r>
              <w:rPr>
                <w:noProof/>
                <w:sz w:val="20"/>
              </w:rPr>
              <w:br/>
            </w:r>
            <w:r>
              <w:rPr>
                <w:b/>
                <w:noProof/>
                <w:sz w:val="20"/>
              </w:rPr>
              <w:t>2024</w:t>
            </w:r>
          </w:p>
        </w:tc>
        <w:tc>
          <w:tcPr>
            <w:tcW w:w="840" w:type="dxa"/>
            <w:shd w:val="clear" w:color="auto" w:fill="auto"/>
            <w:vAlign w:val="center"/>
          </w:tcPr>
          <w:p>
            <w:pPr>
              <w:jc w:val="center"/>
              <w:rPr>
                <w:noProof/>
                <w:sz w:val="20"/>
              </w:rPr>
            </w:pPr>
            <w:r>
              <w:rPr>
                <w:noProof/>
                <w:sz w:val="20"/>
              </w:rPr>
              <w:t>Leto</w:t>
            </w:r>
            <w:r>
              <w:rPr>
                <w:noProof/>
                <w:sz w:val="20"/>
              </w:rPr>
              <w:br/>
            </w:r>
            <w:r>
              <w:rPr>
                <w:b/>
                <w:noProof/>
                <w:sz w:val="20"/>
              </w:rPr>
              <w:t>2025</w:t>
            </w:r>
          </w:p>
        </w:tc>
        <w:tc>
          <w:tcPr>
            <w:tcW w:w="839" w:type="dxa"/>
            <w:shd w:val="clear" w:color="auto" w:fill="auto"/>
          </w:tcPr>
          <w:p>
            <w:pPr>
              <w:jc w:val="center"/>
              <w:rPr>
                <w:noProof/>
                <w:sz w:val="20"/>
              </w:rPr>
            </w:pPr>
            <w:r>
              <w:rPr>
                <w:noProof/>
                <w:sz w:val="20"/>
              </w:rPr>
              <w:t>Leto</w:t>
            </w:r>
            <w:r>
              <w:rPr>
                <w:noProof/>
                <w:sz w:val="20"/>
              </w:rPr>
              <w:br/>
            </w:r>
            <w:r>
              <w:rPr>
                <w:b/>
                <w:noProof/>
                <w:sz w:val="20"/>
              </w:rPr>
              <w:t>2026</w:t>
            </w:r>
          </w:p>
        </w:tc>
        <w:tc>
          <w:tcPr>
            <w:tcW w:w="801" w:type="dxa"/>
          </w:tcPr>
          <w:p>
            <w:pPr>
              <w:jc w:val="center"/>
              <w:rPr>
                <w:noProof/>
                <w:sz w:val="20"/>
              </w:rPr>
            </w:pPr>
            <w:r>
              <w:rPr>
                <w:noProof/>
                <w:sz w:val="20"/>
              </w:rPr>
              <w:t>Leto</w:t>
            </w:r>
            <w:r>
              <w:rPr>
                <w:noProof/>
                <w:sz w:val="20"/>
              </w:rPr>
              <w:br/>
            </w:r>
            <w:r>
              <w:rPr>
                <w:b/>
                <w:noProof/>
                <w:sz w:val="20"/>
              </w:rPr>
              <w:t>2027</w:t>
            </w:r>
          </w:p>
        </w:tc>
        <w:tc>
          <w:tcPr>
            <w:tcW w:w="1470" w:type="dxa"/>
            <w:vAlign w:val="center"/>
          </w:tcPr>
          <w:p>
            <w:pPr>
              <w:jc w:val="center"/>
              <w:rPr>
                <w:b/>
                <w:noProof/>
                <w:sz w:val="20"/>
              </w:rPr>
            </w:pPr>
            <w:r>
              <w:rPr>
                <w:b/>
                <w:noProof/>
                <w:sz w:val="20"/>
              </w:rPr>
              <w:t>SKUPAJ</w:t>
            </w:r>
          </w:p>
        </w:tc>
      </w:tr>
      <w:tr>
        <w:trPr>
          <w:trHeight w:val="276"/>
        </w:trPr>
        <w:tc>
          <w:tcPr>
            <w:tcW w:w="2770" w:type="dxa"/>
            <w:vMerge w:val="restart"/>
            <w:vAlign w:val="center"/>
          </w:tcPr>
          <w:p>
            <w:pPr>
              <w:jc w:val="left"/>
              <w:rPr>
                <w:noProof/>
                <w:color w:val="0000FF"/>
              </w:rPr>
            </w:pPr>
            <w:r>
              <w:rPr>
                <w:noProof/>
                <w:sz w:val="20"/>
              </w:rPr>
              <w:t>Naslov 1: Odhodki za zaposlene</w:t>
            </w:r>
          </w:p>
        </w:tc>
        <w:tc>
          <w:tcPr>
            <w:tcW w:w="1357" w:type="dxa"/>
            <w:vAlign w:val="center"/>
          </w:tcPr>
          <w:p>
            <w:pPr>
              <w:spacing w:before="20" w:after="20"/>
              <w:rPr>
                <w:noProof/>
              </w:rPr>
            </w:pPr>
            <w:r>
              <w:rPr>
                <w:noProof/>
                <w:sz w:val="18"/>
              </w:rPr>
              <w:t>obveznosti</w:t>
            </w:r>
          </w:p>
        </w:tc>
        <w:tc>
          <w:tcPr>
            <w:tcW w:w="801" w:type="dxa"/>
            <w:vAlign w:val="center"/>
          </w:tcPr>
          <w:p>
            <w:pPr>
              <w:spacing w:before="20" w:after="20"/>
              <w:jc w:val="center"/>
              <w:rPr>
                <w:noProof/>
                <w:sz w:val="14"/>
              </w:rPr>
            </w:pPr>
            <w:r>
              <w:rPr>
                <w:noProof/>
                <w:sz w:val="14"/>
              </w:rPr>
              <w:t>(1)</w:t>
            </w:r>
          </w:p>
        </w:tc>
        <w:tc>
          <w:tcPr>
            <w:tcW w:w="801" w:type="dxa"/>
          </w:tcPr>
          <w:p>
            <w:pPr>
              <w:spacing w:before="20" w:after="20"/>
              <w:jc w:val="right"/>
              <w:rPr>
                <w:noProof/>
                <w:sz w:val="20"/>
              </w:rPr>
            </w:pPr>
            <w:r>
              <w:rPr>
                <w:noProof/>
                <w:sz w:val="20"/>
              </w:rPr>
              <w:t xml:space="preserve">0,690 </w:t>
            </w:r>
          </w:p>
        </w:tc>
        <w:tc>
          <w:tcPr>
            <w:tcW w:w="788" w:type="dxa"/>
          </w:tcPr>
          <w:p>
            <w:pPr>
              <w:spacing w:before="20" w:after="20"/>
              <w:jc w:val="right"/>
              <w:rPr>
                <w:noProof/>
                <w:sz w:val="20"/>
              </w:rPr>
            </w:pPr>
            <w:r>
              <w:rPr>
                <w:noProof/>
                <w:sz w:val="20"/>
              </w:rPr>
              <w:t>2,002</w:t>
            </w:r>
          </w:p>
        </w:tc>
        <w:tc>
          <w:tcPr>
            <w:tcW w:w="840" w:type="dxa"/>
          </w:tcPr>
          <w:p>
            <w:pPr>
              <w:spacing w:before="20" w:after="20"/>
              <w:jc w:val="right"/>
              <w:rPr>
                <w:noProof/>
                <w:sz w:val="20"/>
              </w:rPr>
            </w:pPr>
            <w:r>
              <w:rPr>
                <w:noProof/>
                <w:sz w:val="20"/>
              </w:rPr>
              <w:t>2,002</w:t>
            </w:r>
          </w:p>
        </w:tc>
        <w:tc>
          <w:tcPr>
            <w:tcW w:w="840" w:type="dxa"/>
          </w:tcPr>
          <w:p>
            <w:pPr>
              <w:spacing w:before="20" w:after="20"/>
              <w:jc w:val="right"/>
              <w:rPr>
                <w:noProof/>
                <w:sz w:val="20"/>
              </w:rPr>
            </w:pPr>
            <w:r>
              <w:rPr>
                <w:noProof/>
                <w:sz w:val="20"/>
              </w:rPr>
              <w:t xml:space="preserve">1,181 </w:t>
            </w:r>
          </w:p>
        </w:tc>
        <w:tc>
          <w:tcPr>
            <w:tcW w:w="840" w:type="dxa"/>
          </w:tcPr>
          <w:p>
            <w:pPr>
              <w:spacing w:before="20" w:after="20"/>
              <w:jc w:val="right"/>
              <w:rPr>
                <w:noProof/>
                <w:sz w:val="20"/>
              </w:rPr>
            </w:pPr>
            <w:r>
              <w:rPr>
                <w:noProof/>
                <w:sz w:val="20"/>
              </w:rPr>
              <w:t xml:space="preserve">1,181 </w:t>
            </w:r>
          </w:p>
        </w:tc>
        <w:tc>
          <w:tcPr>
            <w:tcW w:w="840" w:type="dxa"/>
          </w:tcPr>
          <w:p>
            <w:pPr>
              <w:spacing w:before="20" w:after="20"/>
              <w:jc w:val="right"/>
              <w:rPr>
                <w:noProof/>
                <w:sz w:val="20"/>
              </w:rPr>
            </w:pPr>
            <w:r>
              <w:rPr>
                <w:noProof/>
                <w:sz w:val="20"/>
              </w:rPr>
              <w:t xml:space="preserve">0,974 </w:t>
            </w:r>
          </w:p>
        </w:tc>
        <w:tc>
          <w:tcPr>
            <w:tcW w:w="840" w:type="dxa"/>
          </w:tcPr>
          <w:p>
            <w:pPr>
              <w:spacing w:before="20" w:after="20"/>
              <w:jc w:val="right"/>
              <w:rPr>
                <w:noProof/>
                <w:sz w:val="20"/>
              </w:rPr>
            </w:pPr>
            <w:r>
              <w:rPr>
                <w:noProof/>
                <w:sz w:val="20"/>
              </w:rPr>
              <w:t>0,974</w:t>
            </w:r>
          </w:p>
        </w:tc>
        <w:tc>
          <w:tcPr>
            <w:tcW w:w="839" w:type="dxa"/>
          </w:tcPr>
          <w:p>
            <w:pPr>
              <w:spacing w:before="20" w:after="20"/>
              <w:jc w:val="right"/>
              <w:rPr>
                <w:noProof/>
                <w:sz w:val="20"/>
              </w:rPr>
            </w:pPr>
            <w:r>
              <w:rPr>
                <w:noProof/>
                <w:sz w:val="20"/>
              </w:rPr>
              <w:t>0,974</w:t>
            </w:r>
          </w:p>
        </w:tc>
        <w:tc>
          <w:tcPr>
            <w:tcW w:w="801" w:type="dxa"/>
          </w:tcPr>
          <w:p>
            <w:pPr>
              <w:spacing w:before="20" w:after="20"/>
              <w:jc w:val="right"/>
              <w:rPr>
                <w:noProof/>
                <w:sz w:val="20"/>
              </w:rPr>
            </w:pPr>
            <w:r>
              <w:rPr>
                <w:noProof/>
                <w:sz w:val="20"/>
              </w:rPr>
              <w:t>0,974</w:t>
            </w:r>
          </w:p>
        </w:tc>
        <w:tc>
          <w:tcPr>
            <w:tcW w:w="1470" w:type="dxa"/>
          </w:tcPr>
          <w:p>
            <w:pPr>
              <w:spacing w:before="20" w:after="20"/>
              <w:jc w:val="right"/>
              <w:rPr>
                <w:b/>
                <w:noProof/>
                <w:sz w:val="20"/>
              </w:rPr>
            </w:pPr>
            <w:r>
              <w:rPr>
                <w:noProof/>
                <w:sz w:val="20"/>
              </w:rPr>
              <w:t>10,952</w:t>
            </w:r>
          </w:p>
        </w:tc>
      </w:tr>
      <w:tr>
        <w:trPr>
          <w:trHeight w:val="144"/>
        </w:trPr>
        <w:tc>
          <w:tcPr>
            <w:tcW w:w="2770" w:type="dxa"/>
            <w:vMerge/>
            <w:vAlign w:val="center"/>
          </w:tcPr>
          <w:p>
            <w:pPr>
              <w:jc w:val="left"/>
              <w:rPr>
                <w:noProof/>
                <w:color w:val="0000FF"/>
              </w:rPr>
            </w:pPr>
          </w:p>
        </w:tc>
        <w:tc>
          <w:tcPr>
            <w:tcW w:w="1357" w:type="dxa"/>
            <w:vAlign w:val="center"/>
          </w:tcPr>
          <w:p>
            <w:pPr>
              <w:spacing w:before="20" w:after="20"/>
              <w:rPr>
                <w:noProof/>
                <w:sz w:val="18"/>
              </w:rPr>
            </w:pPr>
            <w:r>
              <w:rPr>
                <w:noProof/>
                <w:sz w:val="18"/>
              </w:rPr>
              <w:t>plačila</w:t>
            </w:r>
          </w:p>
        </w:tc>
        <w:tc>
          <w:tcPr>
            <w:tcW w:w="801" w:type="dxa"/>
            <w:vAlign w:val="center"/>
          </w:tcPr>
          <w:p>
            <w:pPr>
              <w:spacing w:before="20" w:after="20"/>
              <w:jc w:val="center"/>
              <w:rPr>
                <w:noProof/>
                <w:sz w:val="14"/>
              </w:rPr>
            </w:pPr>
            <w:r>
              <w:rPr>
                <w:noProof/>
                <w:sz w:val="14"/>
              </w:rPr>
              <w:t>(2)</w:t>
            </w:r>
          </w:p>
        </w:tc>
        <w:tc>
          <w:tcPr>
            <w:tcW w:w="801" w:type="dxa"/>
          </w:tcPr>
          <w:p>
            <w:pPr>
              <w:spacing w:before="20" w:after="20"/>
              <w:jc w:val="right"/>
              <w:rPr>
                <w:noProof/>
                <w:sz w:val="20"/>
              </w:rPr>
            </w:pPr>
            <w:r>
              <w:rPr>
                <w:noProof/>
                <w:sz w:val="20"/>
              </w:rPr>
              <w:t xml:space="preserve">0,690 </w:t>
            </w:r>
          </w:p>
        </w:tc>
        <w:tc>
          <w:tcPr>
            <w:tcW w:w="788" w:type="dxa"/>
          </w:tcPr>
          <w:p>
            <w:pPr>
              <w:spacing w:before="20" w:after="20"/>
              <w:jc w:val="right"/>
              <w:rPr>
                <w:noProof/>
                <w:sz w:val="20"/>
              </w:rPr>
            </w:pPr>
            <w:r>
              <w:rPr>
                <w:noProof/>
                <w:sz w:val="20"/>
              </w:rPr>
              <w:t>2,002</w:t>
            </w:r>
          </w:p>
        </w:tc>
        <w:tc>
          <w:tcPr>
            <w:tcW w:w="840" w:type="dxa"/>
          </w:tcPr>
          <w:p>
            <w:pPr>
              <w:spacing w:before="20" w:after="20"/>
              <w:jc w:val="right"/>
              <w:rPr>
                <w:noProof/>
                <w:sz w:val="20"/>
              </w:rPr>
            </w:pPr>
            <w:r>
              <w:rPr>
                <w:noProof/>
                <w:sz w:val="20"/>
              </w:rPr>
              <w:t>2,002</w:t>
            </w:r>
          </w:p>
        </w:tc>
        <w:tc>
          <w:tcPr>
            <w:tcW w:w="840" w:type="dxa"/>
          </w:tcPr>
          <w:p>
            <w:pPr>
              <w:spacing w:before="20" w:after="20"/>
              <w:jc w:val="right"/>
              <w:rPr>
                <w:noProof/>
                <w:sz w:val="20"/>
              </w:rPr>
            </w:pPr>
            <w:r>
              <w:rPr>
                <w:noProof/>
                <w:sz w:val="20"/>
              </w:rPr>
              <w:t xml:space="preserve">1,181 </w:t>
            </w:r>
          </w:p>
        </w:tc>
        <w:tc>
          <w:tcPr>
            <w:tcW w:w="840" w:type="dxa"/>
          </w:tcPr>
          <w:p>
            <w:pPr>
              <w:spacing w:before="20" w:after="20"/>
              <w:jc w:val="right"/>
              <w:rPr>
                <w:noProof/>
                <w:sz w:val="20"/>
              </w:rPr>
            </w:pPr>
            <w:r>
              <w:rPr>
                <w:noProof/>
                <w:sz w:val="20"/>
              </w:rPr>
              <w:t xml:space="preserve">1,181 </w:t>
            </w:r>
          </w:p>
        </w:tc>
        <w:tc>
          <w:tcPr>
            <w:tcW w:w="840" w:type="dxa"/>
          </w:tcPr>
          <w:p>
            <w:pPr>
              <w:spacing w:before="20" w:after="20"/>
              <w:jc w:val="right"/>
              <w:rPr>
                <w:noProof/>
                <w:sz w:val="20"/>
              </w:rPr>
            </w:pPr>
            <w:r>
              <w:rPr>
                <w:noProof/>
                <w:sz w:val="20"/>
              </w:rPr>
              <w:t xml:space="preserve">0,974 </w:t>
            </w:r>
          </w:p>
        </w:tc>
        <w:tc>
          <w:tcPr>
            <w:tcW w:w="840" w:type="dxa"/>
          </w:tcPr>
          <w:p>
            <w:pPr>
              <w:spacing w:before="20" w:after="20"/>
              <w:jc w:val="right"/>
              <w:rPr>
                <w:noProof/>
                <w:sz w:val="20"/>
              </w:rPr>
            </w:pPr>
            <w:r>
              <w:rPr>
                <w:noProof/>
                <w:sz w:val="20"/>
              </w:rPr>
              <w:t>0,974</w:t>
            </w:r>
          </w:p>
        </w:tc>
        <w:tc>
          <w:tcPr>
            <w:tcW w:w="839" w:type="dxa"/>
          </w:tcPr>
          <w:p>
            <w:pPr>
              <w:spacing w:before="20" w:after="20"/>
              <w:jc w:val="right"/>
              <w:rPr>
                <w:b/>
                <w:noProof/>
                <w:sz w:val="20"/>
              </w:rPr>
            </w:pPr>
            <w:r>
              <w:rPr>
                <w:noProof/>
                <w:sz w:val="20"/>
              </w:rPr>
              <w:t>0,974</w:t>
            </w:r>
          </w:p>
        </w:tc>
        <w:tc>
          <w:tcPr>
            <w:tcW w:w="801" w:type="dxa"/>
          </w:tcPr>
          <w:p>
            <w:pPr>
              <w:spacing w:before="20" w:after="20"/>
              <w:jc w:val="right"/>
              <w:rPr>
                <w:b/>
                <w:noProof/>
                <w:sz w:val="20"/>
              </w:rPr>
            </w:pPr>
            <w:r>
              <w:rPr>
                <w:noProof/>
                <w:sz w:val="20"/>
              </w:rPr>
              <w:t>0,974</w:t>
            </w:r>
          </w:p>
        </w:tc>
        <w:tc>
          <w:tcPr>
            <w:tcW w:w="1470" w:type="dxa"/>
          </w:tcPr>
          <w:p>
            <w:pPr>
              <w:spacing w:before="20" w:after="20"/>
              <w:jc w:val="right"/>
              <w:rPr>
                <w:b/>
                <w:noProof/>
                <w:sz w:val="20"/>
              </w:rPr>
            </w:pPr>
            <w:r>
              <w:rPr>
                <w:noProof/>
                <w:sz w:val="20"/>
              </w:rPr>
              <w:t>10,952</w:t>
            </w:r>
          </w:p>
        </w:tc>
      </w:tr>
      <w:tr>
        <w:trPr>
          <w:trHeight w:val="262"/>
        </w:trPr>
        <w:tc>
          <w:tcPr>
            <w:tcW w:w="2770" w:type="dxa"/>
            <w:vMerge w:val="restart"/>
            <w:vAlign w:val="center"/>
          </w:tcPr>
          <w:p>
            <w:pPr>
              <w:jc w:val="left"/>
              <w:rPr>
                <w:noProof/>
                <w:color w:val="0000FF"/>
              </w:rPr>
            </w:pPr>
            <w:r>
              <w:rPr>
                <w:noProof/>
                <w:sz w:val="20"/>
              </w:rPr>
              <w:t>Naslov 2: Infrastruktura in odhodki iz poslovanja</w:t>
            </w:r>
          </w:p>
        </w:tc>
        <w:tc>
          <w:tcPr>
            <w:tcW w:w="1357" w:type="dxa"/>
            <w:vAlign w:val="center"/>
          </w:tcPr>
          <w:p>
            <w:pPr>
              <w:spacing w:before="20" w:after="20"/>
              <w:rPr>
                <w:noProof/>
                <w:sz w:val="18"/>
              </w:rPr>
            </w:pPr>
            <w:r>
              <w:rPr>
                <w:noProof/>
                <w:sz w:val="18"/>
              </w:rPr>
              <w:t>obveznosti</w:t>
            </w:r>
          </w:p>
        </w:tc>
        <w:tc>
          <w:tcPr>
            <w:tcW w:w="801" w:type="dxa"/>
            <w:vAlign w:val="center"/>
          </w:tcPr>
          <w:p>
            <w:pPr>
              <w:spacing w:before="20" w:after="20"/>
              <w:jc w:val="center"/>
              <w:rPr>
                <w:noProof/>
                <w:sz w:val="14"/>
              </w:rPr>
            </w:pPr>
            <w:r>
              <w:rPr>
                <w:noProof/>
                <w:sz w:val="14"/>
              </w:rPr>
              <w:t>(1a)</w:t>
            </w:r>
          </w:p>
        </w:tc>
        <w:tc>
          <w:tcPr>
            <w:tcW w:w="801" w:type="dxa"/>
          </w:tcPr>
          <w:p>
            <w:pPr>
              <w:spacing w:before="20" w:after="20"/>
              <w:jc w:val="center"/>
              <w:rPr>
                <w:noProof/>
                <w:sz w:val="20"/>
              </w:rPr>
            </w:pPr>
            <w:r>
              <w:rPr>
                <w:noProof/>
                <w:sz w:val="20"/>
              </w:rPr>
              <w:t>0</w:t>
            </w:r>
          </w:p>
        </w:tc>
        <w:tc>
          <w:tcPr>
            <w:tcW w:w="788" w:type="dxa"/>
          </w:tcPr>
          <w:p>
            <w:pPr>
              <w:spacing w:before="20" w:after="20"/>
              <w:jc w:val="center"/>
              <w:rPr>
                <w:noProof/>
                <w:sz w:val="20"/>
              </w:rPr>
            </w:pPr>
            <w:r>
              <w:rPr>
                <w:noProof/>
                <w:sz w:val="20"/>
              </w:rPr>
              <w:t>0</w:t>
            </w:r>
          </w:p>
        </w:tc>
        <w:tc>
          <w:tcPr>
            <w:tcW w:w="840" w:type="dxa"/>
          </w:tcPr>
          <w:p>
            <w:pPr>
              <w:spacing w:before="20" w:after="20"/>
              <w:jc w:val="center"/>
              <w:rPr>
                <w:noProof/>
                <w:sz w:val="20"/>
              </w:rPr>
            </w:pPr>
            <w:r>
              <w:rPr>
                <w:noProof/>
                <w:sz w:val="20"/>
              </w:rPr>
              <w:t>0</w:t>
            </w:r>
          </w:p>
        </w:tc>
        <w:tc>
          <w:tcPr>
            <w:tcW w:w="840" w:type="dxa"/>
          </w:tcPr>
          <w:p>
            <w:pPr>
              <w:spacing w:before="20" w:after="20"/>
              <w:jc w:val="center"/>
              <w:rPr>
                <w:noProof/>
                <w:sz w:val="20"/>
              </w:rPr>
            </w:pPr>
            <w:r>
              <w:rPr>
                <w:noProof/>
                <w:sz w:val="20"/>
              </w:rPr>
              <w:t>0</w:t>
            </w:r>
          </w:p>
        </w:tc>
        <w:tc>
          <w:tcPr>
            <w:tcW w:w="840" w:type="dxa"/>
          </w:tcPr>
          <w:p>
            <w:pPr>
              <w:spacing w:before="20" w:after="20"/>
              <w:jc w:val="center"/>
              <w:rPr>
                <w:noProof/>
                <w:sz w:val="20"/>
              </w:rPr>
            </w:pPr>
            <w:r>
              <w:rPr>
                <w:noProof/>
                <w:sz w:val="20"/>
              </w:rPr>
              <w:t>0</w:t>
            </w:r>
          </w:p>
        </w:tc>
        <w:tc>
          <w:tcPr>
            <w:tcW w:w="840" w:type="dxa"/>
          </w:tcPr>
          <w:p>
            <w:pPr>
              <w:spacing w:before="20" w:after="20"/>
              <w:jc w:val="center"/>
              <w:rPr>
                <w:noProof/>
                <w:sz w:val="20"/>
              </w:rPr>
            </w:pPr>
            <w:r>
              <w:rPr>
                <w:noProof/>
                <w:sz w:val="20"/>
              </w:rPr>
              <w:t>0</w:t>
            </w:r>
          </w:p>
        </w:tc>
        <w:tc>
          <w:tcPr>
            <w:tcW w:w="840" w:type="dxa"/>
          </w:tcPr>
          <w:p>
            <w:pPr>
              <w:spacing w:before="20" w:after="20"/>
              <w:jc w:val="center"/>
              <w:rPr>
                <w:noProof/>
                <w:sz w:val="20"/>
              </w:rPr>
            </w:pPr>
            <w:r>
              <w:rPr>
                <w:noProof/>
                <w:sz w:val="20"/>
              </w:rPr>
              <w:t>0</w:t>
            </w:r>
          </w:p>
        </w:tc>
        <w:tc>
          <w:tcPr>
            <w:tcW w:w="839" w:type="dxa"/>
          </w:tcPr>
          <w:p>
            <w:pPr>
              <w:spacing w:before="20" w:after="20"/>
              <w:jc w:val="center"/>
              <w:rPr>
                <w:noProof/>
                <w:sz w:val="20"/>
              </w:rPr>
            </w:pPr>
            <w:r>
              <w:rPr>
                <w:noProof/>
                <w:sz w:val="20"/>
              </w:rPr>
              <w:t>0</w:t>
            </w:r>
          </w:p>
        </w:tc>
        <w:tc>
          <w:tcPr>
            <w:tcW w:w="801" w:type="dxa"/>
          </w:tcPr>
          <w:p>
            <w:pPr>
              <w:spacing w:before="20" w:after="20"/>
              <w:jc w:val="center"/>
              <w:rPr>
                <w:noProof/>
                <w:sz w:val="20"/>
              </w:rPr>
            </w:pPr>
            <w:r>
              <w:rPr>
                <w:noProof/>
                <w:sz w:val="20"/>
              </w:rPr>
              <w:t>0</w:t>
            </w:r>
          </w:p>
        </w:tc>
        <w:tc>
          <w:tcPr>
            <w:tcW w:w="1470" w:type="dxa"/>
          </w:tcPr>
          <w:p>
            <w:pPr>
              <w:spacing w:before="20" w:after="20"/>
              <w:jc w:val="right"/>
              <w:rPr>
                <w:b/>
                <w:noProof/>
                <w:sz w:val="20"/>
              </w:rPr>
            </w:pPr>
            <w:r>
              <w:rPr>
                <w:noProof/>
                <w:sz w:val="20"/>
              </w:rPr>
              <w:t>0</w:t>
            </w:r>
          </w:p>
        </w:tc>
      </w:tr>
      <w:tr>
        <w:trPr>
          <w:trHeight w:val="144"/>
        </w:trPr>
        <w:tc>
          <w:tcPr>
            <w:tcW w:w="2770" w:type="dxa"/>
            <w:vMerge/>
            <w:vAlign w:val="center"/>
          </w:tcPr>
          <w:p>
            <w:pPr>
              <w:jc w:val="left"/>
              <w:rPr>
                <w:noProof/>
                <w:color w:val="0000FF"/>
              </w:rPr>
            </w:pPr>
          </w:p>
        </w:tc>
        <w:tc>
          <w:tcPr>
            <w:tcW w:w="1357" w:type="dxa"/>
            <w:vAlign w:val="center"/>
          </w:tcPr>
          <w:p>
            <w:pPr>
              <w:spacing w:before="20" w:after="20"/>
              <w:rPr>
                <w:noProof/>
                <w:sz w:val="18"/>
              </w:rPr>
            </w:pPr>
            <w:r>
              <w:rPr>
                <w:noProof/>
                <w:sz w:val="18"/>
              </w:rPr>
              <w:t>plačila</w:t>
            </w:r>
          </w:p>
        </w:tc>
        <w:tc>
          <w:tcPr>
            <w:tcW w:w="801" w:type="dxa"/>
            <w:vAlign w:val="center"/>
          </w:tcPr>
          <w:p>
            <w:pPr>
              <w:spacing w:before="20" w:after="20"/>
              <w:jc w:val="center"/>
              <w:rPr>
                <w:noProof/>
                <w:sz w:val="14"/>
              </w:rPr>
            </w:pPr>
            <w:r>
              <w:rPr>
                <w:noProof/>
                <w:sz w:val="14"/>
              </w:rPr>
              <w:t>(2a)</w:t>
            </w:r>
          </w:p>
        </w:tc>
        <w:tc>
          <w:tcPr>
            <w:tcW w:w="801" w:type="dxa"/>
          </w:tcPr>
          <w:p>
            <w:pPr>
              <w:spacing w:before="20" w:after="20"/>
              <w:jc w:val="center"/>
              <w:rPr>
                <w:noProof/>
                <w:sz w:val="20"/>
              </w:rPr>
            </w:pPr>
            <w:r>
              <w:rPr>
                <w:noProof/>
                <w:sz w:val="20"/>
              </w:rPr>
              <w:t>0</w:t>
            </w:r>
          </w:p>
        </w:tc>
        <w:tc>
          <w:tcPr>
            <w:tcW w:w="788" w:type="dxa"/>
          </w:tcPr>
          <w:p>
            <w:pPr>
              <w:spacing w:before="20" w:after="20"/>
              <w:jc w:val="center"/>
              <w:rPr>
                <w:noProof/>
                <w:sz w:val="20"/>
              </w:rPr>
            </w:pPr>
            <w:r>
              <w:rPr>
                <w:noProof/>
                <w:sz w:val="20"/>
              </w:rPr>
              <w:t>0</w:t>
            </w:r>
          </w:p>
        </w:tc>
        <w:tc>
          <w:tcPr>
            <w:tcW w:w="840" w:type="dxa"/>
          </w:tcPr>
          <w:p>
            <w:pPr>
              <w:spacing w:before="20" w:after="20"/>
              <w:jc w:val="center"/>
              <w:rPr>
                <w:noProof/>
                <w:sz w:val="20"/>
              </w:rPr>
            </w:pPr>
            <w:r>
              <w:rPr>
                <w:noProof/>
                <w:sz w:val="20"/>
              </w:rPr>
              <w:t>0</w:t>
            </w:r>
          </w:p>
        </w:tc>
        <w:tc>
          <w:tcPr>
            <w:tcW w:w="840" w:type="dxa"/>
          </w:tcPr>
          <w:p>
            <w:pPr>
              <w:spacing w:before="20" w:after="20"/>
              <w:jc w:val="center"/>
              <w:rPr>
                <w:noProof/>
                <w:sz w:val="20"/>
              </w:rPr>
            </w:pPr>
            <w:r>
              <w:rPr>
                <w:noProof/>
                <w:sz w:val="20"/>
              </w:rPr>
              <w:t>0</w:t>
            </w:r>
          </w:p>
        </w:tc>
        <w:tc>
          <w:tcPr>
            <w:tcW w:w="840" w:type="dxa"/>
          </w:tcPr>
          <w:p>
            <w:pPr>
              <w:spacing w:before="20" w:after="20"/>
              <w:jc w:val="center"/>
              <w:rPr>
                <w:noProof/>
                <w:sz w:val="20"/>
              </w:rPr>
            </w:pPr>
            <w:r>
              <w:rPr>
                <w:noProof/>
                <w:sz w:val="20"/>
              </w:rPr>
              <w:t>0</w:t>
            </w:r>
          </w:p>
        </w:tc>
        <w:tc>
          <w:tcPr>
            <w:tcW w:w="840" w:type="dxa"/>
          </w:tcPr>
          <w:p>
            <w:pPr>
              <w:spacing w:before="20" w:after="20"/>
              <w:jc w:val="center"/>
              <w:rPr>
                <w:noProof/>
                <w:sz w:val="20"/>
              </w:rPr>
            </w:pPr>
            <w:r>
              <w:rPr>
                <w:noProof/>
                <w:sz w:val="20"/>
              </w:rPr>
              <w:t>0</w:t>
            </w:r>
          </w:p>
        </w:tc>
        <w:tc>
          <w:tcPr>
            <w:tcW w:w="840" w:type="dxa"/>
          </w:tcPr>
          <w:p>
            <w:pPr>
              <w:spacing w:before="20" w:after="20"/>
              <w:jc w:val="center"/>
              <w:rPr>
                <w:noProof/>
                <w:sz w:val="20"/>
              </w:rPr>
            </w:pPr>
            <w:r>
              <w:rPr>
                <w:noProof/>
                <w:sz w:val="20"/>
              </w:rPr>
              <w:t>0</w:t>
            </w:r>
          </w:p>
        </w:tc>
        <w:tc>
          <w:tcPr>
            <w:tcW w:w="839" w:type="dxa"/>
          </w:tcPr>
          <w:p>
            <w:pPr>
              <w:spacing w:before="20" w:after="20"/>
              <w:jc w:val="center"/>
              <w:rPr>
                <w:b/>
                <w:noProof/>
                <w:sz w:val="20"/>
              </w:rPr>
            </w:pPr>
            <w:r>
              <w:rPr>
                <w:noProof/>
                <w:sz w:val="20"/>
              </w:rPr>
              <w:t>0</w:t>
            </w:r>
          </w:p>
        </w:tc>
        <w:tc>
          <w:tcPr>
            <w:tcW w:w="801" w:type="dxa"/>
          </w:tcPr>
          <w:p>
            <w:pPr>
              <w:spacing w:before="20" w:after="20"/>
              <w:jc w:val="center"/>
              <w:rPr>
                <w:b/>
                <w:noProof/>
                <w:sz w:val="20"/>
              </w:rPr>
            </w:pPr>
            <w:r>
              <w:rPr>
                <w:noProof/>
                <w:sz w:val="20"/>
              </w:rPr>
              <w:t>0</w:t>
            </w:r>
          </w:p>
        </w:tc>
        <w:tc>
          <w:tcPr>
            <w:tcW w:w="1470" w:type="dxa"/>
          </w:tcPr>
          <w:p>
            <w:pPr>
              <w:spacing w:before="20" w:after="20"/>
              <w:jc w:val="right"/>
              <w:rPr>
                <w:b/>
                <w:noProof/>
                <w:sz w:val="20"/>
              </w:rPr>
            </w:pPr>
            <w:r>
              <w:rPr>
                <w:noProof/>
                <w:sz w:val="20"/>
              </w:rPr>
              <w:t xml:space="preserve">0 </w:t>
            </w:r>
          </w:p>
        </w:tc>
      </w:tr>
      <w:tr>
        <w:trPr>
          <w:trHeight w:val="318"/>
        </w:trPr>
        <w:tc>
          <w:tcPr>
            <w:tcW w:w="2770" w:type="dxa"/>
            <w:vMerge w:val="restart"/>
            <w:vAlign w:val="center"/>
          </w:tcPr>
          <w:p>
            <w:pPr>
              <w:spacing w:before="60" w:after="60"/>
              <w:jc w:val="left"/>
              <w:rPr>
                <w:noProof/>
                <w:color w:val="0000FF"/>
              </w:rPr>
            </w:pPr>
            <w:r>
              <w:rPr>
                <w:noProof/>
                <w:sz w:val="20"/>
              </w:rPr>
              <w:t>Naslov 3: Odhodki iz poslovanja</w:t>
            </w:r>
          </w:p>
        </w:tc>
        <w:tc>
          <w:tcPr>
            <w:tcW w:w="1357" w:type="dxa"/>
            <w:vAlign w:val="center"/>
          </w:tcPr>
          <w:p>
            <w:pPr>
              <w:spacing w:before="40" w:after="40"/>
              <w:rPr>
                <w:noProof/>
                <w:sz w:val="18"/>
              </w:rPr>
            </w:pPr>
            <w:r>
              <w:rPr>
                <w:noProof/>
                <w:sz w:val="18"/>
              </w:rPr>
              <w:t>obveznosti</w:t>
            </w:r>
          </w:p>
        </w:tc>
        <w:tc>
          <w:tcPr>
            <w:tcW w:w="801" w:type="dxa"/>
            <w:vAlign w:val="center"/>
          </w:tcPr>
          <w:p>
            <w:pPr>
              <w:spacing w:before="40" w:after="40"/>
              <w:jc w:val="center"/>
              <w:rPr>
                <w:noProof/>
                <w:sz w:val="14"/>
              </w:rPr>
            </w:pPr>
            <w:r>
              <w:rPr>
                <w:noProof/>
                <w:sz w:val="14"/>
              </w:rPr>
              <w:t>(3a)</w:t>
            </w:r>
          </w:p>
        </w:tc>
        <w:tc>
          <w:tcPr>
            <w:tcW w:w="801" w:type="dxa"/>
          </w:tcPr>
          <w:p>
            <w:pPr>
              <w:spacing w:before="40" w:after="40"/>
              <w:jc w:val="center"/>
              <w:rPr>
                <w:noProof/>
                <w:sz w:val="20"/>
              </w:rPr>
            </w:pPr>
            <w:r>
              <w:rPr>
                <w:noProof/>
                <w:sz w:val="20"/>
              </w:rPr>
              <w:t>0</w:t>
            </w:r>
          </w:p>
        </w:tc>
        <w:tc>
          <w:tcPr>
            <w:tcW w:w="788" w:type="dxa"/>
          </w:tcPr>
          <w:p>
            <w:pPr>
              <w:spacing w:before="40" w:after="40"/>
              <w:jc w:val="right"/>
              <w:rPr>
                <w:noProof/>
                <w:sz w:val="20"/>
              </w:rPr>
            </w:pPr>
            <w:r>
              <w:rPr>
                <w:noProof/>
                <w:sz w:val="20"/>
              </w:rPr>
              <w:t xml:space="preserve">6,380 </w:t>
            </w:r>
          </w:p>
        </w:tc>
        <w:tc>
          <w:tcPr>
            <w:tcW w:w="840" w:type="dxa"/>
          </w:tcPr>
          <w:p>
            <w:pPr>
              <w:spacing w:before="40" w:after="40"/>
              <w:jc w:val="right"/>
              <w:rPr>
                <w:noProof/>
                <w:sz w:val="20"/>
              </w:rPr>
            </w:pPr>
            <w:r>
              <w:rPr>
                <w:noProof/>
                <w:sz w:val="20"/>
              </w:rPr>
              <w:t xml:space="preserve">6,380 </w:t>
            </w:r>
          </w:p>
        </w:tc>
        <w:tc>
          <w:tcPr>
            <w:tcW w:w="840" w:type="dxa"/>
          </w:tcPr>
          <w:p>
            <w:pPr>
              <w:spacing w:before="40" w:after="40"/>
              <w:jc w:val="right"/>
              <w:rPr>
                <w:noProof/>
                <w:sz w:val="20"/>
              </w:rPr>
            </w:pPr>
            <w:r>
              <w:rPr>
                <w:noProof/>
                <w:sz w:val="20"/>
              </w:rPr>
              <w:t xml:space="preserve">2,408 </w:t>
            </w:r>
          </w:p>
        </w:tc>
        <w:tc>
          <w:tcPr>
            <w:tcW w:w="840" w:type="dxa"/>
          </w:tcPr>
          <w:p>
            <w:pPr>
              <w:spacing w:before="40" w:after="40"/>
              <w:jc w:val="right"/>
              <w:rPr>
                <w:noProof/>
                <w:sz w:val="20"/>
              </w:rPr>
            </w:pPr>
            <w:r>
              <w:rPr>
                <w:noProof/>
                <w:sz w:val="20"/>
              </w:rPr>
              <w:t xml:space="preserve">2,408 </w:t>
            </w:r>
          </w:p>
        </w:tc>
        <w:tc>
          <w:tcPr>
            <w:tcW w:w="840" w:type="dxa"/>
          </w:tcPr>
          <w:p>
            <w:pPr>
              <w:spacing w:before="40" w:after="40"/>
              <w:jc w:val="right"/>
              <w:rPr>
                <w:noProof/>
                <w:sz w:val="20"/>
              </w:rPr>
            </w:pPr>
            <w:r>
              <w:rPr>
                <w:noProof/>
                <w:sz w:val="20"/>
              </w:rPr>
              <w:t xml:space="preserve">7,758 </w:t>
            </w:r>
          </w:p>
        </w:tc>
        <w:tc>
          <w:tcPr>
            <w:tcW w:w="840" w:type="dxa"/>
          </w:tcPr>
          <w:p>
            <w:pPr>
              <w:spacing w:before="40" w:after="40"/>
              <w:jc w:val="right"/>
              <w:rPr>
                <w:noProof/>
                <w:sz w:val="20"/>
              </w:rPr>
            </w:pPr>
            <w:r>
              <w:rPr>
                <w:noProof/>
                <w:sz w:val="20"/>
              </w:rPr>
              <w:t xml:space="preserve">7,758 </w:t>
            </w:r>
          </w:p>
        </w:tc>
        <w:tc>
          <w:tcPr>
            <w:tcW w:w="839" w:type="dxa"/>
          </w:tcPr>
          <w:p>
            <w:pPr>
              <w:spacing w:before="40" w:after="40"/>
              <w:jc w:val="right"/>
              <w:rPr>
                <w:noProof/>
                <w:sz w:val="20"/>
              </w:rPr>
            </w:pPr>
            <w:r>
              <w:rPr>
                <w:noProof/>
                <w:sz w:val="20"/>
              </w:rPr>
              <w:t>7,758</w:t>
            </w:r>
          </w:p>
        </w:tc>
        <w:tc>
          <w:tcPr>
            <w:tcW w:w="801" w:type="dxa"/>
          </w:tcPr>
          <w:p>
            <w:pPr>
              <w:spacing w:before="40" w:after="40"/>
              <w:jc w:val="right"/>
              <w:rPr>
                <w:noProof/>
                <w:sz w:val="20"/>
              </w:rPr>
            </w:pPr>
            <w:r>
              <w:rPr>
                <w:noProof/>
                <w:sz w:val="20"/>
              </w:rPr>
              <w:t xml:space="preserve">2,408 </w:t>
            </w:r>
          </w:p>
        </w:tc>
        <w:tc>
          <w:tcPr>
            <w:tcW w:w="1470" w:type="dxa"/>
          </w:tcPr>
          <w:p>
            <w:pPr>
              <w:spacing w:before="40" w:after="40"/>
              <w:jc w:val="right"/>
              <w:rPr>
                <w:b/>
                <w:noProof/>
                <w:sz w:val="20"/>
              </w:rPr>
            </w:pPr>
            <w:r>
              <w:rPr>
                <w:noProof/>
                <w:sz w:val="20"/>
              </w:rPr>
              <w:t>37,908</w:t>
            </w:r>
          </w:p>
        </w:tc>
      </w:tr>
      <w:tr>
        <w:trPr>
          <w:trHeight w:val="318"/>
        </w:trPr>
        <w:tc>
          <w:tcPr>
            <w:tcW w:w="2770" w:type="dxa"/>
            <w:vMerge/>
            <w:vAlign w:val="center"/>
          </w:tcPr>
          <w:p>
            <w:pPr>
              <w:spacing w:before="60" w:after="60"/>
              <w:rPr>
                <w:b/>
                <w:noProof/>
                <w:sz w:val="20"/>
              </w:rPr>
            </w:pPr>
          </w:p>
        </w:tc>
        <w:tc>
          <w:tcPr>
            <w:tcW w:w="1357" w:type="dxa"/>
            <w:vAlign w:val="center"/>
          </w:tcPr>
          <w:p>
            <w:pPr>
              <w:spacing w:before="40" w:after="40"/>
              <w:rPr>
                <w:noProof/>
                <w:sz w:val="18"/>
              </w:rPr>
            </w:pPr>
            <w:r>
              <w:rPr>
                <w:noProof/>
                <w:sz w:val="18"/>
              </w:rPr>
              <w:t>plačila</w:t>
            </w:r>
          </w:p>
        </w:tc>
        <w:tc>
          <w:tcPr>
            <w:tcW w:w="801" w:type="dxa"/>
            <w:vAlign w:val="center"/>
          </w:tcPr>
          <w:p>
            <w:pPr>
              <w:spacing w:before="40" w:after="40"/>
              <w:jc w:val="center"/>
              <w:rPr>
                <w:noProof/>
                <w:sz w:val="14"/>
              </w:rPr>
            </w:pPr>
            <w:r>
              <w:rPr>
                <w:noProof/>
                <w:sz w:val="14"/>
              </w:rPr>
              <w:t>(3b)</w:t>
            </w:r>
          </w:p>
        </w:tc>
        <w:tc>
          <w:tcPr>
            <w:tcW w:w="801" w:type="dxa"/>
          </w:tcPr>
          <w:p>
            <w:pPr>
              <w:spacing w:before="40" w:after="40"/>
              <w:jc w:val="center"/>
              <w:rPr>
                <w:noProof/>
                <w:sz w:val="20"/>
              </w:rPr>
            </w:pPr>
            <w:r>
              <w:rPr>
                <w:noProof/>
                <w:sz w:val="20"/>
              </w:rPr>
              <w:t>0</w:t>
            </w:r>
          </w:p>
        </w:tc>
        <w:tc>
          <w:tcPr>
            <w:tcW w:w="788" w:type="dxa"/>
          </w:tcPr>
          <w:p>
            <w:pPr>
              <w:spacing w:before="40" w:after="40"/>
              <w:jc w:val="right"/>
              <w:rPr>
                <w:noProof/>
                <w:sz w:val="20"/>
              </w:rPr>
            </w:pPr>
            <w:r>
              <w:rPr>
                <w:noProof/>
                <w:sz w:val="20"/>
              </w:rPr>
              <w:t xml:space="preserve">6,380 </w:t>
            </w:r>
          </w:p>
        </w:tc>
        <w:tc>
          <w:tcPr>
            <w:tcW w:w="840" w:type="dxa"/>
          </w:tcPr>
          <w:p>
            <w:pPr>
              <w:spacing w:before="40" w:after="40"/>
              <w:jc w:val="right"/>
              <w:rPr>
                <w:noProof/>
                <w:sz w:val="20"/>
              </w:rPr>
            </w:pPr>
            <w:r>
              <w:rPr>
                <w:noProof/>
                <w:sz w:val="20"/>
              </w:rPr>
              <w:t xml:space="preserve">6,380 </w:t>
            </w:r>
          </w:p>
        </w:tc>
        <w:tc>
          <w:tcPr>
            <w:tcW w:w="840" w:type="dxa"/>
          </w:tcPr>
          <w:p>
            <w:pPr>
              <w:spacing w:before="40" w:after="40"/>
              <w:jc w:val="right"/>
              <w:rPr>
                <w:noProof/>
                <w:sz w:val="20"/>
              </w:rPr>
            </w:pPr>
            <w:r>
              <w:rPr>
                <w:noProof/>
                <w:sz w:val="20"/>
              </w:rPr>
              <w:t xml:space="preserve">2,408 </w:t>
            </w:r>
          </w:p>
        </w:tc>
        <w:tc>
          <w:tcPr>
            <w:tcW w:w="840" w:type="dxa"/>
          </w:tcPr>
          <w:p>
            <w:pPr>
              <w:spacing w:before="40" w:after="40"/>
              <w:jc w:val="right"/>
              <w:rPr>
                <w:noProof/>
                <w:sz w:val="20"/>
              </w:rPr>
            </w:pPr>
            <w:r>
              <w:rPr>
                <w:noProof/>
                <w:sz w:val="20"/>
              </w:rPr>
              <w:t xml:space="preserve">2,408 </w:t>
            </w:r>
          </w:p>
        </w:tc>
        <w:tc>
          <w:tcPr>
            <w:tcW w:w="840" w:type="dxa"/>
          </w:tcPr>
          <w:p>
            <w:pPr>
              <w:spacing w:before="40" w:after="40"/>
              <w:jc w:val="right"/>
              <w:rPr>
                <w:noProof/>
                <w:sz w:val="20"/>
              </w:rPr>
            </w:pPr>
            <w:r>
              <w:rPr>
                <w:noProof/>
                <w:sz w:val="20"/>
              </w:rPr>
              <w:t xml:space="preserve">7,758 </w:t>
            </w:r>
          </w:p>
        </w:tc>
        <w:tc>
          <w:tcPr>
            <w:tcW w:w="840" w:type="dxa"/>
          </w:tcPr>
          <w:p>
            <w:pPr>
              <w:spacing w:before="40" w:after="40"/>
              <w:jc w:val="right"/>
              <w:rPr>
                <w:b/>
                <w:noProof/>
                <w:sz w:val="20"/>
              </w:rPr>
            </w:pPr>
            <w:r>
              <w:rPr>
                <w:noProof/>
                <w:sz w:val="20"/>
              </w:rPr>
              <w:t xml:space="preserve">7,758 </w:t>
            </w:r>
          </w:p>
        </w:tc>
        <w:tc>
          <w:tcPr>
            <w:tcW w:w="839" w:type="dxa"/>
          </w:tcPr>
          <w:p>
            <w:pPr>
              <w:spacing w:before="40" w:after="40"/>
              <w:jc w:val="right"/>
              <w:rPr>
                <w:b/>
                <w:noProof/>
                <w:sz w:val="20"/>
              </w:rPr>
            </w:pPr>
            <w:r>
              <w:rPr>
                <w:noProof/>
                <w:sz w:val="20"/>
              </w:rPr>
              <w:t>7,758</w:t>
            </w:r>
          </w:p>
        </w:tc>
        <w:tc>
          <w:tcPr>
            <w:tcW w:w="801" w:type="dxa"/>
          </w:tcPr>
          <w:p>
            <w:pPr>
              <w:spacing w:before="40" w:after="40"/>
              <w:jc w:val="right"/>
              <w:rPr>
                <w:b/>
                <w:noProof/>
                <w:sz w:val="20"/>
              </w:rPr>
            </w:pPr>
            <w:r>
              <w:rPr>
                <w:noProof/>
                <w:sz w:val="20"/>
              </w:rPr>
              <w:t xml:space="preserve">2,408 </w:t>
            </w:r>
          </w:p>
        </w:tc>
        <w:tc>
          <w:tcPr>
            <w:tcW w:w="1470" w:type="dxa"/>
          </w:tcPr>
          <w:p>
            <w:pPr>
              <w:spacing w:before="40" w:after="40"/>
              <w:jc w:val="right"/>
              <w:rPr>
                <w:b/>
                <w:noProof/>
                <w:sz w:val="20"/>
              </w:rPr>
            </w:pPr>
            <w:r>
              <w:rPr>
                <w:noProof/>
                <w:sz w:val="20"/>
              </w:rPr>
              <w:t>37,908</w:t>
            </w:r>
          </w:p>
        </w:tc>
      </w:tr>
      <w:tr>
        <w:trPr>
          <w:trHeight w:val="749"/>
        </w:trPr>
        <w:tc>
          <w:tcPr>
            <w:tcW w:w="2770" w:type="dxa"/>
            <w:vAlign w:val="center"/>
          </w:tcPr>
          <w:p>
            <w:pPr>
              <w:jc w:val="center"/>
              <w:rPr>
                <w:noProof/>
              </w:rPr>
            </w:pPr>
            <w:r>
              <w:rPr>
                <w:b/>
                <w:noProof/>
                <w:sz w:val="22"/>
              </w:rPr>
              <w:t>Odobritve za</w:t>
            </w:r>
            <w:r>
              <w:rPr>
                <w:noProof/>
                <w:sz w:val="22"/>
              </w:rPr>
              <w:br/>
            </w:r>
            <w:r>
              <w:rPr>
                <w:b/>
                <w:noProof/>
                <w:sz w:val="22"/>
              </w:rPr>
              <w:t>Europol SKUPAJ</w:t>
            </w:r>
          </w:p>
        </w:tc>
        <w:tc>
          <w:tcPr>
            <w:tcW w:w="1357" w:type="dxa"/>
            <w:vAlign w:val="center"/>
          </w:tcPr>
          <w:p>
            <w:pPr>
              <w:rPr>
                <w:noProof/>
                <w:sz w:val="18"/>
              </w:rPr>
            </w:pPr>
            <w:r>
              <w:rPr>
                <w:noProof/>
                <w:sz w:val="18"/>
              </w:rPr>
              <w:t>(obveznosti skupaj = plačila skupaj)</w:t>
            </w:r>
          </w:p>
        </w:tc>
        <w:tc>
          <w:tcPr>
            <w:tcW w:w="801" w:type="dxa"/>
            <w:vAlign w:val="center"/>
          </w:tcPr>
          <w:p>
            <w:pPr>
              <w:jc w:val="center"/>
              <w:rPr>
                <w:noProof/>
                <w:sz w:val="14"/>
              </w:rPr>
            </w:pPr>
            <w:r>
              <w:rPr>
                <w:noProof/>
                <w:sz w:val="14"/>
              </w:rPr>
              <w:t>=1+1a+3a</w:t>
            </w:r>
          </w:p>
        </w:tc>
        <w:tc>
          <w:tcPr>
            <w:tcW w:w="801" w:type="dxa"/>
          </w:tcPr>
          <w:p>
            <w:pPr>
              <w:spacing w:before="20" w:after="20"/>
              <w:jc w:val="center"/>
              <w:rPr>
                <w:noProof/>
                <w:sz w:val="20"/>
              </w:rPr>
            </w:pPr>
            <w:r>
              <w:rPr>
                <w:noProof/>
                <w:sz w:val="20"/>
              </w:rPr>
              <w:t>0,690</w:t>
            </w:r>
          </w:p>
        </w:tc>
        <w:tc>
          <w:tcPr>
            <w:tcW w:w="788" w:type="dxa"/>
          </w:tcPr>
          <w:p>
            <w:pPr>
              <w:spacing w:before="20" w:after="20"/>
              <w:jc w:val="right"/>
              <w:rPr>
                <w:noProof/>
                <w:sz w:val="20"/>
              </w:rPr>
            </w:pPr>
            <w:r>
              <w:rPr>
                <w:noProof/>
                <w:sz w:val="20"/>
              </w:rPr>
              <w:t xml:space="preserve">8,382 </w:t>
            </w:r>
          </w:p>
        </w:tc>
        <w:tc>
          <w:tcPr>
            <w:tcW w:w="840" w:type="dxa"/>
          </w:tcPr>
          <w:p>
            <w:pPr>
              <w:spacing w:before="20" w:after="20"/>
              <w:jc w:val="right"/>
              <w:rPr>
                <w:noProof/>
                <w:sz w:val="20"/>
              </w:rPr>
            </w:pPr>
            <w:r>
              <w:rPr>
                <w:noProof/>
                <w:sz w:val="20"/>
              </w:rPr>
              <w:t>8,382</w:t>
            </w:r>
          </w:p>
        </w:tc>
        <w:tc>
          <w:tcPr>
            <w:tcW w:w="840" w:type="dxa"/>
          </w:tcPr>
          <w:p>
            <w:pPr>
              <w:spacing w:before="20" w:after="20"/>
              <w:jc w:val="right"/>
              <w:rPr>
                <w:noProof/>
                <w:sz w:val="20"/>
              </w:rPr>
            </w:pPr>
            <w:r>
              <w:rPr>
                <w:noProof/>
                <w:sz w:val="20"/>
              </w:rPr>
              <w:t xml:space="preserve">3,589 </w:t>
            </w:r>
          </w:p>
        </w:tc>
        <w:tc>
          <w:tcPr>
            <w:tcW w:w="840" w:type="dxa"/>
          </w:tcPr>
          <w:p>
            <w:pPr>
              <w:spacing w:before="20" w:after="20"/>
              <w:jc w:val="right"/>
              <w:rPr>
                <w:noProof/>
                <w:sz w:val="20"/>
              </w:rPr>
            </w:pPr>
            <w:r>
              <w:rPr>
                <w:noProof/>
                <w:sz w:val="20"/>
              </w:rPr>
              <w:t xml:space="preserve">3,589 </w:t>
            </w:r>
          </w:p>
        </w:tc>
        <w:tc>
          <w:tcPr>
            <w:tcW w:w="840" w:type="dxa"/>
          </w:tcPr>
          <w:p>
            <w:pPr>
              <w:spacing w:before="20" w:after="20"/>
              <w:jc w:val="right"/>
              <w:rPr>
                <w:noProof/>
                <w:sz w:val="20"/>
              </w:rPr>
            </w:pPr>
            <w:r>
              <w:rPr>
                <w:noProof/>
                <w:sz w:val="20"/>
              </w:rPr>
              <w:t xml:space="preserve">3,382 </w:t>
            </w:r>
          </w:p>
        </w:tc>
        <w:tc>
          <w:tcPr>
            <w:tcW w:w="840" w:type="dxa"/>
          </w:tcPr>
          <w:p>
            <w:pPr>
              <w:spacing w:before="20" w:after="20"/>
              <w:jc w:val="right"/>
              <w:rPr>
                <w:noProof/>
                <w:sz w:val="20"/>
              </w:rPr>
            </w:pPr>
            <w:r>
              <w:rPr>
                <w:noProof/>
                <w:sz w:val="20"/>
              </w:rPr>
              <w:t xml:space="preserve">8,732 </w:t>
            </w:r>
          </w:p>
        </w:tc>
        <w:tc>
          <w:tcPr>
            <w:tcW w:w="839" w:type="dxa"/>
          </w:tcPr>
          <w:p>
            <w:pPr>
              <w:spacing w:before="20" w:after="20"/>
              <w:jc w:val="right"/>
              <w:rPr>
                <w:noProof/>
                <w:sz w:val="20"/>
              </w:rPr>
            </w:pPr>
            <w:r>
              <w:rPr>
                <w:noProof/>
                <w:sz w:val="20"/>
              </w:rPr>
              <w:t xml:space="preserve">8,732 </w:t>
            </w:r>
          </w:p>
        </w:tc>
        <w:tc>
          <w:tcPr>
            <w:tcW w:w="801" w:type="dxa"/>
          </w:tcPr>
          <w:p>
            <w:pPr>
              <w:spacing w:before="20" w:after="20"/>
              <w:jc w:val="right"/>
              <w:rPr>
                <w:noProof/>
                <w:sz w:val="20"/>
              </w:rPr>
            </w:pPr>
            <w:r>
              <w:rPr>
                <w:noProof/>
                <w:sz w:val="20"/>
              </w:rPr>
              <w:t>3,382</w:t>
            </w:r>
          </w:p>
        </w:tc>
        <w:tc>
          <w:tcPr>
            <w:tcW w:w="1470" w:type="dxa"/>
          </w:tcPr>
          <w:p>
            <w:pPr>
              <w:spacing w:before="20" w:after="20"/>
              <w:jc w:val="right"/>
              <w:rPr>
                <w:b/>
                <w:noProof/>
                <w:sz w:val="20"/>
              </w:rPr>
            </w:pPr>
            <w:r>
              <w:rPr>
                <w:noProof/>
                <w:sz w:val="20"/>
              </w:rPr>
              <w:t>48,860</w:t>
            </w:r>
          </w:p>
        </w:tc>
      </w:tr>
    </w:tbl>
    <w:p>
      <w:pPr>
        <w:rPr>
          <w:noProof/>
        </w:rPr>
      </w:pPr>
    </w:p>
    <w:p>
      <w:pPr>
        <w:rPr>
          <w:noProof/>
        </w:rPr>
      </w:pPr>
      <w:r>
        <w:rPr>
          <w:noProof/>
        </w:rPr>
        <w:t xml:space="preserve">Odhodki Europola zajemajo posodobitev zmogljivosti Europolovih sistemov IKT za soočanje z obsegom sporočil, ki jih je treba obdelati, in zahtevano povečano stopnjo učinkovitosti (odzivni čas). </w:t>
      </w:r>
    </w:p>
    <w:p>
      <w:pPr>
        <w:rPr>
          <w:noProof/>
        </w:rPr>
      </w:pPr>
      <w:r>
        <w:rPr>
          <w:noProof/>
        </w:rPr>
        <w:t>Naslov 1, odhodki za zaposlene, zajema stroške, povezane z dodatnim osebjem za IKT, ki bo zaposleno za okrepitev Europolovih informacijskih sistemov iz zgoraj opisanih razlogov. Podrobnosti glede razdelitve delovnih mest med začasne uslužbence in pogodbene uslužbence ter njihovega strokovnega znanja so navedene v nadaljevanju.</w:t>
      </w:r>
    </w:p>
    <w:p>
      <w:pPr>
        <w:rPr>
          <w:noProof/>
        </w:rPr>
      </w:pPr>
      <w:r>
        <w:rPr>
          <w:noProof/>
        </w:rPr>
        <w:t xml:space="preserve">Naslov 3 vključuje stroške za strojno in programsko opremo, potrebno za okrepitev Europolovih informacijskih sistemov. Trenutno so Europolovi sistemi IT namenjeni omejeni določeni skupnosti Europola ter njegovih uradnikov za zvezo in preiskovalcev v državah članicah, ki te sisteme uporabljajo za namene analiz in preiskav. Z uvedbo vmesnika QUEST (sistemski vmesnik, ki bo ESP omogočil iskanje po podatkih Europola) na osnovni stopnji zaščite (trenutno so Europolovi informacijski sistemi akreditirani do stopnje EU restricted in EU confidential) bodo Europolovi informacijski sistemi na voljo veliko večji pooblaščeni skupnosti organov kazenskega pregona. Poleg tega povečanega obsega bo tudi sistem ETIAS uporabljal ESP za avtomatsko iskanje podatkov Europola za obdelavo odobritev potovanj. To bo obseg poizvedb po podatkih Europola povečalo s sedanjih približno 107 000 poizvedb na mesec na več kot 100 000 poizvedb na dan, Europolovi informacijski sistemi pa bodo morali biti zaradi izpolnjevanja zahtev uredbe o sistemu ETIAS stalno na voljo in imeti zelo kratek odzivni čas. Večina stroškov je omejena na obdobje pred začetkom delovanja sestavnih delov interoperabilnosti, vendar so potrebne nekatere trajne obveznosti, da se zagotovi visoka in stalna razpoložljivost Europolovih informacijskih sistemov. Poleg tega mora Europol kot uporabnik opraviti nekatera razvojna dela, potrebna za izvajanje sestavnih delov interoperabilnosti. </w:t>
      </w:r>
    </w:p>
    <w:p>
      <w:pPr>
        <w:rPr>
          <w:noProof/>
        </w:rPr>
      </w:pPr>
    </w:p>
    <w:tbl>
      <w:tblPr>
        <w:tblW w:w="1382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0"/>
        <w:gridCol w:w="1357"/>
        <w:gridCol w:w="801"/>
        <w:gridCol w:w="801"/>
        <w:gridCol w:w="788"/>
        <w:gridCol w:w="840"/>
        <w:gridCol w:w="840"/>
        <w:gridCol w:w="840"/>
        <w:gridCol w:w="840"/>
        <w:gridCol w:w="840"/>
        <w:gridCol w:w="839"/>
        <w:gridCol w:w="801"/>
        <w:gridCol w:w="1470"/>
      </w:tblGrid>
      <w:tr>
        <w:trPr>
          <w:trHeight w:val="687"/>
        </w:trPr>
        <w:tc>
          <w:tcPr>
            <w:tcW w:w="2770" w:type="dxa"/>
            <w:vAlign w:val="center"/>
          </w:tcPr>
          <w:p>
            <w:pPr>
              <w:jc w:val="center"/>
              <w:rPr>
                <w:b/>
                <w:noProof/>
              </w:rPr>
            </w:pPr>
            <w:r>
              <w:rPr>
                <w:b/>
                <w:noProof/>
                <w:sz w:val="22"/>
              </w:rPr>
              <w:t>18.02.05 – CEPOL</w:t>
            </w:r>
          </w:p>
        </w:tc>
        <w:tc>
          <w:tcPr>
            <w:tcW w:w="1357" w:type="dxa"/>
          </w:tcPr>
          <w:p>
            <w:pPr>
              <w:rPr>
                <w:noProof/>
                <w:sz w:val="20"/>
              </w:rPr>
            </w:pPr>
          </w:p>
        </w:tc>
        <w:tc>
          <w:tcPr>
            <w:tcW w:w="801" w:type="dxa"/>
          </w:tcPr>
          <w:p>
            <w:pPr>
              <w:jc w:val="center"/>
              <w:rPr>
                <w:noProof/>
                <w:sz w:val="20"/>
              </w:rPr>
            </w:pPr>
          </w:p>
        </w:tc>
        <w:tc>
          <w:tcPr>
            <w:tcW w:w="801" w:type="dxa"/>
            <w:vAlign w:val="center"/>
          </w:tcPr>
          <w:p>
            <w:pPr>
              <w:jc w:val="center"/>
              <w:rPr>
                <w:noProof/>
                <w:sz w:val="20"/>
              </w:rPr>
            </w:pPr>
            <w:r>
              <w:rPr>
                <w:noProof/>
                <w:sz w:val="20"/>
              </w:rPr>
              <w:t>Leto</w:t>
            </w:r>
            <w:r>
              <w:rPr>
                <w:noProof/>
                <w:sz w:val="22"/>
              </w:rPr>
              <w:br/>
            </w:r>
            <w:r>
              <w:rPr>
                <w:b/>
                <w:noProof/>
                <w:sz w:val="20"/>
              </w:rPr>
              <w:t>2019</w:t>
            </w:r>
          </w:p>
        </w:tc>
        <w:tc>
          <w:tcPr>
            <w:tcW w:w="788" w:type="dxa"/>
            <w:vAlign w:val="center"/>
          </w:tcPr>
          <w:p>
            <w:pPr>
              <w:jc w:val="center"/>
              <w:rPr>
                <w:noProof/>
                <w:sz w:val="20"/>
              </w:rPr>
            </w:pPr>
            <w:r>
              <w:rPr>
                <w:noProof/>
                <w:sz w:val="20"/>
              </w:rPr>
              <w:t>Leto</w:t>
            </w:r>
            <w:r>
              <w:rPr>
                <w:noProof/>
                <w:sz w:val="22"/>
              </w:rPr>
              <w:br/>
            </w:r>
            <w:r>
              <w:rPr>
                <w:b/>
                <w:noProof/>
                <w:sz w:val="20"/>
              </w:rPr>
              <w:t>2020</w:t>
            </w:r>
          </w:p>
        </w:tc>
        <w:tc>
          <w:tcPr>
            <w:tcW w:w="840" w:type="dxa"/>
            <w:vAlign w:val="center"/>
          </w:tcPr>
          <w:p>
            <w:pPr>
              <w:jc w:val="center"/>
              <w:rPr>
                <w:noProof/>
                <w:sz w:val="20"/>
              </w:rPr>
            </w:pPr>
            <w:r>
              <w:rPr>
                <w:noProof/>
                <w:sz w:val="20"/>
              </w:rPr>
              <w:t>Leto</w:t>
            </w:r>
            <w:r>
              <w:rPr>
                <w:noProof/>
                <w:sz w:val="22"/>
              </w:rPr>
              <w:br/>
            </w:r>
            <w:r>
              <w:rPr>
                <w:b/>
                <w:noProof/>
                <w:sz w:val="20"/>
              </w:rPr>
              <w:t>2021</w:t>
            </w:r>
          </w:p>
        </w:tc>
        <w:tc>
          <w:tcPr>
            <w:tcW w:w="840" w:type="dxa"/>
            <w:vAlign w:val="center"/>
          </w:tcPr>
          <w:p>
            <w:pPr>
              <w:jc w:val="center"/>
              <w:rPr>
                <w:noProof/>
                <w:sz w:val="20"/>
              </w:rPr>
            </w:pPr>
            <w:r>
              <w:rPr>
                <w:noProof/>
                <w:sz w:val="20"/>
              </w:rPr>
              <w:t>Leto</w:t>
            </w:r>
            <w:r>
              <w:rPr>
                <w:noProof/>
                <w:sz w:val="22"/>
              </w:rPr>
              <w:br/>
            </w:r>
            <w:r>
              <w:rPr>
                <w:b/>
                <w:noProof/>
                <w:sz w:val="20"/>
              </w:rPr>
              <w:t>2022</w:t>
            </w:r>
          </w:p>
        </w:tc>
        <w:tc>
          <w:tcPr>
            <w:tcW w:w="840" w:type="dxa"/>
            <w:vAlign w:val="center"/>
          </w:tcPr>
          <w:p>
            <w:pPr>
              <w:jc w:val="center"/>
              <w:rPr>
                <w:noProof/>
                <w:sz w:val="20"/>
              </w:rPr>
            </w:pPr>
            <w:r>
              <w:rPr>
                <w:noProof/>
                <w:sz w:val="20"/>
              </w:rPr>
              <w:t>Leto</w:t>
            </w:r>
            <w:r>
              <w:rPr>
                <w:noProof/>
                <w:sz w:val="20"/>
              </w:rPr>
              <w:br/>
            </w:r>
            <w:r>
              <w:rPr>
                <w:b/>
                <w:noProof/>
                <w:sz w:val="20"/>
              </w:rPr>
              <w:t>2023</w:t>
            </w:r>
          </w:p>
        </w:tc>
        <w:tc>
          <w:tcPr>
            <w:tcW w:w="840" w:type="dxa"/>
            <w:shd w:val="clear" w:color="auto" w:fill="auto"/>
            <w:vAlign w:val="center"/>
          </w:tcPr>
          <w:p>
            <w:pPr>
              <w:jc w:val="center"/>
              <w:rPr>
                <w:noProof/>
                <w:sz w:val="20"/>
              </w:rPr>
            </w:pPr>
            <w:r>
              <w:rPr>
                <w:noProof/>
                <w:sz w:val="20"/>
              </w:rPr>
              <w:t>Leto</w:t>
            </w:r>
            <w:r>
              <w:rPr>
                <w:noProof/>
                <w:sz w:val="20"/>
              </w:rPr>
              <w:br/>
            </w:r>
            <w:r>
              <w:rPr>
                <w:b/>
                <w:noProof/>
                <w:sz w:val="20"/>
              </w:rPr>
              <w:t>2024</w:t>
            </w:r>
          </w:p>
        </w:tc>
        <w:tc>
          <w:tcPr>
            <w:tcW w:w="840" w:type="dxa"/>
            <w:shd w:val="clear" w:color="auto" w:fill="auto"/>
            <w:vAlign w:val="center"/>
          </w:tcPr>
          <w:p>
            <w:pPr>
              <w:jc w:val="center"/>
              <w:rPr>
                <w:noProof/>
                <w:sz w:val="20"/>
              </w:rPr>
            </w:pPr>
            <w:r>
              <w:rPr>
                <w:noProof/>
                <w:sz w:val="20"/>
              </w:rPr>
              <w:t>Leto</w:t>
            </w:r>
            <w:r>
              <w:rPr>
                <w:noProof/>
                <w:sz w:val="20"/>
              </w:rPr>
              <w:br/>
            </w:r>
            <w:r>
              <w:rPr>
                <w:b/>
                <w:noProof/>
                <w:sz w:val="20"/>
              </w:rPr>
              <w:t>2025</w:t>
            </w:r>
          </w:p>
        </w:tc>
        <w:tc>
          <w:tcPr>
            <w:tcW w:w="839" w:type="dxa"/>
            <w:shd w:val="clear" w:color="auto" w:fill="auto"/>
          </w:tcPr>
          <w:p>
            <w:pPr>
              <w:jc w:val="center"/>
              <w:rPr>
                <w:noProof/>
                <w:sz w:val="20"/>
              </w:rPr>
            </w:pPr>
            <w:r>
              <w:rPr>
                <w:noProof/>
                <w:sz w:val="20"/>
              </w:rPr>
              <w:t>Leto</w:t>
            </w:r>
            <w:r>
              <w:rPr>
                <w:noProof/>
                <w:sz w:val="20"/>
              </w:rPr>
              <w:br/>
            </w:r>
            <w:r>
              <w:rPr>
                <w:b/>
                <w:noProof/>
                <w:sz w:val="20"/>
              </w:rPr>
              <w:t>2026</w:t>
            </w:r>
          </w:p>
        </w:tc>
        <w:tc>
          <w:tcPr>
            <w:tcW w:w="801" w:type="dxa"/>
          </w:tcPr>
          <w:p>
            <w:pPr>
              <w:jc w:val="center"/>
              <w:rPr>
                <w:noProof/>
                <w:sz w:val="20"/>
              </w:rPr>
            </w:pPr>
            <w:r>
              <w:rPr>
                <w:noProof/>
                <w:sz w:val="20"/>
              </w:rPr>
              <w:t>Leto</w:t>
            </w:r>
            <w:r>
              <w:rPr>
                <w:noProof/>
                <w:sz w:val="20"/>
              </w:rPr>
              <w:br/>
            </w:r>
            <w:r>
              <w:rPr>
                <w:b/>
                <w:noProof/>
                <w:sz w:val="20"/>
              </w:rPr>
              <w:t>2027</w:t>
            </w:r>
          </w:p>
        </w:tc>
        <w:tc>
          <w:tcPr>
            <w:tcW w:w="1470" w:type="dxa"/>
            <w:vAlign w:val="center"/>
          </w:tcPr>
          <w:p>
            <w:pPr>
              <w:jc w:val="center"/>
              <w:rPr>
                <w:b/>
                <w:noProof/>
                <w:sz w:val="20"/>
              </w:rPr>
            </w:pPr>
            <w:r>
              <w:rPr>
                <w:b/>
                <w:noProof/>
                <w:sz w:val="20"/>
              </w:rPr>
              <w:t>SKUPAJ</w:t>
            </w:r>
          </w:p>
        </w:tc>
      </w:tr>
      <w:tr>
        <w:trPr>
          <w:trHeight w:val="276"/>
        </w:trPr>
        <w:tc>
          <w:tcPr>
            <w:tcW w:w="2770" w:type="dxa"/>
            <w:vMerge w:val="restart"/>
            <w:vAlign w:val="center"/>
          </w:tcPr>
          <w:p>
            <w:pPr>
              <w:jc w:val="left"/>
              <w:rPr>
                <w:noProof/>
                <w:color w:val="0000FF"/>
              </w:rPr>
            </w:pPr>
            <w:r>
              <w:rPr>
                <w:noProof/>
                <w:sz w:val="20"/>
              </w:rPr>
              <w:t>Naslov 1: Odhodki za zaposlene</w:t>
            </w:r>
          </w:p>
        </w:tc>
        <w:tc>
          <w:tcPr>
            <w:tcW w:w="1357" w:type="dxa"/>
            <w:vAlign w:val="center"/>
          </w:tcPr>
          <w:p>
            <w:pPr>
              <w:spacing w:before="20" w:after="20"/>
              <w:rPr>
                <w:noProof/>
              </w:rPr>
            </w:pPr>
            <w:r>
              <w:rPr>
                <w:noProof/>
                <w:sz w:val="18"/>
              </w:rPr>
              <w:t>obveznosti</w:t>
            </w:r>
          </w:p>
        </w:tc>
        <w:tc>
          <w:tcPr>
            <w:tcW w:w="801" w:type="dxa"/>
            <w:vAlign w:val="center"/>
          </w:tcPr>
          <w:p>
            <w:pPr>
              <w:spacing w:before="20" w:after="20"/>
              <w:jc w:val="center"/>
              <w:rPr>
                <w:noProof/>
                <w:sz w:val="14"/>
              </w:rPr>
            </w:pPr>
            <w:r>
              <w:rPr>
                <w:noProof/>
                <w:sz w:val="14"/>
              </w:rPr>
              <w:t>(1)</w:t>
            </w:r>
          </w:p>
        </w:tc>
        <w:tc>
          <w:tcPr>
            <w:tcW w:w="801" w:type="dxa"/>
          </w:tcPr>
          <w:p>
            <w:pPr>
              <w:spacing w:before="20" w:after="20"/>
              <w:jc w:val="center"/>
              <w:rPr>
                <w:noProof/>
                <w:sz w:val="22"/>
              </w:rPr>
            </w:pPr>
            <w:r>
              <w:rPr>
                <w:noProof/>
                <w:sz w:val="22"/>
              </w:rPr>
              <w:t>0</w:t>
            </w:r>
          </w:p>
        </w:tc>
        <w:tc>
          <w:tcPr>
            <w:tcW w:w="788" w:type="dxa"/>
          </w:tcPr>
          <w:p>
            <w:pPr>
              <w:spacing w:before="20" w:after="20"/>
              <w:jc w:val="right"/>
              <w:rPr>
                <w:noProof/>
                <w:sz w:val="22"/>
              </w:rPr>
            </w:pPr>
            <w:r>
              <w:rPr>
                <w:noProof/>
                <w:sz w:val="22"/>
              </w:rPr>
              <w:t>0,104</w:t>
            </w:r>
          </w:p>
        </w:tc>
        <w:tc>
          <w:tcPr>
            <w:tcW w:w="840" w:type="dxa"/>
          </w:tcPr>
          <w:p>
            <w:pPr>
              <w:spacing w:before="20" w:after="20"/>
              <w:jc w:val="right"/>
              <w:rPr>
                <w:noProof/>
                <w:sz w:val="22"/>
              </w:rPr>
            </w:pPr>
            <w:r>
              <w:rPr>
                <w:noProof/>
                <w:sz w:val="22"/>
              </w:rPr>
              <w:t xml:space="preserve">0,208 </w:t>
            </w:r>
          </w:p>
        </w:tc>
        <w:tc>
          <w:tcPr>
            <w:tcW w:w="840" w:type="dxa"/>
          </w:tcPr>
          <w:p>
            <w:pPr>
              <w:spacing w:before="20" w:after="20"/>
              <w:jc w:val="right"/>
              <w:rPr>
                <w:noProof/>
                <w:sz w:val="22"/>
              </w:rPr>
            </w:pPr>
            <w:r>
              <w:rPr>
                <w:noProof/>
                <w:sz w:val="22"/>
              </w:rPr>
              <w:t xml:space="preserve">0,208 </w:t>
            </w:r>
          </w:p>
        </w:tc>
        <w:tc>
          <w:tcPr>
            <w:tcW w:w="840" w:type="dxa"/>
          </w:tcPr>
          <w:p>
            <w:pPr>
              <w:spacing w:before="20" w:after="20"/>
              <w:jc w:val="right"/>
              <w:rPr>
                <w:noProof/>
                <w:sz w:val="22"/>
              </w:rPr>
            </w:pPr>
            <w:r>
              <w:rPr>
                <w:noProof/>
                <w:sz w:val="22"/>
              </w:rPr>
              <w:t xml:space="preserve">0,138 </w:t>
            </w:r>
          </w:p>
        </w:tc>
        <w:tc>
          <w:tcPr>
            <w:tcW w:w="840" w:type="dxa"/>
          </w:tcPr>
          <w:p>
            <w:pPr>
              <w:spacing w:before="20" w:after="20"/>
              <w:jc w:val="right"/>
              <w:rPr>
                <w:noProof/>
                <w:sz w:val="22"/>
              </w:rPr>
            </w:pPr>
            <w:r>
              <w:rPr>
                <w:noProof/>
                <w:sz w:val="22"/>
              </w:rPr>
              <w:t xml:space="preserve">0,138 </w:t>
            </w:r>
          </w:p>
        </w:tc>
        <w:tc>
          <w:tcPr>
            <w:tcW w:w="840" w:type="dxa"/>
          </w:tcPr>
          <w:p>
            <w:pPr>
              <w:spacing w:before="20" w:after="20"/>
              <w:jc w:val="right"/>
              <w:rPr>
                <w:noProof/>
                <w:sz w:val="22"/>
              </w:rPr>
            </w:pPr>
            <w:r>
              <w:rPr>
                <w:noProof/>
                <w:sz w:val="22"/>
              </w:rPr>
              <w:t xml:space="preserve">0,138 </w:t>
            </w:r>
          </w:p>
        </w:tc>
        <w:tc>
          <w:tcPr>
            <w:tcW w:w="839" w:type="dxa"/>
          </w:tcPr>
          <w:p>
            <w:pPr>
              <w:spacing w:before="20" w:after="20"/>
              <w:jc w:val="right"/>
              <w:rPr>
                <w:noProof/>
                <w:sz w:val="22"/>
              </w:rPr>
            </w:pPr>
            <w:r>
              <w:rPr>
                <w:noProof/>
                <w:sz w:val="22"/>
              </w:rPr>
              <w:t xml:space="preserve">0,138 </w:t>
            </w:r>
          </w:p>
        </w:tc>
        <w:tc>
          <w:tcPr>
            <w:tcW w:w="801" w:type="dxa"/>
          </w:tcPr>
          <w:p>
            <w:pPr>
              <w:spacing w:before="20" w:after="20"/>
              <w:jc w:val="right"/>
              <w:rPr>
                <w:noProof/>
                <w:sz w:val="22"/>
              </w:rPr>
            </w:pPr>
            <w:r>
              <w:rPr>
                <w:noProof/>
                <w:sz w:val="22"/>
              </w:rPr>
              <w:t xml:space="preserve">0,138 </w:t>
            </w:r>
          </w:p>
        </w:tc>
        <w:tc>
          <w:tcPr>
            <w:tcW w:w="1470" w:type="dxa"/>
          </w:tcPr>
          <w:p>
            <w:pPr>
              <w:spacing w:before="20" w:after="20"/>
              <w:jc w:val="right"/>
              <w:rPr>
                <w:b/>
                <w:noProof/>
                <w:sz w:val="22"/>
              </w:rPr>
            </w:pPr>
            <w:r>
              <w:rPr>
                <w:noProof/>
                <w:sz w:val="22"/>
              </w:rPr>
              <w:t>1,210</w:t>
            </w:r>
          </w:p>
        </w:tc>
      </w:tr>
      <w:tr>
        <w:trPr>
          <w:trHeight w:val="144"/>
        </w:trPr>
        <w:tc>
          <w:tcPr>
            <w:tcW w:w="2770" w:type="dxa"/>
            <w:vMerge/>
            <w:vAlign w:val="center"/>
          </w:tcPr>
          <w:p>
            <w:pPr>
              <w:jc w:val="left"/>
              <w:rPr>
                <w:noProof/>
                <w:color w:val="0000FF"/>
              </w:rPr>
            </w:pPr>
          </w:p>
        </w:tc>
        <w:tc>
          <w:tcPr>
            <w:tcW w:w="1357" w:type="dxa"/>
            <w:vAlign w:val="center"/>
          </w:tcPr>
          <w:p>
            <w:pPr>
              <w:spacing w:before="20" w:after="20"/>
              <w:rPr>
                <w:noProof/>
                <w:sz w:val="18"/>
              </w:rPr>
            </w:pPr>
            <w:r>
              <w:rPr>
                <w:noProof/>
                <w:sz w:val="18"/>
              </w:rPr>
              <w:t>plačila</w:t>
            </w:r>
          </w:p>
        </w:tc>
        <w:tc>
          <w:tcPr>
            <w:tcW w:w="801" w:type="dxa"/>
            <w:vAlign w:val="center"/>
          </w:tcPr>
          <w:p>
            <w:pPr>
              <w:spacing w:before="20" w:after="20"/>
              <w:jc w:val="center"/>
              <w:rPr>
                <w:noProof/>
                <w:sz w:val="14"/>
              </w:rPr>
            </w:pPr>
            <w:r>
              <w:rPr>
                <w:noProof/>
                <w:sz w:val="14"/>
              </w:rPr>
              <w:t>(2)</w:t>
            </w:r>
          </w:p>
        </w:tc>
        <w:tc>
          <w:tcPr>
            <w:tcW w:w="801" w:type="dxa"/>
          </w:tcPr>
          <w:p>
            <w:pPr>
              <w:spacing w:before="20" w:after="20"/>
              <w:jc w:val="center"/>
              <w:rPr>
                <w:noProof/>
                <w:sz w:val="22"/>
              </w:rPr>
            </w:pPr>
            <w:r>
              <w:rPr>
                <w:noProof/>
              </w:rPr>
              <w:t>0</w:t>
            </w:r>
          </w:p>
        </w:tc>
        <w:tc>
          <w:tcPr>
            <w:tcW w:w="788" w:type="dxa"/>
          </w:tcPr>
          <w:p>
            <w:pPr>
              <w:spacing w:before="20" w:after="20"/>
              <w:jc w:val="right"/>
              <w:rPr>
                <w:noProof/>
                <w:sz w:val="22"/>
              </w:rPr>
            </w:pPr>
            <w:r>
              <w:rPr>
                <w:noProof/>
                <w:sz w:val="22"/>
              </w:rPr>
              <w:t>0,104</w:t>
            </w:r>
          </w:p>
        </w:tc>
        <w:tc>
          <w:tcPr>
            <w:tcW w:w="840" w:type="dxa"/>
          </w:tcPr>
          <w:p>
            <w:pPr>
              <w:spacing w:before="20" w:after="20"/>
              <w:jc w:val="right"/>
              <w:rPr>
                <w:noProof/>
                <w:sz w:val="22"/>
              </w:rPr>
            </w:pPr>
            <w:r>
              <w:rPr>
                <w:noProof/>
                <w:sz w:val="22"/>
              </w:rPr>
              <w:t xml:space="preserve">0,208 </w:t>
            </w:r>
          </w:p>
        </w:tc>
        <w:tc>
          <w:tcPr>
            <w:tcW w:w="840" w:type="dxa"/>
          </w:tcPr>
          <w:p>
            <w:pPr>
              <w:spacing w:before="20" w:after="20"/>
              <w:jc w:val="right"/>
              <w:rPr>
                <w:noProof/>
                <w:sz w:val="22"/>
              </w:rPr>
            </w:pPr>
            <w:r>
              <w:rPr>
                <w:noProof/>
                <w:sz w:val="22"/>
              </w:rPr>
              <w:t xml:space="preserve">0,208 </w:t>
            </w:r>
          </w:p>
        </w:tc>
        <w:tc>
          <w:tcPr>
            <w:tcW w:w="840" w:type="dxa"/>
          </w:tcPr>
          <w:p>
            <w:pPr>
              <w:spacing w:before="20" w:after="20"/>
              <w:jc w:val="right"/>
              <w:rPr>
                <w:noProof/>
                <w:sz w:val="22"/>
              </w:rPr>
            </w:pPr>
            <w:r>
              <w:rPr>
                <w:noProof/>
                <w:sz w:val="22"/>
              </w:rPr>
              <w:t xml:space="preserve">0,138 </w:t>
            </w:r>
          </w:p>
        </w:tc>
        <w:tc>
          <w:tcPr>
            <w:tcW w:w="840" w:type="dxa"/>
          </w:tcPr>
          <w:p>
            <w:pPr>
              <w:spacing w:before="20" w:after="20"/>
              <w:jc w:val="right"/>
              <w:rPr>
                <w:noProof/>
                <w:sz w:val="22"/>
              </w:rPr>
            </w:pPr>
            <w:r>
              <w:rPr>
                <w:noProof/>
                <w:sz w:val="22"/>
              </w:rPr>
              <w:t xml:space="preserve">0,138 </w:t>
            </w:r>
          </w:p>
        </w:tc>
        <w:tc>
          <w:tcPr>
            <w:tcW w:w="840" w:type="dxa"/>
          </w:tcPr>
          <w:p>
            <w:pPr>
              <w:spacing w:before="20" w:after="20"/>
              <w:jc w:val="right"/>
              <w:rPr>
                <w:noProof/>
                <w:sz w:val="22"/>
              </w:rPr>
            </w:pPr>
            <w:r>
              <w:rPr>
                <w:noProof/>
                <w:sz w:val="22"/>
              </w:rPr>
              <w:t xml:space="preserve">0,138 </w:t>
            </w:r>
          </w:p>
        </w:tc>
        <w:tc>
          <w:tcPr>
            <w:tcW w:w="839" w:type="dxa"/>
          </w:tcPr>
          <w:p>
            <w:pPr>
              <w:spacing w:before="20" w:after="20"/>
              <w:jc w:val="right"/>
              <w:rPr>
                <w:b/>
                <w:noProof/>
                <w:sz w:val="22"/>
              </w:rPr>
            </w:pPr>
            <w:r>
              <w:rPr>
                <w:noProof/>
                <w:sz w:val="22"/>
              </w:rPr>
              <w:t xml:space="preserve">0,138 </w:t>
            </w:r>
          </w:p>
        </w:tc>
        <w:tc>
          <w:tcPr>
            <w:tcW w:w="801" w:type="dxa"/>
          </w:tcPr>
          <w:p>
            <w:pPr>
              <w:spacing w:before="20" w:after="20"/>
              <w:jc w:val="right"/>
              <w:rPr>
                <w:b/>
                <w:noProof/>
                <w:sz w:val="22"/>
              </w:rPr>
            </w:pPr>
            <w:r>
              <w:rPr>
                <w:noProof/>
                <w:sz w:val="22"/>
              </w:rPr>
              <w:t xml:space="preserve">0,138 </w:t>
            </w:r>
          </w:p>
        </w:tc>
        <w:tc>
          <w:tcPr>
            <w:tcW w:w="1470" w:type="dxa"/>
          </w:tcPr>
          <w:p>
            <w:pPr>
              <w:spacing w:before="20" w:after="20"/>
              <w:jc w:val="right"/>
              <w:rPr>
                <w:b/>
                <w:noProof/>
                <w:sz w:val="22"/>
              </w:rPr>
            </w:pPr>
            <w:r>
              <w:rPr>
                <w:noProof/>
                <w:sz w:val="22"/>
              </w:rPr>
              <w:t>1,210</w:t>
            </w:r>
          </w:p>
        </w:tc>
      </w:tr>
      <w:tr>
        <w:trPr>
          <w:trHeight w:val="262"/>
        </w:trPr>
        <w:tc>
          <w:tcPr>
            <w:tcW w:w="2770" w:type="dxa"/>
            <w:vMerge w:val="restart"/>
            <w:vAlign w:val="center"/>
          </w:tcPr>
          <w:p>
            <w:pPr>
              <w:jc w:val="left"/>
              <w:rPr>
                <w:noProof/>
                <w:color w:val="0000FF"/>
              </w:rPr>
            </w:pPr>
            <w:r>
              <w:rPr>
                <w:noProof/>
                <w:sz w:val="20"/>
              </w:rPr>
              <w:t>Naslov 2: Infrastruktura in odhodki iz poslovanja</w:t>
            </w:r>
          </w:p>
        </w:tc>
        <w:tc>
          <w:tcPr>
            <w:tcW w:w="1357" w:type="dxa"/>
            <w:vAlign w:val="center"/>
          </w:tcPr>
          <w:p>
            <w:pPr>
              <w:spacing w:before="20" w:after="20"/>
              <w:rPr>
                <w:noProof/>
                <w:sz w:val="18"/>
              </w:rPr>
            </w:pPr>
            <w:r>
              <w:rPr>
                <w:noProof/>
                <w:sz w:val="18"/>
              </w:rPr>
              <w:t>obveznosti</w:t>
            </w:r>
          </w:p>
        </w:tc>
        <w:tc>
          <w:tcPr>
            <w:tcW w:w="801" w:type="dxa"/>
            <w:vAlign w:val="center"/>
          </w:tcPr>
          <w:p>
            <w:pPr>
              <w:spacing w:before="20" w:after="20"/>
              <w:jc w:val="center"/>
              <w:rPr>
                <w:noProof/>
                <w:sz w:val="14"/>
              </w:rPr>
            </w:pPr>
            <w:r>
              <w:rPr>
                <w:noProof/>
                <w:sz w:val="14"/>
              </w:rPr>
              <w:t>(1a)</w:t>
            </w:r>
          </w:p>
        </w:tc>
        <w:tc>
          <w:tcPr>
            <w:tcW w:w="801" w:type="dxa"/>
          </w:tcPr>
          <w:p>
            <w:pPr>
              <w:spacing w:before="20" w:after="20"/>
              <w:jc w:val="center"/>
              <w:rPr>
                <w:noProof/>
                <w:sz w:val="22"/>
              </w:rPr>
            </w:pPr>
            <w:r>
              <w:rPr>
                <w:noProof/>
              </w:rPr>
              <w:t>0</w:t>
            </w:r>
          </w:p>
        </w:tc>
        <w:tc>
          <w:tcPr>
            <w:tcW w:w="788" w:type="dxa"/>
          </w:tcPr>
          <w:p>
            <w:pPr>
              <w:spacing w:before="20" w:after="20"/>
              <w:jc w:val="right"/>
              <w:rPr>
                <w:noProof/>
                <w:sz w:val="22"/>
              </w:rPr>
            </w:pPr>
            <w:r>
              <w:rPr>
                <w:noProof/>
              </w:rPr>
              <w:t>0</w:t>
            </w:r>
          </w:p>
        </w:tc>
        <w:tc>
          <w:tcPr>
            <w:tcW w:w="840" w:type="dxa"/>
          </w:tcPr>
          <w:p>
            <w:pPr>
              <w:spacing w:before="20" w:after="20"/>
              <w:jc w:val="right"/>
              <w:rPr>
                <w:noProof/>
                <w:sz w:val="22"/>
              </w:rPr>
            </w:pPr>
            <w:r>
              <w:rPr>
                <w:noProof/>
              </w:rPr>
              <w:t>0</w:t>
            </w:r>
          </w:p>
        </w:tc>
        <w:tc>
          <w:tcPr>
            <w:tcW w:w="840" w:type="dxa"/>
          </w:tcPr>
          <w:p>
            <w:pPr>
              <w:spacing w:before="20" w:after="20"/>
              <w:jc w:val="right"/>
              <w:rPr>
                <w:noProof/>
                <w:sz w:val="22"/>
              </w:rPr>
            </w:pPr>
            <w:r>
              <w:rPr>
                <w:noProof/>
              </w:rPr>
              <w:t>0</w:t>
            </w:r>
          </w:p>
        </w:tc>
        <w:tc>
          <w:tcPr>
            <w:tcW w:w="840" w:type="dxa"/>
          </w:tcPr>
          <w:p>
            <w:pPr>
              <w:spacing w:before="20" w:after="20"/>
              <w:jc w:val="right"/>
              <w:rPr>
                <w:noProof/>
                <w:sz w:val="22"/>
              </w:rPr>
            </w:pPr>
            <w:r>
              <w:rPr>
                <w:noProof/>
              </w:rPr>
              <w:t>0</w:t>
            </w:r>
          </w:p>
        </w:tc>
        <w:tc>
          <w:tcPr>
            <w:tcW w:w="840" w:type="dxa"/>
          </w:tcPr>
          <w:p>
            <w:pPr>
              <w:spacing w:before="20" w:after="20"/>
              <w:jc w:val="right"/>
              <w:rPr>
                <w:noProof/>
                <w:sz w:val="22"/>
              </w:rPr>
            </w:pPr>
            <w:r>
              <w:rPr>
                <w:noProof/>
              </w:rPr>
              <w:t>0</w:t>
            </w:r>
          </w:p>
        </w:tc>
        <w:tc>
          <w:tcPr>
            <w:tcW w:w="840" w:type="dxa"/>
          </w:tcPr>
          <w:p>
            <w:pPr>
              <w:spacing w:before="20" w:after="20"/>
              <w:jc w:val="right"/>
              <w:rPr>
                <w:noProof/>
                <w:sz w:val="22"/>
              </w:rPr>
            </w:pPr>
            <w:r>
              <w:rPr>
                <w:noProof/>
              </w:rPr>
              <w:t>0</w:t>
            </w:r>
          </w:p>
        </w:tc>
        <w:tc>
          <w:tcPr>
            <w:tcW w:w="839" w:type="dxa"/>
          </w:tcPr>
          <w:p>
            <w:pPr>
              <w:spacing w:before="20" w:after="20"/>
              <w:jc w:val="right"/>
              <w:rPr>
                <w:noProof/>
                <w:sz w:val="22"/>
              </w:rPr>
            </w:pPr>
            <w:r>
              <w:rPr>
                <w:noProof/>
              </w:rPr>
              <w:t>0</w:t>
            </w:r>
          </w:p>
        </w:tc>
        <w:tc>
          <w:tcPr>
            <w:tcW w:w="801" w:type="dxa"/>
          </w:tcPr>
          <w:p>
            <w:pPr>
              <w:spacing w:before="20" w:after="20"/>
              <w:jc w:val="right"/>
              <w:rPr>
                <w:noProof/>
                <w:sz w:val="22"/>
              </w:rPr>
            </w:pPr>
            <w:r>
              <w:rPr>
                <w:noProof/>
              </w:rPr>
              <w:t>0</w:t>
            </w:r>
          </w:p>
        </w:tc>
        <w:tc>
          <w:tcPr>
            <w:tcW w:w="1470" w:type="dxa"/>
          </w:tcPr>
          <w:p>
            <w:pPr>
              <w:spacing w:before="20" w:after="20"/>
              <w:jc w:val="right"/>
              <w:rPr>
                <w:b/>
                <w:noProof/>
                <w:sz w:val="22"/>
              </w:rPr>
            </w:pPr>
            <w:r>
              <w:rPr>
                <w:noProof/>
              </w:rPr>
              <w:t>0</w:t>
            </w:r>
          </w:p>
        </w:tc>
      </w:tr>
      <w:tr>
        <w:trPr>
          <w:trHeight w:val="144"/>
        </w:trPr>
        <w:tc>
          <w:tcPr>
            <w:tcW w:w="2770" w:type="dxa"/>
            <w:vMerge/>
            <w:vAlign w:val="center"/>
          </w:tcPr>
          <w:p>
            <w:pPr>
              <w:jc w:val="left"/>
              <w:rPr>
                <w:noProof/>
                <w:color w:val="0000FF"/>
              </w:rPr>
            </w:pPr>
          </w:p>
        </w:tc>
        <w:tc>
          <w:tcPr>
            <w:tcW w:w="1357" w:type="dxa"/>
            <w:vAlign w:val="center"/>
          </w:tcPr>
          <w:p>
            <w:pPr>
              <w:spacing w:before="20" w:after="20"/>
              <w:rPr>
                <w:noProof/>
                <w:sz w:val="18"/>
              </w:rPr>
            </w:pPr>
            <w:r>
              <w:rPr>
                <w:noProof/>
                <w:sz w:val="18"/>
              </w:rPr>
              <w:t>plačila</w:t>
            </w:r>
          </w:p>
        </w:tc>
        <w:tc>
          <w:tcPr>
            <w:tcW w:w="801" w:type="dxa"/>
            <w:vAlign w:val="center"/>
          </w:tcPr>
          <w:p>
            <w:pPr>
              <w:spacing w:before="20" w:after="20"/>
              <w:jc w:val="center"/>
              <w:rPr>
                <w:noProof/>
                <w:sz w:val="14"/>
              </w:rPr>
            </w:pPr>
            <w:r>
              <w:rPr>
                <w:noProof/>
                <w:sz w:val="14"/>
              </w:rPr>
              <w:t>(2a)</w:t>
            </w:r>
          </w:p>
        </w:tc>
        <w:tc>
          <w:tcPr>
            <w:tcW w:w="801" w:type="dxa"/>
          </w:tcPr>
          <w:p>
            <w:pPr>
              <w:spacing w:before="20" w:after="20"/>
              <w:jc w:val="center"/>
              <w:rPr>
                <w:noProof/>
                <w:sz w:val="22"/>
              </w:rPr>
            </w:pPr>
            <w:r>
              <w:rPr>
                <w:noProof/>
              </w:rPr>
              <w:t>0</w:t>
            </w:r>
          </w:p>
        </w:tc>
        <w:tc>
          <w:tcPr>
            <w:tcW w:w="788" w:type="dxa"/>
          </w:tcPr>
          <w:p>
            <w:pPr>
              <w:spacing w:before="20" w:after="20"/>
              <w:jc w:val="right"/>
              <w:rPr>
                <w:noProof/>
                <w:sz w:val="22"/>
              </w:rPr>
            </w:pPr>
            <w:r>
              <w:rPr>
                <w:noProof/>
              </w:rPr>
              <w:t>0</w:t>
            </w:r>
          </w:p>
        </w:tc>
        <w:tc>
          <w:tcPr>
            <w:tcW w:w="840" w:type="dxa"/>
          </w:tcPr>
          <w:p>
            <w:pPr>
              <w:spacing w:before="20" w:after="20"/>
              <w:jc w:val="right"/>
              <w:rPr>
                <w:noProof/>
                <w:sz w:val="22"/>
              </w:rPr>
            </w:pPr>
            <w:r>
              <w:rPr>
                <w:noProof/>
              </w:rPr>
              <w:t>0</w:t>
            </w:r>
          </w:p>
        </w:tc>
        <w:tc>
          <w:tcPr>
            <w:tcW w:w="840" w:type="dxa"/>
          </w:tcPr>
          <w:p>
            <w:pPr>
              <w:spacing w:before="20" w:after="20"/>
              <w:jc w:val="right"/>
              <w:rPr>
                <w:noProof/>
                <w:sz w:val="22"/>
              </w:rPr>
            </w:pPr>
            <w:r>
              <w:rPr>
                <w:noProof/>
              </w:rPr>
              <w:t>0</w:t>
            </w:r>
          </w:p>
        </w:tc>
        <w:tc>
          <w:tcPr>
            <w:tcW w:w="840" w:type="dxa"/>
          </w:tcPr>
          <w:p>
            <w:pPr>
              <w:spacing w:before="20" w:after="20"/>
              <w:jc w:val="right"/>
              <w:rPr>
                <w:noProof/>
                <w:sz w:val="22"/>
              </w:rPr>
            </w:pPr>
            <w:r>
              <w:rPr>
                <w:noProof/>
              </w:rPr>
              <w:t>0</w:t>
            </w:r>
          </w:p>
        </w:tc>
        <w:tc>
          <w:tcPr>
            <w:tcW w:w="840" w:type="dxa"/>
          </w:tcPr>
          <w:p>
            <w:pPr>
              <w:spacing w:before="20" w:after="20"/>
              <w:jc w:val="right"/>
              <w:rPr>
                <w:noProof/>
                <w:sz w:val="22"/>
              </w:rPr>
            </w:pPr>
            <w:r>
              <w:rPr>
                <w:noProof/>
              </w:rPr>
              <w:t>0</w:t>
            </w:r>
          </w:p>
        </w:tc>
        <w:tc>
          <w:tcPr>
            <w:tcW w:w="840" w:type="dxa"/>
          </w:tcPr>
          <w:p>
            <w:pPr>
              <w:spacing w:before="20" w:after="20"/>
              <w:jc w:val="right"/>
              <w:rPr>
                <w:noProof/>
                <w:sz w:val="22"/>
              </w:rPr>
            </w:pPr>
            <w:r>
              <w:rPr>
                <w:noProof/>
              </w:rPr>
              <w:t>0</w:t>
            </w:r>
          </w:p>
        </w:tc>
        <w:tc>
          <w:tcPr>
            <w:tcW w:w="839" w:type="dxa"/>
          </w:tcPr>
          <w:p>
            <w:pPr>
              <w:spacing w:before="20" w:after="20"/>
              <w:jc w:val="right"/>
              <w:rPr>
                <w:b/>
                <w:noProof/>
                <w:sz w:val="22"/>
              </w:rPr>
            </w:pPr>
            <w:r>
              <w:rPr>
                <w:noProof/>
              </w:rPr>
              <w:t>0</w:t>
            </w:r>
          </w:p>
        </w:tc>
        <w:tc>
          <w:tcPr>
            <w:tcW w:w="801" w:type="dxa"/>
          </w:tcPr>
          <w:p>
            <w:pPr>
              <w:spacing w:before="20" w:after="20"/>
              <w:jc w:val="right"/>
              <w:rPr>
                <w:b/>
                <w:noProof/>
                <w:sz w:val="22"/>
              </w:rPr>
            </w:pPr>
            <w:r>
              <w:rPr>
                <w:noProof/>
              </w:rPr>
              <w:t>0</w:t>
            </w:r>
          </w:p>
        </w:tc>
        <w:tc>
          <w:tcPr>
            <w:tcW w:w="1470" w:type="dxa"/>
          </w:tcPr>
          <w:p>
            <w:pPr>
              <w:spacing w:before="20" w:after="20"/>
              <w:jc w:val="right"/>
              <w:rPr>
                <w:b/>
                <w:noProof/>
                <w:sz w:val="22"/>
              </w:rPr>
            </w:pPr>
            <w:r>
              <w:rPr>
                <w:noProof/>
              </w:rPr>
              <w:t>0</w:t>
            </w:r>
          </w:p>
        </w:tc>
      </w:tr>
      <w:tr>
        <w:trPr>
          <w:trHeight w:val="318"/>
        </w:trPr>
        <w:tc>
          <w:tcPr>
            <w:tcW w:w="2770" w:type="dxa"/>
            <w:vMerge w:val="restart"/>
            <w:vAlign w:val="center"/>
          </w:tcPr>
          <w:p>
            <w:pPr>
              <w:spacing w:before="60" w:after="60"/>
              <w:jc w:val="left"/>
              <w:rPr>
                <w:noProof/>
                <w:color w:val="0000FF"/>
              </w:rPr>
            </w:pPr>
            <w:r>
              <w:rPr>
                <w:noProof/>
                <w:sz w:val="20"/>
              </w:rPr>
              <w:t>Naslov 3: Odhodki iz poslovanja</w:t>
            </w:r>
          </w:p>
        </w:tc>
        <w:tc>
          <w:tcPr>
            <w:tcW w:w="1357" w:type="dxa"/>
            <w:vAlign w:val="center"/>
          </w:tcPr>
          <w:p>
            <w:pPr>
              <w:spacing w:before="40" w:after="40"/>
              <w:rPr>
                <w:noProof/>
                <w:sz w:val="18"/>
              </w:rPr>
            </w:pPr>
            <w:r>
              <w:rPr>
                <w:noProof/>
                <w:sz w:val="18"/>
              </w:rPr>
              <w:t>obveznosti</w:t>
            </w:r>
          </w:p>
        </w:tc>
        <w:tc>
          <w:tcPr>
            <w:tcW w:w="801" w:type="dxa"/>
            <w:vAlign w:val="center"/>
          </w:tcPr>
          <w:p>
            <w:pPr>
              <w:spacing w:before="40" w:after="40"/>
              <w:jc w:val="center"/>
              <w:rPr>
                <w:noProof/>
                <w:sz w:val="14"/>
              </w:rPr>
            </w:pPr>
            <w:r>
              <w:rPr>
                <w:noProof/>
                <w:sz w:val="14"/>
              </w:rPr>
              <w:t>(3a)</w:t>
            </w:r>
          </w:p>
        </w:tc>
        <w:tc>
          <w:tcPr>
            <w:tcW w:w="801" w:type="dxa"/>
          </w:tcPr>
          <w:p>
            <w:pPr>
              <w:spacing w:before="40" w:after="40"/>
              <w:jc w:val="center"/>
              <w:rPr>
                <w:noProof/>
                <w:sz w:val="22"/>
              </w:rPr>
            </w:pPr>
            <w:r>
              <w:rPr>
                <w:noProof/>
              </w:rPr>
              <w:t>0</w:t>
            </w:r>
          </w:p>
        </w:tc>
        <w:tc>
          <w:tcPr>
            <w:tcW w:w="788" w:type="dxa"/>
          </w:tcPr>
          <w:p>
            <w:pPr>
              <w:spacing w:before="40" w:after="40"/>
              <w:jc w:val="right"/>
              <w:rPr>
                <w:noProof/>
                <w:sz w:val="22"/>
              </w:rPr>
            </w:pPr>
            <w:r>
              <w:rPr>
                <w:noProof/>
                <w:sz w:val="22"/>
              </w:rPr>
              <w:t xml:space="preserve">0,040 </w:t>
            </w:r>
          </w:p>
        </w:tc>
        <w:tc>
          <w:tcPr>
            <w:tcW w:w="840" w:type="dxa"/>
          </w:tcPr>
          <w:p>
            <w:pPr>
              <w:spacing w:before="40" w:after="40"/>
              <w:jc w:val="right"/>
              <w:rPr>
                <w:noProof/>
                <w:sz w:val="22"/>
              </w:rPr>
            </w:pPr>
            <w:r>
              <w:rPr>
                <w:noProof/>
                <w:sz w:val="22"/>
              </w:rPr>
              <w:t xml:space="preserve">0,176 </w:t>
            </w:r>
          </w:p>
        </w:tc>
        <w:tc>
          <w:tcPr>
            <w:tcW w:w="840" w:type="dxa"/>
          </w:tcPr>
          <w:p>
            <w:pPr>
              <w:spacing w:before="40" w:after="40"/>
              <w:jc w:val="right"/>
              <w:rPr>
                <w:noProof/>
                <w:sz w:val="22"/>
              </w:rPr>
            </w:pPr>
            <w:r>
              <w:rPr>
                <w:noProof/>
                <w:sz w:val="22"/>
              </w:rPr>
              <w:t xml:space="preserve">0,274 </w:t>
            </w:r>
          </w:p>
        </w:tc>
        <w:tc>
          <w:tcPr>
            <w:tcW w:w="840" w:type="dxa"/>
          </w:tcPr>
          <w:p>
            <w:pPr>
              <w:spacing w:before="40" w:after="40"/>
              <w:jc w:val="right"/>
              <w:rPr>
                <w:noProof/>
                <w:sz w:val="22"/>
              </w:rPr>
            </w:pPr>
            <w:r>
              <w:rPr>
                <w:noProof/>
                <w:sz w:val="22"/>
              </w:rPr>
              <w:t xml:space="preserve">0,070 </w:t>
            </w:r>
          </w:p>
        </w:tc>
        <w:tc>
          <w:tcPr>
            <w:tcW w:w="840" w:type="dxa"/>
          </w:tcPr>
          <w:p>
            <w:pPr>
              <w:spacing w:before="40" w:after="40"/>
              <w:jc w:val="right"/>
              <w:rPr>
                <w:noProof/>
                <w:sz w:val="22"/>
              </w:rPr>
            </w:pPr>
            <w:r>
              <w:rPr>
                <w:noProof/>
                <w:sz w:val="22"/>
              </w:rPr>
              <w:t xml:space="preserve">0,070 </w:t>
            </w:r>
          </w:p>
        </w:tc>
        <w:tc>
          <w:tcPr>
            <w:tcW w:w="840" w:type="dxa"/>
          </w:tcPr>
          <w:p>
            <w:pPr>
              <w:spacing w:before="40" w:after="40"/>
              <w:jc w:val="right"/>
              <w:rPr>
                <w:noProof/>
                <w:sz w:val="22"/>
              </w:rPr>
            </w:pPr>
            <w:r>
              <w:rPr>
                <w:noProof/>
                <w:sz w:val="22"/>
              </w:rPr>
              <w:t xml:space="preserve">0,070 </w:t>
            </w:r>
          </w:p>
        </w:tc>
        <w:tc>
          <w:tcPr>
            <w:tcW w:w="839" w:type="dxa"/>
          </w:tcPr>
          <w:p>
            <w:pPr>
              <w:spacing w:before="40" w:after="40"/>
              <w:jc w:val="right"/>
              <w:rPr>
                <w:noProof/>
                <w:sz w:val="22"/>
              </w:rPr>
            </w:pPr>
            <w:r>
              <w:rPr>
                <w:noProof/>
                <w:sz w:val="22"/>
              </w:rPr>
              <w:t xml:space="preserve">0,070 </w:t>
            </w:r>
          </w:p>
        </w:tc>
        <w:tc>
          <w:tcPr>
            <w:tcW w:w="801" w:type="dxa"/>
          </w:tcPr>
          <w:p>
            <w:pPr>
              <w:spacing w:before="40" w:after="40"/>
              <w:jc w:val="right"/>
              <w:rPr>
                <w:noProof/>
                <w:sz w:val="22"/>
              </w:rPr>
            </w:pPr>
            <w:r>
              <w:rPr>
                <w:noProof/>
                <w:sz w:val="22"/>
              </w:rPr>
              <w:t xml:space="preserve">0,070 </w:t>
            </w:r>
          </w:p>
        </w:tc>
        <w:tc>
          <w:tcPr>
            <w:tcW w:w="1470" w:type="dxa"/>
          </w:tcPr>
          <w:p>
            <w:pPr>
              <w:spacing w:before="40" w:after="40"/>
              <w:jc w:val="right"/>
              <w:rPr>
                <w:b/>
                <w:noProof/>
                <w:sz w:val="22"/>
              </w:rPr>
            </w:pPr>
            <w:r>
              <w:rPr>
                <w:noProof/>
                <w:sz w:val="22"/>
              </w:rPr>
              <w:t xml:space="preserve">0,840 </w:t>
            </w:r>
          </w:p>
        </w:tc>
      </w:tr>
      <w:tr>
        <w:trPr>
          <w:trHeight w:val="318"/>
        </w:trPr>
        <w:tc>
          <w:tcPr>
            <w:tcW w:w="2770" w:type="dxa"/>
            <w:vMerge/>
            <w:vAlign w:val="center"/>
          </w:tcPr>
          <w:p>
            <w:pPr>
              <w:spacing w:before="60" w:after="60"/>
              <w:rPr>
                <w:b/>
                <w:noProof/>
                <w:sz w:val="20"/>
              </w:rPr>
            </w:pPr>
          </w:p>
        </w:tc>
        <w:tc>
          <w:tcPr>
            <w:tcW w:w="1357" w:type="dxa"/>
            <w:vAlign w:val="center"/>
          </w:tcPr>
          <w:p>
            <w:pPr>
              <w:spacing w:before="40" w:after="40"/>
              <w:rPr>
                <w:noProof/>
                <w:sz w:val="18"/>
              </w:rPr>
            </w:pPr>
            <w:r>
              <w:rPr>
                <w:noProof/>
                <w:sz w:val="18"/>
              </w:rPr>
              <w:t>plačila</w:t>
            </w:r>
          </w:p>
        </w:tc>
        <w:tc>
          <w:tcPr>
            <w:tcW w:w="801" w:type="dxa"/>
            <w:vAlign w:val="center"/>
          </w:tcPr>
          <w:p>
            <w:pPr>
              <w:spacing w:before="40" w:after="40"/>
              <w:jc w:val="center"/>
              <w:rPr>
                <w:noProof/>
                <w:sz w:val="14"/>
              </w:rPr>
            </w:pPr>
            <w:r>
              <w:rPr>
                <w:noProof/>
                <w:sz w:val="14"/>
              </w:rPr>
              <w:t>(3b)</w:t>
            </w:r>
          </w:p>
        </w:tc>
        <w:tc>
          <w:tcPr>
            <w:tcW w:w="801" w:type="dxa"/>
          </w:tcPr>
          <w:p>
            <w:pPr>
              <w:spacing w:before="40" w:after="40"/>
              <w:jc w:val="center"/>
              <w:rPr>
                <w:noProof/>
                <w:sz w:val="22"/>
              </w:rPr>
            </w:pPr>
            <w:r>
              <w:rPr>
                <w:noProof/>
              </w:rPr>
              <w:t>0</w:t>
            </w:r>
          </w:p>
        </w:tc>
        <w:tc>
          <w:tcPr>
            <w:tcW w:w="788" w:type="dxa"/>
          </w:tcPr>
          <w:p>
            <w:pPr>
              <w:spacing w:before="40" w:after="40"/>
              <w:jc w:val="right"/>
              <w:rPr>
                <w:noProof/>
                <w:sz w:val="22"/>
              </w:rPr>
            </w:pPr>
            <w:r>
              <w:rPr>
                <w:noProof/>
                <w:sz w:val="22"/>
              </w:rPr>
              <w:t xml:space="preserve">0,040 </w:t>
            </w:r>
          </w:p>
        </w:tc>
        <w:tc>
          <w:tcPr>
            <w:tcW w:w="840" w:type="dxa"/>
          </w:tcPr>
          <w:p>
            <w:pPr>
              <w:spacing w:before="40" w:after="40"/>
              <w:jc w:val="right"/>
              <w:rPr>
                <w:noProof/>
                <w:sz w:val="22"/>
              </w:rPr>
            </w:pPr>
            <w:r>
              <w:rPr>
                <w:noProof/>
                <w:sz w:val="22"/>
              </w:rPr>
              <w:t xml:space="preserve">0,176 </w:t>
            </w:r>
          </w:p>
        </w:tc>
        <w:tc>
          <w:tcPr>
            <w:tcW w:w="840" w:type="dxa"/>
          </w:tcPr>
          <w:p>
            <w:pPr>
              <w:spacing w:before="40" w:after="40"/>
              <w:jc w:val="right"/>
              <w:rPr>
                <w:noProof/>
                <w:sz w:val="22"/>
              </w:rPr>
            </w:pPr>
            <w:r>
              <w:rPr>
                <w:noProof/>
                <w:sz w:val="22"/>
              </w:rPr>
              <w:t xml:space="preserve">0,274 </w:t>
            </w:r>
          </w:p>
        </w:tc>
        <w:tc>
          <w:tcPr>
            <w:tcW w:w="840" w:type="dxa"/>
          </w:tcPr>
          <w:p>
            <w:pPr>
              <w:spacing w:before="40" w:after="40"/>
              <w:jc w:val="right"/>
              <w:rPr>
                <w:noProof/>
                <w:sz w:val="22"/>
              </w:rPr>
            </w:pPr>
            <w:r>
              <w:rPr>
                <w:noProof/>
                <w:sz w:val="22"/>
              </w:rPr>
              <w:t xml:space="preserve">0,070 </w:t>
            </w:r>
          </w:p>
        </w:tc>
        <w:tc>
          <w:tcPr>
            <w:tcW w:w="840" w:type="dxa"/>
          </w:tcPr>
          <w:p>
            <w:pPr>
              <w:spacing w:before="40" w:after="40"/>
              <w:jc w:val="right"/>
              <w:rPr>
                <w:noProof/>
                <w:sz w:val="22"/>
              </w:rPr>
            </w:pPr>
            <w:r>
              <w:rPr>
                <w:noProof/>
                <w:sz w:val="22"/>
              </w:rPr>
              <w:t xml:space="preserve">0,070 </w:t>
            </w:r>
          </w:p>
        </w:tc>
        <w:tc>
          <w:tcPr>
            <w:tcW w:w="840" w:type="dxa"/>
          </w:tcPr>
          <w:p>
            <w:pPr>
              <w:spacing w:before="40" w:after="40"/>
              <w:jc w:val="right"/>
              <w:rPr>
                <w:b/>
                <w:noProof/>
                <w:sz w:val="22"/>
              </w:rPr>
            </w:pPr>
            <w:r>
              <w:rPr>
                <w:noProof/>
                <w:sz w:val="22"/>
              </w:rPr>
              <w:t xml:space="preserve">0,070 </w:t>
            </w:r>
          </w:p>
        </w:tc>
        <w:tc>
          <w:tcPr>
            <w:tcW w:w="839" w:type="dxa"/>
          </w:tcPr>
          <w:p>
            <w:pPr>
              <w:spacing w:before="40" w:after="40"/>
              <w:jc w:val="right"/>
              <w:rPr>
                <w:b/>
                <w:noProof/>
                <w:sz w:val="22"/>
              </w:rPr>
            </w:pPr>
            <w:r>
              <w:rPr>
                <w:noProof/>
                <w:sz w:val="22"/>
              </w:rPr>
              <w:t xml:space="preserve">0,070 </w:t>
            </w:r>
          </w:p>
        </w:tc>
        <w:tc>
          <w:tcPr>
            <w:tcW w:w="801" w:type="dxa"/>
          </w:tcPr>
          <w:p>
            <w:pPr>
              <w:spacing w:before="40" w:after="40"/>
              <w:jc w:val="right"/>
              <w:rPr>
                <w:b/>
                <w:noProof/>
                <w:sz w:val="22"/>
              </w:rPr>
            </w:pPr>
            <w:r>
              <w:rPr>
                <w:noProof/>
                <w:sz w:val="22"/>
              </w:rPr>
              <w:t xml:space="preserve">0,070 </w:t>
            </w:r>
          </w:p>
        </w:tc>
        <w:tc>
          <w:tcPr>
            <w:tcW w:w="1470" w:type="dxa"/>
          </w:tcPr>
          <w:p>
            <w:pPr>
              <w:spacing w:before="40" w:after="40"/>
              <w:jc w:val="right"/>
              <w:rPr>
                <w:b/>
                <w:noProof/>
                <w:sz w:val="22"/>
              </w:rPr>
            </w:pPr>
            <w:r>
              <w:rPr>
                <w:noProof/>
                <w:sz w:val="22"/>
              </w:rPr>
              <w:t xml:space="preserve">0,840 </w:t>
            </w:r>
          </w:p>
        </w:tc>
      </w:tr>
      <w:tr>
        <w:trPr>
          <w:trHeight w:val="749"/>
        </w:trPr>
        <w:tc>
          <w:tcPr>
            <w:tcW w:w="2770" w:type="dxa"/>
            <w:vAlign w:val="center"/>
          </w:tcPr>
          <w:p>
            <w:pPr>
              <w:jc w:val="center"/>
              <w:rPr>
                <w:noProof/>
              </w:rPr>
            </w:pPr>
            <w:r>
              <w:rPr>
                <w:b/>
                <w:noProof/>
                <w:sz w:val="22"/>
              </w:rPr>
              <w:t>Odobritve za</w:t>
            </w:r>
            <w:r>
              <w:rPr>
                <w:noProof/>
                <w:sz w:val="22"/>
              </w:rPr>
              <w:br/>
            </w:r>
            <w:r>
              <w:rPr>
                <w:b/>
                <w:noProof/>
                <w:sz w:val="22"/>
              </w:rPr>
              <w:t>CEPOL SKUPAJ</w:t>
            </w:r>
          </w:p>
        </w:tc>
        <w:tc>
          <w:tcPr>
            <w:tcW w:w="1357" w:type="dxa"/>
            <w:vAlign w:val="center"/>
          </w:tcPr>
          <w:p>
            <w:pPr>
              <w:rPr>
                <w:noProof/>
                <w:sz w:val="18"/>
              </w:rPr>
            </w:pPr>
            <w:r>
              <w:rPr>
                <w:noProof/>
                <w:sz w:val="18"/>
              </w:rPr>
              <w:t>(obveznosti skupaj = plačila skupaj)</w:t>
            </w:r>
          </w:p>
        </w:tc>
        <w:tc>
          <w:tcPr>
            <w:tcW w:w="801" w:type="dxa"/>
            <w:vAlign w:val="center"/>
          </w:tcPr>
          <w:p>
            <w:pPr>
              <w:jc w:val="center"/>
              <w:rPr>
                <w:noProof/>
                <w:sz w:val="14"/>
              </w:rPr>
            </w:pPr>
            <w:r>
              <w:rPr>
                <w:noProof/>
                <w:sz w:val="14"/>
              </w:rPr>
              <w:t>=1+1a+3a</w:t>
            </w:r>
          </w:p>
        </w:tc>
        <w:tc>
          <w:tcPr>
            <w:tcW w:w="801" w:type="dxa"/>
          </w:tcPr>
          <w:p>
            <w:pPr>
              <w:spacing w:before="20" w:after="20"/>
              <w:jc w:val="center"/>
              <w:rPr>
                <w:noProof/>
                <w:sz w:val="22"/>
              </w:rPr>
            </w:pPr>
            <w:r>
              <w:rPr>
                <w:noProof/>
              </w:rPr>
              <w:t>0</w:t>
            </w:r>
          </w:p>
        </w:tc>
        <w:tc>
          <w:tcPr>
            <w:tcW w:w="788" w:type="dxa"/>
          </w:tcPr>
          <w:p>
            <w:pPr>
              <w:spacing w:before="20" w:after="20"/>
              <w:jc w:val="right"/>
              <w:rPr>
                <w:noProof/>
                <w:sz w:val="22"/>
              </w:rPr>
            </w:pPr>
            <w:r>
              <w:rPr>
                <w:noProof/>
                <w:sz w:val="22"/>
              </w:rPr>
              <w:t>0,144</w:t>
            </w:r>
          </w:p>
        </w:tc>
        <w:tc>
          <w:tcPr>
            <w:tcW w:w="840" w:type="dxa"/>
          </w:tcPr>
          <w:p>
            <w:pPr>
              <w:spacing w:before="20" w:after="20"/>
              <w:jc w:val="right"/>
              <w:rPr>
                <w:noProof/>
                <w:sz w:val="22"/>
              </w:rPr>
            </w:pPr>
            <w:r>
              <w:rPr>
                <w:noProof/>
                <w:sz w:val="22"/>
              </w:rPr>
              <w:t>0,384</w:t>
            </w:r>
          </w:p>
        </w:tc>
        <w:tc>
          <w:tcPr>
            <w:tcW w:w="840" w:type="dxa"/>
          </w:tcPr>
          <w:p>
            <w:pPr>
              <w:spacing w:before="20" w:after="20"/>
              <w:jc w:val="right"/>
              <w:rPr>
                <w:noProof/>
                <w:sz w:val="22"/>
              </w:rPr>
            </w:pPr>
            <w:r>
              <w:rPr>
                <w:noProof/>
                <w:sz w:val="22"/>
              </w:rPr>
              <w:t xml:space="preserve">0,482 </w:t>
            </w:r>
          </w:p>
        </w:tc>
        <w:tc>
          <w:tcPr>
            <w:tcW w:w="840" w:type="dxa"/>
          </w:tcPr>
          <w:p>
            <w:pPr>
              <w:spacing w:before="20" w:after="20"/>
              <w:jc w:val="right"/>
              <w:rPr>
                <w:noProof/>
                <w:sz w:val="22"/>
              </w:rPr>
            </w:pPr>
            <w:r>
              <w:rPr>
                <w:noProof/>
                <w:sz w:val="22"/>
              </w:rPr>
              <w:t xml:space="preserve">0,208 </w:t>
            </w:r>
          </w:p>
        </w:tc>
        <w:tc>
          <w:tcPr>
            <w:tcW w:w="840" w:type="dxa"/>
          </w:tcPr>
          <w:p>
            <w:pPr>
              <w:spacing w:before="20" w:after="20"/>
              <w:jc w:val="right"/>
              <w:rPr>
                <w:noProof/>
                <w:sz w:val="22"/>
              </w:rPr>
            </w:pPr>
            <w:r>
              <w:rPr>
                <w:noProof/>
                <w:sz w:val="22"/>
              </w:rPr>
              <w:t xml:space="preserve">0,208 </w:t>
            </w:r>
          </w:p>
        </w:tc>
        <w:tc>
          <w:tcPr>
            <w:tcW w:w="840" w:type="dxa"/>
          </w:tcPr>
          <w:p>
            <w:pPr>
              <w:spacing w:before="20" w:after="20"/>
              <w:jc w:val="right"/>
              <w:rPr>
                <w:noProof/>
                <w:sz w:val="22"/>
              </w:rPr>
            </w:pPr>
            <w:r>
              <w:rPr>
                <w:noProof/>
                <w:sz w:val="22"/>
              </w:rPr>
              <w:t xml:space="preserve">0,208 </w:t>
            </w:r>
          </w:p>
        </w:tc>
        <w:tc>
          <w:tcPr>
            <w:tcW w:w="839" w:type="dxa"/>
          </w:tcPr>
          <w:p>
            <w:pPr>
              <w:spacing w:before="20" w:after="20"/>
              <w:jc w:val="right"/>
              <w:rPr>
                <w:noProof/>
                <w:sz w:val="22"/>
              </w:rPr>
            </w:pPr>
            <w:r>
              <w:rPr>
                <w:noProof/>
                <w:sz w:val="22"/>
              </w:rPr>
              <w:t xml:space="preserve">0,208 </w:t>
            </w:r>
          </w:p>
        </w:tc>
        <w:tc>
          <w:tcPr>
            <w:tcW w:w="801" w:type="dxa"/>
          </w:tcPr>
          <w:p>
            <w:pPr>
              <w:spacing w:before="20" w:after="20"/>
              <w:jc w:val="center"/>
              <w:rPr>
                <w:noProof/>
                <w:sz w:val="22"/>
              </w:rPr>
            </w:pPr>
            <w:r>
              <w:rPr>
                <w:noProof/>
                <w:sz w:val="22"/>
              </w:rPr>
              <w:t xml:space="preserve">0,208 </w:t>
            </w:r>
          </w:p>
        </w:tc>
        <w:tc>
          <w:tcPr>
            <w:tcW w:w="1470" w:type="dxa"/>
          </w:tcPr>
          <w:p>
            <w:pPr>
              <w:spacing w:before="20" w:after="20"/>
              <w:jc w:val="right"/>
              <w:rPr>
                <w:noProof/>
                <w:sz w:val="22"/>
              </w:rPr>
            </w:pPr>
            <w:r>
              <w:rPr>
                <w:noProof/>
                <w:sz w:val="22"/>
              </w:rPr>
              <w:t>2,050</w:t>
            </w:r>
          </w:p>
          <w:p>
            <w:pPr>
              <w:spacing w:before="20" w:after="20"/>
              <w:jc w:val="center"/>
              <w:rPr>
                <w:b/>
                <w:noProof/>
                <w:sz w:val="22"/>
                <w:highlight w:val="cyan"/>
              </w:rPr>
            </w:pPr>
          </w:p>
        </w:tc>
      </w:tr>
    </w:tbl>
    <w:p>
      <w:pPr>
        <w:rPr>
          <w:noProof/>
        </w:rPr>
      </w:pPr>
      <w:r>
        <w:rPr>
          <w:noProof/>
        </w:rPr>
        <w:t xml:space="preserve">S centralno usklajenim usposabljanjem na ravni EU se povečuje doslednost izvajanja tečajev usposabljanja na nacionalni ravni in posledično zagotavljata pravilna ter uspešna izvajanje in uporaba sestavnih delov interoperabilnosti. CEPOL je kot agencija EU za usposabljanje na področju kazenskega pregona ustrezen za izvajanje centralnega usposabljanja na ravni EU. Ti odhodki zajemajo pripravo „usposabljanja inštruktorjev iz držav članic“, ki bodo morali uporabljati centralne sisteme, ko ti postanejo interoperabilni. V te stroške so vključeni stroški, povezani z majhnim povečanjem osebja CEPOL zaradi usklajevanja, upravljanja, organizacije in posodobitve tečajev, ter stroški za izvajanje več tečajev na leto in pripravo spletnega tečaja. Podrobnosti glede teh stroškov so obrazložene v nadaljevanju. Usposabljanje je osredotočeno na obdobje neposredno pred datumom začetka delovanja. Stalno prizadevanje pa bo potrebno tudi po začetku delovanja, saj se sestavni deli interoperabilnosti vzdržujejo, glede na izkušnje pri izvajanju sedanjega usposabljanja na področju schengenskega informacijskega sistema pa inštruktorji niso stalno iste osebe. </w:t>
      </w:r>
    </w:p>
    <w:p>
      <w:pPr>
        <w:rPr>
          <w:noProof/>
        </w:rPr>
      </w:pPr>
    </w:p>
    <w:tbl>
      <w:tblPr>
        <w:tblW w:w="1396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0"/>
        <w:gridCol w:w="1357"/>
        <w:gridCol w:w="881"/>
        <w:gridCol w:w="882"/>
        <w:gridCol w:w="882"/>
        <w:gridCol w:w="882"/>
        <w:gridCol w:w="882"/>
        <w:gridCol w:w="881"/>
        <w:gridCol w:w="882"/>
        <w:gridCol w:w="882"/>
        <w:gridCol w:w="882"/>
        <w:gridCol w:w="882"/>
        <w:gridCol w:w="1023"/>
      </w:tblGrid>
      <w:tr>
        <w:trPr>
          <w:trHeight w:val="687"/>
        </w:trPr>
        <w:tc>
          <w:tcPr>
            <w:tcW w:w="2770" w:type="dxa"/>
            <w:vAlign w:val="center"/>
          </w:tcPr>
          <w:p>
            <w:pPr>
              <w:jc w:val="center"/>
              <w:rPr>
                <w:b/>
                <w:noProof/>
              </w:rPr>
            </w:pPr>
            <w:r>
              <w:rPr>
                <w:b/>
                <w:noProof/>
                <w:sz w:val="22"/>
              </w:rPr>
              <w:t>18.02.07 – eu-LISA</w:t>
            </w:r>
          </w:p>
        </w:tc>
        <w:tc>
          <w:tcPr>
            <w:tcW w:w="1357" w:type="dxa"/>
          </w:tcPr>
          <w:p>
            <w:pPr>
              <w:rPr>
                <w:noProof/>
                <w:sz w:val="20"/>
              </w:rPr>
            </w:pPr>
          </w:p>
        </w:tc>
        <w:tc>
          <w:tcPr>
            <w:tcW w:w="881" w:type="dxa"/>
          </w:tcPr>
          <w:p>
            <w:pPr>
              <w:jc w:val="center"/>
              <w:rPr>
                <w:noProof/>
                <w:sz w:val="20"/>
              </w:rPr>
            </w:pPr>
          </w:p>
        </w:tc>
        <w:tc>
          <w:tcPr>
            <w:tcW w:w="882" w:type="dxa"/>
            <w:vAlign w:val="center"/>
          </w:tcPr>
          <w:p>
            <w:pPr>
              <w:jc w:val="center"/>
              <w:rPr>
                <w:noProof/>
                <w:sz w:val="20"/>
              </w:rPr>
            </w:pPr>
            <w:r>
              <w:rPr>
                <w:noProof/>
                <w:sz w:val="20"/>
              </w:rPr>
              <w:t>Leto</w:t>
            </w:r>
            <w:r>
              <w:rPr>
                <w:noProof/>
                <w:sz w:val="22"/>
              </w:rPr>
              <w:br/>
            </w:r>
            <w:r>
              <w:rPr>
                <w:b/>
                <w:noProof/>
                <w:sz w:val="20"/>
              </w:rPr>
              <w:t>2019</w:t>
            </w:r>
          </w:p>
        </w:tc>
        <w:tc>
          <w:tcPr>
            <w:tcW w:w="882" w:type="dxa"/>
            <w:vAlign w:val="center"/>
          </w:tcPr>
          <w:p>
            <w:pPr>
              <w:jc w:val="center"/>
              <w:rPr>
                <w:noProof/>
                <w:sz w:val="20"/>
              </w:rPr>
            </w:pPr>
            <w:r>
              <w:rPr>
                <w:noProof/>
                <w:sz w:val="20"/>
              </w:rPr>
              <w:t>Leto</w:t>
            </w:r>
            <w:r>
              <w:rPr>
                <w:noProof/>
                <w:sz w:val="22"/>
              </w:rPr>
              <w:br/>
            </w:r>
            <w:r>
              <w:rPr>
                <w:b/>
                <w:noProof/>
                <w:sz w:val="20"/>
              </w:rPr>
              <w:t>2020</w:t>
            </w:r>
          </w:p>
        </w:tc>
        <w:tc>
          <w:tcPr>
            <w:tcW w:w="882" w:type="dxa"/>
            <w:vAlign w:val="center"/>
          </w:tcPr>
          <w:p>
            <w:pPr>
              <w:jc w:val="center"/>
              <w:rPr>
                <w:noProof/>
                <w:sz w:val="20"/>
              </w:rPr>
            </w:pPr>
            <w:r>
              <w:rPr>
                <w:noProof/>
                <w:sz w:val="20"/>
              </w:rPr>
              <w:t>Leto</w:t>
            </w:r>
            <w:r>
              <w:rPr>
                <w:noProof/>
                <w:sz w:val="22"/>
              </w:rPr>
              <w:br/>
            </w:r>
            <w:r>
              <w:rPr>
                <w:b/>
                <w:noProof/>
                <w:sz w:val="20"/>
              </w:rPr>
              <w:t>2021</w:t>
            </w:r>
          </w:p>
        </w:tc>
        <w:tc>
          <w:tcPr>
            <w:tcW w:w="882" w:type="dxa"/>
            <w:vAlign w:val="center"/>
          </w:tcPr>
          <w:p>
            <w:pPr>
              <w:jc w:val="center"/>
              <w:rPr>
                <w:noProof/>
                <w:sz w:val="20"/>
              </w:rPr>
            </w:pPr>
            <w:r>
              <w:rPr>
                <w:noProof/>
                <w:sz w:val="20"/>
              </w:rPr>
              <w:t>Leto</w:t>
            </w:r>
            <w:r>
              <w:rPr>
                <w:noProof/>
                <w:sz w:val="22"/>
              </w:rPr>
              <w:br/>
            </w:r>
            <w:r>
              <w:rPr>
                <w:b/>
                <w:noProof/>
                <w:sz w:val="20"/>
              </w:rPr>
              <w:t>2022</w:t>
            </w:r>
          </w:p>
        </w:tc>
        <w:tc>
          <w:tcPr>
            <w:tcW w:w="881" w:type="dxa"/>
            <w:vAlign w:val="center"/>
          </w:tcPr>
          <w:p>
            <w:pPr>
              <w:jc w:val="center"/>
              <w:rPr>
                <w:noProof/>
                <w:sz w:val="20"/>
              </w:rPr>
            </w:pPr>
            <w:r>
              <w:rPr>
                <w:noProof/>
                <w:sz w:val="20"/>
              </w:rPr>
              <w:t>Leto</w:t>
            </w:r>
            <w:r>
              <w:rPr>
                <w:noProof/>
                <w:sz w:val="20"/>
              </w:rPr>
              <w:br/>
            </w:r>
            <w:r>
              <w:rPr>
                <w:b/>
                <w:noProof/>
                <w:sz w:val="20"/>
              </w:rPr>
              <w:t>2023</w:t>
            </w:r>
          </w:p>
        </w:tc>
        <w:tc>
          <w:tcPr>
            <w:tcW w:w="882" w:type="dxa"/>
            <w:shd w:val="clear" w:color="auto" w:fill="auto"/>
            <w:vAlign w:val="center"/>
          </w:tcPr>
          <w:p>
            <w:pPr>
              <w:jc w:val="center"/>
              <w:rPr>
                <w:noProof/>
                <w:sz w:val="20"/>
              </w:rPr>
            </w:pPr>
            <w:r>
              <w:rPr>
                <w:noProof/>
                <w:sz w:val="20"/>
              </w:rPr>
              <w:t>Leto</w:t>
            </w:r>
            <w:r>
              <w:rPr>
                <w:noProof/>
                <w:sz w:val="20"/>
              </w:rPr>
              <w:br/>
            </w:r>
            <w:r>
              <w:rPr>
                <w:b/>
                <w:noProof/>
                <w:sz w:val="20"/>
              </w:rPr>
              <w:t>2024</w:t>
            </w:r>
          </w:p>
        </w:tc>
        <w:tc>
          <w:tcPr>
            <w:tcW w:w="882" w:type="dxa"/>
            <w:shd w:val="clear" w:color="auto" w:fill="auto"/>
            <w:vAlign w:val="center"/>
          </w:tcPr>
          <w:p>
            <w:pPr>
              <w:jc w:val="center"/>
              <w:rPr>
                <w:noProof/>
                <w:sz w:val="20"/>
              </w:rPr>
            </w:pPr>
            <w:r>
              <w:rPr>
                <w:noProof/>
                <w:sz w:val="20"/>
              </w:rPr>
              <w:t>Leto</w:t>
            </w:r>
            <w:r>
              <w:rPr>
                <w:noProof/>
                <w:sz w:val="20"/>
              </w:rPr>
              <w:br/>
            </w:r>
            <w:r>
              <w:rPr>
                <w:b/>
                <w:noProof/>
                <w:sz w:val="20"/>
              </w:rPr>
              <w:t>2025</w:t>
            </w:r>
          </w:p>
        </w:tc>
        <w:tc>
          <w:tcPr>
            <w:tcW w:w="882" w:type="dxa"/>
            <w:shd w:val="clear" w:color="auto" w:fill="auto"/>
          </w:tcPr>
          <w:p>
            <w:pPr>
              <w:jc w:val="center"/>
              <w:rPr>
                <w:noProof/>
                <w:sz w:val="20"/>
              </w:rPr>
            </w:pPr>
            <w:r>
              <w:rPr>
                <w:noProof/>
                <w:sz w:val="20"/>
              </w:rPr>
              <w:t>Leto</w:t>
            </w:r>
            <w:r>
              <w:rPr>
                <w:noProof/>
                <w:sz w:val="20"/>
              </w:rPr>
              <w:br/>
            </w:r>
            <w:r>
              <w:rPr>
                <w:b/>
                <w:noProof/>
                <w:sz w:val="20"/>
              </w:rPr>
              <w:t>2026</w:t>
            </w:r>
          </w:p>
        </w:tc>
        <w:tc>
          <w:tcPr>
            <w:tcW w:w="882" w:type="dxa"/>
          </w:tcPr>
          <w:p>
            <w:pPr>
              <w:jc w:val="center"/>
              <w:rPr>
                <w:noProof/>
                <w:sz w:val="20"/>
              </w:rPr>
            </w:pPr>
            <w:r>
              <w:rPr>
                <w:noProof/>
                <w:sz w:val="20"/>
              </w:rPr>
              <w:t>Leto</w:t>
            </w:r>
            <w:r>
              <w:rPr>
                <w:noProof/>
                <w:sz w:val="20"/>
              </w:rPr>
              <w:br/>
            </w:r>
            <w:r>
              <w:rPr>
                <w:b/>
                <w:noProof/>
                <w:sz w:val="20"/>
              </w:rPr>
              <w:t>2027</w:t>
            </w:r>
          </w:p>
        </w:tc>
        <w:tc>
          <w:tcPr>
            <w:tcW w:w="1023" w:type="dxa"/>
            <w:vAlign w:val="center"/>
          </w:tcPr>
          <w:p>
            <w:pPr>
              <w:jc w:val="center"/>
              <w:rPr>
                <w:b/>
                <w:noProof/>
                <w:sz w:val="20"/>
              </w:rPr>
            </w:pPr>
            <w:r>
              <w:rPr>
                <w:b/>
                <w:noProof/>
                <w:sz w:val="20"/>
              </w:rPr>
              <w:t>SKUPAJ</w:t>
            </w:r>
          </w:p>
        </w:tc>
      </w:tr>
      <w:tr>
        <w:trPr>
          <w:trHeight w:val="276"/>
        </w:trPr>
        <w:tc>
          <w:tcPr>
            <w:tcW w:w="2770" w:type="dxa"/>
            <w:vMerge w:val="restart"/>
            <w:vAlign w:val="center"/>
          </w:tcPr>
          <w:p>
            <w:pPr>
              <w:jc w:val="left"/>
              <w:rPr>
                <w:noProof/>
                <w:color w:val="0000FF"/>
              </w:rPr>
            </w:pPr>
            <w:r>
              <w:rPr>
                <w:noProof/>
                <w:sz w:val="20"/>
              </w:rPr>
              <w:t>Naslov 1: Odhodki za zaposlene</w:t>
            </w:r>
          </w:p>
        </w:tc>
        <w:tc>
          <w:tcPr>
            <w:tcW w:w="1357" w:type="dxa"/>
            <w:vAlign w:val="center"/>
          </w:tcPr>
          <w:p>
            <w:pPr>
              <w:spacing w:before="20" w:after="20"/>
              <w:rPr>
                <w:noProof/>
              </w:rPr>
            </w:pPr>
            <w:r>
              <w:rPr>
                <w:noProof/>
                <w:sz w:val="18"/>
              </w:rPr>
              <w:t>obveznosti</w:t>
            </w:r>
          </w:p>
        </w:tc>
        <w:tc>
          <w:tcPr>
            <w:tcW w:w="881" w:type="dxa"/>
            <w:vAlign w:val="center"/>
          </w:tcPr>
          <w:p>
            <w:pPr>
              <w:spacing w:before="20" w:after="20"/>
              <w:jc w:val="center"/>
              <w:rPr>
                <w:noProof/>
                <w:sz w:val="14"/>
              </w:rPr>
            </w:pPr>
            <w:r>
              <w:rPr>
                <w:noProof/>
                <w:sz w:val="14"/>
              </w:rPr>
              <w:t>(1)</w:t>
            </w:r>
          </w:p>
        </w:tc>
        <w:tc>
          <w:tcPr>
            <w:tcW w:w="882" w:type="dxa"/>
          </w:tcPr>
          <w:p>
            <w:pPr>
              <w:jc w:val="right"/>
              <w:rPr>
                <w:noProof/>
                <w:sz w:val="20"/>
              </w:rPr>
            </w:pPr>
            <w:r>
              <w:rPr>
                <w:noProof/>
                <w:sz w:val="20"/>
              </w:rPr>
              <w:t xml:space="preserve">2,876 </w:t>
            </w:r>
          </w:p>
        </w:tc>
        <w:tc>
          <w:tcPr>
            <w:tcW w:w="882" w:type="dxa"/>
          </w:tcPr>
          <w:p>
            <w:pPr>
              <w:jc w:val="right"/>
              <w:rPr>
                <w:noProof/>
                <w:sz w:val="20"/>
              </w:rPr>
            </w:pPr>
            <w:r>
              <w:rPr>
                <w:noProof/>
                <w:sz w:val="20"/>
              </w:rPr>
              <w:t xml:space="preserve">4,850 </w:t>
            </w:r>
          </w:p>
        </w:tc>
        <w:tc>
          <w:tcPr>
            <w:tcW w:w="882" w:type="dxa"/>
          </w:tcPr>
          <w:p>
            <w:pPr>
              <w:jc w:val="right"/>
              <w:rPr>
                <w:noProof/>
                <w:sz w:val="20"/>
              </w:rPr>
            </w:pPr>
            <w:r>
              <w:rPr>
                <w:noProof/>
                <w:sz w:val="20"/>
              </w:rPr>
              <w:t xml:space="preserve">6,202 </w:t>
            </w:r>
          </w:p>
        </w:tc>
        <w:tc>
          <w:tcPr>
            <w:tcW w:w="882" w:type="dxa"/>
          </w:tcPr>
          <w:p>
            <w:pPr>
              <w:jc w:val="right"/>
              <w:rPr>
                <w:noProof/>
                <w:sz w:val="20"/>
              </w:rPr>
            </w:pPr>
            <w:r>
              <w:rPr>
                <w:noProof/>
                <w:sz w:val="20"/>
              </w:rPr>
              <w:t xml:space="preserve">6,902 </w:t>
            </w:r>
          </w:p>
        </w:tc>
        <w:tc>
          <w:tcPr>
            <w:tcW w:w="881" w:type="dxa"/>
          </w:tcPr>
          <w:p>
            <w:pPr>
              <w:jc w:val="right"/>
              <w:rPr>
                <w:noProof/>
                <w:sz w:val="20"/>
              </w:rPr>
            </w:pPr>
            <w:r>
              <w:rPr>
                <w:noProof/>
                <w:sz w:val="20"/>
              </w:rPr>
              <w:t xml:space="preserve">6,624 </w:t>
            </w:r>
          </w:p>
        </w:tc>
        <w:tc>
          <w:tcPr>
            <w:tcW w:w="882" w:type="dxa"/>
          </w:tcPr>
          <w:p>
            <w:pPr>
              <w:jc w:val="right"/>
              <w:rPr>
                <w:noProof/>
                <w:sz w:val="20"/>
              </w:rPr>
            </w:pPr>
            <w:r>
              <w:rPr>
                <w:noProof/>
                <w:sz w:val="20"/>
              </w:rPr>
              <w:t xml:space="preserve">5,482 </w:t>
            </w:r>
          </w:p>
        </w:tc>
        <w:tc>
          <w:tcPr>
            <w:tcW w:w="882" w:type="dxa"/>
          </w:tcPr>
          <w:p>
            <w:pPr>
              <w:jc w:val="right"/>
              <w:rPr>
                <w:noProof/>
                <w:sz w:val="20"/>
              </w:rPr>
            </w:pPr>
            <w:r>
              <w:rPr>
                <w:noProof/>
                <w:sz w:val="20"/>
              </w:rPr>
              <w:t xml:space="preserve">5,136 </w:t>
            </w:r>
          </w:p>
        </w:tc>
        <w:tc>
          <w:tcPr>
            <w:tcW w:w="882" w:type="dxa"/>
          </w:tcPr>
          <w:p>
            <w:pPr>
              <w:jc w:val="right"/>
              <w:rPr>
                <w:noProof/>
                <w:sz w:val="20"/>
              </w:rPr>
            </w:pPr>
            <w:r>
              <w:rPr>
                <w:noProof/>
                <w:sz w:val="20"/>
              </w:rPr>
              <w:t xml:space="preserve">5,136 </w:t>
            </w:r>
          </w:p>
        </w:tc>
        <w:tc>
          <w:tcPr>
            <w:tcW w:w="882" w:type="dxa"/>
          </w:tcPr>
          <w:p>
            <w:pPr>
              <w:jc w:val="right"/>
              <w:rPr>
                <w:noProof/>
                <w:sz w:val="20"/>
              </w:rPr>
            </w:pPr>
            <w:r>
              <w:rPr>
                <w:noProof/>
                <w:sz w:val="20"/>
              </w:rPr>
              <w:t xml:space="preserve">5,136 </w:t>
            </w:r>
          </w:p>
        </w:tc>
        <w:tc>
          <w:tcPr>
            <w:tcW w:w="1023" w:type="dxa"/>
          </w:tcPr>
          <w:p>
            <w:pPr>
              <w:jc w:val="right"/>
              <w:rPr>
                <w:noProof/>
                <w:sz w:val="20"/>
              </w:rPr>
            </w:pPr>
            <w:r>
              <w:rPr>
                <w:noProof/>
                <w:sz w:val="20"/>
              </w:rPr>
              <w:t xml:space="preserve">48,344 </w:t>
            </w:r>
          </w:p>
        </w:tc>
      </w:tr>
      <w:tr>
        <w:trPr>
          <w:trHeight w:val="144"/>
        </w:trPr>
        <w:tc>
          <w:tcPr>
            <w:tcW w:w="2770" w:type="dxa"/>
            <w:vMerge/>
            <w:vAlign w:val="center"/>
          </w:tcPr>
          <w:p>
            <w:pPr>
              <w:jc w:val="left"/>
              <w:rPr>
                <w:noProof/>
                <w:color w:val="0000FF"/>
              </w:rPr>
            </w:pPr>
          </w:p>
        </w:tc>
        <w:tc>
          <w:tcPr>
            <w:tcW w:w="1357" w:type="dxa"/>
            <w:vAlign w:val="center"/>
          </w:tcPr>
          <w:p>
            <w:pPr>
              <w:spacing w:before="20" w:after="20"/>
              <w:rPr>
                <w:noProof/>
                <w:sz w:val="18"/>
              </w:rPr>
            </w:pPr>
            <w:r>
              <w:rPr>
                <w:noProof/>
                <w:sz w:val="18"/>
              </w:rPr>
              <w:t>plačila</w:t>
            </w:r>
          </w:p>
        </w:tc>
        <w:tc>
          <w:tcPr>
            <w:tcW w:w="881" w:type="dxa"/>
            <w:vAlign w:val="center"/>
          </w:tcPr>
          <w:p>
            <w:pPr>
              <w:spacing w:before="20" w:after="20"/>
              <w:jc w:val="center"/>
              <w:rPr>
                <w:noProof/>
                <w:sz w:val="14"/>
              </w:rPr>
            </w:pPr>
            <w:r>
              <w:rPr>
                <w:noProof/>
                <w:sz w:val="14"/>
              </w:rPr>
              <w:t>(2)</w:t>
            </w:r>
          </w:p>
        </w:tc>
        <w:tc>
          <w:tcPr>
            <w:tcW w:w="882" w:type="dxa"/>
          </w:tcPr>
          <w:p>
            <w:pPr>
              <w:jc w:val="right"/>
              <w:rPr>
                <w:noProof/>
                <w:sz w:val="20"/>
              </w:rPr>
            </w:pPr>
            <w:r>
              <w:rPr>
                <w:noProof/>
                <w:sz w:val="20"/>
              </w:rPr>
              <w:t xml:space="preserve">2,876 </w:t>
            </w:r>
          </w:p>
        </w:tc>
        <w:tc>
          <w:tcPr>
            <w:tcW w:w="882" w:type="dxa"/>
          </w:tcPr>
          <w:p>
            <w:pPr>
              <w:jc w:val="right"/>
              <w:rPr>
                <w:noProof/>
                <w:sz w:val="20"/>
              </w:rPr>
            </w:pPr>
            <w:r>
              <w:rPr>
                <w:noProof/>
                <w:sz w:val="20"/>
              </w:rPr>
              <w:t xml:space="preserve">4,850 </w:t>
            </w:r>
          </w:p>
        </w:tc>
        <w:tc>
          <w:tcPr>
            <w:tcW w:w="882" w:type="dxa"/>
          </w:tcPr>
          <w:p>
            <w:pPr>
              <w:jc w:val="right"/>
              <w:rPr>
                <w:noProof/>
                <w:sz w:val="20"/>
              </w:rPr>
            </w:pPr>
            <w:r>
              <w:rPr>
                <w:noProof/>
                <w:sz w:val="20"/>
              </w:rPr>
              <w:t xml:space="preserve">6,202 </w:t>
            </w:r>
          </w:p>
        </w:tc>
        <w:tc>
          <w:tcPr>
            <w:tcW w:w="882" w:type="dxa"/>
          </w:tcPr>
          <w:p>
            <w:pPr>
              <w:jc w:val="right"/>
              <w:rPr>
                <w:noProof/>
                <w:sz w:val="20"/>
              </w:rPr>
            </w:pPr>
            <w:r>
              <w:rPr>
                <w:noProof/>
                <w:sz w:val="20"/>
              </w:rPr>
              <w:t xml:space="preserve">6,902 </w:t>
            </w:r>
          </w:p>
        </w:tc>
        <w:tc>
          <w:tcPr>
            <w:tcW w:w="881" w:type="dxa"/>
          </w:tcPr>
          <w:p>
            <w:pPr>
              <w:jc w:val="right"/>
              <w:rPr>
                <w:noProof/>
                <w:sz w:val="20"/>
              </w:rPr>
            </w:pPr>
            <w:r>
              <w:rPr>
                <w:noProof/>
                <w:sz w:val="20"/>
              </w:rPr>
              <w:t xml:space="preserve">6,624 </w:t>
            </w:r>
          </w:p>
        </w:tc>
        <w:tc>
          <w:tcPr>
            <w:tcW w:w="882" w:type="dxa"/>
          </w:tcPr>
          <w:p>
            <w:pPr>
              <w:jc w:val="right"/>
              <w:rPr>
                <w:noProof/>
                <w:sz w:val="20"/>
              </w:rPr>
            </w:pPr>
            <w:r>
              <w:rPr>
                <w:noProof/>
                <w:sz w:val="20"/>
              </w:rPr>
              <w:t xml:space="preserve">5,482 </w:t>
            </w:r>
          </w:p>
        </w:tc>
        <w:tc>
          <w:tcPr>
            <w:tcW w:w="882" w:type="dxa"/>
          </w:tcPr>
          <w:p>
            <w:pPr>
              <w:jc w:val="right"/>
              <w:rPr>
                <w:noProof/>
                <w:sz w:val="20"/>
              </w:rPr>
            </w:pPr>
            <w:r>
              <w:rPr>
                <w:noProof/>
                <w:sz w:val="20"/>
              </w:rPr>
              <w:t xml:space="preserve">5,136 </w:t>
            </w:r>
          </w:p>
        </w:tc>
        <w:tc>
          <w:tcPr>
            <w:tcW w:w="882" w:type="dxa"/>
          </w:tcPr>
          <w:p>
            <w:pPr>
              <w:jc w:val="right"/>
              <w:rPr>
                <w:noProof/>
                <w:sz w:val="20"/>
              </w:rPr>
            </w:pPr>
            <w:r>
              <w:rPr>
                <w:noProof/>
                <w:sz w:val="20"/>
              </w:rPr>
              <w:t xml:space="preserve">5,136 </w:t>
            </w:r>
          </w:p>
        </w:tc>
        <w:tc>
          <w:tcPr>
            <w:tcW w:w="882" w:type="dxa"/>
          </w:tcPr>
          <w:p>
            <w:pPr>
              <w:jc w:val="right"/>
              <w:rPr>
                <w:noProof/>
                <w:sz w:val="20"/>
              </w:rPr>
            </w:pPr>
            <w:r>
              <w:rPr>
                <w:noProof/>
                <w:sz w:val="20"/>
              </w:rPr>
              <w:t xml:space="preserve">5,136 </w:t>
            </w:r>
          </w:p>
        </w:tc>
        <w:tc>
          <w:tcPr>
            <w:tcW w:w="1023" w:type="dxa"/>
          </w:tcPr>
          <w:p>
            <w:pPr>
              <w:jc w:val="right"/>
              <w:rPr>
                <w:noProof/>
                <w:sz w:val="20"/>
              </w:rPr>
            </w:pPr>
            <w:r>
              <w:rPr>
                <w:noProof/>
                <w:sz w:val="20"/>
              </w:rPr>
              <w:t xml:space="preserve">48,344 </w:t>
            </w:r>
          </w:p>
        </w:tc>
      </w:tr>
      <w:tr>
        <w:trPr>
          <w:trHeight w:val="262"/>
        </w:trPr>
        <w:tc>
          <w:tcPr>
            <w:tcW w:w="2770" w:type="dxa"/>
            <w:vMerge w:val="restart"/>
            <w:vAlign w:val="center"/>
          </w:tcPr>
          <w:p>
            <w:pPr>
              <w:jc w:val="left"/>
              <w:rPr>
                <w:noProof/>
                <w:color w:val="0000FF"/>
              </w:rPr>
            </w:pPr>
            <w:r>
              <w:rPr>
                <w:noProof/>
                <w:sz w:val="20"/>
              </w:rPr>
              <w:t>Naslov 2: Infrastruktura in odhodki iz poslovanja</w:t>
            </w:r>
          </w:p>
        </w:tc>
        <w:tc>
          <w:tcPr>
            <w:tcW w:w="1357" w:type="dxa"/>
            <w:vAlign w:val="center"/>
          </w:tcPr>
          <w:p>
            <w:pPr>
              <w:spacing w:before="20" w:after="20"/>
              <w:rPr>
                <w:noProof/>
                <w:sz w:val="18"/>
              </w:rPr>
            </w:pPr>
            <w:r>
              <w:rPr>
                <w:noProof/>
                <w:sz w:val="18"/>
              </w:rPr>
              <w:t>obveznosti</w:t>
            </w:r>
          </w:p>
        </w:tc>
        <w:tc>
          <w:tcPr>
            <w:tcW w:w="881" w:type="dxa"/>
            <w:vAlign w:val="center"/>
          </w:tcPr>
          <w:p>
            <w:pPr>
              <w:spacing w:before="20" w:after="20"/>
              <w:jc w:val="center"/>
              <w:rPr>
                <w:noProof/>
                <w:sz w:val="14"/>
              </w:rPr>
            </w:pPr>
            <w:r>
              <w:rPr>
                <w:noProof/>
                <w:sz w:val="14"/>
              </w:rPr>
              <w:t>(1a)</w:t>
            </w:r>
          </w:p>
        </w:tc>
        <w:tc>
          <w:tcPr>
            <w:tcW w:w="882" w:type="dxa"/>
          </w:tcPr>
          <w:p>
            <w:pPr>
              <w:jc w:val="right"/>
              <w:rPr>
                <w:noProof/>
                <w:sz w:val="20"/>
              </w:rPr>
            </w:pPr>
            <w:r>
              <w:rPr>
                <w:noProof/>
                <w:sz w:val="20"/>
              </w:rPr>
              <w:t xml:space="preserve">0,136 </w:t>
            </w:r>
          </w:p>
        </w:tc>
        <w:tc>
          <w:tcPr>
            <w:tcW w:w="882" w:type="dxa"/>
          </w:tcPr>
          <w:p>
            <w:pPr>
              <w:jc w:val="right"/>
              <w:rPr>
                <w:noProof/>
                <w:sz w:val="20"/>
              </w:rPr>
            </w:pPr>
            <w:r>
              <w:rPr>
                <w:noProof/>
                <w:sz w:val="20"/>
              </w:rPr>
              <w:t xml:space="preserve">0,227 </w:t>
            </w:r>
          </w:p>
        </w:tc>
        <w:tc>
          <w:tcPr>
            <w:tcW w:w="882" w:type="dxa"/>
          </w:tcPr>
          <w:p>
            <w:pPr>
              <w:jc w:val="right"/>
              <w:rPr>
                <w:noProof/>
                <w:sz w:val="20"/>
              </w:rPr>
            </w:pPr>
            <w:r>
              <w:rPr>
                <w:noProof/>
                <w:sz w:val="20"/>
              </w:rPr>
              <w:t xml:space="preserve">0,292 </w:t>
            </w:r>
          </w:p>
        </w:tc>
        <w:tc>
          <w:tcPr>
            <w:tcW w:w="882" w:type="dxa"/>
          </w:tcPr>
          <w:p>
            <w:pPr>
              <w:jc w:val="right"/>
              <w:rPr>
                <w:noProof/>
                <w:sz w:val="20"/>
              </w:rPr>
            </w:pPr>
            <w:r>
              <w:rPr>
                <w:noProof/>
                <w:sz w:val="20"/>
              </w:rPr>
              <w:t xml:space="preserve">0,343 </w:t>
            </w:r>
          </w:p>
        </w:tc>
        <w:tc>
          <w:tcPr>
            <w:tcW w:w="881" w:type="dxa"/>
          </w:tcPr>
          <w:p>
            <w:pPr>
              <w:jc w:val="right"/>
              <w:rPr>
                <w:noProof/>
                <w:sz w:val="20"/>
              </w:rPr>
            </w:pPr>
            <w:r>
              <w:rPr>
                <w:noProof/>
                <w:sz w:val="20"/>
              </w:rPr>
              <w:t xml:space="preserve">0,328 </w:t>
            </w:r>
          </w:p>
        </w:tc>
        <w:tc>
          <w:tcPr>
            <w:tcW w:w="882" w:type="dxa"/>
          </w:tcPr>
          <w:p>
            <w:pPr>
              <w:jc w:val="right"/>
              <w:rPr>
                <w:noProof/>
                <w:sz w:val="20"/>
              </w:rPr>
            </w:pPr>
            <w:r>
              <w:rPr>
                <w:noProof/>
                <w:sz w:val="20"/>
              </w:rPr>
              <w:t xml:space="preserve">0,277 </w:t>
            </w:r>
          </w:p>
        </w:tc>
        <w:tc>
          <w:tcPr>
            <w:tcW w:w="882" w:type="dxa"/>
          </w:tcPr>
          <w:p>
            <w:pPr>
              <w:jc w:val="right"/>
              <w:rPr>
                <w:noProof/>
                <w:sz w:val="20"/>
              </w:rPr>
            </w:pPr>
            <w:r>
              <w:rPr>
                <w:noProof/>
                <w:sz w:val="20"/>
              </w:rPr>
              <w:t xml:space="preserve">0,262 </w:t>
            </w:r>
          </w:p>
        </w:tc>
        <w:tc>
          <w:tcPr>
            <w:tcW w:w="882" w:type="dxa"/>
          </w:tcPr>
          <w:p>
            <w:pPr>
              <w:jc w:val="right"/>
              <w:rPr>
                <w:noProof/>
                <w:sz w:val="20"/>
              </w:rPr>
            </w:pPr>
            <w:r>
              <w:rPr>
                <w:noProof/>
                <w:sz w:val="20"/>
              </w:rPr>
              <w:t xml:space="preserve">0,262 </w:t>
            </w:r>
          </w:p>
        </w:tc>
        <w:tc>
          <w:tcPr>
            <w:tcW w:w="882" w:type="dxa"/>
          </w:tcPr>
          <w:p>
            <w:pPr>
              <w:jc w:val="right"/>
              <w:rPr>
                <w:noProof/>
                <w:sz w:val="20"/>
              </w:rPr>
            </w:pPr>
            <w:r>
              <w:rPr>
                <w:noProof/>
                <w:sz w:val="20"/>
              </w:rPr>
              <w:t xml:space="preserve">0,262 </w:t>
            </w:r>
          </w:p>
        </w:tc>
        <w:tc>
          <w:tcPr>
            <w:tcW w:w="1023" w:type="dxa"/>
          </w:tcPr>
          <w:p>
            <w:pPr>
              <w:jc w:val="right"/>
              <w:rPr>
                <w:noProof/>
                <w:sz w:val="20"/>
              </w:rPr>
            </w:pPr>
            <w:r>
              <w:rPr>
                <w:noProof/>
                <w:sz w:val="20"/>
              </w:rPr>
              <w:t xml:space="preserve">2,389 </w:t>
            </w:r>
          </w:p>
        </w:tc>
      </w:tr>
      <w:tr>
        <w:trPr>
          <w:trHeight w:val="144"/>
        </w:trPr>
        <w:tc>
          <w:tcPr>
            <w:tcW w:w="2770" w:type="dxa"/>
            <w:vMerge/>
            <w:vAlign w:val="center"/>
          </w:tcPr>
          <w:p>
            <w:pPr>
              <w:jc w:val="left"/>
              <w:rPr>
                <w:noProof/>
                <w:color w:val="0000FF"/>
              </w:rPr>
            </w:pPr>
          </w:p>
        </w:tc>
        <w:tc>
          <w:tcPr>
            <w:tcW w:w="1357" w:type="dxa"/>
            <w:vAlign w:val="center"/>
          </w:tcPr>
          <w:p>
            <w:pPr>
              <w:spacing w:before="20" w:after="20"/>
              <w:rPr>
                <w:noProof/>
                <w:sz w:val="18"/>
              </w:rPr>
            </w:pPr>
            <w:r>
              <w:rPr>
                <w:noProof/>
                <w:sz w:val="18"/>
              </w:rPr>
              <w:t>plačila</w:t>
            </w:r>
          </w:p>
        </w:tc>
        <w:tc>
          <w:tcPr>
            <w:tcW w:w="881" w:type="dxa"/>
            <w:vAlign w:val="center"/>
          </w:tcPr>
          <w:p>
            <w:pPr>
              <w:spacing w:before="20" w:after="20"/>
              <w:jc w:val="center"/>
              <w:rPr>
                <w:noProof/>
                <w:sz w:val="14"/>
              </w:rPr>
            </w:pPr>
            <w:r>
              <w:rPr>
                <w:noProof/>
                <w:sz w:val="14"/>
              </w:rPr>
              <w:t>(2a)</w:t>
            </w:r>
          </w:p>
        </w:tc>
        <w:tc>
          <w:tcPr>
            <w:tcW w:w="882" w:type="dxa"/>
          </w:tcPr>
          <w:p>
            <w:pPr>
              <w:jc w:val="right"/>
              <w:rPr>
                <w:noProof/>
                <w:sz w:val="20"/>
              </w:rPr>
            </w:pPr>
            <w:r>
              <w:rPr>
                <w:noProof/>
                <w:sz w:val="20"/>
              </w:rPr>
              <w:t xml:space="preserve">0,136 </w:t>
            </w:r>
          </w:p>
        </w:tc>
        <w:tc>
          <w:tcPr>
            <w:tcW w:w="882" w:type="dxa"/>
          </w:tcPr>
          <w:p>
            <w:pPr>
              <w:jc w:val="right"/>
              <w:rPr>
                <w:noProof/>
                <w:sz w:val="20"/>
              </w:rPr>
            </w:pPr>
            <w:r>
              <w:rPr>
                <w:noProof/>
                <w:sz w:val="20"/>
              </w:rPr>
              <w:t xml:space="preserve">0,227 </w:t>
            </w:r>
          </w:p>
        </w:tc>
        <w:tc>
          <w:tcPr>
            <w:tcW w:w="882" w:type="dxa"/>
          </w:tcPr>
          <w:p>
            <w:pPr>
              <w:jc w:val="right"/>
              <w:rPr>
                <w:noProof/>
                <w:sz w:val="20"/>
              </w:rPr>
            </w:pPr>
            <w:r>
              <w:rPr>
                <w:noProof/>
                <w:sz w:val="20"/>
              </w:rPr>
              <w:t xml:space="preserve">0,292 </w:t>
            </w:r>
          </w:p>
        </w:tc>
        <w:tc>
          <w:tcPr>
            <w:tcW w:w="882" w:type="dxa"/>
          </w:tcPr>
          <w:p>
            <w:pPr>
              <w:jc w:val="right"/>
              <w:rPr>
                <w:noProof/>
                <w:sz w:val="20"/>
              </w:rPr>
            </w:pPr>
            <w:r>
              <w:rPr>
                <w:noProof/>
                <w:sz w:val="20"/>
              </w:rPr>
              <w:t xml:space="preserve">0,343 </w:t>
            </w:r>
          </w:p>
        </w:tc>
        <w:tc>
          <w:tcPr>
            <w:tcW w:w="881" w:type="dxa"/>
          </w:tcPr>
          <w:p>
            <w:pPr>
              <w:jc w:val="right"/>
              <w:rPr>
                <w:noProof/>
                <w:sz w:val="20"/>
              </w:rPr>
            </w:pPr>
            <w:r>
              <w:rPr>
                <w:noProof/>
                <w:sz w:val="20"/>
              </w:rPr>
              <w:t xml:space="preserve">0,328 </w:t>
            </w:r>
          </w:p>
        </w:tc>
        <w:tc>
          <w:tcPr>
            <w:tcW w:w="882" w:type="dxa"/>
          </w:tcPr>
          <w:p>
            <w:pPr>
              <w:jc w:val="right"/>
              <w:rPr>
                <w:noProof/>
                <w:sz w:val="20"/>
              </w:rPr>
            </w:pPr>
            <w:r>
              <w:rPr>
                <w:noProof/>
                <w:sz w:val="20"/>
              </w:rPr>
              <w:t xml:space="preserve">0,277 </w:t>
            </w:r>
          </w:p>
        </w:tc>
        <w:tc>
          <w:tcPr>
            <w:tcW w:w="882" w:type="dxa"/>
          </w:tcPr>
          <w:p>
            <w:pPr>
              <w:jc w:val="right"/>
              <w:rPr>
                <w:noProof/>
                <w:sz w:val="20"/>
              </w:rPr>
            </w:pPr>
            <w:r>
              <w:rPr>
                <w:noProof/>
                <w:sz w:val="20"/>
              </w:rPr>
              <w:t xml:space="preserve">0,262 </w:t>
            </w:r>
          </w:p>
        </w:tc>
        <w:tc>
          <w:tcPr>
            <w:tcW w:w="882" w:type="dxa"/>
          </w:tcPr>
          <w:p>
            <w:pPr>
              <w:jc w:val="right"/>
              <w:rPr>
                <w:noProof/>
                <w:sz w:val="20"/>
              </w:rPr>
            </w:pPr>
            <w:r>
              <w:rPr>
                <w:noProof/>
                <w:sz w:val="20"/>
              </w:rPr>
              <w:t xml:space="preserve">0,262 </w:t>
            </w:r>
          </w:p>
        </w:tc>
        <w:tc>
          <w:tcPr>
            <w:tcW w:w="882" w:type="dxa"/>
          </w:tcPr>
          <w:p>
            <w:pPr>
              <w:jc w:val="right"/>
              <w:rPr>
                <w:noProof/>
                <w:sz w:val="20"/>
              </w:rPr>
            </w:pPr>
            <w:r>
              <w:rPr>
                <w:noProof/>
                <w:sz w:val="20"/>
              </w:rPr>
              <w:t xml:space="preserve">0,262 </w:t>
            </w:r>
          </w:p>
        </w:tc>
        <w:tc>
          <w:tcPr>
            <w:tcW w:w="1023" w:type="dxa"/>
          </w:tcPr>
          <w:p>
            <w:pPr>
              <w:jc w:val="right"/>
              <w:rPr>
                <w:noProof/>
                <w:sz w:val="20"/>
              </w:rPr>
            </w:pPr>
            <w:r>
              <w:rPr>
                <w:noProof/>
                <w:sz w:val="20"/>
              </w:rPr>
              <w:t xml:space="preserve">2,389 </w:t>
            </w:r>
          </w:p>
        </w:tc>
      </w:tr>
      <w:tr>
        <w:trPr>
          <w:trHeight w:val="318"/>
        </w:trPr>
        <w:tc>
          <w:tcPr>
            <w:tcW w:w="2770" w:type="dxa"/>
            <w:vMerge w:val="restart"/>
            <w:vAlign w:val="center"/>
          </w:tcPr>
          <w:p>
            <w:pPr>
              <w:spacing w:before="60" w:after="60"/>
              <w:jc w:val="left"/>
              <w:rPr>
                <w:noProof/>
                <w:color w:val="0000FF"/>
              </w:rPr>
            </w:pPr>
            <w:r>
              <w:rPr>
                <w:noProof/>
                <w:sz w:val="20"/>
              </w:rPr>
              <w:t>Naslov 3: Odhodki iz poslovanja</w:t>
            </w:r>
          </w:p>
        </w:tc>
        <w:tc>
          <w:tcPr>
            <w:tcW w:w="1357" w:type="dxa"/>
            <w:vAlign w:val="center"/>
          </w:tcPr>
          <w:p>
            <w:pPr>
              <w:spacing w:before="40" w:after="40"/>
              <w:rPr>
                <w:noProof/>
                <w:sz w:val="18"/>
              </w:rPr>
            </w:pPr>
            <w:r>
              <w:rPr>
                <w:noProof/>
                <w:sz w:val="18"/>
              </w:rPr>
              <w:t>obveznosti</w:t>
            </w:r>
          </w:p>
        </w:tc>
        <w:tc>
          <w:tcPr>
            <w:tcW w:w="881" w:type="dxa"/>
            <w:vAlign w:val="center"/>
          </w:tcPr>
          <w:p>
            <w:pPr>
              <w:spacing w:before="40" w:after="40"/>
              <w:jc w:val="center"/>
              <w:rPr>
                <w:noProof/>
                <w:sz w:val="14"/>
              </w:rPr>
            </w:pPr>
            <w:r>
              <w:rPr>
                <w:noProof/>
                <w:sz w:val="14"/>
              </w:rPr>
              <w:t>(3a)</w:t>
            </w:r>
          </w:p>
        </w:tc>
        <w:tc>
          <w:tcPr>
            <w:tcW w:w="882" w:type="dxa"/>
          </w:tcPr>
          <w:p>
            <w:pPr>
              <w:jc w:val="right"/>
              <w:rPr>
                <w:noProof/>
                <w:sz w:val="20"/>
              </w:rPr>
            </w:pPr>
            <w:r>
              <w:rPr>
                <w:noProof/>
                <w:sz w:val="20"/>
              </w:rPr>
              <w:t xml:space="preserve">2,818 </w:t>
            </w:r>
          </w:p>
        </w:tc>
        <w:tc>
          <w:tcPr>
            <w:tcW w:w="882" w:type="dxa"/>
          </w:tcPr>
          <w:p>
            <w:pPr>
              <w:jc w:val="right"/>
              <w:rPr>
                <w:noProof/>
                <w:sz w:val="20"/>
              </w:rPr>
            </w:pPr>
            <w:r>
              <w:rPr>
                <w:noProof/>
                <w:sz w:val="20"/>
              </w:rPr>
              <w:t xml:space="preserve">11,954 </w:t>
            </w:r>
          </w:p>
        </w:tc>
        <w:tc>
          <w:tcPr>
            <w:tcW w:w="882" w:type="dxa"/>
          </w:tcPr>
          <w:p>
            <w:pPr>
              <w:jc w:val="right"/>
              <w:rPr>
                <w:noProof/>
                <w:sz w:val="20"/>
              </w:rPr>
            </w:pPr>
            <w:r>
              <w:rPr>
                <w:noProof/>
                <w:sz w:val="20"/>
              </w:rPr>
              <w:t xml:space="preserve">45,249 </w:t>
            </w:r>
          </w:p>
        </w:tc>
        <w:tc>
          <w:tcPr>
            <w:tcW w:w="882" w:type="dxa"/>
          </w:tcPr>
          <w:p>
            <w:pPr>
              <w:jc w:val="right"/>
              <w:rPr>
                <w:noProof/>
                <w:sz w:val="20"/>
              </w:rPr>
            </w:pPr>
            <w:r>
              <w:rPr>
                <w:noProof/>
                <w:sz w:val="20"/>
              </w:rPr>
              <w:t xml:space="preserve">37,504 </w:t>
            </w:r>
          </w:p>
        </w:tc>
        <w:tc>
          <w:tcPr>
            <w:tcW w:w="881" w:type="dxa"/>
          </w:tcPr>
          <w:p>
            <w:pPr>
              <w:jc w:val="right"/>
              <w:rPr>
                <w:noProof/>
                <w:sz w:val="20"/>
              </w:rPr>
            </w:pPr>
            <w:r>
              <w:rPr>
                <w:noProof/>
                <w:sz w:val="20"/>
              </w:rPr>
              <w:t xml:space="preserve">22,701 </w:t>
            </w:r>
          </w:p>
        </w:tc>
        <w:tc>
          <w:tcPr>
            <w:tcW w:w="882" w:type="dxa"/>
          </w:tcPr>
          <w:p>
            <w:pPr>
              <w:jc w:val="right"/>
              <w:rPr>
                <w:noProof/>
                <w:sz w:val="20"/>
              </w:rPr>
            </w:pPr>
            <w:r>
              <w:rPr>
                <w:noProof/>
                <w:sz w:val="20"/>
              </w:rPr>
              <w:t xml:space="preserve">14,611 </w:t>
            </w:r>
          </w:p>
        </w:tc>
        <w:tc>
          <w:tcPr>
            <w:tcW w:w="882" w:type="dxa"/>
          </w:tcPr>
          <w:p>
            <w:pPr>
              <w:jc w:val="right"/>
              <w:rPr>
                <w:noProof/>
                <w:sz w:val="20"/>
              </w:rPr>
            </w:pPr>
            <w:r>
              <w:rPr>
                <w:noProof/>
                <w:sz w:val="20"/>
              </w:rPr>
              <w:t xml:space="preserve">13,211 </w:t>
            </w:r>
          </w:p>
        </w:tc>
        <w:tc>
          <w:tcPr>
            <w:tcW w:w="882" w:type="dxa"/>
          </w:tcPr>
          <w:p>
            <w:pPr>
              <w:jc w:val="right"/>
              <w:rPr>
                <w:noProof/>
                <w:sz w:val="20"/>
              </w:rPr>
            </w:pPr>
            <w:r>
              <w:rPr>
                <w:noProof/>
                <w:sz w:val="20"/>
              </w:rPr>
              <w:t xml:space="preserve">13,131 </w:t>
            </w:r>
          </w:p>
        </w:tc>
        <w:tc>
          <w:tcPr>
            <w:tcW w:w="882" w:type="dxa"/>
          </w:tcPr>
          <w:p>
            <w:pPr>
              <w:jc w:val="right"/>
              <w:rPr>
                <w:noProof/>
                <w:sz w:val="20"/>
              </w:rPr>
            </w:pPr>
            <w:r>
              <w:rPr>
                <w:noProof/>
                <w:sz w:val="20"/>
              </w:rPr>
              <w:t xml:space="preserve">13,131 </w:t>
            </w:r>
          </w:p>
        </w:tc>
        <w:tc>
          <w:tcPr>
            <w:tcW w:w="1023" w:type="dxa"/>
          </w:tcPr>
          <w:p>
            <w:pPr>
              <w:jc w:val="right"/>
              <w:rPr>
                <w:noProof/>
                <w:sz w:val="20"/>
              </w:rPr>
            </w:pPr>
            <w:r>
              <w:rPr>
                <w:noProof/>
                <w:sz w:val="20"/>
              </w:rPr>
              <w:t xml:space="preserve">174,309 </w:t>
            </w:r>
          </w:p>
        </w:tc>
      </w:tr>
      <w:tr>
        <w:trPr>
          <w:trHeight w:val="318"/>
        </w:trPr>
        <w:tc>
          <w:tcPr>
            <w:tcW w:w="2770" w:type="dxa"/>
            <w:vMerge/>
            <w:vAlign w:val="center"/>
          </w:tcPr>
          <w:p>
            <w:pPr>
              <w:spacing w:before="60" w:after="60"/>
              <w:rPr>
                <w:b/>
                <w:noProof/>
                <w:sz w:val="20"/>
              </w:rPr>
            </w:pPr>
          </w:p>
        </w:tc>
        <w:tc>
          <w:tcPr>
            <w:tcW w:w="1357" w:type="dxa"/>
            <w:vAlign w:val="center"/>
          </w:tcPr>
          <w:p>
            <w:pPr>
              <w:spacing w:before="40" w:after="40"/>
              <w:rPr>
                <w:noProof/>
                <w:sz w:val="18"/>
              </w:rPr>
            </w:pPr>
            <w:r>
              <w:rPr>
                <w:noProof/>
                <w:sz w:val="18"/>
              </w:rPr>
              <w:t>plačila</w:t>
            </w:r>
          </w:p>
        </w:tc>
        <w:tc>
          <w:tcPr>
            <w:tcW w:w="881" w:type="dxa"/>
            <w:vAlign w:val="center"/>
          </w:tcPr>
          <w:p>
            <w:pPr>
              <w:spacing w:before="40" w:after="40"/>
              <w:jc w:val="center"/>
              <w:rPr>
                <w:noProof/>
                <w:sz w:val="14"/>
              </w:rPr>
            </w:pPr>
            <w:r>
              <w:rPr>
                <w:noProof/>
                <w:sz w:val="14"/>
              </w:rPr>
              <w:t>(3b)</w:t>
            </w:r>
          </w:p>
        </w:tc>
        <w:tc>
          <w:tcPr>
            <w:tcW w:w="882" w:type="dxa"/>
          </w:tcPr>
          <w:p>
            <w:pPr>
              <w:jc w:val="right"/>
              <w:rPr>
                <w:noProof/>
                <w:sz w:val="20"/>
              </w:rPr>
            </w:pPr>
            <w:r>
              <w:rPr>
                <w:noProof/>
                <w:sz w:val="20"/>
              </w:rPr>
              <w:t xml:space="preserve">2,818 </w:t>
            </w:r>
          </w:p>
        </w:tc>
        <w:tc>
          <w:tcPr>
            <w:tcW w:w="882" w:type="dxa"/>
          </w:tcPr>
          <w:p>
            <w:pPr>
              <w:jc w:val="right"/>
              <w:rPr>
                <w:noProof/>
                <w:sz w:val="20"/>
              </w:rPr>
            </w:pPr>
            <w:r>
              <w:rPr>
                <w:noProof/>
                <w:sz w:val="20"/>
              </w:rPr>
              <w:t xml:space="preserve">11,954 </w:t>
            </w:r>
          </w:p>
        </w:tc>
        <w:tc>
          <w:tcPr>
            <w:tcW w:w="882" w:type="dxa"/>
          </w:tcPr>
          <w:p>
            <w:pPr>
              <w:jc w:val="right"/>
              <w:rPr>
                <w:noProof/>
                <w:sz w:val="20"/>
              </w:rPr>
            </w:pPr>
            <w:r>
              <w:rPr>
                <w:noProof/>
                <w:sz w:val="20"/>
              </w:rPr>
              <w:t xml:space="preserve">45,249 </w:t>
            </w:r>
          </w:p>
        </w:tc>
        <w:tc>
          <w:tcPr>
            <w:tcW w:w="882" w:type="dxa"/>
          </w:tcPr>
          <w:p>
            <w:pPr>
              <w:jc w:val="right"/>
              <w:rPr>
                <w:noProof/>
                <w:sz w:val="20"/>
              </w:rPr>
            </w:pPr>
            <w:r>
              <w:rPr>
                <w:noProof/>
                <w:sz w:val="20"/>
              </w:rPr>
              <w:t xml:space="preserve">37,504 </w:t>
            </w:r>
          </w:p>
        </w:tc>
        <w:tc>
          <w:tcPr>
            <w:tcW w:w="881" w:type="dxa"/>
          </w:tcPr>
          <w:p>
            <w:pPr>
              <w:jc w:val="right"/>
              <w:rPr>
                <w:noProof/>
                <w:sz w:val="20"/>
              </w:rPr>
            </w:pPr>
            <w:r>
              <w:rPr>
                <w:noProof/>
                <w:sz w:val="20"/>
              </w:rPr>
              <w:t xml:space="preserve">22,701 </w:t>
            </w:r>
          </w:p>
        </w:tc>
        <w:tc>
          <w:tcPr>
            <w:tcW w:w="882" w:type="dxa"/>
          </w:tcPr>
          <w:p>
            <w:pPr>
              <w:jc w:val="right"/>
              <w:rPr>
                <w:noProof/>
                <w:sz w:val="20"/>
              </w:rPr>
            </w:pPr>
            <w:r>
              <w:rPr>
                <w:noProof/>
                <w:sz w:val="20"/>
              </w:rPr>
              <w:t xml:space="preserve">14,611 </w:t>
            </w:r>
          </w:p>
        </w:tc>
        <w:tc>
          <w:tcPr>
            <w:tcW w:w="882" w:type="dxa"/>
          </w:tcPr>
          <w:p>
            <w:pPr>
              <w:jc w:val="right"/>
              <w:rPr>
                <w:noProof/>
                <w:sz w:val="20"/>
              </w:rPr>
            </w:pPr>
            <w:r>
              <w:rPr>
                <w:noProof/>
                <w:sz w:val="20"/>
              </w:rPr>
              <w:t xml:space="preserve">13,211 </w:t>
            </w:r>
          </w:p>
        </w:tc>
        <w:tc>
          <w:tcPr>
            <w:tcW w:w="882" w:type="dxa"/>
          </w:tcPr>
          <w:p>
            <w:pPr>
              <w:jc w:val="right"/>
              <w:rPr>
                <w:noProof/>
                <w:sz w:val="20"/>
              </w:rPr>
            </w:pPr>
            <w:r>
              <w:rPr>
                <w:noProof/>
                <w:sz w:val="20"/>
              </w:rPr>
              <w:t xml:space="preserve">13,131 </w:t>
            </w:r>
          </w:p>
        </w:tc>
        <w:tc>
          <w:tcPr>
            <w:tcW w:w="882" w:type="dxa"/>
          </w:tcPr>
          <w:p>
            <w:pPr>
              <w:jc w:val="right"/>
              <w:rPr>
                <w:noProof/>
                <w:sz w:val="20"/>
              </w:rPr>
            </w:pPr>
            <w:r>
              <w:rPr>
                <w:noProof/>
                <w:sz w:val="20"/>
              </w:rPr>
              <w:t xml:space="preserve">13,131 </w:t>
            </w:r>
          </w:p>
        </w:tc>
        <w:tc>
          <w:tcPr>
            <w:tcW w:w="1023" w:type="dxa"/>
          </w:tcPr>
          <w:p>
            <w:pPr>
              <w:jc w:val="right"/>
              <w:rPr>
                <w:noProof/>
                <w:sz w:val="20"/>
              </w:rPr>
            </w:pPr>
            <w:r>
              <w:rPr>
                <w:noProof/>
                <w:sz w:val="20"/>
              </w:rPr>
              <w:t xml:space="preserve">174,309 </w:t>
            </w:r>
          </w:p>
        </w:tc>
      </w:tr>
      <w:tr>
        <w:trPr>
          <w:trHeight w:val="749"/>
        </w:trPr>
        <w:tc>
          <w:tcPr>
            <w:tcW w:w="2770" w:type="dxa"/>
            <w:vAlign w:val="center"/>
          </w:tcPr>
          <w:p>
            <w:pPr>
              <w:jc w:val="center"/>
              <w:rPr>
                <w:noProof/>
              </w:rPr>
            </w:pPr>
            <w:r>
              <w:rPr>
                <w:b/>
                <w:noProof/>
                <w:sz w:val="22"/>
              </w:rPr>
              <w:t>Odobritve za</w:t>
            </w:r>
            <w:r>
              <w:rPr>
                <w:noProof/>
                <w:sz w:val="22"/>
              </w:rPr>
              <w:br/>
            </w:r>
            <w:r>
              <w:rPr>
                <w:b/>
                <w:noProof/>
                <w:sz w:val="22"/>
              </w:rPr>
              <w:t>eu-LISA SKUPAJ</w:t>
            </w:r>
          </w:p>
        </w:tc>
        <w:tc>
          <w:tcPr>
            <w:tcW w:w="1357" w:type="dxa"/>
            <w:vAlign w:val="center"/>
          </w:tcPr>
          <w:p>
            <w:pPr>
              <w:rPr>
                <w:noProof/>
                <w:sz w:val="18"/>
              </w:rPr>
            </w:pPr>
            <w:r>
              <w:rPr>
                <w:noProof/>
                <w:sz w:val="18"/>
              </w:rPr>
              <w:t>(obveznosti skupaj = plačila skupaj)</w:t>
            </w:r>
          </w:p>
        </w:tc>
        <w:tc>
          <w:tcPr>
            <w:tcW w:w="881" w:type="dxa"/>
            <w:vAlign w:val="center"/>
          </w:tcPr>
          <w:p>
            <w:pPr>
              <w:jc w:val="center"/>
              <w:rPr>
                <w:noProof/>
                <w:sz w:val="14"/>
              </w:rPr>
            </w:pPr>
            <w:r>
              <w:rPr>
                <w:noProof/>
                <w:sz w:val="14"/>
              </w:rPr>
              <w:t>=1+1a+3a</w:t>
            </w:r>
          </w:p>
        </w:tc>
        <w:tc>
          <w:tcPr>
            <w:tcW w:w="882" w:type="dxa"/>
          </w:tcPr>
          <w:p>
            <w:pPr>
              <w:jc w:val="right"/>
              <w:rPr>
                <w:b/>
                <w:noProof/>
                <w:sz w:val="22"/>
              </w:rPr>
            </w:pPr>
            <w:r>
              <w:rPr>
                <w:b/>
                <w:noProof/>
                <w:sz w:val="22"/>
              </w:rPr>
              <w:t xml:space="preserve">5,830 </w:t>
            </w:r>
          </w:p>
        </w:tc>
        <w:tc>
          <w:tcPr>
            <w:tcW w:w="882" w:type="dxa"/>
          </w:tcPr>
          <w:p>
            <w:pPr>
              <w:jc w:val="right"/>
              <w:rPr>
                <w:b/>
                <w:noProof/>
                <w:sz w:val="22"/>
              </w:rPr>
            </w:pPr>
            <w:r>
              <w:rPr>
                <w:b/>
                <w:noProof/>
                <w:sz w:val="22"/>
              </w:rPr>
              <w:t xml:space="preserve">17,031 </w:t>
            </w:r>
          </w:p>
        </w:tc>
        <w:tc>
          <w:tcPr>
            <w:tcW w:w="882" w:type="dxa"/>
          </w:tcPr>
          <w:p>
            <w:pPr>
              <w:jc w:val="right"/>
              <w:rPr>
                <w:b/>
                <w:noProof/>
                <w:sz w:val="22"/>
              </w:rPr>
            </w:pPr>
            <w:r>
              <w:rPr>
                <w:b/>
                <w:noProof/>
                <w:sz w:val="22"/>
              </w:rPr>
              <w:t xml:space="preserve">51,743 </w:t>
            </w:r>
          </w:p>
        </w:tc>
        <w:tc>
          <w:tcPr>
            <w:tcW w:w="882" w:type="dxa"/>
          </w:tcPr>
          <w:p>
            <w:pPr>
              <w:jc w:val="right"/>
              <w:rPr>
                <w:b/>
                <w:noProof/>
                <w:sz w:val="22"/>
              </w:rPr>
            </w:pPr>
            <w:r>
              <w:rPr>
                <w:b/>
                <w:noProof/>
                <w:sz w:val="22"/>
              </w:rPr>
              <w:t xml:space="preserve">44,749 </w:t>
            </w:r>
          </w:p>
        </w:tc>
        <w:tc>
          <w:tcPr>
            <w:tcW w:w="881" w:type="dxa"/>
          </w:tcPr>
          <w:p>
            <w:pPr>
              <w:jc w:val="right"/>
              <w:rPr>
                <w:b/>
                <w:noProof/>
                <w:sz w:val="22"/>
              </w:rPr>
            </w:pPr>
            <w:r>
              <w:rPr>
                <w:b/>
                <w:noProof/>
                <w:sz w:val="22"/>
              </w:rPr>
              <w:t xml:space="preserve">29,653 </w:t>
            </w:r>
          </w:p>
        </w:tc>
        <w:tc>
          <w:tcPr>
            <w:tcW w:w="882" w:type="dxa"/>
          </w:tcPr>
          <w:p>
            <w:pPr>
              <w:jc w:val="right"/>
              <w:rPr>
                <w:b/>
                <w:noProof/>
                <w:sz w:val="22"/>
              </w:rPr>
            </w:pPr>
            <w:r>
              <w:rPr>
                <w:b/>
                <w:noProof/>
                <w:sz w:val="22"/>
              </w:rPr>
              <w:t xml:space="preserve">20,370 </w:t>
            </w:r>
          </w:p>
        </w:tc>
        <w:tc>
          <w:tcPr>
            <w:tcW w:w="882" w:type="dxa"/>
          </w:tcPr>
          <w:p>
            <w:pPr>
              <w:jc w:val="right"/>
              <w:rPr>
                <w:b/>
                <w:noProof/>
                <w:sz w:val="22"/>
              </w:rPr>
            </w:pPr>
            <w:r>
              <w:rPr>
                <w:b/>
                <w:noProof/>
                <w:sz w:val="22"/>
              </w:rPr>
              <w:t xml:space="preserve">18,609 </w:t>
            </w:r>
          </w:p>
        </w:tc>
        <w:tc>
          <w:tcPr>
            <w:tcW w:w="882" w:type="dxa"/>
          </w:tcPr>
          <w:p>
            <w:pPr>
              <w:jc w:val="right"/>
              <w:rPr>
                <w:b/>
                <w:noProof/>
                <w:sz w:val="22"/>
              </w:rPr>
            </w:pPr>
            <w:r>
              <w:rPr>
                <w:b/>
                <w:noProof/>
                <w:sz w:val="22"/>
              </w:rPr>
              <w:t xml:space="preserve">18,529 </w:t>
            </w:r>
          </w:p>
        </w:tc>
        <w:tc>
          <w:tcPr>
            <w:tcW w:w="882" w:type="dxa"/>
          </w:tcPr>
          <w:p>
            <w:pPr>
              <w:jc w:val="right"/>
              <w:rPr>
                <w:b/>
                <w:noProof/>
                <w:sz w:val="22"/>
              </w:rPr>
            </w:pPr>
            <w:r>
              <w:rPr>
                <w:b/>
                <w:noProof/>
                <w:sz w:val="22"/>
              </w:rPr>
              <w:t xml:space="preserve">18,529 </w:t>
            </w:r>
          </w:p>
        </w:tc>
        <w:tc>
          <w:tcPr>
            <w:tcW w:w="1023" w:type="dxa"/>
          </w:tcPr>
          <w:p>
            <w:pPr>
              <w:jc w:val="right"/>
              <w:rPr>
                <w:b/>
                <w:noProof/>
                <w:sz w:val="22"/>
              </w:rPr>
            </w:pPr>
            <w:r>
              <w:rPr>
                <w:b/>
                <w:noProof/>
                <w:sz w:val="22"/>
              </w:rPr>
              <w:t xml:space="preserve">225,041 </w:t>
            </w:r>
          </w:p>
        </w:tc>
      </w:tr>
    </w:tbl>
    <w:p>
      <w:pPr>
        <w:rPr>
          <w:noProof/>
        </w:rPr>
      </w:pPr>
    </w:p>
    <w:p>
      <w:pPr>
        <w:rPr>
          <w:noProof/>
        </w:rPr>
      </w:pPr>
      <w:r>
        <w:rPr>
          <w:noProof/>
        </w:rPr>
        <w:t>Iz teh odhodkov se bodo krili naslednji stroški:</w:t>
      </w:r>
    </w:p>
    <w:p>
      <w:pPr>
        <w:pStyle w:val="ListDash"/>
        <w:rPr>
          <w:noProof/>
        </w:rPr>
      </w:pPr>
      <w:r>
        <w:rPr>
          <w:noProof/>
        </w:rPr>
        <w:t>stroški za razvoj in vzdrževanje štirih sestavnih delov interoperabilnosti (evropskega iskalnega portala (ESP), skupne storitve za ugotavljanje ujemanja biometričnih podatkov (skupna BMS), skupnega odložišča podatkov o identiteti (CIR) in detektorja več identitet (MID)) iz zakonodajnega predloga ter centralnega registra za poročanje in statistične podatke (CRRS). Agencija eu-LISA bo delovala kot predstavnik lastnika projekta in bo za pripravo specifikacij, izbor izvajalcev, vodenje dela, preskušanje rezultatov v nizu preskusov ter sprejemanje opravljenega dela uporabila lastno osebje;</w:t>
      </w:r>
    </w:p>
    <w:p>
      <w:pPr>
        <w:pStyle w:val="ListDash"/>
        <w:rPr>
          <w:noProof/>
        </w:rPr>
      </w:pPr>
      <w:r>
        <w:rPr>
          <w:noProof/>
        </w:rPr>
        <w:t>stroški, povezani z migracijo podatkov z obstoječih sistemov na nove sestavne dele. Agencija eu-LISA pa nima neposredne vloge pri začetnem nalaganju podatkov za MID (potrjevanje povezav), ker gre pri tem za ukrep pri sami vsebini podatkov. Pri migriranju biometričnih podatkov z obstoječih sistemov gre za vprašanje oblike in označbe podatkov, ne pa za njihovo vsebino;</w:t>
      </w:r>
    </w:p>
    <w:p>
      <w:pPr>
        <w:pStyle w:val="ListDash"/>
        <w:rPr>
          <w:noProof/>
        </w:rPr>
      </w:pPr>
      <w:r>
        <w:rPr>
          <w:noProof/>
        </w:rPr>
        <w:t>stroški nadgradnje in delovanja sistema ECRIS-TCN v načinu visoke dostopnosti od leta 2022. Sistem ECRIS-TCN je centralni sistem, ki vsebuje kazenske evidence državljanov tretjih držav. Sistem naj bi bil na voljo do leta 2020. Sestavni deli interoperabilnosti naj bi dostopali tudi do tega sistema, ki bi moral zato tudi postati sistem visoke dostopnosti. Odhodki iz poslovanja vključujejo dodatne stroške za doseganje te visoke razpoložljivosti. Stroški se leta 2021 občutno spremenijo, čemur sledijo stalni stroški vzdrževanja in delovanja. Ti stroški niso vključeni v oceno finančnih posledic zakonodajnega predloga za spremembo uredbe o ustanovitvi agencije eu-LISA</w:t>
      </w:r>
      <w:r>
        <w:rPr>
          <w:rStyle w:val="FootnoteReference"/>
          <w:rFonts w:eastAsiaTheme="majorEastAsia"/>
          <w:noProof/>
        </w:rPr>
        <w:footnoteReference w:id="88"/>
      </w:r>
      <w:r>
        <w:rPr>
          <w:noProof/>
        </w:rPr>
        <w:t>, ki vključuje samo proračune od leta 2018 do leta 2020 in se torej ne prekriva s temi proračunskimi zahtevami.</w:t>
      </w:r>
    </w:p>
    <w:p>
      <w:pPr>
        <w:pStyle w:val="ListDash"/>
        <w:rPr>
          <w:noProof/>
        </w:rPr>
      </w:pPr>
      <w:r>
        <w:rPr>
          <w:noProof/>
        </w:rPr>
        <w:t>Struktura izdatkov odraža zaporedje projekta. Ker so različni sestavni deli medsebojno odvisni, obdobje razvoja traja od leta 2019 do leta 2023. Vendar se pri sestavnih delih, ki bodo prvi na voljo, vzdrževanje in delovanje začne že leta 2020. To pojasnjuje, zakaj so odhodki na začetku nižji, se nato povečajo, potem pa spet zmanjšajo na konstantno vrednost.</w:t>
      </w:r>
    </w:p>
    <w:p>
      <w:pPr>
        <w:pStyle w:val="ListDash"/>
        <w:rPr>
          <w:noProof/>
        </w:rPr>
      </w:pPr>
      <w:r>
        <w:rPr>
          <w:noProof/>
        </w:rPr>
        <w:t>Odhodki iz naslova 1 (odhodki za zaposlene) sledijo zaporedju projekta: potrebnega je več osebja za izvedbo projekta z izvajalcem (katerega stroški so pod naslovom 3). Ko bo projekt izveden, bo del ekipe za izvedbo razporejen na delo za razvoj in vzdrževanje. Hkrati se poveča število osebja za upravljanje novoizvedenih sistemov.</w:t>
      </w:r>
    </w:p>
    <w:p>
      <w:pPr>
        <w:pStyle w:val="ListDash"/>
        <w:rPr>
          <w:noProof/>
        </w:rPr>
      </w:pPr>
      <w:r>
        <w:rPr>
          <w:noProof/>
        </w:rPr>
        <w:t xml:space="preserve">Odhodki iz naslova 2 (infrastruktura in odhodki iz poslovanja) krijejo dodatne pisarniške prostore za začasno gostitev ekip izvajalca, ki so odgovorne za naloge razvoja, vzdrževanja in delovanja. Tako ta vzorec odhodkov časovno sledi tudi razvoju na področju števila osebja. Stroški namestitve dodatne opreme so že vključeni v proračun agencije eu-LISA. Nobenih dodatnih stroškov ni niti za gostitev osebja agencije eu-LISA, saj so ti vključeni v standardne stroške za osebje. </w:t>
      </w:r>
    </w:p>
    <w:p>
      <w:pPr>
        <w:pStyle w:val="ListDash"/>
        <w:rPr>
          <w:noProof/>
        </w:rPr>
      </w:pPr>
      <w:r>
        <w:rPr>
          <w:noProof/>
        </w:rPr>
        <w:t>Odhodki iz naslova 3 (odhodki iz poslovanja) vključujejo stroške izvajalca za razvoj in vzdrževanje sistema ter za pridobitev posebne strojne in programske opreme.</w:t>
      </w:r>
      <w:r>
        <w:rPr>
          <w:noProof/>
        </w:rPr>
        <w:tab/>
      </w:r>
      <w:r>
        <w:rPr>
          <w:noProof/>
        </w:rPr>
        <w:br/>
        <w:t>Stroški izvajalca se začnejo s študijami za opredelitev specifikacij sestavnih delov in razvojem prvotno le enega sestavnega dela (CRRS). V obdobju 2020–2022 se stroški povečajo, saj se bo več sestavnih delov razvijalo vzporedno. Ko dosežejo najvišjo vrednost, se stroški ne znižajo, saj v tem portfelju projektov naloge migriranja podatkov zavzemajo pomembno mesto. Stroški izvajalca se nato znižajo, saj se sestavni deli izvedejo in preidejo v način delovanja, ki zahteva stabilen vzorec sredstev.</w:t>
      </w:r>
      <w:r>
        <w:rPr>
          <w:noProof/>
        </w:rPr>
        <w:tab/>
      </w:r>
      <w:r>
        <w:rPr>
          <w:noProof/>
        </w:rPr>
        <w:br/>
        <w:t xml:space="preserve">Skupaj z odhodki iz naslova 3 se v letu 2020 odhodki močno povečajo v primerjavi s prejšnjim letom zaradi začetne naložbe v strojno in programsko opremo, potrebno med razvojem. Odhodki iz naslova 3 (odhodki iz poslovanja) se v letu 2021 in 2022 povečajo zaradi stroškov naložb v strojno in programsko opremo za operacijska okolja IT (izdelava in predizdelava centralne enote in nadomestne centralne enote), ki nastanejo v letu pred začetkom delovanja sestavnih delov interoperabilnosti (CIR oziroma MID) z visokimi zahtevami glede strojne in programske opreme. Po začetku delovanja bodo stroški za strojno in programsko opremo v glavnem stroški vzdrževanja. </w:t>
      </w:r>
    </w:p>
    <w:p>
      <w:pPr>
        <w:pStyle w:val="ListDash"/>
        <w:rPr>
          <w:noProof/>
        </w:rPr>
      </w:pPr>
      <w:r>
        <w:rPr>
          <w:noProof/>
        </w:rPr>
        <w:t>Več podrobnosti je v nadaljevanju.</w:t>
      </w:r>
    </w:p>
    <w:p>
      <w:pPr>
        <w:keepNext/>
        <w:rPr>
          <w:noProof/>
        </w:rPr>
      </w:pPr>
    </w:p>
    <w:p>
      <w:pPr>
        <w:keepNext/>
        <w:rPr>
          <w:noProof/>
        </w:rPr>
      </w:pP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keepNext/>
              <w:spacing w:before="60" w:after="60"/>
              <w:jc w:val="center"/>
              <w:rPr>
                <w:b/>
                <w:noProof/>
              </w:rPr>
            </w:pPr>
            <w:r>
              <w:rPr>
                <w:noProof/>
              </w:rPr>
              <w:br w:type="page"/>
            </w:r>
            <w:r>
              <w:rPr>
                <w:b/>
                <w:noProof/>
                <w:sz w:val="22"/>
              </w:rPr>
              <w:t xml:space="preserve">Razdelek večletnega finančnega </w:t>
            </w:r>
            <w:r>
              <w:rPr>
                <w:noProof/>
                <w:sz w:val="22"/>
              </w:rPr>
              <w:br/>
            </w:r>
            <w:r>
              <w:rPr>
                <w:b/>
                <w:noProof/>
                <w:sz w:val="22"/>
              </w:rPr>
              <w:t xml:space="preserve">okvira </w:t>
            </w:r>
          </w:p>
        </w:tc>
        <w:tc>
          <w:tcPr>
            <w:tcW w:w="1080" w:type="dxa"/>
            <w:shd w:val="thinDiagStripe" w:color="C0C0C0" w:fill="auto"/>
            <w:vAlign w:val="center"/>
          </w:tcPr>
          <w:p>
            <w:pPr>
              <w:keepNext/>
              <w:spacing w:before="60" w:after="60"/>
              <w:jc w:val="center"/>
              <w:rPr>
                <w:noProof/>
              </w:rPr>
            </w:pPr>
            <w:r>
              <w:rPr>
                <w:b/>
                <w:noProof/>
                <w:sz w:val="22"/>
              </w:rPr>
              <w:t>5</w:t>
            </w:r>
          </w:p>
        </w:tc>
        <w:tc>
          <w:tcPr>
            <w:tcW w:w="7817" w:type="dxa"/>
            <w:vAlign w:val="center"/>
          </w:tcPr>
          <w:p>
            <w:pPr>
              <w:keepNext/>
              <w:spacing w:before="60" w:after="60"/>
              <w:rPr>
                <w:noProof/>
              </w:rPr>
            </w:pPr>
            <w:r>
              <w:rPr>
                <w:noProof/>
                <w:sz w:val="22"/>
              </w:rPr>
              <w:t>„Upravni odhodki“</w:t>
            </w:r>
          </w:p>
        </w:tc>
      </w:tr>
    </w:tbl>
    <w:p>
      <w:pPr>
        <w:keepNext/>
        <w:jc w:val="right"/>
        <w:rPr>
          <w:noProof/>
          <w:sz w:val="20"/>
        </w:rPr>
      </w:pPr>
      <w:r>
        <w:rPr>
          <w:noProof/>
          <w:sz w:val="20"/>
        </w:rPr>
        <w:t>v mio. EUR (na tri decimalna mesta natančno)</w:t>
      </w:r>
    </w:p>
    <w:tbl>
      <w:tblPr>
        <w:tblW w:w="1434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60"/>
        <w:gridCol w:w="1640"/>
        <w:gridCol w:w="240"/>
        <w:gridCol w:w="633"/>
        <w:gridCol w:w="87"/>
        <w:gridCol w:w="710"/>
        <w:gridCol w:w="10"/>
        <w:gridCol w:w="840"/>
        <w:gridCol w:w="62"/>
        <w:gridCol w:w="778"/>
        <w:gridCol w:w="20"/>
        <w:gridCol w:w="798"/>
        <w:gridCol w:w="22"/>
        <w:gridCol w:w="720"/>
        <w:gridCol w:w="56"/>
        <w:gridCol w:w="784"/>
        <w:gridCol w:w="14"/>
        <w:gridCol w:w="912"/>
        <w:gridCol w:w="34"/>
        <w:gridCol w:w="764"/>
        <w:gridCol w:w="76"/>
        <w:gridCol w:w="1150"/>
        <w:gridCol w:w="236"/>
      </w:tblGrid>
      <w:tr>
        <w:trPr>
          <w:trHeight w:val="692"/>
        </w:trPr>
        <w:tc>
          <w:tcPr>
            <w:tcW w:w="3760" w:type="dxa"/>
            <w:tcBorders>
              <w:top w:val="nil"/>
              <w:left w:val="nil"/>
              <w:right w:val="nil"/>
            </w:tcBorders>
            <w:vAlign w:val="center"/>
          </w:tcPr>
          <w:p>
            <w:pPr>
              <w:keepNext/>
              <w:jc w:val="center"/>
              <w:rPr>
                <w:noProof/>
                <w:sz w:val="22"/>
              </w:rPr>
            </w:pPr>
          </w:p>
        </w:tc>
        <w:tc>
          <w:tcPr>
            <w:tcW w:w="1640" w:type="dxa"/>
            <w:tcBorders>
              <w:top w:val="nil"/>
              <w:left w:val="nil"/>
              <w:right w:val="nil"/>
            </w:tcBorders>
          </w:tcPr>
          <w:p>
            <w:pPr>
              <w:keepNext/>
              <w:rPr>
                <w:noProof/>
                <w:sz w:val="20"/>
              </w:rPr>
            </w:pPr>
          </w:p>
        </w:tc>
        <w:tc>
          <w:tcPr>
            <w:tcW w:w="240" w:type="dxa"/>
            <w:tcBorders>
              <w:top w:val="nil"/>
              <w:left w:val="nil"/>
            </w:tcBorders>
          </w:tcPr>
          <w:p>
            <w:pPr>
              <w:keepNext/>
              <w:jc w:val="center"/>
              <w:rPr>
                <w:noProof/>
                <w:sz w:val="20"/>
              </w:rPr>
            </w:pPr>
          </w:p>
        </w:tc>
        <w:tc>
          <w:tcPr>
            <w:tcW w:w="720" w:type="dxa"/>
            <w:gridSpan w:val="2"/>
            <w:vAlign w:val="center"/>
          </w:tcPr>
          <w:p>
            <w:pPr>
              <w:keepNext/>
              <w:jc w:val="center"/>
              <w:rPr>
                <w:noProof/>
                <w:sz w:val="20"/>
              </w:rPr>
            </w:pPr>
            <w:r>
              <w:rPr>
                <w:noProof/>
                <w:sz w:val="20"/>
              </w:rPr>
              <w:t>Leto</w:t>
            </w:r>
            <w:r>
              <w:rPr>
                <w:noProof/>
                <w:sz w:val="22"/>
              </w:rPr>
              <w:br/>
            </w:r>
            <w:r>
              <w:rPr>
                <w:b/>
                <w:noProof/>
                <w:sz w:val="20"/>
              </w:rPr>
              <w:t>2019</w:t>
            </w:r>
          </w:p>
        </w:tc>
        <w:tc>
          <w:tcPr>
            <w:tcW w:w="720" w:type="dxa"/>
            <w:gridSpan w:val="2"/>
            <w:vAlign w:val="center"/>
          </w:tcPr>
          <w:p>
            <w:pPr>
              <w:keepNext/>
              <w:jc w:val="center"/>
              <w:rPr>
                <w:noProof/>
                <w:sz w:val="20"/>
              </w:rPr>
            </w:pPr>
            <w:r>
              <w:rPr>
                <w:noProof/>
                <w:sz w:val="20"/>
              </w:rPr>
              <w:t>Leto</w:t>
            </w:r>
            <w:r>
              <w:rPr>
                <w:noProof/>
                <w:sz w:val="22"/>
              </w:rPr>
              <w:br/>
            </w:r>
            <w:r>
              <w:rPr>
                <w:b/>
                <w:noProof/>
                <w:sz w:val="20"/>
              </w:rPr>
              <w:t>2020</w:t>
            </w:r>
          </w:p>
        </w:tc>
        <w:tc>
          <w:tcPr>
            <w:tcW w:w="840" w:type="dxa"/>
            <w:vAlign w:val="center"/>
          </w:tcPr>
          <w:p>
            <w:pPr>
              <w:keepNext/>
              <w:jc w:val="center"/>
              <w:rPr>
                <w:noProof/>
                <w:sz w:val="20"/>
              </w:rPr>
            </w:pPr>
            <w:r>
              <w:rPr>
                <w:noProof/>
                <w:sz w:val="20"/>
              </w:rPr>
              <w:t>Leto</w:t>
            </w:r>
            <w:r>
              <w:rPr>
                <w:noProof/>
                <w:sz w:val="22"/>
              </w:rPr>
              <w:br/>
            </w:r>
            <w:r>
              <w:rPr>
                <w:b/>
                <w:noProof/>
                <w:sz w:val="20"/>
              </w:rPr>
              <w:t>2021</w:t>
            </w:r>
          </w:p>
        </w:tc>
        <w:tc>
          <w:tcPr>
            <w:tcW w:w="840" w:type="dxa"/>
            <w:gridSpan w:val="2"/>
            <w:vAlign w:val="center"/>
          </w:tcPr>
          <w:p>
            <w:pPr>
              <w:keepNext/>
              <w:jc w:val="center"/>
              <w:rPr>
                <w:noProof/>
                <w:sz w:val="20"/>
              </w:rPr>
            </w:pPr>
            <w:r>
              <w:rPr>
                <w:noProof/>
                <w:sz w:val="20"/>
              </w:rPr>
              <w:t>Leto</w:t>
            </w:r>
            <w:r>
              <w:rPr>
                <w:noProof/>
                <w:sz w:val="22"/>
              </w:rPr>
              <w:br/>
            </w:r>
            <w:r>
              <w:rPr>
                <w:b/>
                <w:noProof/>
                <w:sz w:val="20"/>
              </w:rPr>
              <w:t>2022</w:t>
            </w:r>
          </w:p>
        </w:tc>
        <w:tc>
          <w:tcPr>
            <w:tcW w:w="840" w:type="dxa"/>
            <w:gridSpan w:val="3"/>
            <w:vAlign w:val="center"/>
          </w:tcPr>
          <w:p>
            <w:pPr>
              <w:keepNext/>
              <w:jc w:val="center"/>
              <w:rPr>
                <w:b/>
                <w:noProof/>
                <w:sz w:val="18"/>
              </w:rPr>
            </w:pPr>
            <w:r>
              <w:rPr>
                <w:noProof/>
                <w:sz w:val="20"/>
              </w:rPr>
              <w:t>Leto</w:t>
            </w:r>
            <w:r>
              <w:rPr>
                <w:noProof/>
                <w:sz w:val="22"/>
              </w:rPr>
              <w:br/>
            </w:r>
            <w:r>
              <w:rPr>
                <w:b/>
                <w:noProof/>
                <w:sz w:val="20"/>
              </w:rPr>
              <w:t>2023</w:t>
            </w:r>
          </w:p>
        </w:tc>
        <w:tc>
          <w:tcPr>
            <w:tcW w:w="720" w:type="dxa"/>
            <w:vAlign w:val="center"/>
          </w:tcPr>
          <w:p>
            <w:pPr>
              <w:keepNext/>
              <w:jc w:val="center"/>
              <w:rPr>
                <w:b/>
                <w:noProof/>
                <w:sz w:val="18"/>
              </w:rPr>
            </w:pPr>
            <w:r>
              <w:rPr>
                <w:noProof/>
                <w:sz w:val="20"/>
              </w:rPr>
              <w:t>Leto</w:t>
            </w:r>
            <w:r>
              <w:rPr>
                <w:noProof/>
                <w:sz w:val="22"/>
              </w:rPr>
              <w:br/>
            </w:r>
            <w:r>
              <w:rPr>
                <w:b/>
                <w:noProof/>
                <w:sz w:val="20"/>
              </w:rPr>
              <w:t>2024</w:t>
            </w:r>
          </w:p>
        </w:tc>
        <w:tc>
          <w:tcPr>
            <w:tcW w:w="840" w:type="dxa"/>
            <w:gridSpan w:val="2"/>
            <w:vAlign w:val="center"/>
          </w:tcPr>
          <w:p>
            <w:pPr>
              <w:keepNext/>
              <w:jc w:val="center"/>
              <w:rPr>
                <w:b/>
                <w:noProof/>
                <w:sz w:val="18"/>
              </w:rPr>
            </w:pPr>
            <w:r>
              <w:rPr>
                <w:noProof/>
                <w:sz w:val="20"/>
              </w:rPr>
              <w:t>Leto</w:t>
            </w:r>
            <w:r>
              <w:rPr>
                <w:noProof/>
                <w:sz w:val="22"/>
              </w:rPr>
              <w:br/>
            </w:r>
            <w:r>
              <w:rPr>
                <w:b/>
                <w:noProof/>
                <w:sz w:val="20"/>
              </w:rPr>
              <w:t>2025</w:t>
            </w:r>
          </w:p>
        </w:tc>
        <w:tc>
          <w:tcPr>
            <w:tcW w:w="960" w:type="dxa"/>
            <w:gridSpan w:val="3"/>
          </w:tcPr>
          <w:p>
            <w:pPr>
              <w:keepNext/>
              <w:jc w:val="center"/>
              <w:rPr>
                <w:b/>
                <w:noProof/>
                <w:sz w:val="20"/>
              </w:rPr>
            </w:pPr>
            <w:r>
              <w:rPr>
                <w:noProof/>
                <w:sz w:val="20"/>
              </w:rPr>
              <w:t>Leto</w:t>
            </w:r>
            <w:r>
              <w:rPr>
                <w:noProof/>
                <w:sz w:val="22"/>
              </w:rPr>
              <w:br/>
            </w:r>
            <w:r>
              <w:rPr>
                <w:b/>
                <w:noProof/>
                <w:sz w:val="20"/>
              </w:rPr>
              <w:t>2026</w:t>
            </w:r>
          </w:p>
        </w:tc>
        <w:tc>
          <w:tcPr>
            <w:tcW w:w="840" w:type="dxa"/>
            <w:gridSpan w:val="2"/>
          </w:tcPr>
          <w:p>
            <w:pPr>
              <w:keepNext/>
              <w:jc w:val="center"/>
              <w:rPr>
                <w:b/>
                <w:noProof/>
                <w:sz w:val="20"/>
              </w:rPr>
            </w:pPr>
            <w:r>
              <w:rPr>
                <w:noProof/>
                <w:sz w:val="20"/>
              </w:rPr>
              <w:t>Leto</w:t>
            </w:r>
            <w:r>
              <w:rPr>
                <w:noProof/>
                <w:sz w:val="22"/>
              </w:rPr>
              <w:br/>
            </w:r>
            <w:r>
              <w:rPr>
                <w:b/>
                <w:noProof/>
                <w:sz w:val="20"/>
              </w:rPr>
              <w:t>2027</w:t>
            </w:r>
          </w:p>
        </w:tc>
        <w:tc>
          <w:tcPr>
            <w:tcW w:w="1386" w:type="dxa"/>
            <w:gridSpan w:val="2"/>
            <w:vAlign w:val="center"/>
          </w:tcPr>
          <w:p>
            <w:pPr>
              <w:keepNext/>
              <w:jc w:val="center"/>
              <w:rPr>
                <w:b/>
                <w:noProof/>
                <w:sz w:val="20"/>
              </w:rPr>
            </w:pPr>
            <w:r>
              <w:rPr>
                <w:b/>
                <w:noProof/>
                <w:sz w:val="20"/>
              </w:rPr>
              <w:t>SKUPAJ</w:t>
            </w:r>
          </w:p>
        </w:tc>
      </w:tr>
      <w:tr>
        <w:trPr>
          <w:gridAfter w:val="21"/>
          <w:wAfter w:w="8946" w:type="dxa"/>
          <w:trHeight w:val="378"/>
        </w:trPr>
        <w:tc>
          <w:tcPr>
            <w:tcW w:w="3760" w:type="dxa"/>
            <w:vAlign w:val="center"/>
          </w:tcPr>
          <w:p>
            <w:pPr>
              <w:keepNext/>
              <w:spacing w:before="60" w:after="60"/>
              <w:jc w:val="center"/>
              <w:rPr>
                <w:noProof/>
                <w:sz w:val="22"/>
              </w:rPr>
            </w:pPr>
            <w:r>
              <w:rPr>
                <w:noProof/>
                <w:sz w:val="22"/>
              </w:rPr>
              <w:t>GD HOME</w:t>
            </w:r>
          </w:p>
        </w:tc>
        <w:tc>
          <w:tcPr>
            <w:tcW w:w="1640" w:type="dxa"/>
          </w:tcPr>
          <w:p>
            <w:pPr>
              <w:keepNext/>
              <w:spacing w:before="60" w:after="60"/>
              <w:jc w:val="center"/>
              <w:rPr>
                <w:noProof/>
                <w:sz w:val="22"/>
              </w:rPr>
            </w:pPr>
          </w:p>
        </w:tc>
      </w:tr>
      <w:tr>
        <w:trPr>
          <w:gridAfter w:val="1"/>
          <w:wAfter w:w="236" w:type="dxa"/>
          <w:trHeight w:val="314"/>
        </w:trPr>
        <w:tc>
          <w:tcPr>
            <w:tcW w:w="5400" w:type="dxa"/>
            <w:gridSpan w:val="2"/>
            <w:vAlign w:val="center"/>
          </w:tcPr>
          <w:p>
            <w:pPr>
              <w:keepNext/>
              <w:spacing w:before="20" w:after="20"/>
              <w:rPr>
                <w:noProof/>
                <w:sz w:val="22"/>
              </w:rPr>
            </w:pPr>
            <w:r>
              <w:rPr>
                <w:noProof/>
                <w:sz w:val="22"/>
              </w:rPr>
              <w:sym w:font="Wingdings" w:char="F09F"/>
            </w:r>
            <w:r>
              <w:rPr>
                <w:noProof/>
                <w:sz w:val="22"/>
              </w:rPr>
              <w:t xml:space="preserve"> Človeški viri </w:t>
            </w:r>
          </w:p>
          <w:p>
            <w:pPr>
              <w:keepNext/>
              <w:spacing w:before="20" w:after="20"/>
              <w:rPr>
                <w:noProof/>
                <w:sz w:val="22"/>
                <w:highlight w:val="yellow"/>
              </w:rPr>
            </w:pPr>
            <w:r>
              <w:rPr>
                <w:noProof/>
                <w:sz w:val="22"/>
              </w:rPr>
              <w:t>Številka proračunske vrstice 18.01</w:t>
            </w:r>
          </w:p>
        </w:tc>
        <w:tc>
          <w:tcPr>
            <w:tcW w:w="873" w:type="dxa"/>
            <w:gridSpan w:val="2"/>
          </w:tcPr>
          <w:p>
            <w:pPr>
              <w:keepNext/>
              <w:spacing w:before="20" w:after="20"/>
              <w:jc w:val="center"/>
              <w:rPr>
                <w:noProof/>
                <w:sz w:val="22"/>
              </w:rPr>
            </w:pPr>
            <w:r>
              <w:rPr>
                <w:noProof/>
                <w:sz w:val="22"/>
              </w:rPr>
              <w:t xml:space="preserve">0,690 </w:t>
            </w:r>
          </w:p>
        </w:tc>
        <w:tc>
          <w:tcPr>
            <w:tcW w:w="797" w:type="dxa"/>
            <w:gridSpan w:val="2"/>
          </w:tcPr>
          <w:p>
            <w:pPr>
              <w:keepNext/>
              <w:spacing w:before="20" w:after="20"/>
              <w:jc w:val="right"/>
              <w:rPr>
                <w:noProof/>
                <w:sz w:val="22"/>
              </w:rPr>
            </w:pPr>
            <w:r>
              <w:rPr>
                <w:noProof/>
                <w:sz w:val="22"/>
              </w:rPr>
              <w:t xml:space="preserve">0,690 </w:t>
            </w:r>
          </w:p>
        </w:tc>
        <w:tc>
          <w:tcPr>
            <w:tcW w:w="912" w:type="dxa"/>
            <w:gridSpan w:val="3"/>
          </w:tcPr>
          <w:p>
            <w:pPr>
              <w:keepNext/>
              <w:spacing w:before="20" w:after="20"/>
              <w:jc w:val="right"/>
              <w:rPr>
                <w:noProof/>
                <w:sz w:val="22"/>
              </w:rPr>
            </w:pPr>
            <w:r>
              <w:rPr>
                <w:noProof/>
                <w:sz w:val="22"/>
              </w:rPr>
              <w:t xml:space="preserve">0,690 </w:t>
            </w:r>
          </w:p>
        </w:tc>
        <w:tc>
          <w:tcPr>
            <w:tcW w:w="798" w:type="dxa"/>
            <w:gridSpan w:val="2"/>
          </w:tcPr>
          <w:p>
            <w:pPr>
              <w:keepNext/>
              <w:spacing w:before="20" w:after="20"/>
              <w:jc w:val="right"/>
              <w:rPr>
                <w:noProof/>
                <w:sz w:val="22"/>
              </w:rPr>
            </w:pPr>
            <w:r>
              <w:rPr>
                <w:noProof/>
                <w:sz w:val="22"/>
              </w:rPr>
              <w:t xml:space="preserve">0,690 </w:t>
            </w:r>
          </w:p>
        </w:tc>
        <w:tc>
          <w:tcPr>
            <w:tcW w:w="798" w:type="dxa"/>
          </w:tcPr>
          <w:p>
            <w:pPr>
              <w:keepNext/>
              <w:spacing w:before="20" w:after="20"/>
              <w:jc w:val="right"/>
              <w:rPr>
                <w:noProof/>
                <w:sz w:val="22"/>
              </w:rPr>
            </w:pPr>
            <w:r>
              <w:rPr>
                <w:noProof/>
                <w:sz w:val="22"/>
              </w:rPr>
              <w:t xml:space="preserve">0,690 </w:t>
            </w:r>
          </w:p>
        </w:tc>
        <w:tc>
          <w:tcPr>
            <w:tcW w:w="798" w:type="dxa"/>
            <w:gridSpan w:val="3"/>
          </w:tcPr>
          <w:p>
            <w:pPr>
              <w:keepNext/>
              <w:spacing w:before="20" w:after="20"/>
              <w:jc w:val="right"/>
              <w:rPr>
                <w:noProof/>
                <w:sz w:val="22"/>
              </w:rPr>
            </w:pPr>
            <w:r>
              <w:rPr>
                <w:noProof/>
                <w:sz w:val="22"/>
              </w:rPr>
              <w:t xml:space="preserve">0,690 </w:t>
            </w:r>
          </w:p>
        </w:tc>
        <w:tc>
          <w:tcPr>
            <w:tcW w:w="798" w:type="dxa"/>
            <w:gridSpan w:val="2"/>
          </w:tcPr>
          <w:p>
            <w:pPr>
              <w:keepNext/>
              <w:spacing w:before="20" w:after="20"/>
              <w:jc w:val="right"/>
              <w:rPr>
                <w:noProof/>
                <w:sz w:val="22"/>
              </w:rPr>
            </w:pPr>
            <w:r>
              <w:rPr>
                <w:noProof/>
                <w:sz w:val="22"/>
              </w:rPr>
              <w:t xml:space="preserve">0,276 </w:t>
            </w:r>
          </w:p>
        </w:tc>
        <w:tc>
          <w:tcPr>
            <w:tcW w:w="912" w:type="dxa"/>
          </w:tcPr>
          <w:p>
            <w:pPr>
              <w:keepNext/>
              <w:spacing w:before="20" w:after="20"/>
              <w:jc w:val="right"/>
              <w:rPr>
                <w:noProof/>
                <w:sz w:val="22"/>
              </w:rPr>
            </w:pPr>
            <w:r>
              <w:rPr>
                <w:noProof/>
                <w:sz w:val="22"/>
              </w:rPr>
              <w:t xml:space="preserve">0,276 </w:t>
            </w:r>
          </w:p>
        </w:tc>
        <w:tc>
          <w:tcPr>
            <w:tcW w:w="798" w:type="dxa"/>
            <w:gridSpan w:val="2"/>
          </w:tcPr>
          <w:p>
            <w:pPr>
              <w:keepNext/>
              <w:spacing w:before="20" w:after="20"/>
              <w:jc w:val="center"/>
              <w:rPr>
                <w:noProof/>
                <w:sz w:val="22"/>
              </w:rPr>
            </w:pPr>
            <w:r>
              <w:rPr>
                <w:noProof/>
                <w:sz w:val="22"/>
              </w:rPr>
              <w:t xml:space="preserve">0,276 </w:t>
            </w:r>
          </w:p>
        </w:tc>
        <w:tc>
          <w:tcPr>
            <w:tcW w:w="1226" w:type="dxa"/>
            <w:gridSpan w:val="2"/>
          </w:tcPr>
          <w:p>
            <w:pPr>
              <w:keepNext/>
              <w:spacing w:before="20" w:after="20"/>
              <w:jc w:val="right"/>
              <w:rPr>
                <w:b/>
                <w:noProof/>
                <w:sz w:val="22"/>
              </w:rPr>
            </w:pPr>
            <w:r>
              <w:rPr>
                <w:noProof/>
                <w:sz w:val="22"/>
              </w:rPr>
              <w:t xml:space="preserve">4,968 </w:t>
            </w:r>
          </w:p>
        </w:tc>
      </w:tr>
      <w:tr>
        <w:trPr>
          <w:gridAfter w:val="1"/>
          <w:wAfter w:w="236" w:type="dxa"/>
          <w:trHeight w:val="314"/>
        </w:trPr>
        <w:tc>
          <w:tcPr>
            <w:tcW w:w="5400" w:type="dxa"/>
            <w:gridSpan w:val="2"/>
            <w:vAlign w:val="center"/>
          </w:tcPr>
          <w:p>
            <w:pPr>
              <w:spacing w:before="20" w:after="20"/>
              <w:rPr>
                <w:noProof/>
                <w:sz w:val="22"/>
              </w:rPr>
            </w:pPr>
            <w:r>
              <w:rPr>
                <w:noProof/>
                <w:sz w:val="22"/>
              </w:rPr>
              <w:t>Drugi upravni odhodki (sestanki itd.)</w:t>
            </w:r>
          </w:p>
        </w:tc>
        <w:tc>
          <w:tcPr>
            <w:tcW w:w="873" w:type="dxa"/>
            <w:gridSpan w:val="2"/>
          </w:tcPr>
          <w:p>
            <w:pPr>
              <w:spacing w:before="20" w:after="20"/>
              <w:jc w:val="right"/>
              <w:rPr>
                <w:noProof/>
                <w:sz w:val="22"/>
              </w:rPr>
            </w:pPr>
            <w:r>
              <w:rPr>
                <w:noProof/>
                <w:sz w:val="22"/>
              </w:rPr>
              <w:t xml:space="preserve">0,323 </w:t>
            </w:r>
          </w:p>
        </w:tc>
        <w:tc>
          <w:tcPr>
            <w:tcW w:w="797" w:type="dxa"/>
            <w:gridSpan w:val="2"/>
          </w:tcPr>
          <w:p>
            <w:pPr>
              <w:spacing w:before="20" w:after="20"/>
              <w:jc w:val="right"/>
              <w:rPr>
                <w:noProof/>
                <w:sz w:val="22"/>
              </w:rPr>
            </w:pPr>
            <w:r>
              <w:rPr>
                <w:noProof/>
                <w:sz w:val="22"/>
              </w:rPr>
              <w:t xml:space="preserve">0,323 </w:t>
            </w:r>
          </w:p>
        </w:tc>
        <w:tc>
          <w:tcPr>
            <w:tcW w:w="912" w:type="dxa"/>
            <w:gridSpan w:val="3"/>
          </w:tcPr>
          <w:p>
            <w:pPr>
              <w:spacing w:before="20" w:after="20"/>
              <w:jc w:val="right"/>
              <w:rPr>
                <w:noProof/>
                <w:sz w:val="22"/>
              </w:rPr>
            </w:pPr>
            <w:r>
              <w:rPr>
                <w:noProof/>
                <w:sz w:val="22"/>
              </w:rPr>
              <w:t xml:space="preserve">0,323 </w:t>
            </w:r>
          </w:p>
        </w:tc>
        <w:tc>
          <w:tcPr>
            <w:tcW w:w="798" w:type="dxa"/>
            <w:gridSpan w:val="2"/>
          </w:tcPr>
          <w:p>
            <w:pPr>
              <w:spacing w:before="20" w:after="20"/>
              <w:jc w:val="right"/>
              <w:rPr>
                <w:noProof/>
                <w:sz w:val="22"/>
              </w:rPr>
            </w:pPr>
            <w:r>
              <w:rPr>
                <w:noProof/>
                <w:sz w:val="22"/>
              </w:rPr>
              <w:t xml:space="preserve">0,323 </w:t>
            </w:r>
          </w:p>
        </w:tc>
        <w:tc>
          <w:tcPr>
            <w:tcW w:w="798" w:type="dxa"/>
          </w:tcPr>
          <w:p>
            <w:pPr>
              <w:spacing w:before="20" w:after="20"/>
              <w:jc w:val="right"/>
              <w:rPr>
                <w:noProof/>
                <w:sz w:val="22"/>
              </w:rPr>
            </w:pPr>
            <w:r>
              <w:rPr>
                <w:noProof/>
                <w:sz w:val="22"/>
              </w:rPr>
              <w:t xml:space="preserve">0,323 </w:t>
            </w:r>
          </w:p>
        </w:tc>
        <w:tc>
          <w:tcPr>
            <w:tcW w:w="798" w:type="dxa"/>
            <w:gridSpan w:val="3"/>
          </w:tcPr>
          <w:p>
            <w:pPr>
              <w:spacing w:before="20" w:after="20"/>
              <w:jc w:val="right"/>
              <w:rPr>
                <w:noProof/>
                <w:sz w:val="22"/>
              </w:rPr>
            </w:pPr>
            <w:r>
              <w:rPr>
                <w:noProof/>
                <w:sz w:val="22"/>
              </w:rPr>
              <w:t xml:space="preserve">0,323 </w:t>
            </w:r>
          </w:p>
        </w:tc>
        <w:tc>
          <w:tcPr>
            <w:tcW w:w="798" w:type="dxa"/>
            <w:gridSpan w:val="2"/>
          </w:tcPr>
          <w:p>
            <w:pPr>
              <w:spacing w:before="20" w:after="20"/>
              <w:jc w:val="right"/>
              <w:rPr>
                <w:noProof/>
                <w:sz w:val="22"/>
              </w:rPr>
            </w:pPr>
            <w:r>
              <w:rPr>
                <w:noProof/>
                <w:sz w:val="22"/>
              </w:rPr>
              <w:t xml:space="preserve">0,263 </w:t>
            </w:r>
          </w:p>
        </w:tc>
        <w:tc>
          <w:tcPr>
            <w:tcW w:w="912" w:type="dxa"/>
          </w:tcPr>
          <w:p>
            <w:pPr>
              <w:spacing w:before="20" w:after="20"/>
              <w:jc w:val="right"/>
              <w:rPr>
                <w:b/>
                <w:noProof/>
                <w:sz w:val="22"/>
              </w:rPr>
            </w:pPr>
            <w:r>
              <w:rPr>
                <w:noProof/>
                <w:sz w:val="22"/>
              </w:rPr>
              <w:t xml:space="preserve">0,263 </w:t>
            </w:r>
          </w:p>
        </w:tc>
        <w:tc>
          <w:tcPr>
            <w:tcW w:w="798" w:type="dxa"/>
            <w:gridSpan w:val="2"/>
          </w:tcPr>
          <w:p>
            <w:pPr>
              <w:spacing w:before="20" w:after="20"/>
              <w:jc w:val="right"/>
              <w:rPr>
                <w:b/>
                <w:noProof/>
                <w:sz w:val="22"/>
              </w:rPr>
            </w:pPr>
            <w:r>
              <w:rPr>
                <w:noProof/>
                <w:sz w:val="22"/>
              </w:rPr>
              <w:t xml:space="preserve">0,263 </w:t>
            </w:r>
          </w:p>
        </w:tc>
        <w:tc>
          <w:tcPr>
            <w:tcW w:w="1226" w:type="dxa"/>
            <w:gridSpan w:val="2"/>
          </w:tcPr>
          <w:p>
            <w:pPr>
              <w:spacing w:before="20" w:after="20"/>
              <w:jc w:val="right"/>
              <w:rPr>
                <w:b/>
                <w:noProof/>
                <w:sz w:val="22"/>
              </w:rPr>
            </w:pPr>
            <w:r>
              <w:rPr>
                <w:noProof/>
                <w:sz w:val="22"/>
              </w:rPr>
              <w:t xml:space="preserve">2,727 </w:t>
            </w:r>
          </w:p>
        </w:tc>
      </w:tr>
      <w:tr>
        <w:trPr>
          <w:gridAfter w:val="1"/>
          <w:wAfter w:w="236" w:type="dxa"/>
          <w:trHeight w:val="503"/>
        </w:trPr>
        <w:tc>
          <w:tcPr>
            <w:tcW w:w="3760" w:type="dxa"/>
            <w:vAlign w:val="center"/>
          </w:tcPr>
          <w:p>
            <w:pPr>
              <w:jc w:val="center"/>
              <w:rPr>
                <w:b/>
                <w:noProof/>
                <w:sz w:val="22"/>
              </w:rPr>
            </w:pPr>
            <w:r>
              <w:rPr>
                <w:b/>
                <w:noProof/>
                <w:sz w:val="22"/>
              </w:rPr>
              <w:t>GD HOME SKUPAJ</w:t>
            </w:r>
          </w:p>
        </w:tc>
        <w:tc>
          <w:tcPr>
            <w:tcW w:w="1640" w:type="dxa"/>
            <w:vAlign w:val="center"/>
          </w:tcPr>
          <w:p>
            <w:pPr>
              <w:rPr>
                <w:noProof/>
                <w:sz w:val="14"/>
              </w:rPr>
            </w:pPr>
            <w:r>
              <w:rPr>
                <w:noProof/>
                <w:sz w:val="18"/>
              </w:rPr>
              <w:t xml:space="preserve">odobritve </w:t>
            </w:r>
          </w:p>
        </w:tc>
        <w:tc>
          <w:tcPr>
            <w:tcW w:w="873" w:type="dxa"/>
            <w:gridSpan w:val="2"/>
          </w:tcPr>
          <w:p>
            <w:pPr>
              <w:spacing w:before="20" w:after="20"/>
              <w:jc w:val="center"/>
              <w:rPr>
                <w:noProof/>
                <w:sz w:val="22"/>
              </w:rPr>
            </w:pPr>
            <w:r>
              <w:rPr>
                <w:noProof/>
                <w:sz w:val="22"/>
              </w:rPr>
              <w:t xml:space="preserve">1,013 </w:t>
            </w:r>
          </w:p>
        </w:tc>
        <w:tc>
          <w:tcPr>
            <w:tcW w:w="797" w:type="dxa"/>
            <w:gridSpan w:val="2"/>
          </w:tcPr>
          <w:p>
            <w:pPr>
              <w:spacing w:before="20" w:after="20"/>
              <w:jc w:val="right"/>
              <w:rPr>
                <w:noProof/>
                <w:sz w:val="22"/>
              </w:rPr>
            </w:pPr>
            <w:r>
              <w:rPr>
                <w:noProof/>
                <w:sz w:val="22"/>
              </w:rPr>
              <w:t xml:space="preserve">1,013 </w:t>
            </w:r>
          </w:p>
        </w:tc>
        <w:tc>
          <w:tcPr>
            <w:tcW w:w="912" w:type="dxa"/>
            <w:gridSpan w:val="3"/>
          </w:tcPr>
          <w:p>
            <w:pPr>
              <w:spacing w:before="20" w:after="20"/>
              <w:jc w:val="right"/>
              <w:rPr>
                <w:noProof/>
                <w:sz w:val="22"/>
              </w:rPr>
            </w:pPr>
            <w:r>
              <w:rPr>
                <w:noProof/>
                <w:sz w:val="22"/>
              </w:rPr>
              <w:t xml:space="preserve">1,013 </w:t>
            </w:r>
          </w:p>
        </w:tc>
        <w:tc>
          <w:tcPr>
            <w:tcW w:w="798" w:type="dxa"/>
            <w:gridSpan w:val="2"/>
          </w:tcPr>
          <w:p>
            <w:pPr>
              <w:spacing w:before="20" w:after="20"/>
              <w:jc w:val="right"/>
              <w:rPr>
                <w:noProof/>
                <w:sz w:val="22"/>
              </w:rPr>
            </w:pPr>
            <w:r>
              <w:rPr>
                <w:noProof/>
                <w:sz w:val="22"/>
              </w:rPr>
              <w:t xml:space="preserve">1,013 </w:t>
            </w:r>
          </w:p>
        </w:tc>
        <w:tc>
          <w:tcPr>
            <w:tcW w:w="798" w:type="dxa"/>
          </w:tcPr>
          <w:p>
            <w:pPr>
              <w:spacing w:before="20" w:after="20"/>
              <w:jc w:val="right"/>
              <w:rPr>
                <w:noProof/>
                <w:sz w:val="22"/>
              </w:rPr>
            </w:pPr>
            <w:r>
              <w:rPr>
                <w:noProof/>
                <w:sz w:val="22"/>
              </w:rPr>
              <w:t xml:space="preserve">1,013 </w:t>
            </w:r>
          </w:p>
        </w:tc>
        <w:tc>
          <w:tcPr>
            <w:tcW w:w="798" w:type="dxa"/>
            <w:gridSpan w:val="3"/>
          </w:tcPr>
          <w:p>
            <w:pPr>
              <w:spacing w:before="20" w:after="20"/>
              <w:jc w:val="right"/>
              <w:rPr>
                <w:noProof/>
                <w:sz w:val="22"/>
              </w:rPr>
            </w:pPr>
            <w:r>
              <w:rPr>
                <w:noProof/>
                <w:sz w:val="22"/>
              </w:rPr>
              <w:t xml:space="preserve">1,013 </w:t>
            </w:r>
          </w:p>
        </w:tc>
        <w:tc>
          <w:tcPr>
            <w:tcW w:w="798" w:type="dxa"/>
            <w:gridSpan w:val="2"/>
          </w:tcPr>
          <w:p>
            <w:pPr>
              <w:spacing w:before="20" w:after="20"/>
              <w:jc w:val="right"/>
              <w:rPr>
                <w:noProof/>
                <w:sz w:val="22"/>
              </w:rPr>
            </w:pPr>
            <w:r>
              <w:rPr>
                <w:noProof/>
                <w:sz w:val="22"/>
              </w:rPr>
              <w:t xml:space="preserve">0,539 </w:t>
            </w:r>
          </w:p>
        </w:tc>
        <w:tc>
          <w:tcPr>
            <w:tcW w:w="912" w:type="dxa"/>
          </w:tcPr>
          <w:p>
            <w:pPr>
              <w:spacing w:before="20" w:after="20"/>
              <w:jc w:val="right"/>
              <w:rPr>
                <w:noProof/>
                <w:sz w:val="22"/>
              </w:rPr>
            </w:pPr>
            <w:r>
              <w:rPr>
                <w:noProof/>
                <w:sz w:val="22"/>
              </w:rPr>
              <w:t xml:space="preserve">0,539 </w:t>
            </w:r>
          </w:p>
        </w:tc>
        <w:tc>
          <w:tcPr>
            <w:tcW w:w="798" w:type="dxa"/>
            <w:gridSpan w:val="2"/>
          </w:tcPr>
          <w:p>
            <w:pPr>
              <w:spacing w:before="20" w:after="20"/>
              <w:jc w:val="center"/>
              <w:rPr>
                <w:noProof/>
                <w:sz w:val="22"/>
              </w:rPr>
            </w:pPr>
            <w:r>
              <w:rPr>
                <w:noProof/>
                <w:sz w:val="22"/>
              </w:rPr>
              <w:t xml:space="preserve">0,539 </w:t>
            </w:r>
          </w:p>
        </w:tc>
        <w:tc>
          <w:tcPr>
            <w:tcW w:w="1226" w:type="dxa"/>
            <w:gridSpan w:val="2"/>
          </w:tcPr>
          <w:p>
            <w:pPr>
              <w:spacing w:before="20" w:after="20"/>
              <w:jc w:val="right"/>
              <w:rPr>
                <w:b/>
                <w:noProof/>
                <w:sz w:val="22"/>
              </w:rPr>
            </w:pPr>
            <w:r>
              <w:rPr>
                <w:noProof/>
                <w:sz w:val="22"/>
              </w:rPr>
              <w:t xml:space="preserve">7,695 </w:t>
            </w:r>
          </w:p>
        </w:tc>
      </w:tr>
    </w:tbl>
    <w:p>
      <w:pPr>
        <w:jc w:val="right"/>
        <w:rPr>
          <w:noProof/>
          <w:sz w:val="20"/>
        </w:rPr>
      </w:pPr>
    </w:p>
    <w:tbl>
      <w:tblPr>
        <w:tblW w:w="1411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65"/>
        <w:gridCol w:w="1712"/>
        <w:gridCol w:w="799"/>
        <w:gridCol w:w="799"/>
        <w:gridCol w:w="913"/>
        <w:gridCol w:w="799"/>
        <w:gridCol w:w="799"/>
        <w:gridCol w:w="799"/>
        <w:gridCol w:w="799"/>
        <w:gridCol w:w="913"/>
        <w:gridCol w:w="799"/>
        <w:gridCol w:w="1214"/>
      </w:tblGrid>
      <w:tr>
        <w:trPr>
          <w:trHeight w:val="1002"/>
        </w:trPr>
        <w:tc>
          <w:tcPr>
            <w:tcW w:w="3765"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pPr>
              <w:jc w:val="center"/>
              <w:rPr>
                <w:b/>
                <w:noProof/>
              </w:rPr>
            </w:pPr>
            <w:r>
              <w:rPr>
                <w:b/>
                <w:noProof/>
                <w:sz w:val="22"/>
              </w:rPr>
              <w:t>Odobritve iz</w:t>
            </w:r>
            <w:r>
              <w:rPr>
                <w:noProof/>
                <w:sz w:val="22"/>
              </w:rPr>
              <w:br/>
            </w:r>
            <w:r>
              <w:rPr>
                <w:b/>
                <w:noProof/>
                <w:sz w:val="22"/>
              </w:rPr>
              <w:t>RAZDELKA 5</w:t>
            </w:r>
            <w:r>
              <w:rPr>
                <w:noProof/>
                <w:sz w:val="22"/>
              </w:rPr>
              <w:br/>
              <w:t xml:space="preserve">večletnega finančnega okvira </w:t>
            </w:r>
            <w:r>
              <w:rPr>
                <w:b/>
                <w:noProof/>
                <w:sz w:val="22"/>
              </w:rPr>
              <w:t xml:space="preserve">SKUPAJ </w:t>
            </w:r>
          </w:p>
        </w:tc>
        <w:tc>
          <w:tcPr>
            <w:tcW w:w="1712" w:type="dxa"/>
            <w:tcBorders>
              <w:top w:val="single" w:sz="4" w:space="0" w:color="auto"/>
              <w:left w:val="single" w:sz="4" w:space="0" w:color="auto"/>
              <w:bottom w:val="single" w:sz="4" w:space="0" w:color="auto"/>
              <w:right w:val="single" w:sz="4" w:space="0" w:color="auto"/>
            </w:tcBorders>
            <w:vAlign w:val="center"/>
            <w:hideMark/>
          </w:tcPr>
          <w:p>
            <w:pPr>
              <w:spacing w:before="40" w:after="40"/>
              <w:rPr>
                <w:noProof/>
              </w:rPr>
            </w:pPr>
            <w:r>
              <w:rPr>
                <w:noProof/>
                <w:sz w:val="18"/>
              </w:rPr>
              <w:t>(obveznosti skupaj = plačila skupaj)</w:t>
            </w:r>
          </w:p>
        </w:tc>
        <w:tc>
          <w:tcPr>
            <w:tcW w:w="799" w:type="dxa"/>
            <w:tcBorders>
              <w:top w:val="single" w:sz="4" w:space="0" w:color="auto"/>
              <w:left w:val="single" w:sz="4" w:space="0" w:color="auto"/>
              <w:bottom w:val="single" w:sz="4" w:space="0" w:color="auto"/>
              <w:right w:val="single" w:sz="4" w:space="0" w:color="auto"/>
            </w:tcBorders>
          </w:tcPr>
          <w:p>
            <w:pPr>
              <w:spacing w:before="20" w:after="20"/>
              <w:jc w:val="right"/>
              <w:rPr>
                <w:b/>
                <w:noProof/>
                <w:sz w:val="20"/>
              </w:rPr>
            </w:pPr>
            <w:r>
              <w:rPr>
                <w:b/>
                <w:noProof/>
                <w:sz w:val="20"/>
              </w:rPr>
              <w:t xml:space="preserve">1,013 </w:t>
            </w:r>
          </w:p>
        </w:tc>
        <w:tc>
          <w:tcPr>
            <w:tcW w:w="799" w:type="dxa"/>
            <w:tcBorders>
              <w:top w:val="single" w:sz="4" w:space="0" w:color="auto"/>
              <w:left w:val="single" w:sz="4" w:space="0" w:color="auto"/>
              <w:bottom w:val="single" w:sz="4" w:space="0" w:color="auto"/>
              <w:right w:val="single" w:sz="4" w:space="0" w:color="auto"/>
            </w:tcBorders>
          </w:tcPr>
          <w:p>
            <w:pPr>
              <w:spacing w:before="20" w:after="20"/>
              <w:jc w:val="right"/>
              <w:rPr>
                <w:b/>
                <w:noProof/>
                <w:sz w:val="20"/>
              </w:rPr>
            </w:pPr>
            <w:r>
              <w:rPr>
                <w:b/>
                <w:noProof/>
                <w:sz w:val="20"/>
              </w:rPr>
              <w:t xml:space="preserve">1,013 </w:t>
            </w:r>
          </w:p>
        </w:tc>
        <w:tc>
          <w:tcPr>
            <w:tcW w:w="913" w:type="dxa"/>
            <w:tcBorders>
              <w:top w:val="single" w:sz="4" w:space="0" w:color="auto"/>
              <w:left w:val="single" w:sz="4" w:space="0" w:color="auto"/>
              <w:bottom w:val="single" w:sz="4" w:space="0" w:color="auto"/>
              <w:right w:val="single" w:sz="4" w:space="0" w:color="auto"/>
            </w:tcBorders>
          </w:tcPr>
          <w:p>
            <w:pPr>
              <w:spacing w:before="20" w:after="20"/>
              <w:jc w:val="right"/>
              <w:rPr>
                <w:b/>
                <w:noProof/>
                <w:sz w:val="20"/>
              </w:rPr>
            </w:pPr>
            <w:r>
              <w:rPr>
                <w:b/>
                <w:noProof/>
                <w:sz w:val="20"/>
              </w:rPr>
              <w:t xml:space="preserve">1,013 </w:t>
            </w:r>
          </w:p>
        </w:tc>
        <w:tc>
          <w:tcPr>
            <w:tcW w:w="799" w:type="dxa"/>
            <w:tcBorders>
              <w:top w:val="single" w:sz="4" w:space="0" w:color="auto"/>
              <w:left w:val="single" w:sz="4" w:space="0" w:color="auto"/>
              <w:bottom w:val="single" w:sz="4" w:space="0" w:color="auto"/>
              <w:right w:val="single" w:sz="4" w:space="0" w:color="auto"/>
            </w:tcBorders>
          </w:tcPr>
          <w:p>
            <w:pPr>
              <w:spacing w:before="20" w:after="20"/>
              <w:jc w:val="right"/>
              <w:rPr>
                <w:b/>
                <w:noProof/>
                <w:sz w:val="20"/>
              </w:rPr>
            </w:pPr>
            <w:r>
              <w:rPr>
                <w:b/>
                <w:noProof/>
                <w:sz w:val="20"/>
              </w:rPr>
              <w:t xml:space="preserve">1,013 </w:t>
            </w:r>
          </w:p>
        </w:tc>
        <w:tc>
          <w:tcPr>
            <w:tcW w:w="799" w:type="dxa"/>
            <w:tcBorders>
              <w:top w:val="single" w:sz="4" w:space="0" w:color="auto"/>
              <w:left w:val="single" w:sz="4" w:space="0" w:color="auto"/>
              <w:bottom w:val="single" w:sz="4" w:space="0" w:color="auto"/>
              <w:right w:val="single" w:sz="4" w:space="0" w:color="auto"/>
            </w:tcBorders>
          </w:tcPr>
          <w:p>
            <w:pPr>
              <w:spacing w:before="20" w:after="20"/>
              <w:jc w:val="right"/>
              <w:rPr>
                <w:b/>
                <w:noProof/>
                <w:sz w:val="20"/>
              </w:rPr>
            </w:pPr>
            <w:r>
              <w:rPr>
                <w:b/>
                <w:noProof/>
                <w:sz w:val="20"/>
              </w:rPr>
              <w:t xml:space="preserve">1,013 </w:t>
            </w:r>
          </w:p>
        </w:tc>
        <w:tc>
          <w:tcPr>
            <w:tcW w:w="799" w:type="dxa"/>
            <w:tcBorders>
              <w:top w:val="single" w:sz="4" w:space="0" w:color="auto"/>
              <w:left w:val="single" w:sz="4" w:space="0" w:color="auto"/>
              <w:bottom w:val="single" w:sz="4" w:space="0" w:color="auto"/>
              <w:right w:val="single" w:sz="4" w:space="0" w:color="auto"/>
            </w:tcBorders>
          </w:tcPr>
          <w:p>
            <w:pPr>
              <w:spacing w:before="20" w:after="20"/>
              <w:jc w:val="right"/>
              <w:rPr>
                <w:b/>
                <w:noProof/>
                <w:sz w:val="20"/>
              </w:rPr>
            </w:pPr>
            <w:r>
              <w:rPr>
                <w:b/>
                <w:noProof/>
                <w:sz w:val="20"/>
              </w:rPr>
              <w:t xml:space="preserve">1,013 </w:t>
            </w:r>
          </w:p>
        </w:tc>
        <w:tc>
          <w:tcPr>
            <w:tcW w:w="799" w:type="dxa"/>
            <w:tcBorders>
              <w:top w:val="single" w:sz="4" w:space="0" w:color="auto"/>
              <w:left w:val="single" w:sz="4" w:space="0" w:color="auto"/>
              <w:bottom w:val="single" w:sz="4" w:space="0" w:color="auto"/>
              <w:right w:val="single" w:sz="4" w:space="0" w:color="auto"/>
            </w:tcBorders>
          </w:tcPr>
          <w:p>
            <w:pPr>
              <w:spacing w:before="20" w:after="20"/>
              <w:jc w:val="right"/>
              <w:rPr>
                <w:b/>
                <w:noProof/>
                <w:sz w:val="20"/>
              </w:rPr>
            </w:pPr>
            <w:r>
              <w:rPr>
                <w:b/>
                <w:noProof/>
                <w:sz w:val="20"/>
              </w:rPr>
              <w:t xml:space="preserve">0,539 </w:t>
            </w:r>
          </w:p>
        </w:tc>
        <w:tc>
          <w:tcPr>
            <w:tcW w:w="913" w:type="dxa"/>
            <w:tcBorders>
              <w:top w:val="single" w:sz="4" w:space="0" w:color="auto"/>
              <w:left w:val="single" w:sz="4" w:space="0" w:color="auto"/>
              <w:bottom w:val="single" w:sz="4" w:space="0" w:color="auto"/>
              <w:right w:val="single" w:sz="4" w:space="0" w:color="auto"/>
            </w:tcBorders>
          </w:tcPr>
          <w:p>
            <w:pPr>
              <w:spacing w:before="20" w:after="20"/>
              <w:jc w:val="center"/>
              <w:rPr>
                <w:b/>
                <w:noProof/>
                <w:sz w:val="20"/>
              </w:rPr>
            </w:pPr>
            <w:r>
              <w:rPr>
                <w:b/>
                <w:noProof/>
                <w:sz w:val="20"/>
              </w:rPr>
              <w:t xml:space="preserve">0,539 </w:t>
            </w:r>
          </w:p>
        </w:tc>
        <w:tc>
          <w:tcPr>
            <w:tcW w:w="799" w:type="dxa"/>
            <w:tcBorders>
              <w:top w:val="single" w:sz="4" w:space="0" w:color="auto"/>
              <w:left w:val="single" w:sz="4" w:space="0" w:color="auto"/>
              <w:bottom w:val="single" w:sz="4" w:space="0" w:color="auto"/>
              <w:right w:val="single" w:sz="4" w:space="0" w:color="auto"/>
            </w:tcBorders>
          </w:tcPr>
          <w:p>
            <w:pPr>
              <w:spacing w:before="20" w:after="20"/>
              <w:jc w:val="center"/>
              <w:rPr>
                <w:b/>
                <w:noProof/>
                <w:sz w:val="20"/>
              </w:rPr>
            </w:pPr>
            <w:r>
              <w:rPr>
                <w:b/>
                <w:noProof/>
                <w:sz w:val="20"/>
              </w:rPr>
              <w:t xml:space="preserve">0,539 </w:t>
            </w:r>
          </w:p>
        </w:tc>
        <w:tc>
          <w:tcPr>
            <w:tcW w:w="1214" w:type="dxa"/>
            <w:tcBorders>
              <w:top w:val="single" w:sz="4" w:space="0" w:color="auto"/>
              <w:left w:val="single" w:sz="4" w:space="0" w:color="auto"/>
              <w:bottom w:val="single" w:sz="4" w:space="0" w:color="auto"/>
              <w:right w:val="single" w:sz="4" w:space="0" w:color="auto"/>
            </w:tcBorders>
          </w:tcPr>
          <w:p>
            <w:pPr>
              <w:spacing w:before="20" w:after="20"/>
              <w:jc w:val="right"/>
              <w:rPr>
                <w:b/>
                <w:noProof/>
                <w:sz w:val="20"/>
              </w:rPr>
            </w:pPr>
            <w:r>
              <w:rPr>
                <w:b/>
                <w:noProof/>
                <w:sz w:val="20"/>
              </w:rPr>
              <w:t xml:space="preserve">7,695 </w:t>
            </w:r>
          </w:p>
        </w:tc>
      </w:tr>
    </w:tbl>
    <w:p>
      <w:pPr>
        <w:jc w:val="right"/>
        <w:rPr>
          <w:noProof/>
          <w:sz w:val="20"/>
        </w:rPr>
      </w:pPr>
      <w:r>
        <w:rPr>
          <w:noProof/>
          <w:sz w:val="20"/>
        </w:rPr>
        <w:t>v mio. EUR (na tri decimalna mesta natančno)</w:t>
      </w:r>
    </w:p>
    <w:tbl>
      <w:tblPr>
        <w:tblW w:w="147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2"/>
        <w:gridCol w:w="1485"/>
        <w:gridCol w:w="236"/>
        <w:gridCol w:w="800"/>
        <w:gridCol w:w="801"/>
        <w:gridCol w:w="915"/>
        <w:gridCol w:w="801"/>
        <w:gridCol w:w="801"/>
        <w:gridCol w:w="801"/>
        <w:gridCol w:w="801"/>
        <w:gridCol w:w="915"/>
        <w:gridCol w:w="801"/>
        <w:gridCol w:w="785"/>
        <w:gridCol w:w="993"/>
      </w:tblGrid>
      <w:tr>
        <w:trPr>
          <w:trHeight w:val="701"/>
        </w:trPr>
        <w:tc>
          <w:tcPr>
            <w:tcW w:w="3772" w:type="dxa"/>
            <w:tcBorders>
              <w:top w:val="nil"/>
              <w:left w:val="nil"/>
              <w:right w:val="nil"/>
            </w:tcBorders>
            <w:vAlign w:val="center"/>
          </w:tcPr>
          <w:p>
            <w:pPr>
              <w:jc w:val="center"/>
              <w:rPr>
                <w:noProof/>
                <w:sz w:val="22"/>
              </w:rPr>
            </w:pPr>
          </w:p>
        </w:tc>
        <w:tc>
          <w:tcPr>
            <w:tcW w:w="1485" w:type="dxa"/>
            <w:tcBorders>
              <w:top w:val="nil"/>
              <w:left w:val="nil"/>
              <w:right w:val="nil"/>
            </w:tcBorders>
          </w:tcPr>
          <w:p>
            <w:pPr>
              <w:rPr>
                <w:noProof/>
                <w:sz w:val="20"/>
              </w:rPr>
            </w:pPr>
          </w:p>
        </w:tc>
        <w:tc>
          <w:tcPr>
            <w:tcW w:w="236" w:type="dxa"/>
            <w:tcBorders>
              <w:top w:val="nil"/>
              <w:left w:val="nil"/>
            </w:tcBorders>
          </w:tcPr>
          <w:p>
            <w:pPr>
              <w:jc w:val="center"/>
              <w:rPr>
                <w:noProof/>
                <w:sz w:val="20"/>
              </w:rPr>
            </w:pPr>
          </w:p>
        </w:tc>
        <w:tc>
          <w:tcPr>
            <w:tcW w:w="800" w:type="dxa"/>
          </w:tcPr>
          <w:p>
            <w:pPr>
              <w:jc w:val="center"/>
              <w:rPr>
                <w:noProof/>
                <w:sz w:val="20"/>
              </w:rPr>
            </w:pPr>
            <w:r>
              <w:rPr>
                <w:noProof/>
                <w:sz w:val="20"/>
              </w:rPr>
              <w:t>Leto</w:t>
            </w:r>
            <w:r>
              <w:rPr>
                <w:noProof/>
                <w:sz w:val="22"/>
              </w:rPr>
              <w:br/>
            </w:r>
            <w:r>
              <w:rPr>
                <w:b/>
                <w:noProof/>
                <w:sz w:val="20"/>
              </w:rPr>
              <w:t>2019</w:t>
            </w:r>
          </w:p>
        </w:tc>
        <w:tc>
          <w:tcPr>
            <w:tcW w:w="801" w:type="dxa"/>
          </w:tcPr>
          <w:p>
            <w:pPr>
              <w:jc w:val="center"/>
              <w:rPr>
                <w:noProof/>
                <w:sz w:val="20"/>
              </w:rPr>
            </w:pPr>
            <w:r>
              <w:rPr>
                <w:noProof/>
                <w:sz w:val="20"/>
              </w:rPr>
              <w:t>Leto</w:t>
            </w:r>
            <w:r>
              <w:rPr>
                <w:noProof/>
                <w:sz w:val="22"/>
              </w:rPr>
              <w:br/>
            </w:r>
            <w:r>
              <w:rPr>
                <w:b/>
                <w:noProof/>
                <w:sz w:val="20"/>
              </w:rPr>
              <w:t>2020</w:t>
            </w:r>
          </w:p>
        </w:tc>
        <w:tc>
          <w:tcPr>
            <w:tcW w:w="915" w:type="dxa"/>
            <w:vAlign w:val="center"/>
          </w:tcPr>
          <w:p>
            <w:pPr>
              <w:jc w:val="center"/>
              <w:rPr>
                <w:noProof/>
                <w:sz w:val="20"/>
              </w:rPr>
            </w:pPr>
            <w:r>
              <w:rPr>
                <w:noProof/>
                <w:sz w:val="20"/>
              </w:rPr>
              <w:t>Leto</w:t>
            </w:r>
            <w:r>
              <w:rPr>
                <w:noProof/>
                <w:sz w:val="22"/>
              </w:rPr>
              <w:br/>
            </w:r>
            <w:r>
              <w:rPr>
                <w:b/>
                <w:noProof/>
                <w:sz w:val="20"/>
              </w:rPr>
              <w:t>2021</w:t>
            </w:r>
          </w:p>
        </w:tc>
        <w:tc>
          <w:tcPr>
            <w:tcW w:w="801" w:type="dxa"/>
            <w:vAlign w:val="center"/>
          </w:tcPr>
          <w:p>
            <w:pPr>
              <w:jc w:val="center"/>
              <w:rPr>
                <w:noProof/>
                <w:sz w:val="20"/>
              </w:rPr>
            </w:pPr>
            <w:r>
              <w:rPr>
                <w:noProof/>
                <w:sz w:val="20"/>
              </w:rPr>
              <w:t>Leto</w:t>
            </w:r>
            <w:r>
              <w:rPr>
                <w:noProof/>
                <w:sz w:val="22"/>
              </w:rPr>
              <w:br/>
            </w:r>
            <w:r>
              <w:rPr>
                <w:b/>
                <w:noProof/>
                <w:sz w:val="20"/>
              </w:rPr>
              <w:t>2022</w:t>
            </w:r>
          </w:p>
        </w:tc>
        <w:tc>
          <w:tcPr>
            <w:tcW w:w="801" w:type="dxa"/>
            <w:vAlign w:val="center"/>
          </w:tcPr>
          <w:p>
            <w:pPr>
              <w:jc w:val="center"/>
              <w:rPr>
                <w:noProof/>
                <w:sz w:val="20"/>
              </w:rPr>
            </w:pPr>
            <w:r>
              <w:rPr>
                <w:noProof/>
                <w:sz w:val="20"/>
              </w:rPr>
              <w:t>Leto</w:t>
            </w:r>
            <w:r>
              <w:rPr>
                <w:noProof/>
                <w:sz w:val="22"/>
              </w:rPr>
              <w:br/>
            </w:r>
            <w:r>
              <w:rPr>
                <w:b/>
                <w:noProof/>
                <w:sz w:val="20"/>
              </w:rPr>
              <w:t>2023</w:t>
            </w:r>
          </w:p>
        </w:tc>
        <w:tc>
          <w:tcPr>
            <w:tcW w:w="801" w:type="dxa"/>
            <w:vAlign w:val="center"/>
          </w:tcPr>
          <w:p>
            <w:pPr>
              <w:jc w:val="center"/>
              <w:rPr>
                <w:noProof/>
                <w:sz w:val="20"/>
              </w:rPr>
            </w:pPr>
            <w:r>
              <w:rPr>
                <w:noProof/>
                <w:sz w:val="20"/>
              </w:rPr>
              <w:t>Leto</w:t>
            </w:r>
            <w:r>
              <w:rPr>
                <w:noProof/>
                <w:sz w:val="22"/>
              </w:rPr>
              <w:br/>
            </w:r>
            <w:r>
              <w:rPr>
                <w:b/>
                <w:noProof/>
                <w:sz w:val="20"/>
              </w:rPr>
              <w:t>2024</w:t>
            </w:r>
          </w:p>
        </w:tc>
        <w:tc>
          <w:tcPr>
            <w:tcW w:w="801" w:type="dxa"/>
            <w:vAlign w:val="center"/>
          </w:tcPr>
          <w:p>
            <w:pPr>
              <w:jc w:val="center"/>
              <w:rPr>
                <w:b/>
                <w:noProof/>
                <w:sz w:val="18"/>
              </w:rPr>
            </w:pPr>
            <w:r>
              <w:rPr>
                <w:noProof/>
                <w:sz w:val="20"/>
              </w:rPr>
              <w:t>Leto</w:t>
            </w:r>
            <w:r>
              <w:rPr>
                <w:noProof/>
                <w:sz w:val="22"/>
              </w:rPr>
              <w:br/>
            </w:r>
            <w:r>
              <w:rPr>
                <w:b/>
                <w:noProof/>
                <w:sz w:val="20"/>
              </w:rPr>
              <w:t>2025</w:t>
            </w:r>
          </w:p>
        </w:tc>
        <w:tc>
          <w:tcPr>
            <w:tcW w:w="915" w:type="dxa"/>
            <w:vAlign w:val="center"/>
          </w:tcPr>
          <w:p>
            <w:pPr>
              <w:jc w:val="center"/>
              <w:rPr>
                <w:b/>
                <w:noProof/>
                <w:sz w:val="18"/>
              </w:rPr>
            </w:pPr>
            <w:r>
              <w:rPr>
                <w:noProof/>
                <w:sz w:val="20"/>
              </w:rPr>
              <w:t>Leto</w:t>
            </w:r>
            <w:r>
              <w:rPr>
                <w:noProof/>
                <w:sz w:val="22"/>
              </w:rPr>
              <w:br/>
            </w:r>
            <w:r>
              <w:rPr>
                <w:b/>
                <w:noProof/>
                <w:sz w:val="20"/>
              </w:rPr>
              <w:t>2026</w:t>
            </w:r>
          </w:p>
        </w:tc>
        <w:tc>
          <w:tcPr>
            <w:tcW w:w="801" w:type="dxa"/>
            <w:vAlign w:val="center"/>
          </w:tcPr>
          <w:p>
            <w:pPr>
              <w:jc w:val="center"/>
              <w:rPr>
                <w:b/>
                <w:noProof/>
                <w:sz w:val="18"/>
              </w:rPr>
            </w:pPr>
            <w:r>
              <w:rPr>
                <w:noProof/>
                <w:sz w:val="20"/>
              </w:rPr>
              <w:t>Leto</w:t>
            </w:r>
            <w:r>
              <w:rPr>
                <w:noProof/>
                <w:sz w:val="22"/>
              </w:rPr>
              <w:br/>
            </w:r>
            <w:r>
              <w:rPr>
                <w:b/>
                <w:noProof/>
                <w:sz w:val="20"/>
              </w:rPr>
              <w:t>2027</w:t>
            </w:r>
          </w:p>
        </w:tc>
        <w:tc>
          <w:tcPr>
            <w:tcW w:w="785" w:type="dxa"/>
          </w:tcPr>
          <w:p>
            <w:pPr>
              <w:jc w:val="center"/>
              <w:rPr>
                <w:noProof/>
                <w:sz w:val="20"/>
              </w:rPr>
            </w:pPr>
            <w:r>
              <w:rPr>
                <w:noProof/>
                <w:sz w:val="20"/>
              </w:rPr>
              <w:t>Leto</w:t>
            </w:r>
            <w:r>
              <w:rPr>
                <w:noProof/>
                <w:sz w:val="20"/>
              </w:rPr>
              <w:br/>
              <w:t>2028</w:t>
            </w:r>
          </w:p>
        </w:tc>
        <w:tc>
          <w:tcPr>
            <w:tcW w:w="993" w:type="dxa"/>
            <w:vAlign w:val="center"/>
          </w:tcPr>
          <w:p>
            <w:pPr>
              <w:jc w:val="center"/>
              <w:rPr>
                <w:b/>
                <w:noProof/>
                <w:sz w:val="20"/>
              </w:rPr>
            </w:pPr>
            <w:r>
              <w:rPr>
                <w:b/>
                <w:noProof/>
                <w:sz w:val="20"/>
              </w:rPr>
              <w:t>SKUPAJ</w:t>
            </w:r>
          </w:p>
        </w:tc>
      </w:tr>
      <w:tr>
        <w:trPr>
          <w:trHeight w:val="626"/>
        </w:trPr>
        <w:tc>
          <w:tcPr>
            <w:tcW w:w="3772" w:type="dxa"/>
            <w:vMerge w:val="restart"/>
            <w:shd w:val="clear" w:color="auto" w:fill="C0C0C0"/>
            <w:vAlign w:val="center"/>
          </w:tcPr>
          <w:p>
            <w:pPr>
              <w:jc w:val="center"/>
              <w:rPr>
                <w:b/>
                <w:noProof/>
                <w:sz w:val="22"/>
              </w:rPr>
            </w:pPr>
            <w:r>
              <w:rPr>
                <w:b/>
                <w:noProof/>
                <w:sz w:val="22"/>
              </w:rPr>
              <w:t>Odobritve iz</w:t>
            </w:r>
            <w:r>
              <w:rPr>
                <w:noProof/>
                <w:sz w:val="22"/>
              </w:rPr>
              <w:br/>
            </w:r>
            <w:r>
              <w:rPr>
                <w:b/>
                <w:noProof/>
                <w:sz w:val="22"/>
              </w:rPr>
              <w:t>RAZDELKOV od 1 do 5</w:t>
            </w:r>
            <w:r>
              <w:rPr>
                <w:noProof/>
                <w:sz w:val="22"/>
              </w:rPr>
              <w:br/>
              <w:t xml:space="preserve">večletnega finančnega okvira </w:t>
            </w:r>
            <w:r>
              <w:rPr>
                <w:b/>
                <w:noProof/>
                <w:sz w:val="22"/>
              </w:rPr>
              <w:t xml:space="preserve">SKUPAJ </w:t>
            </w:r>
          </w:p>
        </w:tc>
        <w:tc>
          <w:tcPr>
            <w:tcW w:w="1721" w:type="dxa"/>
            <w:gridSpan w:val="2"/>
            <w:vAlign w:val="center"/>
          </w:tcPr>
          <w:p>
            <w:pPr>
              <w:rPr>
                <w:noProof/>
                <w:sz w:val="14"/>
              </w:rPr>
            </w:pPr>
            <w:r>
              <w:rPr>
                <w:noProof/>
                <w:sz w:val="18"/>
              </w:rPr>
              <w:t>obveznosti</w:t>
            </w:r>
          </w:p>
        </w:tc>
        <w:tc>
          <w:tcPr>
            <w:tcW w:w="800" w:type="dxa"/>
          </w:tcPr>
          <w:p>
            <w:pPr>
              <w:jc w:val="right"/>
              <w:rPr>
                <w:b/>
                <w:noProof/>
                <w:sz w:val="20"/>
              </w:rPr>
            </w:pPr>
            <w:r>
              <w:rPr>
                <w:b/>
                <w:noProof/>
                <w:sz w:val="20"/>
              </w:rPr>
              <w:t xml:space="preserve">7,533 </w:t>
            </w:r>
          </w:p>
        </w:tc>
        <w:tc>
          <w:tcPr>
            <w:tcW w:w="801" w:type="dxa"/>
          </w:tcPr>
          <w:p>
            <w:pPr>
              <w:jc w:val="right"/>
              <w:rPr>
                <w:b/>
                <w:noProof/>
                <w:sz w:val="20"/>
              </w:rPr>
            </w:pPr>
            <w:r>
              <w:rPr>
                <w:b/>
                <w:noProof/>
                <w:sz w:val="20"/>
              </w:rPr>
              <w:t xml:space="preserve">26,569 </w:t>
            </w:r>
          </w:p>
        </w:tc>
        <w:tc>
          <w:tcPr>
            <w:tcW w:w="915" w:type="dxa"/>
          </w:tcPr>
          <w:p>
            <w:pPr>
              <w:jc w:val="right"/>
              <w:rPr>
                <w:b/>
                <w:noProof/>
                <w:sz w:val="20"/>
              </w:rPr>
            </w:pPr>
            <w:r>
              <w:rPr>
                <w:b/>
                <w:noProof/>
                <w:sz w:val="20"/>
              </w:rPr>
              <w:t xml:space="preserve">104,672 </w:t>
            </w:r>
          </w:p>
        </w:tc>
        <w:tc>
          <w:tcPr>
            <w:tcW w:w="801" w:type="dxa"/>
          </w:tcPr>
          <w:p>
            <w:pPr>
              <w:jc w:val="right"/>
              <w:rPr>
                <w:b/>
                <w:noProof/>
                <w:sz w:val="20"/>
              </w:rPr>
            </w:pPr>
            <w:r>
              <w:rPr>
                <w:b/>
                <w:noProof/>
                <w:sz w:val="20"/>
              </w:rPr>
              <w:t xml:space="preserve">98,591 </w:t>
            </w:r>
          </w:p>
        </w:tc>
        <w:tc>
          <w:tcPr>
            <w:tcW w:w="801" w:type="dxa"/>
          </w:tcPr>
          <w:p>
            <w:pPr>
              <w:jc w:val="right"/>
              <w:rPr>
                <w:b/>
                <w:noProof/>
                <w:sz w:val="20"/>
              </w:rPr>
            </w:pPr>
            <w:r>
              <w:rPr>
                <w:b/>
                <w:noProof/>
                <w:sz w:val="20"/>
              </w:rPr>
              <w:t xml:space="preserve">83,363 </w:t>
            </w:r>
          </w:p>
        </w:tc>
        <w:tc>
          <w:tcPr>
            <w:tcW w:w="801" w:type="dxa"/>
          </w:tcPr>
          <w:p>
            <w:pPr>
              <w:jc w:val="right"/>
              <w:rPr>
                <w:b/>
                <w:noProof/>
                <w:sz w:val="20"/>
              </w:rPr>
            </w:pPr>
            <w:r>
              <w:rPr>
                <w:b/>
                <w:noProof/>
                <w:sz w:val="20"/>
              </w:rPr>
              <w:t xml:space="preserve">25,256 </w:t>
            </w:r>
          </w:p>
        </w:tc>
        <w:tc>
          <w:tcPr>
            <w:tcW w:w="801" w:type="dxa"/>
          </w:tcPr>
          <w:p>
            <w:pPr>
              <w:jc w:val="right"/>
              <w:rPr>
                <w:b/>
                <w:noProof/>
                <w:sz w:val="20"/>
              </w:rPr>
            </w:pPr>
            <w:r>
              <w:rPr>
                <w:b/>
                <w:noProof/>
                <w:sz w:val="20"/>
              </w:rPr>
              <w:t xml:space="preserve">28,088 </w:t>
            </w:r>
          </w:p>
        </w:tc>
        <w:tc>
          <w:tcPr>
            <w:tcW w:w="915" w:type="dxa"/>
          </w:tcPr>
          <w:p>
            <w:pPr>
              <w:jc w:val="right"/>
              <w:rPr>
                <w:b/>
                <w:noProof/>
                <w:sz w:val="20"/>
              </w:rPr>
            </w:pPr>
            <w:r>
              <w:rPr>
                <w:b/>
                <w:noProof/>
                <w:sz w:val="20"/>
              </w:rPr>
              <w:t xml:space="preserve">28,008 </w:t>
            </w:r>
          </w:p>
        </w:tc>
        <w:tc>
          <w:tcPr>
            <w:tcW w:w="801" w:type="dxa"/>
          </w:tcPr>
          <w:p>
            <w:pPr>
              <w:jc w:val="right"/>
              <w:rPr>
                <w:b/>
                <w:noProof/>
                <w:sz w:val="20"/>
              </w:rPr>
            </w:pPr>
            <w:r>
              <w:rPr>
                <w:b/>
                <w:noProof/>
                <w:sz w:val="20"/>
              </w:rPr>
              <w:t xml:space="preserve">22,658 </w:t>
            </w:r>
          </w:p>
        </w:tc>
        <w:tc>
          <w:tcPr>
            <w:tcW w:w="785" w:type="dxa"/>
          </w:tcPr>
          <w:p>
            <w:pPr>
              <w:jc w:val="right"/>
              <w:rPr>
                <w:b/>
                <w:noProof/>
                <w:sz w:val="20"/>
              </w:rPr>
            </w:pPr>
            <w:r>
              <w:rPr>
                <w:b/>
                <w:noProof/>
                <w:sz w:val="20"/>
              </w:rPr>
              <w:t>0</w:t>
            </w:r>
          </w:p>
        </w:tc>
        <w:tc>
          <w:tcPr>
            <w:tcW w:w="993" w:type="dxa"/>
          </w:tcPr>
          <w:p>
            <w:pPr>
              <w:jc w:val="right"/>
              <w:rPr>
                <w:b/>
                <w:noProof/>
                <w:sz w:val="20"/>
              </w:rPr>
            </w:pPr>
            <w:r>
              <w:rPr>
                <w:b/>
                <w:noProof/>
                <w:sz w:val="20"/>
              </w:rPr>
              <w:t xml:space="preserve">424,738 </w:t>
            </w:r>
          </w:p>
        </w:tc>
      </w:tr>
      <w:tr>
        <w:trPr>
          <w:trHeight w:val="626"/>
        </w:trPr>
        <w:tc>
          <w:tcPr>
            <w:tcW w:w="3772" w:type="dxa"/>
            <w:vMerge/>
            <w:shd w:val="clear" w:color="auto" w:fill="C0C0C0"/>
            <w:vAlign w:val="center"/>
          </w:tcPr>
          <w:p>
            <w:pPr>
              <w:jc w:val="center"/>
              <w:rPr>
                <w:b/>
                <w:noProof/>
                <w:sz w:val="22"/>
              </w:rPr>
            </w:pPr>
          </w:p>
        </w:tc>
        <w:tc>
          <w:tcPr>
            <w:tcW w:w="1721" w:type="dxa"/>
            <w:gridSpan w:val="2"/>
            <w:vAlign w:val="center"/>
          </w:tcPr>
          <w:p>
            <w:pPr>
              <w:rPr>
                <w:noProof/>
                <w:sz w:val="18"/>
              </w:rPr>
            </w:pPr>
            <w:r>
              <w:rPr>
                <w:noProof/>
                <w:sz w:val="18"/>
              </w:rPr>
              <w:t>plačila</w:t>
            </w:r>
          </w:p>
        </w:tc>
        <w:tc>
          <w:tcPr>
            <w:tcW w:w="800" w:type="dxa"/>
          </w:tcPr>
          <w:p>
            <w:pPr>
              <w:jc w:val="right"/>
              <w:rPr>
                <w:b/>
                <w:noProof/>
                <w:sz w:val="20"/>
              </w:rPr>
            </w:pPr>
            <w:r>
              <w:rPr>
                <w:b/>
                <w:noProof/>
                <w:sz w:val="20"/>
              </w:rPr>
              <w:t xml:space="preserve">7,533 </w:t>
            </w:r>
          </w:p>
        </w:tc>
        <w:tc>
          <w:tcPr>
            <w:tcW w:w="801" w:type="dxa"/>
          </w:tcPr>
          <w:p>
            <w:pPr>
              <w:jc w:val="right"/>
              <w:rPr>
                <w:b/>
                <w:noProof/>
                <w:sz w:val="20"/>
              </w:rPr>
            </w:pPr>
            <w:r>
              <w:rPr>
                <w:b/>
                <w:noProof/>
                <w:sz w:val="20"/>
              </w:rPr>
              <w:t xml:space="preserve">26,569 </w:t>
            </w:r>
          </w:p>
        </w:tc>
        <w:tc>
          <w:tcPr>
            <w:tcW w:w="915" w:type="dxa"/>
          </w:tcPr>
          <w:p>
            <w:pPr>
              <w:jc w:val="right"/>
              <w:rPr>
                <w:b/>
                <w:noProof/>
                <w:sz w:val="20"/>
              </w:rPr>
            </w:pPr>
            <w:r>
              <w:rPr>
                <w:b/>
                <w:noProof/>
                <w:sz w:val="20"/>
              </w:rPr>
              <w:t xml:space="preserve">96,042 </w:t>
            </w:r>
          </w:p>
        </w:tc>
        <w:tc>
          <w:tcPr>
            <w:tcW w:w="801" w:type="dxa"/>
          </w:tcPr>
          <w:p>
            <w:pPr>
              <w:jc w:val="right"/>
              <w:rPr>
                <w:b/>
                <w:noProof/>
                <w:sz w:val="20"/>
              </w:rPr>
            </w:pPr>
            <w:r>
              <w:rPr>
                <w:b/>
                <w:noProof/>
                <w:sz w:val="20"/>
              </w:rPr>
              <w:t xml:space="preserve">97,591 </w:t>
            </w:r>
          </w:p>
        </w:tc>
        <w:tc>
          <w:tcPr>
            <w:tcW w:w="801" w:type="dxa"/>
          </w:tcPr>
          <w:p>
            <w:pPr>
              <w:jc w:val="right"/>
              <w:rPr>
                <w:b/>
                <w:noProof/>
                <w:sz w:val="20"/>
              </w:rPr>
            </w:pPr>
            <w:r>
              <w:rPr>
                <w:b/>
                <w:noProof/>
                <w:sz w:val="20"/>
              </w:rPr>
              <w:t xml:space="preserve">83,993 </w:t>
            </w:r>
          </w:p>
        </w:tc>
        <w:tc>
          <w:tcPr>
            <w:tcW w:w="801" w:type="dxa"/>
          </w:tcPr>
          <w:p>
            <w:pPr>
              <w:jc w:val="right"/>
              <w:rPr>
                <w:b/>
                <w:noProof/>
                <w:sz w:val="20"/>
              </w:rPr>
            </w:pPr>
            <w:r>
              <w:rPr>
                <w:b/>
                <w:noProof/>
                <w:sz w:val="20"/>
              </w:rPr>
              <w:t xml:space="preserve">34,256 </w:t>
            </w:r>
          </w:p>
        </w:tc>
        <w:tc>
          <w:tcPr>
            <w:tcW w:w="801" w:type="dxa"/>
          </w:tcPr>
          <w:p>
            <w:pPr>
              <w:jc w:val="right"/>
              <w:rPr>
                <w:b/>
                <w:noProof/>
                <w:sz w:val="20"/>
              </w:rPr>
            </w:pPr>
            <w:r>
              <w:rPr>
                <w:b/>
                <w:noProof/>
                <w:sz w:val="20"/>
              </w:rPr>
              <w:t xml:space="preserve">28,088 </w:t>
            </w:r>
          </w:p>
        </w:tc>
        <w:tc>
          <w:tcPr>
            <w:tcW w:w="915" w:type="dxa"/>
          </w:tcPr>
          <w:p>
            <w:pPr>
              <w:jc w:val="right"/>
              <w:rPr>
                <w:b/>
                <w:noProof/>
                <w:sz w:val="20"/>
              </w:rPr>
            </w:pPr>
            <w:r>
              <w:rPr>
                <w:b/>
                <w:noProof/>
                <w:sz w:val="20"/>
              </w:rPr>
              <w:t xml:space="preserve">28,008 </w:t>
            </w:r>
          </w:p>
        </w:tc>
        <w:tc>
          <w:tcPr>
            <w:tcW w:w="801" w:type="dxa"/>
          </w:tcPr>
          <w:p>
            <w:pPr>
              <w:jc w:val="right"/>
              <w:rPr>
                <w:b/>
                <w:noProof/>
                <w:sz w:val="20"/>
              </w:rPr>
            </w:pPr>
            <w:r>
              <w:rPr>
                <w:b/>
                <w:noProof/>
                <w:sz w:val="20"/>
              </w:rPr>
              <w:t xml:space="preserve">22,658 </w:t>
            </w:r>
          </w:p>
        </w:tc>
        <w:tc>
          <w:tcPr>
            <w:tcW w:w="785" w:type="dxa"/>
          </w:tcPr>
          <w:p>
            <w:pPr>
              <w:jc w:val="right"/>
              <w:rPr>
                <w:b/>
                <w:noProof/>
                <w:sz w:val="20"/>
              </w:rPr>
            </w:pPr>
            <w:r>
              <w:rPr>
                <w:b/>
                <w:noProof/>
                <w:sz w:val="20"/>
              </w:rPr>
              <w:t xml:space="preserve">0 </w:t>
            </w:r>
          </w:p>
        </w:tc>
        <w:tc>
          <w:tcPr>
            <w:tcW w:w="993" w:type="dxa"/>
          </w:tcPr>
          <w:p>
            <w:pPr>
              <w:jc w:val="right"/>
              <w:rPr>
                <w:b/>
                <w:noProof/>
                <w:sz w:val="20"/>
              </w:rPr>
            </w:pPr>
            <w:r>
              <w:rPr>
                <w:b/>
                <w:noProof/>
                <w:sz w:val="20"/>
              </w:rPr>
              <w:t xml:space="preserve">424,738 </w:t>
            </w:r>
          </w:p>
        </w:tc>
      </w:tr>
    </w:tbl>
    <w:p>
      <w:pPr>
        <w:rPr>
          <w:noProof/>
        </w:rPr>
      </w:pPr>
    </w:p>
    <w:p>
      <w:pPr>
        <w:rPr>
          <w:noProof/>
        </w:rPr>
        <w:sectPr>
          <w:headerReference w:type="default" r:id="rId21"/>
          <w:footerReference w:type="default" r:id="rId22"/>
          <w:headerReference w:type="first" r:id="rId23"/>
          <w:footerReference w:type="first" r:id="rId24"/>
          <w:pgSz w:w="16840" w:h="11907" w:orient="landscape" w:code="9"/>
          <w:pgMar w:top="1134" w:right="1418" w:bottom="1134" w:left="1418" w:header="709" w:footer="709" w:gutter="0"/>
          <w:cols w:space="708"/>
          <w:docGrid w:linePitch="360"/>
        </w:sectPr>
      </w:pPr>
    </w:p>
    <w:p>
      <w:pPr>
        <w:pStyle w:val="ManualHeading3"/>
        <w:rPr>
          <w:noProof/>
        </w:rPr>
      </w:pPr>
      <w:bookmarkStart w:id="292" w:name="_Toc498514176"/>
      <w:r>
        <w:t>3.2.2.</w:t>
      </w:r>
      <w:r>
        <w:tab/>
      </w:r>
      <w:r>
        <w:rPr>
          <w:noProof/>
        </w:rPr>
        <w:t>Ocenjene posledice za odobritve za poslovanje</w:t>
      </w:r>
      <w:bookmarkEnd w:id="292"/>
      <w:r>
        <w:rPr>
          <w:noProof/>
        </w:rPr>
        <w:t xml:space="preserve"> </w:t>
      </w:r>
    </w:p>
    <w:p>
      <w:pPr>
        <w:pStyle w:val="ManualHeading4"/>
        <w:rPr>
          <w:noProof/>
        </w:rPr>
      </w:pPr>
      <w:r>
        <w:t>3.2.2.1.</w:t>
      </w:r>
      <w:r>
        <w:tab/>
      </w:r>
      <w:r>
        <w:rPr>
          <w:noProof/>
        </w:rPr>
        <w:t>Ocenjene posledice za odobritve za Evropsko agencijo za mejno in obalno stražo</w:t>
      </w:r>
    </w:p>
    <w:p>
      <w:pPr>
        <w:pStyle w:val="ListDash1"/>
        <w:keepNext/>
        <w:rPr>
          <w:noProof/>
        </w:rPr>
      </w:pPr>
      <w:r>
        <w:rPr>
          <w:noProof/>
        </w:rPr>
        <w:sym w:font="Wingdings" w:char="F0A8"/>
      </w:r>
      <w:r>
        <w:rPr>
          <w:noProof/>
        </w:rPr>
        <w:tab/>
        <w:t xml:space="preserve">Za predlog/pobudo niso potrebne odobritve za poslovanje. </w:t>
      </w:r>
    </w:p>
    <w:p>
      <w:pPr>
        <w:pStyle w:val="ListDash1"/>
        <w:keepNext/>
        <w:rPr>
          <w:noProof/>
        </w:rPr>
      </w:pPr>
      <w:r>
        <w:rPr>
          <w:noProof/>
        </w:rPr>
        <w:sym w:font="Wingdings" w:char="F078"/>
      </w:r>
      <w:r>
        <w:rPr>
          <w:noProof/>
        </w:rPr>
        <w:tab/>
        <w:t>Za predlog/pobudo so potrebne odobritve za poslovanje, kot je pojasnjeno v nadaljevanju:</w:t>
      </w:r>
    </w:p>
    <w:p>
      <w:pPr>
        <w:keepNext/>
        <w:jc w:val="right"/>
        <w:rPr>
          <w:noProof/>
          <w:sz w:val="20"/>
        </w:rPr>
      </w:pPr>
      <w:r>
        <w:rPr>
          <w:noProof/>
          <w:sz w:val="20"/>
        </w:rPr>
        <w:t>odobritve za prevzem obveznosti v mio. EUR (na tri decimalna mesta natančno)</w:t>
      </w:r>
    </w:p>
    <w:tbl>
      <w:tblPr>
        <w:tblW w:w="15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2"/>
        <w:gridCol w:w="721"/>
        <w:gridCol w:w="659"/>
        <w:gridCol w:w="303"/>
        <w:gridCol w:w="867"/>
        <w:gridCol w:w="330"/>
        <w:gridCol w:w="840"/>
        <w:gridCol w:w="360"/>
        <w:gridCol w:w="840"/>
        <w:gridCol w:w="596"/>
        <w:gridCol w:w="840"/>
        <w:gridCol w:w="596"/>
        <w:gridCol w:w="792"/>
        <w:gridCol w:w="360"/>
        <w:gridCol w:w="720"/>
        <w:gridCol w:w="360"/>
        <w:gridCol w:w="840"/>
        <w:gridCol w:w="360"/>
        <w:gridCol w:w="840"/>
        <w:gridCol w:w="360"/>
        <w:gridCol w:w="840"/>
        <w:gridCol w:w="665"/>
        <w:gridCol w:w="1015"/>
      </w:tblGrid>
      <w:tr>
        <w:trPr>
          <w:jc w:val="center"/>
        </w:trPr>
        <w:tc>
          <w:tcPr>
            <w:tcW w:w="1422" w:type="dxa"/>
            <w:vMerge w:val="restart"/>
            <w:tcBorders>
              <w:top w:val="single" w:sz="12" w:space="0" w:color="auto"/>
              <w:left w:val="single" w:sz="12" w:space="0" w:color="auto"/>
            </w:tcBorders>
            <w:vAlign w:val="center"/>
          </w:tcPr>
          <w:p>
            <w:pPr>
              <w:keepNext/>
              <w:ind w:right="-29"/>
              <w:jc w:val="center"/>
              <w:rPr>
                <w:b/>
                <w:noProof/>
                <w:sz w:val="18"/>
                <w:szCs w:val="18"/>
              </w:rPr>
            </w:pPr>
            <w:r>
              <w:rPr>
                <w:b/>
                <w:noProof/>
                <w:sz w:val="18"/>
              </w:rPr>
              <w:t xml:space="preserve">Cilji in realizacije </w:t>
            </w:r>
          </w:p>
          <w:p>
            <w:pPr>
              <w:keepNext/>
              <w:ind w:right="-29"/>
              <w:jc w:val="center"/>
              <w:rPr>
                <w:b/>
                <w:noProof/>
                <w:sz w:val="18"/>
                <w:szCs w:val="18"/>
              </w:rPr>
            </w:pPr>
            <w:r>
              <w:rPr>
                <w:b/>
                <w:noProof/>
                <w:sz w:val="18"/>
              </w:rPr>
              <w:t>Evropska agencija za</w:t>
            </w:r>
            <w:r>
              <w:rPr>
                <w:b/>
                <w:noProof/>
                <w:sz w:val="18"/>
                <w:szCs w:val="18"/>
              </w:rPr>
              <w:br/>
            </w:r>
            <w:r>
              <w:rPr>
                <w:b/>
                <w:noProof/>
                <w:sz w:val="18"/>
              </w:rPr>
              <w:t>mejno in obalno stražo</w:t>
            </w:r>
          </w:p>
          <w:p>
            <w:pPr>
              <w:keepNext/>
              <w:ind w:right="-29"/>
              <w:jc w:val="center"/>
              <w:rPr>
                <w:noProof/>
                <w:sz w:val="18"/>
                <w:szCs w:val="18"/>
              </w:rPr>
            </w:pPr>
            <w:r>
              <w:rPr>
                <w:noProof/>
                <w:sz w:val="18"/>
              </w:rPr>
              <w:sym w:font="Wingdings" w:char="F0F2"/>
            </w:r>
          </w:p>
        </w:tc>
        <w:tc>
          <w:tcPr>
            <w:tcW w:w="721" w:type="dxa"/>
            <w:tcBorders>
              <w:top w:val="single" w:sz="12" w:space="0" w:color="auto"/>
            </w:tcBorders>
            <w:vAlign w:val="center"/>
          </w:tcPr>
          <w:p>
            <w:pPr>
              <w:keepNext/>
              <w:ind w:right="-29"/>
              <w:jc w:val="center"/>
              <w:rPr>
                <w:noProof/>
                <w:sz w:val="18"/>
                <w:szCs w:val="18"/>
              </w:rPr>
            </w:pPr>
          </w:p>
        </w:tc>
        <w:tc>
          <w:tcPr>
            <w:tcW w:w="659" w:type="dxa"/>
            <w:tcBorders>
              <w:top w:val="single" w:sz="12" w:space="0" w:color="auto"/>
            </w:tcBorders>
            <w:vAlign w:val="center"/>
          </w:tcPr>
          <w:p>
            <w:pPr>
              <w:keepNext/>
              <w:ind w:right="-29"/>
              <w:jc w:val="center"/>
              <w:rPr>
                <w:noProof/>
                <w:sz w:val="18"/>
                <w:szCs w:val="18"/>
              </w:rPr>
            </w:pPr>
          </w:p>
        </w:tc>
        <w:tc>
          <w:tcPr>
            <w:tcW w:w="1170" w:type="dxa"/>
            <w:gridSpan w:val="2"/>
            <w:tcBorders>
              <w:top w:val="single" w:sz="12" w:space="0" w:color="auto"/>
              <w:right w:val="single" w:sz="4" w:space="0" w:color="auto"/>
            </w:tcBorders>
            <w:vAlign w:val="center"/>
          </w:tcPr>
          <w:p>
            <w:pPr>
              <w:keepNext/>
              <w:ind w:right="-29"/>
              <w:jc w:val="center"/>
              <w:rPr>
                <w:noProof/>
                <w:sz w:val="18"/>
                <w:szCs w:val="18"/>
              </w:rPr>
            </w:pPr>
            <w:r>
              <w:rPr>
                <w:noProof/>
                <w:sz w:val="18"/>
              </w:rPr>
              <w:t>Leto</w:t>
            </w:r>
            <w:r>
              <w:rPr>
                <w:noProof/>
                <w:sz w:val="22"/>
              </w:rPr>
              <w:br/>
            </w:r>
            <w:r>
              <w:rPr>
                <w:b/>
                <w:noProof/>
                <w:sz w:val="18"/>
              </w:rPr>
              <w:t>2019</w:t>
            </w:r>
          </w:p>
        </w:tc>
        <w:tc>
          <w:tcPr>
            <w:tcW w:w="1170" w:type="dxa"/>
            <w:gridSpan w:val="2"/>
            <w:tcBorders>
              <w:top w:val="single" w:sz="12" w:space="0" w:color="auto"/>
              <w:left w:val="single" w:sz="4" w:space="0" w:color="auto"/>
            </w:tcBorders>
            <w:vAlign w:val="center"/>
          </w:tcPr>
          <w:p>
            <w:pPr>
              <w:keepNext/>
              <w:ind w:right="-29"/>
              <w:jc w:val="center"/>
              <w:rPr>
                <w:noProof/>
                <w:sz w:val="18"/>
                <w:szCs w:val="18"/>
              </w:rPr>
            </w:pPr>
            <w:r>
              <w:rPr>
                <w:noProof/>
                <w:sz w:val="18"/>
              </w:rPr>
              <w:t>Leto</w:t>
            </w:r>
            <w:r>
              <w:rPr>
                <w:noProof/>
                <w:sz w:val="22"/>
              </w:rPr>
              <w:br/>
            </w:r>
            <w:r>
              <w:rPr>
                <w:b/>
                <w:noProof/>
                <w:sz w:val="18"/>
              </w:rPr>
              <w:t>2020</w:t>
            </w:r>
          </w:p>
        </w:tc>
        <w:tc>
          <w:tcPr>
            <w:tcW w:w="1200" w:type="dxa"/>
            <w:gridSpan w:val="2"/>
            <w:tcBorders>
              <w:top w:val="single" w:sz="12" w:space="0" w:color="auto"/>
            </w:tcBorders>
            <w:vAlign w:val="center"/>
          </w:tcPr>
          <w:p>
            <w:pPr>
              <w:keepNext/>
              <w:ind w:right="-29"/>
              <w:jc w:val="center"/>
              <w:rPr>
                <w:noProof/>
                <w:sz w:val="18"/>
                <w:szCs w:val="18"/>
              </w:rPr>
            </w:pPr>
            <w:r>
              <w:rPr>
                <w:noProof/>
                <w:sz w:val="18"/>
              </w:rPr>
              <w:t>Leto</w:t>
            </w:r>
            <w:r>
              <w:rPr>
                <w:noProof/>
                <w:sz w:val="22"/>
              </w:rPr>
              <w:br/>
            </w:r>
            <w:r>
              <w:rPr>
                <w:b/>
                <w:noProof/>
                <w:sz w:val="18"/>
              </w:rPr>
              <w:t>2021</w:t>
            </w:r>
          </w:p>
        </w:tc>
        <w:tc>
          <w:tcPr>
            <w:tcW w:w="1436" w:type="dxa"/>
            <w:gridSpan w:val="2"/>
            <w:tcBorders>
              <w:top w:val="single" w:sz="12" w:space="0" w:color="auto"/>
            </w:tcBorders>
            <w:vAlign w:val="center"/>
          </w:tcPr>
          <w:p>
            <w:pPr>
              <w:keepNext/>
              <w:ind w:right="-29"/>
              <w:jc w:val="center"/>
              <w:rPr>
                <w:noProof/>
                <w:sz w:val="18"/>
                <w:szCs w:val="18"/>
              </w:rPr>
            </w:pPr>
            <w:r>
              <w:rPr>
                <w:noProof/>
                <w:sz w:val="18"/>
              </w:rPr>
              <w:t>Leto</w:t>
            </w:r>
            <w:r>
              <w:rPr>
                <w:noProof/>
                <w:sz w:val="22"/>
              </w:rPr>
              <w:br/>
            </w:r>
            <w:r>
              <w:rPr>
                <w:b/>
                <w:noProof/>
                <w:sz w:val="18"/>
              </w:rPr>
              <w:t>2022</w:t>
            </w:r>
          </w:p>
        </w:tc>
        <w:tc>
          <w:tcPr>
            <w:tcW w:w="1388" w:type="dxa"/>
            <w:gridSpan w:val="2"/>
            <w:tcBorders>
              <w:top w:val="single" w:sz="12" w:space="0" w:color="auto"/>
            </w:tcBorders>
            <w:vAlign w:val="center"/>
          </w:tcPr>
          <w:p>
            <w:pPr>
              <w:keepNext/>
              <w:jc w:val="center"/>
              <w:rPr>
                <w:noProof/>
                <w:sz w:val="18"/>
                <w:szCs w:val="18"/>
              </w:rPr>
            </w:pPr>
            <w:r>
              <w:rPr>
                <w:noProof/>
                <w:sz w:val="18"/>
              </w:rPr>
              <w:t>Leto</w:t>
            </w:r>
            <w:r>
              <w:rPr>
                <w:noProof/>
                <w:sz w:val="22"/>
              </w:rPr>
              <w:br/>
            </w:r>
            <w:r>
              <w:rPr>
                <w:b/>
                <w:noProof/>
                <w:sz w:val="18"/>
              </w:rPr>
              <w:t>2023</w:t>
            </w:r>
          </w:p>
        </w:tc>
        <w:tc>
          <w:tcPr>
            <w:tcW w:w="1080" w:type="dxa"/>
            <w:gridSpan w:val="2"/>
            <w:tcBorders>
              <w:top w:val="single" w:sz="12" w:space="0" w:color="auto"/>
            </w:tcBorders>
            <w:vAlign w:val="center"/>
          </w:tcPr>
          <w:p>
            <w:pPr>
              <w:keepNext/>
              <w:jc w:val="center"/>
              <w:rPr>
                <w:noProof/>
                <w:sz w:val="18"/>
                <w:szCs w:val="18"/>
              </w:rPr>
            </w:pPr>
            <w:r>
              <w:rPr>
                <w:noProof/>
                <w:sz w:val="18"/>
              </w:rPr>
              <w:t>Leto</w:t>
            </w:r>
            <w:r>
              <w:rPr>
                <w:noProof/>
                <w:sz w:val="22"/>
              </w:rPr>
              <w:br/>
            </w:r>
            <w:r>
              <w:rPr>
                <w:b/>
                <w:noProof/>
                <w:sz w:val="18"/>
              </w:rPr>
              <w:t>2024</w:t>
            </w:r>
          </w:p>
        </w:tc>
        <w:tc>
          <w:tcPr>
            <w:tcW w:w="1200" w:type="dxa"/>
            <w:gridSpan w:val="2"/>
            <w:tcBorders>
              <w:top w:val="single" w:sz="12" w:space="0" w:color="auto"/>
            </w:tcBorders>
            <w:vAlign w:val="center"/>
          </w:tcPr>
          <w:p>
            <w:pPr>
              <w:keepNext/>
              <w:jc w:val="center"/>
              <w:rPr>
                <w:noProof/>
                <w:sz w:val="18"/>
                <w:szCs w:val="18"/>
              </w:rPr>
            </w:pPr>
            <w:r>
              <w:rPr>
                <w:noProof/>
                <w:sz w:val="18"/>
              </w:rPr>
              <w:t>Leto</w:t>
            </w:r>
            <w:r>
              <w:rPr>
                <w:noProof/>
                <w:sz w:val="22"/>
              </w:rPr>
              <w:br/>
            </w:r>
            <w:r>
              <w:rPr>
                <w:b/>
                <w:noProof/>
                <w:sz w:val="18"/>
              </w:rPr>
              <w:t>2025</w:t>
            </w:r>
          </w:p>
        </w:tc>
        <w:tc>
          <w:tcPr>
            <w:tcW w:w="1200" w:type="dxa"/>
            <w:gridSpan w:val="2"/>
            <w:tcBorders>
              <w:top w:val="single" w:sz="12" w:space="0" w:color="auto"/>
            </w:tcBorders>
          </w:tcPr>
          <w:p>
            <w:pPr>
              <w:keepNext/>
              <w:ind w:right="-29"/>
              <w:jc w:val="center"/>
              <w:rPr>
                <w:b/>
                <w:noProof/>
                <w:sz w:val="18"/>
              </w:rPr>
            </w:pPr>
            <w:r>
              <w:rPr>
                <w:noProof/>
                <w:sz w:val="18"/>
              </w:rPr>
              <w:t>Leto</w:t>
            </w:r>
            <w:r>
              <w:rPr>
                <w:noProof/>
                <w:sz w:val="22"/>
              </w:rPr>
              <w:br/>
            </w:r>
            <w:r>
              <w:rPr>
                <w:b/>
                <w:noProof/>
                <w:sz w:val="18"/>
              </w:rPr>
              <w:t>2026</w:t>
            </w:r>
          </w:p>
        </w:tc>
        <w:tc>
          <w:tcPr>
            <w:tcW w:w="1200" w:type="dxa"/>
            <w:gridSpan w:val="2"/>
            <w:tcBorders>
              <w:top w:val="single" w:sz="12" w:space="0" w:color="auto"/>
              <w:right w:val="nil"/>
            </w:tcBorders>
          </w:tcPr>
          <w:p>
            <w:pPr>
              <w:keepNext/>
              <w:ind w:right="-29"/>
              <w:jc w:val="center"/>
              <w:rPr>
                <w:b/>
                <w:noProof/>
                <w:sz w:val="18"/>
              </w:rPr>
            </w:pPr>
            <w:r>
              <w:rPr>
                <w:noProof/>
                <w:sz w:val="18"/>
              </w:rPr>
              <w:t>Leto</w:t>
            </w:r>
            <w:r>
              <w:rPr>
                <w:noProof/>
                <w:sz w:val="22"/>
              </w:rPr>
              <w:br/>
            </w:r>
            <w:r>
              <w:rPr>
                <w:b/>
                <w:noProof/>
                <w:sz w:val="18"/>
              </w:rPr>
              <w:t>2027</w:t>
            </w:r>
          </w:p>
        </w:tc>
        <w:tc>
          <w:tcPr>
            <w:tcW w:w="1680" w:type="dxa"/>
            <w:gridSpan w:val="2"/>
            <w:tcBorders>
              <w:top w:val="single" w:sz="12" w:space="0" w:color="auto"/>
              <w:left w:val="single" w:sz="6" w:space="0" w:color="auto"/>
              <w:bottom w:val="single" w:sz="4" w:space="0" w:color="auto"/>
              <w:right w:val="single" w:sz="12" w:space="0" w:color="auto"/>
            </w:tcBorders>
            <w:vAlign w:val="center"/>
          </w:tcPr>
          <w:p>
            <w:pPr>
              <w:keepNext/>
              <w:ind w:right="-29"/>
              <w:jc w:val="center"/>
              <w:rPr>
                <w:noProof/>
                <w:sz w:val="18"/>
                <w:szCs w:val="18"/>
              </w:rPr>
            </w:pPr>
            <w:r>
              <w:rPr>
                <w:b/>
                <w:noProof/>
                <w:sz w:val="18"/>
              </w:rPr>
              <w:t>SKUPAJ</w:t>
            </w:r>
          </w:p>
        </w:tc>
      </w:tr>
      <w:tr>
        <w:trPr>
          <w:gridAfter w:val="22"/>
          <w:wAfter w:w="14104" w:type="dxa"/>
          <w:trHeight w:val="465"/>
          <w:jc w:val="center"/>
        </w:trPr>
        <w:tc>
          <w:tcPr>
            <w:tcW w:w="1422" w:type="dxa"/>
            <w:vMerge/>
            <w:tcBorders>
              <w:left w:val="single" w:sz="12" w:space="0" w:color="auto"/>
            </w:tcBorders>
            <w:vAlign w:val="center"/>
          </w:tcPr>
          <w:p>
            <w:pPr>
              <w:keepNext/>
              <w:ind w:right="-29"/>
              <w:jc w:val="center"/>
              <w:rPr>
                <w:noProof/>
                <w:sz w:val="18"/>
                <w:szCs w:val="18"/>
              </w:rPr>
            </w:pPr>
          </w:p>
        </w:tc>
      </w:tr>
      <w:tr>
        <w:trPr>
          <w:cantSplit/>
          <w:trHeight w:val="1134"/>
          <w:jc w:val="center"/>
        </w:trPr>
        <w:tc>
          <w:tcPr>
            <w:tcW w:w="1422" w:type="dxa"/>
            <w:vMerge/>
            <w:tcBorders>
              <w:left w:val="single" w:sz="12" w:space="0" w:color="auto"/>
            </w:tcBorders>
            <w:vAlign w:val="center"/>
          </w:tcPr>
          <w:p>
            <w:pPr>
              <w:keepNext/>
              <w:rPr>
                <w:noProof/>
                <w:sz w:val="18"/>
                <w:szCs w:val="18"/>
              </w:rPr>
            </w:pPr>
          </w:p>
        </w:tc>
        <w:tc>
          <w:tcPr>
            <w:tcW w:w="721" w:type="dxa"/>
            <w:vAlign w:val="center"/>
          </w:tcPr>
          <w:p>
            <w:pPr>
              <w:keepNext/>
              <w:jc w:val="center"/>
              <w:rPr>
                <w:noProof/>
                <w:sz w:val="18"/>
                <w:szCs w:val="18"/>
              </w:rPr>
            </w:pPr>
            <w:r>
              <w:rPr>
                <w:noProof/>
                <w:sz w:val="18"/>
              </w:rPr>
              <w:t>vrsta</w:t>
            </w:r>
            <w:r>
              <w:rPr>
                <w:rStyle w:val="FootnoteReference"/>
                <w:noProof/>
              </w:rPr>
              <w:footnoteReference w:id="89"/>
            </w:r>
          </w:p>
          <w:p>
            <w:pPr>
              <w:keepNext/>
              <w:spacing w:before="0" w:after="0"/>
              <w:jc w:val="center"/>
              <w:rPr>
                <w:noProof/>
                <w:sz w:val="18"/>
                <w:szCs w:val="18"/>
              </w:rPr>
            </w:pPr>
          </w:p>
        </w:tc>
        <w:tc>
          <w:tcPr>
            <w:tcW w:w="659" w:type="dxa"/>
            <w:tcBorders>
              <w:right w:val="single" w:sz="4" w:space="0" w:color="auto"/>
            </w:tcBorders>
            <w:vAlign w:val="center"/>
          </w:tcPr>
          <w:p>
            <w:pPr>
              <w:keepNext/>
              <w:jc w:val="center"/>
              <w:rPr>
                <w:noProof/>
                <w:sz w:val="18"/>
                <w:szCs w:val="18"/>
              </w:rPr>
            </w:pPr>
            <w:r>
              <w:rPr>
                <w:noProof/>
                <w:sz w:val="18"/>
              </w:rPr>
              <w:t>povprečni stroški</w:t>
            </w:r>
          </w:p>
        </w:tc>
        <w:tc>
          <w:tcPr>
            <w:tcW w:w="303" w:type="dxa"/>
            <w:tcBorders>
              <w:top w:val="dotted" w:sz="4" w:space="0" w:color="auto"/>
              <w:left w:val="single" w:sz="4" w:space="0" w:color="auto"/>
              <w:bottom w:val="dotted" w:sz="4" w:space="0" w:color="auto"/>
              <w:right w:val="nil"/>
            </w:tcBorders>
            <w:shd w:val="pct10" w:color="auto" w:fill="auto"/>
            <w:textDirection w:val="btLr"/>
            <w:vAlign w:val="center"/>
          </w:tcPr>
          <w:p>
            <w:pPr>
              <w:keepNext/>
              <w:ind w:left="113" w:right="113"/>
              <w:jc w:val="center"/>
              <w:rPr>
                <w:noProof/>
                <w:sz w:val="18"/>
              </w:rPr>
            </w:pPr>
            <w:r>
              <w:rPr>
                <w:noProof/>
                <w:sz w:val="18"/>
              </w:rPr>
              <w:t>število</w:t>
            </w:r>
          </w:p>
        </w:tc>
        <w:tc>
          <w:tcPr>
            <w:tcW w:w="867" w:type="dxa"/>
            <w:tcBorders>
              <w:left w:val="nil"/>
              <w:right w:val="single" w:sz="4" w:space="0" w:color="auto"/>
            </w:tcBorders>
            <w:shd w:val="pct10" w:color="auto" w:fill="auto"/>
            <w:vAlign w:val="center"/>
          </w:tcPr>
          <w:p>
            <w:pPr>
              <w:keepNext/>
              <w:jc w:val="center"/>
              <w:rPr>
                <w:noProof/>
                <w:sz w:val="18"/>
              </w:rPr>
            </w:pPr>
            <w:r>
              <w:rPr>
                <w:noProof/>
                <w:sz w:val="18"/>
              </w:rPr>
              <w:t>stroški</w:t>
            </w:r>
          </w:p>
        </w:tc>
        <w:tc>
          <w:tcPr>
            <w:tcW w:w="330" w:type="dxa"/>
            <w:tcBorders>
              <w:left w:val="single" w:sz="4" w:space="0" w:color="auto"/>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 xml:space="preserve"> število</w:t>
            </w:r>
          </w:p>
        </w:tc>
        <w:tc>
          <w:tcPr>
            <w:tcW w:w="840"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 xml:space="preserve"> število</w:t>
            </w:r>
          </w:p>
        </w:tc>
        <w:tc>
          <w:tcPr>
            <w:tcW w:w="840"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596"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 xml:space="preserve"> število</w:t>
            </w:r>
          </w:p>
        </w:tc>
        <w:tc>
          <w:tcPr>
            <w:tcW w:w="840"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596"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 xml:space="preserve"> število</w:t>
            </w:r>
          </w:p>
        </w:tc>
        <w:tc>
          <w:tcPr>
            <w:tcW w:w="792"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 xml:space="preserve"> število</w:t>
            </w:r>
          </w:p>
        </w:tc>
        <w:tc>
          <w:tcPr>
            <w:tcW w:w="720"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 xml:space="preserve"> število</w:t>
            </w:r>
          </w:p>
        </w:tc>
        <w:tc>
          <w:tcPr>
            <w:tcW w:w="840"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 xml:space="preserve"> število</w:t>
            </w:r>
          </w:p>
        </w:tc>
        <w:tc>
          <w:tcPr>
            <w:tcW w:w="840"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keepNext/>
              <w:ind w:left="113" w:right="113"/>
              <w:jc w:val="center"/>
              <w:rPr>
                <w:noProof/>
                <w:sz w:val="18"/>
              </w:rPr>
            </w:pPr>
            <w:r>
              <w:rPr>
                <w:noProof/>
                <w:sz w:val="18"/>
              </w:rPr>
              <w:t xml:space="preserve"> število</w:t>
            </w:r>
          </w:p>
        </w:tc>
        <w:tc>
          <w:tcPr>
            <w:tcW w:w="840" w:type="dxa"/>
            <w:tcBorders>
              <w:left w:val="dashSmallGap" w:sz="4" w:space="0" w:color="auto"/>
            </w:tcBorders>
            <w:shd w:val="pct10" w:color="auto" w:fill="auto"/>
            <w:vAlign w:val="center"/>
          </w:tcPr>
          <w:p>
            <w:pPr>
              <w:keepNext/>
              <w:jc w:val="center"/>
              <w:rPr>
                <w:noProof/>
                <w:sz w:val="18"/>
              </w:rPr>
            </w:pPr>
            <w:r>
              <w:rPr>
                <w:noProof/>
                <w:sz w:val="18"/>
              </w:rPr>
              <w:t>stroški</w:t>
            </w:r>
          </w:p>
        </w:tc>
        <w:tc>
          <w:tcPr>
            <w:tcW w:w="665"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 realizacij skupaj</w:t>
            </w:r>
          </w:p>
        </w:tc>
        <w:tc>
          <w:tcPr>
            <w:tcW w:w="1015" w:type="dxa"/>
            <w:tcBorders>
              <w:left w:val="dashSmallGap" w:sz="4" w:space="0" w:color="auto"/>
              <w:right w:val="single" w:sz="12" w:space="0" w:color="auto"/>
            </w:tcBorders>
            <w:shd w:val="pct10" w:color="auto" w:fill="auto"/>
            <w:vAlign w:val="center"/>
          </w:tcPr>
          <w:p>
            <w:pPr>
              <w:keepNext/>
              <w:jc w:val="center"/>
              <w:rPr>
                <w:noProof/>
                <w:sz w:val="18"/>
                <w:szCs w:val="18"/>
              </w:rPr>
            </w:pPr>
            <w:r>
              <w:rPr>
                <w:noProof/>
                <w:sz w:val="18"/>
              </w:rPr>
              <w:t>stroški realizacij skupaj</w:t>
            </w:r>
          </w:p>
        </w:tc>
      </w:tr>
      <w:tr>
        <w:trPr>
          <w:jc w:val="center"/>
        </w:trPr>
        <w:tc>
          <w:tcPr>
            <w:tcW w:w="2802" w:type="dxa"/>
            <w:gridSpan w:val="3"/>
            <w:tcBorders>
              <w:left w:val="single" w:sz="12" w:space="0" w:color="auto"/>
            </w:tcBorders>
            <w:vAlign w:val="center"/>
          </w:tcPr>
          <w:p>
            <w:pPr>
              <w:keepNext/>
              <w:spacing w:before="60" w:after="60"/>
              <w:ind w:right="-29"/>
              <w:jc w:val="center"/>
              <w:rPr>
                <w:noProof/>
                <w:sz w:val="18"/>
              </w:rPr>
            </w:pPr>
            <w:r>
              <w:rPr>
                <w:noProof/>
                <w:sz w:val="18"/>
              </w:rPr>
              <w:t>SPECIFIČNI CILJ št. 1</w:t>
            </w:r>
            <w:r>
              <w:rPr>
                <w:rStyle w:val="FootnoteReference"/>
                <w:noProof/>
              </w:rPr>
              <w:footnoteReference w:id="90"/>
            </w:r>
          </w:p>
          <w:p>
            <w:pPr>
              <w:keepNext/>
              <w:spacing w:before="60" w:after="60"/>
              <w:ind w:right="-29"/>
              <w:jc w:val="center"/>
              <w:rPr>
                <w:noProof/>
                <w:sz w:val="18"/>
                <w:szCs w:val="18"/>
              </w:rPr>
            </w:pPr>
            <w:r>
              <w:rPr>
                <w:noProof/>
                <w:sz w:val="18"/>
              </w:rPr>
              <w:t xml:space="preserve">Potrditev povezav </w:t>
            </w:r>
          </w:p>
        </w:tc>
        <w:tc>
          <w:tcPr>
            <w:tcW w:w="303" w:type="dxa"/>
            <w:tcBorders>
              <w:right w:val="nil"/>
            </w:tcBorders>
          </w:tcPr>
          <w:p>
            <w:pPr>
              <w:keepNext/>
              <w:spacing w:before="60" w:after="60"/>
              <w:ind w:right="-29"/>
              <w:jc w:val="center"/>
              <w:rPr>
                <w:noProof/>
                <w:sz w:val="18"/>
                <w:szCs w:val="18"/>
              </w:rPr>
            </w:pPr>
          </w:p>
        </w:tc>
        <w:tc>
          <w:tcPr>
            <w:tcW w:w="867" w:type="dxa"/>
            <w:tcBorders>
              <w:left w:val="nil"/>
              <w:bottom w:val="single" w:sz="4" w:space="0" w:color="auto"/>
            </w:tcBorders>
          </w:tcPr>
          <w:p>
            <w:pPr>
              <w:keepNext/>
              <w:spacing w:before="60" w:after="60"/>
              <w:ind w:right="-29"/>
              <w:jc w:val="center"/>
              <w:rPr>
                <w:noProof/>
                <w:sz w:val="18"/>
                <w:szCs w:val="18"/>
              </w:rPr>
            </w:pPr>
          </w:p>
        </w:tc>
        <w:tc>
          <w:tcPr>
            <w:tcW w:w="330" w:type="dxa"/>
            <w:tcBorders>
              <w:top w:val="nil"/>
              <w:left w:val="nil"/>
              <w:bottom w:val="nil"/>
              <w:right w:val="nil"/>
            </w:tcBorders>
          </w:tcPr>
          <w:p>
            <w:pPr>
              <w:keepNext/>
              <w:spacing w:before="60" w:after="60"/>
              <w:ind w:right="-29"/>
              <w:jc w:val="center"/>
              <w:rPr>
                <w:noProof/>
                <w:sz w:val="18"/>
                <w:szCs w:val="18"/>
              </w:rPr>
            </w:pPr>
          </w:p>
        </w:tc>
        <w:tc>
          <w:tcPr>
            <w:tcW w:w="840" w:type="dxa"/>
            <w:tcBorders>
              <w:top w:val="nil"/>
              <w:left w:val="nil"/>
              <w:bottom w:val="nil"/>
              <w:right w:val="nil"/>
            </w:tcBorders>
          </w:tcPr>
          <w:p>
            <w:pPr>
              <w:keepNext/>
              <w:spacing w:before="60" w:after="60"/>
              <w:ind w:right="-29"/>
              <w:jc w:val="center"/>
              <w:rPr>
                <w:noProof/>
                <w:sz w:val="18"/>
                <w:szCs w:val="18"/>
              </w:rPr>
            </w:pPr>
          </w:p>
        </w:tc>
        <w:tc>
          <w:tcPr>
            <w:tcW w:w="360" w:type="dxa"/>
            <w:tcBorders>
              <w:top w:val="nil"/>
              <w:left w:val="nil"/>
              <w:bottom w:val="nil"/>
              <w:right w:val="nil"/>
            </w:tcBorders>
          </w:tcPr>
          <w:p>
            <w:pPr>
              <w:keepNext/>
              <w:spacing w:before="60" w:after="60"/>
              <w:ind w:right="-29"/>
              <w:jc w:val="center"/>
              <w:rPr>
                <w:noProof/>
                <w:sz w:val="18"/>
                <w:szCs w:val="18"/>
              </w:rPr>
            </w:pPr>
          </w:p>
        </w:tc>
        <w:tc>
          <w:tcPr>
            <w:tcW w:w="840" w:type="dxa"/>
            <w:tcBorders>
              <w:top w:val="nil"/>
              <w:left w:val="nil"/>
              <w:bottom w:val="nil"/>
              <w:right w:val="nil"/>
            </w:tcBorders>
          </w:tcPr>
          <w:p>
            <w:pPr>
              <w:keepNext/>
              <w:spacing w:before="60" w:after="60"/>
              <w:ind w:right="-29"/>
              <w:jc w:val="center"/>
              <w:rPr>
                <w:noProof/>
                <w:sz w:val="18"/>
                <w:szCs w:val="18"/>
              </w:rPr>
            </w:pPr>
          </w:p>
        </w:tc>
        <w:tc>
          <w:tcPr>
            <w:tcW w:w="596" w:type="dxa"/>
            <w:tcBorders>
              <w:top w:val="nil"/>
              <w:left w:val="nil"/>
              <w:bottom w:val="nil"/>
              <w:right w:val="nil"/>
            </w:tcBorders>
          </w:tcPr>
          <w:p>
            <w:pPr>
              <w:keepNext/>
              <w:spacing w:before="60" w:after="60"/>
              <w:ind w:right="-29"/>
              <w:jc w:val="center"/>
              <w:rPr>
                <w:noProof/>
                <w:sz w:val="18"/>
                <w:szCs w:val="18"/>
              </w:rPr>
            </w:pPr>
          </w:p>
        </w:tc>
        <w:tc>
          <w:tcPr>
            <w:tcW w:w="840" w:type="dxa"/>
            <w:tcBorders>
              <w:top w:val="nil"/>
              <w:left w:val="nil"/>
              <w:bottom w:val="nil"/>
              <w:right w:val="nil"/>
            </w:tcBorders>
          </w:tcPr>
          <w:p>
            <w:pPr>
              <w:keepNext/>
              <w:spacing w:before="60" w:after="60"/>
              <w:ind w:right="-29"/>
              <w:jc w:val="center"/>
              <w:rPr>
                <w:noProof/>
                <w:sz w:val="18"/>
                <w:szCs w:val="18"/>
              </w:rPr>
            </w:pPr>
          </w:p>
        </w:tc>
        <w:tc>
          <w:tcPr>
            <w:tcW w:w="596" w:type="dxa"/>
            <w:tcBorders>
              <w:top w:val="nil"/>
              <w:left w:val="nil"/>
              <w:bottom w:val="nil"/>
              <w:right w:val="nil"/>
            </w:tcBorders>
          </w:tcPr>
          <w:p>
            <w:pPr>
              <w:keepNext/>
              <w:spacing w:before="60" w:after="60"/>
              <w:ind w:right="-29"/>
              <w:jc w:val="center"/>
              <w:rPr>
                <w:noProof/>
                <w:sz w:val="18"/>
                <w:szCs w:val="18"/>
              </w:rPr>
            </w:pPr>
          </w:p>
        </w:tc>
        <w:tc>
          <w:tcPr>
            <w:tcW w:w="792" w:type="dxa"/>
            <w:tcBorders>
              <w:top w:val="nil"/>
              <w:left w:val="nil"/>
              <w:bottom w:val="nil"/>
              <w:right w:val="nil"/>
            </w:tcBorders>
          </w:tcPr>
          <w:p>
            <w:pPr>
              <w:keepNext/>
              <w:spacing w:before="60" w:after="60"/>
              <w:ind w:right="-29"/>
              <w:jc w:val="center"/>
              <w:rPr>
                <w:noProof/>
                <w:sz w:val="18"/>
                <w:szCs w:val="18"/>
              </w:rPr>
            </w:pPr>
          </w:p>
        </w:tc>
        <w:tc>
          <w:tcPr>
            <w:tcW w:w="360" w:type="dxa"/>
            <w:tcBorders>
              <w:top w:val="nil"/>
              <w:left w:val="nil"/>
              <w:bottom w:val="nil"/>
              <w:right w:val="nil"/>
            </w:tcBorders>
          </w:tcPr>
          <w:p>
            <w:pPr>
              <w:keepNext/>
              <w:spacing w:before="60" w:after="60"/>
              <w:ind w:right="-29"/>
              <w:jc w:val="center"/>
              <w:rPr>
                <w:noProof/>
                <w:sz w:val="18"/>
                <w:szCs w:val="18"/>
              </w:rPr>
            </w:pPr>
          </w:p>
        </w:tc>
        <w:tc>
          <w:tcPr>
            <w:tcW w:w="720" w:type="dxa"/>
            <w:tcBorders>
              <w:top w:val="nil"/>
              <w:left w:val="nil"/>
              <w:bottom w:val="nil"/>
              <w:right w:val="nil"/>
            </w:tcBorders>
          </w:tcPr>
          <w:p>
            <w:pPr>
              <w:keepNext/>
              <w:spacing w:before="60" w:after="60"/>
              <w:ind w:right="-29"/>
              <w:jc w:val="center"/>
              <w:rPr>
                <w:noProof/>
                <w:sz w:val="18"/>
                <w:szCs w:val="18"/>
              </w:rPr>
            </w:pPr>
          </w:p>
        </w:tc>
        <w:tc>
          <w:tcPr>
            <w:tcW w:w="360" w:type="dxa"/>
            <w:tcBorders>
              <w:top w:val="nil"/>
              <w:left w:val="nil"/>
              <w:bottom w:val="nil"/>
              <w:right w:val="nil"/>
            </w:tcBorders>
          </w:tcPr>
          <w:p>
            <w:pPr>
              <w:keepNext/>
              <w:spacing w:before="60" w:after="60"/>
              <w:ind w:right="-29"/>
              <w:jc w:val="center"/>
              <w:rPr>
                <w:noProof/>
                <w:sz w:val="18"/>
                <w:szCs w:val="18"/>
              </w:rPr>
            </w:pPr>
          </w:p>
        </w:tc>
        <w:tc>
          <w:tcPr>
            <w:tcW w:w="840" w:type="dxa"/>
            <w:tcBorders>
              <w:top w:val="nil"/>
              <w:left w:val="nil"/>
              <w:bottom w:val="nil"/>
              <w:right w:val="nil"/>
            </w:tcBorders>
          </w:tcPr>
          <w:p>
            <w:pPr>
              <w:keepNext/>
              <w:spacing w:before="60" w:after="60"/>
              <w:ind w:right="-29"/>
              <w:jc w:val="center"/>
              <w:rPr>
                <w:noProof/>
                <w:sz w:val="18"/>
                <w:szCs w:val="18"/>
              </w:rPr>
            </w:pPr>
          </w:p>
        </w:tc>
        <w:tc>
          <w:tcPr>
            <w:tcW w:w="360" w:type="dxa"/>
            <w:tcBorders>
              <w:top w:val="nil"/>
              <w:left w:val="nil"/>
              <w:bottom w:val="nil"/>
              <w:right w:val="nil"/>
            </w:tcBorders>
          </w:tcPr>
          <w:p>
            <w:pPr>
              <w:keepNext/>
              <w:spacing w:before="60" w:after="60"/>
              <w:ind w:right="-29"/>
              <w:jc w:val="center"/>
              <w:rPr>
                <w:noProof/>
                <w:sz w:val="18"/>
                <w:szCs w:val="18"/>
              </w:rPr>
            </w:pPr>
          </w:p>
        </w:tc>
        <w:tc>
          <w:tcPr>
            <w:tcW w:w="840" w:type="dxa"/>
            <w:tcBorders>
              <w:top w:val="nil"/>
              <w:left w:val="nil"/>
              <w:bottom w:val="nil"/>
              <w:right w:val="nil"/>
            </w:tcBorders>
          </w:tcPr>
          <w:p>
            <w:pPr>
              <w:keepNext/>
              <w:spacing w:before="60" w:after="60"/>
              <w:ind w:right="-29"/>
              <w:jc w:val="center"/>
              <w:rPr>
                <w:noProof/>
                <w:sz w:val="18"/>
                <w:szCs w:val="18"/>
              </w:rPr>
            </w:pPr>
          </w:p>
        </w:tc>
        <w:tc>
          <w:tcPr>
            <w:tcW w:w="1200" w:type="dxa"/>
            <w:gridSpan w:val="2"/>
            <w:tcBorders>
              <w:top w:val="nil"/>
              <w:left w:val="nil"/>
              <w:bottom w:val="nil"/>
              <w:right w:val="nil"/>
            </w:tcBorders>
          </w:tcPr>
          <w:p>
            <w:pPr>
              <w:keepNext/>
              <w:spacing w:before="60" w:after="60"/>
              <w:ind w:right="-29"/>
              <w:jc w:val="center"/>
              <w:rPr>
                <w:noProof/>
                <w:sz w:val="18"/>
                <w:szCs w:val="18"/>
              </w:rPr>
            </w:pPr>
          </w:p>
        </w:tc>
        <w:tc>
          <w:tcPr>
            <w:tcW w:w="665" w:type="dxa"/>
            <w:tcBorders>
              <w:top w:val="nil"/>
              <w:left w:val="nil"/>
              <w:bottom w:val="nil"/>
              <w:right w:val="nil"/>
            </w:tcBorders>
          </w:tcPr>
          <w:p>
            <w:pPr>
              <w:keepNext/>
              <w:spacing w:before="60" w:after="60"/>
              <w:ind w:right="-29"/>
              <w:jc w:val="center"/>
              <w:rPr>
                <w:noProof/>
                <w:sz w:val="18"/>
                <w:szCs w:val="18"/>
              </w:rPr>
            </w:pPr>
          </w:p>
        </w:tc>
        <w:tc>
          <w:tcPr>
            <w:tcW w:w="1015" w:type="dxa"/>
            <w:tcBorders>
              <w:top w:val="nil"/>
              <w:left w:val="nil"/>
              <w:bottom w:val="single" w:sz="4" w:space="0" w:color="auto"/>
              <w:right w:val="single" w:sz="12" w:space="0" w:color="auto"/>
            </w:tcBorders>
          </w:tcPr>
          <w:p>
            <w:pPr>
              <w:keepNext/>
              <w:spacing w:before="60" w:after="60"/>
              <w:ind w:right="-29"/>
              <w:jc w:val="center"/>
              <w:rPr>
                <w:noProof/>
                <w:sz w:val="18"/>
                <w:szCs w:val="18"/>
              </w:rPr>
            </w:pPr>
          </w:p>
        </w:tc>
      </w:tr>
      <w:tr>
        <w:trPr>
          <w:trHeight w:hRule="exact" w:val="1339"/>
          <w:jc w:val="center"/>
        </w:trPr>
        <w:tc>
          <w:tcPr>
            <w:tcW w:w="1422" w:type="dxa"/>
            <w:tcBorders>
              <w:left w:val="single" w:sz="12" w:space="0" w:color="auto"/>
            </w:tcBorders>
          </w:tcPr>
          <w:p>
            <w:pPr>
              <w:ind w:right="-29"/>
              <w:jc w:val="center"/>
              <w:rPr>
                <w:noProof/>
                <w:sz w:val="18"/>
                <w:szCs w:val="18"/>
              </w:rPr>
            </w:pPr>
            <w:r>
              <w:rPr>
                <w:noProof/>
                <w:sz w:val="20"/>
              </w:rPr>
              <w:t>Število osebja, zaposlenega kot strokovnjaki za potrjevanje povezav</w:t>
            </w:r>
          </w:p>
        </w:tc>
        <w:tc>
          <w:tcPr>
            <w:tcW w:w="1380" w:type="dxa"/>
            <w:gridSpan w:val="2"/>
          </w:tcPr>
          <w:p>
            <w:pPr>
              <w:ind w:right="-29"/>
              <w:jc w:val="center"/>
              <w:rPr>
                <w:noProof/>
                <w:sz w:val="18"/>
                <w:szCs w:val="18"/>
              </w:rPr>
            </w:pPr>
            <w:r>
              <w:rPr>
                <w:noProof/>
                <w:sz w:val="20"/>
              </w:rPr>
              <w:t>Stroški izvajalca</w:t>
            </w:r>
          </w:p>
        </w:tc>
        <w:tc>
          <w:tcPr>
            <w:tcW w:w="303" w:type="dxa"/>
            <w:tcBorders>
              <w:right w:val="dashSmallGap" w:sz="4" w:space="0" w:color="auto"/>
            </w:tcBorders>
          </w:tcPr>
          <w:p>
            <w:pPr>
              <w:ind w:right="-29"/>
              <w:jc w:val="center"/>
              <w:rPr>
                <w:noProof/>
                <w:sz w:val="22"/>
              </w:rPr>
            </w:pPr>
            <w:r>
              <w:rPr>
                <w:noProof/>
                <w:sz w:val="22"/>
              </w:rPr>
              <w:t>0</w:t>
            </w:r>
          </w:p>
        </w:tc>
        <w:tc>
          <w:tcPr>
            <w:tcW w:w="867" w:type="dxa"/>
            <w:tcBorders>
              <w:left w:val="dashSmallGap" w:sz="4" w:space="0" w:color="auto"/>
              <w:bottom w:val="single" w:sz="4" w:space="0" w:color="auto"/>
            </w:tcBorders>
          </w:tcPr>
          <w:p>
            <w:pPr>
              <w:ind w:right="-29"/>
              <w:jc w:val="center"/>
              <w:rPr>
                <w:noProof/>
                <w:sz w:val="22"/>
              </w:rPr>
            </w:pPr>
            <w:r>
              <w:rPr>
                <w:noProof/>
                <w:sz w:val="22"/>
              </w:rPr>
              <w:t>0</w:t>
            </w:r>
          </w:p>
        </w:tc>
        <w:tc>
          <w:tcPr>
            <w:tcW w:w="330" w:type="dxa"/>
            <w:tcBorders>
              <w:right w:val="dashSmallGap" w:sz="4" w:space="0" w:color="auto"/>
            </w:tcBorders>
          </w:tcPr>
          <w:p>
            <w:pPr>
              <w:ind w:right="-29"/>
              <w:jc w:val="center"/>
              <w:rPr>
                <w:noProof/>
                <w:sz w:val="22"/>
              </w:rPr>
            </w:pPr>
            <w:r>
              <w:rPr>
                <w:noProof/>
                <w:sz w:val="22"/>
              </w:rPr>
              <w:t>0</w:t>
            </w:r>
          </w:p>
        </w:tc>
        <w:tc>
          <w:tcPr>
            <w:tcW w:w="840" w:type="dxa"/>
            <w:tcBorders>
              <w:left w:val="dashSmallGap" w:sz="4" w:space="0" w:color="auto"/>
            </w:tcBorders>
          </w:tcPr>
          <w:p>
            <w:pPr>
              <w:ind w:right="-29"/>
              <w:jc w:val="center"/>
              <w:rPr>
                <w:noProof/>
                <w:sz w:val="22"/>
              </w:rPr>
            </w:pPr>
            <w:r>
              <w:rPr>
                <w:noProof/>
                <w:sz w:val="22"/>
              </w:rPr>
              <w:t>0</w:t>
            </w:r>
          </w:p>
        </w:tc>
        <w:tc>
          <w:tcPr>
            <w:tcW w:w="360" w:type="dxa"/>
            <w:tcBorders>
              <w:right w:val="dashSmallGap" w:sz="4" w:space="0" w:color="auto"/>
            </w:tcBorders>
          </w:tcPr>
          <w:p>
            <w:pPr>
              <w:ind w:right="-29"/>
              <w:jc w:val="center"/>
              <w:rPr>
                <w:noProof/>
                <w:sz w:val="22"/>
              </w:rPr>
            </w:pPr>
            <w:r>
              <w:rPr>
                <w:noProof/>
                <w:sz w:val="22"/>
              </w:rPr>
              <w:t>0</w:t>
            </w:r>
          </w:p>
        </w:tc>
        <w:tc>
          <w:tcPr>
            <w:tcW w:w="840" w:type="dxa"/>
            <w:tcBorders>
              <w:left w:val="dashSmallGap" w:sz="4" w:space="0" w:color="auto"/>
            </w:tcBorders>
          </w:tcPr>
          <w:p>
            <w:pPr>
              <w:ind w:right="-29"/>
              <w:jc w:val="center"/>
              <w:rPr>
                <w:noProof/>
                <w:sz w:val="22"/>
              </w:rPr>
            </w:pPr>
            <w:r>
              <w:rPr>
                <w:noProof/>
                <w:sz w:val="22"/>
              </w:rPr>
              <w:t>0</w:t>
            </w:r>
          </w:p>
        </w:tc>
        <w:tc>
          <w:tcPr>
            <w:tcW w:w="596" w:type="dxa"/>
            <w:tcBorders>
              <w:right w:val="dashSmallGap" w:sz="4" w:space="0" w:color="auto"/>
            </w:tcBorders>
          </w:tcPr>
          <w:p>
            <w:pPr>
              <w:ind w:right="-29"/>
              <w:jc w:val="center"/>
              <w:rPr>
                <w:noProof/>
                <w:sz w:val="22"/>
              </w:rPr>
            </w:pPr>
            <w:r>
              <w:rPr>
                <w:noProof/>
                <w:sz w:val="22"/>
              </w:rPr>
              <w:t>0,8</w:t>
            </w:r>
          </w:p>
        </w:tc>
        <w:tc>
          <w:tcPr>
            <w:tcW w:w="840" w:type="dxa"/>
            <w:tcBorders>
              <w:left w:val="dashSmallGap" w:sz="4" w:space="0" w:color="auto"/>
            </w:tcBorders>
          </w:tcPr>
          <w:p>
            <w:pPr>
              <w:ind w:right="-29"/>
              <w:jc w:val="center"/>
              <w:rPr>
                <w:noProof/>
                <w:sz w:val="22"/>
              </w:rPr>
            </w:pPr>
            <w:r>
              <w:rPr>
                <w:noProof/>
                <w:sz w:val="22"/>
              </w:rPr>
              <w:t>0,183</w:t>
            </w:r>
          </w:p>
        </w:tc>
        <w:tc>
          <w:tcPr>
            <w:tcW w:w="596" w:type="dxa"/>
            <w:tcBorders>
              <w:right w:val="dashSmallGap" w:sz="4" w:space="0" w:color="auto"/>
            </w:tcBorders>
          </w:tcPr>
          <w:p>
            <w:pPr>
              <w:ind w:right="-29"/>
              <w:jc w:val="center"/>
              <w:rPr>
                <w:noProof/>
                <w:sz w:val="22"/>
              </w:rPr>
            </w:pPr>
            <w:r>
              <w:rPr>
                <w:noProof/>
                <w:sz w:val="22"/>
              </w:rPr>
              <w:t>10</w:t>
            </w:r>
          </w:p>
        </w:tc>
        <w:tc>
          <w:tcPr>
            <w:tcW w:w="792" w:type="dxa"/>
            <w:tcBorders>
              <w:left w:val="dashSmallGap" w:sz="4" w:space="0" w:color="auto"/>
            </w:tcBorders>
          </w:tcPr>
          <w:p>
            <w:pPr>
              <w:ind w:right="-29"/>
              <w:jc w:val="center"/>
              <w:rPr>
                <w:noProof/>
                <w:sz w:val="22"/>
              </w:rPr>
            </w:pPr>
            <w:r>
              <w:rPr>
                <w:noProof/>
                <w:sz w:val="22"/>
              </w:rPr>
              <w:t>2,200</w:t>
            </w:r>
          </w:p>
        </w:tc>
        <w:tc>
          <w:tcPr>
            <w:tcW w:w="360" w:type="dxa"/>
            <w:tcBorders>
              <w:right w:val="dashSmallGap" w:sz="4" w:space="0" w:color="auto"/>
            </w:tcBorders>
          </w:tcPr>
          <w:p>
            <w:pPr>
              <w:ind w:right="-29"/>
              <w:jc w:val="center"/>
              <w:rPr>
                <w:noProof/>
                <w:sz w:val="22"/>
              </w:rPr>
            </w:pPr>
            <w:r>
              <w:rPr>
                <w:noProof/>
                <w:sz w:val="22"/>
              </w:rPr>
              <w:t>0</w:t>
            </w:r>
          </w:p>
        </w:tc>
        <w:tc>
          <w:tcPr>
            <w:tcW w:w="720" w:type="dxa"/>
            <w:tcBorders>
              <w:left w:val="dashSmallGap" w:sz="4" w:space="0" w:color="auto"/>
            </w:tcBorders>
          </w:tcPr>
          <w:p>
            <w:pPr>
              <w:ind w:right="-29"/>
              <w:jc w:val="center"/>
              <w:rPr>
                <w:noProof/>
                <w:sz w:val="22"/>
              </w:rPr>
            </w:pPr>
            <w:r>
              <w:rPr>
                <w:noProof/>
                <w:sz w:val="22"/>
              </w:rPr>
              <w:t>0</w:t>
            </w:r>
          </w:p>
        </w:tc>
        <w:tc>
          <w:tcPr>
            <w:tcW w:w="360" w:type="dxa"/>
            <w:tcBorders>
              <w:right w:val="dashSmallGap" w:sz="4" w:space="0" w:color="auto"/>
            </w:tcBorders>
          </w:tcPr>
          <w:p>
            <w:pPr>
              <w:ind w:right="-29"/>
              <w:jc w:val="center"/>
              <w:rPr>
                <w:noProof/>
                <w:sz w:val="22"/>
              </w:rPr>
            </w:pPr>
            <w:r>
              <w:rPr>
                <w:noProof/>
                <w:sz w:val="22"/>
              </w:rPr>
              <w:t>0</w:t>
            </w:r>
          </w:p>
        </w:tc>
        <w:tc>
          <w:tcPr>
            <w:tcW w:w="840" w:type="dxa"/>
            <w:tcBorders>
              <w:left w:val="dashSmallGap" w:sz="4" w:space="0" w:color="auto"/>
            </w:tcBorders>
          </w:tcPr>
          <w:p>
            <w:pPr>
              <w:ind w:right="-29"/>
              <w:jc w:val="center"/>
              <w:rPr>
                <w:noProof/>
                <w:sz w:val="22"/>
              </w:rPr>
            </w:pPr>
            <w:r>
              <w:rPr>
                <w:noProof/>
                <w:sz w:val="22"/>
              </w:rPr>
              <w:t>0</w:t>
            </w:r>
          </w:p>
        </w:tc>
        <w:tc>
          <w:tcPr>
            <w:tcW w:w="360" w:type="dxa"/>
            <w:tcBorders>
              <w:right w:val="dashSmallGap" w:sz="4" w:space="0" w:color="auto"/>
            </w:tcBorders>
          </w:tcPr>
          <w:p>
            <w:pPr>
              <w:ind w:right="-29"/>
              <w:jc w:val="center"/>
              <w:rPr>
                <w:noProof/>
                <w:sz w:val="22"/>
              </w:rPr>
            </w:pPr>
            <w:r>
              <w:rPr>
                <w:noProof/>
                <w:sz w:val="22"/>
              </w:rPr>
              <w:t>0</w:t>
            </w:r>
          </w:p>
        </w:tc>
        <w:tc>
          <w:tcPr>
            <w:tcW w:w="840" w:type="dxa"/>
            <w:tcBorders>
              <w:left w:val="dashSmallGap" w:sz="4" w:space="0" w:color="auto"/>
            </w:tcBorders>
          </w:tcPr>
          <w:p>
            <w:pPr>
              <w:ind w:right="-29"/>
              <w:jc w:val="center"/>
              <w:rPr>
                <w:noProof/>
                <w:sz w:val="22"/>
              </w:rPr>
            </w:pPr>
            <w:r>
              <w:rPr>
                <w:noProof/>
                <w:sz w:val="22"/>
              </w:rPr>
              <w:t>0</w:t>
            </w:r>
          </w:p>
        </w:tc>
        <w:tc>
          <w:tcPr>
            <w:tcW w:w="360" w:type="dxa"/>
            <w:tcBorders>
              <w:right w:val="dashSmallGap" w:sz="4" w:space="0" w:color="auto"/>
            </w:tcBorders>
          </w:tcPr>
          <w:p>
            <w:pPr>
              <w:ind w:right="-29"/>
              <w:jc w:val="center"/>
              <w:rPr>
                <w:noProof/>
                <w:sz w:val="22"/>
                <w:szCs w:val="18"/>
              </w:rPr>
            </w:pPr>
            <w:r>
              <w:rPr>
                <w:noProof/>
                <w:sz w:val="22"/>
              </w:rPr>
              <w:t>0</w:t>
            </w:r>
          </w:p>
        </w:tc>
        <w:tc>
          <w:tcPr>
            <w:tcW w:w="840" w:type="dxa"/>
            <w:tcBorders>
              <w:left w:val="dashSmallGap" w:sz="4" w:space="0" w:color="auto"/>
              <w:bottom w:val="single" w:sz="4" w:space="0" w:color="auto"/>
            </w:tcBorders>
          </w:tcPr>
          <w:p>
            <w:pPr>
              <w:ind w:right="-29"/>
              <w:jc w:val="center"/>
              <w:rPr>
                <w:noProof/>
                <w:sz w:val="22"/>
                <w:szCs w:val="18"/>
              </w:rPr>
            </w:pPr>
            <w:r>
              <w:rPr>
                <w:noProof/>
                <w:sz w:val="22"/>
              </w:rPr>
              <w:t>0</w:t>
            </w:r>
          </w:p>
        </w:tc>
        <w:tc>
          <w:tcPr>
            <w:tcW w:w="665" w:type="dxa"/>
            <w:tcBorders>
              <w:right w:val="dashSmallGap" w:sz="4" w:space="0" w:color="auto"/>
            </w:tcBorders>
          </w:tcPr>
          <w:p>
            <w:pPr>
              <w:ind w:right="-29"/>
              <w:jc w:val="center"/>
              <w:rPr>
                <w:noProof/>
                <w:sz w:val="22"/>
                <w:szCs w:val="18"/>
              </w:rPr>
            </w:pPr>
          </w:p>
        </w:tc>
        <w:tc>
          <w:tcPr>
            <w:tcW w:w="1015" w:type="dxa"/>
            <w:tcBorders>
              <w:left w:val="dashSmallGap" w:sz="4" w:space="0" w:color="auto"/>
              <w:bottom w:val="single" w:sz="4" w:space="0" w:color="auto"/>
              <w:right w:val="single" w:sz="12" w:space="0" w:color="auto"/>
            </w:tcBorders>
          </w:tcPr>
          <w:p>
            <w:pPr>
              <w:ind w:right="-29"/>
              <w:jc w:val="center"/>
              <w:rPr>
                <w:noProof/>
                <w:sz w:val="22"/>
                <w:szCs w:val="18"/>
              </w:rPr>
            </w:pPr>
            <w:r>
              <w:rPr>
                <w:noProof/>
                <w:sz w:val="22"/>
              </w:rPr>
              <w:t>2,383</w:t>
            </w:r>
          </w:p>
        </w:tc>
      </w:tr>
      <w:tr>
        <w:trPr>
          <w:jc w:val="center"/>
        </w:trPr>
        <w:tc>
          <w:tcPr>
            <w:tcW w:w="2802" w:type="dxa"/>
            <w:gridSpan w:val="3"/>
            <w:tcBorders>
              <w:left w:val="single" w:sz="12" w:space="0" w:color="auto"/>
              <w:bottom w:val="single" w:sz="12" w:space="0" w:color="auto"/>
            </w:tcBorders>
            <w:vAlign w:val="center"/>
          </w:tcPr>
          <w:p>
            <w:pPr>
              <w:ind w:right="-29"/>
              <w:jc w:val="center"/>
              <w:rPr>
                <w:noProof/>
                <w:sz w:val="18"/>
                <w:szCs w:val="18"/>
              </w:rPr>
            </w:pPr>
            <w:r>
              <w:rPr>
                <w:noProof/>
                <w:sz w:val="18"/>
              </w:rPr>
              <w:t>Seštevek za specifični cilj št. 1</w:t>
            </w:r>
          </w:p>
        </w:tc>
        <w:tc>
          <w:tcPr>
            <w:tcW w:w="303" w:type="dxa"/>
            <w:tcBorders>
              <w:bottom w:val="single" w:sz="12" w:space="0" w:color="auto"/>
              <w:right w:val="dashSmallGap" w:sz="4" w:space="0" w:color="auto"/>
            </w:tcBorders>
          </w:tcPr>
          <w:p>
            <w:pPr>
              <w:ind w:right="-29"/>
              <w:jc w:val="center"/>
              <w:rPr>
                <w:b/>
                <w:noProof/>
                <w:sz w:val="22"/>
                <w:szCs w:val="18"/>
              </w:rPr>
            </w:pPr>
            <w:r>
              <w:rPr>
                <w:b/>
                <w:noProof/>
                <w:sz w:val="22"/>
              </w:rPr>
              <w:t>0</w:t>
            </w:r>
          </w:p>
        </w:tc>
        <w:tc>
          <w:tcPr>
            <w:tcW w:w="867" w:type="dxa"/>
            <w:tcBorders>
              <w:left w:val="dashSmallGap" w:sz="4" w:space="0" w:color="auto"/>
              <w:bottom w:val="single" w:sz="12" w:space="0" w:color="auto"/>
            </w:tcBorders>
          </w:tcPr>
          <w:p>
            <w:pPr>
              <w:ind w:right="-29"/>
              <w:jc w:val="center"/>
              <w:rPr>
                <w:b/>
                <w:noProof/>
                <w:sz w:val="22"/>
                <w:szCs w:val="18"/>
              </w:rPr>
            </w:pPr>
            <w:r>
              <w:rPr>
                <w:b/>
                <w:noProof/>
                <w:sz w:val="22"/>
              </w:rPr>
              <w:t>0</w:t>
            </w:r>
          </w:p>
        </w:tc>
        <w:tc>
          <w:tcPr>
            <w:tcW w:w="330" w:type="dxa"/>
            <w:tcBorders>
              <w:bottom w:val="single" w:sz="12" w:space="0" w:color="auto"/>
              <w:right w:val="dashSmallGap" w:sz="4" w:space="0" w:color="auto"/>
            </w:tcBorders>
          </w:tcPr>
          <w:p>
            <w:pPr>
              <w:ind w:right="-29"/>
              <w:jc w:val="center"/>
              <w:rPr>
                <w:b/>
                <w:noProof/>
                <w:sz w:val="22"/>
                <w:szCs w:val="18"/>
              </w:rPr>
            </w:pPr>
            <w:r>
              <w:rPr>
                <w:b/>
                <w:noProof/>
                <w:sz w:val="22"/>
              </w:rPr>
              <w:t>0</w:t>
            </w:r>
          </w:p>
        </w:tc>
        <w:tc>
          <w:tcPr>
            <w:tcW w:w="840" w:type="dxa"/>
            <w:tcBorders>
              <w:left w:val="dashSmallGap" w:sz="4" w:space="0" w:color="auto"/>
              <w:bottom w:val="single" w:sz="12" w:space="0" w:color="auto"/>
            </w:tcBorders>
          </w:tcPr>
          <w:p>
            <w:pPr>
              <w:ind w:right="-29"/>
              <w:jc w:val="center"/>
              <w:rPr>
                <w:b/>
                <w:noProof/>
                <w:sz w:val="22"/>
                <w:szCs w:val="18"/>
              </w:rPr>
            </w:pPr>
            <w:r>
              <w:rPr>
                <w:b/>
                <w:noProof/>
                <w:sz w:val="22"/>
              </w:rPr>
              <w:t>0</w:t>
            </w:r>
          </w:p>
        </w:tc>
        <w:tc>
          <w:tcPr>
            <w:tcW w:w="360" w:type="dxa"/>
            <w:tcBorders>
              <w:bottom w:val="single" w:sz="12" w:space="0" w:color="auto"/>
              <w:right w:val="dashSmallGap" w:sz="4" w:space="0" w:color="auto"/>
            </w:tcBorders>
          </w:tcPr>
          <w:p>
            <w:pPr>
              <w:ind w:right="-29"/>
              <w:jc w:val="center"/>
              <w:rPr>
                <w:b/>
                <w:noProof/>
                <w:sz w:val="22"/>
                <w:szCs w:val="18"/>
              </w:rPr>
            </w:pPr>
            <w:r>
              <w:rPr>
                <w:b/>
                <w:noProof/>
                <w:sz w:val="22"/>
              </w:rPr>
              <w:t>0</w:t>
            </w:r>
          </w:p>
        </w:tc>
        <w:tc>
          <w:tcPr>
            <w:tcW w:w="840" w:type="dxa"/>
            <w:tcBorders>
              <w:left w:val="dashSmallGap" w:sz="4" w:space="0" w:color="auto"/>
              <w:bottom w:val="single" w:sz="12" w:space="0" w:color="auto"/>
            </w:tcBorders>
          </w:tcPr>
          <w:p>
            <w:pPr>
              <w:ind w:right="-29"/>
              <w:jc w:val="center"/>
              <w:rPr>
                <w:b/>
                <w:noProof/>
                <w:sz w:val="22"/>
                <w:szCs w:val="18"/>
              </w:rPr>
            </w:pPr>
            <w:r>
              <w:rPr>
                <w:b/>
                <w:noProof/>
                <w:sz w:val="22"/>
              </w:rPr>
              <w:t>0</w:t>
            </w:r>
          </w:p>
        </w:tc>
        <w:tc>
          <w:tcPr>
            <w:tcW w:w="596" w:type="dxa"/>
            <w:tcBorders>
              <w:bottom w:val="single" w:sz="12" w:space="0" w:color="auto"/>
              <w:right w:val="dashSmallGap" w:sz="4" w:space="0" w:color="auto"/>
            </w:tcBorders>
          </w:tcPr>
          <w:p>
            <w:pPr>
              <w:ind w:right="-29"/>
              <w:jc w:val="center"/>
              <w:rPr>
                <w:b/>
                <w:noProof/>
                <w:sz w:val="22"/>
                <w:szCs w:val="18"/>
              </w:rPr>
            </w:pPr>
            <w:r>
              <w:rPr>
                <w:b/>
                <w:noProof/>
                <w:sz w:val="22"/>
              </w:rPr>
              <w:t>0,8</w:t>
            </w:r>
          </w:p>
        </w:tc>
        <w:tc>
          <w:tcPr>
            <w:tcW w:w="840" w:type="dxa"/>
            <w:tcBorders>
              <w:left w:val="dashSmallGap" w:sz="4" w:space="0" w:color="auto"/>
              <w:bottom w:val="single" w:sz="12" w:space="0" w:color="auto"/>
            </w:tcBorders>
          </w:tcPr>
          <w:p>
            <w:pPr>
              <w:ind w:right="-29"/>
              <w:jc w:val="center"/>
              <w:rPr>
                <w:b/>
                <w:noProof/>
                <w:sz w:val="22"/>
                <w:szCs w:val="18"/>
              </w:rPr>
            </w:pPr>
            <w:r>
              <w:rPr>
                <w:b/>
                <w:noProof/>
                <w:sz w:val="22"/>
              </w:rPr>
              <w:t>0,183</w:t>
            </w:r>
          </w:p>
        </w:tc>
        <w:tc>
          <w:tcPr>
            <w:tcW w:w="596" w:type="dxa"/>
            <w:tcBorders>
              <w:bottom w:val="single" w:sz="12" w:space="0" w:color="auto"/>
              <w:right w:val="dashSmallGap" w:sz="4" w:space="0" w:color="auto"/>
            </w:tcBorders>
          </w:tcPr>
          <w:p>
            <w:pPr>
              <w:ind w:right="-29"/>
              <w:jc w:val="center"/>
              <w:rPr>
                <w:b/>
                <w:noProof/>
                <w:sz w:val="22"/>
                <w:szCs w:val="18"/>
              </w:rPr>
            </w:pPr>
            <w:r>
              <w:rPr>
                <w:b/>
                <w:noProof/>
                <w:sz w:val="22"/>
              </w:rPr>
              <w:t>10</w:t>
            </w:r>
          </w:p>
        </w:tc>
        <w:tc>
          <w:tcPr>
            <w:tcW w:w="792" w:type="dxa"/>
            <w:tcBorders>
              <w:left w:val="dashSmallGap" w:sz="4" w:space="0" w:color="auto"/>
              <w:bottom w:val="single" w:sz="12" w:space="0" w:color="auto"/>
            </w:tcBorders>
          </w:tcPr>
          <w:p>
            <w:pPr>
              <w:ind w:right="-29"/>
              <w:rPr>
                <w:b/>
                <w:noProof/>
                <w:sz w:val="22"/>
              </w:rPr>
            </w:pPr>
            <w:r>
              <w:rPr>
                <w:b/>
                <w:noProof/>
                <w:sz w:val="22"/>
              </w:rPr>
              <w:t>2,200</w:t>
            </w:r>
          </w:p>
        </w:tc>
        <w:tc>
          <w:tcPr>
            <w:tcW w:w="360" w:type="dxa"/>
            <w:tcBorders>
              <w:bottom w:val="single" w:sz="12" w:space="0" w:color="auto"/>
              <w:right w:val="dashSmallGap" w:sz="4" w:space="0" w:color="auto"/>
            </w:tcBorders>
          </w:tcPr>
          <w:p>
            <w:pPr>
              <w:ind w:right="-29"/>
              <w:jc w:val="center"/>
              <w:rPr>
                <w:b/>
                <w:noProof/>
                <w:sz w:val="22"/>
              </w:rPr>
            </w:pPr>
            <w:r>
              <w:rPr>
                <w:b/>
                <w:noProof/>
                <w:sz w:val="22"/>
              </w:rPr>
              <w:t>0</w:t>
            </w:r>
          </w:p>
        </w:tc>
        <w:tc>
          <w:tcPr>
            <w:tcW w:w="720" w:type="dxa"/>
            <w:tcBorders>
              <w:left w:val="dashSmallGap" w:sz="4" w:space="0" w:color="auto"/>
              <w:bottom w:val="single" w:sz="12" w:space="0" w:color="auto"/>
            </w:tcBorders>
          </w:tcPr>
          <w:p>
            <w:pPr>
              <w:ind w:right="-29"/>
              <w:jc w:val="center"/>
              <w:rPr>
                <w:b/>
                <w:noProof/>
                <w:sz w:val="22"/>
              </w:rPr>
            </w:pPr>
            <w:r>
              <w:rPr>
                <w:b/>
                <w:noProof/>
                <w:sz w:val="22"/>
              </w:rPr>
              <w:t>0</w:t>
            </w:r>
          </w:p>
        </w:tc>
        <w:tc>
          <w:tcPr>
            <w:tcW w:w="360" w:type="dxa"/>
            <w:tcBorders>
              <w:bottom w:val="single" w:sz="12" w:space="0" w:color="auto"/>
              <w:right w:val="dashSmallGap" w:sz="4" w:space="0" w:color="auto"/>
            </w:tcBorders>
          </w:tcPr>
          <w:p>
            <w:pPr>
              <w:ind w:right="-29"/>
              <w:jc w:val="center"/>
              <w:rPr>
                <w:b/>
                <w:noProof/>
                <w:sz w:val="22"/>
              </w:rPr>
            </w:pPr>
            <w:r>
              <w:rPr>
                <w:b/>
                <w:noProof/>
                <w:sz w:val="22"/>
              </w:rPr>
              <w:t>0</w:t>
            </w:r>
          </w:p>
        </w:tc>
        <w:tc>
          <w:tcPr>
            <w:tcW w:w="840" w:type="dxa"/>
            <w:tcBorders>
              <w:left w:val="dashSmallGap" w:sz="4" w:space="0" w:color="auto"/>
              <w:bottom w:val="single" w:sz="12" w:space="0" w:color="auto"/>
            </w:tcBorders>
          </w:tcPr>
          <w:p>
            <w:pPr>
              <w:ind w:right="-29"/>
              <w:jc w:val="center"/>
              <w:rPr>
                <w:b/>
                <w:noProof/>
                <w:sz w:val="22"/>
              </w:rPr>
            </w:pPr>
            <w:r>
              <w:rPr>
                <w:b/>
                <w:noProof/>
                <w:sz w:val="22"/>
              </w:rPr>
              <w:t>0</w:t>
            </w:r>
          </w:p>
        </w:tc>
        <w:tc>
          <w:tcPr>
            <w:tcW w:w="360" w:type="dxa"/>
            <w:tcBorders>
              <w:bottom w:val="single" w:sz="12" w:space="0" w:color="auto"/>
              <w:right w:val="dashSmallGap" w:sz="4" w:space="0" w:color="auto"/>
            </w:tcBorders>
          </w:tcPr>
          <w:p>
            <w:pPr>
              <w:ind w:right="-29"/>
              <w:jc w:val="center"/>
              <w:rPr>
                <w:b/>
                <w:noProof/>
                <w:sz w:val="22"/>
              </w:rPr>
            </w:pPr>
            <w:r>
              <w:rPr>
                <w:b/>
                <w:noProof/>
                <w:sz w:val="22"/>
              </w:rPr>
              <w:t>0</w:t>
            </w:r>
          </w:p>
        </w:tc>
        <w:tc>
          <w:tcPr>
            <w:tcW w:w="840" w:type="dxa"/>
            <w:tcBorders>
              <w:left w:val="dashSmallGap" w:sz="4" w:space="0" w:color="auto"/>
              <w:bottom w:val="single" w:sz="12" w:space="0" w:color="auto"/>
            </w:tcBorders>
          </w:tcPr>
          <w:p>
            <w:pPr>
              <w:ind w:right="-29"/>
              <w:jc w:val="center"/>
              <w:rPr>
                <w:b/>
                <w:noProof/>
                <w:sz w:val="22"/>
              </w:rPr>
            </w:pPr>
            <w:r>
              <w:rPr>
                <w:b/>
                <w:noProof/>
                <w:sz w:val="22"/>
              </w:rPr>
              <w:t>0</w:t>
            </w:r>
          </w:p>
        </w:tc>
        <w:tc>
          <w:tcPr>
            <w:tcW w:w="360" w:type="dxa"/>
            <w:tcBorders>
              <w:bottom w:val="single" w:sz="12" w:space="0" w:color="auto"/>
              <w:right w:val="dashSmallGap" w:sz="4" w:space="0" w:color="auto"/>
            </w:tcBorders>
          </w:tcPr>
          <w:p>
            <w:pPr>
              <w:ind w:right="-29"/>
              <w:jc w:val="center"/>
              <w:rPr>
                <w:b/>
                <w:noProof/>
                <w:sz w:val="22"/>
              </w:rPr>
            </w:pPr>
            <w:r>
              <w:rPr>
                <w:b/>
                <w:noProof/>
                <w:sz w:val="22"/>
              </w:rPr>
              <w:t>0</w:t>
            </w:r>
          </w:p>
        </w:tc>
        <w:tc>
          <w:tcPr>
            <w:tcW w:w="840" w:type="dxa"/>
            <w:tcBorders>
              <w:left w:val="dashSmallGap" w:sz="4" w:space="0" w:color="auto"/>
              <w:bottom w:val="single" w:sz="12" w:space="0" w:color="auto"/>
            </w:tcBorders>
          </w:tcPr>
          <w:p>
            <w:pPr>
              <w:ind w:right="-29"/>
              <w:jc w:val="center"/>
              <w:rPr>
                <w:b/>
                <w:noProof/>
                <w:sz w:val="22"/>
              </w:rPr>
            </w:pPr>
            <w:r>
              <w:rPr>
                <w:b/>
                <w:noProof/>
                <w:sz w:val="22"/>
              </w:rPr>
              <w:t>0</w:t>
            </w:r>
          </w:p>
        </w:tc>
        <w:tc>
          <w:tcPr>
            <w:tcW w:w="665" w:type="dxa"/>
            <w:tcBorders>
              <w:bottom w:val="single" w:sz="12" w:space="0" w:color="auto"/>
              <w:right w:val="dashSmallGap" w:sz="4" w:space="0" w:color="auto"/>
            </w:tcBorders>
          </w:tcPr>
          <w:p>
            <w:pPr>
              <w:ind w:right="-29"/>
              <w:jc w:val="center"/>
              <w:rPr>
                <w:noProof/>
                <w:sz w:val="22"/>
                <w:szCs w:val="18"/>
              </w:rPr>
            </w:pPr>
          </w:p>
        </w:tc>
        <w:tc>
          <w:tcPr>
            <w:tcW w:w="1015" w:type="dxa"/>
            <w:tcBorders>
              <w:left w:val="dashSmallGap" w:sz="4" w:space="0" w:color="auto"/>
              <w:bottom w:val="single" w:sz="12" w:space="0" w:color="auto"/>
              <w:right w:val="single" w:sz="12" w:space="0" w:color="auto"/>
            </w:tcBorders>
          </w:tcPr>
          <w:p>
            <w:pPr>
              <w:ind w:right="-29"/>
              <w:jc w:val="center"/>
              <w:rPr>
                <w:b/>
                <w:noProof/>
                <w:sz w:val="22"/>
                <w:szCs w:val="18"/>
              </w:rPr>
            </w:pPr>
            <w:r>
              <w:rPr>
                <w:b/>
                <w:noProof/>
                <w:sz w:val="22"/>
              </w:rPr>
              <w:t>2,383</w:t>
            </w:r>
          </w:p>
        </w:tc>
      </w:tr>
    </w:tbl>
    <w:p>
      <w:pPr>
        <w:keepNext/>
        <w:rPr>
          <w:noProof/>
        </w:rPr>
      </w:pPr>
      <w:r>
        <w:rPr>
          <w:noProof/>
        </w:rPr>
        <w:t>Iz teh odhodkov se bodo krili stroški:</w:t>
      </w:r>
    </w:p>
    <w:p>
      <w:pPr>
        <w:rPr>
          <w:noProof/>
        </w:rPr>
      </w:pPr>
      <w:r>
        <w:rPr>
          <w:noProof/>
        </w:rPr>
        <w:t>– za zaposlitev zadostnega števila dodatnih delavcev (ocena približno 10 strokovnjakov) poleg obstoječega notranjega osebja (ocena približno 20 oseb), ki jih bo gostila evropska mejna in obalna straža zaradi potrjevanja povezav. Za dosego zahtevanega števila osebja je za zaposlovanje na voljo samo en mesec pred načrtovanim datumom začetka;</w:t>
      </w:r>
    </w:p>
    <w:p>
      <w:pPr>
        <w:rPr>
          <w:noProof/>
        </w:rPr>
      </w:pPr>
      <w:r>
        <w:rPr>
          <w:noProof/>
        </w:rPr>
        <w:t xml:space="preserve">– ni drugih ocenjenih stroškov izvajalca. Potrebna programska oprema spada pod stroške licenc za skupno BMS. Ni posebnih zmogljivosti strojne opreme za obdelavo. Predpostavlja se, da bo osebje izvajalca gostila evropska mejna in obalna straža. Zato so stroškom iz naslova 2 dodani letni stroški za povprečno 12 kvadratnih metrov na osebo. </w:t>
      </w:r>
    </w:p>
    <w:p>
      <w:pPr>
        <w:spacing w:before="0" w:after="200" w:line="276" w:lineRule="auto"/>
        <w:jc w:val="left"/>
        <w:rPr>
          <w:noProof/>
        </w:rPr>
      </w:pPr>
      <w:r>
        <w:rPr>
          <w:noProof/>
        </w:rPr>
        <w:br w:type="page"/>
      </w:r>
    </w:p>
    <w:p>
      <w:pPr>
        <w:rPr>
          <w:noProof/>
        </w:rPr>
      </w:pPr>
    </w:p>
    <w:p>
      <w:pPr>
        <w:pStyle w:val="ManualHeading4"/>
        <w:rPr>
          <w:noProof/>
        </w:rPr>
      </w:pPr>
      <w:r>
        <w:t>3.2.2.2.</w:t>
      </w:r>
      <w:r>
        <w:tab/>
      </w:r>
      <w:r>
        <w:rPr>
          <w:noProof/>
        </w:rPr>
        <w:t>Ocenjene posledice za odobritve za Europol</w:t>
      </w:r>
    </w:p>
    <w:p>
      <w:pPr>
        <w:pStyle w:val="ListDash1"/>
        <w:keepNext/>
        <w:rPr>
          <w:noProof/>
        </w:rPr>
      </w:pPr>
      <w:r>
        <w:rPr>
          <w:noProof/>
        </w:rPr>
        <w:sym w:font="Wingdings" w:char="F0A8"/>
      </w:r>
      <w:r>
        <w:rPr>
          <w:noProof/>
        </w:rPr>
        <w:tab/>
        <w:t xml:space="preserve">Za predlog/pobudo niso potrebne odobritve za poslovanje. </w:t>
      </w:r>
    </w:p>
    <w:p>
      <w:pPr>
        <w:pStyle w:val="ListDash1"/>
        <w:keepNext/>
        <w:rPr>
          <w:noProof/>
        </w:rPr>
      </w:pPr>
      <w:r>
        <w:rPr>
          <w:noProof/>
        </w:rPr>
        <w:sym w:font="Wingdings" w:char="F078"/>
      </w:r>
      <w:r>
        <w:rPr>
          <w:noProof/>
        </w:rPr>
        <w:tab/>
        <w:t>Za predlog/pobudo so potrebne odobritve za poslovanje, kot je pojasnjeno v nadaljevanju:</w:t>
      </w:r>
    </w:p>
    <w:p>
      <w:pPr>
        <w:keepNext/>
        <w:jc w:val="right"/>
        <w:rPr>
          <w:noProof/>
          <w:sz w:val="20"/>
        </w:rPr>
      </w:pPr>
      <w:r>
        <w:rPr>
          <w:noProof/>
          <w:sz w:val="20"/>
        </w:rPr>
        <w:t>odobritve za prevzem obveznosti v mio. EUR (na tri decimalna mesta natančno)</w:t>
      </w:r>
    </w:p>
    <w:tbl>
      <w:tblPr>
        <w:tblW w:w="150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2"/>
        <w:gridCol w:w="721"/>
        <w:gridCol w:w="659"/>
        <w:gridCol w:w="303"/>
        <w:gridCol w:w="867"/>
        <w:gridCol w:w="330"/>
        <w:gridCol w:w="840"/>
        <w:gridCol w:w="360"/>
        <w:gridCol w:w="840"/>
        <w:gridCol w:w="360"/>
        <w:gridCol w:w="840"/>
        <w:gridCol w:w="360"/>
        <w:gridCol w:w="792"/>
        <w:gridCol w:w="360"/>
        <w:gridCol w:w="720"/>
        <w:gridCol w:w="360"/>
        <w:gridCol w:w="840"/>
        <w:gridCol w:w="360"/>
        <w:gridCol w:w="840"/>
        <w:gridCol w:w="360"/>
        <w:gridCol w:w="840"/>
        <w:gridCol w:w="759"/>
        <w:gridCol w:w="921"/>
      </w:tblGrid>
      <w:tr>
        <w:trPr>
          <w:jc w:val="center"/>
        </w:trPr>
        <w:tc>
          <w:tcPr>
            <w:tcW w:w="1422" w:type="dxa"/>
            <w:vMerge w:val="restart"/>
            <w:tcBorders>
              <w:top w:val="single" w:sz="12" w:space="0" w:color="auto"/>
              <w:left w:val="single" w:sz="12" w:space="0" w:color="auto"/>
            </w:tcBorders>
            <w:vAlign w:val="center"/>
          </w:tcPr>
          <w:p>
            <w:pPr>
              <w:keepNext/>
              <w:ind w:right="-29"/>
              <w:jc w:val="center"/>
              <w:rPr>
                <w:b/>
                <w:noProof/>
                <w:sz w:val="18"/>
                <w:szCs w:val="18"/>
              </w:rPr>
            </w:pPr>
            <w:r>
              <w:rPr>
                <w:b/>
                <w:noProof/>
                <w:sz w:val="18"/>
              </w:rPr>
              <w:t xml:space="preserve">Cilji in realizacije </w:t>
            </w:r>
          </w:p>
          <w:p>
            <w:pPr>
              <w:keepNext/>
              <w:ind w:right="-29"/>
              <w:jc w:val="center"/>
              <w:rPr>
                <w:b/>
                <w:noProof/>
                <w:sz w:val="18"/>
                <w:szCs w:val="18"/>
              </w:rPr>
            </w:pPr>
            <w:r>
              <w:rPr>
                <w:b/>
                <w:noProof/>
                <w:sz w:val="18"/>
              </w:rPr>
              <w:t>Europol</w:t>
            </w:r>
          </w:p>
          <w:p>
            <w:pPr>
              <w:keepNext/>
              <w:ind w:right="-29"/>
              <w:jc w:val="center"/>
              <w:rPr>
                <w:noProof/>
                <w:sz w:val="18"/>
                <w:szCs w:val="18"/>
              </w:rPr>
            </w:pPr>
            <w:r>
              <w:rPr>
                <w:noProof/>
                <w:sz w:val="18"/>
              </w:rPr>
              <w:sym w:font="Wingdings" w:char="F0F2"/>
            </w:r>
          </w:p>
        </w:tc>
        <w:tc>
          <w:tcPr>
            <w:tcW w:w="721" w:type="dxa"/>
            <w:tcBorders>
              <w:top w:val="single" w:sz="12" w:space="0" w:color="auto"/>
            </w:tcBorders>
            <w:vAlign w:val="center"/>
          </w:tcPr>
          <w:p>
            <w:pPr>
              <w:keepNext/>
              <w:ind w:right="-29"/>
              <w:jc w:val="center"/>
              <w:rPr>
                <w:noProof/>
                <w:sz w:val="18"/>
                <w:szCs w:val="18"/>
              </w:rPr>
            </w:pPr>
          </w:p>
        </w:tc>
        <w:tc>
          <w:tcPr>
            <w:tcW w:w="659" w:type="dxa"/>
            <w:tcBorders>
              <w:top w:val="single" w:sz="12" w:space="0" w:color="auto"/>
            </w:tcBorders>
            <w:vAlign w:val="center"/>
          </w:tcPr>
          <w:p>
            <w:pPr>
              <w:keepNext/>
              <w:ind w:right="-29"/>
              <w:jc w:val="center"/>
              <w:rPr>
                <w:noProof/>
                <w:sz w:val="18"/>
                <w:szCs w:val="18"/>
              </w:rPr>
            </w:pPr>
          </w:p>
        </w:tc>
        <w:tc>
          <w:tcPr>
            <w:tcW w:w="1170" w:type="dxa"/>
            <w:gridSpan w:val="2"/>
            <w:tcBorders>
              <w:top w:val="single" w:sz="12" w:space="0" w:color="auto"/>
              <w:right w:val="single" w:sz="4" w:space="0" w:color="auto"/>
            </w:tcBorders>
            <w:vAlign w:val="center"/>
          </w:tcPr>
          <w:p>
            <w:pPr>
              <w:keepNext/>
              <w:ind w:right="-29"/>
              <w:jc w:val="center"/>
              <w:rPr>
                <w:noProof/>
                <w:sz w:val="18"/>
                <w:szCs w:val="18"/>
              </w:rPr>
            </w:pPr>
            <w:r>
              <w:rPr>
                <w:noProof/>
                <w:sz w:val="18"/>
              </w:rPr>
              <w:t>Leto</w:t>
            </w:r>
            <w:r>
              <w:rPr>
                <w:noProof/>
                <w:sz w:val="22"/>
              </w:rPr>
              <w:br/>
            </w:r>
            <w:r>
              <w:rPr>
                <w:b/>
                <w:noProof/>
                <w:sz w:val="18"/>
              </w:rPr>
              <w:t>2019</w:t>
            </w:r>
          </w:p>
        </w:tc>
        <w:tc>
          <w:tcPr>
            <w:tcW w:w="1170" w:type="dxa"/>
            <w:gridSpan w:val="2"/>
            <w:tcBorders>
              <w:top w:val="single" w:sz="12" w:space="0" w:color="auto"/>
              <w:left w:val="single" w:sz="4" w:space="0" w:color="auto"/>
            </w:tcBorders>
            <w:vAlign w:val="center"/>
          </w:tcPr>
          <w:p>
            <w:pPr>
              <w:keepNext/>
              <w:ind w:right="-29"/>
              <w:jc w:val="center"/>
              <w:rPr>
                <w:noProof/>
                <w:sz w:val="18"/>
                <w:szCs w:val="18"/>
              </w:rPr>
            </w:pPr>
            <w:r>
              <w:rPr>
                <w:noProof/>
                <w:sz w:val="18"/>
              </w:rPr>
              <w:t>Leto</w:t>
            </w:r>
            <w:r>
              <w:rPr>
                <w:noProof/>
                <w:sz w:val="22"/>
              </w:rPr>
              <w:br/>
            </w:r>
            <w:r>
              <w:rPr>
                <w:b/>
                <w:noProof/>
                <w:sz w:val="18"/>
              </w:rPr>
              <w:t>2020</w:t>
            </w:r>
          </w:p>
        </w:tc>
        <w:tc>
          <w:tcPr>
            <w:tcW w:w="1200" w:type="dxa"/>
            <w:gridSpan w:val="2"/>
            <w:tcBorders>
              <w:top w:val="single" w:sz="12" w:space="0" w:color="auto"/>
            </w:tcBorders>
            <w:vAlign w:val="center"/>
          </w:tcPr>
          <w:p>
            <w:pPr>
              <w:keepNext/>
              <w:ind w:right="-29"/>
              <w:jc w:val="center"/>
              <w:rPr>
                <w:noProof/>
                <w:sz w:val="18"/>
                <w:szCs w:val="18"/>
              </w:rPr>
            </w:pPr>
            <w:r>
              <w:rPr>
                <w:noProof/>
                <w:sz w:val="18"/>
              </w:rPr>
              <w:t>Leto</w:t>
            </w:r>
            <w:r>
              <w:rPr>
                <w:noProof/>
                <w:sz w:val="22"/>
              </w:rPr>
              <w:br/>
            </w:r>
            <w:r>
              <w:rPr>
                <w:b/>
                <w:noProof/>
                <w:sz w:val="18"/>
              </w:rPr>
              <w:t>2021</w:t>
            </w:r>
          </w:p>
        </w:tc>
        <w:tc>
          <w:tcPr>
            <w:tcW w:w="1200" w:type="dxa"/>
            <w:gridSpan w:val="2"/>
            <w:tcBorders>
              <w:top w:val="single" w:sz="12" w:space="0" w:color="auto"/>
            </w:tcBorders>
            <w:vAlign w:val="center"/>
          </w:tcPr>
          <w:p>
            <w:pPr>
              <w:keepNext/>
              <w:ind w:right="-29"/>
              <w:jc w:val="center"/>
              <w:rPr>
                <w:noProof/>
                <w:sz w:val="18"/>
                <w:szCs w:val="18"/>
              </w:rPr>
            </w:pPr>
            <w:r>
              <w:rPr>
                <w:noProof/>
                <w:sz w:val="18"/>
              </w:rPr>
              <w:t>Leto</w:t>
            </w:r>
            <w:r>
              <w:rPr>
                <w:noProof/>
                <w:sz w:val="22"/>
              </w:rPr>
              <w:br/>
            </w:r>
            <w:r>
              <w:rPr>
                <w:b/>
                <w:noProof/>
                <w:sz w:val="18"/>
              </w:rPr>
              <w:t>2022</w:t>
            </w:r>
          </w:p>
        </w:tc>
        <w:tc>
          <w:tcPr>
            <w:tcW w:w="1152" w:type="dxa"/>
            <w:gridSpan w:val="2"/>
            <w:tcBorders>
              <w:top w:val="single" w:sz="12" w:space="0" w:color="auto"/>
            </w:tcBorders>
            <w:vAlign w:val="center"/>
          </w:tcPr>
          <w:p>
            <w:pPr>
              <w:keepNext/>
              <w:jc w:val="center"/>
              <w:rPr>
                <w:noProof/>
                <w:sz w:val="18"/>
                <w:szCs w:val="18"/>
              </w:rPr>
            </w:pPr>
            <w:r>
              <w:rPr>
                <w:noProof/>
                <w:sz w:val="18"/>
              </w:rPr>
              <w:t>Leto</w:t>
            </w:r>
            <w:r>
              <w:rPr>
                <w:noProof/>
                <w:sz w:val="22"/>
              </w:rPr>
              <w:br/>
            </w:r>
            <w:r>
              <w:rPr>
                <w:b/>
                <w:noProof/>
                <w:sz w:val="18"/>
              </w:rPr>
              <w:t>2023</w:t>
            </w:r>
          </w:p>
        </w:tc>
        <w:tc>
          <w:tcPr>
            <w:tcW w:w="1080" w:type="dxa"/>
            <w:gridSpan w:val="2"/>
            <w:tcBorders>
              <w:top w:val="single" w:sz="12" w:space="0" w:color="auto"/>
            </w:tcBorders>
            <w:vAlign w:val="center"/>
          </w:tcPr>
          <w:p>
            <w:pPr>
              <w:keepNext/>
              <w:jc w:val="center"/>
              <w:rPr>
                <w:noProof/>
                <w:sz w:val="18"/>
                <w:szCs w:val="18"/>
              </w:rPr>
            </w:pPr>
            <w:r>
              <w:rPr>
                <w:noProof/>
                <w:sz w:val="18"/>
              </w:rPr>
              <w:t>Leto</w:t>
            </w:r>
            <w:r>
              <w:rPr>
                <w:noProof/>
                <w:sz w:val="22"/>
              </w:rPr>
              <w:br/>
            </w:r>
            <w:r>
              <w:rPr>
                <w:b/>
                <w:noProof/>
                <w:sz w:val="18"/>
              </w:rPr>
              <w:t>2024</w:t>
            </w:r>
          </w:p>
        </w:tc>
        <w:tc>
          <w:tcPr>
            <w:tcW w:w="1200" w:type="dxa"/>
            <w:gridSpan w:val="2"/>
            <w:tcBorders>
              <w:top w:val="single" w:sz="12" w:space="0" w:color="auto"/>
            </w:tcBorders>
            <w:vAlign w:val="center"/>
          </w:tcPr>
          <w:p>
            <w:pPr>
              <w:keepNext/>
              <w:jc w:val="center"/>
              <w:rPr>
                <w:noProof/>
                <w:sz w:val="18"/>
                <w:szCs w:val="18"/>
              </w:rPr>
            </w:pPr>
            <w:r>
              <w:rPr>
                <w:noProof/>
                <w:sz w:val="18"/>
              </w:rPr>
              <w:t>Leto</w:t>
            </w:r>
            <w:r>
              <w:rPr>
                <w:noProof/>
                <w:sz w:val="22"/>
              </w:rPr>
              <w:br/>
            </w:r>
            <w:r>
              <w:rPr>
                <w:b/>
                <w:noProof/>
                <w:sz w:val="18"/>
              </w:rPr>
              <w:t>2025</w:t>
            </w:r>
          </w:p>
        </w:tc>
        <w:tc>
          <w:tcPr>
            <w:tcW w:w="1200" w:type="dxa"/>
            <w:gridSpan w:val="2"/>
            <w:tcBorders>
              <w:top w:val="single" w:sz="12" w:space="0" w:color="auto"/>
            </w:tcBorders>
          </w:tcPr>
          <w:p>
            <w:pPr>
              <w:keepNext/>
              <w:ind w:right="-29"/>
              <w:jc w:val="center"/>
              <w:rPr>
                <w:b/>
                <w:noProof/>
                <w:sz w:val="18"/>
              </w:rPr>
            </w:pPr>
            <w:r>
              <w:rPr>
                <w:noProof/>
                <w:sz w:val="18"/>
              </w:rPr>
              <w:t>Leto</w:t>
            </w:r>
            <w:r>
              <w:rPr>
                <w:noProof/>
                <w:sz w:val="22"/>
              </w:rPr>
              <w:br/>
            </w:r>
            <w:r>
              <w:rPr>
                <w:b/>
                <w:noProof/>
                <w:sz w:val="18"/>
              </w:rPr>
              <w:t>2026</w:t>
            </w:r>
          </w:p>
        </w:tc>
        <w:tc>
          <w:tcPr>
            <w:tcW w:w="1200" w:type="dxa"/>
            <w:gridSpan w:val="2"/>
            <w:tcBorders>
              <w:top w:val="single" w:sz="12" w:space="0" w:color="auto"/>
              <w:right w:val="nil"/>
            </w:tcBorders>
          </w:tcPr>
          <w:p>
            <w:pPr>
              <w:keepNext/>
              <w:ind w:right="-29"/>
              <w:jc w:val="center"/>
              <w:rPr>
                <w:b/>
                <w:noProof/>
                <w:sz w:val="18"/>
              </w:rPr>
            </w:pPr>
            <w:r>
              <w:rPr>
                <w:noProof/>
                <w:sz w:val="18"/>
              </w:rPr>
              <w:t>Leto</w:t>
            </w:r>
            <w:r>
              <w:rPr>
                <w:noProof/>
                <w:sz w:val="22"/>
              </w:rPr>
              <w:br/>
            </w:r>
            <w:r>
              <w:rPr>
                <w:b/>
                <w:noProof/>
                <w:sz w:val="18"/>
              </w:rPr>
              <w:t>2027</w:t>
            </w:r>
          </w:p>
        </w:tc>
        <w:tc>
          <w:tcPr>
            <w:tcW w:w="1680" w:type="dxa"/>
            <w:gridSpan w:val="2"/>
            <w:tcBorders>
              <w:top w:val="single" w:sz="12" w:space="0" w:color="auto"/>
              <w:left w:val="single" w:sz="6" w:space="0" w:color="auto"/>
              <w:bottom w:val="single" w:sz="4" w:space="0" w:color="auto"/>
              <w:right w:val="single" w:sz="12" w:space="0" w:color="auto"/>
            </w:tcBorders>
            <w:vAlign w:val="center"/>
          </w:tcPr>
          <w:p>
            <w:pPr>
              <w:keepNext/>
              <w:ind w:right="-29"/>
              <w:jc w:val="center"/>
              <w:rPr>
                <w:noProof/>
                <w:sz w:val="18"/>
                <w:szCs w:val="18"/>
              </w:rPr>
            </w:pPr>
            <w:r>
              <w:rPr>
                <w:b/>
                <w:noProof/>
                <w:sz w:val="18"/>
              </w:rPr>
              <w:t>SKUPAJ</w:t>
            </w:r>
          </w:p>
        </w:tc>
      </w:tr>
      <w:tr>
        <w:trPr>
          <w:gridAfter w:val="22"/>
          <w:wAfter w:w="13632" w:type="dxa"/>
          <w:trHeight w:val="465"/>
          <w:jc w:val="center"/>
        </w:trPr>
        <w:tc>
          <w:tcPr>
            <w:tcW w:w="1422" w:type="dxa"/>
            <w:vMerge/>
            <w:tcBorders>
              <w:left w:val="single" w:sz="12" w:space="0" w:color="auto"/>
            </w:tcBorders>
            <w:vAlign w:val="center"/>
          </w:tcPr>
          <w:p>
            <w:pPr>
              <w:keepNext/>
              <w:ind w:right="-29"/>
              <w:jc w:val="center"/>
              <w:rPr>
                <w:noProof/>
                <w:sz w:val="18"/>
                <w:szCs w:val="18"/>
              </w:rPr>
            </w:pPr>
          </w:p>
        </w:tc>
      </w:tr>
      <w:tr>
        <w:trPr>
          <w:cantSplit/>
          <w:trHeight w:val="1134"/>
          <w:jc w:val="center"/>
        </w:trPr>
        <w:tc>
          <w:tcPr>
            <w:tcW w:w="1422" w:type="dxa"/>
            <w:vMerge/>
            <w:tcBorders>
              <w:left w:val="single" w:sz="12" w:space="0" w:color="auto"/>
            </w:tcBorders>
            <w:vAlign w:val="center"/>
          </w:tcPr>
          <w:p>
            <w:pPr>
              <w:keepNext/>
              <w:rPr>
                <w:noProof/>
                <w:sz w:val="18"/>
                <w:szCs w:val="18"/>
              </w:rPr>
            </w:pPr>
          </w:p>
        </w:tc>
        <w:tc>
          <w:tcPr>
            <w:tcW w:w="721" w:type="dxa"/>
            <w:vAlign w:val="center"/>
          </w:tcPr>
          <w:p>
            <w:pPr>
              <w:keepNext/>
              <w:jc w:val="center"/>
              <w:rPr>
                <w:noProof/>
                <w:sz w:val="18"/>
                <w:szCs w:val="18"/>
              </w:rPr>
            </w:pPr>
            <w:r>
              <w:rPr>
                <w:noProof/>
                <w:sz w:val="18"/>
              </w:rPr>
              <w:t>vrsta</w:t>
            </w:r>
            <w:r>
              <w:rPr>
                <w:rStyle w:val="FootnoteReference"/>
                <w:noProof/>
              </w:rPr>
              <w:footnoteReference w:id="91"/>
            </w:r>
          </w:p>
          <w:p>
            <w:pPr>
              <w:keepNext/>
              <w:spacing w:before="0" w:after="0"/>
              <w:jc w:val="center"/>
              <w:rPr>
                <w:noProof/>
                <w:sz w:val="18"/>
                <w:szCs w:val="18"/>
              </w:rPr>
            </w:pPr>
          </w:p>
        </w:tc>
        <w:tc>
          <w:tcPr>
            <w:tcW w:w="659" w:type="dxa"/>
            <w:tcBorders>
              <w:right w:val="single" w:sz="4" w:space="0" w:color="auto"/>
            </w:tcBorders>
            <w:vAlign w:val="center"/>
          </w:tcPr>
          <w:p>
            <w:pPr>
              <w:keepNext/>
              <w:jc w:val="center"/>
              <w:rPr>
                <w:noProof/>
                <w:sz w:val="18"/>
                <w:szCs w:val="18"/>
              </w:rPr>
            </w:pPr>
            <w:r>
              <w:rPr>
                <w:noProof/>
                <w:sz w:val="18"/>
              </w:rPr>
              <w:t>povprečni stroški</w:t>
            </w:r>
          </w:p>
        </w:tc>
        <w:tc>
          <w:tcPr>
            <w:tcW w:w="303" w:type="dxa"/>
            <w:tcBorders>
              <w:top w:val="dotted" w:sz="4" w:space="0" w:color="auto"/>
              <w:left w:val="single" w:sz="4" w:space="0" w:color="auto"/>
              <w:bottom w:val="dotted" w:sz="4" w:space="0" w:color="auto"/>
              <w:right w:val="nil"/>
            </w:tcBorders>
            <w:shd w:val="pct10" w:color="auto" w:fill="auto"/>
            <w:textDirection w:val="btLr"/>
            <w:vAlign w:val="center"/>
          </w:tcPr>
          <w:p>
            <w:pPr>
              <w:keepNext/>
              <w:ind w:left="113" w:right="113"/>
              <w:jc w:val="center"/>
              <w:rPr>
                <w:noProof/>
                <w:sz w:val="18"/>
              </w:rPr>
            </w:pPr>
            <w:r>
              <w:rPr>
                <w:noProof/>
                <w:sz w:val="18"/>
              </w:rPr>
              <w:t>število</w:t>
            </w:r>
          </w:p>
        </w:tc>
        <w:tc>
          <w:tcPr>
            <w:tcW w:w="867" w:type="dxa"/>
            <w:tcBorders>
              <w:left w:val="nil"/>
              <w:right w:val="single" w:sz="4" w:space="0" w:color="auto"/>
            </w:tcBorders>
            <w:shd w:val="pct10" w:color="auto" w:fill="auto"/>
            <w:vAlign w:val="center"/>
          </w:tcPr>
          <w:p>
            <w:pPr>
              <w:keepNext/>
              <w:jc w:val="center"/>
              <w:rPr>
                <w:noProof/>
                <w:sz w:val="18"/>
              </w:rPr>
            </w:pPr>
            <w:r>
              <w:rPr>
                <w:noProof/>
                <w:sz w:val="18"/>
              </w:rPr>
              <w:t>stroški</w:t>
            </w:r>
          </w:p>
        </w:tc>
        <w:tc>
          <w:tcPr>
            <w:tcW w:w="330" w:type="dxa"/>
            <w:tcBorders>
              <w:left w:val="single" w:sz="4" w:space="0" w:color="auto"/>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840"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840"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840"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792"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720"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840"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840"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keepNext/>
              <w:ind w:left="113" w:right="113"/>
              <w:jc w:val="center"/>
              <w:rPr>
                <w:noProof/>
                <w:sz w:val="18"/>
              </w:rPr>
            </w:pPr>
            <w:r>
              <w:rPr>
                <w:noProof/>
                <w:sz w:val="18"/>
              </w:rPr>
              <w:t>število</w:t>
            </w:r>
          </w:p>
        </w:tc>
        <w:tc>
          <w:tcPr>
            <w:tcW w:w="840" w:type="dxa"/>
            <w:tcBorders>
              <w:left w:val="dashSmallGap" w:sz="4" w:space="0" w:color="auto"/>
            </w:tcBorders>
            <w:shd w:val="pct10" w:color="auto" w:fill="auto"/>
            <w:vAlign w:val="center"/>
          </w:tcPr>
          <w:p>
            <w:pPr>
              <w:keepNext/>
              <w:jc w:val="center"/>
              <w:rPr>
                <w:noProof/>
                <w:sz w:val="18"/>
              </w:rPr>
            </w:pPr>
            <w:r>
              <w:rPr>
                <w:noProof/>
                <w:sz w:val="18"/>
              </w:rPr>
              <w:t>stroški</w:t>
            </w:r>
          </w:p>
        </w:tc>
        <w:tc>
          <w:tcPr>
            <w:tcW w:w="759"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 realizacij skupaj</w:t>
            </w:r>
          </w:p>
        </w:tc>
        <w:tc>
          <w:tcPr>
            <w:tcW w:w="921" w:type="dxa"/>
            <w:tcBorders>
              <w:left w:val="dashSmallGap" w:sz="4" w:space="0" w:color="auto"/>
              <w:right w:val="single" w:sz="12" w:space="0" w:color="auto"/>
            </w:tcBorders>
            <w:shd w:val="pct10" w:color="auto" w:fill="auto"/>
            <w:vAlign w:val="center"/>
          </w:tcPr>
          <w:p>
            <w:pPr>
              <w:keepNext/>
              <w:jc w:val="center"/>
              <w:rPr>
                <w:noProof/>
                <w:sz w:val="18"/>
                <w:szCs w:val="18"/>
              </w:rPr>
            </w:pPr>
            <w:r>
              <w:rPr>
                <w:noProof/>
                <w:sz w:val="18"/>
              </w:rPr>
              <w:t>stroški realizacij skupaj</w:t>
            </w:r>
          </w:p>
        </w:tc>
      </w:tr>
      <w:tr>
        <w:trPr>
          <w:jc w:val="center"/>
        </w:trPr>
        <w:tc>
          <w:tcPr>
            <w:tcW w:w="2802" w:type="dxa"/>
            <w:gridSpan w:val="3"/>
            <w:tcBorders>
              <w:left w:val="single" w:sz="12" w:space="0" w:color="auto"/>
            </w:tcBorders>
            <w:vAlign w:val="center"/>
          </w:tcPr>
          <w:p>
            <w:pPr>
              <w:keepNext/>
              <w:spacing w:before="60" w:after="60"/>
              <w:ind w:right="-29"/>
              <w:jc w:val="center"/>
              <w:rPr>
                <w:noProof/>
                <w:sz w:val="18"/>
              </w:rPr>
            </w:pPr>
            <w:r>
              <w:rPr>
                <w:noProof/>
                <w:sz w:val="18"/>
              </w:rPr>
              <w:t>SPECIFIČNI CILJ št. 1</w:t>
            </w:r>
            <w:r>
              <w:rPr>
                <w:rStyle w:val="FootnoteReference"/>
                <w:noProof/>
              </w:rPr>
              <w:footnoteReference w:id="92"/>
            </w:r>
          </w:p>
          <w:p>
            <w:pPr>
              <w:keepNext/>
              <w:spacing w:before="60" w:after="60"/>
              <w:ind w:right="-29"/>
              <w:jc w:val="center"/>
              <w:rPr>
                <w:noProof/>
                <w:sz w:val="18"/>
                <w:szCs w:val="18"/>
              </w:rPr>
            </w:pPr>
            <w:r>
              <w:rPr>
                <w:noProof/>
                <w:sz w:val="18"/>
              </w:rPr>
              <w:t>Razvoj in vzdrževanje (Europolovih) sistemov</w:t>
            </w:r>
          </w:p>
        </w:tc>
        <w:tc>
          <w:tcPr>
            <w:tcW w:w="303" w:type="dxa"/>
            <w:tcBorders>
              <w:right w:val="nil"/>
            </w:tcBorders>
          </w:tcPr>
          <w:p>
            <w:pPr>
              <w:keepNext/>
              <w:spacing w:before="60" w:after="60"/>
              <w:ind w:right="-29"/>
              <w:jc w:val="center"/>
              <w:rPr>
                <w:noProof/>
                <w:sz w:val="18"/>
                <w:szCs w:val="18"/>
              </w:rPr>
            </w:pPr>
          </w:p>
        </w:tc>
        <w:tc>
          <w:tcPr>
            <w:tcW w:w="867" w:type="dxa"/>
            <w:tcBorders>
              <w:left w:val="nil"/>
              <w:bottom w:val="single" w:sz="4" w:space="0" w:color="auto"/>
            </w:tcBorders>
          </w:tcPr>
          <w:p>
            <w:pPr>
              <w:keepNext/>
              <w:spacing w:before="60" w:after="60"/>
              <w:ind w:right="-29"/>
              <w:jc w:val="center"/>
              <w:rPr>
                <w:noProof/>
                <w:sz w:val="18"/>
                <w:szCs w:val="18"/>
              </w:rPr>
            </w:pPr>
          </w:p>
        </w:tc>
        <w:tc>
          <w:tcPr>
            <w:tcW w:w="330" w:type="dxa"/>
            <w:tcBorders>
              <w:top w:val="nil"/>
              <w:left w:val="nil"/>
              <w:bottom w:val="nil"/>
              <w:right w:val="nil"/>
            </w:tcBorders>
          </w:tcPr>
          <w:p>
            <w:pPr>
              <w:keepNext/>
              <w:spacing w:before="60" w:after="60"/>
              <w:ind w:right="-29"/>
              <w:jc w:val="center"/>
              <w:rPr>
                <w:noProof/>
                <w:sz w:val="18"/>
                <w:szCs w:val="18"/>
              </w:rPr>
            </w:pPr>
          </w:p>
        </w:tc>
        <w:tc>
          <w:tcPr>
            <w:tcW w:w="840" w:type="dxa"/>
            <w:tcBorders>
              <w:top w:val="nil"/>
              <w:left w:val="nil"/>
              <w:bottom w:val="nil"/>
              <w:right w:val="nil"/>
            </w:tcBorders>
          </w:tcPr>
          <w:p>
            <w:pPr>
              <w:keepNext/>
              <w:spacing w:before="60" w:after="60"/>
              <w:ind w:right="-29"/>
              <w:jc w:val="center"/>
              <w:rPr>
                <w:noProof/>
                <w:sz w:val="18"/>
                <w:szCs w:val="18"/>
              </w:rPr>
            </w:pPr>
          </w:p>
        </w:tc>
        <w:tc>
          <w:tcPr>
            <w:tcW w:w="360" w:type="dxa"/>
            <w:tcBorders>
              <w:top w:val="nil"/>
              <w:left w:val="nil"/>
              <w:bottom w:val="nil"/>
              <w:right w:val="nil"/>
            </w:tcBorders>
          </w:tcPr>
          <w:p>
            <w:pPr>
              <w:keepNext/>
              <w:spacing w:before="60" w:after="60"/>
              <w:ind w:right="-29"/>
              <w:jc w:val="center"/>
              <w:rPr>
                <w:noProof/>
                <w:sz w:val="18"/>
                <w:szCs w:val="18"/>
              </w:rPr>
            </w:pPr>
          </w:p>
        </w:tc>
        <w:tc>
          <w:tcPr>
            <w:tcW w:w="840" w:type="dxa"/>
            <w:tcBorders>
              <w:top w:val="nil"/>
              <w:left w:val="nil"/>
              <w:bottom w:val="nil"/>
              <w:right w:val="nil"/>
            </w:tcBorders>
          </w:tcPr>
          <w:p>
            <w:pPr>
              <w:keepNext/>
              <w:spacing w:before="60" w:after="60"/>
              <w:ind w:right="-29"/>
              <w:jc w:val="center"/>
              <w:rPr>
                <w:noProof/>
                <w:sz w:val="18"/>
                <w:szCs w:val="18"/>
              </w:rPr>
            </w:pPr>
          </w:p>
        </w:tc>
        <w:tc>
          <w:tcPr>
            <w:tcW w:w="360" w:type="dxa"/>
            <w:tcBorders>
              <w:top w:val="nil"/>
              <w:left w:val="nil"/>
              <w:bottom w:val="nil"/>
              <w:right w:val="nil"/>
            </w:tcBorders>
          </w:tcPr>
          <w:p>
            <w:pPr>
              <w:keepNext/>
              <w:spacing w:before="60" w:after="60"/>
              <w:ind w:right="-29"/>
              <w:jc w:val="center"/>
              <w:rPr>
                <w:noProof/>
                <w:sz w:val="18"/>
                <w:szCs w:val="18"/>
              </w:rPr>
            </w:pPr>
          </w:p>
        </w:tc>
        <w:tc>
          <w:tcPr>
            <w:tcW w:w="840" w:type="dxa"/>
            <w:tcBorders>
              <w:top w:val="nil"/>
              <w:left w:val="nil"/>
              <w:bottom w:val="nil"/>
              <w:right w:val="nil"/>
            </w:tcBorders>
          </w:tcPr>
          <w:p>
            <w:pPr>
              <w:keepNext/>
              <w:spacing w:before="60" w:after="60"/>
              <w:ind w:right="-29"/>
              <w:jc w:val="center"/>
              <w:rPr>
                <w:noProof/>
                <w:sz w:val="18"/>
                <w:szCs w:val="18"/>
              </w:rPr>
            </w:pPr>
          </w:p>
        </w:tc>
        <w:tc>
          <w:tcPr>
            <w:tcW w:w="360" w:type="dxa"/>
            <w:tcBorders>
              <w:top w:val="nil"/>
              <w:left w:val="nil"/>
              <w:bottom w:val="nil"/>
              <w:right w:val="nil"/>
            </w:tcBorders>
          </w:tcPr>
          <w:p>
            <w:pPr>
              <w:keepNext/>
              <w:spacing w:before="60" w:after="60"/>
              <w:ind w:right="-29"/>
              <w:jc w:val="center"/>
              <w:rPr>
                <w:noProof/>
                <w:sz w:val="18"/>
                <w:szCs w:val="18"/>
              </w:rPr>
            </w:pPr>
          </w:p>
        </w:tc>
        <w:tc>
          <w:tcPr>
            <w:tcW w:w="792" w:type="dxa"/>
            <w:tcBorders>
              <w:top w:val="nil"/>
              <w:left w:val="nil"/>
              <w:bottom w:val="nil"/>
              <w:right w:val="nil"/>
            </w:tcBorders>
          </w:tcPr>
          <w:p>
            <w:pPr>
              <w:keepNext/>
              <w:spacing w:before="60" w:after="60"/>
              <w:ind w:right="-29"/>
              <w:jc w:val="center"/>
              <w:rPr>
                <w:noProof/>
                <w:sz w:val="18"/>
                <w:szCs w:val="18"/>
              </w:rPr>
            </w:pPr>
          </w:p>
        </w:tc>
        <w:tc>
          <w:tcPr>
            <w:tcW w:w="360" w:type="dxa"/>
            <w:tcBorders>
              <w:top w:val="nil"/>
              <w:left w:val="nil"/>
              <w:bottom w:val="nil"/>
              <w:right w:val="nil"/>
            </w:tcBorders>
          </w:tcPr>
          <w:p>
            <w:pPr>
              <w:keepNext/>
              <w:spacing w:before="60" w:after="60"/>
              <w:ind w:right="-29"/>
              <w:jc w:val="center"/>
              <w:rPr>
                <w:noProof/>
                <w:sz w:val="18"/>
                <w:szCs w:val="18"/>
              </w:rPr>
            </w:pPr>
          </w:p>
        </w:tc>
        <w:tc>
          <w:tcPr>
            <w:tcW w:w="720" w:type="dxa"/>
            <w:tcBorders>
              <w:top w:val="nil"/>
              <w:left w:val="nil"/>
              <w:bottom w:val="nil"/>
              <w:right w:val="nil"/>
            </w:tcBorders>
          </w:tcPr>
          <w:p>
            <w:pPr>
              <w:keepNext/>
              <w:spacing w:before="60" w:after="60"/>
              <w:ind w:right="-29"/>
              <w:jc w:val="center"/>
              <w:rPr>
                <w:noProof/>
                <w:sz w:val="18"/>
                <w:szCs w:val="18"/>
              </w:rPr>
            </w:pPr>
          </w:p>
        </w:tc>
        <w:tc>
          <w:tcPr>
            <w:tcW w:w="360" w:type="dxa"/>
            <w:tcBorders>
              <w:top w:val="nil"/>
              <w:left w:val="nil"/>
              <w:bottom w:val="nil"/>
              <w:right w:val="nil"/>
            </w:tcBorders>
          </w:tcPr>
          <w:p>
            <w:pPr>
              <w:keepNext/>
              <w:spacing w:before="60" w:after="60"/>
              <w:ind w:right="-29"/>
              <w:jc w:val="center"/>
              <w:rPr>
                <w:noProof/>
                <w:sz w:val="18"/>
                <w:szCs w:val="18"/>
              </w:rPr>
            </w:pPr>
          </w:p>
        </w:tc>
        <w:tc>
          <w:tcPr>
            <w:tcW w:w="840" w:type="dxa"/>
            <w:tcBorders>
              <w:top w:val="nil"/>
              <w:left w:val="nil"/>
              <w:bottom w:val="nil"/>
              <w:right w:val="nil"/>
            </w:tcBorders>
          </w:tcPr>
          <w:p>
            <w:pPr>
              <w:keepNext/>
              <w:spacing w:before="60" w:after="60"/>
              <w:ind w:right="-29"/>
              <w:jc w:val="center"/>
              <w:rPr>
                <w:noProof/>
                <w:sz w:val="18"/>
                <w:szCs w:val="18"/>
              </w:rPr>
            </w:pPr>
          </w:p>
        </w:tc>
        <w:tc>
          <w:tcPr>
            <w:tcW w:w="360" w:type="dxa"/>
            <w:tcBorders>
              <w:top w:val="nil"/>
              <w:left w:val="nil"/>
              <w:bottom w:val="nil"/>
              <w:right w:val="nil"/>
            </w:tcBorders>
          </w:tcPr>
          <w:p>
            <w:pPr>
              <w:keepNext/>
              <w:spacing w:before="60" w:after="60"/>
              <w:ind w:right="-29"/>
              <w:jc w:val="center"/>
              <w:rPr>
                <w:noProof/>
                <w:sz w:val="18"/>
                <w:szCs w:val="18"/>
              </w:rPr>
            </w:pPr>
          </w:p>
        </w:tc>
        <w:tc>
          <w:tcPr>
            <w:tcW w:w="840" w:type="dxa"/>
            <w:tcBorders>
              <w:top w:val="nil"/>
              <w:left w:val="nil"/>
              <w:bottom w:val="nil"/>
              <w:right w:val="nil"/>
            </w:tcBorders>
          </w:tcPr>
          <w:p>
            <w:pPr>
              <w:keepNext/>
              <w:spacing w:before="60" w:after="60"/>
              <w:ind w:right="-29"/>
              <w:jc w:val="center"/>
              <w:rPr>
                <w:noProof/>
                <w:sz w:val="18"/>
                <w:szCs w:val="18"/>
              </w:rPr>
            </w:pPr>
          </w:p>
        </w:tc>
        <w:tc>
          <w:tcPr>
            <w:tcW w:w="1200" w:type="dxa"/>
            <w:gridSpan w:val="2"/>
            <w:tcBorders>
              <w:top w:val="nil"/>
              <w:left w:val="nil"/>
              <w:bottom w:val="nil"/>
              <w:right w:val="nil"/>
            </w:tcBorders>
          </w:tcPr>
          <w:p>
            <w:pPr>
              <w:keepNext/>
              <w:spacing w:before="60" w:after="60"/>
              <w:ind w:right="-29"/>
              <w:jc w:val="center"/>
              <w:rPr>
                <w:noProof/>
                <w:sz w:val="18"/>
                <w:szCs w:val="18"/>
              </w:rPr>
            </w:pPr>
          </w:p>
        </w:tc>
        <w:tc>
          <w:tcPr>
            <w:tcW w:w="759" w:type="dxa"/>
            <w:tcBorders>
              <w:top w:val="nil"/>
              <w:left w:val="nil"/>
              <w:bottom w:val="nil"/>
              <w:right w:val="nil"/>
            </w:tcBorders>
          </w:tcPr>
          <w:p>
            <w:pPr>
              <w:keepNext/>
              <w:spacing w:before="60" w:after="60"/>
              <w:ind w:right="-29"/>
              <w:jc w:val="center"/>
              <w:rPr>
                <w:noProof/>
                <w:sz w:val="18"/>
                <w:szCs w:val="18"/>
              </w:rPr>
            </w:pPr>
          </w:p>
        </w:tc>
        <w:tc>
          <w:tcPr>
            <w:tcW w:w="921" w:type="dxa"/>
            <w:tcBorders>
              <w:top w:val="nil"/>
              <w:left w:val="nil"/>
              <w:bottom w:val="single" w:sz="4" w:space="0" w:color="auto"/>
              <w:right w:val="single" w:sz="12" w:space="0" w:color="auto"/>
            </w:tcBorders>
          </w:tcPr>
          <w:p>
            <w:pPr>
              <w:keepNext/>
              <w:spacing w:before="60" w:after="60"/>
              <w:ind w:right="-29"/>
              <w:jc w:val="center"/>
              <w:rPr>
                <w:noProof/>
                <w:sz w:val="18"/>
                <w:szCs w:val="18"/>
              </w:rPr>
            </w:pPr>
          </w:p>
        </w:tc>
      </w:tr>
      <w:tr>
        <w:trPr>
          <w:trHeight w:hRule="exact" w:val="908"/>
          <w:jc w:val="center"/>
        </w:trPr>
        <w:tc>
          <w:tcPr>
            <w:tcW w:w="1422" w:type="dxa"/>
            <w:tcBorders>
              <w:left w:val="single" w:sz="12" w:space="0" w:color="auto"/>
            </w:tcBorders>
          </w:tcPr>
          <w:p>
            <w:pPr>
              <w:ind w:right="-29"/>
              <w:jc w:val="center"/>
              <w:rPr>
                <w:noProof/>
                <w:sz w:val="18"/>
                <w:szCs w:val="18"/>
              </w:rPr>
            </w:pPr>
            <w:r>
              <w:rPr>
                <w:noProof/>
                <w:sz w:val="18"/>
              </w:rPr>
              <w:t>Okolje IT</w:t>
            </w:r>
          </w:p>
        </w:tc>
        <w:tc>
          <w:tcPr>
            <w:tcW w:w="1380" w:type="dxa"/>
            <w:gridSpan w:val="2"/>
          </w:tcPr>
          <w:p>
            <w:pPr>
              <w:ind w:right="-29"/>
              <w:jc w:val="center"/>
              <w:rPr>
                <w:noProof/>
                <w:sz w:val="20"/>
              </w:rPr>
            </w:pPr>
            <w:r>
              <w:rPr>
                <w:noProof/>
                <w:sz w:val="20"/>
              </w:rPr>
              <w:t>Infrastruktura</w:t>
            </w:r>
          </w:p>
        </w:tc>
        <w:tc>
          <w:tcPr>
            <w:tcW w:w="303" w:type="dxa"/>
            <w:tcBorders>
              <w:right w:val="dashSmallGap" w:sz="4" w:space="0" w:color="auto"/>
            </w:tcBorders>
          </w:tcPr>
          <w:p>
            <w:pPr>
              <w:ind w:right="-29"/>
              <w:jc w:val="center"/>
              <w:rPr>
                <w:noProof/>
                <w:sz w:val="18"/>
                <w:szCs w:val="18"/>
              </w:rPr>
            </w:pPr>
          </w:p>
        </w:tc>
        <w:tc>
          <w:tcPr>
            <w:tcW w:w="867" w:type="dxa"/>
            <w:tcBorders>
              <w:left w:val="dashSmallGap" w:sz="4" w:space="0" w:color="auto"/>
              <w:bottom w:val="single" w:sz="4" w:space="0" w:color="auto"/>
            </w:tcBorders>
          </w:tcPr>
          <w:p>
            <w:pPr>
              <w:ind w:right="-29"/>
              <w:jc w:val="center"/>
              <w:rPr>
                <w:noProof/>
                <w:sz w:val="18"/>
                <w:szCs w:val="18"/>
              </w:rPr>
            </w:pPr>
          </w:p>
        </w:tc>
        <w:tc>
          <w:tcPr>
            <w:tcW w:w="33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r>
              <w:rPr>
                <w:noProof/>
                <w:sz w:val="18"/>
              </w:rPr>
              <w:t>1,840</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r>
              <w:rPr>
                <w:noProof/>
                <w:sz w:val="18"/>
              </w:rPr>
              <w:t>1,840</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r>
              <w:rPr>
                <w:noProof/>
                <w:sz w:val="18"/>
              </w:rPr>
              <w:t>0,736</w:t>
            </w:r>
          </w:p>
        </w:tc>
        <w:tc>
          <w:tcPr>
            <w:tcW w:w="360" w:type="dxa"/>
            <w:tcBorders>
              <w:right w:val="dashSmallGap" w:sz="4" w:space="0" w:color="auto"/>
            </w:tcBorders>
          </w:tcPr>
          <w:p>
            <w:pPr>
              <w:ind w:right="-29"/>
              <w:jc w:val="center"/>
              <w:rPr>
                <w:noProof/>
                <w:sz w:val="18"/>
                <w:szCs w:val="18"/>
              </w:rPr>
            </w:pPr>
          </w:p>
        </w:tc>
        <w:tc>
          <w:tcPr>
            <w:tcW w:w="792" w:type="dxa"/>
            <w:tcBorders>
              <w:left w:val="dashSmallGap" w:sz="4" w:space="0" w:color="auto"/>
            </w:tcBorders>
          </w:tcPr>
          <w:p>
            <w:pPr>
              <w:ind w:right="-29"/>
              <w:jc w:val="center"/>
              <w:rPr>
                <w:noProof/>
                <w:sz w:val="18"/>
                <w:szCs w:val="18"/>
              </w:rPr>
            </w:pPr>
            <w:r>
              <w:rPr>
                <w:noProof/>
                <w:sz w:val="18"/>
              </w:rPr>
              <w:t>0,736</w:t>
            </w:r>
          </w:p>
        </w:tc>
        <w:tc>
          <w:tcPr>
            <w:tcW w:w="36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r>
              <w:rPr>
                <w:noProof/>
                <w:sz w:val="18"/>
              </w:rPr>
              <w:t>0,736</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r>
              <w:rPr>
                <w:noProof/>
                <w:sz w:val="18"/>
              </w:rPr>
              <w:t>0,736</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r>
              <w:rPr>
                <w:noProof/>
                <w:sz w:val="18"/>
              </w:rPr>
              <w:t>0,736</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bottom w:val="single" w:sz="4" w:space="0" w:color="auto"/>
            </w:tcBorders>
          </w:tcPr>
          <w:p>
            <w:pPr>
              <w:ind w:right="-29"/>
              <w:jc w:val="center"/>
              <w:rPr>
                <w:noProof/>
                <w:sz w:val="18"/>
                <w:szCs w:val="18"/>
              </w:rPr>
            </w:pPr>
            <w:r>
              <w:rPr>
                <w:noProof/>
                <w:sz w:val="18"/>
              </w:rPr>
              <w:t>0,736</w:t>
            </w:r>
          </w:p>
        </w:tc>
        <w:tc>
          <w:tcPr>
            <w:tcW w:w="759" w:type="dxa"/>
            <w:tcBorders>
              <w:right w:val="dashSmallGap" w:sz="4" w:space="0" w:color="auto"/>
            </w:tcBorders>
          </w:tcPr>
          <w:p>
            <w:pPr>
              <w:ind w:right="-29"/>
              <w:jc w:val="center"/>
              <w:rPr>
                <w:noProof/>
                <w:sz w:val="18"/>
                <w:szCs w:val="18"/>
              </w:rPr>
            </w:pPr>
          </w:p>
        </w:tc>
        <w:tc>
          <w:tcPr>
            <w:tcW w:w="921" w:type="dxa"/>
            <w:tcBorders>
              <w:left w:val="dashSmallGap" w:sz="4" w:space="0" w:color="auto"/>
              <w:bottom w:val="single" w:sz="4" w:space="0" w:color="auto"/>
              <w:right w:val="single" w:sz="12" w:space="0" w:color="auto"/>
            </w:tcBorders>
          </w:tcPr>
          <w:p>
            <w:pPr>
              <w:ind w:right="-29"/>
              <w:jc w:val="center"/>
              <w:rPr>
                <w:noProof/>
                <w:sz w:val="18"/>
                <w:szCs w:val="18"/>
              </w:rPr>
            </w:pPr>
            <w:r>
              <w:rPr>
                <w:noProof/>
                <w:sz w:val="20"/>
              </w:rPr>
              <w:t>8,096</w:t>
            </w:r>
          </w:p>
        </w:tc>
      </w:tr>
      <w:tr>
        <w:trPr>
          <w:trHeight w:hRule="exact" w:val="908"/>
          <w:jc w:val="center"/>
        </w:trPr>
        <w:tc>
          <w:tcPr>
            <w:tcW w:w="1422" w:type="dxa"/>
            <w:tcBorders>
              <w:left w:val="single" w:sz="12" w:space="0" w:color="auto"/>
            </w:tcBorders>
          </w:tcPr>
          <w:p>
            <w:pPr>
              <w:ind w:right="-29"/>
              <w:jc w:val="center"/>
              <w:rPr>
                <w:noProof/>
                <w:sz w:val="18"/>
              </w:rPr>
            </w:pPr>
            <w:r>
              <w:rPr>
                <w:noProof/>
                <w:sz w:val="18"/>
              </w:rPr>
              <w:t>Okolje IT</w:t>
            </w:r>
          </w:p>
        </w:tc>
        <w:tc>
          <w:tcPr>
            <w:tcW w:w="1380" w:type="dxa"/>
            <w:gridSpan w:val="2"/>
          </w:tcPr>
          <w:p>
            <w:pPr>
              <w:ind w:right="-29"/>
              <w:jc w:val="center"/>
              <w:rPr>
                <w:noProof/>
                <w:sz w:val="20"/>
              </w:rPr>
            </w:pPr>
            <w:r>
              <w:rPr>
                <w:noProof/>
                <w:sz w:val="20"/>
              </w:rPr>
              <w:t>Strojna oprema</w:t>
            </w:r>
          </w:p>
        </w:tc>
        <w:tc>
          <w:tcPr>
            <w:tcW w:w="303" w:type="dxa"/>
            <w:tcBorders>
              <w:right w:val="dashSmallGap" w:sz="4" w:space="0" w:color="auto"/>
            </w:tcBorders>
          </w:tcPr>
          <w:p>
            <w:pPr>
              <w:ind w:right="-29"/>
              <w:jc w:val="center"/>
              <w:rPr>
                <w:noProof/>
                <w:sz w:val="18"/>
                <w:szCs w:val="18"/>
              </w:rPr>
            </w:pPr>
          </w:p>
        </w:tc>
        <w:tc>
          <w:tcPr>
            <w:tcW w:w="867" w:type="dxa"/>
            <w:tcBorders>
              <w:left w:val="dashSmallGap" w:sz="4" w:space="0" w:color="auto"/>
              <w:bottom w:val="single" w:sz="4" w:space="0" w:color="auto"/>
            </w:tcBorders>
          </w:tcPr>
          <w:p>
            <w:pPr>
              <w:ind w:right="-29"/>
              <w:jc w:val="center"/>
              <w:rPr>
                <w:noProof/>
                <w:sz w:val="18"/>
                <w:szCs w:val="18"/>
              </w:rPr>
            </w:pPr>
          </w:p>
        </w:tc>
        <w:tc>
          <w:tcPr>
            <w:tcW w:w="33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r>
              <w:rPr>
                <w:noProof/>
                <w:sz w:val="18"/>
              </w:rPr>
              <w:t>3,510</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r>
              <w:rPr>
                <w:noProof/>
                <w:sz w:val="18"/>
              </w:rPr>
              <w:t>3,510</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r>
              <w:rPr>
                <w:noProof/>
                <w:sz w:val="18"/>
              </w:rPr>
              <w:t>1,404</w:t>
            </w:r>
          </w:p>
        </w:tc>
        <w:tc>
          <w:tcPr>
            <w:tcW w:w="360" w:type="dxa"/>
            <w:tcBorders>
              <w:right w:val="dashSmallGap" w:sz="4" w:space="0" w:color="auto"/>
            </w:tcBorders>
          </w:tcPr>
          <w:p>
            <w:pPr>
              <w:ind w:right="-29"/>
              <w:jc w:val="center"/>
              <w:rPr>
                <w:noProof/>
                <w:sz w:val="18"/>
                <w:szCs w:val="18"/>
              </w:rPr>
            </w:pPr>
          </w:p>
        </w:tc>
        <w:tc>
          <w:tcPr>
            <w:tcW w:w="792" w:type="dxa"/>
            <w:tcBorders>
              <w:left w:val="dashSmallGap" w:sz="4" w:space="0" w:color="auto"/>
            </w:tcBorders>
          </w:tcPr>
          <w:p>
            <w:pPr>
              <w:ind w:right="-29"/>
              <w:jc w:val="center"/>
              <w:rPr>
                <w:noProof/>
                <w:sz w:val="18"/>
                <w:szCs w:val="18"/>
              </w:rPr>
            </w:pPr>
            <w:r>
              <w:rPr>
                <w:noProof/>
                <w:sz w:val="18"/>
              </w:rPr>
              <w:t>1,404</w:t>
            </w:r>
          </w:p>
        </w:tc>
        <w:tc>
          <w:tcPr>
            <w:tcW w:w="36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r>
              <w:rPr>
                <w:noProof/>
                <w:sz w:val="18"/>
              </w:rPr>
              <w:t>1,404</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r>
              <w:rPr>
                <w:noProof/>
                <w:sz w:val="18"/>
              </w:rPr>
              <w:t>5,754</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r>
              <w:rPr>
                <w:noProof/>
                <w:sz w:val="18"/>
              </w:rPr>
              <w:t>5,754</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bottom w:val="single" w:sz="4" w:space="0" w:color="auto"/>
            </w:tcBorders>
          </w:tcPr>
          <w:p>
            <w:pPr>
              <w:ind w:right="-29"/>
              <w:jc w:val="center"/>
              <w:rPr>
                <w:noProof/>
                <w:sz w:val="18"/>
                <w:szCs w:val="18"/>
              </w:rPr>
            </w:pPr>
            <w:r>
              <w:rPr>
                <w:noProof/>
                <w:sz w:val="18"/>
              </w:rPr>
              <w:t>1,404</w:t>
            </w:r>
          </w:p>
        </w:tc>
        <w:tc>
          <w:tcPr>
            <w:tcW w:w="759" w:type="dxa"/>
            <w:tcBorders>
              <w:right w:val="dashSmallGap" w:sz="4" w:space="0" w:color="auto"/>
            </w:tcBorders>
          </w:tcPr>
          <w:p>
            <w:pPr>
              <w:ind w:right="-29"/>
              <w:jc w:val="center"/>
              <w:rPr>
                <w:noProof/>
                <w:sz w:val="18"/>
                <w:szCs w:val="18"/>
              </w:rPr>
            </w:pPr>
          </w:p>
        </w:tc>
        <w:tc>
          <w:tcPr>
            <w:tcW w:w="921" w:type="dxa"/>
            <w:tcBorders>
              <w:left w:val="dashSmallGap" w:sz="4" w:space="0" w:color="auto"/>
              <w:bottom w:val="single" w:sz="4" w:space="0" w:color="auto"/>
              <w:right w:val="single" w:sz="12" w:space="0" w:color="auto"/>
            </w:tcBorders>
          </w:tcPr>
          <w:p>
            <w:pPr>
              <w:ind w:right="-29"/>
              <w:jc w:val="center"/>
              <w:rPr>
                <w:noProof/>
                <w:sz w:val="20"/>
              </w:rPr>
            </w:pPr>
            <w:r>
              <w:rPr>
                <w:noProof/>
                <w:sz w:val="20"/>
              </w:rPr>
              <w:t>26,144</w:t>
            </w:r>
          </w:p>
        </w:tc>
      </w:tr>
      <w:tr>
        <w:trPr>
          <w:trHeight w:hRule="exact" w:val="908"/>
          <w:jc w:val="center"/>
        </w:trPr>
        <w:tc>
          <w:tcPr>
            <w:tcW w:w="1422" w:type="dxa"/>
            <w:tcBorders>
              <w:left w:val="single" w:sz="12" w:space="0" w:color="auto"/>
            </w:tcBorders>
          </w:tcPr>
          <w:p>
            <w:pPr>
              <w:ind w:right="-29"/>
              <w:jc w:val="center"/>
              <w:rPr>
                <w:noProof/>
                <w:sz w:val="18"/>
              </w:rPr>
            </w:pPr>
            <w:r>
              <w:rPr>
                <w:noProof/>
                <w:sz w:val="18"/>
              </w:rPr>
              <w:t>Okolje IT</w:t>
            </w:r>
          </w:p>
        </w:tc>
        <w:tc>
          <w:tcPr>
            <w:tcW w:w="1380" w:type="dxa"/>
            <w:gridSpan w:val="2"/>
          </w:tcPr>
          <w:p>
            <w:pPr>
              <w:ind w:right="-29"/>
              <w:jc w:val="center"/>
              <w:rPr>
                <w:noProof/>
                <w:sz w:val="20"/>
              </w:rPr>
            </w:pPr>
            <w:r>
              <w:rPr>
                <w:noProof/>
                <w:sz w:val="20"/>
              </w:rPr>
              <w:t>Programska oprema</w:t>
            </w:r>
          </w:p>
        </w:tc>
        <w:tc>
          <w:tcPr>
            <w:tcW w:w="303" w:type="dxa"/>
            <w:tcBorders>
              <w:right w:val="dashSmallGap" w:sz="4" w:space="0" w:color="auto"/>
            </w:tcBorders>
          </w:tcPr>
          <w:p>
            <w:pPr>
              <w:ind w:right="-29"/>
              <w:jc w:val="center"/>
              <w:rPr>
                <w:noProof/>
                <w:sz w:val="18"/>
                <w:szCs w:val="18"/>
              </w:rPr>
            </w:pPr>
          </w:p>
        </w:tc>
        <w:tc>
          <w:tcPr>
            <w:tcW w:w="867" w:type="dxa"/>
            <w:tcBorders>
              <w:left w:val="dashSmallGap" w:sz="4" w:space="0" w:color="auto"/>
              <w:bottom w:val="single" w:sz="4" w:space="0" w:color="auto"/>
            </w:tcBorders>
          </w:tcPr>
          <w:p>
            <w:pPr>
              <w:ind w:right="-29"/>
              <w:jc w:val="center"/>
              <w:rPr>
                <w:noProof/>
                <w:sz w:val="18"/>
                <w:szCs w:val="18"/>
              </w:rPr>
            </w:pPr>
          </w:p>
        </w:tc>
        <w:tc>
          <w:tcPr>
            <w:tcW w:w="33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r>
              <w:rPr>
                <w:noProof/>
                <w:sz w:val="18"/>
              </w:rPr>
              <w:t>0,670</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r>
              <w:rPr>
                <w:noProof/>
                <w:sz w:val="18"/>
              </w:rPr>
              <w:t>0,670</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r>
              <w:rPr>
                <w:noProof/>
                <w:sz w:val="18"/>
              </w:rPr>
              <w:t>0,268</w:t>
            </w:r>
          </w:p>
        </w:tc>
        <w:tc>
          <w:tcPr>
            <w:tcW w:w="360" w:type="dxa"/>
            <w:tcBorders>
              <w:right w:val="dashSmallGap" w:sz="4" w:space="0" w:color="auto"/>
            </w:tcBorders>
          </w:tcPr>
          <w:p>
            <w:pPr>
              <w:ind w:right="-29"/>
              <w:jc w:val="center"/>
              <w:rPr>
                <w:noProof/>
                <w:sz w:val="18"/>
                <w:szCs w:val="18"/>
              </w:rPr>
            </w:pPr>
          </w:p>
        </w:tc>
        <w:tc>
          <w:tcPr>
            <w:tcW w:w="792" w:type="dxa"/>
            <w:tcBorders>
              <w:left w:val="dashSmallGap" w:sz="4" w:space="0" w:color="auto"/>
            </w:tcBorders>
          </w:tcPr>
          <w:p>
            <w:pPr>
              <w:ind w:right="-29"/>
              <w:jc w:val="center"/>
              <w:rPr>
                <w:noProof/>
                <w:sz w:val="18"/>
                <w:szCs w:val="18"/>
              </w:rPr>
            </w:pPr>
            <w:r>
              <w:rPr>
                <w:noProof/>
                <w:sz w:val="18"/>
              </w:rPr>
              <w:t>0,268</w:t>
            </w:r>
          </w:p>
        </w:tc>
        <w:tc>
          <w:tcPr>
            <w:tcW w:w="36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r>
              <w:rPr>
                <w:noProof/>
                <w:sz w:val="18"/>
              </w:rPr>
              <w:t>0,268</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r>
              <w:rPr>
                <w:noProof/>
                <w:sz w:val="18"/>
              </w:rPr>
              <w:t>0,268</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r>
              <w:rPr>
                <w:noProof/>
                <w:sz w:val="18"/>
              </w:rPr>
              <w:t>0,268</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bottom w:val="single" w:sz="4" w:space="0" w:color="auto"/>
            </w:tcBorders>
          </w:tcPr>
          <w:p>
            <w:pPr>
              <w:ind w:right="-29"/>
              <w:jc w:val="center"/>
              <w:rPr>
                <w:noProof/>
                <w:sz w:val="18"/>
                <w:szCs w:val="18"/>
              </w:rPr>
            </w:pPr>
            <w:r>
              <w:rPr>
                <w:noProof/>
                <w:sz w:val="18"/>
              </w:rPr>
              <w:t>0,268</w:t>
            </w:r>
          </w:p>
        </w:tc>
        <w:tc>
          <w:tcPr>
            <w:tcW w:w="759" w:type="dxa"/>
            <w:tcBorders>
              <w:right w:val="dashSmallGap" w:sz="4" w:space="0" w:color="auto"/>
            </w:tcBorders>
          </w:tcPr>
          <w:p>
            <w:pPr>
              <w:ind w:right="-29"/>
              <w:jc w:val="center"/>
              <w:rPr>
                <w:noProof/>
                <w:sz w:val="18"/>
                <w:szCs w:val="18"/>
              </w:rPr>
            </w:pPr>
          </w:p>
        </w:tc>
        <w:tc>
          <w:tcPr>
            <w:tcW w:w="921" w:type="dxa"/>
            <w:tcBorders>
              <w:left w:val="dashSmallGap" w:sz="4" w:space="0" w:color="auto"/>
              <w:bottom w:val="single" w:sz="4" w:space="0" w:color="auto"/>
              <w:right w:val="single" w:sz="12" w:space="0" w:color="auto"/>
            </w:tcBorders>
          </w:tcPr>
          <w:p>
            <w:pPr>
              <w:ind w:right="-29"/>
              <w:jc w:val="center"/>
              <w:rPr>
                <w:noProof/>
                <w:sz w:val="20"/>
              </w:rPr>
            </w:pPr>
            <w:r>
              <w:rPr>
                <w:noProof/>
                <w:sz w:val="20"/>
              </w:rPr>
              <w:t>2,948</w:t>
            </w:r>
          </w:p>
        </w:tc>
      </w:tr>
      <w:tr>
        <w:trPr>
          <w:trHeight w:hRule="exact" w:val="908"/>
          <w:jc w:val="center"/>
        </w:trPr>
        <w:tc>
          <w:tcPr>
            <w:tcW w:w="1422" w:type="dxa"/>
            <w:tcBorders>
              <w:left w:val="single" w:sz="12" w:space="0" w:color="auto"/>
            </w:tcBorders>
          </w:tcPr>
          <w:p>
            <w:pPr>
              <w:ind w:right="-29"/>
              <w:jc w:val="center"/>
              <w:rPr>
                <w:noProof/>
                <w:sz w:val="18"/>
              </w:rPr>
            </w:pPr>
            <w:r>
              <w:rPr>
                <w:noProof/>
                <w:sz w:val="18"/>
              </w:rPr>
              <w:t>Razvojna dela</w:t>
            </w:r>
          </w:p>
        </w:tc>
        <w:tc>
          <w:tcPr>
            <w:tcW w:w="1380" w:type="dxa"/>
            <w:gridSpan w:val="2"/>
          </w:tcPr>
          <w:p>
            <w:pPr>
              <w:ind w:right="-29"/>
              <w:jc w:val="center"/>
              <w:rPr>
                <w:noProof/>
                <w:sz w:val="20"/>
              </w:rPr>
            </w:pPr>
            <w:r>
              <w:rPr>
                <w:noProof/>
                <w:sz w:val="20"/>
              </w:rPr>
              <w:t>Izvajalec</w:t>
            </w:r>
          </w:p>
        </w:tc>
        <w:tc>
          <w:tcPr>
            <w:tcW w:w="303" w:type="dxa"/>
            <w:tcBorders>
              <w:right w:val="dashSmallGap" w:sz="4" w:space="0" w:color="auto"/>
            </w:tcBorders>
          </w:tcPr>
          <w:p>
            <w:pPr>
              <w:ind w:right="-29"/>
              <w:jc w:val="center"/>
              <w:rPr>
                <w:noProof/>
                <w:sz w:val="18"/>
                <w:szCs w:val="18"/>
              </w:rPr>
            </w:pPr>
          </w:p>
        </w:tc>
        <w:tc>
          <w:tcPr>
            <w:tcW w:w="867" w:type="dxa"/>
            <w:tcBorders>
              <w:left w:val="dashSmallGap" w:sz="4" w:space="0" w:color="auto"/>
              <w:bottom w:val="single" w:sz="4" w:space="0" w:color="auto"/>
            </w:tcBorders>
          </w:tcPr>
          <w:p>
            <w:pPr>
              <w:ind w:right="-29"/>
              <w:jc w:val="center"/>
              <w:rPr>
                <w:noProof/>
                <w:sz w:val="18"/>
                <w:szCs w:val="18"/>
              </w:rPr>
            </w:pPr>
          </w:p>
        </w:tc>
        <w:tc>
          <w:tcPr>
            <w:tcW w:w="33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r>
              <w:rPr>
                <w:noProof/>
                <w:sz w:val="18"/>
              </w:rPr>
              <w:t>0,360</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r>
              <w:rPr>
                <w:noProof/>
                <w:sz w:val="18"/>
              </w:rPr>
              <w:t>0,360</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p>
        </w:tc>
        <w:tc>
          <w:tcPr>
            <w:tcW w:w="360" w:type="dxa"/>
            <w:tcBorders>
              <w:right w:val="dashSmallGap" w:sz="4" w:space="0" w:color="auto"/>
            </w:tcBorders>
          </w:tcPr>
          <w:p>
            <w:pPr>
              <w:ind w:right="-29"/>
              <w:jc w:val="center"/>
              <w:rPr>
                <w:noProof/>
                <w:sz w:val="18"/>
                <w:szCs w:val="18"/>
              </w:rPr>
            </w:pPr>
          </w:p>
        </w:tc>
        <w:tc>
          <w:tcPr>
            <w:tcW w:w="792" w:type="dxa"/>
            <w:tcBorders>
              <w:left w:val="dashSmallGap" w:sz="4" w:space="0" w:color="auto"/>
            </w:tcBorders>
          </w:tcPr>
          <w:p>
            <w:pPr>
              <w:ind w:right="-29"/>
              <w:jc w:val="center"/>
              <w:rPr>
                <w:noProof/>
                <w:sz w:val="18"/>
                <w:szCs w:val="18"/>
              </w:rPr>
            </w:pPr>
          </w:p>
        </w:tc>
        <w:tc>
          <w:tcPr>
            <w:tcW w:w="36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bottom w:val="single" w:sz="4" w:space="0" w:color="auto"/>
            </w:tcBorders>
          </w:tcPr>
          <w:p>
            <w:pPr>
              <w:ind w:right="-29"/>
              <w:jc w:val="center"/>
              <w:rPr>
                <w:noProof/>
                <w:sz w:val="18"/>
                <w:szCs w:val="18"/>
              </w:rPr>
            </w:pPr>
          </w:p>
        </w:tc>
        <w:tc>
          <w:tcPr>
            <w:tcW w:w="759" w:type="dxa"/>
            <w:tcBorders>
              <w:right w:val="dashSmallGap" w:sz="4" w:space="0" w:color="auto"/>
            </w:tcBorders>
          </w:tcPr>
          <w:p>
            <w:pPr>
              <w:ind w:right="-29"/>
              <w:jc w:val="center"/>
              <w:rPr>
                <w:noProof/>
                <w:sz w:val="18"/>
                <w:szCs w:val="18"/>
              </w:rPr>
            </w:pPr>
          </w:p>
        </w:tc>
        <w:tc>
          <w:tcPr>
            <w:tcW w:w="921" w:type="dxa"/>
            <w:tcBorders>
              <w:left w:val="dashSmallGap" w:sz="4" w:space="0" w:color="auto"/>
              <w:bottom w:val="single" w:sz="4" w:space="0" w:color="auto"/>
              <w:right w:val="single" w:sz="12" w:space="0" w:color="auto"/>
            </w:tcBorders>
          </w:tcPr>
          <w:p>
            <w:pPr>
              <w:ind w:right="-29"/>
              <w:jc w:val="center"/>
              <w:rPr>
                <w:noProof/>
                <w:sz w:val="20"/>
              </w:rPr>
            </w:pPr>
            <w:r>
              <w:rPr>
                <w:noProof/>
                <w:sz w:val="20"/>
              </w:rPr>
              <w:t>0,720</w:t>
            </w:r>
          </w:p>
        </w:tc>
      </w:tr>
      <w:tr>
        <w:trPr>
          <w:jc w:val="center"/>
        </w:trPr>
        <w:tc>
          <w:tcPr>
            <w:tcW w:w="2802" w:type="dxa"/>
            <w:gridSpan w:val="3"/>
            <w:tcBorders>
              <w:left w:val="single" w:sz="12" w:space="0" w:color="auto"/>
              <w:bottom w:val="single" w:sz="12" w:space="0" w:color="auto"/>
            </w:tcBorders>
            <w:vAlign w:val="center"/>
          </w:tcPr>
          <w:p>
            <w:pPr>
              <w:ind w:right="-29"/>
              <w:jc w:val="center"/>
              <w:rPr>
                <w:noProof/>
                <w:sz w:val="18"/>
                <w:szCs w:val="18"/>
              </w:rPr>
            </w:pPr>
            <w:r>
              <w:rPr>
                <w:noProof/>
                <w:sz w:val="18"/>
              </w:rPr>
              <w:t xml:space="preserve">Seštevek </w:t>
            </w:r>
          </w:p>
        </w:tc>
        <w:tc>
          <w:tcPr>
            <w:tcW w:w="303" w:type="dxa"/>
            <w:tcBorders>
              <w:bottom w:val="single" w:sz="12" w:space="0" w:color="auto"/>
              <w:right w:val="dashSmallGap" w:sz="4" w:space="0" w:color="auto"/>
            </w:tcBorders>
          </w:tcPr>
          <w:p>
            <w:pPr>
              <w:ind w:right="-29"/>
              <w:jc w:val="center"/>
              <w:rPr>
                <w:noProof/>
                <w:sz w:val="18"/>
                <w:szCs w:val="18"/>
              </w:rPr>
            </w:pPr>
          </w:p>
        </w:tc>
        <w:tc>
          <w:tcPr>
            <w:tcW w:w="867" w:type="dxa"/>
            <w:tcBorders>
              <w:left w:val="dashSmallGap" w:sz="4" w:space="0" w:color="auto"/>
              <w:bottom w:val="single" w:sz="12" w:space="0" w:color="auto"/>
            </w:tcBorders>
          </w:tcPr>
          <w:p>
            <w:pPr>
              <w:ind w:right="-29"/>
              <w:jc w:val="center"/>
              <w:rPr>
                <w:b/>
                <w:noProof/>
                <w:sz w:val="22"/>
                <w:szCs w:val="18"/>
              </w:rPr>
            </w:pPr>
            <w:r>
              <w:rPr>
                <w:b/>
                <w:noProof/>
                <w:sz w:val="22"/>
              </w:rPr>
              <w:t>0</w:t>
            </w:r>
          </w:p>
        </w:tc>
        <w:tc>
          <w:tcPr>
            <w:tcW w:w="330" w:type="dxa"/>
            <w:tcBorders>
              <w:bottom w:val="single" w:sz="12" w:space="0" w:color="auto"/>
              <w:right w:val="dashSmallGap" w:sz="4" w:space="0" w:color="auto"/>
            </w:tcBorders>
          </w:tcPr>
          <w:p>
            <w:pPr>
              <w:ind w:right="-29"/>
              <w:jc w:val="center"/>
              <w:rPr>
                <w:b/>
                <w:noProof/>
                <w:sz w:val="22"/>
              </w:rPr>
            </w:pPr>
          </w:p>
        </w:tc>
        <w:tc>
          <w:tcPr>
            <w:tcW w:w="840" w:type="dxa"/>
            <w:tcBorders>
              <w:left w:val="dashSmallGap" w:sz="4" w:space="0" w:color="auto"/>
              <w:bottom w:val="single" w:sz="12" w:space="0" w:color="auto"/>
            </w:tcBorders>
          </w:tcPr>
          <w:p>
            <w:pPr>
              <w:ind w:right="-29"/>
              <w:jc w:val="center"/>
              <w:rPr>
                <w:b/>
                <w:noProof/>
                <w:sz w:val="22"/>
                <w:szCs w:val="18"/>
              </w:rPr>
            </w:pPr>
            <w:r>
              <w:rPr>
                <w:b/>
                <w:noProof/>
                <w:sz w:val="22"/>
              </w:rPr>
              <w:t>6,380</w:t>
            </w:r>
          </w:p>
        </w:tc>
        <w:tc>
          <w:tcPr>
            <w:tcW w:w="360" w:type="dxa"/>
            <w:tcBorders>
              <w:bottom w:val="single" w:sz="12" w:space="0" w:color="auto"/>
              <w:right w:val="dashSmallGap" w:sz="4" w:space="0" w:color="auto"/>
            </w:tcBorders>
          </w:tcPr>
          <w:p>
            <w:pPr>
              <w:ind w:right="-29"/>
              <w:jc w:val="center"/>
              <w:rPr>
                <w:b/>
                <w:noProof/>
                <w:sz w:val="22"/>
              </w:rPr>
            </w:pPr>
          </w:p>
        </w:tc>
        <w:tc>
          <w:tcPr>
            <w:tcW w:w="840" w:type="dxa"/>
            <w:tcBorders>
              <w:left w:val="dashSmallGap" w:sz="4" w:space="0" w:color="auto"/>
              <w:bottom w:val="single" w:sz="12" w:space="0" w:color="auto"/>
            </w:tcBorders>
          </w:tcPr>
          <w:p>
            <w:pPr>
              <w:ind w:right="-29"/>
              <w:jc w:val="center"/>
              <w:rPr>
                <w:b/>
                <w:noProof/>
                <w:sz w:val="22"/>
                <w:szCs w:val="18"/>
              </w:rPr>
            </w:pPr>
            <w:r>
              <w:rPr>
                <w:b/>
                <w:noProof/>
                <w:sz w:val="22"/>
              </w:rPr>
              <w:t>6,380</w:t>
            </w:r>
          </w:p>
        </w:tc>
        <w:tc>
          <w:tcPr>
            <w:tcW w:w="360" w:type="dxa"/>
            <w:tcBorders>
              <w:bottom w:val="single" w:sz="12" w:space="0" w:color="auto"/>
              <w:right w:val="dashSmallGap" w:sz="4" w:space="0" w:color="auto"/>
            </w:tcBorders>
          </w:tcPr>
          <w:p>
            <w:pPr>
              <w:ind w:right="-29"/>
              <w:jc w:val="center"/>
              <w:rPr>
                <w:b/>
                <w:noProof/>
                <w:sz w:val="22"/>
              </w:rPr>
            </w:pPr>
          </w:p>
        </w:tc>
        <w:tc>
          <w:tcPr>
            <w:tcW w:w="840" w:type="dxa"/>
            <w:tcBorders>
              <w:left w:val="dashSmallGap" w:sz="4" w:space="0" w:color="auto"/>
              <w:bottom w:val="single" w:sz="12" w:space="0" w:color="auto"/>
            </w:tcBorders>
          </w:tcPr>
          <w:p>
            <w:pPr>
              <w:ind w:right="-29"/>
              <w:jc w:val="center"/>
              <w:rPr>
                <w:b/>
                <w:noProof/>
                <w:sz w:val="22"/>
                <w:szCs w:val="18"/>
              </w:rPr>
            </w:pPr>
            <w:r>
              <w:rPr>
                <w:b/>
                <w:noProof/>
                <w:sz w:val="22"/>
              </w:rPr>
              <w:t>2,408</w:t>
            </w:r>
          </w:p>
        </w:tc>
        <w:tc>
          <w:tcPr>
            <w:tcW w:w="360" w:type="dxa"/>
            <w:tcBorders>
              <w:bottom w:val="single" w:sz="12" w:space="0" w:color="auto"/>
              <w:right w:val="dashSmallGap" w:sz="4" w:space="0" w:color="auto"/>
            </w:tcBorders>
          </w:tcPr>
          <w:p>
            <w:pPr>
              <w:ind w:right="-29"/>
              <w:jc w:val="center"/>
              <w:rPr>
                <w:b/>
                <w:noProof/>
                <w:sz w:val="22"/>
              </w:rPr>
            </w:pPr>
          </w:p>
        </w:tc>
        <w:tc>
          <w:tcPr>
            <w:tcW w:w="792" w:type="dxa"/>
            <w:tcBorders>
              <w:left w:val="dashSmallGap" w:sz="4" w:space="0" w:color="auto"/>
              <w:bottom w:val="single" w:sz="12" w:space="0" w:color="auto"/>
            </w:tcBorders>
          </w:tcPr>
          <w:p>
            <w:pPr>
              <w:ind w:right="-29"/>
              <w:rPr>
                <w:b/>
                <w:noProof/>
                <w:sz w:val="22"/>
              </w:rPr>
            </w:pPr>
            <w:r>
              <w:rPr>
                <w:b/>
                <w:noProof/>
                <w:sz w:val="22"/>
              </w:rPr>
              <w:t>2,408</w:t>
            </w:r>
          </w:p>
        </w:tc>
        <w:tc>
          <w:tcPr>
            <w:tcW w:w="360" w:type="dxa"/>
            <w:tcBorders>
              <w:bottom w:val="single" w:sz="12" w:space="0" w:color="auto"/>
              <w:right w:val="dashSmallGap" w:sz="4" w:space="0" w:color="auto"/>
            </w:tcBorders>
          </w:tcPr>
          <w:p>
            <w:pPr>
              <w:ind w:right="-29"/>
              <w:jc w:val="center"/>
              <w:rPr>
                <w:b/>
                <w:noProof/>
                <w:sz w:val="22"/>
              </w:rPr>
            </w:pPr>
          </w:p>
        </w:tc>
        <w:tc>
          <w:tcPr>
            <w:tcW w:w="720" w:type="dxa"/>
            <w:tcBorders>
              <w:left w:val="dashSmallGap" w:sz="4" w:space="0" w:color="auto"/>
              <w:bottom w:val="single" w:sz="12" w:space="0" w:color="auto"/>
            </w:tcBorders>
          </w:tcPr>
          <w:p>
            <w:pPr>
              <w:ind w:right="-29"/>
              <w:jc w:val="center"/>
              <w:rPr>
                <w:b/>
                <w:noProof/>
                <w:sz w:val="22"/>
              </w:rPr>
            </w:pPr>
            <w:r>
              <w:rPr>
                <w:b/>
                <w:noProof/>
                <w:sz w:val="22"/>
              </w:rPr>
              <w:t>2,408</w:t>
            </w:r>
          </w:p>
        </w:tc>
        <w:tc>
          <w:tcPr>
            <w:tcW w:w="360" w:type="dxa"/>
            <w:tcBorders>
              <w:bottom w:val="single" w:sz="12" w:space="0" w:color="auto"/>
              <w:right w:val="dashSmallGap" w:sz="4" w:space="0" w:color="auto"/>
            </w:tcBorders>
          </w:tcPr>
          <w:p>
            <w:pPr>
              <w:ind w:right="-29"/>
              <w:jc w:val="center"/>
              <w:rPr>
                <w:b/>
                <w:noProof/>
                <w:sz w:val="22"/>
              </w:rPr>
            </w:pPr>
          </w:p>
        </w:tc>
        <w:tc>
          <w:tcPr>
            <w:tcW w:w="840" w:type="dxa"/>
            <w:tcBorders>
              <w:left w:val="dashSmallGap" w:sz="4" w:space="0" w:color="auto"/>
              <w:bottom w:val="single" w:sz="12" w:space="0" w:color="auto"/>
            </w:tcBorders>
          </w:tcPr>
          <w:p>
            <w:pPr>
              <w:ind w:right="-29"/>
              <w:jc w:val="center"/>
              <w:rPr>
                <w:b/>
                <w:noProof/>
                <w:sz w:val="22"/>
              </w:rPr>
            </w:pPr>
            <w:r>
              <w:rPr>
                <w:b/>
                <w:noProof/>
                <w:sz w:val="22"/>
              </w:rPr>
              <w:t>7,758</w:t>
            </w:r>
          </w:p>
        </w:tc>
        <w:tc>
          <w:tcPr>
            <w:tcW w:w="360" w:type="dxa"/>
            <w:tcBorders>
              <w:bottom w:val="single" w:sz="12" w:space="0" w:color="auto"/>
              <w:right w:val="dashSmallGap" w:sz="4" w:space="0" w:color="auto"/>
            </w:tcBorders>
          </w:tcPr>
          <w:p>
            <w:pPr>
              <w:ind w:right="-29"/>
              <w:jc w:val="center"/>
              <w:rPr>
                <w:b/>
                <w:noProof/>
                <w:sz w:val="22"/>
              </w:rPr>
            </w:pPr>
          </w:p>
        </w:tc>
        <w:tc>
          <w:tcPr>
            <w:tcW w:w="840" w:type="dxa"/>
            <w:tcBorders>
              <w:left w:val="dashSmallGap" w:sz="4" w:space="0" w:color="auto"/>
              <w:bottom w:val="single" w:sz="12" w:space="0" w:color="auto"/>
            </w:tcBorders>
          </w:tcPr>
          <w:p>
            <w:pPr>
              <w:ind w:right="-29"/>
              <w:jc w:val="center"/>
              <w:rPr>
                <w:b/>
                <w:noProof/>
                <w:sz w:val="22"/>
              </w:rPr>
            </w:pPr>
            <w:r>
              <w:rPr>
                <w:b/>
                <w:noProof/>
                <w:sz w:val="22"/>
              </w:rPr>
              <w:t>7,758</w:t>
            </w:r>
          </w:p>
        </w:tc>
        <w:tc>
          <w:tcPr>
            <w:tcW w:w="360" w:type="dxa"/>
            <w:tcBorders>
              <w:bottom w:val="single" w:sz="12" w:space="0" w:color="auto"/>
              <w:right w:val="dashSmallGap" w:sz="4" w:space="0" w:color="auto"/>
            </w:tcBorders>
          </w:tcPr>
          <w:p>
            <w:pPr>
              <w:ind w:right="-29"/>
              <w:jc w:val="center"/>
              <w:rPr>
                <w:b/>
                <w:noProof/>
                <w:sz w:val="22"/>
              </w:rPr>
            </w:pPr>
          </w:p>
        </w:tc>
        <w:tc>
          <w:tcPr>
            <w:tcW w:w="840" w:type="dxa"/>
            <w:tcBorders>
              <w:left w:val="dashSmallGap" w:sz="4" w:space="0" w:color="auto"/>
              <w:bottom w:val="single" w:sz="12" w:space="0" w:color="auto"/>
            </w:tcBorders>
          </w:tcPr>
          <w:p>
            <w:pPr>
              <w:ind w:right="-29"/>
              <w:jc w:val="center"/>
              <w:rPr>
                <w:b/>
                <w:noProof/>
                <w:sz w:val="22"/>
              </w:rPr>
            </w:pPr>
            <w:r>
              <w:rPr>
                <w:b/>
                <w:noProof/>
                <w:sz w:val="22"/>
              </w:rPr>
              <w:t>2,408</w:t>
            </w:r>
          </w:p>
        </w:tc>
        <w:tc>
          <w:tcPr>
            <w:tcW w:w="759" w:type="dxa"/>
            <w:tcBorders>
              <w:bottom w:val="single" w:sz="12" w:space="0" w:color="auto"/>
              <w:right w:val="dashSmallGap" w:sz="4" w:space="0" w:color="auto"/>
            </w:tcBorders>
          </w:tcPr>
          <w:p>
            <w:pPr>
              <w:ind w:right="-29"/>
              <w:jc w:val="center"/>
              <w:rPr>
                <w:b/>
                <w:noProof/>
                <w:sz w:val="22"/>
              </w:rPr>
            </w:pPr>
          </w:p>
        </w:tc>
        <w:tc>
          <w:tcPr>
            <w:tcW w:w="921" w:type="dxa"/>
            <w:tcBorders>
              <w:left w:val="dashSmallGap" w:sz="4" w:space="0" w:color="auto"/>
              <w:bottom w:val="single" w:sz="12" w:space="0" w:color="auto"/>
              <w:right w:val="single" w:sz="12" w:space="0" w:color="auto"/>
            </w:tcBorders>
          </w:tcPr>
          <w:p>
            <w:pPr>
              <w:jc w:val="center"/>
              <w:rPr>
                <w:b/>
                <w:noProof/>
                <w:sz w:val="22"/>
                <w:szCs w:val="18"/>
              </w:rPr>
            </w:pPr>
            <w:r>
              <w:rPr>
                <w:b/>
                <w:noProof/>
                <w:sz w:val="22"/>
              </w:rPr>
              <w:t>37,908</w:t>
            </w:r>
          </w:p>
        </w:tc>
      </w:tr>
    </w:tbl>
    <w:p>
      <w:pPr>
        <w:keepNext/>
        <w:rPr>
          <w:noProof/>
        </w:rPr>
      </w:pPr>
      <w:r>
        <w:rPr>
          <w:noProof/>
        </w:rPr>
        <w:t>Ti odhodki bodo krili potrebe po okrepitvi Europolovih informacijskih sistemov in infrastrukture za upoštevanje povečanja števila poizvedb. Ti stroški vključujejo:</w:t>
      </w:r>
    </w:p>
    <w:p>
      <w:pPr>
        <w:spacing w:before="0" w:after="0"/>
        <w:jc w:val="left"/>
        <w:rPr>
          <w:noProof/>
        </w:rPr>
      </w:pPr>
      <w:r>
        <w:rPr>
          <w:noProof/>
        </w:rPr>
        <w:t xml:space="preserve">– nadgradnjo varnostne in omrežne infrastrukture, strojne opreme (strežniki, naprave za shranjevanje) in programske opreme (licence). To nadgradnjo je treba dokončati, preden bosta evropski iskalni portal in sistem ETIAS pripravljena za začetek delovanja v letu 2021, stroški pa so enakomerno porazdeljeni med leti 2020 in 2021. Od leta 2022 se za osnovo izračuna stroškov vzdrževanja uporablja 20-odstotna letna stopnja za vzdrževanje. Poleg tega se je upošteval standardni petletni cikel za nadomestitev zastarele strojne opreme in infrastrukture; </w:t>
      </w:r>
    </w:p>
    <w:p>
      <w:pPr>
        <w:spacing w:before="0" w:after="0"/>
        <w:jc w:val="left"/>
        <w:rPr>
          <w:noProof/>
        </w:rPr>
      </w:pPr>
      <w:r>
        <w:rPr>
          <w:noProof/>
        </w:rPr>
        <w:t xml:space="preserve">– stroške izvajalca za razvojno delo pri izvedbi vmesnika QUEST na osnovni stopnji zaščite. </w:t>
      </w:r>
      <w:r>
        <w:rPr>
          <w:noProof/>
        </w:rPr>
        <w:br w:type="page"/>
      </w:r>
    </w:p>
    <w:p>
      <w:pPr>
        <w:rPr>
          <w:noProof/>
        </w:rPr>
      </w:pPr>
    </w:p>
    <w:p>
      <w:pPr>
        <w:pStyle w:val="ManualHeading4"/>
        <w:rPr>
          <w:noProof/>
        </w:rPr>
      </w:pPr>
      <w:r>
        <w:t>3.2.2.3.</w:t>
      </w:r>
      <w:r>
        <w:tab/>
      </w:r>
      <w:r>
        <w:rPr>
          <w:noProof/>
        </w:rPr>
        <w:t>Ocenjene posledice za odobritve za CEPOL</w:t>
      </w:r>
    </w:p>
    <w:p>
      <w:pPr>
        <w:pStyle w:val="ListDash1"/>
        <w:rPr>
          <w:noProof/>
        </w:rPr>
      </w:pPr>
      <w:r>
        <w:rPr>
          <w:noProof/>
        </w:rPr>
        <w:sym w:font="Wingdings" w:char="F0A8"/>
      </w:r>
      <w:r>
        <w:rPr>
          <w:noProof/>
        </w:rPr>
        <w:tab/>
        <w:t xml:space="preserve">Za predlog/pobudo niso potrebne odobritve za poslovanje. </w:t>
      </w:r>
    </w:p>
    <w:p>
      <w:pPr>
        <w:pStyle w:val="ListDash1"/>
        <w:rPr>
          <w:noProof/>
        </w:rPr>
      </w:pPr>
      <w:r>
        <w:rPr>
          <w:noProof/>
        </w:rPr>
        <w:sym w:font="Wingdings" w:char="F078"/>
      </w:r>
      <w:r>
        <w:rPr>
          <w:noProof/>
        </w:rPr>
        <w:tab/>
        <w:t>Za predlog/pobudo so potrebne odobritve za poslovanje, kot je pojasnjeno v nadaljevanju:</w:t>
      </w:r>
    </w:p>
    <w:p>
      <w:pPr>
        <w:jc w:val="left"/>
        <w:rPr>
          <w:noProof/>
          <w:sz w:val="20"/>
        </w:rPr>
      </w:pPr>
      <w:r>
        <w:rPr>
          <w:noProof/>
          <w:sz w:val="20"/>
        </w:rPr>
        <w:t>odobritve za prevzem obveznosti v mio. EUR (na tri decimalna mesta natančno)</w:t>
      </w:r>
    </w:p>
    <w:p>
      <w:pPr>
        <w:jc w:val="left"/>
        <w:rPr>
          <w:noProof/>
          <w:sz w:val="20"/>
        </w:rPr>
      </w:pPr>
    </w:p>
    <w:tbl>
      <w:tblPr>
        <w:tblW w:w="14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2"/>
        <w:gridCol w:w="721"/>
        <w:gridCol w:w="659"/>
        <w:gridCol w:w="303"/>
        <w:gridCol w:w="867"/>
        <w:gridCol w:w="330"/>
        <w:gridCol w:w="840"/>
        <w:gridCol w:w="360"/>
        <w:gridCol w:w="840"/>
        <w:gridCol w:w="360"/>
        <w:gridCol w:w="840"/>
        <w:gridCol w:w="360"/>
        <w:gridCol w:w="672"/>
        <w:gridCol w:w="360"/>
        <w:gridCol w:w="720"/>
        <w:gridCol w:w="360"/>
        <w:gridCol w:w="840"/>
        <w:gridCol w:w="360"/>
        <w:gridCol w:w="840"/>
        <w:gridCol w:w="360"/>
        <w:gridCol w:w="840"/>
        <w:gridCol w:w="678"/>
        <w:gridCol w:w="1002"/>
      </w:tblGrid>
      <w:tr>
        <w:trPr>
          <w:jc w:val="center"/>
        </w:trPr>
        <w:tc>
          <w:tcPr>
            <w:tcW w:w="1422" w:type="dxa"/>
            <w:vMerge w:val="restart"/>
            <w:tcBorders>
              <w:top w:val="single" w:sz="12" w:space="0" w:color="auto"/>
              <w:left w:val="single" w:sz="12" w:space="0" w:color="auto"/>
            </w:tcBorders>
            <w:vAlign w:val="center"/>
          </w:tcPr>
          <w:p>
            <w:pPr>
              <w:ind w:right="-29"/>
              <w:jc w:val="center"/>
              <w:rPr>
                <w:b/>
                <w:noProof/>
                <w:sz w:val="18"/>
                <w:szCs w:val="18"/>
              </w:rPr>
            </w:pPr>
            <w:r>
              <w:rPr>
                <w:b/>
                <w:noProof/>
                <w:sz w:val="18"/>
              </w:rPr>
              <w:t xml:space="preserve">Cilji in realizacije </w:t>
            </w:r>
          </w:p>
          <w:p>
            <w:pPr>
              <w:ind w:right="-29"/>
              <w:jc w:val="center"/>
              <w:rPr>
                <w:b/>
                <w:noProof/>
                <w:sz w:val="18"/>
                <w:szCs w:val="18"/>
              </w:rPr>
            </w:pPr>
            <w:r>
              <w:rPr>
                <w:b/>
                <w:noProof/>
                <w:sz w:val="18"/>
              </w:rPr>
              <w:t>CEPOL</w:t>
            </w:r>
          </w:p>
          <w:p>
            <w:pPr>
              <w:ind w:right="-29"/>
              <w:jc w:val="center"/>
              <w:rPr>
                <w:noProof/>
                <w:sz w:val="18"/>
                <w:szCs w:val="18"/>
              </w:rPr>
            </w:pPr>
            <w:r>
              <w:rPr>
                <w:noProof/>
                <w:sz w:val="18"/>
              </w:rPr>
              <w:sym w:font="Wingdings" w:char="F0F2"/>
            </w:r>
          </w:p>
        </w:tc>
        <w:tc>
          <w:tcPr>
            <w:tcW w:w="721" w:type="dxa"/>
            <w:tcBorders>
              <w:top w:val="single" w:sz="12" w:space="0" w:color="auto"/>
            </w:tcBorders>
            <w:vAlign w:val="center"/>
          </w:tcPr>
          <w:p>
            <w:pPr>
              <w:ind w:right="-29"/>
              <w:jc w:val="center"/>
              <w:rPr>
                <w:noProof/>
                <w:sz w:val="18"/>
                <w:szCs w:val="18"/>
              </w:rPr>
            </w:pPr>
          </w:p>
        </w:tc>
        <w:tc>
          <w:tcPr>
            <w:tcW w:w="659" w:type="dxa"/>
            <w:tcBorders>
              <w:top w:val="single" w:sz="12" w:space="0" w:color="auto"/>
            </w:tcBorders>
            <w:vAlign w:val="center"/>
          </w:tcPr>
          <w:p>
            <w:pPr>
              <w:ind w:right="-29"/>
              <w:jc w:val="center"/>
              <w:rPr>
                <w:noProof/>
                <w:sz w:val="18"/>
                <w:szCs w:val="18"/>
              </w:rPr>
            </w:pPr>
          </w:p>
        </w:tc>
        <w:tc>
          <w:tcPr>
            <w:tcW w:w="1170" w:type="dxa"/>
            <w:gridSpan w:val="2"/>
            <w:tcBorders>
              <w:top w:val="single" w:sz="12" w:space="0" w:color="auto"/>
              <w:right w:val="single" w:sz="4" w:space="0" w:color="auto"/>
            </w:tcBorders>
            <w:vAlign w:val="center"/>
          </w:tcPr>
          <w:p>
            <w:pPr>
              <w:ind w:right="-29"/>
              <w:jc w:val="center"/>
              <w:rPr>
                <w:noProof/>
                <w:sz w:val="18"/>
                <w:szCs w:val="18"/>
              </w:rPr>
            </w:pPr>
            <w:r>
              <w:rPr>
                <w:noProof/>
                <w:sz w:val="18"/>
              </w:rPr>
              <w:t>Leto</w:t>
            </w:r>
            <w:r>
              <w:rPr>
                <w:noProof/>
                <w:sz w:val="22"/>
              </w:rPr>
              <w:br/>
            </w:r>
            <w:r>
              <w:rPr>
                <w:b/>
                <w:noProof/>
                <w:sz w:val="18"/>
              </w:rPr>
              <w:t>2019</w:t>
            </w:r>
          </w:p>
        </w:tc>
        <w:tc>
          <w:tcPr>
            <w:tcW w:w="1170" w:type="dxa"/>
            <w:gridSpan w:val="2"/>
            <w:tcBorders>
              <w:top w:val="single" w:sz="12" w:space="0" w:color="auto"/>
              <w:left w:val="single" w:sz="4" w:space="0" w:color="auto"/>
            </w:tcBorders>
            <w:vAlign w:val="center"/>
          </w:tcPr>
          <w:p>
            <w:pPr>
              <w:ind w:right="-29"/>
              <w:jc w:val="center"/>
              <w:rPr>
                <w:noProof/>
                <w:sz w:val="18"/>
                <w:szCs w:val="18"/>
              </w:rPr>
            </w:pPr>
            <w:r>
              <w:rPr>
                <w:noProof/>
                <w:sz w:val="18"/>
              </w:rPr>
              <w:t>Leto</w:t>
            </w:r>
            <w:r>
              <w:rPr>
                <w:noProof/>
                <w:sz w:val="22"/>
              </w:rPr>
              <w:br/>
            </w:r>
            <w:r>
              <w:rPr>
                <w:b/>
                <w:noProof/>
                <w:sz w:val="18"/>
              </w:rPr>
              <w:t>2020</w:t>
            </w:r>
          </w:p>
        </w:tc>
        <w:tc>
          <w:tcPr>
            <w:tcW w:w="1200" w:type="dxa"/>
            <w:gridSpan w:val="2"/>
            <w:tcBorders>
              <w:top w:val="single" w:sz="12" w:space="0" w:color="auto"/>
            </w:tcBorders>
            <w:vAlign w:val="center"/>
          </w:tcPr>
          <w:p>
            <w:pPr>
              <w:ind w:right="-29"/>
              <w:jc w:val="center"/>
              <w:rPr>
                <w:noProof/>
                <w:sz w:val="18"/>
                <w:szCs w:val="18"/>
              </w:rPr>
            </w:pPr>
            <w:r>
              <w:rPr>
                <w:noProof/>
                <w:sz w:val="18"/>
              </w:rPr>
              <w:t>Leto</w:t>
            </w:r>
            <w:r>
              <w:rPr>
                <w:noProof/>
                <w:sz w:val="22"/>
              </w:rPr>
              <w:br/>
            </w:r>
            <w:r>
              <w:rPr>
                <w:b/>
                <w:noProof/>
                <w:sz w:val="18"/>
              </w:rPr>
              <w:t>2021</w:t>
            </w:r>
          </w:p>
        </w:tc>
        <w:tc>
          <w:tcPr>
            <w:tcW w:w="1200" w:type="dxa"/>
            <w:gridSpan w:val="2"/>
            <w:tcBorders>
              <w:top w:val="single" w:sz="12" w:space="0" w:color="auto"/>
            </w:tcBorders>
            <w:vAlign w:val="center"/>
          </w:tcPr>
          <w:p>
            <w:pPr>
              <w:ind w:right="-29"/>
              <w:jc w:val="center"/>
              <w:rPr>
                <w:noProof/>
                <w:sz w:val="18"/>
                <w:szCs w:val="18"/>
              </w:rPr>
            </w:pPr>
            <w:r>
              <w:rPr>
                <w:noProof/>
                <w:sz w:val="18"/>
              </w:rPr>
              <w:t>Leto</w:t>
            </w:r>
            <w:r>
              <w:rPr>
                <w:noProof/>
                <w:sz w:val="22"/>
              </w:rPr>
              <w:br/>
            </w:r>
            <w:r>
              <w:rPr>
                <w:b/>
                <w:noProof/>
                <w:sz w:val="18"/>
              </w:rPr>
              <w:t>2022</w:t>
            </w:r>
          </w:p>
        </w:tc>
        <w:tc>
          <w:tcPr>
            <w:tcW w:w="1032" w:type="dxa"/>
            <w:gridSpan w:val="2"/>
            <w:tcBorders>
              <w:top w:val="single" w:sz="12" w:space="0" w:color="auto"/>
            </w:tcBorders>
            <w:vAlign w:val="center"/>
          </w:tcPr>
          <w:p>
            <w:pPr>
              <w:jc w:val="center"/>
              <w:rPr>
                <w:noProof/>
                <w:sz w:val="18"/>
                <w:szCs w:val="18"/>
              </w:rPr>
            </w:pPr>
            <w:r>
              <w:rPr>
                <w:noProof/>
                <w:sz w:val="18"/>
              </w:rPr>
              <w:t>Leto</w:t>
            </w:r>
            <w:r>
              <w:rPr>
                <w:noProof/>
                <w:sz w:val="22"/>
              </w:rPr>
              <w:br/>
            </w:r>
            <w:r>
              <w:rPr>
                <w:b/>
                <w:noProof/>
                <w:sz w:val="18"/>
              </w:rPr>
              <w:t>2023</w:t>
            </w:r>
          </w:p>
        </w:tc>
        <w:tc>
          <w:tcPr>
            <w:tcW w:w="1080" w:type="dxa"/>
            <w:gridSpan w:val="2"/>
            <w:tcBorders>
              <w:top w:val="single" w:sz="12" w:space="0" w:color="auto"/>
            </w:tcBorders>
            <w:vAlign w:val="center"/>
          </w:tcPr>
          <w:p>
            <w:pPr>
              <w:jc w:val="center"/>
              <w:rPr>
                <w:noProof/>
                <w:sz w:val="18"/>
                <w:szCs w:val="18"/>
              </w:rPr>
            </w:pPr>
            <w:r>
              <w:rPr>
                <w:noProof/>
                <w:sz w:val="18"/>
              </w:rPr>
              <w:t>Leto</w:t>
            </w:r>
            <w:r>
              <w:rPr>
                <w:noProof/>
                <w:sz w:val="22"/>
              </w:rPr>
              <w:br/>
            </w:r>
            <w:r>
              <w:rPr>
                <w:b/>
                <w:noProof/>
                <w:sz w:val="18"/>
              </w:rPr>
              <w:t>2024</w:t>
            </w:r>
          </w:p>
        </w:tc>
        <w:tc>
          <w:tcPr>
            <w:tcW w:w="1200" w:type="dxa"/>
            <w:gridSpan w:val="2"/>
            <w:tcBorders>
              <w:top w:val="single" w:sz="12" w:space="0" w:color="auto"/>
            </w:tcBorders>
            <w:vAlign w:val="center"/>
          </w:tcPr>
          <w:p>
            <w:pPr>
              <w:jc w:val="center"/>
              <w:rPr>
                <w:noProof/>
                <w:sz w:val="18"/>
                <w:szCs w:val="18"/>
              </w:rPr>
            </w:pPr>
            <w:r>
              <w:rPr>
                <w:noProof/>
                <w:sz w:val="18"/>
              </w:rPr>
              <w:t>Leto</w:t>
            </w:r>
            <w:r>
              <w:rPr>
                <w:noProof/>
                <w:sz w:val="22"/>
              </w:rPr>
              <w:br/>
            </w:r>
            <w:r>
              <w:rPr>
                <w:b/>
                <w:noProof/>
                <w:sz w:val="18"/>
              </w:rPr>
              <w:t>2025</w:t>
            </w:r>
          </w:p>
        </w:tc>
        <w:tc>
          <w:tcPr>
            <w:tcW w:w="1200" w:type="dxa"/>
            <w:gridSpan w:val="2"/>
            <w:tcBorders>
              <w:top w:val="single" w:sz="12" w:space="0" w:color="auto"/>
            </w:tcBorders>
          </w:tcPr>
          <w:p>
            <w:pPr>
              <w:ind w:right="-29"/>
              <w:jc w:val="center"/>
              <w:rPr>
                <w:b/>
                <w:noProof/>
                <w:sz w:val="18"/>
              </w:rPr>
            </w:pPr>
            <w:r>
              <w:rPr>
                <w:noProof/>
                <w:sz w:val="18"/>
              </w:rPr>
              <w:t>Leto</w:t>
            </w:r>
            <w:r>
              <w:rPr>
                <w:noProof/>
                <w:sz w:val="22"/>
              </w:rPr>
              <w:br/>
            </w:r>
            <w:r>
              <w:rPr>
                <w:b/>
                <w:noProof/>
                <w:sz w:val="18"/>
              </w:rPr>
              <w:t>2026</w:t>
            </w:r>
          </w:p>
        </w:tc>
        <w:tc>
          <w:tcPr>
            <w:tcW w:w="1200" w:type="dxa"/>
            <w:gridSpan w:val="2"/>
            <w:tcBorders>
              <w:top w:val="single" w:sz="12" w:space="0" w:color="auto"/>
              <w:right w:val="nil"/>
            </w:tcBorders>
          </w:tcPr>
          <w:p>
            <w:pPr>
              <w:ind w:right="-29"/>
              <w:jc w:val="center"/>
              <w:rPr>
                <w:b/>
                <w:noProof/>
                <w:sz w:val="18"/>
              </w:rPr>
            </w:pPr>
            <w:r>
              <w:rPr>
                <w:noProof/>
                <w:sz w:val="18"/>
              </w:rPr>
              <w:t>Leto</w:t>
            </w:r>
            <w:r>
              <w:rPr>
                <w:noProof/>
                <w:sz w:val="22"/>
              </w:rPr>
              <w:br/>
            </w:r>
            <w:r>
              <w:rPr>
                <w:b/>
                <w:noProof/>
                <w:sz w:val="18"/>
              </w:rPr>
              <w:t>2027</w:t>
            </w:r>
          </w:p>
        </w:tc>
        <w:tc>
          <w:tcPr>
            <w:tcW w:w="1680" w:type="dxa"/>
            <w:gridSpan w:val="2"/>
            <w:tcBorders>
              <w:top w:val="single" w:sz="12" w:space="0" w:color="auto"/>
              <w:left w:val="single" w:sz="6" w:space="0" w:color="auto"/>
              <w:bottom w:val="single" w:sz="4" w:space="0" w:color="auto"/>
              <w:right w:val="single" w:sz="12" w:space="0" w:color="auto"/>
            </w:tcBorders>
            <w:vAlign w:val="center"/>
          </w:tcPr>
          <w:p>
            <w:pPr>
              <w:ind w:right="-29"/>
              <w:jc w:val="center"/>
              <w:rPr>
                <w:noProof/>
                <w:sz w:val="18"/>
                <w:szCs w:val="18"/>
              </w:rPr>
            </w:pPr>
            <w:r>
              <w:rPr>
                <w:b/>
                <w:noProof/>
                <w:sz w:val="18"/>
              </w:rPr>
              <w:t>SKUPAJ</w:t>
            </w:r>
          </w:p>
        </w:tc>
      </w:tr>
      <w:tr>
        <w:trPr>
          <w:gridAfter w:val="22"/>
          <w:wAfter w:w="13512" w:type="dxa"/>
          <w:trHeight w:val="465"/>
          <w:jc w:val="center"/>
        </w:trPr>
        <w:tc>
          <w:tcPr>
            <w:tcW w:w="1422" w:type="dxa"/>
            <w:vMerge/>
            <w:tcBorders>
              <w:left w:val="single" w:sz="12" w:space="0" w:color="auto"/>
            </w:tcBorders>
            <w:vAlign w:val="center"/>
          </w:tcPr>
          <w:p>
            <w:pPr>
              <w:ind w:right="-29"/>
              <w:jc w:val="center"/>
              <w:rPr>
                <w:noProof/>
                <w:sz w:val="18"/>
                <w:szCs w:val="18"/>
              </w:rPr>
            </w:pPr>
          </w:p>
        </w:tc>
      </w:tr>
      <w:tr>
        <w:trPr>
          <w:cantSplit/>
          <w:trHeight w:val="1134"/>
          <w:jc w:val="center"/>
        </w:trPr>
        <w:tc>
          <w:tcPr>
            <w:tcW w:w="1422" w:type="dxa"/>
            <w:vMerge/>
            <w:tcBorders>
              <w:left w:val="single" w:sz="12" w:space="0" w:color="auto"/>
            </w:tcBorders>
            <w:vAlign w:val="center"/>
          </w:tcPr>
          <w:p>
            <w:pPr>
              <w:rPr>
                <w:noProof/>
                <w:sz w:val="18"/>
                <w:szCs w:val="18"/>
              </w:rPr>
            </w:pPr>
          </w:p>
        </w:tc>
        <w:tc>
          <w:tcPr>
            <w:tcW w:w="721" w:type="dxa"/>
            <w:vAlign w:val="center"/>
          </w:tcPr>
          <w:p>
            <w:pPr>
              <w:jc w:val="center"/>
              <w:rPr>
                <w:noProof/>
                <w:sz w:val="18"/>
                <w:szCs w:val="18"/>
              </w:rPr>
            </w:pPr>
            <w:r>
              <w:rPr>
                <w:noProof/>
                <w:sz w:val="18"/>
              </w:rPr>
              <w:t>vrsta</w:t>
            </w:r>
            <w:r>
              <w:rPr>
                <w:rStyle w:val="FootnoteReference"/>
                <w:noProof/>
              </w:rPr>
              <w:footnoteReference w:id="93"/>
            </w:r>
          </w:p>
          <w:p>
            <w:pPr>
              <w:spacing w:before="0" w:after="0"/>
              <w:jc w:val="center"/>
              <w:rPr>
                <w:noProof/>
                <w:sz w:val="18"/>
                <w:szCs w:val="18"/>
              </w:rPr>
            </w:pPr>
          </w:p>
        </w:tc>
        <w:tc>
          <w:tcPr>
            <w:tcW w:w="659" w:type="dxa"/>
            <w:tcBorders>
              <w:right w:val="single" w:sz="4" w:space="0" w:color="auto"/>
            </w:tcBorders>
            <w:vAlign w:val="center"/>
          </w:tcPr>
          <w:p>
            <w:pPr>
              <w:jc w:val="center"/>
              <w:rPr>
                <w:noProof/>
                <w:sz w:val="18"/>
                <w:szCs w:val="18"/>
              </w:rPr>
            </w:pPr>
            <w:r>
              <w:rPr>
                <w:noProof/>
                <w:sz w:val="18"/>
              </w:rPr>
              <w:t>povprečni stroški</w:t>
            </w:r>
          </w:p>
        </w:tc>
        <w:tc>
          <w:tcPr>
            <w:tcW w:w="303" w:type="dxa"/>
            <w:tcBorders>
              <w:top w:val="dotted" w:sz="4" w:space="0" w:color="auto"/>
              <w:left w:val="single" w:sz="4" w:space="0" w:color="auto"/>
              <w:bottom w:val="dotted" w:sz="4" w:space="0" w:color="auto"/>
              <w:right w:val="nil"/>
            </w:tcBorders>
            <w:shd w:val="pct10" w:color="auto" w:fill="auto"/>
            <w:textDirection w:val="btLr"/>
            <w:vAlign w:val="center"/>
          </w:tcPr>
          <w:p>
            <w:pPr>
              <w:ind w:left="113" w:right="113"/>
              <w:jc w:val="center"/>
              <w:rPr>
                <w:noProof/>
                <w:sz w:val="18"/>
              </w:rPr>
            </w:pPr>
            <w:r>
              <w:rPr>
                <w:noProof/>
                <w:sz w:val="18"/>
              </w:rPr>
              <w:t>število</w:t>
            </w:r>
          </w:p>
        </w:tc>
        <w:tc>
          <w:tcPr>
            <w:tcW w:w="867" w:type="dxa"/>
            <w:tcBorders>
              <w:left w:val="nil"/>
              <w:right w:val="single" w:sz="4" w:space="0" w:color="auto"/>
            </w:tcBorders>
            <w:shd w:val="pct10" w:color="auto" w:fill="auto"/>
            <w:vAlign w:val="center"/>
          </w:tcPr>
          <w:p>
            <w:pPr>
              <w:jc w:val="center"/>
              <w:rPr>
                <w:noProof/>
                <w:sz w:val="18"/>
              </w:rPr>
            </w:pPr>
            <w:r>
              <w:rPr>
                <w:noProof/>
                <w:sz w:val="18"/>
              </w:rPr>
              <w:t>stroški</w:t>
            </w:r>
          </w:p>
        </w:tc>
        <w:tc>
          <w:tcPr>
            <w:tcW w:w="330" w:type="dxa"/>
            <w:tcBorders>
              <w:left w:val="single" w:sz="4" w:space="0" w:color="auto"/>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840"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840"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840"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672"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720"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840"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840"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ind w:left="113" w:right="113"/>
              <w:jc w:val="center"/>
              <w:rPr>
                <w:noProof/>
                <w:sz w:val="18"/>
              </w:rPr>
            </w:pPr>
            <w:r>
              <w:rPr>
                <w:noProof/>
                <w:sz w:val="18"/>
              </w:rPr>
              <w:t>število</w:t>
            </w:r>
          </w:p>
        </w:tc>
        <w:tc>
          <w:tcPr>
            <w:tcW w:w="840" w:type="dxa"/>
            <w:tcBorders>
              <w:left w:val="dashSmallGap" w:sz="4" w:space="0" w:color="auto"/>
            </w:tcBorders>
            <w:shd w:val="pct10" w:color="auto" w:fill="auto"/>
            <w:vAlign w:val="center"/>
          </w:tcPr>
          <w:p>
            <w:pPr>
              <w:jc w:val="center"/>
              <w:rPr>
                <w:noProof/>
                <w:sz w:val="18"/>
              </w:rPr>
            </w:pPr>
            <w:r>
              <w:rPr>
                <w:noProof/>
                <w:sz w:val="18"/>
              </w:rPr>
              <w:t>stroški</w:t>
            </w:r>
          </w:p>
        </w:tc>
        <w:tc>
          <w:tcPr>
            <w:tcW w:w="678"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 realizacij skupaj</w:t>
            </w:r>
          </w:p>
        </w:tc>
        <w:tc>
          <w:tcPr>
            <w:tcW w:w="1002" w:type="dxa"/>
            <w:tcBorders>
              <w:left w:val="dashSmallGap" w:sz="4" w:space="0" w:color="auto"/>
              <w:right w:val="single" w:sz="12" w:space="0" w:color="auto"/>
            </w:tcBorders>
            <w:shd w:val="pct10" w:color="auto" w:fill="auto"/>
            <w:vAlign w:val="center"/>
          </w:tcPr>
          <w:p>
            <w:pPr>
              <w:jc w:val="center"/>
              <w:rPr>
                <w:noProof/>
                <w:sz w:val="18"/>
                <w:szCs w:val="18"/>
              </w:rPr>
            </w:pPr>
            <w:r>
              <w:rPr>
                <w:noProof/>
                <w:sz w:val="18"/>
              </w:rPr>
              <w:t>stroški realizacij skupaj</w:t>
            </w:r>
          </w:p>
        </w:tc>
      </w:tr>
      <w:tr>
        <w:trPr>
          <w:jc w:val="center"/>
        </w:trPr>
        <w:tc>
          <w:tcPr>
            <w:tcW w:w="2802" w:type="dxa"/>
            <w:gridSpan w:val="3"/>
            <w:tcBorders>
              <w:left w:val="single" w:sz="12" w:space="0" w:color="auto"/>
            </w:tcBorders>
            <w:vAlign w:val="center"/>
          </w:tcPr>
          <w:p>
            <w:pPr>
              <w:spacing w:before="60" w:after="60"/>
              <w:ind w:right="-29"/>
              <w:jc w:val="center"/>
              <w:rPr>
                <w:noProof/>
                <w:sz w:val="18"/>
              </w:rPr>
            </w:pPr>
            <w:r>
              <w:rPr>
                <w:noProof/>
                <w:sz w:val="18"/>
              </w:rPr>
              <w:t>SPECIFIČNI CILJ št. 1</w:t>
            </w:r>
            <w:r>
              <w:rPr>
                <w:rStyle w:val="FootnoteReference"/>
                <w:noProof/>
              </w:rPr>
              <w:footnoteReference w:id="94"/>
            </w:r>
          </w:p>
          <w:p>
            <w:pPr>
              <w:spacing w:before="60" w:after="60"/>
              <w:ind w:right="-29"/>
              <w:jc w:val="center"/>
              <w:rPr>
                <w:noProof/>
                <w:sz w:val="18"/>
                <w:szCs w:val="18"/>
              </w:rPr>
            </w:pPr>
            <w:r>
              <w:rPr>
                <w:noProof/>
                <w:sz w:val="18"/>
              </w:rPr>
              <w:t>Priprava in izvedba tečajev usposabljanja</w:t>
            </w:r>
          </w:p>
        </w:tc>
        <w:tc>
          <w:tcPr>
            <w:tcW w:w="303" w:type="dxa"/>
            <w:tcBorders>
              <w:right w:val="nil"/>
            </w:tcBorders>
          </w:tcPr>
          <w:p>
            <w:pPr>
              <w:spacing w:before="60" w:after="60"/>
              <w:ind w:right="-29"/>
              <w:jc w:val="center"/>
              <w:rPr>
                <w:noProof/>
                <w:sz w:val="18"/>
                <w:szCs w:val="18"/>
              </w:rPr>
            </w:pPr>
          </w:p>
        </w:tc>
        <w:tc>
          <w:tcPr>
            <w:tcW w:w="867" w:type="dxa"/>
            <w:tcBorders>
              <w:left w:val="nil"/>
              <w:bottom w:val="single" w:sz="4" w:space="0" w:color="auto"/>
            </w:tcBorders>
          </w:tcPr>
          <w:p>
            <w:pPr>
              <w:spacing w:before="60" w:after="60"/>
              <w:ind w:right="-29"/>
              <w:jc w:val="center"/>
              <w:rPr>
                <w:noProof/>
                <w:sz w:val="18"/>
                <w:szCs w:val="18"/>
              </w:rPr>
            </w:pPr>
          </w:p>
        </w:tc>
        <w:tc>
          <w:tcPr>
            <w:tcW w:w="330" w:type="dxa"/>
            <w:tcBorders>
              <w:top w:val="nil"/>
              <w:left w:val="nil"/>
              <w:bottom w:val="nil"/>
              <w:right w:val="nil"/>
            </w:tcBorders>
          </w:tcPr>
          <w:p>
            <w:pPr>
              <w:spacing w:before="60" w:after="60"/>
              <w:ind w:right="-29"/>
              <w:jc w:val="center"/>
              <w:rPr>
                <w:noProof/>
                <w:sz w:val="18"/>
                <w:szCs w:val="18"/>
              </w:rPr>
            </w:pPr>
          </w:p>
        </w:tc>
        <w:tc>
          <w:tcPr>
            <w:tcW w:w="840" w:type="dxa"/>
            <w:tcBorders>
              <w:top w:val="nil"/>
              <w:left w:val="nil"/>
              <w:bottom w:val="nil"/>
              <w:right w:val="nil"/>
            </w:tcBorders>
          </w:tcPr>
          <w:p>
            <w:pPr>
              <w:spacing w:before="60" w:after="60"/>
              <w:ind w:right="-29"/>
              <w:jc w:val="center"/>
              <w:rPr>
                <w:noProof/>
                <w:sz w:val="18"/>
                <w:szCs w:val="18"/>
              </w:rPr>
            </w:pPr>
          </w:p>
        </w:tc>
        <w:tc>
          <w:tcPr>
            <w:tcW w:w="360" w:type="dxa"/>
            <w:tcBorders>
              <w:top w:val="nil"/>
              <w:left w:val="nil"/>
              <w:bottom w:val="nil"/>
              <w:right w:val="nil"/>
            </w:tcBorders>
          </w:tcPr>
          <w:p>
            <w:pPr>
              <w:spacing w:before="60" w:after="60"/>
              <w:ind w:right="-29"/>
              <w:jc w:val="center"/>
              <w:rPr>
                <w:noProof/>
                <w:sz w:val="18"/>
                <w:szCs w:val="18"/>
              </w:rPr>
            </w:pPr>
          </w:p>
        </w:tc>
        <w:tc>
          <w:tcPr>
            <w:tcW w:w="840" w:type="dxa"/>
            <w:tcBorders>
              <w:top w:val="nil"/>
              <w:left w:val="nil"/>
              <w:bottom w:val="nil"/>
              <w:right w:val="nil"/>
            </w:tcBorders>
          </w:tcPr>
          <w:p>
            <w:pPr>
              <w:spacing w:before="60" w:after="60"/>
              <w:ind w:right="-29"/>
              <w:jc w:val="center"/>
              <w:rPr>
                <w:noProof/>
                <w:sz w:val="18"/>
                <w:szCs w:val="18"/>
              </w:rPr>
            </w:pPr>
          </w:p>
        </w:tc>
        <w:tc>
          <w:tcPr>
            <w:tcW w:w="360" w:type="dxa"/>
            <w:tcBorders>
              <w:top w:val="nil"/>
              <w:left w:val="nil"/>
              <w:bottom w:val="nil"/>
              <w:right w:val="nil"/>
            </w:tcBorders>
          </w:tcPr>
          <w:p>
            <w:pPr>
              <w:spacing w:before="60" w:after="60"/>
              <w:ind w:right="-29"/>
              <w:jc w:val="center"/>
              <w:rPr>
                <w:noProof/>
                <w:sz w:val="18"/>
                <w:szCs w:val="18"/>
              </w:rPr>
            </w:pPr>
          </w:p>
        </w:tc>
        <w:tc>
          <w:tcPr>
            <w:tcW w:w="840" w:type="dxa"/>
            <w:tcBorders>
              <w:top w:val="nil"/>
              <w:left w:val="nil"/>
              <w:bottom w:val="nil"/>
              <w:right w:val="nil"/>
            </w:tcBorders>
          </w:tcPr>
          <w:p>
            <w:pPr>
              <w:spacing w:before="60" w:after="60"/>
              <w:ind w:right="-29"/>
              <w:jc w:val="center"/>
              <w:rPr>
                <w:noProof/>
                <w:sz w:val="18"/>
                <w:szCs w:val="18"/>
              </w:rPr>
            </w:pPr>
          </w:p>
        </w:tc>
        <w:tc>
          <w:tcPr>
            <w:tcW w:w="360" w:type="dxa"/>
            <w:tcBorders>
              <w:top w:val="nil"/>
              <w:left w:val="nil"/>
              <w:bottom w:val="nil"/>
              <w:right w:val="nil"/>
            </w:tcBorders>
          </w:tcPr>
          <w:p>
            <w:pPr>
              <w:spacing w:before="60" w:after="60"/>
              <w:ind w:right="-29"/>
              <w:jc w:val="center"/>
              <w:rPr>
                <w:noProof/>
                <w:sz w:val="18"/>
                <w:szCs w:val="18"/>
              </w:rPr>
            </w:pPr>
          </w:p>
        </w:tc>
        <w:tc>
          <w:tcPr>
            <w:tcW w:w="672" w:type="dxa"/>
            <w:tcBorders>
              <w:top w:val="nil"/>
              <w:left w:val="nil"/>
              <w:bottom w:val="nil"/>
              <w:right w:val="nil"/>
            </w:tcBorders>
          </w:tcPr>
          <w:p>
            <w:pPr>
              <w:spacing w:before="60" w:after="60"/>
              <w:ind w:right="-29"/>
              <w:jc w:val="center"/>
              <w:rPr>
                <w:noProof/>
                <w:sz w:val="18"/>
                <w:szCs w:val="18"/>
              </w:rPr>
            </w:pPr>
          </w:p>
        </w:tc>
        <w:tc>
          <w:tcPr>
            <w:tcW w:w="36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360" w:type="dxa"/>
            <w:tcBorders>
              <w:top w:val="nil"/>
              <w:left w:val="nil"/>
              <w:bottom w:val="nil"/>
              <w:right w:val="nil"/>
            </w:tcBorders>
          </w:tcPr>
          <w:p>
            <w:pPr>
              <w:spacing w:before="60" w:after="60"/>
              <w:ind w:right="-29"/>
              <w:jc w:val="center"/>
              <w:rPr>
                <w:noProof/>
                <w:sz w:val="18"/>
                <w:szCs w:val="18"/>
              </w:rPr>
            </w:pPr>
          </w:p>
        </w:tc>
        <w:tc>
          <w:tcPr>
            <w:tcW w:w="840" w:type="dxa"/>
            <w:tcBorders>
              <w:top w:val="nil"/>
              <w:left w:val="nil"/>
              <w:bottom w:val="nil"/>
              <w:right w:val="nil"/>
            </w:tcBorders>
          </w:tcPr>
          <w:p>
            <w:pPr>
              <w:spacing w:before="60" w:after="60"/>
              <w:ind w:right="-29"/>
              <w:jc w:val="center"/>
              <w:rPr>
                <w:noProof/>
                <w:sz w:val="18"/>
                <w:szCs w:val="18"/>
              </w:rPr>
            </w:pPr>
          </w:p>
        </w:tc>
        <w:tc>
          <w:tcPr>
            <w:tcW w:w="360" w:type="dxa"/>
            <w:tcBorders>
              <w:top w:val="nil"/>
              <w:left w:val="nil"/>
              <w:bottom w:val="nil"/>
              <w:right w:val="nil"/>
            </w:tcBorders>
          </w:tcPr>
          <w:p>
            <w:pPr>
              <w:spacing w:before="60" w:after="60"/>
              <w:ind w:right="-29"/>
              <w:jc w:val="center"/>
              <w:rPr>
                <w:noProof/>
                <w:sz w:val="18"/>
                <w:szCs w:val="18"/>
              </w:rPr>
            </w:pPr>
          </w:p>
        </w:tc>
        <w:tc>
          <w:tcPr>
            <w:tcW w:w="840" w:type="dxa"/>
            <w:tcBorders>
              <w:top w:val="nil"/>
              <w:left w:val="nil"/>
              <w:bottom w:val="nil"/>
              <w:right w:val="nil"/>
            </w:tcBorders>
          </w:tcPr>
          <w:p>
            <w:pPr>
              <w:spacing w:before="60" w:after="60"/>
              <w:ind w:right="-29"/>
              <w:jc w:val="center"/>
              <w:rPr>
                <w:noProof/>
                <w:sz w:val="18"/>
                <w:szCs w:val="18"/>
              </w:rPr>
            </w:pPr>
          </w:p>
        </w:tc>
        <w:tc>
          <w:tcPr>
            <w:tcW w:w="1200" w:type="dxa"/>
            <w:gridSpan w:val="2"/>
            <w:tcBorders>
              <w:top w:val="nil"/>
              <w:left w:val="nil"/>
              <w:bottom w:val="nil"/>
              <w:right w:val="nil"/>
            </w:tcBorders>
          </w:tcPr>
          <w:p>
            <w:pPr>
              <w:spacing w:before="60" w:after="60"/>
              <w:ind w:right="-29"/>
              <w:jc w:val="center"/>
              <w:rPr>
                <w:noProof/>
                <w:sz w:val="18"/>
                <w:szCs w:val="18"/>
              </w:rPr>
            </w:pPr>
          </w:p>
        </w:tc>
        <w:tc>
          <w:tcPr>
            <w:tcW w:w="678" w:type="dxa"/>
            <w:tcBorders>
              <w:top w:val="nil"/>
              <w:left w:val="nil"/>
              <w:bottom w:val="nil"/>
              <w:right w:val="nil"/>
            </w:tcBorders>
          </w:tcPr>
          <w:p>
            <w:pPr>
              <w:spacing w:before="60" w:after="60"/>
              <w:ind w:right="-29"/>
              <w:jc w:val="center"/>
              <w:rPr>
                <w:noProof/>
                <w:sz w:val="18"/>
                <w:szCs w:val="18"/>
              </w:rPr>
            </w:pPr>
          </w:p>
        </w:tc>
        <w:tc>
          <w:tcPr>
            <w:tcW w:w="1002" w:type="dxa"/>
            <w:tcBorders>
              <w:top w:val="nil"/>
              <w:left w:val="nil"/>
              <w:bottom w:val="single" w:sz="4" w:space="0" w:color="auto"/>
              <w:right w:val="single" w:sz="12" w:space="0" w:color="auto"/>
            </w:tcBorders>
          </w:tcPr>
          <w:p>
            <w:pPr>
              <w:spacing w:before="60" w:after="60"/>
              <w:ind w:right="-29"/>
              <w:jc w:val="center"/>
              <w:rPr>
                <w:noProof/>
                <w:sz w:val="18"/>
                <w:szCs w:val="18"/>
              </w:rPr>
            </w:pPr>
          </w:p>
        </w:tc>
      </w:tr>
      <w:tr>
        <w:trPr>
          <w:trHeight w:hRule="exact" w:val="821"/>
          <w:jc w:val="center"/>
        </w:trPr>
        <w:tc>
          <w:tcPr>
            <w:tcW w:w="1422" w:type="dxa"/>
            <w:tcBorders>
              <w:left w:val="single" w:sz="12" w:space="0" w:color="auto"/>
            </w:tcBorders>
          </w:tcPr>
          <w:p>
            <w:pPr>
              <w:ind w:right="-29"/>
              <w:jc w:val="center"/>
              <w:rPr>
                <w:noProof/>
                <w:sz w:val="18"/>
                <w:szCs w:val="18"/>
              </w:rPr>
            </w:pPr>
            <w:r>
              <w:rPr>
                <w:noProof/>
                <w:sz w:val="18"/>
              </w:rPr>
              <w:t>Število tečajev z organiziranim bivanjem</w:t>
            </w:r>
          </w:p>
        </w:tc>
        <w:tc>
          <w:tcPr>
            <w:tcW w:w="1380" w:type="dxa"/>
            <w:gridSpan w:val="2"/>
          </w:tcPr>
          <w:p>
            <w:pPr>
              <w:ind w:right="-29"/>
              <w:jc w:val="center"/>
              <w:rPr>
                <w:noProof/>
                <w:sz w:val="18"/>
                <w:szCs w:val="18"/>
              </w:rPr>
            </w:pPr>
            <w:r>
              <w:rPr>
                <w:noProof/>
                <w:sz w:val="20"/>
              </w:rPr>
              <w:t xml:space="preserve">0,34 na tečaj </w:t>
            </w:r>
          </w:p>
        </w:tc>
        <w:tc>
          <w:tcPr>
            <w:tcW w:w="303" w:type="dxa"/>
            <w:tcBorders>
              <w:right w:val="dashSmallGap" w:sz="4" w:space="0" w:color="auto"/>
            </w:tcBorders>
          </w:tcPr>
          <w:p>
            <w:pPr>
              <w:ind w:right="-29"/>
              <w:jc w:val="center"/>
              <w:rPr>
                <w:noProof/>
                <w:sz w:val="18"/>
                <w:szCs w:val="18"/>
              </w:rPr>
            </w:pPr>
            <w:r>
              <w:rPr>
                <w:noProof/>
                <w:sz w:val="18"/>
              </w:rPr>
              <w:t>0</w:t>
            </w:r>
          </w:p>
        </w:tc>
        <w:tc>
          <w:tcPr>
            <w:tcW w:w="867" w:type="dxa"/>
            <w:tcBorders>
              <w:left w:val="dashSmallGap" w:sz="4" w:space="0" w:color="auto"/>
              <w:bottom w:val="single" w:sz="4" w:space="0" w:color="auto"/>
            </w:tcBorders>
          </w:tcPr>
          <w:p>
            <w:pPr>
              <w:ind w:right="-29"/>
              <w:jc w:val="center"/>
              <w:rPr>
                <w:noProof/>
                <w:sz w:val="18"/>
                <w:szCs w:val="18"/>
              </w:rPr>
            </w:pPr>
          </w:p>
        </w:tc>
        <w:tc>
          <w:tcPr>
            <w:tcW w:w="330" w:type="dxa"/>
            <w:tcBorders>
              <w:right w:val="dashSmallGap" w:sz="4" w:space="0" w:color="auto"/>
            </w:tcBorders>
          </w:tcPr>
          <w:p>
            <w:pPr>
              <w:ind w:right="-29"/>
              <w:jc w:val="center"/>
              <w:rPr>
                <w:noProof/>
                <w:sz w:val="18"/>
                <w:szCs w:val="18"/>
              </w:rPr>
            </w:pPr>
            <w:r>
              <w:rPr>
                <w:noProof/>
                <w:sz w:val="18"/>
              </w:rPr>
              <w:t>1</w:t>
            </w:r>
          </w:p>
        </w:tc>
        <w:tc>
          <w:tcPr>
            <w:tcW w:w="840" w:type="dxa"/>
            <w:tcBorders>
              <w:left w:val="dashSmallGap" w:sz="4" w:space="0" w:color="auto"/>
            </w:tcBorders>
          </w:tcPr>
          <w:p>
            <w:pPr>
              <w:ind w:right="-29"/>
              <w:jc w:val="center"/>
              <w:rPr>
                <w:noProof/>
                <w:sz w:val="18"/>
                <w:szCs w:val="18"/>
              </w:rPr>
            </w:pPr>
            <w:r>
              <w:rPr>
                <w:noProof/>
                <w:sz w:val="18"/>
              </w:rPr>
              <w:t>0,040</w:t>
            </w:r>
          </w:p>
        </w:tc>
        <w:tc>
          <w:tcPr>
            <w:tcW w:w="360" w:type="dxa"/>
            <w:tcBorders>
              <w:right w:val="dashSmallGap" w:sz="4" w:space="0" w:color="auto"/>
            </w:tcBorders>
          </w:tcPr>
          <w:p>
            <w:pPr>
              <w:ind w:right="-29"/>
              <w:jc w:val="center"/>
              <w:rPr>
                <w:noProof/>
                <w:sz w:val="18"/>
                <w:szCs w:val="18"/>
              </w:rPr>
            </w:pPr>
            <w:r>
              <w:rPr>
                <w:noProof/>
                <w:sz w:val="18"/>
              </w:rPr>
              <w:t>4</w:t>
            </w:r>
          </w:p>
        </w:tc>
        <w:tc>
          <w:tcPr>
            <w:tcW w:w="840" w:type="dxa"/>
            <w:tcBorders>
              <w:left w:val="dashSmallGap" w:sz="4" w:space="0" w:color="auto"/>
            </w:tcBorders>
          </w:tcPr>
          <w:p>
            <w:pPr>
              <w:ind w:right="-29"/>
              <w:jc w:val="center"/>
              <w:rPr>
                <w:noProof/>
                <w:sz w:val="18"/>
                <w:szCs w:val="18"/>
              </w:rPr>
            </w:pPr>
            <w:r>
              <w:rPr>
                <w:noProof/>
                <w:sz w:val="18"/>
              </w:rPr>
              <w:t>0,136</w:t>
            </w:r>
          </w:p>
        </w:tc>
        <w:tc>
          <w:tcPr>
            <w:tcW w:w="360" w:type="dxa"/>
            <w:tcBorders>
              <w:right w:val="dashSmallGap" w:sz="4" w:space="0" w:color="auto"/>
            </w:tcBorders>
          </w:tcPr>
          <w:p>
            <w:pPr>
              <w:ind w:right="-29"/>
              <w:jc w:val="center"/>
              <w:rPr>
                <w:noProof/>
                <w:sz w:val="18"/>
                <w:szCs w:val="18"/>
              </w:rPr>
            </w:pPr>
            <w:r>
              <w:rPr>
                <w:noProof/>
                <w:sz w:val="18"/>
              </w:rPr>
              <w:t>8</w:t>
            </w:r>
          </w:p>
        </w:tc>
        <w:tc>
          <w:tcPr>
            <w:tcW w:w="840" w:type="dxa"/>
            <w:tcBorders>
              <w:left w:val="dashSmallGap" w:sz="4" w:space="0" w:color="auto"/>
            </w:tcBorders>
          </w:tcPr>
          <w:p>
            <w:pPr>
              <w:ind w:right="-29"/>
              <w:jc w:val="center"/>
              <w:rPr>
                <w:noProof/>
                <w:sz w:val="18"/>
                <w:szCs w:val="18"/>
              </w:rPr>
            </w:pPr>
            <w:r>
              <w:rPr>
                <w:noProof/>
                <w:sz w:val="18"/>
              </w:rPr>
              <w:t>0,272</w:t>
            </w:r>
          </w:p>
        </w:tc>
        <w:tc>
          <w:tcPr>
            <w:tcW w:w="360" w:type="dxa"/>
            <w:tcBorders>
              <w:right w:val="dashSmallGap" w:sz="4" w:space="0" w:color="auto"/>
            </w:tcBorders>
          </w:tcPr>
          <w:p>
            <w:pPr>
              <w:ind w:right="-29"/>
              <w:jc w:val="center"/>
              <w:rPr>
                <w:noProof/>
                <w:sz w:val="20"/>
              </w:rPr>
            </w:pPr>
            <w:r>
              <w:rPr>
                <w:noProof/>
                <w:sz w:val="20"/>
              </w:rPr>
              <w:t>2</w:t>
            </w:r>
          </w:p>
        </w:tc>
        <w:tc>
          <w:tcPr>
            <w:tcW w:w="672" w:type="dxa"/>
            <w:tcBorders>
              <w:left w:val="dashSmallGap" w:sz="4" w:space="0" w:color="auto"/>
            </w:tcBorders>
          </w:tcPr>
          <w:p>
            <w:pPr>
              <w:ind w:right="-29"/>
              <w:rPr>
                <w:noProof/>
                <w:sz w:val="20"/>
              </w:rPr>
            </w:pPr>
            <w:r>
              <w:rPr>
                <w:noProof/>
                <w:sz w:val="20"/>
              </w:rPr>
              <w:t>0,068</w:t>
            </w:r>
          </w:p>
        </w:tc>
        <w:tc>
          <w:tcPr>
            <w:tcW w:w="360" w:type="dxa"/>
            <w:tcBorders>
              <w:right w:val="dashSmallGap" w:sz="4" w:space="0" w:color="auto"/>
            </w:tcBorders>
          </w:tcPr>
          <w:p>
            <w:pPr>
              <w:ind w:right="-29"/>
              <w:jc w:val="center"/>
              <w:rPr>
                <w:noProof/>
                <w:sz w:val="18"/>
                <w:szCs w:val="18"/>
              </w:rPr>
            </w:pPr>
            <w:r>
              <w:rPr>
                <w:noProof/>
                <w:sz w:val="18"/>
              </w:rPr>
              <w:t>2</w:t>
            </w:r>
          </w:p>
        </w:tc>
        <w:tc>
          <w:tcPr>
            <w:tcW w:w="720" w:type="dxa"/>
            <w:tcBorders>
              <w:left w:val="dashSmallGap" w:sz="4" w:space="0" w:color="auto"/>
            </w:tcBorders>
          </w:tcPr>
          <w:p>
            <w:pPr>
              <w:ind w:right="-29"/>
              <w:jc w:val="center"/>
              <w:rPr>
                <w:noProof/>
                <w:sz w:val="18"/>
                <w:szCs w:val="18"/>
              </w:rPr>
            </w:pPr>
            <w:r>
              <w:rPr>
                <w:noProof/>
                <w:sz w:val="18"/>
              </w:rPr>
              <w:t>0,068</w:t>
            </w:r>
          </w:p>
        </w:tc>
        <w:tc>
          <w:tcPr>
            <w:tcW w:w="360" w:type="dxa"/>
            <w:tcBorders>
              <w:right w:val="dashSmallGap" w:sz="4" w:space="0" w:color="auto"/>
            </w:tcBorders>
          </w:tcPr>
          <w:p>
            <w:pPr>
              <w:ind w:right="-29"/>
              <w:jc w:val="center"/>
              <w:rPr>
                <w:noProof/>
                <w:sz w:val="18"/>
                <w:szCs w:val="18"/>
              </w:rPr>
            </w:pPr>
            <w:r>
              <w:rPr>
                <w:noProof/>
                <w:sz w:val="18"/>
              </w:rPr>
              <w:t>2</w:t>
            </w:r>
          </w:p>
        </w:tc>
        <w:tc>
          <w:tcPr>
            <w:tcW w:w="840" w:type="dxa"/>
            <w:tcBorders>
              <w:left w:val="dashSmallGap" w:sz="4" w:space="0" w:color="auto"/>
            </w:tcBorders>
          </w:tcPr>
          <w:p>
            <w:pPr>
              <w:ind w:right="-29"/>
              <w:jc w:val="center"/>
              <w:rPr>
                <w:noProof/>
                <w:sz w:val="18"/>
                <w:szCs w:val="18"/>
              </w:rPr>
            </w:pPr>
            <w:r>
              <w:rPr>
                <w:noProof/>
                <w:sz w:val="18"/>
              </w:rPr>
              <w:t>0,068</w:t>
            </w:r>
          </w:p>
        </w:tc>
        <w:tc>
          <w:tcPr>
            <w:tcW w:w="360" w:type="dxa"/>
            <w:tcBorders>
              <w:right w:val="dashSmallGap" w:sz="4" w:space="0" w:color="auto"/>
            </w:tcBorders>
          </w:tcPr>
          <w:p>
            <w:pPr>
              <w:ind w:right="-29"/>
              <w:jc w:val="center"/>
              <w:rPr>
                <w:noProof/>
                <w:sz w:val="18"/>
                <w:szCs w:val="18"/>
              </w:rPr>
            </w:pPr>
            <w:r>
              <w:rPr>
                <w:noProof/>
                <w:sz w:val="18"/>
              </w:rPr>
              <w:t>2</w:t>
            </w:r>
          </w:p>
        </w:tc>
        <w:tc>
          <w:tcPr>
            <w:tcW w:w="840" w:type="dxa"/>
            <w:tcBorders>
              <w:left w:val="dashSmallGap" w:sz="4" w:space="0" w:color="auto"/>
            </w:tcBorders>
          </w:tcPr>
          <w:p>
            <w:pPr>
              <w:ind w:right="-29"/>
              <w:jc w:val="center"/>
              <w:rPr>
                <w:noProof/>
                <w:sz w:val="18"/>
                <w:szCs w:val="18"/>
              </w:rPr>
            </w:pPr>
            <w:r>
              <w:rPr>
                <w:noProof/>
                <w:sz w:val="18"/>
              </w:rPr>
              <w:t>0,068</w:t>
            </w:r>
          </w:p>
        </w:tc>
        <w:tc>
          <w:tcPr>
            <w:tcW w:w="360" w:type="dxa"/>
            <w:tcBorders>
              <w:right w:val="dashSmallGap" w:sz="4" w:space="0" w:color="auto"/>
            </w:tcBorders>
          </w:tcPr>
          <w:p>
            <w:pPr>
              <w:ind w:right="-29"/>
              <w:jc w:val="center"/>
              <w:rPr>
                <w:noProof/>
                <w:sz w:val="18"/>
                <w:szCs w:val="18"/>
              </w:rPr>
            </w:pPr>
            <w:r>
              <w:rPr>
                <w:noProof/>
                <w:sz w:val="18"/>
              </w:rPr>
              <w:t>2</w:t>
            </w:r>
          </w:p>
        </w:tc>
        <w:tc>
          <w:tcPr>
            <w:tcW w:w="840" w:type="dxa"/>
            <w:tcBorders>
              <w:left w:val="dashSmallGap" w:sz="4" w:space="0" w:color="auto"/>
              <w:bottom w:val="single" w:sz="4" w:space="0" w:color="auto"/>
            </w:tcBorders>
          </w:tcPr>
          <w:p>
            <w:pPr>
              <w:ind w:right="-29"/>
              <w:jc w:val="center"/>
              <w:rPr>
                <w:noProof/>
                <w:sz w:val="18"/>
                <w:szCs w:val="18"/>
              </w:rPr>
            </w:pPr>
            <w:r>
              <w:rPr>
                <w:noProof/>
                <w:sz w:val="18"/>
              </w:rPr>
              <w:t>0,068</w:t>
            </w:r>
          </w:p>
        </w:tc>
        <w:tc>
          <w:tcPr>
            <w:tcW w:w="678" w:type="dxa"/>
            <w:tcBorders>
              <w:right w:val="dashSmallGap" w:sz="4" w:space="0" w:color="auto"/>
            </w:tcBorders>
          </w:tcPr>
          <w:p>
            <w:pPr>
              <w:ind w:right="-29"/>
              <w:jc w:val="center"/>
              <w:rPr>
                <w:noProof/>
                <w:sz w:val="18"/>
                <w:szCs w:val="18"/>
              </w:rPr>
            </w:pPr>
          </w:p>
        </w:tc>
        <w:tc>
          <w:tcPr>
            <w:tcW w:w="1002" w:type="dxa"/>
            <w:tcBorders>
              <w:left w:val="dashSmallGap" w:sz="4" w:space="0" w:color="auto"/>
              <w:bottom w:val="single" w:sz="4" w:space="0" w:color="auto"/>
              <w:right w:val="single" w:sz="12" w:space="0" w:color="auto"/>
            </w:tcBorders>
          </w:tcPr>
          <w:p>
            <w:pPr>
              <w:ind w:right="-29"/>
              <w:jc w:val="center"/>
              <w:rPr>
                <w:noProof/>
                <w:sz w:val="18"/>
                <w:szCs w:val="18"/>
              </w:rPr>
            </w:pPr>
            <w:r>
              <w:rPr>
                <w:noProof/>
                <w:sz w:val="20"/>
              </w:rPr>
              <w:t xml:space="preserve">0,788 </w:t>
            </w:r>
          </w:p>
        </w:tc>
      </w:tr>
      <w:tr>
        <w:trPr>
          <w:trHeight w:hRule="exact" w:val="705"/>
          <w:jc w:val="center"/>
        </w:trPr>
        <w:tc>
          <w:tcPr>
            <w:tcW w:w="1422" w:type="dxa"/>
            <w:tcBorders>
              <w:left w:val="single" w:sz="12" w:space="0" w:color="auto"/>
              <w:bottom w:val="single" w:sz="4" w:space="0" w:color="auto"/>
            </w:tcBorders>
          </w:tcPr>
          <w:p>
            <w:pPr>
              <w:ind w:right="-29"/>
              <w:jc w:val="center"/>
              <w:rPr>
                <w:noProof/>
                <w:sz w:val="18"/>
              </w:rPr>
            </w:pPr>
            <w:r>
              <w:rPr>
                <w:noProof/>
                <w:sz w:val="20"/>
              </w:rPr>
              <w:t>Usposabljanje prek spleta</w:t>
            </w:r>
          </w:p>
        </w:tc>
        <w:tc>
          <w:tcPr>
            <w:tcW w:w="1380" w:type="dxa"/>
            <w:gridSpan w:val="2"/>
            <w:tcBorders>
              <w:bottom w:val="single" w:sz="4" w:space="0" w:color="auto"/>
            </w:tcBorders>
          </w:tcPr>
          <w:p>
            <w:pPr>
              <w:ind w:right="-29"/>
              <w:jc w:val="center"/>
              <w:rPr>
                <w:noProof/>
                <w:sz w:val="18"/>
                <w:szCs w:val="18"/>
              </w:rPr>
            </w:pPr>
            <w:r>
              <w:rPr>
                <w:noProof/>
                <w:sz w:val="18"/>
              </w:rPr>
              <w:t xml:space="preserve">0,02 </w:t>
            </w:r>
          </w:p>
        </w:tc>
        <w:tc>
          <w:tcPr>
            <w:tcW w:w="303" w:type="dxa"/>
            <w:tcBorders>
              <w:bottom w:val="single" w:sz="4" w:space="0" w:color="auto"/>
              <w:right w:val="dashSmallGap" w:sz="4" w:space="0" w:color="auto"/>
            </w:tcBorders>
          </w:tcPr>
          <w:p>
            <w:pPr>
              <w:ind w:right="-29"/>
              <w:jc w:val="center"/>
              <w:rPr>
                <w:noProof/>
                <w:sz w:val="18"/>
                <w:szCs w:val="18"/>
              </w:rPr>
            </w:pPr>
          </w:p>
        </w:tc>
        <w:tc>
          <w:tcPr>
            <w:tcW w:w="867" w:type="dxa"/>
            <w:tcBorders>
              <w:left w:val="dashSmallGap" w:sz="4" w:space="0" w:color="auto"/>
              <w:bottom w:val="single" w:sz="4" w:space="0" w:color="auto"/>
            </w:tcBorders>
          </w:tcPr>
          <w:p>
            <w:pPr>
              <w:ind w:right="-29"/>
              <w:jc w:val="center"/>
              <w:rPr>
                <w:noProof/>
                <w:sz w:val="18"/>
                <w:szCs w:val="18"/>
              </w:rPr>
            </w:pPr>
            <w:r>
              <w:rPr>
                <w:noProof/>
                <w:sz w:val="18"/>
              </w:rPr>
              <w:t>0</w:t>
            </w:r>
          </w:p>
        </w:tc>
        <w:tc>
          <w:tcPr>
            <w:tcW w:w="330" w:type="dxa"/>
            <w:tcBorders>
              <w:bottom w:val="single" w:sz="4" w:space="0" w:color="auto"/>
              <w:right w:val="dashSmallGap" w:sz="4" w:space="0" w:color="auto"/>
            </w:tcBorders>
          </w:tcPr>
          <w:p>
            <w:pPr>
              <w:ind w:right="-29"/>
              <w:jc w:val="center"/>
              <w:rPr>
                <w:noProof/>
                <w:sz w:val="18"/>
                <w:szCs w:val="18"/>
              </w:rPr>
            </w:pPr>
          </w:p>
        </w:tc>
        <w:tc>
          <w:tcPr>
            <w:tcW w:w="840" w:type="dxa"/>
            <w:tcBorders>
              <w:left w:val="dashSmallGap" w:sz="4" w:space="0" w:color="auto"/>
              <w:bottom w:val="single" w:sz="4" w:space="0" w:color="auto"/>
            </w:tcBorders>
          </w:tcPr>
          <w:p>
            <w:pPr>
              <w:ind w:right="-29"/>
              <w:jc w:val="center"/>
              <w:rPr>
                <w:noProof/>
                <w:sz w:val="18"/>
                <w:szCs w:val="18"/>
              </w:rPr>
            </w:pPr>
          </w:p>
        </w:tc>
        <w:tc>
          <w:tcPr>
            <w:tcW w:w="360" w:type="dxa"/>
            <w:tcBorders>
              <w:bottom w:val="single" w:sz="4" w:space="0" w:color="auto"/>
              <w:right w:val="dashSmallGap" w:sz="4" w:space="0" w:color="auto"/>
            </w:tcBorders>
          </w:tcPr>
          <w:p>
            <w:pPr>
              <w:ind w:right="-29"/>
              <w:jc w:val="center"/>
              <w:rPr>
                <w:noProof/>
                <w:sz w:val="18"/>
                <w:szCs w:val="18"/>
              </w:rPr>
            </w:pPr>
          </w:p>
        </w:tc>
        <w:tc>
          <w:tcPr>
            <w:tcW w:w="840" w:type="dxa"/>
            <w:tcBorders>
              <w:left w:val="dashSmallGap" w:sz="4" w:space="0" w:color="auto"/>
              <w:bottom w:val="single" w:sz="4" w:space="0" w:color="auto"/>
            </w:tcBorders>
          </w:tcPr>
          <w:p>
            <w:pPr>
              <w:ind w:right="-29"/>
              <w:jc w:val="center"/>
              <w:rPr>
                <w:noProof/>
                <w:sz w:val="18"/>
                <w:szCs w:val="18"/>
              </w:rPr>
            </w:pPr>
            <w:r>
              <w:rPr>
                <w:noProof/>
                <w:sz w:val="18"/>
              </w:rPr>
              <w:t>0,040</w:t>
            </w:r>
          </w:p>
        </w:tc>
        <w:tc>
          <w:tcPr>
            <w:tcW w:w="360" w:type="dxa"/>
            <w:tcBorders>
              <w:bottom w:val="single" w:sz="4" w:space="0" w:color="auto"/>
              <w:right w:val="dashSmallGap" w:sz="4" w:space="0" w:color="auto"/>
            </w:tcBorders>
          </w:tcPr>
          <w:p>
            <w:pPr>
              <w:ind w:right="-29"/>
              <w:jc w:val="center"/>
              <w:rPr>
                <w:noProof/>
                <w:sz w:val="18"/>
                <w:szCs w:val="18"/>
              </w:rPr>
            </w:pPr>
          </w:p>
        </w:tc>
        <w:tc>
          <w:tcPr>
            <w:tcW w:w="840" w:type="dxa"/>
            <w:tcBorders>
              <w:left w:val="dashSmallGap" w:sz="4" w:space="0" w:color="auto"/>
              <w:bottom w:val="single" w:sz="4" w:space="0" w:color="auto"/>
            </w:tcBorders>
          </w:tcPr>
          <w:p>
            <w:pPr>
              <w:ind w:right="-29"/>
              <w:jc w:val="center"/>
              <w:rPr>
                <w:noProof/>
                <w:sz w:val="18"/>
                <w:szCs w:val="18"/>
              </w:rPr>
            </w:pPr>
            <w:r>
              <w:rPr>
                <w:noProof/>
                <w:sz w:val="18"/>
              </w:rPr>
              <w:t>0,002</w:t>
            </w:r>
          </w:p>
        </w:tc>
        <w:tc>
          <w:tcPr>
            <w:tcW w:w="360" w:type="dxa"/>
            <w:tcBorders>
              <w:bottom w:val="single" w:sz="4" w:space="0" w:color="auto"/>
              <w:right w:val="dashSmallGap" w:sz="4" w:space="0" w:color="auto"/>
            </w:tcBorders>
          </w:tcPr>
          <w:p>
            <w:pPr>
              <w:ind w:right="-29"/>
              <w:jc w:val="center"/>
              <w:rPr>
                <w:noProof/>
                <w:sz w:val="18"/>
                <w:szCs w:val="18"/>
              </w:rPr>
            </w:pPr>
          </w:p>
        </w:tc>
        <w:tc>
          <w:tcPr>
            <w:tcW w:w="672" w:type="dxa"/>
            <w:tcBorders>
              <w:left w:val="dashSmallGap" w:sz="4" w:space="0" w:color="auto"/>
              <w:bottom w:val="single" w:sz="4" w:space="0" w:color="auto"/>
            </w:tcBorders>
          </w:tcPr>
          <w:p>
            <w:pPr>
              <w:ind w:right="-29"/>
              <w:jc w:val="center"/>
              <w:rPr>
                <w:noProof/>
                <w:sz w:val="18"/>
                <w:szCs w:val="18"/>
              </w:rPr>
            </w:pPr>
            <w:r>
              <w:rPr>
                <w:noProof/>
                <w:sz w:val="18"/>
              </w:rPr>
              <w:t>0,002</w:t>
            </w:r>
          </w:p>
        </w:tc>
        <w:tc>
          <w:tcPr>
            <w:tcW w:w="360" w:type="dxa"/>
            <w:tcBorders>
              <w:bottom w:val="single" w:sz="4" w:space="0" w:color="auto"/>
              <w:right w:val="dashSmallGap" w:sz="4" w:space="0" w:color="auto"/>
            </w:tcBorders>
          </w:tcPr>
          <w:p>
            <w:pPr>
              <w:ind w:right="-29"/>
              <w:jc w:val="center"/>
              <w:rPr>
                <w:noProof/>
                <w:sz w:val="18"/>
                <w:szCs w:val="18"/>
              </w:rPr>
            </w:pPr>
          </w:p>
        </w:tc>
        <w:tc>
          <w:tcPr>
            <w:tcW w:w="720" w:type="dxa"/>
            <w:tcBorders>
              <w:left w:val="dashSmallGap" w:sz="4" w:space="0" w:color="auto"/>
              <w:bottom w:val="single" w:sz="4" w:space="0" w:color="auto"/>
            </w:tcBorders>
          </w:tcPr>
          <w:p>
            <w:pPr>
              <w:ind w:right="-29"/>
              <w:jc w:val="center"/>
              <w:rPr>
                <w:noProof/>
                <w:sz w:val="18"/>
                <w:szCs w:val="18"/>
              </w:rPr>
            </w:pPr>
            <w:r>
              <w:rPr>
                <w:noProof/>
                <w:sz w:val="18"/>
              </w:rPr>
              <w:t>0,002</w:t>
            </w:r>
          </w:p>
        </w:tc>
        <w:tc>
          <w:tcPr>
            <w:tcW w:w="360" w:type="dxa"/>
            <w:tcBorders>
              <w:bottom w:val="single" w:sz="4" w:space="0" w:color="auto"/>
              <w:right w:val="dashSmallGap" w:sz="4" w:space="0" w:color="auto"/>
            </w:tcBorders>
          </w:tcPr>
          <w:p>
            <w:pPr>
              <w:ind w:right="-29"/>
              <w:jc w:val="center"/>
              <w:rPr>
                <w:noProof/>
                <w:sz w:val="18"/>
                <w:szCs w:val="18"/>
              </w:rPr>
            </w:pPr>
          </w:p>
        </w:tc>
        <w:tc>
          <w:tcPr>
            <w:tcW w:w="840" w:type="dxa"/>
            <w:tcBorders>
              <w:left w:val="dashSmallGap" w:sz="4" w:space="0" w:color="auto"/>
              <w:bottom w:val="single" w:sz="4" w:space="0" w:color="auto"/>
            </w:tcBorders>
          </w:tcPr>
          <w:p>
            <w:pPr>
              <w:ind w:right="-29"/>
              <w:jc w:val="center"/>
              <w:rPr>
                <w:noProof/>
                <w:sz w:val="18"/>
                <w:szCs w:val="18"/>
              </w:rPr>
            </w:pPr>
            <w:r>
              <w:rPr>
                <w:noProof/>
                <w:sz w:val="18"/>
              </w:rPr>
              <w:t>0,002</w:t>
            </w:r>
          </w:p>
        </w:tc>
        <w:tc>
          <w:tcPr>
            <w:tcW w:w="360" w:type="dxa"/>
            <w:tcBorders>
              <w:bottom w:val="single" w:sz="4" w:space="0" w:color="auto"/>
              <w:right w:val="dashSmallGap" w:sz="4" w:space="0" w:color="auto"/>
            </w:tcBorders>
          </w:tcPr>
          <w:p>
            <w:pPr>
              <w:ind w:right="-29"/>
              <w:jc w:val="center"/>
              <w:rPr>
                <w:noProof/>
                <w:sz w:val="18"/>
                <w:szCs w:val="18"/>
              </w:rPr>
            </w:pPr>
          </w:p>
        </w:tc>
        <w:tc>
          <w:tcPr>
            <w:tcW w:w="840" w:type="dxa"/>
            <w:tcBorders>
              <w:left w:val="dashSmallGap" w:sz="4" w:space="0" w:color="auto"/>
              <w:bottom w:val="single" w:sz="4" w:space="0" w:color="auto"/>
            </w:tcBorders>
          </w:tcPr>
          <w:p>
            <w:pPr>
              <w:ind w:right="-29"/>
              <w:jc w:val="center"/>
              <w:rPr>
                <w:noProof/>
                <w:sz w:val="18"/>
                <w:szCs w:val="18"/>
              </w:rPr>
            </w:pPr>
            <w:r>
              <w:rPr>
                <w:noProof/>
                <w:sz w:val="18"/>
              </w:rPr>
              <w:t>0,002</w:t>
            </w:r>
          </w:p>
        </w:tc>
        <w:tc>
          <w:tcPr>
            <w:tcW w:w="360" w:type="dxa"/>
            <w:tcBorders>
              <w:bottom w:val="single" w:sz="4" w:space="0" w:color="auto"/>
              <w:right w:val="dashSmallGap" w:sz="4" w:space="0" w:color="auto"/>
            </w:tcBorders>
          </w:tcPr>
          <w:p>
            <w:pPr>
              <w:ind w:right="-29"/>
              <w:jc w:val="center"/>
              <w:rPr>
                <w:noProof/>
                <w:sz w:val="18"/>
                <w:szCs w:val="18"/>
              </w:rPr>
            </w:pPr>
          </w:p>
        </w:tc>
        <w:tc>
          <w:tcPr>
            <w:tcW w:w="840" w:type="dxa"/>
            <w:tcBorders>
              <w:left w:val="dashSmallGap" w:sz="4" w:space="0" w:color="auto"/>
              <w:bottom w:val="single" w:sz="4" w:space="0" w:color="auto"/>
            </w:tcBorders>
          </w:tcPr>
          <w:p>
            <w:pPr>
              <w:ind w:right="-29"/>
              <w:jc w:val="center"/>
              <w:rPr>
                <w:noProof/>
                <w:sz w:val="18"/>
                <w:szCs w:val="18"/>
              </w:rPr>
            </w:pPr>
            <w:r>
              <w:rPr>
                <w:noProof/>
                <w:sz w:val="18"/>
              </w:rPr>
              <w:t>0,002</w:t>
            </w:r>
          </w:p>
        </w:tc>
        <w:tc>
          <w:tcPr>
            <w:tcW w:w="678" w:type="dxa"/>
            <w:tcBorders>
              <w:bottom w:val="single" w:sz="4" w:space="0" w:color="auto"/>
              <w:right w:val="dashSmallGap" w:sz="4" w:space="0" w:color="auto"/>
            </w:tcBorders>
          </w:tcPr>
          <w:p>
            <w:pPr>
              <w:ind w:right="-29"/>
              <w:jc w:val="center"/>
              <w:rPr>
                <w:noProof/>
                <w:sz w:val="18"/>
                <w:szCs w:val="18"/>
              </w:rPr>
            </w:pPr>
          </w:p>
        </w:tc>
        <w:tc>
          <w:tcPr>
            <w:tcW w:w="1002" w:type="dxa"/>
            <w:tcBorders>
              <w:left w:val="dashSmallGap" w:sz="4" w:space="0" w:color="auto"/>
              <w:bottom w:val="single" w:sz="4" w:space="0" w:color="auto"/>
              <w:right w:val="single" w:sz="12" w:space="0" w:color="auto"/>
            </w:tcBorders>
          </w:tcPr>
          <w:p>
            <w:pPr>
              <w:ind w:right="-29"/>
              <w:jc w:val="center"/>
              <w:rPr>
                <w:noProof/>
                <w:sz w:val="18"/>
                <w:szCs w:val="18"/>
              </w:rPr>
            </w:pPr>
            <w:r>
              <w:rPr>
                <w:noProof/>
                <w:sz w:val="18"/>
              </w:rPr>
              <w:t>0,052</w:t>
            </w:r>
          </w:p>
        </w:tc>
      </w:tr>
      <w:tr>
        <w:trPr>
          <w:trHeight w:hRule="exact" w:val="705"/>
          <w:jc w:val="center"/>
        </w:trPr>
        <w:tc>
          <w:tcPr>
            <w:tcW w:w="2802" w:type="dxa"/>
            <w:gridSpan w:val="3"/>
            <w:tcBorders>
              <w:left w:val="single" w:sz="4" w:space="0" w:color="auto"/>
              <w:bottom w:val="single" w:sz="4" w:space="0" w:color="auto"/>
            </w:tcBorders>
            <w:vAlign w:val="center"/>
          </w:tcPr>
          <w:p>
            <w:pPr>
              <w:ind w:right="-29"/>
              <w:jc w:val="center"/>
              <w:rPr>
                <w:noProof/>
                <w:sz w:val="18"/>
                <w:szCs w:val="18"/>
              </w:rPr>
            </w:pPr>
            <w:r>
              <w:rPr>
                <w:noProof/>
                <w:sz w:val="18"/>
              </w:rPr>
              <w:t xml:space="preserve">Seštevek </w:t>
            </w:r>
          </w:p>
        </w:tc>
        <w:tc>
          <w:tcPr>
            <w:tcW w:w="303" w:type="dxa"/>
            <w:tcBorders>
              <w:bottom w:val="single" w:sz="4" w:space="0" w:color="auto"/>
              <w:right w:val="dashSmallGap" w:sz="4" w:space="0" w:color="auto"/>
            </w:tcBorders>
          </w:tcPr>
          <w:p>
            <w:pPr>
              <w:ind w:right="-29"/>
              <w:jc w:val="center"/>
              <w:rPr>
                <w:noProof/>
                <w:sz w:val="18"/>
                <w:szCs w:val="18"/>
              </w:rPr>
            </w:pPr>
          </w:p>
        </w:tc>
        <w:tc>
          <w:tcPr>
            <w:tcW w:w="867" w:type="dxa"/>
            <w:tcBorders>
              <w:left w:val="dashSmallGap" w:sz="4" w:space="0" w:color="auto"/>
              <w:bottom w:val="single" w:sz="4" w:space="0" w:color="auto"/>
            </w:tcBorders>
          </w:tcPr>
          <w:p>
            <w:pPr>
              <w:ind w:right="-29"/>
              <w:jc w:val="center"/>
              <w:rPr>
                <w:noProof/>
                <w:sz w:val="20"/>
              </w:rPr>
            </w:pPr>
            <w:r>
              <w:rPr>
                <w:b/>
                <w:noProof/>
                <w:sz w:val="20"/>
              </w:rPr>
              <w:t>0</w:t>
            </w:r>
          </w:p>
        </w:tc>
        <w:tc>
          <w:tcPr>
            <w:tcW w:w="330" w:type="dxa"/>
            <w:tcBorders>
              <w:bottom w:val="single" w:sz="4" w:space="0" w:color="auto"/>
              <w:right w:val="dashSmallGap" w:sz="4" w:space="0" w:color="auto"/>
            </w:tcBorders>
          </w:tcPr>
          <w:p>
            <w:pPr>
              <w:ind w:right="-29"/>
              <w:jc w:val="center"/>
              <w:rPr>
                <w:noProof/>
                <w:sz w:val="20"/>
              </w:rPr>
            </w:pPr>
          </w:p>
        </w:tc>
        <w:tc>
          <w:tcPr>
            <w:tcW w:w="840" w:type="dxa"/>
            <w:tcBorders>
              <w:left w:val="dashSmallGap" w:sz="4" w:space="0" w:color="auto"/>
              <w:bottom w:val="single" w:sz="4" w:space="0" w:color="auto"/>
            </w:tcBorders>
          </w:tcPr>
          <w:p>
            <w:pPr>
              <w:ind w:right="-29"/>
              <w:jc w:val="center"/>
              <w:rPr>
                <w:noProof/>
                <w:sz w:val="20"/>
              </w:rPr>
            </w:pPr>
            <w:r>
              <w:rPr>
                <w:b/>
                <w:noProof/>
                <w:sz w:val="20"/>
              </w:rPr>
              <w:t>0,040</w:t>
            </w:r>
          </w:p>
        </w:tc>
        <w:tc>
          <w:tcPr>
            <w:tcW w:w="360" w:type="dxa"/>
            <w:tcBorders>
              <w:bottom w:val="single" w:sz="4" w:space="0" w:color="auto"/>
              <w:right w:val="dashSmallGap" w:sz="4" w:space="0" w:color="auto"/>
            </w:tcBorders>
          </w:tcPr>
          <w:p>
            <w:pPr>
              <w:ind w:right="-29"/>
              <w:jc w:val="center"/>
              <w:rPr>
                <w:noProof/>
                <w:sz w:val="20"/>
              </w:rPr>
            </w:pPr>
          </w:p>
        </w:tc>
        <w:tc>
          <w:tcPr>
            <w:tcW w:w="840" w:type="dxa"/>
            <w:tcBorders>
              <w:left w:val="dashSmallGap" w:sz="4" w:space="0" w:color="auto"/>
              <w:bottom w:val="single" w:sz="4" w:space="0" w:color="auto"/>
            </w:tcBorders>
          </w:tcPr>
          <w:p>
            <w:pPr>
              <w:ind w:right="-29"/>
              <w:jc w:val="center"/>
              <w:rPr>
                <w:noProof/>
                <w:sz w:val="20"/>
              </w:rPr>
            </w:pPr>
            <w:r>
              <w:rPr>
                <w:b/>
                <w:noProof/>
                <w:sz w:val="20"/>
              </w:rPr>
              <w:t>0,176</w:t>
            </w:r>
          </w:p>
        </w:tc>
        <w:tc>
          <w:tcPr>
            <w:tcW w:w="360" w:type="dxa"/>
            <w:tcBorders>
              <w:bottom w:val="single" w:sz="4" w:space="0" w:color="auto"/>
              <w:right w:val="dashSmallGap" w:sz="4" w:space="0" w:color="auto"/>
            </w:tcBorders>
          </w:tcPr>
          <w:p>
            <w:pPr>
              <w:ind w:right="-29"/>
              <w:jc w:val="center"/>
              <w:rPr>
                <w:noProof/>
                <w:sz w:val="20"/>
              </w:rPr>
            </w:pPr>
          </w:p>
        </w:tc>
        <w:tc>
          <w:tcPr>
            <w:tcW w:w="840" w:type="dxa"/>
            <w:tcBorders>
              <w:left w:val="dashSmallGap" w:sz="4" w:space="0" w:color="auto"/>
              <w:bottom w:val="single" w:sz="4" w:space="0" w:color="auto"/>
            </w:tcBorders>
          </w:tcPr>
          <w:p>
            <w:pPr>
              <w:ind w:right="-29"/>
              <w:jc w:val="center"/>
              <w:rPr>
                <w:noProof/>
                <w:sz w:val="20"/>
              </w:rPr>
            </w:pPr>
            <w:r>
              <w:rPr>
                <w:b/>
                <w:noProof/>
                <w:sz w:val="20"/>
              </w:rPr>
              <w:t>0,274</w:t>
            </w:r>
          </w:p>
        </w:tc>
        <w:tc>
          <w:tcPr>
            <w:tcW w:w="360" w:type="dxa"/>
            <w:tcBorders>
              <w:bottom w:val="single" w:sz="4" w:space="0" w:color="auto"/>
              <w:right w:val="dashSmallGap" w:sz="4" w:space="0" w:color="auto"/>
            </w:tcBorders>
          </w:tcPr>
          <w:p>
            <w:pPr>
              <w:ind w:right="-29"/>
              <w:jc w:val="center"/>
              <w:rPr>
                <w:noProof/>
                <w:sz w:val="20"/>
              </w:rPr>
            </w:pPr>
          </w:p>
        </w:tc>
        <w:tc>
          <w:tcPr>
            <w:tcW w:w="672" w:type="dxa"/>
            <w:tcBorders>
              <w:left w:val="dashSmallGap" w:sz="4" w:space="0" w:color="auto"/>
              <w:bottom w:val="single" w:sz="4" w:space="0" w:color="auto"/>
            </w:tcBorders>
          </w:tcPr>
          <w:p>
            <w:pPr>
              <w:ind w:right="-29"/>
              <w:jc w:val="center"/>
              <w:rPr>
                <w:noProof/>
                <w:sz w:val="20"/>
              </w:rPr>
            </w:pPr>
            <w:r>
              <w:rPr>
                <w:b/>
                <w:noProof/>
                <w:sz w:val="20"/>
              </w:rPr>
              <w:t>0,070</w:t>
            </w:r>
          </w:p>
        </w:tc>
        <w:tc>
          <w:tcPr>
            <w:tcW w:w="360" w:type="dxa"/>
            <w:tcBorders>
              <w:bottom w:val="single" w:sz="4" w:space="0" w:color="auto"/>
              <w:right w:val="dashSmallGap" w:sz="4" w:space="0" w:color="auto"/>
            </w:tcBorders>
          </w:tcPr>
          <w:p>
            <w:pPr>
              <w:ind w:right="-29"/>
              <w:jc w:val="center"/>
              <w:rPr>
                <w:noProof/>
                <w:sz w:val="20"/>
              </w:rPr>
            </w:pPr>
          </w:p>
        </w:tc>
        <w:tc>
          <w:tcPr>
            <w:tcW w:w="720" w:type="dxa"/>
            <w:tcBorders>
              <w:left w:val="dashSmallGap" w:sz="4" w:space="0" w:color="auto"/>
              <w:bottom w:val="single" w:sz="4" w:space="0" w:color="auto"/>
            </w:tcBorders>
          </w:tcPr>
          <w:p>
            <w:pPr>
              <w:ind w:right="-29"/>
              <w:jc w:val="center"/>
              <w:rPr>
                <w:noProof/>
                <w:sz w:val="20"/>
              </w:rPr>
            </w:pPr>
            <w:r>
              <w:rPr>
                <w:b/>
                <w:noProof/>
                <w:sz w:val="20"/>
              </w:rPr>
              <w:t>0,070</w:t>
            </w:r>
          </w:p>
        </w:tc>
        <w:tc>
          <w:tcPr>
            <w:tcW w:w="360" w:type="dxa"/>
            <w:tcBorders>
              <w:bottom w:val="single" w:sz="4" w:space="0" w:color="auto"/>
              <w:right w:val="dashSmallGap" w:sz="4" w:space="0" w:color="auto"/>
            </w:tcBorders>
          </w:tcPr>
          <w:p>
            <w:pPr>
              <w:ind w:right="-29"/>
              <w:jc w:val="center"/>
              <w:rPr>
                <w:noProof/>
                <w:sz w:val="20"/>
              </w:rPr>
            </w:pPr>
          </w:p>
        </w:tc>
        <w:tc>
          <w:tcPr>
            <w:tcW w:w="840" w:type="dxa"/>
            <w:tcBorders>
              <w:left w:val="dashSmallGap" w:sz="4" w:space="0" w:color="auto"/>
              <w:bottom w:val="single" w:sz="4" w:space="0" w:color="auto"/>
            </w:tcBorders>
          </w:tcPr>
          <w:p>
            <w:pPr>
              <w:ind w:right="-29"/>
              <w:jc w:val="center"/>
              <w:rPr>
                <w:noProof/>
                <w:sz w:val="20"/>
              </w:rPr>
            </w:pPr>
            <w:r>
              <w:rPr>
                <w:b/>
                <w:noProof/>
                <w:sz w:val="20"/>
              </w:rPr>
              <w:t>0,070</w:t>
            </w:r>
          </w:p>
        </w:tc>
        <w:tc>
          <w:tcPr>
            <w:tcW w:w="360" w:type="dxa"/>
            <w:tcBorders>
              <w:bottom w:val="single" w:sz="4" w:space="0" w:color="auto"/>
              <w:right w:val="dashSmallGap" w:sz="4" w:space="0" w:color="auto"/>
            </w:tcBorders>
          </w:tcPr>
          <w:p>
            <w:pPr>
              <w:ind w:right="-29"/>
              <w:jc w:val="center"/>
              <w:rPr>
                <w:noProof/>
                <w:sz w:val="20"/>
              </w:rPr>
            </w:pPr>
          </w:p>
        </w:tc>
        <w:tc>
          <w:tcPr>
            <w:tcW w:w="840" w:type="dxa"/>
            <w:tcBorders>
              <w:left w:val="dashSmallGap" w:sz="4" w:space="0" w:color="auto"/>
              <w:bottom w:val="single" w:sz="4" w:space="0" w:color="auto"/>
            </w:tcBorders>
          </w:tcPr>
          <w:p>
            <w:pPr>
              <w:ind w:right="-29"/>
              <w:jc w:val="center"/>
              <w:rPr>
                <w:noProof/>
                <w:sz w:val="20"/>
              </w:rPr>
            </w:pPr>
            <w:r>
              <w:rPr>
                <w:b/>
                <w:noProof/>
                <w:sz w:val="20"/>
              </w:rPr>
              <w:t>0,070</w:t>
            </w:r>
          </w:p>
        </w:tc>
        <w:tc>
          <w:tcPr>
            <w:tcW w:w="360" w:type="dxa"/>
            <w:tcBorders>
              <w:bottom w:val="single" w:sz="4" w:space="0" w:color="auto"/>
              <w:right w:val="dashSmallGap" w:sz="4" w:space="0" w:color="auto"/>
            </w:tcBorders>
          </w:tcPr>
          <w:p>
            <w:pPr>
              <w:ind w:right="-29"/>
              <w:jc w:val="center"/>
              <w:rPr>
                <w:noProof/>
                <w:sz w:val="20"/>
              </w:rPr>
            </w:pPr>
          </w:p>
        </w:tc>
        <w:tc>
          <w:tcPr>
            <w:tcW w:w="840" w:type="dxa"/>
            <w:tcBorders>
              <w:left w:val="dashSmallGap" w:sz="4" w:space="0" w:color="auto"/>
              <w:bottom w:val="single" w:sz="4" w:space="0" w:color="auto"/>
            </w:tcBorders>
          </w:tcPr>
          <w:p>
            <w:pPr>
              <w:ind w:right="-29"/>
              <w:jc w:val="center"/>
              <w:rPr>
                <w:noProof/>
                <w:sz w:val="20"/>
              </w:rPr>
            </w:pPr>
            <w:r>
              <w:rPr>
                <w:b/>
                <w:noProof/>
                <w:sz w:val="20"/>
              </w:rPr>
              <w:t>0,070</w:t>
            </w:r>
          </w:p>
        </w:tc>
        <w:tc>
          <w:tcPr>
            <w:tcW w:w="678" w:type="dxa"/>
            <w:tcBorders>
              <w:bottom w:val="single" w:sz="4" w:space="0" w:color="auto"/>
              <w:right w:val="dashSmallGap" w:sz="4" w:space="0" w:color="auto"/>
            </w:tcBorders>
          </w:tcPr>
          <w:p>
            <w:pPr>
              <w:ind w:right="-29"/>
              <w:jc w:val="center"/>
              <w:rPr>
                <w:noProof/>
                <w:sz w:val="20"/>
              </w:rPr>
            </w:pPr>
          </w:p>
        </w:tc>
        <w:tc>
          <w:tcPr>
            <w:tcW w:w="1002" w:type="dxa"/>
            <w:tcBorders>
              <w:left w:val="dashSmallGap" w:sz="4" w:space="0" w:color="auto"/>
              <w:bottom w:val="single" w:sz="4" w:space="0" w:color="auto"/>
              <w:right w:val="single" w:sz="4" w:space="0" w:color="auto"/>
            </w:tcBorders>
          </w:tcPr>
          <w:p>
            <w:pPr>
              <w:jc w:val="center"/>
              <w:rPr>
                <w:rFonts w:ascii="Calibri" w:hAnsi="Calibri"/>
                <w:b/>
                <w:noProof/>
                <w:color w:val="000000"/>
                <w:sz w:val="20"/>
              </w:rPr>
            </w:pPr>
            <w:r>
              <w:rPr>
                <w:rFonts w:ascii="Calibri" w:hAnsi="Calibri"/>
                <w:b/>
                <w:noProof/>
                <w:color w:val="000000"/>
                <w:sz w:val="20"/>
              </w:rPr>
              <w:t>0,840</w:t>
            </w:r>
          </w:p>
          <w:p>
            <w:pPr>
              <w:ind w:right="-29"/>
              <w:jc w:val="center"/>
              <w:rPr>
                <w:noProof/>
                <w:sz w:val="20"/>
              </w:rPr>
            </w:pPr>
          </w:p>
        </w:tc>
      </w:tr>
    </w:tbl>
    <w:p>
      <w:pPr>
        <w:rPr>
          <w:noProof/>
        </w:rPr>
      </w:pPr>
    </w:p>
    <w:p>
      <w:pPr>
        <w:rPr>
          <w:noProof/>
        </w:rPr>
      </w:pPr>
      <w:r>
        <w:rPr>
          <w:noProof/>
        </w:rPr>
        <w:t>Da se zagotovita enotno izvajanje in uporaba interoperabilnostnih rešitev, bo usposabljanje organizirano tako centralno na ravni EU, in sicer prek CEPOL-a, kot s strani držav članic. Odhodki za usposabljanje na ravni EU vključujejo stroške za:</w:t>
      </w:r>
    </w:p>
    <w:p>
      <w:pPr>
        <w:rPr>
          <w:noProof/>
        </w:rPr>
      </w:pPr>
      <w:r>
        <w:rPr>
          <w:noProof/>
        </w:rPr>
        <w:t>– pripravo skupnega učnega načrta, ki ga bodo države članice uporabljale pri izvajanju usposabljanj na nacionalni ravni;</w:t>
      </w:r>
    </w:p>
    <w:p>
      <w:pPr>
        <w:rPr>
          <w:noProof/>
        </w:rPr>
      </w:pPr>
      <w:r>
        <w:rPr>
          <w:noProof/>
        </w:rPr>
        <w:t>– dejavnosti za usposabljanje inštruktorjev na kraju. Po pričakovanjih se bo v dveh letih neposredno po začetku delovanja interoperabilnostnih rešitev usposabljanje izvajalo v širšem obsegu, pozneje pa se bo ohranjalo na ravni dveh tečajev usposabljanja na kraju na leto;</w:t>
      </w:r>
    </w:p>
    <w:p>
      <w:pPr>
        <w:rPr>
          <w:noProof/>
        </w:rPr>
      </w:pPr>
      <w:r>
        <w:rPr>
          <w:noProof/>
        </w:rPr>
        <w:t>– spletni tečaj za dopolnitev dejavnosti na kraju na ravni EU in v državah članicah.</w:t>
      </w:r>
    </w:p>
    <w:p>
      <w:pPr>
        <w:rPr>
          <w:noProof/>
        </w:rPr>
      </w:pPr>
    </w:p>
    <w:p>
      <w:pPr>
        <w:spacing w:before="0" w:after="200" w:line="276" w:lineRule="auto"/>
        <w:jc w:val="left"/>
        <w:rPr>
          <w:noProof/>
        </w:rPr>
      </w:pPr>
      <w:r>
        <w:rPr>
          <w:noProof/>
        </w:rPr>
        <w:br w:type="page"/>
      </w:r>
    </w:p>
    <w:p>
      <w:pPr>
        <w:rPr>
          <w:noProof/>
        </w:rPr>
      </w:pPr>
    </w:p>
    <w:p>
      <w:pPr>
        <w:pStyle w:val="ManualHeading4"/>
        <w:rPr>
          <w:noProof/>
        </w:rPr>
      </w:pPr>
      <w:r>
        <w:t>3.2.2.4.</w:t>
      </w:r>
      <w:r>
        <w:tab/>
      </w:r>
      <w:r>
        <w:rPr>
          <w:noProof/>
        </w:rPr>
        <w:t>Ocenjene posledice za odobritve za agencijo eu-LISA</w:t>
      </w:r>
    </w:p>
    <w:p>
      <w:pPr>
        <w:pStyle w:val="ListDash1"/>
        <w:rPr>
          <w:noProof/>
        </w:rPr>
      </w:pPr>
      <w:r>
        <w:rPr>
          <w:noProof/>
        </w:rPr>
        <w:sym w:font="Wingdings" w:char="F0A8"/>
      </w:r>
      <w:r>
        <w:rPr>
          <w:noProof/>
        </w:rPr>
        <w:tab/>
        <w:t xml:space="preserve">Za predlog/pobudo niso potrebne odobritve za poslovanje. </w:t>
      </w:r>
    </w:p>
    <w:p>
      <w:pPr>
        <w:pStyle w:val="ListDash1"/>
        <w:rPr>
          <w:noProof/>
        </w:rPr>
      </w:pPr>
      <w:r>
        <w:rPr>
          <w:noProof/>
        </w:rPr>
        <w:sym w:font="Wingdings" w:char="F078"/>
      </w:r>
      <w:r>
        <w:rPr>
          <w:noProof/>
        </w:rPr>
        <w:tab/>
        <w:t>Za predlog/pobudo so potrebne odobritve za poslovanje, kot je pojasnjeno v nadaljevanju:</w:t>
      </w:r>
    </w:p>
    <w:p>
      <w:pPr>
        <w:jc w:val="right"/>
        <w:rPr>
          <w:noProof/>
          <w:sz w:val="20"/>
        </w:rPr>
      </w:pPr>
      <w:r>
        <w:rPr>
          <w:noProof/>
          <w:sz w:val="20"/>
        </w:rPr>
        <w:t>odobritve za prevzem obveznosti v mio. EUR (na tri decimalna mesta natančno)</w:t>
      </w:r>
    </w:p>
    <w:tbl>
      <w:tblPr>
        <w:tblW w:w="14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2"/>
        <w:gridCol w:w="721"/>
        <w:gridCol w:w="659"/>
        <w:gridCol w:w="303"/>
        <w:gridCol w:w="757"/>
        <w:gridCol w:w="110"/>
        <w:gridCol w:w="173"/>
        <w:gridCol w:w="63"/>
        <w:gridCol w:w="930"/>
        <w:gridCol w:w="283"/>
        <w:gridCol w:w="851"/>
        <w:gridCol w:w="283"/>
        <w:gridCol w:w="851"/>
        <w:gridCol w:w="283"/>
        <w:gridCol w:w="709"/>
        <w:gridCol w:w="283"/>
        <w:gridCol w:w="851"/>
        <w:gridCol w:w="283"/>
        <w:gridCol w:w="851"/>
        <w:gridCol w:w="283"/>
        <w:gridCol w:w="851"/>
        <w:gridCol w:w="283"/>
        <w:gridCol w:w="709"/>
        <w:gridCol w:w="709"/>
        <w:gridCol w:w="854"/>
      </w:tblGrid>
      <w:tr>
        <w:trPr>
          <w:jc w:val="center"/>
        </w:trPr>
        <w:tc>
          <w:tcPr>
            <w:tcW w:w="1422" w:type="dxa"/>
            <w:vMerge w:val="restart"/>
            <w:tcBorders>
              <w:top w:val="single" w:sz="12" w:space="0" w:color="auto"/>
              <w:left w:val="single" w:sz="12" w:space="0" w:color="auto"/>
            </w:tcBorders>
            <w:vAlign w:val="center"/>
          </w:tcPr>
          <w:p>
            <w:pPr>
              <w:ind w:right="-29"/>
              <w:jc w:val="center"/>
              <w:rPr>
                <w:b/>
                <w:noProof/>
                <w:sz w:val="18"/>
                <w:szCs w:val="18"/>
              </w:rPr>
            </w:pPr>
            <w:r>
              <w:rPr>
                <w:b/>
                <w:noProof/>
                <w:sz w:val="18"/>
              </w:rPr>
              <w:t xml:space="preserve">Cilji in realizacije </w:t>
            </w:r>
          </w:p>
          <w:p>
            <w:pPr>
              <w:ind w:right="-29"/>
              <w:jc w:val="center"/>
              <w:rPr>
                <w:b/>
                <w:noProof/>
                <w:sz w:val="18"/>
                <w:szCs w:val="18"/>
              </w:rPr>
            </w:pPr>
            <w:r>
              <w:rPr>
                <w:b/>
                <w:noProof/>
                <w:sz w:val="18"/>
              </w:rPr>
              <w:t>eu-LISA</w:t>
            </w:r>
          </w:p>
          <w:p>
            <w:pPr>
              <w:ind w:right="-29"/>
              <w:jc w:val="center"/>
              <w:rPr>
                <w:noProof/>
                <w:sz w:val="18"/>
                <w:szCs w:val="18"/>
              </w:rPr>
            </w:pPr>
            <w:r>
              <w:rPr>
                <w:noProof/>
                <w:sz w:val="18"/>
              </w:rPr>
              <w:sym w:font="Wingdings" w:char="F0F2"/>
            </w:r>
          </w:p>
        </w:tc>
        <w:tc>
          <w:tcPr>
            <w:tcW w:w="721" w:type="dxa"/>
            <w:tcBorders>
              <w:top w:val="single" w:sz="12" w:space="0" w:color="auto"/>
            </w:tcBorders>
            <w:vAlign w:val="center"/>
          </w:tcPr>
          <w:p>
            <w:pPr>
              <w:ind w:right="-29"/>
              <w:jc w:val="center"/>
              <w:rPr>
                <w:noProof/>
                <w:sz w:val="18"/>
                <w:szCs w:val="18"/>
              </w:rPr>
            </w:pPr>
          </w:p>
        </w:tc>
        <w:tc>
          <w:tcPr>
            <w:tcW w:w="659" w:type="dxa"/>
            <w:tcBorders>
              <w:top w:val="single" w:sz="12" w:space="0" w:color="auto"/>
            </w:tcBorders>
            <w:vAlign w:val="center"/>
          </w:tcPr>
          <w:p>
            <w:pPr>
              <w:ind w:right="-29"/>
              <w:jc w:val="center"/>
              <w:rPr>
                <w:noProof/>
                <w:sz w:val="18"/>
                <w:szCs w:val="18"/>
              </w:rPr>
            </w:pPr>
          </w:p>
        </w:tc>
        <w:tc>
          <w:tcPr>
            <w:tcW w:w="1170" w:type="dxa"/>
            <w:gridSpan w:val="3"/>
            <w:tcBorders>
              <w:top w:val="single" w:sz="12" w:space="0" w:color="auto"/>
              <w:right w:val="single" w:sz="4" w:space="0" w:color="auto"/>
            </w:tcBorders>
            <w:vAlign w:val="center"/>
          </w:tcPr>
          <w:p>
            <w:pPr>
              <w:ind w:right="-29"/>
              <w:jc w:val="center"/>
              <w:rPr>
                <w:noProof/>
                <w:sz w:val="18"/>
                <w:szCs w:val="18"/>
              </w:rPr>
            </w:pPr>
            <w:r>
              <w:rPr>
                <w:noProof/>
                <w:sz w:val="18"/>
              </w:rPr>
              <w:t>Leto</w:t>
            </w:r>
            <w:r>
              <w:rPr>
                <w:noProof/>
                <w:sz w:val="22"/>
              </w:rPr>
              <w:br/>
            </w:r>
            <w:r>
              <w:rPr>
                <w:b/>
                <w:noProof/>
                <w:sz w:val="18"/>
              </w:rPr>
              <w:t>2019</w:t>
            </w:r>
          </w:p>
        </w:tc>
        <w:tc>
          <w:tcPr>
            <w:tcW w:w="1166" w:type="dxa"/>
            <w:gridSpan w:val="3"/>
            <w:tcBorders>
              <w:top w:val="single" w:sz="12" w:space="0" w:color="auto"/>
              <w:left w:val="single" w:sz="4" w:space="0" w:color="auto"/>
            </w:tcBorders>
            <w:vAlign w:val="center"/>
          </w:tcPr>
          <w:p>
            <w:pPr>
              <w:ind w:right="-29"/>
              <w:jc w:val="center"/>
              <w:rPr>
                <w:noProof/>
                <w:sz w:val="18"/>
                <w:szCs w:val="18"/>
              </w:rPr>
            </w:pPr>
            <w:r>
              <w:rPr>
                <w:noProof/>
                <w:sz w:val="18"/>
              </w:rPr>
              <w:t>Leto</w:t>
            </w:r>
            <w:r>
              <w:rPr>
                <w:noProof/>
                <w:sz w:val="22"/>
              </w:rPr>
              <w:br/>
            </w:r>
            <w:r>
              <w:rPr>
                <w:b/>
                <w:noProof/>
                <w:sz w:val="18"/>
              </w:rPr>
              <w:t>2020</w:t>
            </w:r>
          </w:p>
        </w:tc>
        <w:tc>
          <w:tcPr>
            <w:tcW w:w="1134" w:type="dxa"/>
            <w:gridSpan w:val="2"/>
            <w:tcBorders>
              <w:top w:val="single" w:sz="12" w:space="0" w:color="auto"/>
            </w:tcBorders>
            <w:vAlign w:val="center"/>
          </w:tcPr>
          <w:p>
            <w:pPr>
              <w:ind w:right="-29"/>
              <w:jc w:val="center"/>
              <w:rPr>
                <w:noProof/>
                <w:sz w:val="18"/>
                <w:szCs w:val="18"/>
              </w:rPr>
            </w:pPr>
            <w:r>
              <w:rPr>
                <w:noProof/>
                <w:sz w:val="18"/>
              </w:rPr>
              <w:t>Leto</w:t>
            </w:r>
            <w:r>
              <w:rPr>
                <w:noProof/>
                <w:sz w:val="22"/>
              </w:rPr>
              <w:br/>
            </w:r>
            <w:r>
              <w:rPr>
                <w:b/>
                <w:noProof/>
                <w:sz w:val="18"/>
              </w:rPr>
              <w:t>2021</w:t>
            </w:r>
          </w:p>
        </w:tc>
        <w:tc>
          <w:tcPr>
            <w:tcW w:w="1134" w:type="dxa"/>
            <w:gridSpan w:val="2"/>
            <w:tcBorders>
              <w:top w:val="single" w:sz="12" w:space="0" w:color="auto"/>
            </w:tcBorders>
            <w:vAlign w:val="center"/>
          </w:tcPr>
          <w:p>
            <w:pPr>
              <w:ind w:right="-29"/>
              <w:jc w:val="center"/>
              <w:rPr>
                <w:noProof/>
                <w:sz w:val="18"/>
                <w:szCs w:val="18"/>
              </w:rPr>
            </w:pPr>
            <w:r>
              <w:rPr>
                <w:noProof/>
                <w:sz w:val="18"/>
              </w:rPr>
              <w:t>Leto</w:t>
            </w:r>
            <w:r>
              <w:rPr>
                <w:noProof/>
                <w:sz w:val="22"/>
              </w:rPr>
              <w:br/>
            </w:r>
            <w:r>
              <w:rPr>
                <w:b/>
                <w:noProof/>
                <w:sz w:val="18"/>
              </w:rPr>
              <w:t>2022</w:t>
            </w:r>
          </w:p>
        </w:tc>
        <w:tc>
          <w:tcPr>
            <w:tcW w:w="992" w:type="dxa"/>
            <w:gridSpan w:val="2"/>
            <w:tcBorders>
              <w:top w:val="single" w:sz="12" w:space="0" w:color="auto"/>
            </w:tcBorders>
            <w:vAlign w:val="center"/>
          </w:tcPr>
          <w:p>
            <w:pPr>
              <w:jc w:val="center"/>
              <w:rPr>
                <w:noProof/>
                <w:sz w:val="18"/>
                <w:szCs w:val="18"/>
              </w:rPr>
            </w:pPr>
            <w:r>
              <w:rPr>
                <w:noProof/>
                <w:sz w:val="18"/>
              </w:rPr>
              <w:t>Leto</w:t>
            </w:r>
            <w:r>
              <w:rPr>
                <w:noProof/>
                <w:sz w:val="22"/>
              </w:rPr>
              <w:br/>
            </w:r>
            <w:r>
              <w:rPr>
                <w:b/>
                <w:noProof/>
                <w:sz w:val="18"/>
              </w:rPr>
              <w:t>2023</w:t>
            </w:r>
          </w:p>
        </w:tc>
        <w:tc>
          <w:tcPr>
            <w:tcW w:w="1134" w:type="dxa"/>
            <w:gridSpan w:val="2"/>
            <w:tcBorders>
              <w:top w:val="single" w:sz="12" w:space="0" w:color="auto"/>
            </w:tcBorders>
            <w:vAlign w:val="center"/>
          </w:tcPr>
          <w:p>
            <w:pPr>
              <w:jc w:val="center"/>
              <w:rPr>
                <w:noProof/>
                <w:sz w:val="18"/>
                <w:szCs w:val="18"/>
              </w:rPr>
            </w:pPr>
            <w:r>
              <w:rPr>
                <w:noProof/>
                <w:sz w:val="18"/>
              </w:rPr>
              <w:t>Leto</w:t>
            </w:r>
            <w:r>
              <w:rPr>
                <w:noProof/>
                <w:sz w:val="22"/>
              </w:rPr>
              <w:br/>
            </w:r>
            <w:r>
              <w:rPr>
                <w:b/>
                <w:noProof/>
                <w:sz w:val="18"/>
              </w:rPr>
              <w:t>2024</w:t>
            </w:r>
          </w:p>
        </w:tc>
        <w:tc>
          <w:tcPr>
            <w:tcW w:w="1134" w:type="dxa"/>
            <w:gridSpan w:val="2"/>
            <w:tcBorders>
              <w:top w:val="single" w:sz="12" w:space="0" w:color="auto"/>
            </w:tcBorders>
            <w:vAlign w:val="center"/>
          </w:tcPr>
          <w:p>
            <w:pPr>
              <w:jc w:val="center"/>
              <w:rPr>
                <w:noProof/>
                <w:sz w:val="18"/>
                <w:szCs w:val="18"/>
              </w:rPr>
            </w:pPr>
            <w:r>
              <w:rPr>
                <w:noProof/>
                <w:sz w:val="18"/>
              </w:rPr>
              <w:t>Leto</w:t>
            </w:r>
            <w:r>
              <w:rPr>
                <w:noProof/>
                <w:sz w:val="22"/>
              </w:rPr>
              <w:br/>
            </w:r>
            <w:r>
              <w:rPr>
                <w:b/>
                <w:noProof/>
                <w:sz w:val="18"/>
              </w:rPr>
              <w:t>2025</w:t>
            </w:r>
          </w:p>
        </w:tc>
        <w:tc>
          <w:tcPr>
            <w:tcW w:w="1134" w:type="dxa"/>
            <w:gridSpan w:val="2"/>
            <w:tcBorders>
              <w:top w:val="single" w:sz="12" w:space="0" w:color="auto"/>
            </w:tcBorders>
          </w:tcPr>
          <w:p>
            <w:pPr>
              <w:ind w:right="-29"/>
              <w:jc w:val="center"/>
              <w:rPr>
                <w:b/>
                <w:noProof/>
                <w:sz w:val="18"/>
              </w:rPr>
            </w:pPr>
            <w:r>
              <w:rPr>
                <w:noProof/>
                <w:sz w:val="18"/>
              </w:rPr>
              <w:t>Leto</w:t>
            </w:r>
            <w:r>
              <w:rPr>
                <w:noProof/>
                <w:sz w:val="22"/>
              </w:rPr>
              <w:br/>
            </w:r>
            <w:r>
              <w:rPr>
                <w:b/>
                <w:noProof/>
                <w:sz w:val="18"/>
              </w:rPr>
              <w:t>2026</w:t>
            </w:r>
          </w:p>
        </w:tc>
        <w:tc>
          <w:tcPr>
            <w:tcW w:w="992" w:type="dxa"/>
            <w:gridSpan w:val="2"/>
            <w:tcBorders>
              <w:top w:val="single" w:sz="12" w:space="0" w:color="auto"/>
              <w:right w:val="nil"/>
            </w:tcBorders>
          </w:tcPr>
          <w:p>
            <w:pPr>
              <w:ind w:right="-29"/>
              <w:jc w:val="center"/>
              <w:rPr>
                <w:b/>
                <w:noProof/>
                <w:sz w:val="18"/>
              </w:rPr>
            </w:pPr>
            <w:r>
              <w:rPr>
                <w:noProof/>
                <w:sz w:val="18"/>
              </w:rPr>
              <w:t>Leto</w:t>
            </w:r>
            <w:r>
              <w:rPr>
                <w:noProof/>
                <w:sz w:val="22"/>
              </w:rPr>
              <w:br/>
            </w:r>
            <w:r>
              <w:rPr>
                <w:b/>
                <w:noProof/>
                <w:sz w:val="18"/>
              </w:rPr>
              <w:t>2027</w:t>
            </w:r>
          </w:p>
        </w:tc>
        <w:tc>
          <w:tcPr>
            <w:tcW w:w="1563" w:type="dxa"/>
            <w:gridSpan w:val="2"/>
            <w:tcBorders>
              <w:top w:val="single" w:sz="12" w:space="0" w:color="auto"/>
              <w:left w:val="single" w:sz="6" w:space="0" w:color="auto"/>
              <w:bottom w:val="single" w:sz="4" w:space="0" w:color="auto"/>
              <w:right w:val="single" w:sz="12" w:space="0" w:color="auto"/>
            </w:tcBorders>
            <w:vAlign w:val="center"/>
          </w:tcPr>
          <w:p>
            <w:pPr>
              <w:ind w:right="-29"/>
              <w:jc w:val="center"/>
              <w:rPr>
                <w:noProof/>
                <w:sz w:val="18"/>
                <w:szCs w:val="18"/>
              </w:rPr>
            </w:pPr>
            <w:r>
              <w:rPr>
                <w:b/>
                <w:noProof/>
                <w:sz w:val="18"/>
              </w:rPr>
              <w:t>SKUPAJ</w:t>
            </w:r>
          </w:p>
        </w:tc>
      </w:tr>
      <w:tr>
        <w:trPr>
          <w:gridAfter w:val="24"/>
          <w:wAfter w:w="12933" w:type="dxa"/>
          <w:trHeight w:val="465"/>
          <w:jc w:val="center"/>
        </w:trPr>
        <w:tc>
          <w:tcPr>
            <w:tcW w:w="1422" w:type="dxa"/>
            <w:vMerge/>
            <w:tcBorders>
              <w:left w:val="single" w:sz="12" w:space="0" w:color="auto"/>
            </w:tcBorders>
            <w:vAlign w:val="center"/>
          </w:tcPr>
          <w:p>
            <w:pPr>
              <w:ind w:right="-29"/>
              <w:jc w:val="center"/>
              <w:rPr>
                <w:noProof/>
                <w:sz w:val="18"/>
                <w:szCs w:val="18"/>
              </w:rPr>
            </w:pPr>
          </w:p>
        </w:tc>
      </w:tr>
      <w:tr>
        <w:trPr>
          <w:cantSplit/>
          <w:trHeight w:val="1134"/>
          <w:jc w:val="center"/>
        </w:trPr>
        <w:tc>
          <w:tcPr>
            <w:tcW w:w="1422" w:type="dxa"/>
            <w:vMerge/>
            <w:tcBorders>
              <w:left w:val="single" w:sz="12" w:space="0" w:color="auto"/>
            </w:tcBorders>
            <w:vAlign w:val="center"/>
          </w:tcPr>
          <w:p>
            <w:pPr>
              <w:rPr>
                <w:noProof/>
                <w:sz w:val="18"/>
                <w:szCs w:val="18"/>
              </w:rPr>
            </w:pPr>
          </w:p>
        </w:tc>
        <w:tc>
          <w:tcPr>
            <w:tcW w:w="721" w:type="dxa"/>
            <w:vAlign w:val="center"/>
          </w:tcPr>
          <w:p>
            <w:pPr>
              <w:jc w:val="center"/>
              <w:rPr>
                <w:noProof/>
                <w:sz w:val="18"/>
                <w:szCs w:val="18"/>
              </w:rPr>
            </w:pPr>
            <w:r>
              <w:rPr>
                <w:noProof/>
                <w:sz w:val="18"/>
              </w:rPr>
              <w:t>vrsta</w:t>
            </w:r>
            <w:r>
              <w:rPr>
                <w:rStyle w:val="FootnoteReference"/>
                <w:noProof/>
              </w:rPr>
              <w:footnoteReference w:id="95"/>
            </w:r>
          </w:p>
          <w:p>
            <w:pPr>
              <w:spacing w:before="0" w:after="0"/>
              <w:jc w:val="center"/>
              <w:rPr>
                <w:noProof/>
                <w:sz w:val="18"/>
                <w:szCs w:val="18"/>
              </w:rPr>
            </w:pPr>
          </w:p>
        </w:tc>
        <w:tc>
          <w:tcPr>
            <w:tcW w:w="659" w:type="dxa"/>
            <w:tcBorders>
              <w:right w:val="single" w:sz="4" w:space="0" w:color="auto"/>
            </w:tcBorders>
            <w:vAlign w:val="center"/>
          </w:tcPr>
          <w:p>
            <w:pPr>
              <w:jc w:val="center"/>
              <w:rPr>
                <w:noProof/>
                <w:sz w:val="18"/>
                <w:szCs w:val="18"/>
              </w:rPr>
            </w:pPr>
            <w:r>
              <w:rPr>
                <w:noProof/>
                <w:sz w:val="18"/>
              </w:rPr>
              <w:t>povprečni stroški</w:t>
            </w:r>
          </w:p>
        </w:tc>
        <w:tc>
          <w:tcPr>
            <w:tcW w:w="303" w:type="dxa"/>
            <w:tcBorders>
              <w:top w:val="dotted" w:sz="4" w:space="0" w:color="auto"/>
              <w:left w:val="single" w:sz="4" w:space="0" w:color="auto"/>
              <w:bottom w:val="dotted" w:sz="4" w:space="0" w:color="auto"/>
              <w:right w:val="nil"/>
            </w:tcBorders>
            <w:shd w:val="pct10" w:color="auto" w:fill="auto"/>
            <w:textDirection w:val="btLr"/>
            <w:vAlign w:val="center"/>
          </w:tcPr>
          <w:p>
            <w:pPr>
              <w:ind w:left="113" w:right="113"/>
              <w:jc w:val="center"/>
              <w:rPr>
                <w:noProof/>
                <w:sz w:val="18"/>
              </w:rPr>
            </w:pPr>
            <w:r>
              <w:rPr>
                <w:noProof/>
                <w:sz w:val="18"/>
              </w:rPr>
              <w:t>število</w:t>
            </w:r>
          </w:p>
        </w:tc>
        <w:tc>
          <w:tcPr>
            <w:tcW w:w="757" w:type="dxa"/>
            <w:tcBorders>
              <w:left w:val="nil"/>
              <w:right w:val="single" w:sz="4" w:space="0" w:color="auto"/>
            </w:tcBorders>
            <w:shd w:val="pct10" w:color="auto" w:fill="auto"/>
            <w:vAlign w:val="center"/>
          </w:tcPr>
          <w:p>
            <w:pPr>
              <w:jc w:val="center"/>
              <w:rPr>
                <w:noProof/>
                <w:sz w:val="18"/>
              </w:rPr>
            </w:pPr>
            <w:r>
              <w:rPr>
                <w:noProof/>
                <w:sz w:val="18"/>
              </w:rPr>
              <w:t>stroški</w:t>
            </w:r>
          </w:p>
        </w:tc>
        <w:tc>
          <w:tcPr>
            <w:tcW w:w="283" w:type="dxa"/>
            <w:gridSpan w:val="2"/>
            <w:tcBorders>
              <w:left w:val="single" w:sz="4" w:space="0" w:color="auto"/>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993" w:type="dxa"/>
            <w:gridSpan w:val="2"/>
            <w:tcBorders>
              <w:left w:val="dashSmallGap" w:sz="4" w:space="0" w:color="auto"/>
            </w:tcBorders>
            <w:shd w:val="pct10" w:color="auto" w:fill="auto"/>
            <w:vAlign w:val="center"/>
          </w:tcPr>
          <w:p>
            <w:pPr>
              <w:jc w:val="center"/>
              <w:rPr>
                <w:noProof/>
                <w:sz w:val="18"/>
                <w:szCs w:val="18"/>
              </w:rPr>
            </w:pPr>
            <w:r>
              <w:rPr>
                <w:noProof/>
                <w:sz w:val="18"/>
              </w:rPr>
              <w:t>stroški</w:t>
            </w:r>
          </w:p>
        </w:tc>
        <w:tc>
          <w:tcPr>
            <w:tcW w:w="283"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851"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283"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851"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283"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709"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283"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851"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283"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851"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283"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851"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283" w:type="dxa"/>
            <w:tcBorders>
              <w:right w:val="dashSmallGap" w:sz="4" w:space="0" w:color="auto"/>
            </w:tcBorders>
            <w:shd w:val="pct10" w:color="auto" w:fill="auto"/>
            <w:textDirection w:val="btLr"/>
            <w:vAlign w:val="center"/>
          </w:tcPr>
          <w:p>
            <w:pPr>
              <w:ind w:left="113" w:right="113"/>
              <w:jc w:val="center"/>
              <w:rPr>
                <w:noProof/>
                <w:sz w:val="18"/>
              </w:rPr>
            </w:pPr>
            <w:r>
              <w:rPr>
                <w:noProof/>
                <w:sz w:val="18"/>
              </w:rPr>
              <w:t>število</w:t>
            </w:r>
          </w:p>
        </w:tc>
        <w:tc>
          <w:tcPr>
            <w:tcW w:w="709" w:type="dxa"/>
            <w:tcBorders>
              <w:left w:val="dashSmallGap" w:sz="4" w:space="0" w:color="auto"/>
            </w:tcBorders>
            <w:shd w:val="pct10" w:color="auto" w:fill="auto"/>
            <w:vAlign w:val="center"/>
          </w:tcPr>
          <w:p>
            <w:pPr>
              <w:jc w:val="center"/>
              <w:rPr>
                <w:noProof/>
                <w:sz w:val="18"/>
              </w:rPr>
            </w:pPr>
            <w:r>
              <w:rPr>
                <w:noProof/>
                <w:sz w:val="18"/>
              </w:rPr>
              <w:t>stroški</w:t>
            </w:r>
          </w:p>
        </w:tc>
        <w:tc>
          <w:tcPr>
            <w:tcW w:w="709"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 realizacij skupaj</w:t>
            </w:r>
          </w:p>
        </w:tc>
        <w:tc>
          <w:tcPr>
            <w:tcW w:w="854" w:type="dxa"/>
            <w:tcBorders>
              <w:left w:val="dashSmallGap" w:sz="4" w:space="0" w:color="auto"/>
              <w:right w:val="single" w:sz="12" w:space="0" w:color="auto"/>
            </w:tcBorders>
            <w:shd w:val="pct10" w:color="auto" w:fill="auto"/>
            <w:vAlign w:val="center"/>
          </w:tcPr>
          <w:p>
            <w:pPr>
              <w:jc w:val="center"/>
              <w:rPr>
                <w:noProof/>
                <w:sz w:val="18"/>
                <w:szCs w:val="18"/>
              </w:rPr>
            </w:pPr>
            <w:r>
              <w:rPr>
                <w:noProof/>
                <w:sz w:val="18"/>
              </w:rPr>
              <w:t>stroški realizacij skupaj</w:t>
            </w:r>
          </w:p>
        </w:tc>
      </w:tr>
      <w:tr>
        <w:trPr>
          <w:jc w:val="center"/>
        </w:trPr>
        <w:tc>
          <w:tcPr>
            <w:tcW w:w="2802" w:type="dxa"/>
            <w:gridSpan w:val="3"/>
            <w:tcBorders>
              <w:left w:val="single" w:sz="12" w:space="0" w:color="auto"/>
            </w:tcBorders>
            <w:vAlign w:val="center"/>
          </w:tcPr>
          <w:p>
            <w:pPr>
              <w:spacing w:before="60" w:after="60"/>
              <w:ind w:right="-29"/>
              <w:jc w:val="center"/>
              <w:rPr>
                <w:noProof/>
                <w:sz w:val="18"/>
              </w:rPr>
            </w:pPr>
            <w:r>
              <w:rPr>
                <w:noProof/>
                <w:sz w:val="18"/>
              </w:rPr>
              <w:t>SPECIFIČNI CILJ št. 1</w:t>
            </w:r>
            <w:r>
              <w:rPr>
                <w:rStyle w:val="FootnoteReference"/>
                <w:noProof/>
              </w:rPr>
              <w:footnoteReference w:id="96"/>
            </w:r>
          </w:p>
          <w:p>
            <w:pPr>
              <w:spacing w:before="60" w:after="60"/>
              <w:ind w:right="-29"/>
              <w:jc w:val="center"/>
              <w:rPr>
                <w:noProof/>
                <w:sz w:val="18"/>
                <w:szCs w:val="18"/>
              </w:rPr>
            </w:pPr>
            <w:r>
              <w:rPr>
                <w:noProof/>
                <w:sz w:val="18"/>
              </w:rPr>
              <w:t>Razvoj sestavnih delov interoperabilnosti</w:t>
            </w:r>
          </w:p>
        </w:tc>
        <w:tc>
          <w:tcPr>
            <w:tcW w:w="303" w:type="dxa"/>
            <w:tcBorders>
              <w:right w:val="nil"/>
            </w:tcBorders>
          </w:tcPr>
          <w:p>
            <w:pPr>
              <w:spacing w:before="60" w:after="60"/>
              <w:ind w:right="-29"/>
              <w:jc w:val="center"/>
              <w:rPr>
                <w:noProof/>
                <w:sz w:val="18"/>
                <w:szCs w:val="18"/>
              </w:rPr>
            </w:pPr>
          </w:p>
        </w:tc>
        <w:tc>
          <w:tcPr>
            <w:tcW w:w="867" w:type="dxa"/>
            <w:gridSpan w:val="2"/>
            <w:tcBorders>
              <w:left w:val="nil"/>
              <w:bottom w:val="single" w:sz="4" w:space="0" w:color="auto"/>
            </w:tcBorders>
          </w:tcPr>
          <w:p>
            <w:pPr>
              <w:spacing w:before="60" w:after="60"/>
              <w:ind w:right="-29"/>
              <w:jc w:val="center"/>
              <w:rPr>
                <w:noProof/>
                <w:sz w:val="18"/>
                <w:szCs w:val="18"/>
              </w:rPr>
            </w:pPr>
          </w:p>
        </w:tc>
        <w:tc>
          <w:tcPr>
            <w:tcW w:w="236" w:type="dxa"/>
            <w:gridSpan w:val="2"/>
            <w:tcBorders>
              <w:top w:val="nil"/>
              <w:left w:val="nil"/>
              <w:bottom w:val="nil"/>
              <w:right w:val="nil"/>
            </w:tcBorders>
          </w:tcPr>
          <w:p>
            <w:pPr>
              <w:spacing w:before="60" w:after="60"/>
              <w:ind w:right="-29"/>
              <w:jc w:val="center"/>
              <w:rPr>
                <w:noProof/>
                <w:sz w:val="18"/>
                <w:szCs w:val="18"/>
              </w:rPr>
            </w:pPr>
          </w:p>
        </w:tc>
        <w:tc>
          <w:tcPr>
            <w:tcW w:w="930" w:type="dxa"/>
            <w:tcBorders>
              <w:top w:val="nil"/>
              <w:left w:val="nil"/>
              <w:bottom w:val="nil"/>
              <w:right w:val="nil"/>
            </w:tcBorders>
          </w:tcPr>
          <w:p>
            <w:pPr>
              <w:spacing w:before="60" w:after="60"/>
              <w:ind w:right="-29"/>
              <w:jc w:val="center"/>
              <w:rPr>
                <w:noProof/>
                <w:sz w:val="18"/>
                <w:szCs w:val="18"/>
              </w:rPr>
            </w:pPr>
          </w:p>
        </w:tc>
        <w:tc>
          <w:tcPr>
            <w:tcW w:w="283" w:type="dxa"/>
            <w:tcBorders>
              <w:top w:val="nil"/>
              <w:left w:val="nil"/>
              <w:bottom w:val="nil"/>
              <w:right w:val="nil"/>
            </w:tcBorders>
          </w:tcPr>
          <w:p>
            <w:pPr>
              <w:spacing w:before="60" w:after="60"/>
              <w:ind w:right="-29"/>
              <w:jc w:val="center"/>
              <w:rPr>
                <w:noProof/>
                <w:sz w:val="18"/>
                <w:szCs w:val="18"/>
              </w:rPr>
            </w:pPr>
          </w:p>
        </w:tc>
        <w:tc>
          <w:tcPr>
            <w:tcW w:w="851" w:type="dxa"/>
            <w:tcBorders>
              <w:top w:val="nil"/>
              <w:left w:val="nil"/>
              <w:bottom w:val="nil"/>
              <w:right w:val="nil"/>
            </w:tcBorders>
          </w:tcPr>
          <w:p>
            <w:pPr>
              <w:spacing w:before="60" w:after="60"/>
              <w:ind w:right="-29"/>
              <w:jc w:val="center"/>
              <w:rPr>
                <w:noProof/>
                <w:sz w:val="18"/>
                <w:szCs w:val="18"/>
              </w:rPr>
            </w:pPr>
          </w:p>
        </w:tc>
        <w:tc>
          <w:tcPr>
            <w:tcW w:w="283" w:type="dxa"/>
            <w:tcBorders>
              <w:top w:val="nil"/>
              <w:left w:val="nil"/>
              <w:bottom w:val="nil"/>
              <w:right w:val="nil"/>
            </w:tcBorders>
          </w:tcPr>
          <w:p>
            <w:pPr>
              <w:spacing w:before="60" w:after="60"/>
              <w:ind w:right="-29"/>
              <w:jc w:val="center"/>
              <w:rPr>
                <w:noProof/>
                <w:sz w:val="18"/>
                <w:szCs w:val="18"/>
              </w:rPr>
            </w:pPr>
          </w:p>
        </w:tc>
        <w:tc>
          <w:tcPr>
            <w:tcW w:w="851" w:type="dxa"/>
            <w:tcBorders>
              <w:top w:val="nil"/>
              <w:left w:val="nil"/>
              <w:bottom w:val="nil"/>
              <w:right w:val="nil"/>
            </w:tcBorders>
          </w:tcPr>
          <w:p>
            <w:pPr>
              <w:spacing w:before="60" w:after="60"/>
              <w:ind w:right="-29"/>
              <w:jc w:val="center"/>
              <w:rPr>
                <w:noProof/>
                <w:sz w:val="18"/>
                <w:szCs w:val="18"/>
              </w:rPr>
            </w:pPr>
          </w:p>
        </w:tc>
        <w:tc>
          <w:tcPr>
            <w:tcW w:w="283" w:type="dxa"/>
            <w:tcBorders>
              <w:top w:val="nil"/>
              <w:left w:val="nil"/>
              <w:bottom w:val="nil"/>
              <w:right w:val="nil"/>
            </w:tcBorders>
          </w:tcPr>
          <w:p>
            <w:pPr>
              <w:spacing w:before="60" w:after="60"/>
              <w:ind w:right="-29"/>
              <w:jc w:val="center"/>
              <w:rPr>
                <w:noProof/>
                <w:sz w:val="18"/>
                <w:szCs w:val="18"/>
              </w:rPr>
            </w:pPr>
          </w:p>
        </w:tc>
        <w:tc>
          <w:tcPr>
            <w:tcW w:w="709" w:type="dxa"/>
            <w:tcBorders>
              <w:top w:val="nil"/>
              <w:left w:val="nil"/>
              <w:bottom w:val="nil"/>
              <w:right w:val="nil"/>
            </w:tcBorders>
          </w:tcPr>
          <w:p>
            <w:pPr>
              <w:spacing w:before="60" w:after="60"/>
              <w:ind w:right="-29"/>
              <w:jc w:val="center"/>
              <w:rPr>
                <w:noProof/>
                <w:sz w:val="18"/>
                <w:szCs w:val="18"/>
              </w:rPr>
            </w:pPr>
          </w:p>
        </w:tc>
        <w:tc>
          <w:tcPr>
            <w:tcW w:w="283" w:type="dxa"/>
            <w:tcBorders>
              <w:top w:val="nil"/>
              <w:left w:val="nil"/>
              <w:bottom w:val="nil"/>
              <w:right w:val="nil"/>
            </w:tcBorders>
          </w:tcPr>
          <w:p>
            <w:pPr>
              <w:spacing w:before="60" w:after="60"/>
              <w:ind w:right="-29"/>
              <w:jc w:val="center"/>
              <w:rPr>
                <w:noProof/>
                <w:sz w:val="18"/>
                <w:szCs w:val="18"/>
              </w:rPr>
            </w:pPr>
          </w:p>
        </w:tc>
        <w:tc>
          <w:tcPr>
            <w:tcW w:w="851" w:type="dxa"/>
            <w:tcBorders>
              <w:top w:val="nil"/>
              <w:left w:val="nil"/>
              <w:bottom w:val="nil"/>
              <w:right w:val="nil"/>
            </w:tcBorders>
          </w:tcPr>
          <w:p>
            <w:pPr>
              <w:spacing w:before="60" w:after="60"/>
              <w:ind w:right="-29"/>
              <w:jc w:val="center"/>
              <w:rPr>
                <w:noProof/>
                <w:sz w:val="18"/>
                <w:szCs w:val="18"/>
              </w:rPr>
            </w:pPr>
          </w:p>
        </w:tc>
        <w:tc>
          <w:tcPr>
            <w:tcW w:w="283" w:type="dxa"/>
            <w:tcBorders>
              <w:top w:val="nil"/>
              <w:left w:val="nil"/>
              <w:bottom w:val="nil"/>
              <w:right w:val="nil"/>
            </w:tcBorders>
          </w:tcPr>
          <w:p>
            <w:pPr>
              <w:spacing w:before="60" w:after="60"/>
              <w:ind w:right="-29"/>
              <w:jc w:val="center"/>
              <w:rPr>
                <w:noProof/>
                <w:sz w:val="18"/>
                <w:szCs w:val="18"/>
              </w:rPr>
            </w:pPr>
          </w:p>
        </w:tc>
        <w:tc>
          <w:tcPr>
            <w:tcW w:w="851" w:type="dxa"/>
            <w:tcBorders>
              <w:top w:val="nil"/>
              <w:left w:val="nil"/>
              <w:bottom w:val="nil"/>
              <w:right w:val="nil"/>
            </w:tcBorders>
          </w:tcPr>
          <w:p>
            <w:pPr>
              <w:spacing w:before="60" w:after="60"/>
              <w:ind w:right="-29"/>
              <w:jc w:val="center"/>
              <w:rPr>
                <w:noProof/>
                <w:sz w:val="18"/>
                <w:szCs w:val="18"/>
              </w:rPr>
            </w:pPr>
          </w:p>
        </w:tc>
        <w:tc>
          <w:tcPr>
            <w:tcW w:w="283" w:type="dxa"/>
            <w:tcBorders>
              <w:top w:val="nil"/>
              <w:left w:val="nil"/>
              <w:bottom w:val="nil"/>
              <w:right w:val="nil"/>
            </w:tcBorders>
          </w:tcPr>
          <w:p>
            <w:pPr>
              <w:spacing w:before="60" w:after="60"/>
              <w:ind w:right="-29"/>
              <w:jc w:val="center"/>
              <w:rPr>
                <w:noProof/>
                <w:sz w:val="18"/>
                <w:szCs w:val="18"/>
              </w:rPr>
            </w:pPr>
          </w:p>
        </w:tc>
        <w:tc>
          <w:tcPr>
            <w:tcW w:w="851" w:type="dxa"/>
            <w:tcBorders>
              <w:top w:val="nil"/>
              <w:left w:val="nil"/>
              <w:bottom w:val="nil"/>
              <w:right w:val="nil"/>
            </w:tcBorders>
          </w:tcPr>
          <w:p>
            <w:pPr>
              <w:spacing w:before="60" w:after="60"/>
              <w:ind w:right="-29"/>
              <w:jc w:val="center"/>
              <w:rPr>
                <w:noProof/>
                <w:sz w:val="18"/>
                <w:szCs w:val="18"/>
              </w:rPr>
            </w:pPr>
          </w:p>
        </w:tc>
        <w:tc>
          <w:tcPr>
            <w:tcW w:w="992" w:type="dxa"/>
            <w:gridSpan w:val="2"/>
            <w:tcBorders>
              <w:top w:val="nil"/>
              <w:left w:val="nil"/>
              <w:bottom w:val="nil"/>
              <w:right w:val="nil"/>
            </w:tcBorders>
          </w:tcPr>
          <w:p>
            <w:pPr>
              <w:spacing w:before="60" w:after="60"/>
              <w:ind w:right="-29"/>
              <w:jc w:val="center"/>
              <w:rPr>
                <w:noProof/>
                <w:sz w:val="18"/>
                <w:szCs w:val="18"/>
              </w:rPr>
            </w:pPr>
          </w:p>
        </w:tc>
        <w:tc>
          <w:tcPr>
            <w:tcW w:w="709" w:type="dxa"/>
            <w:tcBorders>
              <w:top w:val="nil"/>
              <w:left w:val="nil"/>
              <w:bottom w:val="nil"/>
              <w:right w:val="nil"/>
            </w:tcBorders>
          </w:tcPr>
          <w:p>
            <w:pPr>
              <w:spacing w:before="60" w:after="60"/>
              <w:ind w:right="-29"/>
              <w:jc w:val="center"/>
              <w:rPr>
                <w:noProof/>
                <w:sz w:val="18"/>
                <w:szCs w:val="18"/>
              </w:rPr>
            </w:pPr>
          </w:p>
        </w:tc>
        <w:tc>
          <w:tcPr>
            <w:tcW w:w="854" w:type="dxa"/>
            <w:tcBorders>
              <w:top w:val="nil"/>
              <w:left w:val="nil"/>
              <w:bottom w:val="single" w:sz="4" w:space="0" w:color="auto"/>
              <w:right w:val="single" w:sz="12" w:space="0" w:color="auto"/>
            </w:tcBorders>
          </w:tcPr>
          <w:p>
            <w:pPr>
              <w:spacing w:before="60" w:after="60"/>
              <w:ind w:right="-29"/>
              <w:jc w:val="center"/>
              <w:rPr>
                <w:noProof/>
                <w:sz w:val="18"/>
                <w:szCs w:val="18"/>
              </w:rPr>
            </w:pPr>
          </w:p>
        </w:tc>
      </w:tr>
      <w:tr>
        <w:trPr>
          <w:trHeight w:hRule="exact" w:val="625"/>
          <w:jc w:val="center"/>
        </w:trPr>
        <w:tc>
          <w:tcPr>
            <w:tcW w:w="1422" w:type="dxa"/>
            <w:tcBorders>
              <w:left w:val="single" w:sz="12" w:space="0" w:color="auto"/>
            </w:tcBorders>
          </w:tcPr>
          <w:p>
            <w:pPr>
              <w:ind w:right="-29"/>
              <w:jc w:val="center"/>
              <w:rPr>
                <w:noProof/>
                <w:sz w:val="18"/>
                <w:szCs w:val="18"/>
              </w:rPr>
            </w:pPr>
            <w:r>
              <w:rPr>
                <w:noProof/>
                <w:sz w:val="18"/>
              </w:rPr>
              <w:t>Izdelani sistemi</w:t>
            </w:r>
          </w:p>
        </w:tc>
        <w:tc>
          <w:tcPr>
            <w:tcW w:w="1380" w:type="dxa"/>
            <w:gridSpan w:val="2"/>
          </w:tcPr>
          <w:p>
            <w:pPr>
              <w:ind w:right="-29"/>
              <w:jc w:val="center"/>
              <w:rPr>
                <w:noProof/>
                <w:sz w:val="18"/>
                <w:szCs w:val="18"/>
              </w:rPr>
            </w:pPr>
            <w:r>
              <w:rPr>
                <w:noProof/>
              </w:rPr>
              <w:t xml:space="preserve">Izvajalec </w:t>
            </w:r>
          </w:p>
        </w:tc>
        <w:tc>
          <w:tcPr>
            <w:tcW w:w="303" w:type="dxa"/>
            <w:tcBorders>
              <w:right w:val="dashSmallGap" w:sz="4" w:space="0" w:color="auto"/>
            </w:tcBorders>
          </w:tcPr>
          <w:p>
            <w:pPr>
              <w:ind w:right="-29"/>
              <w:jc w:val="center"/>
              <w:rPr>
                <w:noProof/>
                <w:sz w:val="18"/>
                <w:szCs w:val="18"/>
              </w:rPr>
            </w:pPr>
          </w:p>
        </w:tc>
        <w:tc>
          <w:tcPr>
            <w:tcW w:w="867" w:type="dxa"/>
            <w:gridSpan w:val="2"/>
            <w:tcBorders>
              <w:left w:val="dashSmallGap" w:sz="4" w:space="0" w:color="auto"/>
              <w:bottom w:val="single" w:sz="4" w:space="0" w:color="auto"/>
            </w:tcBorders>
          </w:tcPr>
          <w:p>
            <w:pPr>
              <w:ind w:right="-29"/>
              <w:jc w:val="center"/>
              <w:rPr>
                <w:noProof/>
                <w:sz w:val="20"/>
                <w:szCs w:val="20"/>
              </w:rPr>
            </w:pPr>
            <w:r>
              <w:rPr>
                <w:noProof/>
                <w:sz w:val="20"/>
              </w:rPr>
              <w:t xml:space="preserve">1,800 </w:t>
            </w:r>
          </w:p>
        </w:tc>
        <w:tc>
          <w:tcPr>
            <w:tcW w:w="236" w:type="dxa"/>
            <w:gridSpan w:val="2"/>
            <w:tcBorders>
              <w:right w:val="dashSmallGap" w:sz="4" w:space="0" w:color="auto"/>
            </w:tcBorders>
          </w:tcPr>
          <w:p>
            <w:pPr>
              <w:ind w:right="-29"/>
              <w:jc w:val="center"/>
              <w:rPr>
                <w:noProof/>
                <w:sz w:val="20"/>
                <w:szCs w:val="20"/>
              </w:rPr>
            </w:pPr>
          </w:p>
        </w:tc>
        <w:tc>
          <w:tcPr>
            <w:tcW w:w="930" w:type="dxa"/>
            <w:tcBorders>
              <w:left w:val="dashSmallGap" w:sz="4" w:space="0" w:color="auto"/>
            </w:tcBorders>
          </w:tcPr>
          <w:p>
            <w:pPr>
              <w:ind w:right="-29"/>
              <w:jc w:val="center"/>
              <w:rPr>
                <w:noProof/>
                <w:sz w:val="20"/>
                <w:szCs w:val="20"/>
              </w:rPr>
            </w:pPr>
            <w:r>
              <w:rPr>
                <w:noProof/>
                <w:sz w:val="20"/>
              </w:rPr>
              <w:t xml:space="preserve">4,930 </w:t>
            </w:r>
          </w:p>
        </w:tc>
        <w:tc>
          <w:tcPr>
            <w:tcW w:w="283" w:type="dxa"/>
            <w:tcBorders>
              <w:right w:val="dashSmallGap" w:sz="4" w:space="0" w:color="auto"/>
            </w:tcBorders>
          </w:tcPr>
          <w:p>
            <w:pPr>
              <w:ind w:right="-29"/>
              <w:jc w:val="center"/>
              <w:rPr>
                <w:noProof/>
                <w:sz w:val="20"/>
                <w:szCs w:val="20"/>
              </w:rPr>
            </w:pPr>
          </w:p>
        </w:tc>
        <w:tc>
          <w:tcPr>
            <w:tcW w:w="851" w:type="dxa"/>
            <w:tcBorders>
              <w:left w:val="dashSmallGap" w:sz="4" w:space="0" w:color="auto"/>
            </w:tcBorders>
          </w:tcPr>
          <w:p>
            <w:pPr>
              <w:ind w:right="-29"/>
              <w:jc w:val="center"/>
              <w:rPr>
                <w:noProof/>
                <w:sz w:val="20"/>
                <w:szCs w:val="20"/>
              </w:rPr>
            </w:pPr>
            <w:r>
              <w:rPr>
                <w:noProof/>
                <w:sz w:val="20"/>
              </w:rPr>
              <w:t xml:space="preserve">8,324 </w:t>
            </w:r>
          </w:p>
        </w:tc>
        <w:tc>
          <w:tcPr>
            <w:tcW w:w="283" w:type="dxa"/>
            <w:tcBorders>
              <w:right w:val="dashSmallGap" w:sz="4" w:space="0" w:color="auto"/>
            </w:tcBorders>
          </w:tcPr>
          <w:p>
            <w:pPr>
              <w:ind w:right="-29"/>
              <w:jc w:val="center"/>
              <w:rPr>
                <w:noProof/>
                <w:sz w:val="20"/>
                <w:szCs w:val="20"/>
              </w:rPr>
            </w:pPr>
          </w:p>
        </w:tc>
        <w:tc>
          <w:tcPr>
            <w:tcW w:w="851" w:type="dxa"/>
            <w:tcBorders>
              <w:left w:val="dashSmallGap" w:sz="4" w:space="0" w:color="auto"/>
            </w:tcBorders>
          </w:tcPr>
          <w:p>
            <w:pPr>
              <w:tabs>
                <w:tab w:val="center" w:pos="326"/>
              </w:tabs>
              <w:ind w:right="-29"/>
              <w:rPr>
                <w:noProof/>
                <w:sz w:val="20"/>
                <w:szCs w:val="20"/>
              </w:rPr>
            </w:pPr>
            <w:r>
              <w:rPr>
                <w:noProof/>
                <w:sz w:val="20"/>
              </w:rPr>
              <w:t>4,340</w:t>
            </w:r>
          </w:p>
        </w:tc>
        <w:tc>
          <w:tcPr>
            <w:tcW w:w="283" w:type="dxa"/>
            <w:tcBorders>
              <w:right w:val="dashSmallGap" w:sz="4" w:space="0" w:color="auto"/>
            </w:tcBorders>
          </w:tcPr>
          <w:p>
            <w:pPr>
              <w:ind w:right="-29"/>
              <w:jc w:val="center"/>
              <w:rPr>
                <w:noProof/>
                <w:sz w:val="20"/>
                <w:szCs w:val="20"/>
              </w:rPr>
            </w:pPr>
          </w:p>
        </w:tc>
        <w:tc>
          <w:tcPr>
            <w:tcW w:w="709" w:type="dxa"/>
            <w:tcBorders>
              <w:left w:val="dashSmallGap" w:sz="4" w:space="0" w:color="auto"/>
            </w:tcBorders>
          </w:tcPr>
          <w:p>
            <w:pPr>
              <w:ind w:right="-29"/>
              <w:jc w:val="left"/>
              <w:rPr>
                <w:noProof/>
                <w:sz w:val="20"/>
                <w:szCs w:val="20"/>
              </w:rPr>
            </w:pPr>
            <w:r>
              <w:rPr>
                <w:noProof/>
                <w:sz w:val="20"/>
              </w:rPr>
              <w:t>1,073</w:t>
            </w:r>
          </w:p>
        </w:tc>
        <w:tc>
          <w:tcPr>
            <w:tcW w:w="283" w:type="dxa"/>
            <w:tcBorders>
              <w:right w:val="dashSmallGap" w:sz="4" w:space="0" w:color="auto"/>
            </w:tcBorders>
          </w:tcPr>
          <w:p>
            <w:pPr>
              <w:ind w:right="-29"/>
              <w:jc w:val="center"/>
              <w:rPr>
                <w:noProof/>
                <w:sz w:val="20"/>
                <w:szCs w:val="20"/>
              </w:rPr>
            </w:pPr>
          </w:p>
        </w:tc>
        <w:tc>
          <w:tcPr>
            <w:tcW w:w="851" w:type="dxa"/>
            <w:tcBorders>
              <w:left w:val="dashSmallGap" w:sz="4" w:space="0" w:color="auto"/>
            </w:tcBorders>
          </w:tcPr>
          <w:p>
            <w:pPr>
              <w:ind w:right="-29"/>
              <w:jc w:val="center"/>
              <w:rPr>
                <w:noProof/>
                <w:sz w:val="20"/>
                <w:szCs w:val="20"/>
              </w:rPr>
            </w:pPr>
            <w:r>
              <w:rPr>
                <w:noProof/>
                <w:sz w:val="20"/>
              </w:rPr>
              <w:t>1,000</w:t>
            </w:r>
          </w:p>
        </w:tc>
        <w:tc>
          <w:tcPr>
            <w:tcW w:w="283" w:type="dxa"/>
            <w:tcBorders>
              <w:right w:val="dashSmallGap" w:sz="4" w:space="0" w:color="auto"/>
            </w:tcBorders>
          </w:tcPr>
          <w:p>
            <w:pPr>
              <w:ind w:right="-29"/>
              <w:jc w:val="center"/>
              <w:rPr>
                <w:noProof/>
                <w:sz w:val="20"/>
                <w:szCs w:val="20"/>
              </w:rPr>
            </w:pPr>
          </w:p>
        </w:tc>
        <w:tc>
          <w:tcPr>
            <w:tcW w:w="851" w:type="dxa"/>
            <w:tcBorders>
              <w:left w:val="dashSmallGap" w:sz="4" w:space="0" w:color="auto"/>
            </w:tcBorders>
          </w:tcPr>
          <w:p>
            <w:pPr>
              <w:ind w:right="-29"/>
              <w:jc w:val="center"/>
              <w:rPr>
                <w:noProof/>
                <w:sz w:val="20"/>
                <w:szCs w:val="20"/>
              </w:rPr>
            </w:pPr>
            <w:r>
              <w:rPr>
                <w:noProof/>
                <w:sz w:val="20"/>
              </w:rPr>
              <w:t>0,100</w:t>
            </w:r>
          </w:p>
        </w:tc>
        <w:tc>
          <w:tcPr>
            <w:tcW w:w="283" w:type="dxa"/>
            <w:tcBorders>
              <w:right w:val="dashSmallGap" w:sz="4" w:space="0" w:color="auto"/>
            </w:tcBorders>
          </w:tcPr>
          <w:p>
            <w:pPr>
              <w:ind w:right="-29"/>
              <w:jc w:val="center"/>
              <w:rPr>
                <w:noProof/>
                <w:sz w:val="20"/>
                <w:szCs w:val="20"/>
              </w:rPr>
            </w:pPr>
          </w:p>
        </w:tc>
        <w:tc>
          <w:tcPr>
            <w:tcW w:w="851" w:type="dxa"/>
            <w:tcBorders>
              <w:left w:val="dashSmallGap" w:sz="4" w:space="0" w:color="auto"/>
            </w:tcBorders>
          </w:tcPr>
          <w:p>
            <w:pPr>
              <w:ind w:right="-29"/>
              <w:jc w:val="center"/>
              <w:rPr>
                <w:noProof/>
                <w:sz w:val="20"/>
                <w:szCs w:val="20"/>
              </w:rPr>
            </w:pPr>
            <w:r>
              <w:rPr>
                <w:noProof/>
                <w:sz w:val="20"/>
              </w:rPr>
              <w:t>0,020</w:t>
            </w:r>
          </w:p>
        </w:tc>
        <w:tc>
          <w:tcPr>
            <w:tcW w:w="283" w:type="dxa"/>
            <w:tcBorders>
              <w:right w:val="dashSmallGap" w:sz="4" w:space="0" w:color="auto"/>
            </w:tcBorders>
          </w:tcPr>
          <w:p>
            <w:pPr>
              <w:ind w:right="-29"/>
              <w:jc w:val="center"/>
              <w:rPr>
                <w:noProof/>
                <w:sz w:val="20"/>
                <w:szCs w:val="20"/>
              </w:rPr>
            </w:pPr>
          </w:p>
        </w:tc>
        <w:tc>
          <w:tcPr>
            <w:tcW w:w="709" w:type="dxa"/>
            <w:tcBorders>
              <w:left w:val="dashSmallGap" w:sz="4" w:space="0" w:color="auto"/>
              <w:bottom w:val="single" w:sz="4" w:space="0" w:color="auto"/>
            </w:tcBorders>
          </w:tcPr>
          <w:p>
            <w:pPr>
              <w:ind w:right="-29"/>
              <w:jc w:val="center"/>
              <w:rPr>
                <w:noProof/>
                <w:sz w:val="20"/>
                <w:szCs w:val="20"/>
              </w:rPr>
            </w:pPr>
            <w:r>
              <w:rPr>
                <w:noProof/>
                <w:sz w:val="20"/>
              </w:rPr>
              <w:t>0,020</w:t>
            </w:r>
          </w:p>
        </w:tc>
        <w:tc>
          <w:tcPr>
            <w:tcW w:w="709" w:type="dxa"/>
            <w:tcBorders>
              <w:right w:val="dashSmallGap" w:sz="4" w:space="0" w:color="auto"/>
            </w:tcBorders>
          </w:tcPr>
          <w:p>
            <w:pPr>
              <w:ind w:right="-29"/>
              <w:jc w:val="center"/>
              <w:rPr>
                <w:noProof/>
                <w:sz w:val="20"/>
                <w:szCs w:val="20"/>
              </w:rPr>
            </w:pPr>
          </w:p>
        </w:tc>
        <w:tc>
          <w:tcPr>
            <w:tcW w:w="854" w:type="dxa"/>
            <w:tcBorders>
              <w:left w:val="dashSmallGap" w:sz="4" w:space="0" w:color="auto"/>
              <w:bottom w:val="single" w:sz="4" w:space="0" w:color="auto"/>
              <w:right w:val="single" w:sz="12" w:space="0" w:color="auto"/>
            </w:tcBorders>
          </w:tcPr>
          <w:p>
            <w:pPr>
              <w:ind w:right="-29"/>
              <w:jc w:val="center"/>
              <w:rPr>
                <w:noProof/>
                <w:sz w:val="20"/>
                <w:szCs w:val="20"/>
              </w:rPr>
            </w:pPr>
            <w:r>
              <w:rPr>
                <w:noProof/>
                <w:sz w:val="20"/>
              </w:rPr>
              <w:t xml:space="preserve">21,607 </w:t>
            </w:r>
          </w:p>
        </w:tc>
      </w:tr>
      <w:tr>
        <w:trPr>
          <w:trHeight w:hRule="exact" w:val="705"/>
          <w:jc w:val="center"/>
        </w:trPr>
        <w:tc>
          <w:tcPr>
            <w:tcW w:w="1422" w:type="dxa"/>
            <w:tcBorders>
              <w:left w:val="single" w:sz="12" w:space="0" w:color="auto"/>
            </w:tcBorders>
          </w:tcPr>
          <w:p>
            <w:pPr>
              <w:ind w:right="-29"/>
              <w:jc w:val="center"/>
              <w:rPr>
                <w:noProof/>
                <w:sz w:val="18"/>
                <w:szCs w:val="18"/>
              </w:rPr>
            </w:pPr>
            <w:r>
              <w:rPr>
                <w:noProof/>
                <w:sz w:val="18"/>
              </w:rPr>
              <w:t>Izdelki programske opreme</w:t>
            </w:r>
          </w:p>
        </w:tc>
        <w:tc>
          <w:tcPr>
            <w:tcW w:w="1380" w:type="dxa"/>
            <w:gridSpan w:val="2"/>
          </w:tcPr>
          <w:p>
            <w:pPr>
              <w:ind w:right="-29"/>
              <w:jc w:val="center"/>
              <w:rPr>
                <w:noProof/>
                <w:sz w:val="18"/>
                <w:szCs w:val="18"/>
              </w:rPr>
            </w:pPr>
            <w:r>
              <w:rPr>
                <w:noProof/>
              </w:rPr>
              <w:t xml:space="preserve">Programska oprema </w:t>
            </w:r>
          </w:p>
        </w:tc>
        <w:tc>
          <w:tcPr>
            <w:tcW w:w="303" w:type="dxa"/>
            <w:tcBorders>
              <w:right w:val="dashSmallGap" w:sz="4" w:space="0" w:color="auto"/>
            </w:tcBorders>
          </w:tcPr>
          <w:p>
            <w:pPr>
              <w:ind w:right="-29"/>
              <w:jc w:val="center"/>
              <w:rPr>
                <w:noProof/>
                <w:sz w:val="18"/>
                <w:szCs w:val="18"/>
              </w:rPr>
            </w:pPr>
          </w:p>
        </w:tc>
        <w:tc>
          <w:tcPr>
            <w:tcW w:w="867" w:type="dxa"/>
            <w:gridSpan w:val="2"/>
            <w:tcBorders>
              <w:left w:val="dashSmallGap" w:sz="4" w:space="0" w:color="auto"/>
              <w:bottom w:val="single" w:sz="4" w:space="0" w:color="auto"/>
            </w:tcBorders>
          </w:tcPr>
          <w:p>
            <w:pPr>
              <w:ind w:right="-29"/>
              <w:jc w:val="center"/>
              <w:rPr>
                <w:noProof/>
                <w:sz w:val="20"/>
                <w:szCs w:val="20"/>
              </w:rPr>
            </w:pPr>
            <w:r>
              <w:rPr>
                <w:noProof/>
                <w:sz w:val="20"/>
              </w:rPr>
              <w:t xml:space="preserve">0,320 </w:t>
            </w:r>
          </w:p>
        </w:tc>
        <w:tc>
          <w:tcPr>
            <w:tcW w:w="236" w:type="dxa"/>
            <w:gridSpan w:val="2"/>
            <w:tcBorders>
              <w:right w:val="dashSmallGap" w:sz="4" w:space="0" w:color="auto"/>
            </w:tcBorders>
          </w:tcPr>
          <w:p>
            <w:pPr>
              <w:ind w:right="-29"/>
              <w:jc w:val="center"/>
              <w:rPr>
                <w:noProof/>
                <w:sz w:val="20"/>
                <w:szCs w:val="20"/>
              </w:rPr>
            </w:pPr>
          </w:p>
        </w:tc>
        <w:tc>
          <w:tcPr>
            <w:tcW w:w="930" w:type="dxa"/>
            <w:tcBorders>
              <w:left w:val="dashSmallGap" w:sz="4" w:space="0" w:color="auto"/>
              <w:bottom w:val="single" w:sz="4" w:space="0" w:color="auto"/>
            </w:tcBorders>
          </w:tcPr>
          <w:p>
            <w:pPr>
              <w:ind w:right="-29"/>
              <w:jc w:val="center"/>
              <w:rPr>
                <w:noProof/>
                <w:sz w:val="20"/>
                <w:szCs w:val="20"/>
              </w:rPr>
            </w:pPr>
            <w:r>
              <w:rPr>
                <w:noProof/>
                <w:sz w:val="20"/>
              </w:rPr>
              <w:t xml:space="preserve">3,868 </w:t>
            </w:r>
          </w:p>
        </w:tc>
        <w:tc>
          <w:tcPr>
            <w:tcW w:w="283" w:type="dxa"/>
            <w:tcBorders>
              <w:right w:val="dashSmallGap" w:sz="4" w:space="0" w:color="auto"/>
            </w:tcBorders>
          </w:tcPr>
          <w:p>
            <w:pPr>
              <w:ind w:right="-29"/>
              <w:jc w:val="center"/>
              <w:rPr>
                <w:noProof/>
                <w:sz w:val="20"/>
                <w:szCs w:val="20"/>
              </w:rPr>
            </w:pPr>
          </w:p>
        </w:tc>
        <w:tc>
          <w:tcPr>
            <w:tcW w:w="851" w:type="dxa"/>
            <w:tcBorders>
              <w:left w:val="dashSmallGap" w:sz="4" w:space="0" w:color="auto"/>
              <w:bottom w:val="single" w:sz="4" w:space="0" w:color="auto"/>
            </w:tcBorders>
          </w:tcPr>
          <w:p>
            <w:pPr>
              <w:ind w:right="-29"/>
              <w:jc w:val="center"/>
              <w:rPr>
                <w:noProof/>
                <w:sz w:val="20"/>
                <w:szCs w:val="20"/>
              </w:rPr>
            </w:pPr>
            <w:r>
              <w:rPr>
                <w:noProof/>
                <w:sz w:val="20"/>
              </w:rPr>
              <w:t xml:space="preserve">15,029 </w:t>
            </w:r>
          </w:p>
        </w:tc>
        <w:tc>
          <w:tcPr>
            <w:tcW w:w="283" w:type="dxa"/>
            <w:tcBorders>
              <w:right w:val="dashSmallGap" w:sz="4" w:space="0" w:color="auto"/>
            </w:tcBorders>
          </w:tcPr>
          <w:p>
            <w:pPr>
              <w:ind w:right="-29"/>
              <w:jc w:val="center"/>
              <w:rPr>
                <w:noProof/>
                <w:sz w:val="20"/>
                <w:szCs w:val="20"/>
              </w:rPr>
            </w:pPr>
          </w:p>
        </w:tc>
        <w:tc>
          <w:tcPr>
            <w:tcW w:w="851" w:type="dxa"/>
            <w:tcBorders>
              <w:left w:val="dashSmallGap" w:sz="4" w:space="0" w:color="auto"/>
              <w:bottom w:val="single" w:sz="4" w:space="0" w:color="auto"/>
            </w:tcBorders>
          </w:tcPr>
          <w:p>
            <w:pPr>
              <w:ind w:right="-29"/>
              <w:jc w:val="center"/>
              <w:rPr>
                <w:noProof/>
                <w:sz w:val="20"/>
                <w:szCs w:val="20"/>
              </w:rPr>
            </w:pPr>
            <w:r>
              <w:rPr>
                <w:noProof/>
                <w:sz w:val="20"/>
              </w:rPr>
              <w:t xml:space="preserve">8,857 </w:t>
            </w:r>
          </w:p>
        </w:tc>
        <w:tc>
          <w:tcPr>
            <w:tcW w:w="283" w:type="dxa"/>
            <w:tcBorders>
              <w:right w:val="dashSmallGap" w:sz="4" w:space="0" w:color="auto"/>
            </w:tcBorders>
          </w:tcPr>
          <w:p>
            <w:pPr>
              <w:ind w:right="-29"/>
              <w:jc w:val="center"/>
              <w:rPr>
                <w:noProof/>
                <w:sz w:val="20"/>
                <w:szCs w:val="20"/>
              </w:rPr>
            </w:pPr>
          </w:p>
        </w:tc>
        <w:tc>
          <w:tcPr>
            <w:tcW w:w="709" w:type="dxa"/>
            <w:tcBorders>
              <w:left w:val="dashSmallGap" w:sz="4" w:space="0" w:color="auto"/>
              <w:bottom w:val="single" w:sz="4" w:space="0" w:color="auto"/>
            </w:tcBorders>
          </w:tcPr>
          <w:p>
            <w:pPr>
              <w:ind w:right="-29"/>
              <w:jc w:val="center"/>
              <w:rPr>
                <w:noProof/>
                <w:sz w:val="20"/>
                <w:szCs w:val="20"/>
              </w:rPr>
            </w:pPr>
            <w:r>
              <w:rPr>
                <w:noProof/>
                <w:sz w:val="20"/>
              </w:rPr>
              <w:t>3,068</w:t>
            </w:r>
          </w:p>
        </w:tc>
        <w:tc>
          <w:tcPr>
            <w:tcW w:w="283" w:type="dxa"/>
            <w:tcBorders>
              <w:right w:val="dashSmallGap" w:sz="4" w:space="0" w:color="auto"/>
            </w:tcBorders>
          </w:tcPr>
          <w:p>
            <w:pPr>
              <w:ind w:right="-29"/>
              <w:jc w:val="center"/>
              <w:rPr>
                <w:noProof/>
                <w:sz w:val="20"/>
                <w:szCs w:val="20"/>
              </w:rPr>
            </w:pPr>
          </w:p>
        </w:tc>
        <w:tc>
          <w:tcPr>
            <w:tcW w:w="851" w:type="dxa"/>
            <w:tcBorders>
              <w:left w:val="dashSmallGap" w:sz="4" w:space="0" w:color="auto"/>
              <w:bottom w:val="single" w:sz="4" w:space="0" w:color="auto"/>
            </w:tcBorders>
          </w:tcPr>
          <w:p>
            <w:pPr>
              <w:ind w:right="-29"/>
              <w:jc w:val="center"/>
              <w:rPr>
                <w:noProof/>
                <w:sz w:val="20"/>
                <w:szCs w:val="20"/>
              </w:rPr>
            </w:pPr>
            <w:r>
              <w:rPr>
                <w:noProof/>
                <w:sz w:val="20"/>
              </w:rPr>
              <w:t>0,265</w:t>
            </w:r>
          </w:p>
        </w:tc>
        <w:tc>
          <w:tcPr>
            <w:tcW w:w="283" w:type="dxa"/>
            <w:tcBorders>
              <w:right w:val="dashSmallGap" w:sz="4" w:space="0" w:color="auto"/>
            </w:tcBorders>
          </w:tcPr>
          <w:p>
            <w:pPr>
              <w:ind w:right="-29"/>
              <w:jc w:val="center"/>
              <w:rPr>
                <w:noProof/>
                <w:sz w:val="20"/>
                <w:szCs w:val="20"/>
              </w:rPr>
            </w:pPr>
          </w:p>
        </w:tc>
        <w:tc>
          <w:tcPr>
            <w:tcW w:w="851" w:type="dxa"/>
            <w:tcBorders>
              <w:left w:val="dashSmallGap" w:sz="4" w:space="0" w:color="auto"/>
              <w:bottom w:val="single" w:sz="4" w:space="0" w:color="auto"/>
            </w:tcBorders>
          </w:tcPr>
          <w:p>
            <w:pPr>
              <w:ind w:right="-29"/>
              <w:jc w:val="center"/>
              <w:rPr>
                <w:noProof/>
                <w:sz w:val="20"/>
                <w:szCs w:val="20"/>
              </w:rPr>
            </w:pPr>
            <w:r>
              <w:rPr>
                <w:noProof/>
                <w:sz w:val="20"/>
              </w:rPr>
              <w:t>0,265</w:t>
            </w:r>
          </w:p>
        </w:tc>
        <w:tc>
          <w:tcPr>
            <w:tcW w:w="283" w:type="dxa"/>
            <w:tcBorders>
              <w:right w:val="dashSmallGap" w:sz="4" w:space="0" w:color="auto"/>
            </w:tcBorders>
          </w:tcPr>
          <w:p>
            <w:pPr>
              <w:ind w:right="-29"/>
              <w:jc w:val="center"/>
              <w:rPr>
                <w:noProof/>
                <w:sz w:val="20"/>
                <w:szCs w:val="20"/>
              </w:rPr>
            </w:pPr>
          </w:p>
        </w:tc>
        <w:tc>
          <w:tcPr>
            <w:tcW w:w="851" w:type="dxa"/>
            <w:tcBorders>
              <w:left w:val="dashSmallGap" w:sz="4" w:space="0" w:color="auto"/>
              <w:bottom w:val="single" w:sz="4" w:space="0" w:color="auto"/>
            </w:tcBorders>
          </w:tcPr>
          <w:p>
            <w:pPr>
              <w:ind w:right="-29"/>
              <w:jc w:val="center"/>
              <w:rPr>
                <w:noProof/>
                <w:sz w:val="20"/>
                <w:szCs w:val="20"/>
              </w:rPr>
            </w:pPr>
            <w:r>
              <w:rPr>
                <w:noProof/>
                <w:sz w:val="20"/>
              </w:rPr>
              <w:t>0,265</w:t>
            </w:r>
          </w:p>
        </w:tc>
        <w:tc>
          <w:tcPr>
            <w:tcW w:w="283" w:type="dxa"/>
            <w:tcBorders>
              <w:right w:val="dashSmallGap" w:sz="4" w:space="0" w:color="auto"/>
            </w:tcBorders>
          </w:tcPr>
          <w:p>
            <w:pPr>
              <w:ind w:right="-29"/>
              <w:jc w:val="center"/>
              <w:rPr>
                <w:noProof/>
                <w:sz w:val="20"/>
                <w:szCs w:val="20"/>
              </w:rPr>
            </w:pPr>
          </w:p>
        </w:tc>
        <w:tc>
          <w:tcPr>
            <w:tcW w:w="709" w:type="dxa"/>
            <w:tcBorders>
              <w:left w:val="dashSmallGap" w:sz="4" w:space="0" w:color="auto"/>
              <w:bottom w:val="single" w:sz="4" w:space="0" w:color="auto"/>
            </w:tcBorders>
          </w:tcPr>
          <w:p>
            <w:pPr>
              <w:ind w:right="-29"/>
              <w:jc w:val="center"/>
              <w:rPr>
                <w:noProof/>
                <w:sz w:val="20"/>
                <w:szCs w:val="20"/>
              </w:rPr>
            </w:pPr>
            <w:r>
              <w:rPr>
                <w:noProof/>
                <w:sz w:val="20"/>
              </w:rPr>
              <w:t>0,265</w:t>
            </w:r>
          </w:p>
        </w:tc>
        <w:tc>
          <w:tcPr>
            <w:tcW w:w="709" w:type="dxa"/>
            <w:tcBorders>
              <w:right w:val="dashSmallGap" w:sz="4" w:space="0" w:color="auto"/>
            </w:tcBorders>
          </w:tcPr>
          <w:p>
            <w:pPr>
              <w:ind w:right="-29"/>
              <w:jc w:val="center"/>
              <w:rPr>
                <w:noProof/>
                <w:sz w:val="20"/>
                <w:szCs w:val="20"/>
              </w:rPr>
            </w:pPr>
          </w:p>
        </w:tc>
        <w:tc>
          <w:tcPr>
            <w:tcW w:w="854" w:type="dxa"/>
            <w:tcBorders>
              <w:left w:val="dashSmallGap" w:sz="4" w:space="0" w:color="auto"/>
              <w:bottom w:val="single" w:sz="4" w:space="0" w:color="auto"/>
              <w:right w:val="single" w:sz="12" w:space="0" w:color="auto"/>
            </w:tcBorders>
          </w:tcPr>
          <w:p>
            <w:pPr>
              <w:ind w:right="-29"/>
              <w:jc w:val="center"/>
              <w:rPr>
                <w:noProof/>
                <w:sz w:val="20"/>
                <w:szCs w:val="20"/>
              </w:rPr>
            </w:pPr>
            <w:r>
              <w:rPr>
                <w:noProof/>
                <w:sz w:val="20"/>
              </w:rPr>
              <w:t xml:space="preserve">32,202 </w:t>
            </w:r>
          </w:p>
        </w:tc>
      </w:tr>
      <w:tr>
        <w:trPr>
          <w:trHeight w:hRule="exact" w:val="701"/>
          <w:jc w:val="center"/>
        </w:trPr>
        <w:tc>
          <w:tcPr>
            <w:tcW w:w="1422" w:type="dxa"/>
            <w:tcBorders>
              <w:left w:val="single" w:sz="12" w:space="0" w:color="auto"/>
            </w:tcBorders>
          </w:tcPr>
          <w:p>
            <w:pPr>
              <w:ind w:right="-29"/>
              <w:jc w:val="center"/>
              <w:rPr>
                <w:noProof/>
                <w:sz w:val="18"/>
                <w:szCs w:val="18"/>
              </w:rPr>
            </w:pPr>
            <w:r>
              <w:rPr>
                <w:noProof/>
                <w:sz w:val="18"/>
              </w:rPr>
              <w:t xml:space="preserve">Izdelki strojne opreme </w:t>
            </w:r>
          </w:p>
        </w:tc>
        <w:tc>
          <w:tcPr>
            <w:tcW w:w="1380" w:type="dxa"/>
            <w:gridSpan w:val="2"/>
          </w:tcPr>
          <w:p>
            <w:pPr>
              <w:ind w:right="-29"/>
              <w:jc w:val="center"/>
              <w:rPr>
                <w:noProof/>
                <w:sz w:val="18"/>
                <w:szCs w:val="18"/>
              </w:rPr>
            </w:pPr>
            <w:r>
              <w:rPr>
                <w:noProof/>
              </w:rPr>
              <w:t xml:space="preserve">Strojna oprema </w:t>
            </w:r>
          </w:p>
        </w:tc>
        <w:tc>
          <w:tcPr>
            <w:tcW w:w="303" w:type="dxa"/>
            <w:tcBorders>
              <w:right w:val="dashSmallGap" w:sz="4" w:space="0" w:color="auto"/>
            </w:tcBorders>
          </w:tcPr>
          <w:p>
            <w:pPr>
              <w:ind w:right="-29"/>
              <w:jc w:val="center"/>
              <w:rPr>
                <w:noProof/>
                <w:sz w:val="18"/>
                <w:szCs w:val="18"/>
              </w:rPr>
            </w:pPr>
          </w:p>
        </w:tc>
        <w:tc>
          <w:tcPr>
            <w:tcW w:w="867" w:type="dxa"/>
            <w:gridSpan w:val="2"/>
            <w:tcBorders>
              <w:left w:val="dashSmallGap" w:sz="4" w:space="0" w:color="auto"/>
              <w:bottom w:val="single" w:sz="4" w:space="0" w:color="auto"/>
            </w:tcBorders>
          </w:tcPr>
          <w:p>
            <w:pPr>
              <w:ind w:right="-29"/>
              <w:jc w:val="center"/>
              <w:rPr>
                <w:noProof/>
                <w:sz w:val="20"/>
                <w:szCs w:val="20"/>
              </w:rPr>
            </w:pPr>
            <w:r>
              <w:rPr>
                <w:noProof/>
                <w:sz w:val="20"/>
              </w:rPr>
              <w:t xml:space="preserve">0,250 </w:t>
            </w:r>
          </w:p>
        </w:tc>
        <w:tc>
          <w:tcPr>
            <w:tcW w:w="236" w:type="dxa"/>
            <w:gridSpan w:val="2"/>
            <w:tcBorders>
              <w:right w:val="dashSmallGap" w:sz="4" w:space="0" w:color="auto"/>
            </w:tcBorders>
          </w:tcPr>
          <w:p>
            <w:pPr>
              <w:ind w:right="-29"/>
              <w:jc w:val="center"/>
              <w:rPr>
                <w:noProof/>
                <w:sz w:val="20"/>
                <w:szCs w:val="20"/>
              </w:rPr>
            </w:pPr>
          </w:p>
        </w:tc>
        <w:tc>
          <w:tcPr>
            <w:tcW w:w="930" w:type="dxa"/>
            <w:tcBorders>
              <w:left w:val="dashSmallGap" w:sz="4" w:space="0" w:color="auto"/>
              <w:bottom w:val="single" w:sz="4" w:space="0" w:color="auto"/>
            </w:tcBorders>
          </w:tcPr>
          <w:p>
            <w:pPr>
              <w:ind w:right="-29"/>
              <w:jc w:val="center"/>
              <w:rPr>
                <w:noProof/>
                <w:sz w:val="20"/>
                <w:szCs w:val="20"/>
              </w:rPr>
            </w:pPr>
            <w:r>
              <w:rPr>
                <w:noProof/>
                <w:sz w:val="20"/>
              </w:rPr>
              <w:t xml:space="preserve">2,324 </w:t>
            </w:r>
          </w:p>
        </w:tc>
        <w:tc>
          <w:tcPr>
            <w:tcW w:w="283" w:type="dxa"/>
            <w:tcBorders>
              <w:right w:val="dashSmallGap" w:sz="4" w:space="0" w:color="auto"/>
            </w:tcBorders>
          </w:tcPr>
          <w:p>
            <w:pPr>
              <w:ind w:right="-29"/>
              <w:jc w:val="center"/>
              <w:rPr>
                <w:noProof/>
                <w:sz w:val="20"/>
                <w:szCs w:val="20"/>
              </w:rPr>
            </w:pPr>
          </w:p>
        </w:tc>
        <w:tc>
          <w:tcPr>
            <w:tcW w:w="851" w:type="dxa"/>
            <w:tcBorders>
              <w:top w:val="single" w:sz="4" w:space="0" w:color="auto"/>
              <w:left w:val="dashSmallGap" w:sz="4" w:space="0" w:color="auto"/>
              <w:bottom w:val="single" w:sz="4" w:space="0" w:color="auto"/>
              <w:right w:val="single" w:sz="4" w:space="0" w:color="auto"/>
            </w:tcBorders>
          </w:tcPr>
          <w:p>
            <w:pPr>
              <w:ind w:right="-29"/>
              <w:jc w:val="center"/>
              <w:rPr>
                <w:noProof/>
                <w:sz w:val="20"/>
                <w:szCs w:val="20"/>
              </w:rPr>
            </w:pPr>
            <w:r>
              <w:rPr>
                <w:noProof/>
                <w:sz w:val="20"/>
              </w:rPr>
              <w:t xml:space="preserve">5,496 </w:t>
            </w:r>
          </w:p>
        </w:tc>
        <w:tc>
          <w:tcPr>
            <w:tcW w:w="283" w:type="dxa"/>
            <w:tcBorders>
              <w:left w:val="single" w:sz="4" w:space="0" w:color="auto"/>
              <w:right w:val="dashSmallGap" w:sz="4" w:space="0" w:color="auto"/>
            </w:tcBorders>
          </w:tcPr>
          <w:p>
            <w:pPr>
              <w:ind w:right="-29"/>
              <w:jc w:val="center"/>
              <w:rPr>
                <w:noProof/>
                <w:sz w:val="20"/>
                <w:szCs w:val="20"/>
              </w:rPr>
            </w:pPr>
          </w:p>
        </w:tc>
        <w:tc>
          <w:tcPr>
            <w:tcW w:w="851" w:type="dxa"/>
            <w:tcBorders>
              <w:left w:val="dashSmallGap" w:sz="4" w:space="0" w:color="auto"/>
              <w:bottom w:val="single" w:sz="4" w:space="0" w:color="auto"/>
            </w:tcBorders>
          </w:tcPr>
          <w:p>
            <w:pPr>
              <w:ind w:right="-29"/>
              <w:jc w:val="center"/>
              <w:rPr>
                <w:noProof/>
                <w:sz w:val="20"/>
                <w:szCs w:val="20"/>
              </w:rPr>
            </w:pPr>
            <w:r>
              <w:rPr>
                <w:noProof/>
                <w:sz w:val="20"/>
              </w:rPr>
              <w:t xml:space="preserve">2,904 </w:t>
            </w:r>
          </w:p>
        </w:tc>
        <w:tc>
          <w:tcPr>
            <w:tcW w:w="283" w:type="dxa"/>
            <w:tcBorders>
              <w:right w:val="dashSmallGap" w:sz="4" w:space="0" w:color="auto"/>
            </w:tcBorders>
          </w:tcPr>
          <w:p>
            <w:pPr>
              <w:ind w:right="-29"/>
              <w:jc w:val="center"/>
              <w:rPr>
                <w:noProof/>
                <w:sz w:val="20"/>
                <w:szCs w:val="20"/>
              </w:rPr>
            </w:pPr>
          </w:p>
        </w:tc>
        <w:tc>
          <w:tcPr>
            <w:tcW w:w="709" w:type="dxa"/>
            <w:tcBorders>
              <w:left w:val="dashSmallGap" w:sz="4" w:space="0" w:color="auto"/>
              <w:bottom w:val="single" w:sz="4" w:space="0" w:color="auto"/>
            </w:tcBorders>
          </w:tcPr>
          <w:p>
            <w:pPr>
              <w:ind w:right="-29"/>
              <w:jc w:val="center"/>
              <w:rPr>
                <w:noProof/>
                <w:sz w:val="20"/>
                <w:szCs w:val="20"/>
              </w:rPr>
            </w:pPr>
            <w:r>
              <w:rPr>
                <w:noProof/>
                <w:sz w:val="20"/>
              </w:rPr>
              <w:t>2,660</w:t>
            </w:r>
          </w:p>
        </w:tc>
        <w:tc>
          <w:tcPr>
            <w:tcW w:w="283" w:type="dxa"/>
            <w:tcBorders>
              <w:right w:val="dashSmallGap" w:sz="4" w:space="0" w:color="auto"/>
            </w:tcBorders>
          </w:tcPr>
          <w:p>
            <w:pPr>
              <w:ind w:right="-29"/>
              <w:jc w:val="center"/>
              <w:rPr>
                <w:noProof/>
                <w:sz w:val="20"/>
                <w:szCs w:val="20"/>
              </w:rPr>
            </w:pPr>
          </w:p>
        </w:tc>
        <w:tc>
          <w:tcPr>
            <w:tcW w:w="851" w:type="dxa"/>
            <w:tcBorders>
              <w:left w:val="dashSmallGap" w:sz="4" w:space="0" w:color="auto"/>
              <w:bottom w:val="single" w:sz="4" w:space="0" w:color="auto"/>
            </w:tcBorders>
          </w:tcPr>
          <w:p>
            <w:pPr>
              <w:ind w:right="-29"/>
              <w:jc w:val="center"/>
              <w:rPr>
                <w:noProof/>
                <w:sz w:val="20"/>
                <w:szCs w:val="20"/>
              </w:rPr>
            </w:pPr>
            <w:r>
              <w:rPr>
                <w:noProof/>
                <w:sz w:val="20"/>
              </w:rPr>
              <w:t>0,500</w:t>
            </w:r>
          </w:p>
        </w:tc>
        <w:tc>
          <w:tcPr>
            <w:tcW w:w="283" w:type="dxa"/>
            <w:tcBorders>
              <w:right w:val="dashSmallGap" w:sz="4" w:space="0" w:color="auto"/>
            </w:tcBorders>
          </w:tcPr>
          <w:p>
            <w:pPr>
              <w:ind w:right="-29"/>
              <w:jc w:val="center"/>
              <w:rPr>
                <w:noProof/>
                <w:sz w:val="20"/>
                <w:szCs w:val="20"/>
              </w:rPr>
            </w:pPr>
          </w:p>
        </w:tc>
        <w:tc>
          <w:tcPr>
            <w:tcW w:w="851" w:type="dxa"/>
            <w:tcBorders>
              <w:left w:val="dashSmallGap" w:sz="4" w:space="0" w:color="auto"/>
              <w:bottom w:val="single" w:sz="4" w:space="0" w:color="auto"/>
            </w:tcBorders>
          </w:tcPr>
          <w:p>
            <w:pPr>
              <w:ind w:right="-29"/>
              <w:jc w:val="center"/>
              <w:rPr>
                <w:noProof/>
                <w:sz w:val="20"/>
                <w:szCs w:val="20"/>
              </w:rPr>
            </w:pPr>
            <w:r>
              <w:rPr>
                <w:noProof/>
                <w:sz w:val="20"/>
              </w:rPr>
              <w:t>0</w:t>
            </w:r>
          </w:p>
        </w:tc>
        <w:tc>
          <w:tcPr>
            <w:tcW w:w="283" w:type="dxa"/>
            <w:tcBorders>
              <w:right w:val="dashSmallGap" w:sz="4" w:space="0" w:color="auto"/>
            </w:tcBorders>
          </w:tcPr>
          <w:p>
            <w:pPr>
              <w:ind w:right="-29"/>
              <w:jc w:val="center"/>
              <w:rPr>
                <w:noProof/>
                <w:sz w:val="20"/>
                <w:szCs w:val="20"/>
              </w:rPr>
            </w:pPr>
          </w:p>
        </w:tc>
        <w:tc>
          <w:tcPr>
            <w:tcW w:w="851" w:type="dxa"/>
            <w:tcBorders>
              <w:left w:val="dashSmallGap" w:sz="4" w:space="0" w:color="auto"/>
              <w:bottom w:val="single" w:sz="4" w:space="0" w:color="auto"/>
            </w:tcBorders>
          </w:tcPr>
          <w:p>
            <w:pPr>
              <w:ind w:right="-29"/>
              <w:jc w:val="center"/>
              <w:rPr>
                <w:noProof/>
                <w:sz w:val="20"/>
                <w:szCs w:val="20"/>
              </w:rPr>
            </w:pPr>
            <w:r>
              <w:rPr>
                <w:noProof/>
                <w:sz w:val="20"/>
              </w:rPr>
              <w:t>0</w:t>
            </w:r>
          </w:p>
        </w:tc>
        <w:tc>
          <w:tcPr>
            <w:tcW w:w="283" w:type="dxa"/>
            <w:tcBorders>
              <w:right w:val="dashSmallGap" w:sz="4" w:space="0" w:color="auto"/>
            </w:tcBorders>
          </w:tcPr>
          <w:p>
            <w:pPr>
              <w:ind w:right="-29"/>
              <w:jc w:val="center"/>
              <w:rPr>
                <w:noProof/>
                <w:sz w:val="20"/>
                <w:szCs w:val="20"/>
              </w:rPr>
            </w:pPr>
          </w:p>
        </w:tc>
        <w:tc>
          <w:tcPr>
            <w:tcW w:w="709" w:type="dxa"/>
            <w:tcBorders>
              <w:left w:val="dashSmallGap" w:sz="4" w:space="0" w:color="auto"/>
              <w:bottom w:val="single" w:sz="4" w:space="0" w:color="auto"/>
            </w:tcBorders>
          </w:tcPr>
          <w:p>
            <w:pPr>
              <w:ind w:right="-29"/>
              <w:jc w:val="center"/>
              <w:rPr>
                <w:noProof/>
                <w:sz w:val="20"/>
                <w:szCs w:val="20"/>
              </w:rPr>
            </w:pPr>
            <w:r>
              <w:rPr>
                <w:noProof/>
                <w:sz w:val="20"/>
              </w:rPr>
              <w:t>0</w:t>
            </w:r>
          </w:p>
        </w:tc>
        <w:tc>
          <w:tcPr>
            <w:tcW w:w="709" w:type="dxa"/>
            <w:tcBorders>
              <w:right w:val="dashSmallGap" w:sz="4" w:space="0" w:color="auto"/>
            </w:tcBorders>
          </w:tcPr>
          <w:p>
            <w:pPr>
              <w:ind w:right="-29"/>
              <w:jc w:val="center"/>
              <w:rPr>
                <w:noProof/>
                <w:sz w:val="20"/>
                <w:szCs w:val="20"/>
              </w:rPr>
            </w:pPr>
          </w:p>
        </w:tc>
        <w:tc>
          <w:tcPr>
            <w:tcW w:w="854" w:type="dxa"/>
            <w:tcBorders>
              <w:left w:val="dashSmallGap" w:sz="4" w:space="0" w:color="auto"/>
              <w:bottom w:val="single" w:sz="4" w:space="0" w:color="auto"/>
              <w:right w:val="single" w:sz="12" w:space="0" w:color="auto"/>
            </w:tcBorders>
          </w:tcPr>
          <w:p>
            <w:pPr>
              <w:ind w:right="-29"/>
              <w:jc w:val="center"/>
              <w:rPr>
                <w:noProof/>
                <w:sz w:val="20"/>
                <w:szCs w:val="20"/>
              </w:rPr>
            </w:pPr>
            <w:r>
              <w:rPr>
                <w:noProof/>
                <w:sz w:val="20"/>
              </w:rPr>
              <w:t>14,133</w:t>
            </w:r>
          </w:p>
        </w:tc>
      </w:tr>
      <w:tr>
        <w:trPr>
          <w:trHeight w:hRule="exact" w:val="663"/>
          <w:jc w:val="center"/>
        </w:trPr>
        <w:tc>
          <w:tcPr>
            <w:tcW w:w="1422" w:type="dxa"/>
            <w:tcBorders>
              <w:left w:val="single" w:sz="12" w:space="0" w:color="auto"/>
            </w:tcBorders>
          </w:tcPr>
          <w:p>
            <w:pPr>
              <w:ind w:right="-29"/>
              <w:jc w:val="center"/>
              <w:rPr>
                <w:noProof/>
                <w:sz w:val="18"/>
              </w:rPr>
            </w:pPr>
            <w:r>
              <w:rPr>
                <w:noProof/>
                <w:sz w:val="18"/>
              </w:rPr>
              <w:t>Usposabljanje v zvezi z IT</w:t>
            </w:r>
          </w:p>
        </w:tc>
        <w:tc>
          <w:tcPr>
            <w:tcW w:w="1380" w:type="dxa"/>
            <w:gridSpan w:val="2"/>
          </w:tcPr>
          <w:p>
            <w:pPr>
              <w:ind w:right="-29"/>
              <w:jc w:val="center"/>
              <w:rPr>
                <w:noProof/>
                <w:sz w:val="18"/>
                <w:szCs w:val="18"/>
              </w:rPr>
            </w:pPr>
            <w:r>
              <w:rPr>
                <w:noProof/>
              </w:rPr>
              <w:t xml:space="preserve">Usposabljanje in drugo </w:t>
            </w:r>
          </w:p>
        </w:tc>
        <w:tc>
          <w:tcPr>
            <w:tcW w:w="303" w:type="dxa"/>
            <w:tcBorders>
              <w:right w:val="dashSmallGap" w:sz="4" w:space="0" w:color="auto"/>
            </w:tcBorders>
          </w:tcPr>
          <w:p>
            <w:pPr>
              <w:ind w:right="-29"/>
              <w:jc w:val="center"/>
              <w:rPr>
                <w:noProof/>
                <w:sz w:val="18"/>
                <w:szCs w:val="18"/>
              </w:rPr>
            </w:pPr>
          </w:p>
        </w:tc>
        <w:tc>
          <w:tcPr>
            <w:tcW w:w="867" w:type="dxa"/>
            <w:gridSpan w:val="2"/>
            <w:tcBorders>
              <w:left w:val="dashSmallGap" w:sz="4" w:space="0" w:color="auto"/>
              <w:bottom w:val="single" w:sz="4" w:space="0" w:color="auto"/>
            </w:tcBorders>
          </w:tcPr>
          <w:p>
            <w:pPr>
              <w:ind w:right="-29"/>
              <w:jc w:val="center"/>
              <w:rPr>
                <w:noProof/>
                <w:sz w:val="20"/>
                <w:szCs w:val="20"/>
              </w:rPr>
            </w:pPr>
            <w:r>
              <w:rPr>
                <w:noProof/>
                <w:sz w:val="20"/>
              </w:rPr>
              <w:t xml:space="preserve">0,020 </w:t>
            </w:r>
          </w:p>
        </w:tc>
        <w:tc>
          <w:tcPr>
            <w:tcW w:w="236" w:type="dxa"/>
            <w:gridSpan w:val="2"/>
            <w:tcBorders>
              <w:right w:val="dashSmallGap" w:sz="4" w:space="0" w:color="auto"/>
            </w:tcBorders>
          </w:tcPr>
          <w:p>
            <w:pPr>
              <w:ind w:right="-29"/>
              <w:jc w:val="center"/>
              <w:rPr>
                <w:noProof/>
                <w:sz w:val="20"/>
                <w:szCs w:val="20"/>
              </w:rPr>
            </w:pPr>
          </w:p>
        </w:tc>
        <w:tc>
          <w:tcPr>
            <w:tcW w:w="930" w:type="dxa"/>
            <w:tcBorders>
              <w:left w:val="dashSmallGap" w:sz="4" w:space="0" w:color="auto"/>
              <w:bottom w:val="single" w:sz="4" w:space="0" w:color="auto"/>
            </w:tcBorders>
          </w:tcPr>
          <w:p>
            <w:pPr>
              <w:ind w:right="-29"/>
              <w:jc w:val="center"/>
              <w:rPr>
                <w:noProof/>
                <w:sz w:val="20"/>
                <w:szCs w:val="20"/>
              </w:rPr>
            </w:pPr>
            <w:r>
              <w:rPr>
                <w:noProof/>
                <w:sz w:val="20"/>
              </w:rPr>
              <w:t xml:space="preserve">0,030 </w:t>
            </w:r>
          </w:p>
        </w:tc>
        <w:tc>
          <w:tcPr>
            <w:tcW w:w="283" w:type="dxa"/>
            <w:tcBorders>
              <w:right w:val="dashSmallGap" w:sz="4" w:space="0" w:color="auto"/>
            </w:tcBorders>
          </w:tcPr>
          <w:p>
            <w:pPr>
              <w:ind w:right="-29"/>
              <w:jc w:val="center"/>
              <w:rPr>
                <w:noProof/>
                <w:sz w:val="20"/>
                <w:szCs w:val="20"/>
              </w:rPr>
            </w:pPr>
          </w:p>
        </w:tc>
        <w:tc>
          <w:tcPr>
            <w:tcW w:w="851" w:type="dxa"/>
            <w:tcBorders>
              <w:top w:val="single" w:sz="4" w:space="0" w:color="auto"/>
              <w:left w:val="dashSmallGap" w:sz="4" w:space="0" w:color="auto"/>
              <w:bottom w:val="single" w:sz="4" w:space="0" w:color="auto"/>
            </w:tcBorders>
          </w:tcPr>
          <w:p>
            <w:pPr>
              <w:ind w:right="-29"/>
              <w:jc w:val="center"/>
              <w:rPr>
                <w:noProof/>
                <w:sz w:val="20"/>
                <w:szCs w:val="20"/>
              </w:rPr>
            </w:pPr>
            <w:r>
              <w:rPr>
                <w:noProof/>
                <w:sz w:val="20"/>
              </w:rPr>
              <w:t xml:space="preserve">0,030 </w:t>
            </w:r>
          </w:p>
        </w:tc>
        <w:tc>
          <w:tcPr>
            <w:tcW w:w="283" w:type="dxa"/>
            <w:tcBorders>
              <w:right w:val="dashSmallGap" w:sz="4" w:space="0" w:color="auto"/>
            </w:tcBorders>
          </w:tcPr>
          <w:p>
            <w:pPr>
              <w:ind w:right="-29"/>
              <w:jc w:val="center"/>
              <w:rPr>
                <w:noProof/>
                <w:sz w:val="20"/>
                <w:szCs w:val="20"/>
              </w:rPr>
            </w:pPr>
          </w:p>
        </w:tc>
        <w:tc>
          <w:tcPr>
            <w:tcW w:w="851" w:type="dxa"/>
            <w:tcBorders>
              <w:left w:val="dashSmallGap" w:sz="4" w:space="0" w:color="auto"/>
              <w:bottom w:val="single" w:sz="4" w:space="0" w:color="auto"/>
            </w:tcBorders>
          </w:tcPr>
          <w:p>
            <w:pPr>
              <w:ind w:right="-29"/>
              <w:jc w:val="center"/>
              <w:rPr>
                <w:noProof/>
                <w:sz w:val="20"/>
                <w:szCs w:val="20"/>
              </w:rPr>
            </w:pPr>
            <w:r>
              <w:rPr>
                <w:noProof/>
                <w:sz w:val="20"/>
              </w:rPr>
              <w:t xml:space="preserve">0,030 </w:t>
            </w:r>
          </w:p>
        </w:tc>
        <w:tc>
          <w:tcPr>
            <w:tcW w:w="283" w:type="dxa"/>
            <w:tcBorders>
              <w:right w:val="dashSmallGap" w:sz="4" w:space="0" w:color="auto"/>
            </w:tcBorders>
          </w:tcPr>
          <w:p>
            <w:pPr>
              <w:ind w:right="-29"/>
              <w:jc w:val="center"/>
              <w:rPr>
                <w:noProof/>
                <w:sz w:val="20"/>
                <w:szCs w:val="20"/>
              </w:rPr>
            </w:pPr>
          </w:p>
        </w:tc>
        <w:tc>
          <w:tcPr>
            <w:tcW w:w="709" w:type="dxa"/>
            <w:tcBorders>
              <w:left w:val="dashSmallGap" w:sz="4" w:space="0" w:color="auto"/>
              <w:bottom w:val="single" w:sz="4" w:space="0" w:color="auto"/>
            </w:tcBorders>
          </w:tcPr>
          <w:p>
            <w:pPr>
              <w:ind w:right="-29"/>
              <w:jc w:val="center"/>
              <w:rPr>
                <w:noProof/>
                <w:sz w:val="20"/>
                <w:szCs w:val="20"/>
              </w:rPr>
            </w:pPr>
            <w:r>
              <w:rPr>
                <w:noProof/>
                <w:sz w:val="20"/>
              </w:rPr>
              <w:t>0,030</w:t>
            </w:r>
          </w:p>
        </w:tc>
        <w:tc>
          <w:tcPr>
            <w:tcW w:w="283" w:type="dxa"/>
            <w:tcBorders>
              <w:right w:val="dashSmallGap" w:sz="4" w:space="0" w:color="auto"/>
            </w:tcBorders>
          </w:tcPr>
          <w:p>
            <w:pPr>
              <w:ind w:right="-29"/>
              <w:jc w:val="center"/>
              <w:rPr>
                <w:noProof/>
                <w:sz w:val="20"/>
                <w:szCs w:val="20"/>
              </w:rPr>
            </w:pPr>
          </w:p>
        </w:tc>
        <w:tc>
          <w:tcPr>
            <w:tcW w:w="851" w:type="dxa"/>
            <w:tcBorders>
              <w:left w:val="dashSmallGap" w:sz="4" w:space="0" w:color="auto"/>
              <w:bottom w:val="single" w:sz="4" w:space="0" w:color="auto"/>
            </w:tcBorders>
          </w:tcPr>
          <w:p>
            <w:pPr>
              <w:ind w:right="-29"/>
              <w:jc w:val="center"/>
              <w:rPr>
                <w:noProof/>
                <w:sz w:val="20"/>
                <w:szCs w:val="20"/>
              </w:rPr>
            </w:pPr>
            <w:r>
              <w:rPr>
                <w:noProof/>
                <w:sz w:val="20"/>
              </w:rPr>
              <w:t>0,050</w:t>
            </w:r>
          </w:p>
        </w:tc>
        <w:tc>
          <w:tcPr>
            <w:tcW w:w="283" w:type="dxa"/>
            <w:tcBorders>
              <w:right w:val="dashSmallGap" w:sz="4" w:space="0" w:color="auto"/>
            </w:tcBorders>
          </w:tcPr>
          <w:p>
            <w:pPr>
              <w:ind w:right="-29"/>
              <w:jc w:val="center"/>
              <w:rPr>
                <w:noProof/>
                <w:sz w:val="20"/>
                <w:szCs w:val="20"/>
              </w:rPr>
            </w:pPr>
          </w:p>
        </w:tc>
        <w:tc>
          <w:tcPr>
            <w:tcW w:w="851" w:type="dxa"/>
            <w:tcBorders>
              <w:left w:val="dashSmallGap" w:sz="4" w:space="0" w:color="auto"/>
              <w:bottom w:val="single" w:sz="4" w:space="0" w:color="auto"/>
            </w:tcBorders>
          </w:tcPr>
          <w:p>
            <w:pPr>
              <w:ind w:right="-29"/>
              <w:jc w:val="center"/>
              <w:rPr>
                <w:noProof/>
                <w:sz w:val="20"/>
                <w:szCs w:val="20"/>
              </w:rPr>
            </w:pPr>
            <w:r>
              <w:rPr>
                <w:noProof/>
                <w:sz w:val="20"/>
              </w:rPr>
              <w:t>0,050</w:t>
            </w:r>
          </w:p>
        </w:tc>
        <w:tc>
          <w:tcPr>
            <w:tcW w:w="283" w:type="dxa"/>
            <w:tcBorders>
              <w:right w:val="dashSmallGap" w:sz="4" w:space="0" w:color="auto"/>
            </w:tcBorders>
          </w:tcPr>
          <w:p>
            <w:pPr>
              <w:ind w:right="-29"/>
              <w:jc w:val="center"/>
              <w:rPr>
                <w:noProof/>
                <w:sz w:val="20"/>
                <w:szCs w:val="20"/>
              </w:rPr>
            </w:pPr>
          </w:p>
        </w:tc>
        <w:tc>
          <w:tcPr>
            <w:tcW w:w="851" w:type="dxa"/>
            <w:tcBorders>
              <w:left w:val="dashSmallGap" w:sz="4" w:space="0" w:color="auto"/>
              <w:bottom w:val="single" w:sz="4" w:space="0" w:color="auto"/>
            </w:tcBorders>
          </w:tcPr>
          <w:p>
            <w:pPr>
              <w:ind w:right="-29"/>
              <w:jc w:val="center"/>
              <w:rPr>
                <w:noProof/>
                <w:sz w:val="20"/>
                <w:szCs w:val="20"/>
              </w:rPr>
            </w:pPr>
            <w:r>
              <w:rPr>
                <w:noProof/>
                <w:sz w:val="20"/>
              </w:rPr>
              <w:t>0,050</w:t>
            </w:r>
          </w:p>
        </w:tc>
        <w:tc>
          <w:tcPr>
            <w:tcW w:w="283" w:type="dxa"/>
            <w:tcBorders>
              <w:right w:val="dashSmallGap" w:sz="4" w:space="0" w:color="auto"/>
            </w:tcBorders>
          </w:tcPr>
          <w:p>
            <w:pPr>
              <w:ind w:right="-29"/>
              <w:jc w:val="center"/>
              <w:rPr>
                <w:noProof/>
                <w:sz w:val="20"/>
                <w:szCs w:val="20"/>
              </w:rPr>
            </w:pPr>
          </w:p>
        </w:tc>
        <w:tc>
          <w:tcPr>
            <w:tcW w:w="709" w:type="dxa"/>
            <w:tcBorders>
              <w:left w:val="dashSmallGap" w:sz="4" w:space="0" w:color="auto"/>
              <w:bottom w:val="single" w:sz="4" w:space="0" w:color="auto"/>
            </w:tcBorders>
          </w:tcPr>
          <w:p>
            <w:pPr>
              <w:ind w:right="-29"/>
              <w:jc w:val="center"/>
              <w:rPr>
                <w:noProof/>
                <w:sz w:val="20"/>
                <w:szCs w:val="20"/>
              </w:rPr>
            </w:pPr>
            <w:r>
              <w:rPr>
                <w:noProof/>
                <w:sz w:val="20"/>
              </w:rPr>
              <w:t>0,050</w:t>
            </w:r>
          </w:p>
        </w:tc>
        <w:tc>
          <w:tcPr>
            <w:tcW w:w="709" w:type="dxa"/>
            <w:tcBorders>
              <w:right w:val="dashSmallGap" w:sz="4" w:space="0" w:color="auto"/>
            </w:tcBorders>
          </w:tcPr>
          <w:p>
            <w:pPr>
              <w:ind w:right="-29"/>
              <w:jc w:val="center"/>
              <w:rPr>
                <w:noProof/>
                <w:sz w:val="20"/>
                <w:szCs w:val="20"/>
              </w:rPr>
            </w:pPr>
          </w:p>
        </w:tc>
        <w:tc>
          <w:tcPr>
            <w:tcW w:w="854" w:type="dxa"/>
            <w:tcBorders>
              <w:left w:val="dashSmallGap" w:sz="4" w:space="0" w:color="auto"/>
              <w:bottom w:val="single" w:sz="4" w:space="0" w:color="auto"/>
              <w:right w:val="single" w:sz="12" w:space="0" w:color="auto"/>
            </w:tcBorders>
          </w:tcPr>
          <w:p>
            <w:pPr>
              <w:ind w:right="-29"/>
              <w:jc w:val="center"/>
              <w:rPr>
                <w:noProof/>
                <w:sz w:val="20"/>
                <w:szCs w:val="20"/>
              </w:rPr>
            </w:pPr>
            <w:r>
              <w:rPr>
                <w:noProof/>
                <w:sz w:val="20"/>
              </w:rPr>
              <w:t xml:space="preserve">0,340 </w:t>
            </w:r>
          </w:p>
        </w:tc>
      </w:tr>
      <w:tr>
        <w:trPr>
          <w:jc w:val="center"/>
        </w:trPr>
        <w:tc>
          <w:tcPr>
            <w:tcW w:w="2802" w:type="dxa"/>
            <w:gridSpan w:val="3"/>
            <w:tcBorders>
              <w:left w:val="single" w:sz="12" w:space="0" w:color="auto"/>
              <w:bottom w:val="single" w:sz="12" w:space="0" w:color="auto"/>
            </w:tcBorders>
            <w:vAlign w:val="center"/>
          </w:tcPr>
          <w:p>
            <w:pPr>
              <w:ind w:right="-29"/>
              <w:jc w:val="center"/>
              <w:rPr>
                <w:noProof/>
                <w:sz w:val="18"/>
                <w:szCs w:val="18"/>
              </w:rPr>
            </w:pPr>
            <w:r>
              <w:rPr>
                <w:noProof/>
                <w:sz w:val="18"/>
              </w:rPr>
              <w:t>Seštevek za specifični cilj št. 1</w:t>
            </w:r>
          </w:p>
        </w:tc>
        <w:tc>
          <w:tcPr>
            <w:tcW w:w="303" w:type="dxa"/>
            <w:tcBorders>
              <w:bottom w:val="single" w:sz="12" w:space="0" w:color="auto"/>
              <w:right w:val="dashSmallGap" w:sz="4" w:space="0" w:color="auto"/>
            </w:tcBorders>
          </w:tcPr>
          <w:p>
            <w:pPr>
              <w:ind w:right="-29"/>
              <w:jc w:val="center"/>
              <w:rPr>
                <w:noProof/>
                <w:sz w:val="18"/>
                <w:szCs w:val="18"/>
              </w:rPr>
            </w:pPr>
          </w:p>
        </w:tc>
        <w:tc>
          <w:tcPr>
            <w:tcW w:w="867" w:type="dxa"/>
            <w:gridSpan w:val="2"/>
            <w:tcBorders>
              <w:left w:val="dashSmallGap" w:sz="4" w:space="0" w:color="auto"/>
              <w:bottom w:val="single" w:sz="12" w:space="0" w:color="auto"/>
            </w:tcBorders>
          </w:tcPr>
          <w:p>
            <w:pPr>
              <w:ind w:right="-29"/>
              <w:jc w:val="center"/>
              <w:rPr>
                <w:b/>
                <w:noProof/>
                <w:sz w:val="22"/>
                <w:szCs w:val="18"/>
              </w:rPr>
            </w:pPr>
            <w:r>
              <w:rPr>
                <w:b/>
                <w:noProof/>
                <w:sz w:val="22"/>
              </w:rPr>
              <w:t xml:space="preserve">2,390 </w:t>
            </w:r>
          </w:p>
        </w:tc>
        <w:tc>
          <w:tcPr>
            <w:tcW w:w="236" w:type="dxa"/>
            <w:gridSpan w:val="2"/>
            <w:tcBorders>
              <w:bottom w:val="single" w:sz="12" w:space="0" w:color="auto"/>
              <w:right w:val="dashSmallGap" w:sz="4" w:space="0" w:color="auto"/>
            </w:tcBorders>
          </w:tcPr>
          <w:p>
            <w:pPr>
              <w:ind w:right="-29"/>
              <w:jc w:val="center"/>
              <w:rPr>
                <w:noProof/>
                <w:sz w:val="22"/>
                <w:szCs w:val="18"/>
              </w:rPr>
            </w:pPr>
          </w:p>
        </w:tc>
        <w:tc>
          <w:tcPr>
            <w:tcW w:w="930" w:type="dxa"/>
            <w:tcBorders>
              <w:left w:val="dashSmallGap" w:sz="4" w:space="0" w:color="auto"/>
              <w:bottom w:val="single" w:sz="12" w:space="0" w:color="auto"/>
            </w:tcBorders>
          </w:tcPr>
          <w:p>
            <w:pPr>
              <w:jc w:val="center"/>
              <w:rPr>
                <w:rFonts w:ascii="Calibri" w:hAnsi="Calibri"/>
                <w:b/>
                <w:bCs/>
                <w:noProof/>
                <w:color w:val="000000"/>
                <w:sz w:val="22"/>
              </w:rPr>
            </w:pPr>
            <w:r>
              <w:rPr>
                <w:rFonts w:ascii="Calibri" w:hAnsi="Calibri"/>
                <w:b/>
                <w:noProof/>
                <w:color w:val="000000"/>
                <w:sz w:val="22"/>
              </w:rPr>
              <w:t>11,151</w:t>
            </w:r>
          </w:p>
          <w:p>
            <w:pPr>
              <w:ind w:right="-29"/>
              <w:jc w:val="center"/>
              <w:rPr>
                <w:b/>
                <w:noProof/>
                <w:sz w:val="22"/>
                <w:szCs w:val="18"/>
              </w:rPr>
            </w:pPr>
          </w:p>
        </w:tc>
        <w:tc>
          <w:tcPr>
            <w:tcW w:w="283" w:type="dxa"/>
            <w:tcBorders>
              <w:bottom w:val="single" w:sz="12" w:space="0" w:color="auto"/>
              <w:right w:val="dashSmallGap" w:sz="4" w:space="0" w:color="auto"/>
            </w:tcBorders>
          </w:tcPr>
          <w:p>
            <w:pPr>
              <w:ind w:right="-29"/>
              <w:jc w:val="center"/>
              <w:rPr>
                <w:noProof/>
                <w:sz w:val="22"/>
                <w:szCs w:val="18"/>
              </w:rPr>
            </w:pPr>
          </w:p>
        </w:tc>
        <w:tc>
          <w:tcPr>
            <w:tcW w:w="851" w:type="dxa"/>
            <w:tcBorders>
              <w:left w:val="dashSmallGap" w:sz="4" w:space="0" w:color="auto"/>
              <w:bottom w:val="single" w:sz="12" w:space="0" w:color="auto"/>
            </w:tcBorders>
          </w:tcPr>
          <w:p>
            <w:pPr>
              <w:jc w:val="center"/>
              <w:rPr>
                <w:rFonts w:ascii="Calibri" w:hAnsi="Calibri"/>
                <w:b/>
                <w:bCs/>
                <w:noProof/>
                <w:color w:val="000000"/>
                <w:sz w:val="22"/>
              </w:rPr>
            </w:pPr>
            <w:r>
              <w:rPr>
                <w:rFonts w:ascii="Calibri" w:hAnsi="Calibri"/>
                <w:b/>
                <w:noProof/>
                <w:color w:val="000000"/>
                <w:sz w:val="22"/>
              </w:rPr>
              <w:t>28,879</w:t>
            </w:r>
          </w:p>
          <w:p>
            <w:pPr>
              <w:ind w:right="-29"/>
              <w:jc w:val="center"/>
              <w:rPr>
                <w:b/>
                <w:noProof/>
                <w:sz w:val="22"/>
                <w:szCs w:val="18"/>
              </w:rPr>
            </w:pPr>
          </w:p>
        </w:tc>
        <w:tc>
          <w:tcPr>
            <w:tcW w:w="283" w:type="dxa"/>
            <w:tcBorders>
              <w:bottom w:val="single" w:sz="12" w:space="0" w:color="auto"/>
              <w:right w:val="dashSmallGap" w:sz="4" w:space="0" w:color="auto"/>
            </w:tcBorders>
          </w:tcPr>
          <w:p>
            <w:pPr>
              <w:ind w:right="-29"/>
              <w:jc w:val="center"/>
              <w:rPr>
                <w:noProof/>
                <w:sz w:val="22"/>
                <w:szCs w:val="18"/>
              </w:rPr>
            </w:pPr>
          </w:p>
        </w:tc>
        <w:tc>
          <w:tcPr>
            <w:tcW w:w="851" w:type="dxa"/>
            <w:tcBorders>
              <w:left w:val="dashSmallGap" w:sz="4" w:space="0" w:color="auto"/>
              <w:bottom w:val="single" w:sz="12" w:space="0" w:color="auto"/>
            </w:tcBorders>
          </w:tcPr>
          <w:p>
            <w:pPr>
              <w:jc w:val="center"/>
              <w:rPr>
                <w:rFonts w:ascii="Calibri" w:hAnsi="Calibri"/>
                <w:b/>
                <w:bCs/>
                <w:noProof/>
                <w:color w:val="000000"/>
                <w:sz w:val="22"/>
              </w:rPr>
            </w:pPr>
            <w:r>
              <w:rPr>
                <w:rFonts w:ascii="Calibri" w:hAnsi="Calibri"/>
                <w:b/>
                <w:noProof/>
                <w:color w:val="000000"/>
                <w:sz w:val="22"/>
              </w:rPr>
              <w:t>16,131</w:t>
            </w:r>
          </w:p>
          <w:p>
            <w:pPr>
              <w:ind w:right="-29"/>
              <w:jc w:val="center"/>
              <w:rPr>
                <w:b/>
                <w:noProof/>
                <w:sz w:val="22"/>
                <w:szCs w:val="18"/>
              </w:rPr>
            </w:pPr>
          </w:p>
        </w:tc>
        <w:tc>
          <w:tcPr>
            <w:tcW w:w="283" w:type="dxa"/>
            <w:tcBorders>
              <w:bottom w:val="single" w:sz="12" w:space="0" w:color="auto"/>
              <w:right w:val="dashSmallGap" w:sz="4" w:space="0" w:color="auto"/>
            </w:tcBorders>
          </w:tcPr>
          <w:p>
            <w:pPr>
              <w:ind w:right="-29"/>
              <w:jc w:val="center"/>
              <w:rPr>
                <w:noProof/>
                <w:sz w:val="22"/>
                <w:szCs w:val="18"/>
              </w:rPr>
            </w:pPr>
          </w:p>
        </w:tc>
        <w:tc>
          <w:tcPr>
            <w:tcW w:w="709" w:type="dxa"/>
            <w:tcBorders>
              <w:left w:val="dashSmallGap" w:sz="4" w:space="0" w:color="auto"/>
              <w:bottom w:val="single" w:sz="12" w:space="0" w:color="auto"/>
            </w:tcBorders>
          </w:tcPr>
          <w:p>
            <w:pPr>
              <w:ind w:right="-29"/>
              <w:rPr>
                <w:b/>
                <w:noProof/>
                <w:sz w:val="22"/>
              </w:rPr>
            </w:pPr>
            <w:r>
              <w:rPr>
                <w:b/>
                <w:noProof/>
                <w:sz w:val="22"/>
              </w:rPr>
              <w:t>6,830</w:t>
            </w:r>
          </w:p>
        </w:tc>
        <w:tc>
          <w:tcPr>
            <w:tcW w:w="283" w:type="dxa"/>
            <w:tcBorders>
              <w:bottom w:val="single" w:sz="12" w:space="0" w:color="auto"/>
              <w:right w:val="dashSmallGap" w:sz="4" w:space="0" w:color="auto"/>
            </w:tcBorders>
          </w:tcPr>
          <w:p>
            <w:pPr>
              <w:ind w:right="-29"/>
              <w:jc w:val="center"/>
              <w:rPr>
                <w:b/>
                <w:noProof/>
                <w:sz w:val="22"/>
              </w:rPr>
            </w:pPr>
          </w:p>
        </w:tc>
        <w:tc>
          <w:tcPr>
            <w:tcW w:w="851" w:type="dxa"/>
            <w:tcBorders>
              <w:left w:val="dashSmallGap" w:sz="4" w:space="0" w:color="auto"/>
              <w:bottom w:val="single" w:sz="12" w:space="0" w:color="auto"/>
            </w:tcBorders>
          </w:tcPr>
          <w:p>
            <w:pPr>
              <w:ind w:right="-29"/>
              <w:jc w:val="center"/>
              <w:rPr>
                <w:b/>
                <w:noProof/>
                <w:sz w:val="22"/>
              </w:rPr>
            </w:pPr>
            <w:r>
              <w:rPr>
                <w:b/>
                <w:noProof/>
                <w:sz w:val="22"/>
              </w:rPr>
              <w:t>1,815</w:t>
            </w:r>
          </w:p>
        </w:tc>
        <w:tc>
          <w:tcPr>
            <w:tcW w:w="283" w:type="dxa"/>
            <w:tcBorders>
              <w:bottom w:val="single" w:sz="12" w:space="0" w:color="auto"/>
              <w:right w:val="dashSmallGap" w:sz="4" w:space="0" w:color="auto"/>
            </w:tcBorders>
          </w:tcPr>
          <w:p>
            <w:pPr>
              <w:ind w:right="-29"/>
              <w:jc w:val="center"/>
              <w:rPr>
                <w:b/>
                <w:noProof/>
                <w:sz w:val="22"/>
              </w:rPr>
            </w:pPr>
          </w:p>
        </w:tc>
        <w:tc>
          <w:tcPr>
            <w:tcW w:w="851" w:type="dxa"/>
            <w:tcBorders>
              <w:left w:val="dashSmallGap" w:sz="4" w:space="0" w:color="auto"/>
              <w:bottom w:val="single" w:sz="12" w:space="0" w:color="auto"/>
            </w:tcBorders>
          </w:tcPr>
          <w:p>
            <w:pPr>
              <w:ind w:right="-29"/>
              <w:jc w:val="center"/>
              <w:rPr>
                <w:b/>
                <w:noProof/>
                <w:sz w:val="22"/>
              </w:rPr>
            </w:pPr>
            <w:r>
              <w:rPr>
                <w:b/>
                <w:noProof/>
                <w:sz w:val="22"/>
              </w:rPr>
              <w:t>0,415</w:t>
            </w:r>
          </w:p>
        </w:tc>
        <w:tc>
          <w:tcPr>
            <w:tcW w:w="283" w:type="dxa"/>
            <w:tcBorders>
              <w:bottom w:val="single" w:sz="12" w:space="0" w:color="auto"/>
              <w:right w:val="dashSmallGap" w:sz="4" w:space="0" w:color="auto"/>
            </w:tcBorders>
          </w:tcPr>
          <w:p>
            <w:pPr>
              <w:ind w:right="-29"/>
              <w:jc w:val="center"/>
              <w:rPr>
                <w:b/>
                <w:noProof/>
                <w:sz w:val="22"/>
              </w:rPr>
            </w:pPr>
          </w:p>
        </w:tc>
        <w:tc>
          <w:tcPr>
            <w:tcW w:w="851" w:type="dxa"/>
            <w:tcBorders>
              <w:left w:val="dashSmallGap" w:sz="4" w:space="0" w:color="auto"/>
              <w:bottom w:val="single" w:sz="12" w:space="0" w:color="auto"/>
            </w:tcBorders>
          </w:tcPr>
          <w:p>
            <w:pPr>
              <w:ind w:right="-29"/>
              <w:jc w:val="center"/>
              <w:rPr>
                <w:b/>
                <w:noProof/>
                <w:sz w:val="22"/>
              </w:rPr>
            </w:pPr>
            <w:r>
              <w:rPr>
                <w:b/>
                <w:noProof/>
                <w:sz w:val="22"/>
              </w:rPr>
              <w:t>0,335</w:t>
            </w:r>
          </w:p>
        </w:tc>
        <w:tc>
          <w:tcPr>
            <w:tcW w:w="283" w:type="dxa"/>
            <w:tcBorders>
              <w:bottom w:val="single" w:sz="12" w:space="0" w:color="auto"/>
              <w:right w:val="dashSmallGap" w:sz="4" w:space="0" w:color="auto"/>
            </w:tcBorders>
          </w:tcPr>
          <w:p>
            <w:pPr>
              <w:ind w:right="-29"/>
              <w:jc w:val="center"/>
              <w:rPr>
                <w:b/>
                <w:noProof/>
                <w:sz w:val="22"/>
              </w:rPr>
            </w:pPr>
          </w:p>
        </w:tc>
        <w:tc>
          <w:tcPr>
            <w:tcW w:w="709" w:type="dxa"/>
            <w:tcBorders>
              <w:left w:val="dashSmallGap" w:sz="4" w:space="0" w:color="auto"/>
              <w:bottom w:val="single" w:sz="12" w:space="0" w:color="auto"/>
            </w:tcBorders>
          </w:tcPr>
          <w:p>
            <w:pPr>
              <w:ind w:right="-29"/>
              <w:jc w:val="center"/>
              <w:rPr>
                <w:b/>
                <w:noProof/>
                <w:sz w:val="22"/>
              </w:rPr>
            </w:pPr>
            <w:r>
              <w:rPr>
                <w:b/>
                <w:noProof/>
                <w:sz w:val="22"/>
              </w:rPr>
              <w:t>0,335</w:t>
            </w:r>
          </w:p>
        </w:tc>
        <w:tc>
          <w:tcPr>
            <w:tcW w:w="709" w:type="dxa"/>
            <w:tcBorders>
              <w:bottom w:val="single" w:sz="12" w:space="0" w:color="auto"/>
              <w:right w:val="dashSmallGap" w:sz="4" w:space="0" w:color="auto"/>
            </w:tcBorders>
          </w:tcPr>
          <w:p>
            <w:pPr>
              <w:ind w:right="-29"/>
              <w:jc w:val="center"/>
              <w:rPr>
                <w:noProof/>
                <w:sz w:val="22"/>
                <w:szCs w:val="18"/>
              </w:rPr>
            </w:pPr>
          </w:p>
        </w:tc>
        <w:tc>
          <w:tcPr>
            <w:tcW w:w="854" w:type="dxa"/>
            <w:tcBorders>
              <w:left w:val="dashSmallGap" w:sz="4" w:space="0" w:color="auto"/>
              <w:bottom w:val="single" w:sz="12" w:space="0" w:color="auto"/>
              <w:right w:val="single" w:sz="12" w:space="0" w:color="auto"/>
            </w:tcBorders>
          </w:tcPr>
          <w:p>
            <w:pPr>
              <w:jc w:val="center"/>
              <w:rPr>
                <w:rFonts w:ascii="Calibri" w:hAnsi="Calibri"/>
                <w:b/>
                <w:bCs/>
                <w:noProof/>
                <w:color w:val="000000"/>
                <w:sz w:val="22"/>
              </w:rPr>
            </w:pPr>
            <w:r>
              <w:rPr>
                <w:rFonts w:ascii="Calibri" w:hAnsi="Calibri"/>
                <w:b/>
                <w:noProof/>
                <w:color w:val="000000"/>
                <w:sz w:val="22"/>
              </w:rPr>
              <w:t>68,281</w:t>
            </w:r>
          </w:p>
          <w:p>
            <w:pPr>
              <w:ind w:right="-29"/>
              <w:jc w:val="center"/>
              <w:rPr>
                <w:b/>
                <w:noProof/>
                <w:sz w:val="22"/>
                <w:szCs w:val="18"/>
              </w:rPr>
            </w:pPr>
          </w:p>
        </w:tc>
      </w:tr>
    </w:tbl>
    <w:p>
      <w:pPr>
        <w:rPr>
          <w:noProof/>
        </w:rPr>
      </w:pPr>
    </w:p>
    <w:p>
      <w:pPr>
        <w:pStyle w:val="ListDash"/>
        <w:rPr>
          <w:noProof/>
        </w:rPr>
      </w:pPr>
      <w:r>
        <w:rPr>
          <w:noProof/>
        </w:rPr>
        <w:t>Ta cilj zajema le stroške za izvedbo štirih sestavnih delov interoperabilnosti in CRRS.</w:t>
      </w:r>
    </w:p>
    <w:p>
      <w:pPr>
        <w:pStyle w:val="ListDash"/>
        <w:rPr>
          <w:noProof/>
        </w:rPr>
      </w:pPr>
      <w:r>
        <w:rPr>
          <w:noProof/>
        </w:rPr>
        <w:t>Stroški za skupno BMS so bili ocenjeni ob predpostavki, da bo SVI, ki bo kmalu razvit, služil kot osrednji sistem za nadaljnji razvoj. Zato je predvidena ponovna uporaba licenc za programsko opremo za obdelavo biometričnih podatkov (36 milijonov EUR), vključenih za namene SVI.</w:t>
      </w:r>
    </w:p>
    <w:p>
      <w:pPr>
        <w:pStyle w:val="ListDash"/>
        <w:rPr>
          <w:noProof/>
        </w:rPr>
      </w:pPr>
      <w:r>
        <w:rPr>
          <w:noProof/>
        </w:rPr>
        <w:t xml:space="preserve">V tem proračunu se glede sredstev skupna BMS obravnava kot nadaljnja razširitev BMS za SVI. Zato so v ta finančni obrazec vključeni mejni stroški za licence za programsko opremo (6,8 milijona EUR) zaradi dodajanja približno 20 milijonov nizov biometričnih podatkov iz sistema AFIS v okviru SIS (AFIS je sistem za avtomatizirano identifikacijo prstnih odtisov = „BMS“ v okviru SIS), sistema AFIS v okviru sistema Eurodac ter prihodnjega sistema ECRIS-TCN (evropski informacijski sistem kazenskih evidenc za državljane tretjih držav) v BMS, izdelano za SVI. Stroški za povezovanje različnih sistemov (SIS, sistema Eurodac in sistema ECRIS-TCN) v skupno BMS so vključeni v ta finančni obrazec. </w:t>
      </w:r>
    </w:p>
    <w:p>
      <w:pPr>
        <w:pStyle w:val="ListDash"/>
        <w:rPr>
          <w:noProof/>
        </w:rPr>
      </w:pPr>
      <w:r>
        <w:rPr>
          <w:noProof/>
        </w:rPr>
        <w:t>Agencija eu-LISA bo v okviru dejavnosti v letih 2019 in 2020 zadolžena za oblikovanje natančne tehnične rešitve, ki je v času predložitve tega zakonodajnega predloga ni mogoče opredeliti, in oceno stroškovnih posledic izvedbe prednostne tehnične rešitve. To bi lahko zahtevalo spremembe te ocene stroškov.</w:t>
      </w:r>
    </w:p>
    <w:p>
      <w:pPr>
        <w:pStyle w:val="ListDash"/>
        <w:rPr>
          <w:noProof/>
        </w:rPr>
      </w:pPr>
      <w:r>
        <w:rPr>
          <w:noProof/>
        </w:rPr>
        <w:t>Vsi sestavni deli bodo dokončani do konca leta 2023, zato se stroški izvajalcev do takrat zmanjšajo skoraj na nič. Ostaja samo preostali znesek za ponavljajoče se posodobitve CRRS.</w:t>
      </w:r>
    </w:p>
    <w:p>
      <w:pPr>
        <w:pStyle w:val="ListDash"/>
        <w:rPr>
          <w:noProof/>
        </w:rPr>
      </w:pPr>
      <w:r>
        <w:rPr>
          <w:noProof/>
        </w:rPr>
        <w:t>V obdobju 2019–2021 se odhodki za programsko opremo precej povečajo, saj bodo takrat nastali stroški za licence za programsko opremo v različnih okoljih, potrebnih za izdelavo, predizdelavo in preskušanje, tako na centralni kot na nadomestni lokaciji. Poleg tega je cena nekaterih posebnih in nepogrešljivih sestavnih delov programske opreme določena glede na število „zadevnih predmetov“ (npr. količino podatkov). Ker bo baza podatkov na koncu vsebovala okrog 220 milijonov identitet, bo cena programske opreme sorazmerna s to številko.</w:t>
      </w:r>
    </w:p>
    <w:p>
      <w:pPr>
        <w:keepNext/>
        <w:rPr>
          <w:noProof/>
        </w:rPr>
      </w:pPr>
    </w:p>
    <w:tbl>
      <w:tblPr>
        <w:tblW w:w="143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2"/>
        <w:gridCol w:w="721"/>
        <w:gridCol w:w="659"/>
        <w:gridCol w:w="236"/>
        <w:gridCol w:w="843"/>
        <w:gridCol w:w="283"/>
        <w:gridCol w:w="851"/>
        <w:gridCol w:w="283"/>
        <w:gridCol w:w="851"/>
        <w:gridCol w:w="283"/>
        <w:gridCol w:w="851"/>
        <w:gridCol w:w="283"/>
        <w:gridCol w:w="851"/>
        <w:gridCol w:w="283"/>
        <w:gridCol w:w="851"/>
        <w:gridCol w:w="283"/>
        <w:gridCol w:w="851"/>
        <w:gridCol w:w="283"/>
        <w:gridCol w:w="851"/>
        <w:gridCol w:w="283"/>
        <w:gridCol w:w="709"/>
        <w:gridCol w:w="709"/>
        <w:gridCol w:w="874"/>
      </w:tblGrid>
      <w:tr>
        <w:trPr>
          <w:jc w:val="center"/>
        </w:trPr>
        <w:tc>
          <w:tcPr>
            <w:tcW w:w="1422" w:type="dxa"/>
            <w:vMerge w:val="restart"/>
            <w:tcBorders>
              <w:top w:val="single" w:sz="12" w:space="0" w:color="auto"/>
              <w:left w:val="single" w:sz="12" w:space="0" w:color="auto"/>
            </w:tcBorders>
            <w:vAlign w:val="center"/>
          </w:tcPr>
          <w:p>
            <w:pPr>
              <w:keepNext/>
              <w:ind w:right="-29"/>
              <w:jc w:val="center"/>
              <w:rPr>
                <w:b/>
                <w:noProof/>
                <w:sz w:val="18"/>
                <w:szCs w:val="18"/>
              </w:rPr>
            </w:pPr>
            <w:r>
              <w:rPr>
                <w:b/>
                <w:noProof/>
                <w:sz w:val="18"/>
              </w:rPr>
              <w:t xml:space="preserve">Cilji in realizacije </w:t>
            </w:r>
          </w:p>
          <w:p>
            <w:pPr>
              <w:keepNext/>
              <w:ind w:right="-29"/>
              <w:jc w:val="center"/>
              <w:rPr>
                <w:b/>
                <w:noProof/>
                <w:sz w:val="18"/>
                <w:szCs w:val="18"/>
              </w:rPr>
            </w:pPr>
            <w:r>
              <w:rPr>
                <w:b/>
                <w:noProof/>
                <w:sz w:val="18"/>
              </w:rPr>
              <w:t>eu-LISA</w:t>
            </w:r>
          </w:p>
          <w:p>
            <w:pPr>
              <w:keepNext/>
              <w:ind w:right="-29"/>
              <w:jc w:val="center"/>
              <w:rPr>
                <w:noProof/>
                <w:sz w:val="18"/>
                <w:szCs w:val="18"/>
              </w:rPr>
            </w:pPr>
            <w:r>
              <w:rPr>
                <w:noProof/>
                <w:sz w:val="18"/>
              </w:rPr>
              <w:sym w:font="Wingdings" w:char="F0F2"/>
            </w:r>
          </w:p>
        </w:tc>
        <w:tc>
          <w:tcPr>
            <w:tcW w:w="721" w:type="dxa"/>
            <w:tcBorders>
              <w:top w:val="single" w:sz="12" w:space="0" w:color="auto"/>
            </w:tcBorders>
            <w:vAlign w:val="center"/>
          </w:tcPr>
          <w:p>
            <w:pPr>
              <w:keepNext/>
              <w:ind w:right="-29"/>
              <w:jc w:val="center"/>
              <w:rPr>
                <w:noProof/>
                <w:sz w:val="18"/>
                <w:szCs w:val="18"/>
              </w:rPr>
            </w:pPr>
          </w:p>
        </w:tc>
        <w:tc>
          <w:tcPr>
            <w:tcW w:w="659" w:type="dxa"/>
            <w:tcBorders>
              <w:top w:val="single" w:sz="12" w:space="0" w:color="auto"/>
            </w:tcBorders>
            <w:vAlign w:val="center"/>
          </w:tcPr>
          <w:p>
            <w:pPr>
              <w:keepNext/>
              <w:ind w:right="-29"/>
              <w:jc w:val="center"/>
              <w:rPr>
                <w:noProof/>
                <w:sz w:val="18"/>
                <w:szCs w:val="18"/>
              </w:rPr>
            </w:pPr>
          </w:p>
        </w:tc>
        <w:tc>
          <w:tcPr>
            <w:tcW w:w="1079" w:type="dxa"/>
            <w:gridSpan w:val="2"/>
            <w:tcBorders>
              <w:top w:val="single" w:sz="12" w:space="0" w:color="auto"/>
              <w:right w:val="single" w:sz="4" w:space="0" w:color="auto"/>
            </w:tcBorders>
            <w:vAlign w:val="center"/>
          </w:tcPr>
          <w:p>
            <w:pPr>
              <w:keepNext/>
              <w:ind w:right="-29"/>
              <w:jc w:val="center"/>
              <w:rPr>
                <w:noProof/>
                <w:sz w:val="18"/>
                <w:szCs w:val="18"/>
              </w:rPr>
            </w:pPr>
            <w:r>
              <w:rPr>
                <w:noProof/>
                <w:sz w:val="18"/>
              </w:rPr>
              <w:t>Leto</w:t>
            </w:r>
            <w:r>
              <w:rPr>
                <w:noProof/>
                <w:sz w:val="22"/>
              </w:rPr>
              <w:br/>
            </w:r>
            <w:r>
              <w:rPr>
                <w:b/>
                <w:noProof/>
                <w:sz w:val="18"/>
              </w:rPr>
              <w:t>2019</w:t>
            </w:r>
          </w:p>
        </w:tc>
        <w:tc>
          <w:tcPr>
            <w:tcW w:w="1134" w:type="dxa"/>
            <w:gridSpan w:val="2"/>
            <w:tcBorders>
              <w:top w:val="single" w:sz="12" w:space="0" w:color="auto"/>
              <w:left w:val="single" w:sz="4" w:space="0" w:color="auto"/>
            </w:tcBorders>
            <w:vAlign w:val="center"/>
          </w:tcPr>
          <w:p>
            <w:pPr>
              <w:keepNext/>
              <w:ind w:right="-29"/>
              <w:jc w:val="center"/>
              <w:rPr>
                <w:noProof/>
                <w:sz w:val="18"/>
                <w:szCs w:val="18"/>
              </w:rPr>
            </w:pPr>
            <w:r>
              <w:rPr>
                <w:noProof/>
                <w:sz w:val="18"/>
              </w:rPr>
              <w:t>Leto</w:t>
            </w:r>
            <w:r>
              <w:rPr>
                <w:noProof/>
                <w:sz w:val="22"/>
              </w:rPr>
              <w:br/>
            </w:r>
            <w:r>
              <w:rPr>
                <w:b/>
                <w:noProof/>
                <w:sz w:val="18"/>
              </w:rPr>
              <w:t>2020</w:t>
            </w:r>
          </w:p>
        </w:tc>
        <w:tc>
          <w:tcPr>
            <w:tcW w:w="1134" w:type="dxa"/>
            <w:gridSpan w:val="2"/>
            <w:tcBorders>
              <w:top w:val="single" w:sz="12" w:space="0" w:color="auto"/>
            </w:tcBorders>
            <w:vAlign w:val="center"/>
          </w:tcPr>
          <w:p>
            <w:pPr>
              <w:keepNext/>
              <w:ind w:right="-29"/>
              <w:jc w:val="center"/>
              <w:rPr>
                <w:noProof/>
                <w:sz w:val="18"/>
                <w:szCs w:val="18"/>
              </w:rPr>
            </w:pPr>
            <w:r>
              <w:rPr>
                <w:noProof/>
                <w:sz w:val="18"/>
              </w:rPr>
              <w:t>Leto</w:t>
            </w:r>
            <w:r>
              <w:rPr>
                <w:noProof/>
                <w:sz w:val="22"/>
              </w:rPr>
              <w:br/>
            </w:r>
            <w:r>
              <w:rPr>
                <w:b/>
                <w:noProof/>
                <w:sz w:val="18"/>
              </w:rPr>
              <w:t>2021</w:t>
            </w:r>
          </w:p>
        </w:tc>
        <w:tc>
          <w:tcPr>
            <w:tcW w:w="1134" w:type="dxa"/>
            <w:gridSpan w:val="2"/>
            <w:tcBorders>
              <w:top w:val="single" w:sz="12" w:space="0" w:color="auto"/>
            </w:tcBorders>
            <w:vAlign w:val="center"/>
          </w:tcPr>
          <w:p>
            <w:pPr>
              <w:keepNext/>
              <w:ind w:right="-29"/>
              <w:jc w:val="center"/>
              <w:rPr>
                <w:noProof/>
                <w:sz w:val="18"/>
                <w:szCs w:val="18"/>
              </w:rPr>
            </w:pPr>
            <w:r>
              <w:rPr>
                <w:noProof/>
                <w:sz w:val="18"/>
              </w:rPr>
              <w:t>Leto</w:t>
            </w:r>
            <w:r>
              <w:rPr>
                <w:noProof/>
                <w:sz w:val="22"/>
              </w:rPr>
              <w:br/>
            </w:r>
            <w:r>
              <w:rPr>
                <w:b/>
                <w:noProof/>
                <w:sz w:val="18"/>
              </w:rPr>
              <w:t>2022</w:t>
            </w:r>
          </w:p>
        </w:tc>
        <w:tc>
          <w:tcPr>
            <w:tcW w:w="1134" w:type="dxa"/>
            <w:gridSpan w:val="2"/>
            <w:tcBorders>
              <w:top w:val="single" w:sz="12" w:space="0" w:color="auto"/>
            </w:tcBorders>
            <w:vAlign w:val="center"/>
          </w:tcPr>
          <w:p>
            <w:pPr>
              <w:keepNext/>
              <w:jc w:val="center"/>
              <w:rPr>
                <w:noProof/>
                <w:sz w:val="18"/>
                <w:szCs w:val="18"/>
              </w:rPr>
            </w:pPr>
            <w:r>
              <w:rPr>
                <w:noProof/>
                <w:sz w:val="18"/>
              </w:rPr>
              <w:t>Leto</w:t>
            </w:r>
            <w:r>
              <w:rPr>
                <w:noProof/>
                <w:sz w:val="22"/>
              </w:rPr>
              <w:br/>
            </w:r>
            <w:r>
              <w:rPr>
                <w:b/>
                <w:noProof/>
                <w:sz w:val="18"/>
              </w:rPr>
              <w:t>2023</w:t>
            </w:r>
          </w:p>
        </w:tc>
        <w:tc>
          <w:tcPr>
            <w:tcW w:w="1134" w:type="dxa"/>
            <w:gridSpan w:val="2"/>
            <w:tcBorders>
              <w:top w:val="single" w:sz="12" w:space="0" w:color="auto"/>
            </w:tcBorders>
            <w:vAlign w:val="center"/>
          </w:tcPr>
          <w:p>
            <w:pPr>
              <w:keepNext/>
              <w:jc w:val="center"/>
              <w:rPr>
                <w:noProof/>
                <w:sz w:val="18"/>
                <w:szCs w:val="18"/>
              </w:rPr>
            </w:pPr>
            <w:r>
              <w:rPr>
                <w:noProof/>
                <w:sz w:val="18"/>
              </w:rPr>
              <w:t>Leto</w:t>
            </w:r>
            <w:r>
              <w:rPr>
                <w:noProof/>
                <w:sz w:val="22"/>
              </w:rPr>
              <w:br/>
            </w:r>
            <w:r>
              <w:rPr>
                <w:b/>
                <w:noProof/>
                <w:sz w:val="18"/>
              </w:rPr>
              <w:t>2024</w:t>
            </w:r>
          </w:p>
        </w:tc>
        <w:tc>
          <w:tcPr>
            <w:tcW w:w="1134" w:type="dxa"/>
            <w:gridSpan w:val="2"/>
            <w:tcBorders>
              <w:top w:val="single" w:sz="12" w:space="0" w:color="auto"/>
            </w:tcBorders>
            <w:vAlign w:val="center"/>
          </w:tcPr>
          <w:p>
            <w:pPr>
              <w:keepNext/>
              <w:jc w:val="center"/>
              <w:rPr>
                <w:noProof/>
                <w:sz w:val="18"/>
                <w:szCs w:val="18"/>
              </w:rPr>
            </w:pPr>
            <w:r>
              <w:rPr>
                <w:noProof/>
                <w:sz w:val="18"/>
              </w:rPr>
              <w:t>Leto</w:t>
            </w:r>
            <w:r>
              <w:rPr>
                <w:noProof/>
                <w:sz w:val="22"/>
              </w:rPr>
              <w:br/>
            </w:r>
            <w:r>
              <w:rPr>
                <w:b/>
                <w:noProof/>
                <w:sz w:val="18"/>
              </w:rPr>
              <w:t>2025</w:t>
            </w:r>
          </w:p>
        </w:tc>
        <w:tc>
          <w:tcPr>
            <w:tcW w:w="1134" w:type="dxa"/>
            <w:gridSpan w:val="2"/>
            <w:tcBorders>
              <w:top w:val="single" w:sz="12" w:space="0" w:color="auto"/>
            </w:tcBorders>
          </w:tcPr>
          <w:p>
            <w:pPr>
              <w:keepNext/>
              <w:ind w:right="-29"/>
              <w:jc w:val="center"/>
              <w:rPr>
                <w:b/>
                <w:noProof/>
                <w:sz w:val="18"/>
              </w:rPr>
            </w:pPr>
            <w:r>
              <w:rPr>
                <w:noProof/>
                <w:sz w:val="18"/>
              </w:rPr>
              <w:t>Leto</w:t>
            </w:r>
            <w:r>
              <w:rPr>
                <w:noProof/>
                <w:sz w:val="22"/>
              </w:rPr>
              <w:br/>
            </w:r>
            <w:r>
              <w:rPr>
                <w:b/>
                <w:noProof/>
                <w:sz w:val="18"/>
              </w:rPr>
              <w:t>2026</w:t>
            </w:r>
          </w:p>
        </w:tc>
        <w:tc>
          <w:tcPr>
            <w:tcW w:w="992" w:type="dxa"/>
            <w:gridSpan w:val="2"/>
            <w:tcBorders>
              <w:top w:val="single" w:sz="12" w:space="0" w:color="auto"/>
              <w:right w:val="nil"/>
            </w:tcBorders>
          </w:tcPr>
          <w:p>
            <w:pPr>
              <w:keepNext/>
              <w:ind w:right="-29"/>
              <w:jc w:val="center"/>
              <w:rPr>
                <w:b/>
                <w:noProof/>
                <w:sz w:val="18"/>
              </w:rPr>
            </w:pPr>
            <w:r>
              <w:rPr>
                <w:noProof/>
                <w:sz w:val="18"/>
              </w:rPr>
              <w:t>Leto</w:t>
            </w:r>
            <w:r>
              <w:rPr>
                <w:noProof/>
                <w:sz w:val="22"/>
              </w:rPr>
              <w:br/>
            </w:r>
            <w:r>
              <w:rPr>
                <w:b/>
                <w:noProof/>
                <w:sz w:val="18"/>
              </w:rPr>
              <w:t>2027</w:t>
            </w:r>
          </w:p>
        </w:tc>
        <w:tc>
          <w:tcPr>
            <w:tcW w:w="1583" w:type="dxa"/>
            <w:gridSpan w:val="2"/>
            <w:tcBorders>
              <w:top w:val="single" w:sz="12" w:space="0" w:color="auto"/>
              <w:left w:val="single" w:sz="6" w:space="0" w:color="auto"/>
              <w:bottom w:val="single" w:sz="4" w:space="0" w:color="auto"/>
              <w:right w:val="single" w:sz="12" w:space="0" w:color="auto"/>
            </w:tcBorders>
            <w:vAlign w:val="center"/>
          </w:tcPr>
          <w:p>
            <w:pPr>
              <w:keepNext/>
              <w:ind w:right="-29"/>
              <w:jc w:val="center"/>
              <w:rPr>
                <w:noProof/>
                <w:sz w:val="18"/>
                <w:szCs w:val="18"/>
              </w:rPr>
            </w:pPr>
            <w:r>
              <w:rPr>
                <w:b/>
                <w:noProof/>
                <w:sz w:val="18"/>
              </w:rPr>
              <w:t>SKUPAJ</w:t>
            </w:r>
          </w:p>
        </w:tc>
      </w:tr>
      <w:tr>
        <w:trPr>
          <w:gridAfter w:val="22"/>
          <w:wAfter w:w="12972" w:type="dxa"/>
          <w:trHeight w:val="465"/>
          <w:jc w:val="center"/>
        </w:trPr>
        <w:tc>
          <w:tcPr>
            <w:tcW w:w="1422" w:type="dxa"/>
            <w:vMerge/>
            <w:tcBorders>
              <w:left w:val="single" w:sz="12" w:space="0" w:color="auto"/>
            </w:tcBorders>
            <w:vAlign w:val="center"/>
          </w:tcPr>
          <w:p>
            <w:pPr>
              <w:keepNext/>
              <w:ind w:right="-29"/>
              <w:jc w:val="center"/>
              <w:rPr>
                <w:noProof/>
                <w:sz w:val="18"/>
                <w:szCs w:val="18"/>
              </w:rPr>
            </w:pPr>
          </w:p>
        </w:tc>
      </w:tr>
      <w:tr>
        <w:trPr>
          <w:cantSplit/>
          <w:trHeight w:val="1134"/>
          <w:jc w:val="center"/>
        </w:trPr>
        <w:tc>
          <w:tcPr>
            <w:tcW w:w="1422" w:type="dxa"/>
            <w:vMerge/>
            <w:tcBorders>
              <w:left w:val="single" w:sz="12" w:space="0" w:color="auto"/>
            </w:tcBorders>
            <w:vAlign w:val="center"/>
          </w:tcPr>
          <w:p>
            <w:pPr>
              <w:keepNext/>
              <w:rPr>
                <w:noProof/>
                <w:sz w:val="18"/>
                <w:szCs w:val="18"/>
              </w:rPr>
            </w:pPr>
          </w:p>
        </w:tc>
        <w:tc>
          <w:tcPr>
            <w:tcW w:w="721" w:type="dxa"/>
            <w:vAlign w:val="center"/>
          </w:tcPr>
          <w:p>
            <w:pPr>
              <w:keepNext/>
              <w:jc w:val="center"/>
              <w:rPr>
                <w:noProof/>
                <w:sz w:val="18"/>
                <w:szCs w:val="18"/>
              </w:rPr>
            </w:pPr>
            <w:r>
              <w:rPr>
                <w:noProof/>
                <w:sz w:val="18"/>
              </w:rPr>
              <w:t>vrsta</w:t>
            </w:r>
            <w:r>
              <w:rPr>
                <w:rStyle w:val="FootnoteReference"/>
                <w:noProof/>
              </w:rPr>
              <w:footnoteReference w:id="97"/>
            </w:r>
          </w:p>
          <w:p>
            <w:pPr>
              <w:keepNext/>
              <w:spacing w:before="0" w:after="0"/>
              <w:jc w:val="center"/>
              <w:rPr>
                <w:noProof/>
                <w:sz w:val="18"/>
                <w:szCs w:val="18"/>
              </w:rPr>
            </w:pPr>
          </w:p>
        </w:tc>
        <w:tc>
          <w:tcPr>
            <w:tcW w:w="659" w:type="dxa"/>
            <w:tcBorders>
              <w:right w:val="single" w:sz="4" w:space="0" w:color="auto"/>
            </w:tcBorders>
            <w:vAlign w:val="center"/>
          </w:tcPr>
          <w:p>
            <w:pPr>
              <w:keepNext/>
              <w:jc w:val="center"/>
              <w:rPr>
                <w:noProof/>
                <w:sz w:val="18"/>
                <w:szCs w:val="18"/>
              </w:rPr>
            </w:pPr>
            <w:r>
              <w:rPr>
                <w:noProof/>
                <w:sz w:val="18"/>
              </w:rPr>
              <w:t>povprečni stroški</w:t>
            </w:r>
          </w:p>
        </w:tc>
        <w:tc>
          <w:tcPr>
            <w:tcW w:w="236" w:type="dxa"/>
            <w:tcBorders>
              <w:top w:val="dotted" w:sz="4" w:space="0" w:color="auto"/>
              <w:left w:val="single" w:sz="4" w:space="0" w:color="auto"/>
              <w:bottom w:val="dotted" w:sz="4" w:space="0" w:color="auto"/>
              <w:right w:val="nil"/>
            </w:tcBorders>
            <w:shd w:val="pct10" w:color="auto" w:fill="auto"/>
            <w:textDirection w:val="btLr"/>
            <w:vAlign w:val="center"/>
          </w:tcPr>
          <w:p>
            <w:pPr>
              <w:keepNext/>
              <w:ind w:left="113" w:right="113"/>
              <w:jc w:val="center"/>
              <w:rPr>
                <w:noProof/>
                <w:sz w:val="18"/>
              </w:rPr>
            </w:pPr>
            <w:r>
              <w:rPr>
                <w:noProof/>
                <w:sz w:val="18"/>
              </w:rPr>
              <w:t>število</w:t>
            </w:r>
          </w:p>
        </w:tc>
        <w:tc>
          <w:tcPr>
            <w:tcW w:w="843" w:type="dxa"/>
            <w:tcBorders>
              <w:left w:val="nil"/>
              <w:right w:val="single" w:sz="4" w:space="0" w:color="auto"/>
            </w:tcBorders>
            <w:shd w:val="pct10" w:color="auto" w:fill="auto"/>
            <w:vAlign w:val="center"/>
          </w:tcPr>
          <w:p>
            <w:pPr>
              <w:keepNext/>
              <w:jc w:val="center"/>
              <w:rPr>
                <w:noProof/>
                <w:sz w:val="18"/>
              </w:rPr>
            </w:pPr>
            <w:r>
              <w:rPr>
                <w:noProof/>
                <w:sz w:val="18"/>
              </w:rPr>
              <w:t>stroški</w:t>
            </w:r>
          </w:p>
        </w:tc>
        <w:tc>
          <w:tcPr>
            <w:tcW w:w="283" w:type="dxa"/>
            <w:tcBorders>
              <w:left w:val="single" w:sz="4" w:space="0" w:color="auto"/>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851"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283"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851"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283"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851"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283"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851"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283"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851"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283"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851"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283"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851"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283" w:type="dxa"/>
            <w:tcBorders>
              <w:right w:val="dashSmallGap" w:sz="4" w:space="0" w:color="auto"/>
            </w:tcBorders>
            <w:shd w:val="pct10" w:color="auto" w:fill="auto"/>
            <w:textDirection w:val="btLr"/>
            <w:vAlign w:val="center"/>
          </w:tcPr>
          <w:p>
            <w:pPr>
              <w:keepNext/>
              <w:ind w:left="113" w:right="113"/>
              <w:jc w:val="center"/>
              <w:rPr>
                <w:noProof/>
                <w:sz w:val="18"/>
              </w:rPr>
            </w:pPr>
            <w:r>
              <w:rPr>
                <w:noProof/>
                <w:sz w:val="18"/>
              </w:rPr>
              <w:t>število</w:t>
            </w:r>
          </w:p>
        </w:tc>
        <w:tc>
          <w:tcPr>
            <w:tcW w:w="709" w:type="dxa"/>
            <w:tcBorders>
              <w:left w:val="dashSmallGap" w:sz="4" w:space="0" w:color="auto"/>
            </w:tcBorders>
            <w:shd w:val="pct10" w:color="auto" w:fill="auto"/>
            <w:vAlign w:val="center"/>
          </w:tcPr>
          <w:p>
            <w:pPr>
              <w:keepNext/>
              <w:jc w:val="center"/>
              <w:rPr>
                <w:noProof/>
                <w:sz w:val="18"/>
              </w:rPr>
            </w:pPr>
            <w:r>
              <w:rPr>
                <w:noProof/>
                <w:sz w:val="18"/>
              </w:rPr>
              <w:t>stroški</w:t>
            </w:r>
          </w:p>
        </w:tc>
        <w:tc>
          <w:tcPr>
            <w:tcW w:w="709"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 realizacij skupaj</w:t>
            </w:r>
          </w:p>
        </w:tc>
        <w:tc>
          <w:tcPr>
            <w:tcW w:w="874" w:type="dxa"/>
            <w:tcBorders>
              <w:left w:val="dashSmallGap" w:sz="4" w:space="0" w:color="auto"/>
              <w:right w:val="single" w:sz="12" w:space="0" w:color="auto"/>
            </w:tcBorders>
            <w:shd w:val="pct10" w:color="auto" w:fill="auto"/>
            <w:vAlign w:val="center"/>
          </w:tcPr>
          <w:p>
            <w:pPr>
              <w:keepNext/>
              <w:jc w:val="center"/>
              <w:rPr>
                <w:noProof/>
                <w:sz w:val="18"/>
                <w:szCs w:val="18"/>
              </w:rPr>
            </w:pPr>
            <w:r>
              <w:rPr>
                <w:noProof/>
                <w:sz w:val="18"/>
              </w:rPr>
              <w:t>stroški realizacij skupaj</w:t>
            </w:r>
          </w:p>
        </w:tc>
      </w:tr>
      <w:tr>
        <w:trPr>
          <w:jc w:val="center"/>
        </w:trPr>
        <w:tc>
          <w:tcPr>
            <w:tcW w:w="2802" w:type="dxa"/>
            <w:gridSpan w:val="3"/>
            <w:tcBorders>
              <w:left w:val="single" w:sz="12" w:space="0" w:color="auto"/>
            </w:tcBorders>
            <w:vAlign w:val="center"/>
          </w:tcPr>
          <w:p>
            <w:pPr>
              <w:keepNext/>
              <w:spacing w:before="60" w:after="60"/>
              <w:ind w:right="-29"/>
              <w:jc w:val="center"/>
              <w:rPr>
                <w:noProof/>
                <w:sz w:val="18"/>
              </w:rPr>
            </w:pPr>
            <w:r>
              <w:rPr>
                <w:noProof/>
                <w:sz w:val="18"/>
              </w:rPr>
              <w:t>SPECIFIČNI CILJ št. 2</w:t>
            </w:r>
          </w:p>
          <w:p>
            <w:pPr>
              <w:keepNext/>
              <w:spacing w:before="60" w:after="60"/>
              <w:ind w:right="-29"/>
              <w:jc w:val="center"/>
              <w:rPr>
                <w:noProof/>
                <w:sz w:val="18"/>
                <w:szCs w:val="18"/>
              </w:rPr>
            </w:pPr>
            <w:r>
              <w:rPr>
                <w:noProof/>
                <w:sz w:val="18"/>
              </w:rPr>
              <w:t>Vzdrževanje in delovanje sestavnih delov interoperabilnosti</w:t>
            </w:r>
          </w:p>
        </w:tc>
        <w:tc>
          <w:tcPr>
            <w:tcW w:w="236" w:type="dxa"/>
            <w:tcBorders>
              <w:bottom w:val="single" w:sz="4" w:space="0" w:color="auto"/>
              <w:right w:val="nil"/>
            </w:tcBorders>
          </w:tcPr>
          <w:p>
            <w:pPr>
              <w:keepNext/>
              <w:spacing w:before="60" w:after="60"/>
              <w:ind w:right="-29"/>
              <w:jc w:val="center"/>
              <w:rPr>
                <w:noProof/>
                <w:sz w:val="18"/>
                <w:szCs w:val="18"/>
              </w:rPr>
            </w:pPr>
          </w:p>
        </w:tc>
        <w:tc>
          <w:tcPr>
            <w:tcW w:w="843" w:type="dxa"/>
            <w:tcBorders>
              <w:left w:val="nil"/>
              <w:bottom w:val="single" w:sz="4" w:space="0" w:color="auto"/>
            </w:tcBorders>
          </w:tcPr>
          <w:p>
            <w:pPr>
              <w:keepNext/>
              <w:spacing w:before="60" w:after="60"/>
              <w:ind w:right="-29"/>
              <w:jc w:val="center"/>
              <w:rPr>
                <w:noProof/>
                <w:sz w:val="18"/>
                <w:szCs w:val="18"/>
              </w:rPr>
            </w:pPr>
          </w:p>
        </w:tc>
        <w:tc>
          <w:tcPr>
            <w:tcW w:w="283" w:type="dxa"/>
            <w:tcBorders>
              <w:top w:val="nil"/>
              <w:left w:val="nil"/>
              <w:bottom w:val="nil"/>
              <w:right w:val="nil"/>
            </w:tcBorders>
          </w:tcPr>
          <w:p>
            <w:pPr>
              <w:keepNext/>
              <w:spacing w:before="60" w:after="60"/>
              <w:ind w:right="-29"/>
              <w:jc w:val="center"/>
              <w:rPr>
                <w:noProof/>
                <w:sz w:val="18"/>
                <w:szCs w:val="18"/>
              </w:rPr>
            </w:pPr>
          </w:p>
        </w:tc>
        <w:tc>
          <w:tcPr>
            <w:tcW w:w="851" w:type="dxa"/>
            <w:tcBorders>
              <w:top w:val="nil"/>
              <w:left w:val="nil"/>
              <w:bottom w:val="nil"/>
              <w:right w:val="nil"/>
            </w:tcBorders>
          </w:tcPr>
          <w:p>
            <w:pPr>
              <w:keepNext/>
              <w:spacing w:before="60" w:after="60"/>
              <w:ind w:right="-29"/>
              <w:jc w:val="center"/>
              <w:rPr>
                <w:noProof/>
                <w:sz w:val="18"/>
                <w:szCs w:val="18"/>
              </w:rPr>
            </w:pPr>
          </w:p>
        </w:tc>
        <w:tc>
          <w:tcPr>
            <w:tcW w:w="283" w:type="dxa"/>
            <w:tcBorders>
              <w:top w:val="nil"/>
              <w:left w:val="nil"/>
              <w:bottom w:val="nil"/>
              <w:right w:val="nil"/>
            </w:tcBorders>
          </w:tcPr>
          <w:p>
            <w:pPr>
              <w:keepNext/>
              <w:spacing w:before="60" w:after="60"/>
              <w:ind w:right="-29"/>
              <w:jc w:val="center"/>
              <w:rPr>
                <w:noProof/>
                <w:sz w:val="18"/>
                <w:szCs w:val="18"/>
              </w:rPr>
            </w:pPr>
          </w:p>
        </w:tc>
        <w:tc>
          <w:tcPr>
            <w:tcW w:w="851" w:type="dxa"/>
            <w:tcBorders>
              <w:top w:val="nil"/>
              <w:left w:val="nil"/>
              <w:bottom w:val="nil"/>
              <w:right w:val="nil"/>
            </w:tcBorders>
          </w:tcPr>
          <w:p>
            <w:pPr>
              <w:keepNext/>
              <w:spacing w:before="60" w:after="60"/>
              <w:ind w:right="-29"/>
              <w:jc w:val="center"/>
              <w:rPr>
                <w:noProof/>
                <w:sz w:val="18"/>
                <w:szCs w:val="18"/>
              </w:rPr>
            </w:pPr>
          </w:p>
        </w:tc>
        <w:tc>
          <w:tcPr>
            <w:tcW w:w="283" w:type="dxa"/>
            <w:tcBorders>
              <w:top w:val="nil"/>
              <w:left w:val="nil"/>
              <w:bottom w:val="nil"/>
              <w:right w:val="nil"/>
            </w:tcBorders>
          </w:tcPr>
          <w:p>
            <w:pPr>
              <w:keepNext/>
              <w:spacing w:before="60" w:after="60"/>
              <w:ind w:right="-29"/>
              <w:jc w:val="center"/>
              <w:rPr>
                <w:noProof/>
                <w:sz w:val="18"/>
                <w:szCs w:val="18"/>
              </w:rPr>
            </w:pPr>
          </w:p>
        </w:tc>
        <w:tc>
          <w:tcPr>
            <w:tcW w:w="851" w:type="dxa"/>
            <w:tcBorders>
              <w:top w:val="nil"/>
              <w:left w:val="nil"/>
              <w:bottom w:val="nil"/>
              <w:right w:val="nil"/>
            </w:tcBorders>
          </w:tcPr>
          <w:p>
            <w:pPr>
              <w:keepNext/>
              <w:spacing w:before="60" w:after="60"/>
              <w:ind w:right="-29"/>
              <w:jc w:val="center"/>
              <w:rPr>
                <w:noProof/>
                <w:sz w:val="18"/>
                <w:szCs w:val="18"/>
              </w:rPr>
            </w:pPr>
          </w:p>
        </w:tc>
        <w:tc>
          <w:tcPr>
            <w:tcW w:w="283" w:type="dxa"/>
            <w:tcBorders>
              <w:top w:val="nil"/>
              <w:left w:val="nil"/>
              <w:bottom w:val="nil"/>
              <w:right w:val="nil"/>
            </w:tcBorders>
          </w:tcPr>
          <w:p>
            <w:pPr>
              <w:keepNext/>
              <w:spacing w:before="60" w:after="60"/>
              <w:ind w:right="-29"/>
              <w:jc w:val="center"/>
              <w:rPr>
                <w:noProof/>
                <w:sz w:val="18"/>
                <w:szCs w:val="18"/>
              </w:rPr>
            </w:pPr>
          </w:p>
        </w:tc>
        <w:tc>
          <w:tcPr>
            <w:tcW w:w="851" w:type="dxa"/>
            <w:tcBorders>
              <w:top w:val="nil"/>
              <w:left w:val="nil"/>
              <w:bottom w:val="nil"/>
              <w:right w:val="nil"/>
            </w:tcBorders>
          </w:tcPr>
          <w:p>
            <w:pPr>
              <w:keepNext/>
              <w:spacing w:before="60" w:after="60"/>
              <w:ind w:right="-29"/>
              <w:jc w:val="center"/>
              <w:rPr>
                <w:noProof/>
                <w:sz w:val="18"/>
                <w:szCs w:val="18"/>
              </w:rPr>
            </w:pPr>
          </w:p>
        </w:tc>
        <w:tc>
          <w:tcPr>
            <w:tcW w:w="283" w:type="dxa"/>
            <w:tcBorders>
              <w:top w:val="nil"/>
              <w:left w:val="nil"/>
              <w:bottom w:val="nil"/>
              <w:right w:val="nil"/>
            </w:tcBorders>
          </w:tcPr>
          <w:p>
            <w:pPr>
              <w:keepNext/>
              <w:spacing w:before="60" w:after="60"/>
              <w:ind w:right="-29"/>
              <w:jc w:val="center"/>
              <w:rPr>
                <w:noProof/>
                <w:sz w:val="18"/>
                <w:szCs w:val="18"/>
              </w:rPr>
            </w:pPr>
          </w:p>
        </w:tc>
        <w:tc>
          <w:tcPr>
            <w:tcW w:w="851" w:type="dxa"/>
            <w:tcBorders>
              <w:top w:val="nil"/>
              <w:left w:val="nil"/>
              <w:bottom w:val="nil"/>
              <w:right w:val="nil"/>
            </w:tcBorders>
          </w:tcPr>
          <w:p>
            <w:pPr>
              <w:keepNext/>
              <w:spacing w:before="60" w:after="60"/>
              <w:ind w:right="-29"/>
              <w:jc w:val="center"/>
              <w:rPr>
                <w:noProof/>
                <w:sz w:val="18"/>
                <w:szCs w:val="18"/>
              </w:rPr>
            </w:pPr>
          </w:p>
        </w:tc>
        <w:tc>
          <w:tcPr>
            <w:tcW w:w="283" w:type="dxa"/>
            <w:tcBorders>
              <w:top w:val="nil"/>
              <w:left w:val="nil"/>
              <w:bottom w:val="nil"/>
              <w:right w:val="nil"/>
            </w:tcBorders>
          </w:tcPr>
          <w:p>
            <w:pPr>
              <w:keepNext/>
              <w:spacing w:before="60" w:after="60"/>
              <w:ind w:right="-29"/>
              <w:jc w:val="center"/>
              <w:rPr>
                <w:noProof/>
                <w:sz w:val="18"/>
                <w:szCs w:val="18"/>
              </w:rPr>
            </w:pPr>
          </w:p>
        </w:tc>
        <w:tc>
          <w:tcPr>
            <w:tcW w:w="851" w:type="dxa"/>
            <w:tcBorders>
              <w:top w:val="nil"/>
              <w:left w:val="nil"/>
              <w:bottom w:val="nil"/>
              <w:right w:val="nil"/>
            </w:tcBorders>
          </w:tcPr>
          <w:p>
            <w:pPr>
              <w:keepNext/>
              <w:spacing w:before="60" w:after="60"/>
              <w:ind w:right="-29"/>
              <w:jc w:val="center"/>
              <w:rPr>
                <w:noProof/>
                <w:sz w:val="18"/>
                <w:szCs w:val="18"/>
              </w:rPr>
            </w:pPr>
          </w:p>
        </w:tc>
        <w:tc>
          <w:tcPr>
            <w:tcW w:w="283" w:type="dxa"/>
            <w:tcBorders>
              <w:top w:val="nil"/>
              <w:left w:val="nil"/>
              <w:bottom w:val="nil"/>
              <w:right w:val="nil"/>
            </w:tcBorders>
          </w:tcPr>
          <w:p>
            <w:pPr>
              <w:keepNext/>
              <w:spacing w:before="60" w:after="60"/>
              <w:ind w:right="-29"/>
              <w:jc w:val="center"/>
              <w:rPr>
                <w:noProof/>
                <w:sz w:val="18"/>
                <w:szCs w:val="18"/>
              </w:rPr>
            </w:pPr>
          </w:p>
        </w:tc>
        <w:tc>
          <w:tcPr>
            <w:tcW w:w="851" w:type="dxa"/>
            <w:tcBorders>
              <w:top w:val="nil"/>
              <w:left w:val="nil"/>
              <w:bottom w:val="nil"/>
              <w:right w:val="nil"/>
            </w:tcBorders>
          </w:tcPr>
          <w:p>
            <w:pPr>
              <w:keepNext/>
              <w:spacing w:before="60" w:after="60"/>
              <w:ind w:right="-29"/>
              <w:jc w:val="center"/>
              <w:rPr>
                <w:noProof/>
                <w:sz w:val="18"/>
                <w:szCs w:val="18"/>
              </w:rPr>
            </w:pPr>
          </w:p>
        </w:tc>
        <w:tc>
          <w:tcPr>
            <w:tcW w:w="992" w:type="dxa"/>
            <w:gridSpan w:val="2"/>
            <w:tcBorders>
              <w:top w:val="nil"/>
              <w:left w:val="nil"/>
              <w:bottom w:val="nil"/>
              <w:right w:val="nil"/>
            </w:tcBorders>
          </w:tcPr>
          <w:p>
            <w:pPr>
              <w:keepNext/>
              <w:spacing w:before="60" w:after="60"/>
              <w:ind w:right="-29"/>
              <w:jc w:val="center"/>
              <w:rPr>
                <w:noProof/>
                <w:sz w:val="18"/>
                <w:szCs w:val="18"/>
              </w:rPr>
            </w:pPr>
          </w:p>
        </w:tc>
        <w:tc>
          <w:tcPr>
            <w:tcW w:w="709" w:type="dxa"/>
            <w:tcBorders>
              <w:top w:val="nil"/>
              <w:left w:val="nil"/>
              <w:bottom w:val="nil"/>
              <w:right w:val="nil"/>
            </w:tcBorders>
          </w:tcPr>
          <w:p>
            <w:pPr>
              <w:keepNext/>
              <w:spacing w:before="60" w:after="60"/>
              <w:ind w:right="-29"/>
              <w:jc w:val="center"/>
              <w:rPr>
                <w:noProof/>
                <w:sz w:val="18"/>
                <w:szCs w:val="18"/>
              </w:rPr>
            </w:pPr>
          </w:p>
        </w:tc>
        <w:tc>
          <w:tcPr>
            <w:tcW w:w="874" w:type="dxa"/>
            <w:tcBorders>
              <w:top w:val="nil"/>
              <w:left w:val="nil"/>
              <w:bottom w:val="single" w:sz="4" w:space="0" w:color="auto"/>
              <w:right w:val="single" w:sz="12" w:space="0" w:color="auto"/>
            </w:tcBorders>
          </w:tcPr>
          <w:p>
            <w:pPr>
              <w:keepNext/>
              <w:spacing w:before="60" w:after="60"/>
              <w:ind w:right="-29"/>
              <w:jc w:val="center"/>
              <w:rPr>
                <w:noProof/>
                <w:sz w:val="18"/>
                <w:szCs w:val="18"/>
              </w:rPr>
            </w:pPr>
          </w:p>
        </w:tc>
      </w:tr>
      <w:tr>
        <w:trPr>
          <w:trHeight w:hRule="exact" w:val="745"/>
          <w:jc w:val="center"/>
        </w:trPr>
        <w:tc>
          <w:tcPr>
            <w:tcW w:w="1422" w:type="dxa"/>
            <w:tcBorders>
              <w:left w:val="single" w:sz="12" w:space="0" w:color="auto"/>
            </w:tcBorders>
          </w:tcPr>
          <w:p>
            <w:pPr>
              <w:ind w:right="-29"/>
              <w:jc w:val="center"/>
              <w:rPr>
                <w:noProof/>
                <w:sz w:val="18"/>
                <w:szCs w:val="18"/>
              </w:rPr>
            </w:pPr>
            <w:r>
              <w:rPr>
                <w:noProof/>
                <w:sz w:val="18"/>
              </w:rPr>
              <w:t>Zagotavljanje delovanja sistemov</w:t>
            </w:r>
          </w:p>
        </w:tc>
        <w:tc>
          <w:tcPr>
            <w:tcW w:w="1380" w:type="dxa"/>
            <w:gridSpan w:val="2"/>
          </w:tcPr>
          <w:p>
            <w:pPr>
              <w:ind w:right="-29"/>
              <w:jc w:val="center"/>
              <w:rPr>
                <w:noProof/>
                <w:sz w:val="18"/>
                <w:szCs w:val="18"/>
              </w:rPr>
            </w:pPr>
            <w:r>
              <w:rPr>
                <w:noProof/>
                <w:sz w:val="18"/>
              </w:rPr>
              <w:t>Izvajalec</w:t>
            </w:r>
          </w:p>
        </w:tc>
        <w:tc>
          <w:tcPr>
            <w:tcW w:w="236" w:type="dxa"/>
            <w:tcBorders>
              <w:right w:val="dashSmallGap" w:sz="4" w:space="0" w:color="auto"/>
            </w:tcBorders>
          </w:tcPr>
          <w:p>
            <w:pPr>
              <w:ind w:right="-29"/>
              <w:jc w:val="center"/>
              <w:rPr>
                <w:noProof/>
                <w:sz w:val="18"/>
                <w:szCs w:val="18"/>
              </w:rPr>
            </w:pPr>
          </w:p>
        </w:tc>
        <w:tc>
          <w:tcPr>
            <w:tcW w:w="843" w:type="dxa"/>
            <w:tcBorders>
              <w:left w:val="dashSmallGap" w:sz="4" w:space="0" w:color="auto"/>
            </w:tcBorders>
          </w:tcPr>
          <w:p>
            <w:pPr>
              <w:ind w:right="-29"/>
              <w:jc w:val="center"/>
              <w:rPr>
                <w:noProof/>
                <w:sz w:val="18"/>
                <w:szCs w:val="18"/>
              </w:rPr>
            </w:pPr>
            <w:r>
              <w:rPr>
                <w:noProof/>
                <w:sz w:val="18"/>
              </w:rPr>
              <w:t>0</w:t>
            </w:r>
          </w:p>
        </w:tc>
        <w:tc>
          <w:tcPr>
            <w:tcW w:w="283" w:type="dxa"/>
            <w:tcBorders>
              <w:right w:val="dashSmallGap" w:sz="4" w:space="0" w:color="auto"/>
            </w:tcBorders>
          </w:tcPr>
          <w:p>
            <w:pPr>
              <w:ind w:right="-29"/>
              <w:jc w:val="center"/>
              <w:rPr>
                <w:noProof/>
                <w:sz w:val="18"/>
                <w:szCs w:val="18"/>
              </w:rPr>
            </w:pPr>
          </w:p>
        </w:tc>
        <w:tc>
          <w:tcPr>
            <w:tcW w:w="851" w:type="dxa"/>
            <w:tcBorders>
              <w:left w:val="dashSmallGap" w:sz="4" w:space="0" w:color="auto"/>
            </w:tcBorders>
          </w:tcPr>
          <w:p>
            <w:pPr>
              <w:ind w:right="-29"/>
              <w:jc w:val="center"/>
              <w:rPr>
                <w:noProof/>
                <w:sz w:val="18"/>
                <w:szCs w:val="18"/>
              </w:rPr>
            </w:pPr>
            <w:r>
              <w:rPr>
                <w:noProof/>
                <w:sz w:val="18"/>
              </w:rPr>
              <w:t>0</w:t>
            </w:r>
          </w:p>
        </w:tc>
        <w:tc>
          <w:tcPr>
            <w:tcW w:w="283" w:type="dxa"/>
            <w:tcBorders>
              <w:right w:val="dashSmallGap" w:sz="4" w:space="0" w:color="auto"/>
            </w:tcBorders>
          </w:tcPr>
          <w:p>
            <w:pPr>
              <w:ind w:right="-29"/>
              <w:jc w:val="center"/>
              <w:rPr>
                <w:noProof/>
                <w:sz w:val="18"/>
                <w:szCs w:val="18"/>
              </w:rPr>
            </w:pPr>
          </w:p>
        </w:tc>
        <w:tc>
          <w:tcPr>
            <w:tcW w:w="851" w:type="dxa"/>
            <w:tcBorders>
              <w:left w:val="dashSmallGap" w:sz="4" w:space="0" w:color="auto"/>
            </w:tcBorders>
          </w:tcPr>
          <w:p>
            <w:pPr>
              <w:ind w:right="-29"/>
              <w:jc w:val="center"/>
              <w:rPr>
                <w:noProof/>
                <w:sz w:val="18"/>
                <w:szCs w:val="18"/>
              </w:rPr>
            </w:pPr>
            <w:r>
              <w:rPr>
                <w:noProof/>
                <w:sz w:val="18"/>
              </w:rPr>
              <w:t>0</w:t>
            </w:r>
          </w:p>
        </w:tc>
        <w:tc>
          <w:tcPr>
            <w:tcW w:w="283" w:type="dxa"/>
            <w:tcBorders>
              <w:right w:val="dashSmallGap" w:sz="4" w:space="0" w:color="auto"/>
            </w:tcBorders>
          </w:tcPr>
          <w:p>
            <w:pPr>
              <w:ind w:right="-29"/>
              <w:rPr>
                <w:noProof/>
                <w:sz w:val="18"/>
                <w:szCs w:val="18"/>
              </w:rPr>
            </w:pPr>
          </w:p>
        </w:tc>
        <w:tc>
          <w:tcPr>
            <w:tcW w:w="851" w:type="dxa"/>
            <w:tcBorders>
              <w:left w:val="dashSmallGap" w:sz="4" w:space="0" w:color="auto"/>
            </w:tcBorders>
          </w:tcPr>
          <w:p>
            <w:pPr>
              <w:ind w:right="-29"/>
              <w:rPr>
                <w:noProof/>
                <w:sz w:val="18"/>
                <w:szCs w:val="18"/>
              </w:rPr>
            </w:pPr>
            <w:r>
              <w:rPr>
                <w:noProof/>
                <w:sz w:val="18"/>
              </w:rPr>
              <w:t>1,430</w:t>
            </w:r>
          </w:p>
        </w:tc>
        <w:tc>
          <w:tcPr>
            <w:tcW w:w="283" w:type="dxa"/>
            <w:tcBorders>
              <w:right w:val="dashSmallGap" w:sz="4" w:space="0" w:color="auto"/>
            </w:tcBorders>
          </w:tcPr>
          <w:p>
            <w:pPr>
              <w:ind w:right="-29"/>
              <w:rPr>
                <w:noProof/>
                <w:sz w:val="18"/>
                <w:szCs w:val="18"/>
              </w:rPr>
            </w:pPr>
          </w:p>
        </w:tc>
        <w:tc>
          <w:tcPr>
            <w:tcW w:w="851" w:type="dxa"/>
            <w:tcBorders>
              <w:left w:val="dashSmallGap" w:sz="4" w:space="0" w:color="auto"/>
            </w:tcBorders>
          </w:tcPr>
          <w:p>
            <w:pPr>
              <w:ind w:right="-29"/>
              <w:rPr>
                <w:noProof/>
                <w:sz w:val="18"/>
                <w:szCs w:val="18"/>
              </w:rPr>
            </w:pPr>
            <w:r>
              <w:rPr>
                <w:noProof/>
                <w:sz w:val="18"/>
              </w:rPr>
              <w:t>2,919</w:t>
            </w:r>
          </w:p>
        </w:tc>
        <w:tc>
          <w:tcPr>
            <w:tcW w:w="283" w:type="dxa"/>
            <w:tcBorders>
              <w:right w:val="dashSmallGap" w:sz="4" w:space="0" w:color="auto"/>
            </w:tcBorders>
          </w:tcPr>
          <w:p>
            <w:pPr>
              <w:ind w:right="-29"/>
              <w:rPr>
                <w:noProof/>
                <w:sz w:val="18"/>
                <w:szCs w:val="18"/>
              </w:rPr>
            </w:pPr>
          </w:p>
        </w:tc>
        <w:tc>
          <w:tcPr>
            <w:tcW w:w="851" w:type="dxa"/>
            <w:tcBorders>
              <w:left w:val="dashSmallGap" w:sz="4" w:space="0" w:color="auto"/>
            </w:tcBorders>
          </w:tcPr>
          <w:p>
            <w:pPr>
              <w:ind w:right="-29"/>
              <w:rPr>
                <w:noProof/>
                <w:sz w:val="18"/>
                <w:szCs w:val="18"/>
              </w:rPr>
            </w:pPr>
            <w:r>
              <w:rPr>
                <w:noProof/>
                <w:sz w:val="18"/>
              </w:rPr>
              <w:t>2,788</w:t>
            </w:r>
          </w:p>
        </w:tc>
        <w:tc>
          <w:tcPr>
            <w:tcW w:w="283" w:type="dxa"/>
            <w:tcBorders>
              <w:right w:val="dashSmallGap" w:sz="4" w:space="0" w:color="auto"/>
            </w:tcBorders>
          </w:tcPr>
          <w:p>
            <w:pPr>
              <w:ind w:right="-29"/>
              <w:jc w:val="center"/>
              <w:rPr>
                <w:noProof/>
                <w:sz w:val="18"/>
                <w:szCs w:val="18"/>
              </w:rPr>
            </w:pPr>
          </w:p>
        </w:tc>
        <w:tc>
          <w:tcPr>
            <w:tcW w:w="851" w:type="dxa"/>
            <w:tcBorders>
              <w:left w:val="dashSmallGap" w:sz="4" w:space="0" w:color="auto"/>
            </w:tcBorders>
          </w:tcPr>
          <w:p>
            <w:pPr>
              <w:ind w:right="-29"/>
              <w:jc w:val="center"/>
              <w:rPr>
                <w:noProof/>
                <w:sz w:val="18"/>
                <w:szCs w:val="18"/>
              </w:rPr>
            </w:pPr>
            <w:r>
              <w:rPr>
                <w:noProof/>
                <w:sz w:val="18"/>
              </w:rPr>
              <w:t>2,788</w:t>
            </w:r>
          </w:p>
        </w:tc>
        <w:tc>
          <w:tcPr>
            <w:tcW w:w="283" w:type="dxa"/>
            <w:tcBorders>
              <w:right w:val="dashSmallGap" w:sz="4" w:space="0" w:color="auto"/>
            </w:tcBorders>
          </w:tcPr>
          <w:p>
            <w:pPr>
              <w:ind w:right="-29"/>
              <w:jc w:val="center"/>
              <w:rPr>
                <w:noProof/>
                <w:sz w:val="18"/>
                <w:szCs w:val="18"/>
              </w:rPr>
            </w:pPr>
          </w:p>
        </w:tc>
        <w:tc>
          <w:tcPr>
            <w:tcW w:w="851" w:type="dxa"/>
            <w:tcBorders>
              <w:left w:val="dashSmallGap" w:sz="4" w:space="0" w:color="auto"/>
            </w:tcBorders>
          </w:tcPr>
          <w:p>
            <w:pPr>
              <w:ind w:right="-29"/>
              <w:jc w:val="center"/>
              <w:rPr>
                <w:noProof/>
                <w:sz w:val="18"/>
                <w:szCs w:val="18"/>
              </w:rPr>
            </w:pPr>
            <w:r>
              <w:rPr>
                <w:noProof/>
                <w:sz w:val="18"/>
              </w:rPr>
              <w:t>2,788</w:t>
            </w:r>
          </w:p>
        </w:tc>
        <w:tc>
          <w:tcPr>
            <w:tcW w:w="283" w:type="dxa"/>
            <w:tcBorders>
              <w:right w:val="dashSmallGap" w:sz="4" w:space="0" w:color="auto"/>
            </w:tcBorders>
          </w:tcPr>
          <w:p>
            <w:pPr>
              <w:ind w:right="-29"/>
              <w:jc w:val="center"/>
              <w:rPr>
                <w:noProof/>
                <w:sz w:val="18"/>
                <w:szCs w:val="18"/>
              </w:rPr>
            </w:pPr>
          </w:p>
        </w:tc>
        <w:tc>
          <w:tcPr>
            <w:tcW w:w="709" w:type="dxa"/>
            <w:tcBorders>
              <w:left w:val="dashSmallGap" w:sz="4" w:space="0" w:color="auto"/>
              <w:bottom w:val="single" w:sz="4" w:space="0" w:color="auto"/>
            </w:tcBorders>
          </w:tcPr>
          <w:p>
            <w:pPr>
              <w:ind w:right="-29"/>
              <w:jc w:val="center"/>
              <w:rPr>
                <w:noProof/>
                <w:sz w:val="18"/>
                <w:szCs w:val="18"/>
              </w:rPr>
            </w:pPr>
            <w:r>
              <w:rPr>
                <w:noProof/>
                <w:sz w:val="18"/>
              </w:rPr>
              <w:t>2,788</w:t>
            </w:r>
          </w:p>
        </w:tc>
        <w:tc>
          <w:tcPr>
            <w:tcW w:w="709" w:type="dxa"/>
            <w:tcBorders>
              <w:right w:val="dashSmallGap" w:sz="4" w:space="0" w:color="auto"/>
            </w:tcBorders>
          </w:tcPr>
          <w:p>
            <w:pPr>
              <w:ind w:right="-29"/>
              <w:jc w:val="center"/>
              <w:rPr>
                <w:noProof/>
                <w:sz w:val="18"/>
                <w:szCs w:val="18"/>
              </w:rPr>
            </w:pPr>
          </w:p>
        </w:tc>
        <w:tc>
          <w:tcPr>
            <w:tcW w:w="874" w:type="dxa"/>
            <w:tcBorders>
              <w:left w:val="dashSmallGap" w:sz="4" w:space="0" w:color="auto"/>
              <w:bottom w:val="single" w:sz="4" w:space="0" w:color="auto"/>
              <w:right w:val="single" w:sz="12" w:space="0" w:color="auto"/>
            </w:tcBorders>
          </w:tcPr>
          <w:p>
            <w:pPr>
              <w:ind w:right="-29"/>
              <w:jc w:val="center"/>
              <w:rPr>
                <w:noProof/>
                <w:sz w:val="18"/>
                <w:szCs w:val="18"/>
              </w:rPr>
            </w:pPr>
            <w:r>
              <w:rPr>
                <w:noProof/>
                <w:sz w:val="18"/>
              </w:rPr>
              <w:t>15,501</w:t>
            </w:r>
          </w:p>
          <w:p>
            <w:pPr>
              <w:ind w:right="-29"/>
              <w:jc w:val="center"/>
              <w:rPr>
                <w:noProof/>
                <w:sz w:val="18"/>
                <w:szCs w:val="18"/>
              </w:rPr>
            </w:pPr>
          </w:p>
        </w:tc>
      </w:tr>
      <w:tr>
        <w:trPr>
          <w:trHeight w:hRule="exact" w:val="557"/>
          <w:jc w:val="center"/>
        </w:trPr>
        <w:tc>
          <w:tcPr>
            <w:tcW w:w="1422" w:type="dxa"/>
            <w:tcBorders>
              <w:left w:val="single" w:sz="12" w:space="0" w:color="auto"/>
            </w:tcBorders>
          </w:tcPr>
          <w:p>
            <w:pPr>
              <w:ind w:right="-29"/>
              <w:jc w:val="center"/>
              <w:rPr>
                <w:noProof/>
                <w:sz w:val="18"/>
                <w:szCs w:val="18"/>
              </w:rPr>
            </w:pPr>
            <w:r>
              <w:rPr>
                <w:noProof/>
                <w:sz w:val="18"/>
              </w:rPr>
              <w:t>Izdelki programske opreme</w:t>
            </w:r>
          </w:p>
        </w:tc>
        <w:tc>
          <w:tcPr>
            <w:tcW w:w="1380" w:type="dxa"/>
            <w:gridSpan w:val="2"/>
          </w:tcPr>
          <w:p>
            <w:pPr>
              <w:ind w:right="-29"/>
              <w:jc w:val="center"/>
              <w:rPr>
                <w:noProof/>
                <w:sz w:val="18"/>
                <w:szCs w:val="18"/>
              </w:rPr>
            </w:pPr>
            <w:r>
              <w:rPr>
                <w:noProof/>
                <w:sz w:val="18"/>
              </w:rPr>
              <w:t>Programska oprema</w:t>
            </w:r>
          </w:p>
        </w:tc>
        <w:tc>
          <w:tcPr>
            <w:tcW w:w="236" w:type="dxa"/>
            <w:tcBorders>
              <w:right w:val="dashSmallGap" w:sz="4" w:space="0" w:color="auto"/>
            </w:tcBorders>
          </w:tcPr>
          <w:p>
            <w:pPr>
              <w:ind w:right="-29"/>
              <w:jc w:val="center"/>
              <w:rPr>
                <w:noProof/>
                <w:sz w:val="18"/>
                <w:szCs w:val="18"/>
              </w:rPr>
            </w:pPr>
          </w:p>
        </w:tc>
        <w:tc>
          <w:tcPr>
            <w:tcW w:w="843" w:type="dxa"/>
            <w:tcBorders>
              <w:left w:val="dashSmallGap" w:sz="4" w:space="0" w:color="auto"/>
              <w:bottom w:val="single" w:sz="4" w:space="0" w:color="auto"/>
            </w:tcBorders>
          </w:tcPr>
          <w:p>
            <w:pPr>
              <w:ind w:right="-29"/>
              <w:jc w:val="center"/>
              <w:rPr>
                <w:noProof/>
                <w:sz w:val="18"/>
                <w:szCs w:val="18"/>
              </w:rPr>
            </w:pPr>
            <w:r>
              <w:rPr>
                <w:noProof/>
                <w:sz w:val="18"/>
              </w:rPr>
              <w:t>0</w:t>
            </w:r>
          </w:p>
        </w:tc>
        <w:tc>
          <w:tcPr>
            <w:tcW w:w="283" w:type="dxa"/>
            <w:tcBorders>
              <w:right w:val="dashSmallGap" w:sz="4" w:space="0" w:color="auto"/>
            </w:tcBorders>
          </w:tcPr>
          <w:p>
            <w:pPr>
              <w:ind w:right="-29"/>
              <w:jc w:val="center"/>
              <w:rPr>
                <w:noProof/>
                <w:sz w:val="18"/>
                <w:szCs w:val="18"/>
              </w:rPr>
            </w:pPr>
          </w:p>
        </w:tc>
        <w:tc>
          <w:tcPr>
            <w:tcW w:w="851" w:type="dxa"/>
            <w:tcBorders>
              <w:left w:val="dashSmallGap" w:sz="4" w:space="0" w:color="auto"/>
              <w:bottom w:val="single" w:sz="4" w:space="0" w:color="auto"/>
            </w:tcBorders>
          </w:tcPr>
          <w:p>
            <w:pPr>
              <w:ind w:right="-29"/>
              <w:jc w:val="center"/>
              <w:rPr>
                <w:noProof/>
                <w:sz w:val="18"/>
                <w:szCs w:val="18"/>
              </w:rPr>
            </w:pPr>
            <w:r>
              <w:rPr>
                <w:noProof/>
                <w:sz w:val="18"/>
              </w:rPr>
              <w:t>0,265</w:t>
            </w:r>
          </w:p>
        </w:tc>
        <w:tc>
          <w:tcPr>
            <w:tcW w:w="283" w:type="dxa"/>
            <w:tcBorders>
              <w:right w:val="dashSmallGap" w:sz="4" w:space="0" w:color="auto"/>
            </w:tcBorders>
          </w:tcPr>
          <w:p>
            <w:pPr>
              <w:ind w:right="-29"/>
              <w:jc w:val="center"/>
              <w:rPr>
                <w:noProof/>
                <w:sz w:val="18"/>
                <w:szCs w:val="18"/>
              </w:rPr>
            </w:pPr>
          </w:p>
        </w:tc>
        <w:tc>
          <w:tcPr>
            <w:tcW w:w="851" w:type="dxa"/>
            <w:tcBorders>
              <w:left w:val="dashSmallGap" w:sz="4" w:space="0" w:color="auto"/>
              <w:bottom w:val="single" w:sz="4" w:space="0" w:color="auto"/>
            </w:tcBorders>
          </w:tcPr>
          <w:p>
            <w:pPr>
              <w:ind w:right="-29"/>
              <w:jc w:val="center"/>
              <w:rPr>
                <w:noProof/>
                <w:sz w:val="18"/>
                <w:szCs w:val="18"/>
              </w:rPr>
            </w:pPr>
            <w:r>
              <w:rPr>
                <w:noProof/>
                <w:sz w:val="18"/>
              </w:rPr>
              <w:t>0,265</w:t>
            </w:r>
          </w:p>
        </w:tc>
        <w:tc>
          <w:tcPr>
            <w:tcW w:w="283" w:type="dxa"/>
            <w:tcBorders>
              <w:right w:val="dashSmallGap" w:sz="4" w:space="0" w:color="auto"/>
            </w:tcBorders>
          </w:tcPr>
          <w:p>
            <w:pPr>
              <w:ind w:right="-29"/>
              <w:jc w:val="center"/>
              <w:rPr>
                <w:noProof/>
                <w:sz w:val="18"/>
                <w:szCs w:val="18"/>
              </w:rPr>
            </w:pPr>
          </w:p>
        </w:tc>
        <w:tc>
          <w:tcPr>
            <w:tcW w:w="851" w:type="dxa"/>
            <w:tcBorders>
              <w:left w:val="dashSmallGap" w:sz="4" w:space="0" w:color="auto"/>
              <w:bottom w:val="single" w:sz="4" w:space="0" w:color="auto"/>
            </w:tcBorders>
          </w:tcPr>
          <w:p>
            <w:pPr>
              <w:ind w:right="-29"/>
              <w:jc w:val="center"/>
              <w:rPr>
                <w:noProof/>
                <w:sz w:val="18"/>
                <w:szCs w:val="18"/>
              </w:rPr>
            </w:pPr>
            <w:r>
              <w:rPr>
                <w:noProof/>
                <w:sz w:val="18"/>
              </w:rPr>
              <w:t>1,541</w:t>
            </w:r>
          </w:p>
        </w:tc>
        <w:tc>
          <w:tcPr>
            <w:tcW w:w="283" w:type="dxa"/>
            <w:tcBorders>
              <w:right w:val="dashSmallGap" w:sz="4" w:space="0" w:color="auto"/>
            </w:tcBorders>
          </w:tcPr>
          <w:p>
            <w:pPr>
              <w:ind w:right="-29"/>
              <w:jc w:val="center"/>
              <w:rPr>
                <w:noProof/>
                <w:sz w:val="18"/>
                <w:szCs w:val="18"/>
              </w:rPr>
            </w:pPr>
          </w:p>
        </w:tc>
        <w:tc>
          <w:tcPr>
            <w:tcW w:w="851" w:type="dxa"/>
            <w:tcBorders>
              <w:left w:val="dashSmallGap" w:sz="4" w:space="0" w:color="auto"/>
              <w:bottom w:val="single" w:sz="4" w:space="0" w:color="auto"/>
            </w:tcBorders>
          </w:tcPr>
          <w:p>
            <w:pPr>
              <w:ind w:right="-29"/>
              <w:jc w:val="center"/>
              <w:rPr>
                <w:noProof/>
                <w:sz w:val="18"/>
                <w:szCs w:val="18"/>
              </w:rPr>
            </w:pPr>
            <w:r>
              <w:rPr>
                <w:noProof/>
                <w:sz w:val="18"/>
              </w:rPr>
              <w:t>5,344</w:t>
            </w:r>
          </w:p>
        </w:tc>
        <w:tc>
          <w:tcPr>
            <w:tcW w:w="283" w:type="dxa"/>
            <w:tcBorders>
              <w:right w:val="dashSmallGap" w:sz="4" w:space="0" w:color="auto"/>
            </w:tcBorders>
          </w:tcPr>
          <w:p>
            <w:pPr>
              <w:ind w:right="-29"/>
              <w:jc w:val="center"/>
              <w:rPr>
                <w:noProof/>
                <w:sz w:val="18"/>
                <w:szCs w:val="18"/>
              </w:rPr>
            </w:pPr>
          </w:p>
        </w:tc>
        <w:tc>
          <w:tcPr>
            <w:tcW w:w="851" w:type="dxa"/>
            <w:tcBorders>
              <w:left w:val="dashSmallGap" w:sz="4" w:space="0" w:color="auto"/>
              <w:bottom w:val="single" w:sz="4" w:space="0" w:color="auto"/>
            </w:tcBorders>
          </w:tcPr>
          <w:p>
            <w:pPr>
              <w:ind w:right="-29"/>
              <w:jc w:val="center"/>
              <w:rPr>
                <w:noProof/>
                <w:sz w:val="18"/>
                <w:szCs w:val="18"/>
              </w:rPr>
            </w:pPr>
            <w:r>
              <w:rPr>
                <w:noProof/>
                <w:sz w:val="18"/>
              </w:rPr>
              <w:t>5,904</w:t>
            </w:r>
          </w:p>
        </w:tc>
        <w:tc>
          <w:tcPr>
            <w:tcW w:w="283" w:type="dxa"/>
            <w:tcBorders>
              <w:right w:val="dashSmallGap" w:sz="4" w:space="0" w:color="auto"/>
            </w:tcBorders>
          </w:tcPr>
          <w:p>
            <w:pPr>
              <w:ind w:right="-29"/>
              <w:jc w:val="center"/>
              <w:rPr>
                <w:noProof/>
                <w:sz w:val="18"/>
                <w:szCs w:val="18"/>
              </w:rPr>
            </w:pPr>
          </w:p>
        </w:tc>
        <w:tc>
          <w:tcPr>
            <w:tcW w:w="851" w:type="dxa"/>
            <w:tcBorders>
              <w:left w:val="dashSmallGap" w:sz="4" w:space="0" w:color="auto"/>
              <w:bottom w:val="single" w:sz="4" w:space="0" w:color="auto"/>
            </w:tcBorders>
          </w:tcPr>
          <w:p>
            <w:pPr>
              <w:ind w:right="-29"/>
              <w:jc w:val="center"/>
              <w:rPr>
                <w:noProof/>
                <w:sz w:val="18"/>
                <w:szCs w:val="18"/>
              </w:rPr>
            </w:pPr>
            <w:r>
              <w:rPr>
                <w:noProof/>
                <w:sz w:val="18"/>
              </w:rPr>
              <w:t>5,904</w:t>
            </w:r>
          </w:p>
        </w:tc>
        <w:tc>
          <w:tcPr>
            <w:tcW w:w="283" w:type="dxa"/>
            <w:tcBorders>
              <w:right w:val="dashSmallGap" w:sz="4" w:space="0" w:color="auto"/>
            </w:tcBorders>
          </w:tcPr>
          <w:p>
            <w:pPr>
              <w:ind w:right="-29"/>
              <w:jc w:val="center"/>
              <w:rPr>
                <w:noProof/>
                <w:sz w:val="18"/>
                <w:szCs w:val="18"/>
              </w:rPr>
            </w:pPr>
          </w:p>
        </w:tc>
        <w:tc>
          <w:tcPr>
            <w:tcW w:w="851" w:type="dxa"/>
            <w:tcBorders>
              <w:left w:val="dashSmallGap" w:sz="4" w:space="0" w:color="auto"/>
              <w:bottom w:val="single" w:sz="4" w:space="0" w:color="auto"/>
            </w:tcBorders>
          </w:tcPr>
          <w:p>
            <w:pPr>
              <w:ind w:right="-29"/>
              <w:jc w:val="center"/>
              <w:rPr>
                <w:noProof/>
                <w:sz w:val="18"/>
                <w:szCs w:val="18"/>
              </w:rPr>
            </w:pPr>
            <w:r>
              <w:rPr>
                <w:noProof/>
                <w:sz w:val="18"/>
              </w:rPr>
              <w:t>5,904</w:t>
            </w:r>
          </w:p>
        </w:tc>
        <w:tc>
          <w:tcPr>
            <w:tcW w:w="283" w:type="dxa"/>
            <w:tcBorders>
              <w:right w:val="dashSmallGap" w:sz="4" w:space="0" w:color="auto"/>
            </w:tcBorders>
          </w:tcPr>
          <w:p>
            <w:pPr>
              <w:ind w:right="-29"/>
              <w:jc w:val="center"/>
              <w:rPr>
                <w:noProof/>
                <w:sz w:val="18"/>
                <w:szCs w:val="18"/>
              </w:rPr>
            </w:pPr>
          </w:p>
        </w:tc>
        <w:tc>
          <w:tcPr>
            <w:tcW w:w="709" w:type="dxa"/>
            <w:tcBorders>
              <w:left w:val="dashSmallGap" w:sz="4" w:space="0" w:color="auto"/>
              <w:bottom w:val="single" w:sz="4" w:space="0" w:color="auto"/>
            </w:tcBorders>
          </w:tcPr>
          <w:p>
            <w:pPr>
              <w:ind w:right="-29"/>
              <w:jc w:val="center"/>
              <w:rPr>
                <w:noProof/>
                <w:sz w:val="18"/>
                <w:szCs w:val="18"/>
              </w:rPr>
            </w:pPr>
            <w:r>
              <w:rPr>
                <w:noProof/>
                <w:sz w:val="18"/>
              </w:rPr>
              <w:t>5,904</w:t>
            </w:r>
          </w:p>
        </w:tc>
        <w:tc>
          <w:tcPr>
            <w:tcW w:w="709" w:type="dxa"/>
            <w:tcBorders>
              <w:right w:val="dashSmallGap" w:sz="4" w:space="0" w:color="auto"/>
            </w:tcBorders>
          </w:tcPr>
          <w:p>
            <w:pPr>
              <w:ind w:right="-29"/>
              <w:jc w:val="center"/>
              <w:rPr>
                <w:noProof/>
                <w:sz w:val="18"/>
                <w:szCs w:val="18"/>
              </w:rPr>
            </w:pPr>
          </w:p>
        </w:tc>
        <w:tc>
          <w:tcPr>
            <w:tcW w:w="874" w:type="dxa"/>
            <w:tcBorders>
              <w:left w:val="dashSmallGap" w:sz="4" w:space="0" w:color="auto"/>
              <w:bottom w:val="single" w:sz="4" w:space="0" w:color="auto"/>
              <w:right w:val="single" w:sz="12" w:space="0" w:color="auto"/>
            </w:tcBorders>
          </w:tcPr>
          <w:p>
            <w:pPr>
              <w:ind w:right="-29"/>
              <w:jc w:val="center"/>
              <w:rPr>
                <w:noProof/>
                <w:sz w:val="18"/>
                <w:szCs w:val="18"/>
              </w:rPr>
            </w:pPr>
            <w:r>
              <w:rPr>
                <w:noProof/>
                <w:sz w:val="18"/>
              </w:rPr>
              <w:t>31,032</w:t>
            </w:r>
          </w:p>
        </w:tc>
      </w:tr>
      <w:tr>
        <w:trPr>
          <w:trHeight w:hRule="exact" w:val="707"/>
          <w:jc w:val="center"/>
        </w:trPr>
        <w:tc>
          <w:tcPr>
            <w:tcW w:w="1422" w:type="dxa"/>
            <w:tcBorders>
              <w:left w:val="single" w:sz="12" w:space="0" w:color="auto"/>
            </w:tcBorders>
          </w:tcPr>
          <w:p>
            <w:pPr>
              <w:ind w:right="-29"/>
              <w:jc w:val="center"/>
              <w:rPr>
                <w:noProof/>
                <w:sz w:val="18"/>
                <w:szCs w:val="18"/>
              </w:rPr>
            </w:pPr>
            <w:r>
              <w:rPr>
                <w:noProof/>
                <w:sz w:val="18"/>
              </w:rPr>
              <w:t xml:space="preserve">Izdelki strojne opreme </w:t>
            </w:r>
          </w:p>
        </w:tc>
        <w:tc>
          <w:tcPr>
            <w:tcW w:w="1380" w:type="dxa"/>
            <w:gridSpan w:val="2"/>
          </w:tcPr>
          <w:p>
            <w:pPr>
              <w:ind w:right="-29"/>
              <w:jc w:val="center"/>
              <w:rPr>
                <w:noProof/>
                <w:sz w:val="18"/>
                <w:szCs w:val="18"/>
              </w:rPr>
            </w:pPr>
            <w:r>
              <w:rPr>
                <w:noProof/>
                <w:sz w:val="18"/>
              </w:rPr>
              <w:t>Strojna oprema</w:t>
            </w:r>
          </w:p>
        </w:tc>
        <w:tc>
          <w:tcPr>
            <w:tcW w:w="236" w:type="dxa"/>
            <w:tcBorders>
              <w:right w:val="dashSmallGap" w:sz="4" w:space="0" w:color="auto"/>
            </w:tcBorders>
          </w:tcPr>
          <w:p>
            <w:pPr>
              <w:ind w:right="-29"/>
              <w:jc w:val="center"/>
              <w:rPr>
                <w:noProof/>
                <w:sz w:val="18"/>
                <w:szCs w:val="18"/>
              </w:rPr>
            </w:pPr>
          </w:p>
        </w:tc>
        <w:tc>
          <w:tcPr>
            <w:tcW w:w="843" w:type="dxa"/>
            <w:tcBorders>
              <w:left w:val="dashSmallGap" w:sz="4" w:space="0" w:color="auto"/>
              <w:bottom w:val="single" w:sz="4" w:space="0" w:color="auto"/>
            </w:tcBorders>
          </w:tcPr>
          <w:p>
            <w:pPr>
              <w:ind w:right="-29"/>
              <w:jc w:val="center"/>
              <w:rPr>
                <w:noProof/>
                <w:sz w:val="18"/>
                <w:szCs w:val="18"/>
              </w:rPr>
            </w:pPr>
            <w:r>
              <w:rPr>
                <w:noProof/>
                <w:sz w:val="18"/>
              </w:rPr>
              <w:t>0</w:t>
            </w:r>
          </w:p>
        </w:tc>
        <w:tc>
          <w:tcPr>
            <w:tcW w:w="283" w:type="dxa"/>
            <w:tcBorders>
              <w:right w:val="dashSmallGap" w:sz="4" w:space="0" w:color="auto"/>
            </w:tcBorders>
          </w:tcPr>
          <w:p>
            <w:pPr>
              <w:ind w:right="-29"/>
              <w:jc w:val="center"/>
              <w:rPr>
                <w:noProof/>
                <w:sz w:val="18"/>
                <w:szCs w:val="18"/>
              </w:rPr>
            </w:pPr>
          </w:p>
        </w:tc>
        <w:tc>
          <w:tcPr>
            <w:tcW w:w="851" w:type="dxa"/>
            <w:tcBorders>
              <w:left w:val="dashSmallGap" w:sz="4" w:space="0" w:color="auto"/>
              <w:bottom w:val="single" w:sz="4" w:space="0" w:color="auto"/>
            </w:tcBorders>
          </w:tcPr>
          <w:p>
            <w:pPr>
              <w:ind w:right="-29"/>
              <w:jc w:val="center"/>
              <w:rPr>
                <w:noProof/>
                <w:sz w:val="18"/>
                <w:szCs w:val="18"/>
              </w:rPr>
            </w:pPr>
            <w:r>
              <w:rPr>
                <w:noProof/>
                <w:sz w:val="18"/>
              </w:rPr>
              <w:t>0,060</w:t>
            </w:r>
          </w:p>
        </w:tc>
        <w:tc>
          <w:tcPr>
            <w:tcW w:w="283" w:type="dxa"/>
            <w:tcBorders>
              <w:right w:val="dashSmallGap" w:sz="4" w:space="0" w:color="auto"/>
            </w:tcBorders>
          </w:tcPr>
          <w:p>
            <w:pPr>
              <w:ind w:right="-29"/>
              <w:jc w:val="center"/>
              <w:rPr>
                <w:noProof/>
                <w:sz w:val="18"/>
                <w:szCs w:val="18"/>
              </w:rPr>
            </w:pPr>
          </w:p>
        </w:tc>
        <w:tc>
          <w:tcPr>
            <w:tcW w:w="851" w:type="dxa"/>
            <w:tcBorders>
              <w:top w:val="single" w:sz="4" w:space="0" w:color="auto"/>
              <w:left w:val="dashSmallGap" w:sz="4" w:space="0" w:color="auto"/>
              <w:bottom w:val="single" w:sz="4" w:space="0" w:color="auto"/>
              <w:right w:val="single" w:sz="4" w:space="0" w:color="auto"/>
            </w:tcBorders>
          </w:tcPr>
          <w:p>
            <w:pPr>
              <w:ind w:right="-29"/>
              <w:jc w:val="center"/>
              <w:rPr>
                <w:noProof/>
                <w:sz w:val="18"/>
                <w:szCs w:val="18"/>
              </w:rPr>
            </w:pPr>
            <w:r>
              <w:rPr>
                <w:noProof/>
                <w:sz w:val="18"/>
              </w:rPr>
              <w:t>0,060</w:t>
            </w:r>
          </w:p>
        </w:tc>
        <w:tc>
          <w:tcPr>
            <w:tcW w:w="283" w:type="dxa"/>
            <w:tcBorders>
              <w:left w:val="single" w:sz="4" w:space="0" w:color="auto"/>
              <w:right w:val="dashSmallGap" w:sz="4" w:space="0" w:color="auto"/>
            </w:tcBorders>
          </w:tcPr>
          <w:p>
            <w:pPr>
              <w:ind w:right="-29"/>
              <w:jc w:val="center"/>
              <w:rPr>
                <w:noProof/>
                <w:sz w:val="18"/>
                <w:szCs w:val="18"/>
              </w:rPr>
            </w:pPr>
          </w:p>
        </w:tc>
        <w:tc>
          <w:tcPr>
            <w:tcW w:w="851" w:type="dxa"/>
            <w:tcBorders>
              <w:left w:val="dashSmallGap" w:sz="4" w:space="0" w:color="auto"/>
              <w:bottom w:val="single" w:sz="4" w:space="0" w:color="auto"/>
            </w:tcBorders>
          </w:tcPr>
          <w:p>
            <w:pPr>
              <w:ind w:right="-29"/>
              <w:jc w:val="center"/>
              <w:rPr>
                <w:noProof/>
                <w:sz w:val="18"/>
                <w:szCs w:val="18"/>
              </w:rPr>
            </w:pPr>
            <w:r>
              <w:rPr>
                <w:noProof/>
                <w:sz w:val="18"/>
              </w:rPr>
              <w:t>0,596</w:t>
            </w:r>
          </w:p>
        </w:tc>
        <w:tc>
          <w:tcPr>
            <w:tcW w:w="283" w:type="dxa"/>
            <w:tcBorders>
              <w:right w:val="dashSmallGap" w:sz="4" w:space="0" w:color="auto"/>
            </w:tcBorders>
          </w:tcPr>
          <w:p>
            <w:pPr>
              <w:ind w:right="-29"/>
              <w:jc w:val="center"/>
              <w:rPr>
                <w:noProof/>
                <w:sz w:val="18"/>
                <w:szCs w:val="18"/>
              </w:rPr>
            </w:pPr>
          </w:p>
        </w:tc>
        <w:tc>
          <w:tcPr>
            <w:tcW w:w="851" w:type="dxa"/>
            <w:tcBorders>
              <w:left w:val="dashSmallGap" w:sz="4" w:space="0" w:color="auto"/>
              <w:bottom w:val="single" w:sz="4" w:space="0" w:color="auto"/>
            </w:tcBorders>
          </w:tcPr>
          <w:p>
            <w:pPr>
              <w:ind w:right="-29"/>
              <w:jc w:val="center"/>
              <w:rPr>
                <w:noProof/>
                <w:sz w:val="18"/>
                <w:szCs w:val="18"/>
              </w:rPr>
            </w:pPr>
            <w:r>
              <w:rPr>
                <w:noProof/>
                <w:sz w:val="18"/>
              </w:rPr>
              <w:t>1,741</w:t>
            </w:r>
          </w:p>
        </w:tc>
        <w:tc>
          <w:tcPr>
            <w:tcW w:w="283" w:type="dxa"/>
            <w:tcBorders>
              <w:right w:val="dashSmallGap" w:sz="4" w:space="0" w:color="auto"/>
            </w:tcBorders>
          </w:tcPr>
          <w:p>
            <w:pPr>
              <w:ind w:right="-29"/>
              <w:jc w:val="center"/>
              <w:rPr>
                <w:noProof/>
                <w:sz w:val="18"/>
                <w:szCs w:val="18"/>
              </w:rPr>
            </w:pPr>
          </w:p>
        </w:tc>
        <w:tc>
          <w:tcPr>
            <w:tcW w:w="851" w:type="dxa"/>
            <w:tcBorders>
              <w:left w:val="dashSmallGap" w:sz="4" w:space="0" w:color="auto"/>
              <w:bottom w:val="single" w:sz="4" w:space="0" w:color="auto"/>
            </w:tcBorders>
          </w:tcPr>
          <w:p>
            <w:pPr>
              <w:ind w:right="-29"/>
              <w:jc w:val="center"/>
              <w:rPr>
                <w:noProof/>
                <w:sz w:val="18"/>
                <w:szCs w:val="18"/>
              </w:rPr>
            </w:pPr>
            <w:r>
              <w:rPr>
                <w:noProof/>
                <w:sz w:val="18"/>
              </w:rPr>
              <w:t>1,741</w:t>
            </w:r>
          </w:p>
        </w:tc>
        <w:tc>
          <w:tcPr>
            <w:tcW w:w="283" w:type="dxa"/>
            <w:tcBorders>
              <w:right w:val="dashSmallGap" w:sz="4" w:space="0" w:color="auto"/>
            </w:tcBorders>
          </w:tcPr>
          <w:p>
            <w:pPr>
              <w:ind w:right="-29"/>
              <w:jc w:val="center"/>
              <w:rPr>
                <w:noProof/>
                <w:sz w:val="18"/>
                <w:szCs w:val="18"/>
              </w:rPr>
            </w:pPr>
          </w:p>
        </w:tc>
        <w:tc>
          <w:tcPr>
            <w:tcW w:w="851" w:type="dxa"/>
            <w:tcBorders>
              <w:left w:val="dashSmallGap" w:sz="4" w:space="0" w:color="auto"/>
              <w:bottom w:val="single" w:sz="4" w:space="0" w:color="auto"/>
            </w:tcBorders>
          </w:tcPr>
          <w:p>
            <w:pPr>
              <w:ind w:right="-29"/>
              <w:jc w:val="center"/>
              <w:rPr>
                <w:noProof/>
                <w:sz w:val="18"/>
                <w:szCs w:val="18"/>
              </w:rPr>
            </w:pPr>
            <w:r>
              <w:rPr>
                <w:noProof/>
                <w:sz w:val="18"/>
              </w:rPr>
              <w:t>1,741</w:t>
            </w:r>
          </w:p>
        </w:tc>
        <w:tc>
          <w:tcPr>
            <w:tcW w:w="283" w:type="dxa"/>
            <w:tcBorders>
              <w:right w:val="dashSmallGap" w:sz="4" w:space="0" w:color="auto"/>
            </w:tcBorders>
          </w:tcPr>
          <w:p>
            <w:pPr>
              <w:ind w:right="-29"/>
              <w:jc w:val="center"/>
              <w:rPr>
                <w:noProof/>
                <w:sz w:val="18"/>
                <w:szCs w:val="18"/>
              </w:rPr>
            </w:pPr>
          </w:p>
        </w:tc>
        <w:tc>
          <w:tcPr>
            <w:tcW w:w="851" w:type="dxa"/>
            <w:tcBorders>
              <w:left w:val="dashSmallGap" w:sz="4" w:space="0" w:color="auto"/>
              <w:bottom w:val="single" w:sz="4" w:space="0" w:color="auto"/>
            </w:tcBorders>
          </w:tcPr>
          <w:p>
            <w:pPr>
              <w:ind w:right="-29"/>
              <w:jc w:val="center"/>
              <w:rPr>
                <w:noProof/>
                <w:sz w:val="18"/>
                <w:szCs w:val="18"/>
              </w:rPr>
            </w:pPr>
            <w:r>
              <w:rPr>
                <w:noProof/>
                <w:sz w:val="18"/>
              </w:rPr>
              <w:t>1,741</w:t>
            </w:r>
          </w:p>
        </w:tc>
        <w:tc>
          <w:tcPr>
            <w:tcW w:w="283" w:type="dxa"/>
            <w:tcBorders>
              <w:right w:val="dashSmallGap" w:sz="4" w:space="0" w:color="auto"/>
            </w:tcBorders>
          </w:tcPr>
          <w:p>
            <w:pPr>
              <w:ind w:right="-29"/>
              <w:jc w:val="center"/>
              <w:rPr>
                <w:noProof/>
                <w:sz w:val="18"/>
                <w:szCs w:val="18"/>
              </w:rPr>
            </w:pPr>
          </w:p>
        </w:tc>
        <w:tc>
          <w:tcPr>
            <w:tcW w:w="709" w:type="dxa"/>
            <w:tcBorders>
              <w:left w:val="dashSmallGap" w:sz="4" w:space="0" w:color="auto"/>
              <w:bottom w:val="single" w:sz="4" w:space="0" w:color="auto"/>
            </w:tcBorders>
          </w:tcPr>
          <w:p>
            <w:pPr>
              <w:ind w:right="-29"/>
              <w:jc w:val="center"/>
              <w:rPr>
                <w:noProof/>
                <w:sz w:val="18"/>
                <w:szCs w:val="18"/>
              </w:rPr>
            </w:pPr>
            <w:r>
              <w:rPr>
                <w:noProof/>
                <w:sz w:val="18"/>
              </w:rPr>
              <w:t>1,741</w:t>
            </w:r>
          </w:p>
        </w:tc>
        <w:tc>
          <w:tcPr>
            <w:tcW w:w="709" w:type="dxa"/>
            <w:tcBorders>
              <w:right w:val="dashSmallGap" w:sz="4" w:space="0" w:color="auto"/>
            </w:tcBorders>
          </w:tcPr>
          <w:p>
            <w:pPr>
              <w:ind w:right="-29"/>
              <w:jc w:val="center"/>
              <w:rPr>
                <w:noProof/>
                <w:sz w:val="18"/>
                <w:szCs w:val="18"/>
              </w:rPr>
            </w:pPr>
          </w:p>
        </w:tc>
        <w:tc>
          <w:tcPr>
            <w:tcW w:w="874" w:type="dxa"/>
            <w:tcBorders>
              <w:left w:val="dashSmallGap" w:sz="4" w:space="0" w:color="auto"/>
              <w:bottom w:val="single" w:sz="4" w:space="0" w:color="auto"/>
              <w:right w:val="single" w:sz="12" w:space="0" w:color="auto"/>
            </w:tcBorders>
          </w:tcPr>
          <w:p>
            <w:pPr>
              <w:ind w:right="-29"/>
              <w:jc w:val="center"/>
              <w:rPr>
                <w:noProof/>
                <w:sz w:val="18"/>
                <w:szCs w:val="18"/>
              </w:rPr>
            </w:pPr>
            <w:r>
              <w:rPr>
                <w:noProof/>
                <w:sz w:val="18"/>
              </w:rPr>
              <w:t>9,423</w:t>
            </w:r>
          </w:p>
        </w:tc>
      </w:tr>
      <w:tr>
        <w:trPr>
          <w:trHeight w:hRule="exact" w:val="369"/>
          <w:jc w:val="center"/>
        </w:trPr>
        <w:tc>
          <w:tcPr>
            <w:tcW w:w="1422" w:type="dxa"/>
            <w:tcBorders>
              <w:left w:val="single" w:sz="12" w:space="0" w:color="auto"/>
            </w:tcBorders>
          </w:tcPr>
          <w:p>
            <w:pPr>
              <w:ind w:right="-29"/>
              <w:jc w:val="center"/>
              <w:rPr>
                <w:noProof/>
                <w:sz w:val="18"/>
              </w:rPr>
            </w:pPr>
            <w:r>
              <w:rPr>
                <w:noProof/>
                <w:sz w:val="18"/>
              </w:rPr>
              <w:t>Usposabljanje v zvezi z IT</w:t>
            </w:r>
          </w:p>
        </w:tc>
        <w:tc>
          <w:tcPr>
            <w:tcW w:w="1380" w:type="dxa"/>
            <w:gridSpan w:val="2"/>
          </w:tcPr>
          <w:p>
            <w:pPr>
              <w:ind w:right="-29"/>
              <w:jc w:val="center"/>
              <w:rPr>
                <w:noProof/>
                <w:sz w:val="18"/>
                <w:szCs w:val="18"/>
              </w:rPr>
            </w:pPr>
            <w:r>
              <w:rPr>
                <w:noProof/>
                <w:sz w:val="18"/>
              </w:rPr>
              <w:t xml:space="preserve">Usposabljanje </w:t>
            </w:r>
          </w:p>
        </w:tc>
        <w:tc>
          <w:tcPr>
            <w:tcW w:w="236" w:type="dxa"/>
            <w:tcBorders>
              <w:right w:val="dashSmallGap" w:sz="4" w:space="0" w:color="auto"/>
            </w:tcBorders>
          </w:tcPr>
          <w:p>
            <w:pPr>
              <w:ind w:right="-29"/>
              <w:jc w:val="center"/>
              <w:rPr>
                <w:noProof/>
                <w:sz w:val="18"/>
                <w:szCs w:val="18"/>
              </w:rPr>
            </w:pPr>
          </w:p>
        </w:tc>
        <w:tc>
          <w:tcPr>
            <w:tcW w:w="843" w:type="dxa"/>
            <w:tcBorders>
              <w:left w:val="dashSmallGap" w:sz="4" w:space="0" w:color="auto"/>
              <w:bottom w:val="single" w:sz="4" w:space="0" w:color="auto"/>
            </w:tcBorders>
          </w:tcPr>
          <w:p>
            <w:pPr>
              <w:ind w:right="-29"/>
              <w:jc w:val="center"/>
              <w:rPr>
                <w:noProof/>
                <w:sz w:val="18"/>
                <w:szCs w:val="18"/>
              </w:rPr>
            </w:pPr>
            <w:r>
              <w:rPr>
                <w:noProof/>
                <w:sz w:val="18"/>
              </w:rPr>
              <w:t>0</w:t>
            </w:r>
          </w:p>
        </w:tc>
        <w:tc>
          <w:tcPr>
            <w:tcW w:w="283" w:type="dxa"/>
            <w:tcBorders>
              <w:right w:val="dashSmallGap" w:sz="4" w:space="0" w:color="auto"/>
            </w:tcBorders>
          </w:tcPr>
          <w:p>
            <w:pPr>
              <w:ind w:right="-29"/>
              <w:jc w:val="center"/>
              <w:rPr>
                <w:noProof/>
                <w:sz w:val="18"/>
                <w:szCs w:val="18"/>
              </w:rPr>
            </w:pPr>
          </w:p>
        </w:tc>
        <w:tc>
          <w:tcPr>
            <w:tcW w:w="851" w:type="dxa"/>
            <w:tcBorders>
              <w:left w:val="dashSmallGap" w:sz="4" w:space="0" w:color="auto"/>
              <w:bottom w:val="single" w:sz="4" w:space="0" w:color="auto"/>
            </w:tcBorders>
          </w:tcPr>
          <w:p>
            <w:pPr>
              <w:ind w:right="-29"/>
              <w:jc w:val="center"/>
              <w:rPr>
                <w:noProof/>
                <w:sz w:val="18"/>
                <w:szCs w:val="18"/>
              </w:rPr>
            </w:pPr>
            <w:r>
              <w:rPr>
                <w:noProof/>
                <w:sz w:val="18"/>
              </w:rPr>
              <w:t>0</w:t>
            </w:r>
          </w:p>
        </w:tc>
        <w:tc>
          <w:tcPr>
            <w:tcW w:w="283" w:type="dxa"/>
            <w:tcBorders>
              <w:right w:val="dashSmallGap" w:sz="4" w:space="0" w:color="auto"/>
            </w:tcBorders>
          </w:tcPr>
          <w:p>
            <w:pPr>
              <w:ind w:right="-29"/>
              <w:jc w:val="center"/>
              <w:rPr>
                <w:noProof/>
                <w:sz w:val="18"/>
                <w:szCs w:val="18"/>
              </w:rPr>
            </w:pPr>
          </w:p>
        </w:tc>
        <w:tc>
          <w:tcPr>
            <w:tcW w:w="851" w:type="dxa"/>
            <w:tcBorders>
              <w:left w:val="dashSmallGap" w:sz="4" w:space="0" w:color="auto"/>
              <w:bottom w:val="single" w:sz="4" w:space="0" w:color="auto"/>
            </w:tcBorders>
          </w:tcPr>
          <w:p>
            <w:pPr>
              <w:ind w:right="-29"/>
              <w:jc w:val="center"/>
              <w:rPr>
                <w:noProof/>
                <w:sz w:val="18"/>
                <w:szCs w:val="18"/>
              </w:rPr>
            </w:pPr>
            <w:r>
              <w:rPr>
                <w:noProof/>
                <w:sz w:val="18"/>
              </w:rPr>
              <w:t>0</w:t>
            </w:r>
          </w:p>
        </w:tc>
        <w:tc>
          <w:tcPr>
            <w:tcW w:w="283" w:type="dxa"/>
            <w:tcBorders>
              <w:right w:val="dashSmallGap" w:sz="4" w:space="0" w:color="auto"/>
            </w:tcBorders>
          </w:tcPr>
          <w:p>
            <w:pPr>
              <w:ind w:right="-29"/>
              <w:jc w:val="center"/>
              <w:rPr>
                <w:noProof/>
                <w:sz w:val="18"/>
                <w:szCs w:val="18"/>
              </w:rPr>
            </w:pPr>
          </w:p>
        </w:tc>
        <w:tc>
          <w:tcPr>
            <w:tcW w:w="851" w:type="dxa"/>
            <w:tcBorders>
              <w:left w:val="dashSmallGap" w:sz="4" w:space="0" w:color="auto"/>
              <w:bottom w:val="single" w:sz="4" w:space="0" w:color="auto"/>
            </w:tcBorders>
          </w:tcPr>
          <w:p>
            <w:pPr>
              <w:ind w:right="-29"/>
              <w:jc w:val="center"/>
              <w:rPr>
                <w:noProof/>
                <w:sz w:val="18"/>
                <w:szCs w:val="18"/>
              </w:rPr>
            </w:pPr>
            <w:r>
              <w:rPr>
                <w:noProof/>
                <w:sz w:val="18"/>
              </w:rPr>
              <w:t>0</w:t>
            </w:r>
          </w:p>
        </w:tc>
        <w:tc>
          <w:tcPr>
            <w:tcW w:w="283" w:type="dxa"/>
            <w:tcBorders>
              <w:right w:val="dashSmallGap" w:sz="4" w:space="0" w:color="auto"/>
            </w:tcBorders>
          </w:tcPr>
          <w:p>
            <w:pPr>
              <w:ind w:right="-29"/>
              <w:jc w:val="center"/>
              <w:rPr>
                <w:noProof/>
                <w:sz w:val="18"/>
                <w:szCs w:val="18"/>
              </w:rPr>
            </w:pPr>
          </w:p>
        </w:tc>
        <w:tc>
          <w:tcPr>
            <w:tcW w:w="851" w:type="dxa"/>
            <w:tcBorders>
              <w:left w:val="dashSmallGap" w:sz="4" w:space="0" w:color="auto"/>
              <w:bottom w:val="single" w:sz="4" w:space="0" w:color="auto"/>
            </w:tcBorders>
          </w:tcPr>
          <w:p>
            <w:pPr>
              <w:ind w:right="-29"/>
              <w:jc w:val="center"/>
              <w:rPr>
                <w:noProof/>
                <w:sz w:val="18"/>
                <w:szCs w:val="18"/>
              </w:rPr>
            </w:pPr>
            <w:r>
              <w:rPr>
                <w:noProof/>
                <w:sz w:val="18"/>
              </w:rPr>
              <w:t>0,030</w:t>
            </w:r>
          </w:p>
        </w:tc>
        <w:tc>
          <w:tcPr>
            <w:tcW w:w="283" w:type="dxa"/>
            <w:tcBorders>
              <w:right w:val="dashSmallGap" w:sz="4" w:space="0" w:color="auto"/>
            </w:tcBorders>
          </w:tcPr>
          <w:p>
            <w:pPr>
              <w:ind w:right="-29"/>
              <w:jc w:val="center"/>
              <w:rPr>
                <w:noProof/>
                <w:sz w:val="18"/>
                <w:szCs w:val="18"/>
              </w:rPr>
            </w:pPr>
          </w:p>
        </w:tc>
        <w:tc>
          <w:tcPr>
            <w:tcW w:w="851" w:type="dxa"/>
            <w:tcBorders>
              <w:left w:val="dashSmallGap" w:sz="4" w:space="0" w:color="auto"/>
              <w:bottom w:val="single" w:sz="4" w:space="0" w:color="auto"/>
            </w:tcBorders>
          </w:tcPr>
          <w:p>
            <w:pPr>
              <w:ind w:right="-29"/>
              <w:jc w:val="center"/>
              <w:rPr>
                <w:noProof/>
                <w:sz w:val="18"/>
                <w:szCs w:val="18"/>
              </w:rPr>
            </w:pPr>
            <w:r>
              <w:rPr>
                <w:noProof/>
                <w:sz w:val="18"/>
              </w:rPr>
              <w:t>0,030</w:t>
            </w:r>
          </w:p>
        </w:tc>
        <w:tc>
          <w:tcPr>
            <w:tcW w:w="283" w:type="dxa"/>
            <w:tcBorders>
              <w:right w:val="dashSmallGap" w:sz="4" w:space="0" w:color="auto"/>
            </w:tcBorders>
          </w:tcPr>
          <w:p>
            <w:pPr>
              <w:ind w:right="-29"/>
              <w:jc w:val="center"/>
              <w:rPr>
                <w:noProof/>
                <w:sz w:val="18"/>
                <w:szCs w:val="18"/>
              </w:rPr>
            </w:pPr>
          </w:p>
        </w:tc>
        <w:tc>
          <w:tcPr>
            <w:tcW w:w="851" w:type="dxa"/>
            <w:tcBorders>
              <w:left w:val="dashSmallGap" w:sz="4" w:space="0" w:color="auto"/>
              <w:bottom w:val="single" w:sz="4" w:space="0" w:color="auto"/>
            </w:tcBorders>
          </w:tcPr>
          <w:p>
            <w:pPr>
              <w:ind w:right="-29"/>
              <w:jc w:val="center"/>
              <w:rPr>
                <w:noProof/>
                <w:sz w:val="18"/>
                <w:szCs w:val="18"/>
              </w:rPr>
            </w:pPr>
            <w:r>
              <w:rPr>
                <w:noProof/>
                <w:sz w:val="18"/>
              </w:rPr>
              <w:t>0,030</w:t>
            </w:r>
          </w:p>
        </w:tc>
        <w:tc>
          <w:tcPr>
            <w:tcW w:w="283" w:type="dxa"/>
            <w:tcBorders>
              <w:right w:val="dashSmallGap" w:sz="4" w:space="0" w:color="auto"/>
            </w:tcBorders>
          </w:tcPr>
          <w:p>
            <w:pPr>
              <w:ind w:right="-29"/>
              <w:jc w:val="center"/>
              <w:rPr>
                <w:noProof/>
                <w:sz w:val="18"/>
                <w:szCs w:val="18"/>
              </w:rPr>
            </w:pPr>
          </w:p>
        </w:tc>
        <w:tc>
          <w:tcPr>
            <w:tcW w:w="851" w:type="dxa"/>
            <w:tcBorders>
              <w:left w:val="dashSmallGap" w:sz="4" w:space="0" w:color="auto"/>
              <w:bottom w:val="single" w:sz="4" w:space="0" w:color="auto"/>
            </w:tcBorders>
          </w:tcPr>
          <w:p>
            <w:pPr>
              <w:ind w:right="-29"/>
              <w:jc w:val="center"/>
              <w:rPr>
                <w:noProof/>
                <w:sz w:val="18"/>
                <w:szCs w:val="18"/>
              </w:rPr>
            </w:pPr>
            <w:r>
              <w:rPr>
                <w:noProof/>
                <w:sz w:val="18"/>
              </w:rPr>
              <w:t>0,030</w:t>
            </w:r>
          </w:p>
        </w:tc>
        <w:tc>
          <w:tcPr>
            <w:tcW w:w="283" w:type="dxa"/>
            <w:tcBorders>
              <w:right w:val="dashSmallGap" w:sz="4" w:space="0" w:color="auto"/>
            </w:tcBorders>
          </w:tcPr>
          <w:p>
            <w:pPr>
              <w:ind w:right="-29"/>
              <w:jc w:val="center"/>
              <w:rPr>
                <w:noProof/>
                <w:sz w:val="18"/>
                <w:szCs w:val="18"/>
              </w:rPr>
            </w:pPr>
          </w:p>
        </w:tc>
        <w:tc>
          <w:tcPr>
            <w:tcW w:w="709" w:type="dxa"/>
            <w:tcBorders>
              <w:left w:val="dashSmallGap" w:sz="4" w:space="0" w:color="auto"/>
              <w:bottom w:val="single" w:sz="4" w:space="0" w:color="auto"/>
            </w:tcBorders>
          </w:tcPr>
          <w:p>
            <w:pPr>
              <w:ind w:right="-29"/>
              <w:jc w:val="center"/>
              <w:rPr>
                <w:noProof/>
                <w:sz w:val="18"/>
                <w:szCs w:val="18"/>
              </w:rPr>
            </w:pPr>
            <w:r>
              <w:rPr>
                <w:noProof/>
                <w:sz w:val="18"/>
              </w:rPr>
              <w:t>0,030</w:t>
            </w:r>
          </w:p>
        </w:tc>
        <w:tc>
          <w:tcPr>
            <w:tcW w:w="709" w:type="dxa"/>
            <w:tcBorders>
              <w:right w:val="dashSmallGap" w:sz="4" w:space="0" w:color="auto"/>
            </w:tcBorders>
          </w:tcPr>
          <w:p>
            <w:pPr>
              <w:ind w:right="-29"/>
              <w:jc w:val="center"/>
              <w:rPr>
                <w:noProof/>
                <w:sz w:val="18"/>
                <w:szCs w:val="18"/>
              </w:rPr>
            </w:pPr>
          </w:p>
        </w:tc>
        <w:tc>
          <w:tcPr>
            <w:tcW w:w="874" w:type="dxa"/>
            <w:tcBorders>
              <w:left w:val="dashSmallGap" w:sz="4" w:space="0" w:color="auto"/>
              <w:bottom w:val="single" w:sz="4" w:space="0" w:color="auto"/>
              <w:right w:val="single" w:sz="12" w:space="0" w:color="auto"/>
            </w:tcBorders>
          </w:tcPr>
          <w:p>
            <w:pPr>
              <w:ind w:right="-29"/>
              <w:jc w:val="center"/>
              <w:rPr>
                <w:noProof/>
                <w:sz w:val="18"/>
                <w:szCs w:val="18"/>
              </w:rPr>
            </w:pPr>
            <w:r>
              <w:rPr>
                <w:noProof/>
                <w:sz w:val="18"/>
              </w:rPr>
              <w:t>0,150</w:t>
            </w:r>
          </w:p>
        </w:tc>
      </w:tr>
      <w:tr>
        <w:trPr>
          <w:jc w:val="center"/>
        </w:trPr>
        <w:tc>
          <w:tcPr>
            <w:tcW w:w="2802" w:type="dxa"/>
            <w:gridSpan w:val="3"/>
            <w:tcBorders>
              <w:left w:val="single" w:sz="12" w:space="0" w:color="auto"/>
              <w:bottom w:val="single" w:sz="12" w:space="0" w:color="auto"/>
            </w:tcBorders>
            <w:vAlign w:val="center"/>
          </w:tcPr>
          <w:p>
            <w:pPr>
              <w:ind w:right="-29"/>
              <w:jc w:val="center"/>
              <w:rPr>
                <w:noProof/>
                <w:sz w:val="18"/>
                <w:szCs w:val="18"/>
              </w:rPr>
            </w:pPr>
            <w:r>
              <w:rPr>
                <w:noProof/>
                <w:sz w:val="18"/>
              </w:rPr>
              <w:t>Seštevek za specifični cilj št. 2</w:t>
            </w:r>
          </w:p>
        </w:tc>
        <w:tc>
          <w:tcPr>
            <w:tcW w:w="236" w:type="dxa"/>
            <w:tcBorders>
              <w:bottom w:val="single" w:sz="12" w:space="0" w:color="auto"/>
              <w:right w:val="dashSmallGap" w:sz="4" w:space="0" w:color="auto"/>
            </w:tcBorders>
          </w:tcPr>
          <w:p>
            <w:pPr>
              <w:ind w:right="-29"/>
              <w:jc w:val="center"/>
              <w:rPr>
                <w:noProof/>
                <w:sz w:val="18"/>
                <w:szCs w:val="18"/>
              </w:rPr>
            </w:pPr>
          </w:p>
        </w:tc>
        <w:tc>
          <w:tcPr>
            <w:tcW w:w="843" w:type="dxa"/>
            <w:tcBorders>
              <w:left w:val="dashSmallGap" w:sz="4" w:space="0" w:color="auto"/>
              <w:bottom w:val="single" w:sz="12" w:space="0" w:color="auto"/>
            </w:tcBorders>
          </w:tcPr>
          <w:p>
            <w:pPr>
              <w:ind w:right="-29"/>
              <w:jc w:val="center"/>
              <w:rPr>
                <w:b/>
                <w:noProof/>
                <w:sz w:val="18"/>
                <w:szCs w:val="18"/>
              </w:rPr>
            </w:pPr>
            <w:r>
              <w:rPr>
                <w:b/>
                <w:noProof/>
                <w:sz w:val="18"/>
              </w:rPr>
              <w:t>0</w:t>
            </w:r>
          </w:p>
        </w:tc>
        <w:tc>
          <w:tcPr>
            <w:tcW w:w="283" w:type="dxa"/>
            <w:tcBorders>
              <w:bottom w:val="single" w:sz="12" w:space="0" w:color="auto"/>
              <w:right w:val="dashSmallGap" w:sz="4" w:space="0" w:color="auto"/>
            </w:tcBorders>
          </w:tcPr>
          <w:p>
            <w:pPr>
              <w:ind w:right="-29"/>
              <w:jc w:val="center"/>
              <w:rPr>
                <w:noProof/>
                <w:sz w:val="18"/>
                <w:szCs w:val="18"/>
              </w:rPr>
            </w:pPr>
          </w:p>
        </w:tc>
        <w:tc>
          <w:tcPr>
            <w:tcW w:w="851" w:type="dxa"/>
            <w:tcBorders>
              <w:left w:val="dashSmallGap" w:sz="4" w:space="0" w:color="auto"/>
              <w:bottom w:val="single" w:sz="12" w:space="0" w:color="auto"/>
            </w:tcBorders>
          </w:tcPr>
          <w:p>
            <w:pPr>
              <w:ind w:right="-29"/>
              <w:jc w:val="center"/>
              <w:rPr>
                <w:b/>
                <w:noProof/>
                <w:sz w:val="18"/>
                <w:szCs w:val="18"/>
              </w:rPr>
            </w:pPr>
            <w:r>
              <w:rPr>
                <w:b/>
                <w:noProof/>
                <w:sz w:val="18"/>
              </w:rPr>
              <w:t>0,325</w:t>
            </w:r>
          </w:p>
        </w:tc>
        <w:tc>
          <w:tcPr>
            <w:tcW w:w="283" w:type="dxa"/>
            <w:tcBorders>
              <w:bottom w:val="single" w:sz="12" w:space="0" w:color="auto"/>
              <w:right w:val="dashSmallGap" w:sz="4" w:space="0" w:color="auto"/>
            </w:tcBorders>
          </w:tcPr>
          <w:p>
            <w:pPr>
              <w:ind w:right="-29"/>
              <w:jc w:val="center"/>
              <w:rPr>
                <w:noProof/>
                <w:sz w:val="18"/>
                <w:szCs w:val="18"/>
              </w:rPr>
            </w:pPr>
          </w:p>
        </w:tc>
        <w:tc>
          <w:tcPr>
            <w:tcW w:w="851" w:type="dxa"/>
            <w:tcBorders>
              <w:left w:val="dashSmallGap" w:sz="4" w:space="0" w:color="auto"/>
              <w:bottom w:val="single" w:sz="12" w:space="0" w:color="auto"/>
            </w:tcBorders>
          </w:tcPr>
          <w:p>
            <w:pPr>
              <w:ind w:right="-29"/>
              <w:jc w:val="center"/>
              <w:rPr>
                <w:b/>
                <w:noProof/>
                <w:sz w:val="18"/>
                <w:szCs w:val="18"/>
              </w:rPr>
            </w:pPr>
            <w:r>
              <w:rPr>
                <w:b/>
                <w:noProof/>
                <w:sz w:val="18"/>
              </w:rPr>
              <w:t>0,325</w:t>
            </w:r>
          </w:p>
        </w:tc>
        <w:tc>
          <w:tcPr>
            <w:tcW w:w="283" w:type="dxa"/>
            <w:tcBorders>
              <w:bottom w:val="single" w:sz="12" w:space="0" w:color="auto"/>
              <w:right w:val="dashSmallGap" w:sz="4" w:space="0" w:color="auto"/>
            </w:tcBorders>
          </w:tcPr>
          <w:p>
            <w:pPr>
              <w:ind w:right="-29"/>
              <w:jc w:val="center"/>
              <w:rPr>
                <w:noProof/>
                <w:sz w:val="18"/>
                <w:szCs w:val="18"/>
              </w:rPr>
            </w:pPr>
          </w:p>
        </w:tc>
        <w:tc>
          <w:tcPr>
            <w:tcW w:w="851" w:type="dxa"/>
            <w:tcBorders>
              <w:left w:val="dashSmallGap" w:sz="4" w:space="0" w:color="auto"/>
              <w:bottom w:val="single" w:sz="12" w:space="0" w:color="auto"/>
            </w:tcBorders>
          </w:tcPr>
          <w:p>
            <w:pPr>
              <w:ind w:right="-29"/>
              <w:jc w:val="center"/>
              <w:rPr>
                <w:b/>
                <w:noProof/>
                <w:sz w:val="18"/>
                <w:szCs w:val="18"/>
              </w:rPr>
            </w:pPr>
            <w:r>
              <w:rPr>
                <w:b/>
                <w:noProof/>
                <w:sz w:val="18"/>
              </w:rPr>
              <w:t>3,567</w:t>
            </w:r>
          </w:p>
        </w:tc>
        <w:tc>
          <w:tcPr>
            <w:tcW w:w="283" w:type="dxa"/>
            <w:tcBorders>
              <w:bottom w:val="single" w:sz="12" w:space="0" w:color="auto"/>
              <w:right w:val="dashSmallGap" w:sz="4" w:space="0" w:color="auto"/>
            </w:tcBorders>
          </w:tcPr>
          <w:p>
            <w:pPr>
              <w:ind w:right="-29"/>
              <w:jc w:val="center"/>
              <w:rPr>
                <w:noProof/>
                <w:sz w:val="18"/>
                <w:szCs w:val="18"/>
              </w:rPr>
            </w:pPr>
          </w:p>
        </w:tc>
        <w:tc>
          <w:tcPr>
            <w:tcW w:w="851" w:type="dxa"/>
            <w:tcBorders>
              <w:left w:val="dashSmallGap" w:sz="4" w:space="0" w:color="auto"/>
              <w:bottom w:val="single" w:sz="12" w:space="0" w:color="auto"/>
            </w:tcBorders>
          </w:tcPr>
          <w:p>
            <w:pPr>
              <w:ind w:right="-29"/>
              <w:rPr>
                <w:b/>
                <w:noProof/>
                <w:sz w:val="18"/>
              </w:rPr>
            </w:pPr>
            <w:r>
              <w:rPr>
                <w:b/>
                <w:noProof/>
                <w:sz w:val="18"/>
              </w:rPr>
              <w:t>10,034</w:t>
            </w:r>
          </w:p>
        </w:tc>
        <w:tc>
          <w:tcPr>
            <w:tcW w:w="283" w:type="dxa"/>
            <w:tcBorders>
              <w:bottom w:val="single" w:sz="12" w:space="0" w:color="auto"/>
              <w:right w:val="dashSmallGap" w:sz="4" w:space="0" w:color="auto"/>
            </w:tcBorders>
          </w:tcPr>
          <w:p>
            <w:pPr>
              <w:ind w:right="-29"/>
              <w:jc w:val="center"/>
              <w:rPr>
                <w:noProof/>
                <w:sz w:val="18"/>
                <w:szCs w:val="18"/>
              </w:rPr>
            </w:pPr>
          </w:p>
        </w:tc>
        <w:tc>
          <w:tcPr>
            <w:tcW w:w="851" w:type="dxa"/>
            <w:tcBorders>
              <w:left w:val="dashSmallGap" w:sz="4" w:space="0" w:color="auto"/>
              <w:bottom w:val="single" w:sz="12" w:space="0" w:color="auto"/>
            </w:tcBorders>
          </w:tcPr>
          <w:p>
            <w:pPr>
              <w:ind w:right="-29"/>
              <w:jc w:val="center"/>
              <w:rPr>
                <w:b/>
                <w:noProof/>
                <w:sz w:val="18"/>
              </w:rPr>
            </w:pPr>
            <w:r>
              <w:rPr>
                <w:b/>
                <w:noProof/>
                <w:sz w:val="18"/>
              </w:rPr>
              <w:t>10,464</w:t>
            </w:r>
          </w:p>
        </w:tc>
        <w:tc>
          <w:tcPr>
            <w:tcW w:w="283" w:type="dxa"/>
            <w:tcBorders>
              <w:bottom w:val="single" w:sz="12" w:space="0" w:color="auto"/>
              <w:right w:val="dashSmallGap" w:sz="4" w:space="0" w:color="auto"/>
            </w:tcBorders>
          </w:tcPr>
          <w:p>
            <w:pPr>
              <w:ind w:right="-29"/>
              <w:jc w:val="center"/>
              <w:rPr>
                <w:noProof/>
                <w:sz w:val="18"/>
                <w:szCs w:val="18"/>
              </w:rPr>
            </w:pPr>
          </w:p>
        </w:tc>
        <w:tc>
          <w:tcPr>
            <w:tcW w:w="851" w:type="dxa"/>
            <w:tcBorders>
              <w:left w:val="dashSmallGap" w:sz="4" w:space="0" w:color="auto"/>
              <w:bottom w:val="single" w:sz="12" w:space="0" w:color="auto"/>
            </w:tcBorders>
          </w:tcPr>
          <w:p>
            <w:pPr>
              <w:ind w:right="-29"/>
              <w:jc w:val="center"/>
              <w:rPr>
                <w:b/>
                <w:noProof/>
                <w:sz w:val="18"/>
              </w:rPr>
            </w:pPr>
            <w:r>
              <w:rPr>
                <w:b/>
                <w:noProof/>
                <w:sz w:val="18"/>
              </w:rPr>
              <w:t>10,464</w:t>
            </w:r>
          </w:p>
        </w:tc>
        <w:tc>
          <w:tcPr>
            <w:tcW w:w="283" w:type="dxa"/>
            <w:tcBorders>
              <w:bottom w:val="single" w:sz="12" w:space="0" w:color="auto"/>
              <w:right w:val="dashSmallGap" w:sz="4" w:space="0" w:color="auto"/>
            </w:tcBorders>
          </w:tcPr>
          <w:p>
            <w:pPr>
              <w:ind w:right="-29"/>
              <w:jc w:val="center"/>
              <w:rPr>
                <w:noProof/>
                <w:sz w:val="18"/>
                <w:szCs w:val="18"/>
              </w:rPr>
            </w:pPr>
          </w:p>
        </w:tc>
        <w:tc>
          <w:tcPr>
            <w:tcW w:w="851" w:type="dxa"/>
            <w:tcBorders>
              <w:left w:val="dashSmallGap" w:sz="4" w:space="0" w:color="auto"/>
              <w:bottom w:val="single" w:sz="12" w:space="0" w:color="auto"/>
            </w:tcBorders>
          </w:tcPr>
          <w:p>
            <w:pPr>
              <w:ind w:right="-29"/>
              <w:jc w:val="center"/>
              <w:rPr>
                <w:noProof/>
                <w:sz w:val="18"/>
                <w:szCs w:val="18"/>
              </w:rPr>
            </w:pPr>
            <w:r>
              <w:rPr>
                <w:b/>
                <w:noProof/>
                <w:sz w:val="18"/>
              </w:rPr>
              <w:t>10,464</w:t>
            </w:r>
          </w:p>
        </w:tc>
        <w:tc>
          <w:tcPr>
            <w:tcW w:w="283" w:type="dxa"/>
            <w:tcBorders>
              <w:bottom w:val="single" w:sz="12" w:space="0" w:color="auto"/>
              <w:right w:val="dashSmallGap" w:sz="4" w:space="0" w:color="auto"/>
            </w:tcBorders>
          </w:tcPr>
          <w:p>
            <w:pPr>
              <w:ind w:right="-29"/>
              <w:jc w:val="center"/>
              <w:rPr>
                <w:noProof/>
                <w:sz w:val="18"/>
                <w:szCs w:val="18"/>
              </w:rPr>
            </w:pPr>
          </w:p>
        </w:tc>
        <w:tc>
          <w:tcPr>
            <w:tcW w:w="709" w:type="dxa"/>
            <w:tcBorders>
              <w:left w:val="dashSmallGap" w:sz="4" w:space="0" w:color="auto"/>
              <w:bottom w:val="single" w:sz="12" w:space="0" w:color="auto"/>
            </w:tcBorders>
          </w:tcPr>
          <w:p>
            <w:pPr>
              <w:ind w:right="-29"/>
              <w:jc w:val="center"/>
              <w:rPr>
                <w:noProof/>
                <w:sz w:val="18"/>
                <w:szCs w:val="18"/>
              </w:rPr>
            </w:pPr>
            <w:r>
              <w:rPr>
                <w:b/>
                <w:noProof/>
                <w:sz w:val="18"/>
              </w:rPr>
              <w:t>10,464</w:t>
            </w:r>
          </w:p>
        </w:tc>
        <w:tc>
          <w:tcPr>
            <w:tcW w:w="709" w:type="dxa"/>
            <w:tcBorders>
              <w:bottom w:val="single" w:sz="12" w:space="0" w:color="auto"/>
              <w:right w:val="dashSmallGap" w:sz="4" w:space="0" w:color="auto"/>
            </w:tcBorders>
          </w:tcPr>
          <w:p>
            <w:pPr>
              <w:ind w:right="-29"/>
              <w:jc w:val="center"/>
              <w:rPr>
                <w:noProof/>
                <w:sz w:val="18"/>
                <w:szCs w:val="18"/>
              </w:rPr>
            </w:pPr>
          </w:p>
        </w:tc>
        <w:tc>
          <w:tcPr>
            <w:tcW w:w="874" w:type="dxa"/>
            <w:tcBorders>
              <w:left w:val="dashSmallGap" w:sz="4" w:space="0" w:color="auto"/>
              <w:bottom w:val="single" w:sz="12" w:space="0" w:color="auto"/>
              <w:right w:val="single" w:sz="12" w:space="0" w:color="auto"/>
            </w:tcBorders>
          </w:tcPr>
          <w:p>
            <w:pPr>
              <w:ind w:right="-29"/>
              <w:jc w:val="center"/>
              <w:rPr>
                <w:b/>
                <w:noProof/>
                <w:sz w:val="18"/>
                <w:szCs w:val="18"/>
              </w:rPr>
            </w:pPr>
            <w:r>
              <w:rPr>
                <w:b/>
                <w:noProof/>
                <w:sz w:val="18"/>
              </w:rPr>
              <w:t>56,105</w:t>
            </w:r>
          </w:p>
        </w:tc>
      </w:tr>
    </w:tbl>
    <w:p>
      <w:pPr>
        <w:rPr>
          <w:noProof/>
        </w:rPr>
      </w:pPr>
    </w:p>
    <w:p>
      <w:pPr>
        <w:pStyle w:val="ListDash"/>
        <w:rPr>
          <w:noProof/>
        </w:rPr>
      </w:pPr>
      <w:r>
        <w:rPr>
          <w:noProof/>
        </w:rPr>
        <w:t xml:space="preserve">Vzdrževanje se začne takoj, ko so posamezni sestavni deli izvedeni. Zato so sredstva za izvajalca vzdrževanja vključena od izvedbe ESP (leta 2021). Sredstva za vzdrževanje se povečujejo z izvedbo vse več sestavnih delov, nato pa dosežejo bolj ali manj konstantno vrednost, ki znaša določen odstotek (med 15 % in 22 %) začetne naložbe. </w:t>
      </w:r>
    </w:p>
    <w:p>
      <w:pPr>
        <w:pStyle w:val="ListDash"/>
        <w:rPr>
          <w:noProof/>
        </w:rPr>
      </w:pPr>
      <w:r>
        <w:rPr>
          <w:noProof/>
        </w:rPr>
        <w:t>Vzdrževanje strojne in programske opreme se začne v letu začetka delovanja: spremembe stroškov so podobne kot pri stroških izvajalca.</w:t>
      </w:r>
    </w:p>
    <w:p>
      <w:pPr>
        <w:keepNext/>
        <w:rPr>
          <w:noProof/>
        </w:rPr>
      </w:pPr>
    </w:p>
    <w:tbl>
      <w:tblPr>
        <w:tblW w:w="14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2"/>
        <w:gridCol w:w="721"/>
        <w:gridCol w:w="659"/>
        <w:gridCol w:w="303"/>
        <w:gridCol w:w="867"/>
        <w:gridCol w:w="330"/>
        <w:gridCol w:w="840"/>
        <w:gridCol w:w="360"/>
        <w:gridCol w:w="840"/>
        <w:gridCol w:w="360"/>
        <w:gridCol w:w="840"/>
        <w:gridCol w:w="360"/>
        <w:gridCol w:w="672"/>
        <w:gridCol w:w="360"/>
        <w:gridCol w:w="720"/>
        <w:gridCol w:w="360"/>
        <w:gridCol w:w="840"/>
        <w:gridCol w:w="360"/>
        <w:gridCol w:w="733"/>
        <w:gridCol w:w="425"/>
        <w:gridCol w:w="709"/>
        <w:gridCol w:w="709"/>
        <w:gridCol w:w="1144"/>
      </w:tblGrid>
      <w:tr>
        <w:trPr>
          <w:jc w:val="center"/>
        </w:trPr>
        <w:tc>
          <w:tcPr>
            <w:tcW w:w="1422" w:type="dxa"/>
            <w:vMerge w:val="restart"/>
            <w:tcBorders>
              <w:top w:val="single" w:sz="12" w:space="0" w:color="auto"/>
              <w:left w:val="single" w:sz="12" w:space="0" w:color="auto"/>
            </w:tcBorders>
            <w:vAlign w:val="center"/>
          </w:tcPr>
          <w:p>
            <w:pPr>
              <w:keepNext/>
              <w:ind w:right="-29"/>
              <w:jc w:val="center"/>
              <w:rPr>
                <w:b/>
                <w:noProof/>
                <w:sz w:val="18"/>
                <w:szCs w:val="18"/>
              </w:rPr>
            </w:pPr>
            <w:r>
              <w:rPr>
                <w:b/>
                <w:noProof/>
                <w:sz w:val="18"/>
              </w:rPr>
              <w:t xml:space="preserve">Cilji in realizacije </w:t>
            </w:r>
          </w:p>
          <w:p>
            <w:pPr>
              <w:keepNext/>
              <w:ind w:right="-29"/>
              <w:jc w:val="center"/>
              <w:rPr>
                <w:b/>
                <w:noProof/>
                <w:sz w:val="18"/>
                <w:szCs w:val="18"/>
              </w:rPr>
            </w:pPr>
            <w:r>
              <w:rPr>
                <w:b/>
                <w:noProof/>
                <w:sz w:val="18"/>
              </w:rPr>
              <w:t>eu-LISA</w:t>
            </w:r>
          </w:p>
          <w:p>
            <w:pPr>
              <w:keepNext/>
              <w:ind w:right="-29"/>
              <w:jc w:val="center"/>
              <w:rPr>
                <w:noProof/>
                <w:sz w:val="18"/>
                <w:szCs w:val="18"/>
              </w:rPr>
            </w:pPr>
            <w:r>
              <w:rPr>
                <w:noProof/>
                <w:sz w:val="18"/>
              </w:rPr>
              <w:sym w:font="Wingdings" w:char="F0F2"/>
            </w:r>
          </w:p>
        </w:tc>
        <w:tc>
          <w:tcPr>
            <w:tcW w:w="721" w:type="dxa"/>
            <w:tcBorders>
              <w:top w:val="single" w:sz="12" w:space="0" w:color="auto"/>
            </w:tcBorders>
            <w:vAlign w:val="center"/>
          </w:tcPr>
          <w:p>
            <w:pPr>
              <w:keepNext/>
              <w:ind w:right="-29"/>
              <w:jc w:val="center"/>
              <w:rPr>
                <w:noProof/>
                <w:sz w:val="18"/>
                <w:szCs w:val="18"/>
              </w:rPr>
            </w:pPr>
          </w:p>
        </w:tc>
        <w:tc>
          <w:tcPr>
            <w:tcW w:w="659" w:type="dxa"/>
            <w:tcBorders>
              <w:top w:val="single" w:sz="12" w:space="0" w:color="auto"/>
            </w:tcBorders>
            <w:vAlign w:val="center"/>
          </w:tcPr>
          <w:p>
            <w:pPr>
              <w:keepNext/>
              <w:ind w:right="-29"/>
              <w:jc w:val="center"/>
              <w:rPr>
                <w:noProof/>
                <w:sz w:val="18"/>
                <w:szCs w:val="18"/>
              </w:rPr>
            </w:pPr>
          </w:p>
        </w:tc>
        <w:tc>
          <w:tcPr>
            <w:tcW w:w="1170" w:type="dxa"/>
            <w:gridSpan w:val="2"/>
            <w:tcBorders>
              <w:top w:val="single" w:sz="12" w:space="0" w:color="auto"/>
              <w:right w:val="single" w:sz="4" w:space="0" w:color="auto"/>
            </w:tcBorders>
            <w:vAlign w:val="center"/>
          </w:tcPr>
          <w:p>
            <w:pPr>
              <w:keepNext/>
              <w:ind w:right="-29"/>
              <w:jc w:val="center"/>
              <w:rPr>
                <w:noProof/>
                <w:sz w:val="18"/>
                <w:szCs w:val="18"/>
              </w:rPr>
            </w:pPr>
            <w:r>
              <w:rPr>
                <w:noProof/>
                <w:sz w:val="18"/>
              </w:rPr>
              <w:t>Leto</w:t>
            </w:r>
            <w:r>
              <w:rPr>
                <w:noProof/>
                <w:sz w:val="22"/>
              </w:rPr>
              <w:br/>
            </w:r>
            <w:r>
              <w:rPr>
                <w:b/>
                <w:noProof/>
                <w:sz w:val="18"/>
              </w:rPr>
              <w:t>2019</w:t>
            </w:r>
          </w:p>
        </w:tc>
        <w:tc>
          <w:tcPr>
            <w:tcW w:w="1170" w:type="dxa"/>
            <w:gridSpan w:val="2"/>
            <w:tcBorders>
              <w:top w:val="single" w:sz="12" w:space="0" w:color="auto"/>
              <w:left w:val="single" w:sz="4" w:space="0" w:color="auto"/>
            </w:tcBorders>
            <w:vAlign w:val="center"/>
          </w:tcPr>
          <w:p>
            <w:pPr>
              <w:keepNext/>
              <w:ind w:right="-29"/>
              <w:jc w:val="center"/>
              <w:rPr>
                <w:noProof/>
                <w:sz w:val="18"/>
                <w:szCs w:val="18"/>
              </w:rPr>
            </w:pPr>
            <w:r>
              <w:rPr>
                <w:noProof/>
                <w:sz w:val="18"/>
              </w:rPr>
              <w:t>Leto</w:t>
            </w:r>
            <w:r>
              <w:rPr>
                <w:noProof/>
                <w:sz w:val="22"/>
              </w:rPr>
              <w:br/>
            </w:r>
            <w:r>
              <w:rPr>
                <w:b/>
                <w:noProof/>
                <w:sz w:val="18"/>
              </w:rPr>
              <w:t>2020</w:t>
            </w:r>
          </w:p>
        </w:tc>
        <w:tc>
          <w:tcPr>
            <w:tcW w:w="1200" w:type="dxa"/>
            <w:gridSpan w:val="2"/>
            <w:tcBorders>
              <w:top w:val="single" w:sz="12" w:space="0" w:color="auto"/>
            </w:tcBorders>
            <w:vAlign w:val="center"/>
          </w:tcPr>
          <w:p>
            <w:pPr>
              <w:keepNext/>
              <w:ind w:right="-29"/>
              <w:jc w:val="center"/>
              <w:rPr>
                <w:noProof/>
                <w:sz w:val="18"/>
                <w:szCs w:val="18"/>
              </w:rPr>
            </w:pPr>
            <w:r>
              <w:rPr>
                <w:noProof/>
                <w:sz w:val="18"/>
              </w:rPr>
              <w:t>Leto</w:t>
            </w:r>
            <w:r>
              <w:rPr>
                <w:noProof/>
                <w:sz w:val="22"/>
              </w:rPr>
              <w:br/>
            </w:r>
            <w:r>
              <w:rPr>
                <w:b/>
                <w:noProof/>
                <w:sz w:val="18"/>
              </w:rPr>
              <w:t>2021</w:t>
            </w:r>
          </w:p>
        </w:tc>
        <w:tc>
          <w:tcPr>
            <w:tcW w:w="1200" w:type="dxa"/>
            <w:gridSpan w:val="2"/>
            <w:tcBorders>
              <w:top w:val="single" w:sz="12" w:space="0" w:color="auto"/>
            </w:tcBorders>
            <w:vAlign w:val="center"/>
          </w:tcPr>
          <w:p>
            <w:pPr>
              <w:keepNext/>
              <w:ind w:right="-29"/>
              <w:jc w:val="center"/>
              <w:rPr>
                <w:noProof/>
                <w:sz w:val="18"/>
                <w:szCs w:val="18"/>
              </w:rPr>
            </w:pPr>
            <w:r>
              <w:rPr>
                <w:noProof/>
                <w:sz w:val="18"/>
              </w:rPr>
              <w:t>Leto</w:t>
            </w:r>
            <w:r>
              <w:rPr>
                <w:noProof/>
                <w:sz w:val="22"/>
              </w:rPr>
              <w:br/>
            </w:r>
            <w:r>
              <w:rPr>
                <w:b/>
                <w:noProof/>
                <w:sz w:val="18"/>
              </w:rPr>
              <w:t>2022</w:t>
            </w:r>
          </w:p>
        </w:tc>
        <w:tc>
          <w:tcPr>
            <w:tcW w:w="1032" w:type="dxa"/>
            <w:gridSpan w:val="2"/>
            <w:tcBorders>
              <w:top w:val="single" w:sz="12" w:space="0" w:color="auto"/>
            </w:tcBorders>
            <w:vAlign w:val="center"/>
          </w:tcPr>
          <w:p>
            <w:pPr>
              <w:keepNext/>
              <w:jc w:val="center"/>
              <w:rPr>
                <w:noProof/>
                <w:sz w:val="18"/>
                <w:szCs w:val="18"/>
              </w:rPr>
            </w:pPr>
            <w:r>
              <w:rPr>
                <w:noProof/>
                <w:sz w:val="18"/>
              </w:rPr>
              <w:t>Leto</w:t>
            </w:r>
            <w:r>
              <w:rPr>
                <w:noProof/>
                <w:sz w:val="22"/>
              </w:rPr>
              <w:br/>
            </w:r>
            <w:r>
              <w:rPr>
                <w:b/>
                <w:noProof/>
                <w:sz w:val="18"/>
              </w:rPr>
              <w:t>2023</w:t>
            </w:r>
          </w:p>
        </w:tc>
        <w:tc>
          <w:tcPr>
            <w:tcW w:w="1080" w:type="dxa"/>
            <w:gridSpan w:val="2"/>
            <w:tcBorders>
              <w:top w:val="single" w:sz="12" w:space="0" w:color="auto"/>
            </w:tcBorders>
            <w:vAlign w:val="center"/>
          </w:tcPr>
          <w:p>
            <w:pPr>
              <w:keepNext/>
              <w:jc w:val="center"/>
              <w:rPr>
                <w:noProof/>
                <w:sz w:val="18"/>
                <w:szCs w:val="18"/>
              </w:rPr>
            </w:pPr>
            <w:r>
              <w:rPr>
                <w:noProof/>
                <w:sz w:val="18"/>
              </w:rPr>
              <w:t>Leto</w:t>
            </w:r>
            <w:r>
              <w:rPr>
                <w:noProof/>
                <w:sz w:val="22"/>
              </w:rPr>
              <w:br/>
            </w:r>
            <w:r>
              <w:rPr>
                <w:b/>
                <w:noProof/>
                <w:sz w:val="18"/>
              </w:rPr>
              <w:t>2024</w:t>
            </w:r>
          </w:p>
        </w:tc>
        <w:tc>
          <w:tcPr>
            <w:tcW w:w="1200" w:type="dxa"/>
            <w:gridSpan w:val="2"/>
            <w:tcBorders>
              <w:top w:val="single" w:sz="12" w:space="0" w:color="auto"/>
            </w:tcBorders>
            <w:vAlign w:val="center"/>
          </w:tcPr>
          <w:p>
            <w:pPr>
              <w:keepNext/>
              <w:jc w:val="center"/>
              <w:rPr>
                <w:noProof/>
                <w:sz w:val="18"/>
                <w:szCs w:val="18"/>
              </w:rPr>
            </w:pPr>
            <w:r>
              <w:rPr>
                <w:noProof/>
                <w:sz w:val="18"/>
              </w:rPr>
              <w:t>Leto</w:t>
            </w:r>
            <w:r>
              <w:rPr>
                <w:noProof/>
                <w:sz w:val="22"/>
              </w:rPr>
              <w:br/>
            </w:r>
            <w:r>
              <w:rPr>
                <w:b/>
                <w:noProof/>
                <w:sz w:val="18"/>
              </w:rPr>
              <w:t>2025</w:t>
            </w:r>
          </w:p>
        </w:tc>
        <w:tc>
          <w:tcPr>
            <w:tcW w:w="1093" w:type="dxa"/>
            <w:gridSpan w:val="2"/>
            <w:tcBorders>
              <w:top w:val="single" w:sz="12" w:space="0" w:color="auto"/>
            </w:tcBorders>
          </w:tcPr>
          <w:p>
            <w:pPr>
              <w:keepNext/>
              <w:ind w:right="-29"/>
              <w:jc w:val="center"/>
              <w:rPr>
                <w:b/>
                <w:noProof/>
                <w:sz w:val="18"/>
              </w:rPr>
            </w:pPr>
            <w:r>
              <w:rPr>
                <w:noProof/>
                <w:sz w:val="18"/>
              </w:rPr>
              <w:t>Leto</w:t>
            </w:r>
            <w:r>
              <w:rPr>
                <w:noProof/>
                <w:sz w:val="22"/>
              </w:rPr>
              <w:br/>
            </w:r>
            <w:r>
              <w:rPr>
                <w:b/>
                <w:noProof/>
                <w:sz w:val="18"/>
              </w:rPr>
              <w:t>2026</w:t>
            </w:r>
          </w:p>
        </w:tc>
        <w:tc>
          <w:tcPr>
            <w:tcW w:w="1134" w:type="dxa"/>
            <w:gridSpan w:val="2"/>
            <w:tcBorders>
              <w:top w:val="single" w:sz="12" w:space="0" w:color="auto"/>
              <w:right w:val="nil"/>
            </w:tcBorders>
          </w:tcPr>
          <w:p>
            <w:pPr>
              <w:keepNext/>
              <w:ind w:right="-29"/>
              <w:jc w:val="center"/>
              <w:rPr>
                <w:b/>
                <w:noProof/>
                <w:sz w:val="18"/>
              </w:rPr>
            </w:pPr>
            <w:r>
              <w:rPr>
                <w:noProof/>
                <w:sz w:val="18"/>
              </w:rPr>
              <w:t>Leto</w:t>
            </w:r>
            <w:r>
              <w:rPr>
                <w:noProof/>
                <w:sz w:val="22"/>
              </w:rPr>
              <w:br/>
            </w:r>
            <w:r>
              <w:rPr>
                <w:b/>
                <w:noProof/>
                <w:sz w:val="18"/>
              </w:rPr>
              <w:t>2027</w:t>
            </w:r>
          </w:p>
        </w:tc>
        <w:tc>
          <w:tcPr>
            <w:tcW w:w="1853" w:type="dxa"/>
            <w:gridSpan w:val="2"/>
            <w:tcBorders>
              <w:top w:val="single" w:sz="12" w:space="0" w:color="auto"/>
              <w:left w:val="single" w:sz="6" w:space="0" w:color="auto"/>
              <w:bottom w:val="single" w:sz="4" w:space="0" w:color="auto"/>
              <w:right w:val="single" w:sz="12" w:space="0" w:color="auto"/>
            </w:tcBorders>
            <w:vAlign w:val="center"/>
          </w:tcPr>
          <w:p>
            <w:pPr>
              <w:keepNext/>
              <w:ind w:right="-29"/>
              <w:jc w:val="center"/>
              <w:rPr>
                <w:noProof/>
                <w:sz w:val="18"/>
                <w:szCs w:val="18"/>
              </w:rPr>
            </w:pPr>
            <w:r>
              <w:rPr>
                <w:b/>
                <w:noProof/>
                <w:sz w:val="18"/>
              </w:rPr>
              <w:t>SKUPAJ</w:t>
            </w:r>
          </w:p>
        </w:tc>
      </w:tr>
      <w:tr>
        <w:trPr>
          <w:gridAfter w:val="22"/>
          <w:wAfter w:w="13512" w:type="dxa"/>
          <w:trHeight w:val="465"/>
          <w:jc w:val="center"/>
        </w:trPr>
        <w:tc>
          <w:tcPr>
            <w:tcW w:w="1422" w:type="dxa"/>
            <w:vMerge/>
            <w:tcBorders>
              <w:left w:val="single" w:sz="12" w:space="0" w:color="auto"/>
            </w:tcBorders>
            <w:vAlign w:val="center"/>
          </w:tcPr>
          <w:p>
            <w:pPr>
              <w:keepNext/>
              <w:ind w:right="-29"/>
              <w:jc w:val="center"/>
              <w:rPr>
                <w:noProof/>
                <w:sz w:val="18"/>
                <w:szCs w:val="18"/>
              </w:rPr>
            </w:pPr>
          </w:p>
        </w:tc>
      </w:tr>
      <w:tr>
        <w:trPr>
          <w:cantSplit/>
          <w:trHeight w:val="1134"/>
          <w:jc w:val="center"/>
        </w:trPr>
        <w:tc>
          <w:tcPr>
            <w:tcW w:w="1422" w:type="dxa"/>
            <w:vMerge/>
            <w:tcBorders>
              <w:left w:val="single" w:sz="12" w:space="0" w:color="auto"/>
            </w:tcBorders>
            <w:vAlign w:val="center"/>
          </w:tcPr>
          <w:p>
            <w:pPr>
              <w:keepNext/>
              <w:rPr>
                <w:noProof/>
                <w:sz w:val="18"/>
                <w:szCs w:val="18"/>
              </w:rPr>
            </w:pPr>
          </w:p>
        </w:tc>
        <w:tc>
          <w:tcPr>
            <w:tcW w:w="721" w:type="dxa"/>
            <w:vAlign w:val="center"/>
          </w:tcPr>
          <w:p>
            <w:pPr>
              <w:keepNext/>
              <w:jc w:val="center"/>
              <w:rPr>
                <w:noProof/>
                <w:sz w:val="18"/>
                <w:szCs w:val="18"/>
              </w:rPr>
            </w:pPr>
            <w:r>
              <w:rPr>
                <w:noProof/>
                <w:sz w:val="18"/>
              </w:rPr>
              <w:t>vrsta</w:t>
            </w:r>
            <w:r>
              <w:rPr>
                <w:rStyle w:val="FootnoteReference"/>
                <w:noProof/>
              </w:rPr>
              <w:footnoteReference w:id="98"/>
            </w:r>
          </w:p>
          <w:p>
            <w:pPr>
              <w:keepNext/>
              <w:spacing w:before="0" w:after="0"/>
              <w:jc w:val="center"/>
              <w:rPr>
                <w:noProof/>
                <w:sz w:val="18"/>
                <w:szCs w:val="18"/>
              </w:rPr>
            </w:pPr>
          </w:p>
        </w:tc>
        <w:tc>
          <w:tcPr>
            <w:tcW w:w="659" w:type="dxa"/>
            <w:tcBorders>
              <w:right w:val="single" w:sz="4" w:space="0" w:color="auto"/>
            </w:tcBorders>
            <w:vAlign w:val="center"/>
          </w:tcPr>
          <w:p>
            <w:pPr>
              <w:keepNext/>
              <w:jc w:val="center"/>
              <w:rPr>
                <w:noProof/>
                <w:sz w:val="18"/>
                <w:szCs w:val="18"/>
              </w:rPr>
            </w:pPr>
            <w:r>
              <w:rPr>
                <w:noProof/>
                <w:sz w:val="18"/>
              </w:rPr>
              <w:t>povprečni stroški</w:t>
            </w:r>
          </w:p>
        </w:tc>
        <w:tc>
          <w:tcPr>
            <w:tcW w:w="303" w:type="dxa"/>
            <w:tcBorders>
              <w:top w:val="dotted" w:sz="4" w:space="0" w:color="auto"/>
              <w:left w:val="single" w:sz="4" w:space="0" w:color="auto"/>
              <w:bottom w:val="dotted" w:sz="4" w:space="0" w:color="auto"/>
              <w:right w:val="nil"/>
            </w:tcBorders>
            <w:shd w:val="pct10" w:color="auto" w:fill="auto"/>
            <w:textDirection w:val="btLr"/>
            <w:vAlign w:val="center"/>
          </w:tcPr>
          <w:p>
            <w:pPr>
              <w:keepNext/>
              <w:ind w:left="113" w:right="113"/>
              <w:jc w:val="center"/>
              <w:rPr>
                <w:noProof/>
                <w:sz w:val="18"/>
              </w:rPr>
            </w:pPr>
            <w:r>
              <w:rPr>
                <w:noProof/>
                <w:sz w:val="18"/>
              </w:rPr>
              <w:t>število</w:t>
            </w:r>
          </w:p>
        </w:tc>
        <w:tc>
          <w:tcPr>
            <w:tcW w:w="867" w:type="dxa"/>
            <w:tcBorders>
              <w:left w:val="nil"/>
              <w:right w:val="single" w:sz="4" w:space="0" w:color="auto"/>
            </w:tcBorders>
            <w:shd w:val="pct10" w:color="auto" w:fill="auto"/>
            <w:vAlign w:val="center"/>
          </w:tcPr>
          <w:p>
            <w:pPr>
              <w:keepNext/>
              <w:jc w:val="center"/>
              <w:rPr>
                <w:noProof/>
                <w:sz w:val="18"/>
              </w:rPr>
            </w:pPr>
            <w:r>
              <w:rPr>
                <w:noProof/>
                <w:sz w:val="18"/>
              </w:rPr>
              <w:t>stroški</w:t>
            </w:r>
          </w:p>
        </w:tc>
        <w:tc>
          <w:tcPr>
            <w:tcW w:w="330" w:type="dxa"/>
            <w:tcBorders>
              <w:left w:val="single" w:sz="4" w:space="0" w:color="auto"/>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840"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840"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840"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672"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720"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840"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733"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425" w:type="dxa"/>
            <w:tcBorders>
              <w:right w:val="dashSmallGap" w:sz="4" w:space="0" w:color="auto"/>
            </w:tcBorders>
            <w:shd w:val="pct10" w:color="auto" w:fill="auto"/>
            <w:textDirection w:val="btLr"/>
            <w:vAlign w:val="center"/>
          </w:tcPr>
          <w:p>
            <w:pPr>
              <w:keepNext/>
              <w:ind w:left="113" w:right="113"/>
              <w:jc w:val="center"/>
              <w:rPr>
                <w:noProof/>
                <w:sz w:val="18"/>
              </w:rPr>
            </w:pPr>
            <w:r>
              <w:rPr>
                <w:noProof/>
                <w:sz w:val="18"/>
              </w:rPr>
              <w:t>število</w:t>
            </w:r>
          </w:p>
        </w:tc>
        <w:tc>
          <w:tcPr>
            <w:tcW w:w="709" w:type="dxa"/>
            <w:tcBorders>
              <w:left w:val="dashSmallGap" w:sz="4" w:space="0" w:color="auto"/>
            </w:tcBorders>
            <w:shd w:val="pct10" w:color="auto" w:fill="auto"/>
            <w:vAlign w:val="center"/>
          </w:tcPr>
          <w:p>
            <w:pPr>
              <w:keepNext/>
              <w:jc w:val="center"/>
              <w:rPr>
                <w:noProof/>
                <w:sz w:val="18"/>
              </w:rPr>
            </w:pPr>
            <w:r>
              <w:rPr>
                <w:noProof/>
                <w:sz w:val="18"/>
              </w:rPr>
              <w:t>stroški</w:t>
            </w:r>
          </w:p>
        </w:tc>
        <w:tc>
          <w:tcPr>
            <w:tcW w:w="709"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 realizacij skupaj</w:t>
            </w:r>
          </w:p>
        </w:tc>
        <w:tc>
          <w:tcPr>
            <w:tcW w:w="1144" w:type="dxa"/>
            <w:tcBorders>
              <w:left w:val="dashSmallGap" w:sz="4" w:space="0" w:color="auto"/>
              <w:right w:val="single" w:sz="12" w:space="0" w:color="auto"/>
            </w:tcBorders>
            <w:shd w:val="pct10" w:color="auto" w:fill="auto"/>
            <w:vAlign w:val="center"/>
          </w:tcPr>
          <w:p>
            <w:pPr>
              <w:keepNext/>
              <w:jc w:val="center"/>
              <w:rPr>
                <w:noProof/>
                <w:sz w:val="18"/>
                <w:szCs w:val="18"/>
              </w:rPr>
            </w:pPr>
            <w:r>
              <w:rPr>
                <w:noProof/>
                <w:sz w:val="18"/>
              </w:rPr>
              <w:t>stroški realizacij skupaj</w:t>
            </w:r>
          </w:p>
        </w:tc>
      </w:tr>
      <w:tr>
        <w:trPr>
          <w:jc w:val="center"/>
        </w:trPr>
        <w:tc>
          <w:tcPr>
            <w:tcW w:w="2802" w:type="dxa"/>
            <w:gridSpan w:val="3"/>
            <w:tcBorders>
              <w:left w:val="single" w:sz="12" w:space="0" w:color="auto"/>
            </w:tcBorders>
            <w:vAlign w:val="center"/>
          </w:tcPr>
          <w:p>
            <w:pPr>
              <w:keepNext/>
              <w:spacing w:before="60" w:after="60"/>
              <w:ind w:right="-29"/>
              <w:jc w:val="center"/>
              <w:rPr>
                <w:noProof/>
                <w:sz w:val="18"/>
              </w:rPr>
            </w:pPr>
            <w:r>
              <w:rPr>
                <w:noProof/>
                <w:sz w:val="18"/>
              </w:rPr>
              <w:t>SPECIFIČNI CILJ št. 3</w:t>
            </w:r>
            <w:r>
              <w:rPr>
                <w:rStyle w:val="FootnoteReference"/>
                <w:noProof/>
              </w:rPr>
              <w:footnoteReference w:id="99"/>
            </w:r>
          </w:p>
          <w:p>
            <w:pPr>
              <w:keepNext/>
              <w:spacing w:before="60" w:after="60"/>
              <w:ind w:right="-29"/>
              <w:jc w:val="center"/>
              <w:rPr>
                <w:noProof/>
                <w:sz w:val="18"/>
                <w:szCs w:val="18"/>
              </w:rPr>
            </w:pPr>
            <w:r>
              <w:rPr>
                <w:noProof/>
                <w:sz w:val="18"/>
              </w:rPr>
              <w:t>Migracija podatkov</w:t>
            </w:r>
          </w:p>
        </w:tc>
        <w:tc>
          <w:tcPr>
            <w:tcW w:w="303" w:type="dxa"/>
            <w:tcBorders>
              <w:right w:val="nil"/>
            </w:tcBorders>
          </w:tcPr>
          <w:p>
            <w:pPr>
              <w:keepNext/>
              <w:spacing w:before="60" w:after="60"/>
              <w:ind w:right="-29"/>
              <w:jc w:val="center"/>
              <w:rPr>
                <w:noProof/>
                <w:sz w:val="18"/>
                <w:szCs w:val="18"/>
              </w:rPr>
            </w:pPr>
          </w:p>
        </w:tc>
        <w:tc>
          <w:tcPr>
            <w:tcW w:w="867" w:type="dxa"/>
            <w:tcBorders>
              <w:left w:val="nil"/>
              <w:bottom w:val="single" w:sz="4" w:space="0" w:color="auto"/>
            </w:tcBorders>
          </w:tcPr>
          <w:p>
            <w:pPr>
              <w:keepNext/>
              <w:spacing w:before="60" w:after="60"/>
              <w:ind w:right="-29"/>
              <w:jc w:val="center"/>
              <w:rPr>
                <w:noProof/>
                <w:sz w:val="18"/>
                <w:szCs w:val="18"/>
              </w:rPr>
            </w:pPr>
          </w:p>
        </w:tc>
        <w:tc>
          <w:tcPr>
            <w:tcW w:w="330" w:type="dxa"/>
            <w:tcBorders>
              <w:top w:val="nil"/>
              <w:left w:val="nil"/>
              <w:bottom w:val="nil"/>
              <w:right w:val="nil"/>
            </w:tcBorders>
          </w:tcPr>
          <w:p>
            <w:pPr>
              <w:keepNext/>
              <w:spacing w:before="60" w:after="60"/>
              <w:ind w:right="-29"/>
              <w:jc w:val="center"/>
              <w:rPr>
                <w:noProof/>
                <w:sz w:val="18"/>
                <w:szCs w:val="18"/>
              </w:rPr>
            </w:pPr>
          </w:p>
        </w:tc>
        <w:tc>
          <w:tcPr>
            <w:tcW w:w="840" w:type="dxa"/>
            <w:tcBorders>
              <w:top w:val="nil"/>
              <w:left w:val="nil"/>
              <w:bottom w:val="nil"/>
              <w:right w:val="nil"/>
            </w:tcBorders>
          </w:tcPr>
          <w:p>
            <w:pPr>
              <w:keepNext/>
              <w:spacing w:before="60" w:after="60"/>
              <w:ind w:right="-29"/>
              <w:jc w:val="center"/>
              <w:rPr>
                <w:noProof/>
                <w:sz w:val="18"/>
                <w:szCs w:val="18"/>
              </w:rPr>
            </w:pPr>
          </w:p>
        </w:tc>
        <w:tc>
          <w:tcPr>
            <w:tcW w:w="360" w:type="dxa"/>
            <w:tcBorders>
              <w:top w:val="nil"/>
              <w:left w:val="nil"/>
              <w:bottom w:val="nil"/>
              <w:right w:val="nil"/>
            </w:tcBorders>
          </w:tcPr>
          <w:p>
            <w:pPr>
              <w:keepNext/>
              <w:spacing w:before="60" w:after="60"/>
              <w:ind w:right="-29"/>
              <w:jc w:val="center"/>
              <w:rPr>
                <w:noProof/>
                <w:sz w:val="18"/>
                <w:szCs w:val="18"/>
              </w:rPr>
            </w:pPr>
          </w:p>
        </w:tc>
        <w:tc>
          <w:tcPr>
            <w:tcW w:w="840" w:type="dxa"/>
            <w:tcBorders>
              <w:top w:val="nil"/>
              <w:left w:val="nil"/>
              <w:bottom w:val="nil"/>
              <w:right w:val="nil"/>
            </w:tcBorders>
          </w:tcPr>
          <w:p>
            <w:pPr>
              <w:keepNext/>
              <w:spacing w:before="60" w:after="60"/>
              <w:ind w:right="-29"/>
              <w:jc w:val="center"/>
              <w:rPr>
                <w:noProof/>
                <w:sz w:val="18"/>
                <w:szCs w:val="18"/>
              </w:rPr>
            </w:pPr>
          </w:p>
        </w:tc>
        <w:tc>
          <w:tcPr>
            <w:tcW w:w="360" w:type="dxa"/>
            <w:tcBorders>
              <w:top w:val="nil"/>
              <w:left w:val="nil"/>
              <w:bottom w:val="nil"/>
              <w:right w:val="nil"/>
            </w:tcBorders>
          </w:tcPr>
          <w:p>
            <w:pPr>
              <w:keepNext/>
              <w:spacing w:before="60" w:after="60"/>
              <w:ind w:right="-29"/>
              <w:jc w:val="center"/>
              <w:rPr>
                <w:noProof/>
                <w:sz w:val="18"/>
                <w:szCs w:val="18"/>
              </w:rPr>
            </w:pPr>
          </w:p>
        </w:tc>
        <w:tc>
          <w:tcPr>
            <w:tcW w:w="840" w:type="dxa"/>
            <w:tcBorders>
              <w:top w:val="nil"/>
              <w:left w:val="nil"/>
              <w:bottom w:val="nil"/>
              <w:right w:val="nil"/>
            </w:tcBorders>
          </w:tcPr>
          <w:p>
            <w:pPr>
              <w:keepNext/>
              <w:spacing w:before="60" w:after="60"/>
              <w:ind w:right="-29"/>
              <w:jc w:val="center"/>
              <w:rPr>
                <w:noProof/>
                <w:sz w:val="18"/>
                <w:szCs w:val="18"/>
              </w:rPr>
            </w:pPr>
          </w:p>
        </w:tc>
        <w:tc>
          <w:tcPr>
            <w:tcW w:w="360" w:type="dxa"/>
            <w:tcBorders>
              <w:top w:val="nil"/>
              <w:left w:val="nil"/>
              <w:bottom w:val="nil"/>
              <w:right w:val="nil"/>
            </w:tcBorders>
          </w:tcPr>
          <w:p>
            <w:pPr>
              <w:keepNext/>
              <w:spacing w:before="60" w:after="60"/>
              <w:ind w:right="-29"/>
              <w:jc w:val="center"/>
              <w:rPr>
                <w:noProof/>
                <w:sz w:val="18"/>
                <w:szCs w:val="18"/>
              </w:rPr>
            </w:pPr>
          </w:p>
        </w:tc>
        <w:tc>
          <w:tcPr>
            <w:tcW w:w="672" w:type="dxa"/>
            <w:tcBorders>
              <w:top w:val="nil"/>
              <w:left w:val="nil"/>
              <w:bottom w:val="nil"/>
              <w:right w:val="nil"/>
            </w:tcBorders>
          </w:tcPr>
          <w:p>
            <w:pPr>
              <w:keepNext/>
              <w:spacing w:before="60" w:after="60"/>
              <w:ind w:right="-29"/>
              <w:jc w:val="center"/>
              <w:rPr>
                <w:noProof/>
                <w:sz w:val="18"/>
                <w:szCs w:val="18"/>
              </w:rPr>
            </w:pPr>
          </w:p>
        </w:tc>
        <w:tc>
          <w:tcPr>
            <w:tcW w:w="360" w:type="dxa"/>
            <w:tcBorders>
              <w:top w:val="nil"/>
              <w:left w:val="nil"/>
              <w:bottom w:val="nil"/>
              <w:right w:val="nil"/>
            </w:tcBorders>
          </w:tcPr>
          <w:p>
            <w:pPr>
              <w:keepNext/>
              <w:spacing w:before="60" w:after="60"/>
              <w:ind w:right="-29"/>
              <w:jc w:val="center"/>
              <w:rPr>
                <w:noProof/>
                <w:sz w:val="18"/>
                <w:szCs w:val="18"/>
              </w:rPr>
            </w:pPr>
          </w:p>
        </w:tc>
        <w:tc>
          <w:tcPr>
            <w:tcW w:w="720" w:type="dxa"/>
            <w:tcBorders>
              <w:top w:val="nil"/>
              <w:left w:val="nil"/>
              <w:bottom w:val="nil"/>
              <w:right w:val="nil"/>
            </w:tcBorders>
          </w:tcPr>
          <w:p>
            <w:pPr>
              <w:keepNext/>
              <w:spacing w:before="60" w:after="60"/>
              <w:ind w:right="-29"/>
              <w:jc w:val="center"/>
              <w:rPr>
                <w:noProof/>
                <w:sz w:val="18"/>
                <w:szCs w:val="18"/>
              </w:rPr>
            </w:pPr>
          </w:p>
        </w:tc>
        <w:tc>
          <w:tcPr>
            <w:tcW w:w="360" w:type="dxa"/>
            <w:tcBorders>
              <w:top w:val="nil"/>
              <w:left w:val="nil"/>
              <w:bottom w:val="nil"/>
              <w:right w:val="nil"/>
            </w:tcBorders>
          </w:tcPr>
          <w:p>
            <w:pPr>
              <w:keepNext/>
              <w:spacing w:before="60" w:after="60"/>
              <w:ind w:right="-29"/>
              <w:jc w:val="center"/>
              <w:rPr>
                <w:noProof/>
                <w:sz w:val="18"/>
                <w:szCs w:val="18"/>
              </w:rPr>
            </w:pPr>
          </w:p>
        </w:tc>
        <w:tc>
          <w:tcPr>
            <w:tcW w:w="840" w:type="dxa"/>
            <w:tcBorders>
              <w:top w:val="nil"/>
              <w:left w:val="nil"/>
              <w:bottom w:val="nil"/>
              <w:right w:val="nil"/>
            </w:tcBorders>
          </w:tcPr>
          <w:p>
            <w:pPr>
              <w:keepNext/>
              <w:spacing w:before="60" w:after="60"/>
              <w:ind w:right="-29"/>
              <w:jc w:val="center"/>
              <w:rPr>
                <w:noProof/>
                <w:sz w:val="18"/>
                <w:szCs w:val="18"/>
              </w:rPr>
            </w:pPr>
          </w:p>
        </w:tc>
        <w:tc>
          <w:tcPr>
            <w:tcW w:w="360" w:type="dxa"/>
            <w:tcBorders>
              <w:top w:val="nil"/>
              <w:left w:val="nil"/>
              <w:bottom w:val="nil"/>
              <w:right w:val="nil"/>
            </w:tcBorders>
          </w:tcPr>
          <w:p>
            <w:pPr>
              <w:keepNext/>
              <w:spacing w:before="60" w:after="60"/>
              <w:ind w:right="-29"/>
              <w:jc w:val="center"/>
              <w:rPr>
                <w:noProof/>
                <w:sz w:val="18"/>
                <w:szCs w:val="18"/>
              </w:rPr>
            </w:pPr>
          </w:p>
        </w:tc>
        <w:tc>
          <w:tcPr>
            <w:tcW w:w="733" w:type="dxa"/>
            <w:tcBorders>
              <w:top w:val="nil"/>
              <w:left w:val="nil"/>
              <w:bottom w:val="nil"/>
              <w:right w:val="nil"/>
            </w:tcBorders>
          </w:tcPr>
          <w:p>
            <w:pPr>
              <w:keepNext/>
              <w:spacing w:before="60" w:after="60"/>
              <w:ind w:right="-29"/>
              <w:jc w:val="center"/>
              <w:rPr>
                <w:noProof/>
                <w:sz w:val="18"/>
                <w:szCs w:val="18"/>
              </w:rPr>
            </w:pPr>
          </w:p>
        </w:tc>
        <w:tc>
          <w:tcPr>
            <w:tcW w:w="1134" w:type="dxa"/>
            <w:gridSpan w:val="2"/>
            <w:tcBorders>
              <w:top w:val="nil"/>
              <w:left w:val="nil"/>
              <w:bottom w:val="nil"/>
              <w:right w:val="nil"/>
            </w:tcBorders>
          </w:tcPr>
          <w:p>
            <w:pPr>
              <w:keepNext/>
              <w:spacing w:before="60" w:after="60"/>
              <w:ind w:right="-29"/>
              <w:jc w:val="center"/>
              <w:rPr>
                <w:noProof/>
                <w:sz w:val="18"/>
                <w:szCs w:val="18"/>
              </w:rPr>
            </w:pPr>
          </w:p>
        </w:tc>
        <w:tc>
          <w:tcPr>
            <w:tcW w:w="709" w:type="dxa"/>
            <w:tcBorders>
              <w:top w:val="nil"/>
              <w:left w:val="nil"/>
              <w:bottom w:val="nil"/>
              <w:right w:val="nil"/>
            </w:tcBorders>
          </w:tcPr>
          <w:p>
            <w:pPr>
              <w:keepNext/>
              <w:spacing w:before="60" w:after="60"/>
              <w:ind w:right="-29"/>
              <w:jc w:val="center"/>
              <w:rPr>
                <w:noProof/>
                <w:sz w:val="18"/>
                <w:szCs w:val="18"/>
              </w:rPr>
            </w:pPr>
          </w:p>
        </w:tc>
        <w:tc>
          <w:tcPr>
            <w:tcW w:w="1144" w:type="dxa"/>
            <w:tcBorders>
              <w:top w:val="nil"/>
              <w:left w:val="nil"/>
              <w:bottom w:val="single" w:sz="4" w:space="0" w:color="auto"/>
              <w:right w:val="single" w:sz="12" w:space="0" w:color="auto"/>
            </w:tcBorders>
          </w:tcPr>
          <w:p>
            <w:pPr>
              <w:keepNext/>
              <w:spacing w:before="60" w:after="60"/>
              <w:ind w:right="-29"/>
              <w:jc w:val="center"/>
              <w:rPr>
                <w:noProof/>
                <w:sz w:val="18"/>
                <w:szCs w:val="18"/>
              </w:rPr>
            </w:pPr>
          </w:p>
        </w:tc>
      </w:tr>
      <w:tr>
        <w:trPr>
          <w:trHeight w:hRule="exact" w:val="750"/>
          <w:jc w:val="center"/>
        </w:trPr>
        <w:tc>
          <w:tcPr>
            <w:tcW w:w="1422" w:type="dxa"/>
            <w:tcBorders>
              <w:left w:val="single" w:sz="12" w:space="0" w:color="auto"/>
            </w:tcBorders>
          </w:tcPr>
          <w:p>
            <w:pPr>
              <w:ind w:right="-29"/>
              <w:jc w:val="center"/>
              <w:rPr>
                <w:noProof/>
                <w:sz w:val="18"/>
                <w:szCs w:val="18"/>
              </w:rPr>
            </w:pPr>
            <w:r>
              <w:rPr>
                <w:noProof/>
                <w:sz w:val="18"/>
              </w:rPr>
              <w:t>Migracija obstoječih podatkov BMS</w:t>
            </w:r>
          </w:p>
        </w:tc>
        <w:tc>
          <w:tcPr>
            <w:tcW w:w="1380" w:type="dxa"/>
            <w:gridSpan w:val="2"/>
          </w:tcPr>
          <w:p>
            <w:pPr>
              <w:ind w:right="-29"/>
              <w:jc w:val="center"/>
              <w:rPr>
                <w:noProof/>
                <w:sz w:val="18"/>
                <w:szCs w:val="18"/>
              </w:rPr>
            </w:pPr>
            <w:r>
              <w:rPr>
                <w:noProof/>
                <w:sz w:val="18"/>
              </w:rPr>
              <w:t>na skupno BMS</w:t>
            </w:r>
          </w:p>
        </w:tc>
        <w:tc>
          <w:tcPr>
            <w:tcW w:w="303" w:type="dxa"/>
            <w:tcBorders>
              <w:right w:val="dashSmallGap" w:sz="4" w:space="0" w:color="auto"/>
            </w:tcBorders>
          </w:tcPr>
          <w:p>
            <w:pPr>
              <w:ind w:right="-29"/>
              <w:jc w:val="center"/>
              <w:rPr>
                <w:noProof/>
                <w:sz w:val="18"/>
                <w:szCs w:val="18"/>
              </w:rPr>
            </w:pPr>
          </w:p>
        </w:tc>
        <w:tc>
          <w:tcPr>
            <w:tcW w:w="867" w:type="dxa"/>
            <w:tcBorders>
              <w:left w:val="dashSmallGap" w:sz="4" w:space="0" w:color="auto"/>
              <w:bottom w:val="single" w:sz="4" w:space="0" w:color="auto"/>
            </w:tcBorders>
          </w:tcPr>
          <w:p>
            <w:pPr>
              <w:ind w:right="-29"/>
              <w:jc w:val="center"/>
              <w:rPr>
                <w:noProof/>
                <w:sz w:val="18"/>
                <w:szCs w:val="18"/>
              </w:rPr>
            </w:pPr>
            <w:r>
              <w:rPr>
                <w:noProof/>
                <w:sz w:val="18"/>
              </w:rPr>
              <w:t>0</w:t>
            </w:r>
          </w:p>
        </w:tc>
        <w:tc>
          <w:tcPr>
            <w:tcW w:w="33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r>
              <w:rPr>
                <w:noProof/>
                <w:sz w:val="18"/>
              </w:rPr>
              <w:t>0</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r>
              <w:rPr>
                <w:noProof/>
                <w:sz w:val="18"/>
              </w:rPr>
              <w:t>0</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r>
              <w:rPr>
                <w:noProof/>
                <w:sz w:val="18"/>
              </w:rPr>
              <w:t>7,000</w:t>
            </w:r>
          </w:p>
        </w:tc>
        <w:tc>
          <w:tcPr>
            <w:tcW w:w="360" w:type="dxa"/>
            <w:tcBorders>
              <w:right w:val="dashSmallGap" w:sz="4" w:space="0" w:color="auto"/>
            </w:tcBorders>
          </w:tcPr>
          <w:p>
            <w:pPr>
              <w:ind w:right="-29"/>
              <w:jc w:val="center"/>
              <w:rPr>
                <w:noProof/>
                <w:sz w:val="18"/>
                <w:szCs w:val="18"/>
              </w:rPr>
            </w:pPr>
          </w:p>
        </w:tc>
        <w:tc>
          <w:tcPr>
            <w:tcW w:w="672" w:type="dxa"/>
            <w:tcBorders>
              <w:left w:val="dashSmallGap" w:sz="4" w:space="0" w:color="auto"/>
            </w:tcBorders>
          </w:tcPr>
          <w:p>
            <w:pPr>
              <w:ind w:right="-29"/>
              <w:jc w:val="center"/>
              <w:rPr>
                <w:noProof/>
                <w:sz w:val="18"/>
                <w:szCs w:val="18"/>
              </w:rPr>
            </w:pPr>
            <w:r>
              <w:rPr>
                <w:noProof/>
                <w:sz w:val="18"/>
              </w:rPr>
              <w:t>3,000</w:t>
            </w:r>
          </w:p>
        </w:tc>
        <w:tc>
          <w:tcPr>
            <w:tcW w:w="36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r>
              <w:rPr>
                <w:noProof/>
                <w:sz w:val="18"/>
              </w:rPr>
              <w:t>0</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r>
              <w:rPr>
                <w:noProof/>
                <w:sz w:val="18"/>
              </w:rPr>
              <w:t>0</w:t>
            </w:r>
          </w:p>
        </w:tc>
        <w:tc>
          <w:tcPr>
            <w:tcW w:w="360" w:type="dxa"/>
            <w:tcBorders>
              <w:right w:val="dashSmallGap" w:sz="4" w:space="0" w:color="auto"/>
            </w:tcBorders>
          </w:tcPr>
          <w:p>
            <w:pPr>
              <w:ind w:right="-29"/>
              <w:jc w:val="center"/>
              <w:rPr>
                <w:noProof/>
                <w:sz w:val="18"/>
                <w:szCs w:val="18"/>
              </w:rPr>
            </w:pPr>
          </w:p>
        </w:tc>
        <w:tc>
          <w:tcPr>
            <w:tcW w:w="733" w:type="dxa"/>
            <w:tcBorders>
              <w:left w:val="dashSmallGap" w:sz="4" w:space="0" w:color="auto"/>
            </w:tcBorders>
          </w:tcPr>
          <w:p>
            <w:pPr>
              <w:ind w:right="-29"/>
              <w:jc w:val="center"/>
              <w:rPr>
                <w:noProof/>
                <w:sz w:val="18"/>
                <w:szCs w:val="18"/>
              </w:rPr>
            </w:pPr>
            <w:r>
              <w:rPr>
                <w:noProof/>
                <w:sz w:val="18"/>
              </w:rPr>
              <w:t>0</w:t>
            </w:r>
          </w:p>
        </w:tc>
        <w:tc>
          <w:tcPr>
            <w:tcW w:w="425" w:type="dxa"/>
            <w:tcBorders>
              <w:right w:val="dashSmallGap" w:sz="4" w:space="0" w:color="auto"/>
            </w:tcBorders>
          </w:tcPr>
          <w:p>
            <w:pPr>
              <w:ind w:right="-29"/>
              <w:jc w:val="center"/>
              <w:rPr>
                <w:noProof/>
                <w:sz w:val="18"/>
                <w:szCs w:val="18"/>
              </w:rPr>
            </w:pPr>
          </w:p>
        </w:tc>
        <w:tc>
          <w:tcPr>
            <w:tcW w:w="709" w:type="dxa"/>
            <w:tcBorders>
              <w:left w:val="dashSmallGap" w:sz="4" w:space="0" w:color="auto"/>
              <w:bottom w:val="single" w:sz="4" w:space="0" w:color="auto"/>
            </w:tcBorders>
          </w:tcPr>
          <w:p>
            <w:pPr>
              <w:ind w:right="-29"/>
              <w:jc w:val="center"/>
              <w:rPr>
                <w:noProof/>
                <w:sz w:val="18"/>
                <w:szCs w:val="18"/>
              </w:rPr>
            </w:pPr>
            <w:r>
              <w:rPr>
                <w:noProof/>
                <w:sz w:val="18"/>
              </w:rPr>
              <w:t>0</w:t>
            </w:r>
          </w:p>
        </w:tc>
        <w:tc>
          <w:tcPr>
            <w:tcW w:w="709" w:type="dxa"/>
            <w:tcBorders>
              <w:right w:val="dashSmallGap" w:sz="4" w:space="0" w:color="auto"/>
            </w:tcBorders>
          </w:tcPr>
          <w:p>
            <w:pPr>
              <w:ind w:right="-29"/>
              <w:jc w:val="center"/>
              <w:rPr>
                <w:noProof/>
                <w:sz w:val="18"/>
                <w:szCs w:val="18"/>
              </w:rPr>
            </w:pPr>
          </w:p>
        </w:tc>
        <w:tc>
          <w:tcPr>
            <w:tcW w:w="1144" w:type="dxa"/>
            <w:tcBorders>
              <w:left w:val="dashSmallGap" w:sz="4" w:space="0" w:color="auto"/>
              <w:bottom w:val="single" w:sz="4" w:space="0" w:color="auto"/>
              <w:right w:val="single" w:sz="12" w:space="0" w:color="auto"/>
            </w:tcBorders>
          </w:tcPr>
          <w:p>
            <w:pPr>
              <w:ind w:right="-29"/>
              <w:jc w:val="center"/>
              <w:rPr>
                <w:noProof/>
                <w:sz w:val="18"/>
                <w:szCs w:val="18"/>
              </w:rPr>
            </w:pPr>
            <w:r>
              <w:rPr>
                <w:noProof/>
                <w:sz w:val="18"/>
              </w:rPr>
              <w:t>10,000</w:t>
            </w:r>
          </w:p>
        </w:tc>
      </w:tr>
      <w:tr>
        <w:trPr>
          <w:trHeight w:hRule="exact" w:val="1286"/>
          <w:jc w:val="center"/>
        </w:trPr>
        <w:tc>
          <w:tcPr>
            <w:tcW w:w="1422" w:type="dxa"/>
            <w:tcBorders>
              <w:left w:val="single" w:sz="12" w:space="0" w:color="auto"/>
            </w:tcBorders>
          </w:tcPr>
          <w:p>
            <w:pPr>
              <w:ind w:right="-29"/>
              <w:jc w:val="center"/>
              <w:rPr>
                <w:noProof/>
                <w:sz w:val="18"/>
                <w:szCs w:val="18"/>
              </w:rPr>
            </w:pPr>
            <w:r>
              <w:rPr>
                <w:noProof/>
                <w:sz w:val="18"/>
              </w:rPr>
              <w:t>Obstoječi podatki iz sistema EDAC pripravljeni za migracijo</w:t>
            </w:r>
          </w:p>
        </w:tc>
        <w:tc>
          <w:tcPr>
            <w:tcW w:w="1380" w:type="dxa"/>
            <w:gridSpan w:val="2"/>
          </w:tcPr>
          <w:p>
            <w:pPr>
              <w:ind w:right="-29"/>
              <w:jc w:val="center"/>
              <w:rPr>
                <w:noProof/>
                <w:sz w:val="18"/>
                <w:szCs w:val="18"/>
              </w:rPr>
            </w:pPr>
            <w:r>
              <w:rPr>
                <w:noProof/>
                <w:sz w:val="18"/>
              </w:rPr>
              <w:t>Preoblikovanje in ponovna izgraditev sistema EDAC</w:t>
            </w:r>
          </w:p>
        </w:tc>
        <w:tc>
          <w:tcPr>
            <w:tcW w:w="303" w:type="dxa"/>
            <w:tcBorders>
              <w:right w:val="dashSmallGap" w:sz="4" w:space="0" w:color="auto"/>
            </w:tcBorders>
          </w:tcPr>
          <w:p>
            <w:pPr>
              <w:ind w:right="-29"/>
              <w:jc w:val="center"/>
              <w:rPr>
                <w:noProof/>
                <w:sz w:val="18"/>
                <w:szCs w:val="18"/>
              </w:rPr>
            </w:pPr>
          </w:p>
        </w:tc>
        <w:tc>
          <w:tcPr>
            <w:tcW w:w="867" w:type="dxa"/>
            <w:tcBorders>
              <w:left w:val="dashSmallGap" w:sz="4" w:space="0" w:color="auto"/>
              <w:bottom w:val="single" w:sz="4" w:space="0" w:color="auto"/>
            </w:tcBorders>
          </w:tcPr>
          <w:p>
            <w:pPr>
              <w:ind w:right="-29"/>
              <w:jc w:val="center"/>
              <w:rPr>
                <w:noProof/>
                <w:sz w:val="18"/>
                <w:szCs w:val="18"/>
              </w:rPr>
            </w:pPr>
            <w:r>
              <w:rPr>
                <w:noProof/>
                <w:sz w:val="18"/>
              </w:rPr>
              <w:t>0</w:t>
            </w:r>
          </w:p>
        </w:tc>
        <w:tc>
          <w:tcPr>
            <w:tcW w:w="330" w:type="dxa"/>
            <w:tcBorders>
              <w:right w:val="dashSmallGap" w:sz="4" w:space="0" w:color="auto"/>
            </w:tcBorders>
          </w:tcPr>
          <w:p>
            <w:pPr>
              <w:ind w:right="-29"/>
              <w:jc w:val="center"/>
              <w:rPr>
                <w:noProof/>
                <w:sz w:val="18"/>
                <w:szCs w:val="18"/>
              </w:rPr>
            </w:pPr>
          </w:p>
        </w:tc>
        <w:tc>
          <w:tcPr>
            <w:tcW w:w="840" w:type="dxa"/>
            <w:tcBorders>
              <w:left w:val="dashSmallGap" w:sz="4" w:space="0" w:color="auto"/>
              <w:bottom w:val="single" w:sz="4" w:space="0" w:color="auto"/>
            </w:tcBorders>
          </w:tcPr>
          <w:p>
            <w:pPr>
              <w:ind w:right="-29"/>
              <w:jc w:val="center"/>
              <w:rPr>
                <w:noProof/>
                <w:sz w:val="18"/>
                <w:szCs w:val="18"/>
              </w:rPr>
            </w:pPr>
            <w:r>
              <w:rPr>
                <w:noProof/>
                <w:sz w:val="18"/>
              </w:rPr>
              <w:t>0</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bottom w:val="single" w:sz="4" w:space="0" w:color="auto"/>
            </w:tcBorders>
          </w:tcPr>
          <w:p>
            <w:pPr>
              <w:ind w:right="-29"/>
              <w:jc w:val="center"/>
              <w:rPr>
                <w:noProof/>
                <w:sz w:val="18"/>
                <w:szCs w:val="18"/>
              </w:rPr>
            </w:pPr>
            <w:r>
              <w:rPr>
                <w:noProof/>
                <w:sz w:val="18"/>
              </w:rPr>
              <w:t>7,500</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bottom w:val="single" w:sz="4" w:space="0" w:color="auto"/>
            </w:tcBorders>
          </w:tcPr>
          <w:p>
            <w:pPr>
              <w:ind w:right="-29"/>
              <w:jc w:val="center"/>
              <w:rPr>
                <w:noProof/>
                <w:sz w:val="18"/>
                <w:szCs w:val="18"/>
              </w:rPr>
            </w:pPr>
            <w:r>
              <w:rPr>
                <w:noProof/>
                <w:sz w:val="18"/>
              </w:rPr>
              <w:t>7,500</w:t>
            </w:r>
          </w:p>
        </w:tc>
        <w:tc>
          <w:tcPr>
            <w:tcW w:w="360" w:type="dxa"/>
            <w:tcBorders>
              <w:right w:val="dashSmallGap" w:sz="4" w:space="0" w:color="auto"/>
            </w:tcBorders>
          </w:tcPr>
          <w:p>
            <w:pPr>
              <w:ind w:right="-29"/>
              <w:jc w:val="center"/>
              <w:rPr>
                <w:noProof/>
                <w:sz w:val="18"/>
                <w:szCs w:val="18"/>
              </w:rPr>
            </w:pPr>
          </w:p>
        </w:tc>
        <w:tc>
          <w:tcPr>
            <w:tcW w:w="672" w:type="dxa"/>
            <w:tcBorders>
              <w:left w:val="dashSmallGap" w:sz="4" w:space="0" w:color="auto"/>
              <w:bottom w:val="single" w:sz="4" w:space="0" w:color="auto"/>
            </w:tcBorders>
          </w:tcPr>
          <w:p>
            <w:pPr>
              <w:ind w:right="-29"/>
              <w:jc w:val="center"/>
              <w:rPr>
                <w:noProof/>
                <w:sz w:val="18"/>
                <w:szCs w:val="18"/>
              </w:rPr>
            </w:pPr>
          </w:p>
        </w:tc>
        <w:tc>
          <w:tcPr>
            <w:tcW w:w="360" w:type="dxa"/>
            <w:tcBorders>
              <w:right w:val="dashSmallGap" w:sz="4" w:space="0" w:color="auto"/>
            </w:tcBorders>
          </w:tcPr>
          <w:p>
            <w:pPr>
              <w:ind w:right="-29"/>
              <w:jc w:val="center"/>
              <w:rPr>
                <w:noProof/>
                <w:sz w:val="18"/>
                <w:szCs w:val="18"/>
              </w:rPr>
            </w:pPr>
          </w:p>
        </w:tc>
        <w:tc>
          <w:tcPr>
            <w:tcW w:w="720" w:type="dxa"/>
            <w:tcBorders>
              <w:left w:val="dashSmallGap" w:sz="4" w:space="0" w:color="auto"/>
              <w:bottom w:val="single" w:sz="4" w:space="0" w:color="auto"/>
            </w:tcBorders>
          </w:tcPr>
          <w:p>
            <w:pPr>
              <w:ind w:right="-29"/>
              <w:jc w:val="center"/>
              <w:rPr>
                <w:noProof/>
                <w:sz w:val="18"/>
                <w:szCs w:val="18"/>
              </w:rPr>
            </w:pPr>
            <w:r>
              <w:rPr>
                <w:noProof/>
                <w:sz w:val="18"/>
              </w:rPr>
              <w:t>0</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bottom w:val="single" w:sz="4" w:space="0" w:color="auto"/>
            </w:tcBorders>
          </w:tcPr>
          <w:p>
            <w:pPr>
              <w:ind w:right="-29"/>
              <w:jc w:val="center"/>
              <w:rPr>
                <w:noProof/>
                <w:sz w:val="18"/>
                <w:szCs w:val="18"/>
              </w:rPr>
            </w:pPr>
            <w:r>
              <w:rPr>
                <w:noProof/>
                <w:sz w:val="18"/>
              </w:rPr>
              <w:t>0</w:t>
            </w:r>
          </w:p>
        </w:tc>
        <w:tc>
          <w:tcPr>
            <w:tcW w:w="360" w:type="dxa"/>
            <w:tcBorders>
              <w:right w:val="dashSmallGap" w:sz="4" w:space="0" w:color="auto"/>
            </w:tcBorders>
          </w:tcPr>
          <w:p>
            <w:pPr>
              <w:ind w:right="-29"/>
              <w:jc w:val="center"/>
              <w:rPr>
                <w:noProof/>
                <w:sz w:val="18"/>
                <w:szCs w:val="18"/>
              </w:rPr>
            </w:pPr>
          </w:p>
        </w:tc>
        <w:tc>
          <w:tcPr>
            <w:tcW w:w="733" w:type="dxa"/>
            <w:tcBorders>
              <w:left w:val="dashSmallGap" w:sz="4" w:space="0" w:color="auto"/>
              <w:bottom w:val="single" w:sz="4" w:space="0" w:color="auto"/>
            </w:tcBorders>
          </w:tcPr>
          <w:p>
            <w:pPr>
              <w:ind w:right="-29"/>
              <w:jc w:val="center"/>
              <w:rPr>
                <w:noProof/>
                <w:sz w:val="18"/>
                <w:szCs w:val="18"/>
              </w:rPr>
            </w:pPr>
            <w:r>
              <w:rPr>
                <w:noProof/>
                <w:sz w:val="18"/>
              </w:rPr>
              <w:t>0</w:t>
            </w:r>
          </w:p>
        </w:tc>
        <w:tc>
          <w:tcPr>
            <w:tcW w:w="425" w:type="dxa"/>
            <w:tcBorders>
              <w:right w:val="dashSmallGap" w:sz="4" w:space="0" w:color="auto"/>
            </w:tcBorders>
          </w:tcPr>
          <w:p>
            <w:pPr>
              <w:ind w:right="-29"/>
              <w:jc w:val="center"/>
              <w:rPr>
                <w:noProof/>
                <w:sz w:val="18"/>
                <w:szCs w:val="18"/>
              </w:rPr>
            </w:pPr>
          </w:p>
        </w:tc>
        <w:tc>
          <w:tcPr>
            <w:tcW w:w="709" w:type="dxa"/>
            <w:tcBorders>
              <w:left w:val="dashSmallGap" w:sz="4" w:space="0" w:color="auto"/>
              <w:bottom w:val="single" w:sz="4" w:space="0" w:color="auto"/>
            </w:tcBorders>
          </w:tcPr>
          <w:p>
            <w:pPr>
              <w:ind w:right="-29"/>
              <w:jc w:val="center"/>
              <w:rPr>
                <w:noProof/>
                <w:sz w:val="18"/>
                <w:szCs w:val="18"/>
              </w:rPr>
            </w:pPr>
            <w:r>
              <w:rPr>
                <w:noProof/>
                <w:sz w:val="18"/>
              </w:rPr>
              <w:t>0</w:t>
            </w:r>
          </w:p>
        </w:tc>
        <w:tc>
          <w:tcPr>
            <w:tcW w:w="709" w:type="dxa"/>
            <w:tcBorders>
              <w:right w:val="dashSmallGap" w:sz="4" w:space="0" w:color="auto"/>
            </w:tcBorders>
          </w:tcPr>
          <w:p>
            <w:pPr>
              <w:ind w:right="-29"/>
              <w:jc w:val="center"/>
              <w:rPr>
                <w:noProof/>
                <w:sz w:val="18"/>
                <w:szCs w:val="18"/>
              </w:rPr>
            </w:pPr>
          </w:p>
        </w:tc>
        <w:tc>
          <w:tcPr>
            <w:tcW w:w="1144" w:type="dxa"/>
            <w:tcBorders>
              <w:left w:val="dashSmallGap" w:sz="4" w:space="0" w:color="auto"/>
              <w:bottom w:val="single" w:sz="4" w:space="0" w:color="auto"/>
              <w:right w:val="single" w:sz="12" w:space="0" w:color="auto"/>
            </w:tcBorders>
          </w:tcPr>
          <w:p>
            <w:pPr>
              <w:ind w:right="-29"/>
              <w:jc w:val="center"/>
              <w:rPr>
                <w:noProof/>
                <w:sz w:val="18"/>
                <w:szCs w:val="18"/>
              </w:rPr>
            </w:pPr>
            <w:r>
              <w:rPr>
                <w:noProof/>
                <w:sz w:val="18"/>
              </w:rPr>
              <w:t>15,000</w:t>
            </w:r>
          </w:p>
        </w:tc>
      </w:tr>
      <w:tr>
        <w:trPr>
          <w:trHeight w:val="533"/>
          <w:jc w:val="center"/>
        </w:trPr>
        <w:tc>
          <w:tcPr>
            <w:tcW w:w="2802" w:type="dxa"/>
            <w:gridSpan w:val="3"/>
            <w:tcBorders>
              <w:left w:val="single" w:sz="12" w:space="0" w:color="auto"/>
              <w:bottom w:val="single" w:sz="12" w:space="0" w:color="auto"/>
            </w:tcBorders>
            <w:vAlign w:val="center"/>
          </w:tcPr>
          <w:p>
            <w:pPr>
              <w:ind w:right="-29"/>
              <w:jc w:val="center"/>
              <w:rPr>
                <w:noProof/>
                <w:sz w:val="18"/>
                <w:szCs w:val="18"/>
              </w:rPr>
            </w:pPr>
            <w:r>
              <w:rPr>
                <w:noProof/>
                <w:sz w:val="18"/>
              </w:rPr>
              <w:t>Seštevek za specifični cilj št. 3</w:t>
            </w:r>
          </w:p>
        </w:tc>
        <w:tc>
          <w:tcPr>
            <w:tcW w:w="303" w:type="dxa"/>
            <w:tcBorders>
              <w:bottom w:val="single" w:sz="12" w:space="0" w:color="auto"/>
              <w:right w:val="dashSmallGap" w:sz="4" w:space="0" w:color="auto"/>
            </w:tcBorders>
          </w:tcPr>
          <w:p>
            <w:pPr>
              <w:ind w:right="-29"/>
              <w:jc w:val="center"/>
              <w:rPr>
                <w:noProof/>
                <w:sz w:val="18"/>
                <w:szCs w:val="18"/>
              </w:rPr>
            </w:pPr>
          </w:p>
        </w:tc>
        <w:tc>
          <w:tcPr>
            <w:tcW w:w="867" w:type="dxa"/>
            <w:tcBorders>
              <w:left w:val="dashSmallGap" w:sz="4" w:space="0" w:color="auto"/>
              <w:bottom w:val="single" w:sz="12" w:space="0" w:color="auto"/>
            </w:tcBorders>
          </w:tcPr>
          <w:p>
            <w:pPr>
              <w:ind w:right="-29"/>
              <w:jc w:val="center"/>
              <w:rPr>
                <w:b/>
                <w:noProof/>
                <w:sz w:val="18"/>
                <w:szCs w:val="18"/>
              </w:rPr>
            </w:pPr>
            <w:r>
              <w:rPr>
                <w:b/>
                <w:noProof/>
                <w:sz w:val="18"/>
              </w:rPr>
              <w:t>0</w:t>
            </w:r>
          </w:p>
        </w:tc>
        <w:tc>
          <w:tcPr>
            <w:tcW w:w="330" w:type="dxa"/>
            <w:tcBorders>
              <w:bottom w:val="single" w:sz="12" w:space="0" w:color="auto"/>
              <w:right w:val="dashSmallGap" w:sz="4" w:space="0" w:color="auto"/>
            </w:tcBorders>
          </w:tcPr>
          <w:p>
            <w:pPr>
              <w:ind w:right="-29"/>
              <w:jc w:val="center"/>
              <w:rPr>
                <w:noProof/>
                <w:sz w:val="18"/>
                <w:szCs w:val="18"/>
              </w:rPr>
            </w:pPr>
          </w:p>
        </w:tc>
        <w:tc>
          <w:tcPr>
            <w:tcW w:w="840" w:type="dxa"/>
            <w:tcBorders>
              <w:left w:val="dashSmallGap" w:sz="4" w:space="0" w:color="auto"/>
              <w:bottom w:val="single" w:sz="12" w:space="0" w:color="auto"/>
            </w:tcBorders>
          </w:tcPr>
          <w:p>
            <w:pPr>
              <w:ind w:right="-29"/>
              <w:jc w:val="center"/>
              <w:rPr>
                <w:b/>
                <w:noProof/>
                <w:sz w:val="18"/>
                <w:szCs w:val="18"/>
              </w:rPr>
            </w:pPr>
            <w:r>
              <w:rPr>
                <w:b/>
                <w:noProof/>
                <w:sz w:val="18"/>
              </w:rPr>
              <w:t>0</w:t>
            </w:r>
          </w:p>
        </w:tc>
        <w:tc>
          <w:tcPr>
            <w:tcW w:w="360" w:type="dxa"/>
            <w:tcBorders>
              <w:bottom w:val="single" w:sz="12" w:space="0" w:color="auto"/>
              <w:right w:val="dashSmallGap" w:sz="4" w:space="0" w:color="auto"/>
            </w:tcBorders>
          </w:tcPr>
          <w:p>
            <w:pPr>
              <w:ind w:right="-29"/>
              <w:jc w:val="center"/>
              <w:rPr>
                <w:noProof/>
                <w:sz w:val="18"/>
                <w:szCs w:val="18"/>
              </w:rPr>
            </w:pPr>
          </w:p>
        </w:tc>
        <w:tc>
          <w:tcPr>
            <w:tcW w:w="840" w:type="dxa"/>
            <w:tcBorders>
              <w:left w:val="dashSmallGap" w:sz="4" w:space="0" w:color="auto"/>
              <w:bottom w:val="single" w:sz="12" w:space="0" w:color="auto"/>
            </w:tcBorders>
          </w:tcPr>
          <w:p>
            <w:pPr>
              <w:ind w:right="-29"/>
              <w:jc w:val="center"/>
              <w:rPr>
                <w:b/>
                <w:noProof/>
                <w:sz w:val="18"/>
                <w:szCs w:val="18"/>
              </w:rPr>
            </w:pPr>
            <w:r>
              <w:rPr>
                <w:b/>
                <w:noProof/>
                <w:sz w:val="18"/>
              </w:rPr>
              <w:t>7,500</w:t>
            </w:r>
          </w:p>
        </w:tc>
        <w:tc>
          <w:tcPr>
            <w:tcW w:w="360" w:type="dxa"/>
            <w:tcBorders>
              <w:bottom w:val="single" w:sz="12" w:space="0" w:color="auto"/>
              <w:right w:val="dashSmallGap" w:sz="4" w:space="0" w:color="auto"/>
            </w:tcBorders>
          </w:tcPr>
          <w:p>
            <w:pPr>
              <w:ind w:right="-29"/>
              <w:jc w:val="center"/>
              <w:rPr>
                <w:noProof/>
                <w:sz w:val="18"/>
                <w:szCs w:val="18"/>
              </w:rPr>
            </w:pPr>
          </w:p>
        </w:tc>
        <w:tc>
          <w:tcPr>
            <w:tcW w:w="840" w:type="dxa"/>
            <w:tcBorders>
              <w:left w:val="dashSmallGap" w:sz="4" w:space="0" w:color="auto"/>
              <w:bottom w:val="single" w:sz="12" w:space="0" w:color="auto"/>
            </w:tcBorders>
          </w:tcPr>
          <w:p>
            <w:pPr>
              <w:ind w:right="-29"/>
              <w:jc w:val="center"/>
              <w:rPr>
                <w:b/>
                <w:noProof/>
                <w:sz w:val="18"/>
                <w:szCs w:val="18"/>
              </w:rPr>
            </w:pPr>
            <w:r>
              <w:rPr>
                <w:b/>
                <w:noProof/>
                <w:sz w:val="18"/>
              </w:rPr>
              <w:t>14,500</w:t>
            </w:r>
          </w:p>
        </w:tc>
        <w:tc>
          <w:tcPr>
            <w:tcW w:w="360" w:type="dxa"/>
            <w:tcBorders>
              <w:bottom w:val="single" w:sz="12" w:space="0" w:color="auto"/>
              <w:right w:val="dashSmallGap" w:sz="4" w:space="0" w:color="auto"/>
            </w:tcBorders>
          </w:tcPr>
          <w:p>
            <w:pPr>
              <w:ind w:right="-29"/>
              <w:jc w:val="center"/>
              <w:rPr>
                <w:noProof/>
                <w:sz w:val="18"/>
                <w:szCs w:val="18"/>
              </w:rPr>
            </w:pPr>
          </w:p>
        </w:tc>
        <w:tc>
          <w:tcPr>
            <w:tcW w:w="672" w:type="dxa"/>
            <w:tcBorders>
              <w:left w:val="dashSmallGap" w:sz="4" w:space="0" w:color="auto"/>
              <w:bottom w:val="single" w:sz="12" w:space="0" w:color="auto"/>
            </w:tcBorders>
          </w:tcPr>
          <w:p>
            <w:pPr>
              <w:ind w:right="-29"/>
              <w:rPr>
                <w:b/>
                <w:noProof/>
                <w:sz w:val="18"/>
              </w:rPr>
            </w:pPr>
            <w:r>
              <w:rPr>
                <w:b/>
                <w:noProof/>
                <w:sz w:val="18"/>
              </w:rPr>
              <w:t>3,000</w:t>
            </w:r>
          </w:p>
        </w:tc>
        <w:tc>
          <w:tcPr>
            <w:tcW w:w="360" w:type="dxa"/>
            <w:tcBorders>
              <w:bottom w:val="single" w:sz="12" w:space="0" w:color="auto"/>
              <w:right w:val="dashSmallGap" w:sz="4" w:space="0" w:color="auto"/>
            </w:tcBorders>
          </w:tcPr>
          <w:p>
            <w:pPr>
              <w:ind w:right="-29"/>
              <w:jc w:val="center"/>
              <w:rPr>
                <w:noProof/>
                <w:sz w:val="18"/>
                <w:szCs w:val="18"/>
              </w:rPr>
            </w:pPr>
          </w:p>
        </w:tc>
        <w:tc>
          <w:tcPr>
            <w:tcW w:w="720" w:type="dxa"/>
            <w:tcBorders>
              <w:left w:val="dashSmallGap" w:sz="4" w:space="0" w:color="auto"/>
              <w:bottom w:val="single" w:sz="12" w:space="0" w:color="auto"/>
            </w:tcBorders>
          </w:tcPr>
          <w:p>
            <w:pPr>
              <w:ind w:right="-29"/>
              <w:jc w:val="center"/>
              <w:rPr>
                <w:b/>
                <w:noProof/>
                <w:sz w:val="18"/>
              </w:rPr>
            </w:pPr>
          </w:p>
        </w:tc>
        <w:tc>
          <w:tcPr>
            <w:tcW w:w="360" w:type="dxa"/>
            <w:tcBorders>
              <w:bottom w:val="single" w:sz="12" w:space="0" w:color="auto"/>
              <w:right w:val="dashSmallGap" w:sz="4" w:space="0" w:color="auto"/>
            </w:tcBorders>
          </w:tcPr>
          <w:p>
            <w:pPr>
              <w:ind w:right="-29"/>
              <w:jc w:val="center"/>
              <w:rPr>
                <w:noProof/>
                <w:sz w:val="18"/>
                <w:szCs w:val="18"/>
              </w:rPr>
            </w:pPr>
          </w:p>
        </w:tc>
        <w:tc>
          <w:tcPr>
            <w:tcW w:w="840" w:type="dxa"/>
            <w:tcBorders>
              <w:left w:val="dashSmallGap" w:sz="4" w:space="0" w:color="auto"/>
              <w:bottom w:val="single" w:sz="12" w:space="0" w:color="auto"/>
            </w:tcBorders>
          </w:tcPr>
          <w:p>
            <w:pPr>
              <w:ind w:right="-29"/>
              <w:jc w:val="center"/>
              <w:rPr>
                <w:b/>
                <w:noProof/>
                <w:sz w:val="18"/>
              </w:rPr>
            </w:pPr>
          </w:p>
        </w:tc>
        <w:tc>
          <w:tcPr>
            <w:tcW w:w="360" w:type="dxa"/>
            <w:tcBorders>
              <w:bottom w:val="single" w:sz="12" w:space="0" w:color="auto"/>
              <w:right w:val="dashSmallGap" w:sz="4" w:space="0" w:color="auto"/>
            </w:tcBorders>
          </w:tcPr>
          <w:p>
            <w:pPr>
              <w:ind w:right="-29"/>
              <w:jc w:val="center"/>
              <w:rPr>
                <w:noProof/>
                <w:sz w:val="18"/>
                <w:szCs w:val="18"/>
              </w:rPr>
            </w:pPr>
          </w:p>
        </w:tc>
        <w:tc>
          <w:tcPr>
            <w:tcW w:w="733" w:type="dxa"/>
            <w:tcBorders>
              <w:left w:val="dashSmallGap" w:sz="4" w:space="0" w:color="auto"/>
              <w:bottom w:val="single" w:sz="12" w:space="0" w:color="auto"/>
            </w:tcBorders>
          </w:tcPr>
          <w:p>
            <w:pPr>
              <w:ind w:right="-29"/>
              <w:jc w:val="center"/>
              <w:rPr>
                <w:b/>
                <w:noProof/>
                <w:sz w:val="18"/>
              </w:rPr>
            </w:pPr>
          </w:p>
        </w:tc>
        <w:tc>
          <w:tcPr>
            <w:tcW w:w="425" w:type="dxa"/>
            <w:tcBorders>
              <w:bottom w:val="single" w:sz="12" w:space="0" w:color="auto"/>
              <w:right w:val="dashSmallGap" w:sz="4" w:space="0" w:color="auto"/>
            </w:tcBorders>
          </w:tcPr>
          <w:p>
            <w:pPr>
              <w:ind w:right="-29"/>
              <w:jc w:val="center"/>
              <w:rPr>
                <w:noProof/>
                <w:sz w:val="18"/>
                <w:szCs w:val="18"/>
              </w:rPr>
            </w:pPr>
          </w:p>
        </w:tc>
        <w:tc>
          <w:tcPr>
            <w:tcW w:w="709" w:type="dxa"/>
            <w:tcBorders>
              <w:left w:val="dashSmallGap" w:sz="4" w:space="0" w:color="auto"/>
              <w:bottom w:val="single" w:sz="12" w:space="0" w:color="auto"/>
            </w:tcBorders>
          </w:tcPr>
          <w:p>
            <w:pPr>
              <w:ind w:right="-29"/>
              <w:jc w:val="center"/>
              <w:rPr>
                <w:b/>
                <w:noProof/>
                <w:sz w:val="18"/>
              </w:rPr>
            </w:pPr>
          </w:p>
        </w:tc>
        <w:tc>
          <w:tcPr>
            <w:tcW w:w="709" w:type="dxa"/>
            <w:tcBorders>
              <w:bottom w:val="single" w:sz="12" w:space="0" w:color="auto"/>
              <w:right w:val="dashSmallGap" w:sz="4" w:space="0" w:color="auto"/>
            </w:tcBorders>
          </w:tcPr>
          <w:p>
            <w:pPr>
              <w:ind w:right="-29"/>
              <w:jc w:val="center"/>
              <w:rPr>
                <w:noProof/>
                <w:sz w:val="18"/>
                <w:szCs w:val="18"/>
              </w:rPr>
            </w:pPr>
          </w:p>
        </w:tc>
        <w:tc>
          <w:tcPr>
            <w:tcW w:w="1144" w:type="dxa"/>
            <w:tcBorders>
              <w:left w:val="dashSmallGap" w:sz="4" w:space="0" w:color="auto"/>
              <w:bottom w:val="single" w:sz="12" w:space="0" w:color="auto"/>
              <w:right w:val="single" w:sz="12" w:space="0" w:color="auto"/>
            </w:tcBorders>
          </w:tcPr>
          <w:p>
            <w:pPr>
              <w:ind w:right="-29"/>
              <w:jc w:val="center"/>
              <w:rPr>
                <w:b/>
                <w:noProof/>
                <w:sz w:val="18"/>
                <w:szCs w:val="18"/>
              </w:rPr>
            </w:pPr>
            <w:r>
              <w:rPr>
                <w:b/>
                <w:noProof/>
                <w:sz w:val="18"/>
              </w:rPr>
              <w:t>25,000</w:t>
            </w:r>
          </w:p>
        </w:tc>
      </w:tr>
    </w:tbl>
    <w:p>
      <w:pPr>
        <w:pStyle w:val="ListDash"/>
        <w:rPr>
          <w:noProof/>
        </w:rPr>
      </w:pPr>
      <w:r>
        <w:rPr>
          <w:noProof/>
        </w:rPr>
        <w:t>Pri projektu skupne BMS bo potrebna migracija podatkov z drugih biometričnih iskalnikov na skupno BMS, saj je ta skupni sistem operativno učinkovitejši in finančno ugodnejši v primerjavi s položajem, v katerem bi se ohranilo več manjših sistemov BMS.</w:t>
      </w:r>
    </w:p>
    <w:p>
      <w:pPr>
        <w:pStyle w:val="ListDash"/>
        <w:rPr>
          <w:noProof/>
        </w:rPr>
      </w:pPr>
      <w:r>
        <w:rPr>
          <w:noProof/>
        </w:rPr>
        <w:t>Sedanja poslovna logika sistema Eurodac ni jasno ločena od mehanizma za ugotavljanje ujemanja biometričnih podatkov, kakor je pri BMS, ki deluje z VIS. Notranje delovanje sistema Eurodac in mehanizma, s katerim poslovne storitve priklicujejo osnovne storitve za ugotavljanje ujemanja biometričnih podatkov, je zunanjim opazovalcem neznanka in temelji na zaščiteni tehnologiji. Ne bo mogoče zgolj migrirati podatke na skupno BMS in obdržati obstoječo poslovno raven. Zato migracija podatkov prinaša precejšnje stroške za spremembo mehanizmov za izmenjavo s centralno aplikacijo sistema Eurodac.</w:t>
      </w:r>
    </w:p>
    <w:p>
      <w:pPr>
        <w:keepNext/>
        <w:rPr>
          <w:noProof/>
        </w:rPr>
      </w:pPr>
    </w:p>
    <w:tbl>
      <w:tblPr>
        <w:tblW w:w="14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2"/>
        <w:gridCol w:w="721"/>
        <w:gridCol w:w="659"/>
        <w:gridCol w:w="303"/>
        <w:gridCol w:w="867"/>
        <w:gridCol w:w="330"/>
        <w:gridCol w:w="840"/>
        <w:gridCol w:w="360"/>
        <w:gridCol w:w="840"/>
        <w:gridCol w:w="360"/>
        <w:gridCol w:w="840"/>
        <w:gridCol w:w="360"/>
        <w:gridCol w:w="672"/>
        <w:gridCol w:w="360"/>
        <w:gridCol w:w="720"/>
        <w:gridCol w:w="360"/>
        <w:gridCol w:w="840"/>
        <w:gridCol w:w="360"/>
        <w:gridCol w:w="733"/>
        <w:gridCol w:w="425"/>
        <w:gridCol w:w="709"/>
        <w:gridCol w:w="709"/>
        <w:gridCol w:w="1144"/>
      </w:tblGrid>
      <w:tr>
        <w:trPr>
          <w:jc w:val="center"/>
        </w:trPr>
        <w:tc>
          <w:tcPr>
            <w:tcW w:w="1422" w:type="dxa"/>
            <w:vMerge w:val="restart"/>
            <w:tcBorders>
              <w:top w:val="single" w:sz="12" w:space="0" w:color="auto"/>
              <w:left w:val="single" w:sz="12" w:space="0" w:color="auto"/>
            </w:tcBorders>
            <w:vAlign w:val="center"/>
          </w:tcPr>
          <w:p>
            <w:pPr>
              <w:keepNext/>
              <w:ind w:right="-29"/>
              <w:jc w:val="center"/>
              <w:rPr>
                <w:b/>
                <w:noProof/>
                <w:sz w:val="18"/>
                <w:szCs w:val="18"/>
              </w:rPr>
            </w:pPr>
            <w:r>
              <w:rPr>
                <w:b/>
                <w:noProof/>
                <w:sz w:val="18"/>
              </w:rPr>
              <w:t xml:space="preserve">Cilji in realizacije </w:t>
            </w:r>
          </w:p>
          <w:p>
            <w:pPr>
              <w:keepNext/>
              <w:ind w:right="-29"/>
              <w:jc w:val="center"/>
              <w:rPr>
                <w:b/>
                <w:noProof/>
                <w:sz w:val="18"/>
                <w:szCs w:val="18"/>
              </w:rPr>
            </w:pPr>
            <w:r>
              <w:rPr>
                <w:b/>
                <w:noProof/>
                <w:sz w:val="18"/>
              </w:rPr>
              <w:t>eu-LISA</w:t>
            </w:r>
          </w:p>
          <w:p>
            <w:pPr>
              <w:keepNext/>
              <w:ind w:right="-29"/>
              <w:jc w:val="center"/>
              <w:rPr>
                <w:noProof/>
                <w:sz w:val="18"/>
                <w:szCs w:val="18"/>
              </w:rPr>
            </w:pPr>
            <w:r>
              <w:rPr>
                <w:noProof/>
                <w:sz w:val="18"/>
              </w:rPr>
              <w:sym w:font="Wingdings" w:char="F0F2"/>
            </w:r>
          </w:p>
        </w:tc>
        <w:tc>
          <w:tcPr>
            <w:tcW w:w="721" w:type="dxa"/>
            <w:tcBorders>
              <w:top w:val="single" w:sz="12" w:space="0" w:color="auto"/>
            </w:tcBorders>
            <w:vAlign w:val="center"/>
          </w:tcPr>
          <w:p>
            <w:pPr>
              <w:keepNext/>
              <w:ind w:right="-29"/>
              <w:jc w:val="center"/>
              <w:rPr>
                <w:noProof/>
                <w:sz w:val="18"/>
                <w:szCs w:val="18"/>
              </w:rPr>
            </w:pPr>
          </w:p>
        </w:tc>
        <w:tc>
          <w:tcPr>
            <w:tcW w:w="659" w:type="dxa"/>
            <w:tcBorders>
              <w:top w:val="single" w:sz="12" w:space="0" w:color="auto"/>
            </w:tcBorders>
            <w:vAlign w:val="center"/>
          </w:tcPr>
          <w:p>
            <w:pPr>
              <w:keepNext/>
              <w:ind w:right="-29"/>
              <w:jc w:val="center"/>
              <w:rPr>
                <w:noProof/>
                <w:sz w:val="18"/>
                <w:szCs w:val="18"/>
              </w:rPr>
            </w:pPr>
          </w:p>
        </w:tc>
        <w:tc>
          <w:tcPr>
            <w:tcW w:w="1170" w:type="dxa"/>
            <w:gridSpan w:val="2"/>
            <w:tcBorders>
              <w:top w:val="single" w:sz="12" w:space="0" w:color="auto"/>
              <w:right w:val="single" w:sz="4" w:space="0" w:color="auto"/>
            </w:tcBorders>
            <w:vAlign w:val="center"/>
          </w:tcPr>
          <w:p>
            <w:pPr>
              <w:keepNext/>
              <w:ind w:right="-29"/>
              <w:jc w:val="center"/>
              <w:rPr>
                <w:noProof/>
                <w:sz w:val="18"/>
                <w:szCs w:val="18"/>
              </w:rPr>
            </w:pPr>
            <w:r>
              <w:rPr>
                <w:noProof/>
                <w:sz w:val="18"/>
              </w:rPr>
              <w:t>Leto</w:t>
            </w:r>
            <w:r>
              <w:rPr>
                <w:noProof/>
                <w:sz w:val="22"/>
              </w:rPr>
              <w:br/>
            </w:r>
            <w:r>
              <w:rPr>
                <w:b/>
                <w:noProof/>
                <w:sz w:val="18"/>
              </w:rPr>
              <w:t>2019</w:t>
            </w:r>
          </w:p>
        </w:tc>
        <w:tc>
          <w:tcPr>
            <w:tcW w:w="1170" w:type="dxa"/>
            <w:gridSpan w:val="2"/>
            <w:tcBorders>
              <w:top w:val="single" w:sz="12" w:space="0" w:color="auto"/>
              <w:left w:val="single" w:sz="4" w:space="0" w:color="auto"/>
            </w:tcBorders>
            <w:vAlign w:val="center"/>
          </w:tcPr>
          <w:p>
            <w:pPr>
              <w:keepNext/>
              <w:ind w:right="-29"/>
              <w:jc w:val="center"/>
              <w:rPr>
                <w:noProof/>
                <w:sz w:val="18"/>
                <w:szCs w:val="18"/>
              </w:rPr>
            </w:pPr>
            <w:r>
              <w:rPr>
                <w:noProof/>
                <w:sz w:val="18"/>
              </w:rPr>
              <w:t>Leto</w:t>
            </w:r>
            <w:r>
              <w:rPr>
                <w:noProof/>
                <w:sz w:val="22"/>
              </w:rPr>
              <w:br/>
            </w:r>
            <w:r>
              <w:rPr>
                <w:b/>
                <w:noProof/>
                <w:sz w:val="18"/>
              </w:rPr>
              <w:t>2020</w:t>
            </w:r>
          </w:p>
        </w:tc>
        <w:tc>
          <w:tcPr>
            <w:tcW w:w="1200" w:type="dxa"/>
            <w:gridSpan w:val="2"/>
            <w:tcBorders>
              <w:top w:val="single" w:sz="12" w:space="0" w:color="auto"/>
            </w:tcBorders>
            <w:vAlign w:val="center"/>
          </w:tcPr>
          <w:p>
            <w:pPr>
              <w:keepNext/>
              <w:ind w:right="-29"/>
              <w:jc w:val="center"/>
              <w:rPr>
                <w:noProof/>
                <w:sz w:val="18"/>
                <w:szCs w:val="18"/>
              </w:rPr>
            </w:pPr>
            <w:r>
              <w:rPr>
                <w:noProof/>
                <w:sz w:val="18"/>
              </w:rPr>
              <w:t>Leto</w:t>
            </w:r>
            <w:r>
              <w:rPr>
                <w:noProof/>
                <w:sz w:val="22"/>
              </w:rPr>
              <w:br/>
            </w:r>
            <w:r>
              <w:rPr>
                <w:b/>
                <w:noProof/>
                <w:sz w:val="18"/>
              </w:rPr>
              <w:t>2021</w:t>
            </w:r>
          </w:p>
        </w:tc>
        <w:tc>
          <w:tcPr>
            <w:tcW w:w="1200" w:type="dxa"/>
            <w:gridSpan w:val="2"/>
            <w:tcBorders>
              <w:top w:val="single" w:sz="12" w:space="0" w:color="auto"/>
            </w:tcBorders>
            <w:vAlign w:val="center"/>
          </w:tcPr>
          <w:p>
            <w:pPr>
              <w:keepNext/>
              <w:ind w:right="-29"/>
              <w:jc w:val="center"/>
              <w:rPr>
                <w:noProof/>
                <w:sz w:val="18"/>
                <w:szCs w:val="18"/>
              </w:rPr>
            </w:pPr>
            <w:r>
              <w:rPr>
                <w:noProof/>
                <w:sz w:val="18"/>
              </w:rPr>
              <w:t>Leto</w:t>
            </w:r>
            <w:r>
              <w:rPr>
                <w:noProof/>
                <w:sz w:val="22"/>
              </w:rPr>
              <w:br/>
            </w:r>
            <w:r>
              <w:rPr>
                <w:b/>
                <w:noProof/>
                <w:sz w:val="18"/>
              </w:rPr>
              <w:t>2022</w:t>
            </w:r>
          </w:p>
        </w:tc>
        <w:tc>
          <w:tcPr>
            <w:tcW w:w="1032" w:type="dxa"/>
            <w:gridSpan w:val="2"/>
            <w:tcBorders>
              <w:top w:val="single" w:sz="12" w:space="0" w:color="auto"/>
            </w:tcBorders>
            <w:vAlign w:val="center"/>
          </w:tcPr>
          <w:p>
            <w:pPr>
              <w:keepNext/>
              <w:jc w:val="center"/>
              <w:rPr>
                <w:noProof/>
                <w:sz w:val="18"/>
                <w:szCs w:val="18"/>
              </w:rPr>
            </w:pPr>
            <w:r>
              <w:rPr>
                <w:noProof/>
                <w:sz w:val="18"/>
              </w:rPr>
              <w:t>Leto</w:t>
            </w:r>
            <w:r>
              <w:rPr>
                <w:noProof/>
                <w:sz w:val="22"/>
              </w:rPr>
              <w:br/>
            </w:r>
            <w:r>
              <w:rPr>
                <w:b/>
                <w:noProof/>
                <w:sz w:val="18"/>
              </w:rPr>
              <w:t>2023</w:t>
            </w:r>
          </w:p>
        </w:tc>
        <w:tc>
          <w:tcPr>
            <w:tcW w:w="1080" w:type="dxa"/>
            <w:gridSpan w:val="2"/>
            <w:tcBorders>
              <w:top w:val="single" w:sz="12" w:space="0" w:color="auto"/>
            </w:tcBorders>
            <w:vAlign w:val="center"/>
          </w:tcPr>
          <w:p>
            <w:pPr>
              <w:keepNext/>
              <w:jc w:val="center"/>
              <w:rPr>
                <w:noProof/>
                <w:sz w:val="18"/>
                <w:szCs w:val="18"/>
              </w:rPr>
            </w:pPr>
            <w:r>
              <w:rPr>
                <w:noProof/>
                <w:sz w:val="18"/>
              </w:rPr>
              <w:t>Leto</w:t>
            </w:r>
            <w:r>
              <w:rPr>
                <w:noProof/>
                <w:sz w:val="22"/>
              </w:rPr>
              <w:br/>
            </w:r>
            <w:r>
              <w:rPr>
                <w:b/>
                <w:noProof/>
                <w:sz w:val="18"/>
              </w:rPr>
              <w:t>2024</w:t>
            </w:r>
          </w:p>
        </w:tc>
        <w:tc>
          <w:tcPr>
            <w:tcW w:w="1200" w:type="dxa"/>
            <w:gridSpan w:val="2"/>
            <w:tcBorders>
              <w:top w:val="single" w:sz="12" w:space="0" w:color="auto"/>
            </w:tcBorders>
            <w:vAlign w:val="center"/>
          </w:tcPr>
          <w:p>
            <w:pPr>
              <w:keepNext/>
              <w:jc w:val="center"/>
              <w:rPr>
                <w:noProof/>
                <w:sz w:val="18"/>
                <w:szCs w:val="18"/>
              </w:rPr>
            </w:pPr>
            <w:r>
              <w:rPr>
                <w:noProof/>
                <w:sz w:val="18"/>
              </w:rPr>
              <w:t>Leto</w:t>
            </w:r>
            <w:r>
              <w:rPr>
                <w:noProof/>
                <w:sz w:val="22"/>
              </w:rPr>
              <w:br/>
            </w:r>
            <w:r>
              <w:rPr>
                <w:b/>
                <w:noProof/>
                <w:sz w:val="18"/>
              </w:rPr>
              <w:t>2025</w:t>
            </w:r>
          </w:p>
        </w:tc>
        <w:tc>
          <w:tcPr>
            <w:tcW w:w="1093" w:type="dxa"/>
            <w:gridSpan w:val="2"/>
            <w:tcBorders>
              <w:top w:val="single" w:sz="12" w:space="0" w:color="auto"/>
            </w:tcBorders>
          </w:tcPr>
          <w:p>
            <w:pPr>
              <w:keepNext/>
              <w:ind w:right="-29"/>
              <w:jc w:val="center"/>
              <w:rPr>
                <w:b/>
                <w:noProof/>
                <w:sz w:val="18"/>
              </w:rPr>
            </w:pPr>
            <w:r>
              <w:rPr>
                <w:noProof/>
                <w:sz w:val="18"/>
              </w:rPr>
              <w:t>Leto</w:t>
            </w:r>
            <w:r>
              <w:rPr>
                <w:noProof/>
                <w:sz w:val="22"/>
              </w:rPr>
              <w:br/>
            </w:r>
            <w:r>
              <w:rPr>
                <w:b/>
                <w:noProof/>
                <w:sz w:val="18"/>
              </w:rPr>
              <w:t>2026</w:t>
            </w:r>
          </w:p>
        </w:tc>
        <w:tc>
          <w:tcPr>
            <w:tcW w:w="1134" w:type="dxa"/>
            <w:gridSpan w:val="2"/>
            <w:tcBorders>
              <w:top w:val="single" w:sz="12" w:space="0" w:color="auto"/>
              <w:right w:val="nil"/>
            </w:tcBorders>
          </w:tcPr>
          <w:p>
            <w:pPr>
              <w:keepNext/>
              <w:ind w:right="-29"/>
              <w:jc w:val="center"/>
              <w:rPr>
                <w:b/>
                <w:noProof/>
                <w:sz w:val="18"/>
              </w:rPr>
            </w:pPr>
            <w:r>
              <w:rPr>
                <w:noProof/>
                <w:sz w:val="18"/>
              </w:rPr>
              <w:t>Leto</w:t>
            </w:r>
            <w:r>
              <w:rPr>
                <w:noProof/>
                <w:sz w:val="22"/>
              </w:rPr>
              <w:br/>
            </w:r>
            <w:r>
              <w:rPr>
                <w:b/>
                <w:noProof/>
                <w:sz w:val="18"/>
              </w:rPr>
              <w:t>2027</w:t>
            </w:r>
          </w:p>
        </w:tc>
        <w:tc>
          <w:tcPr>
            <w:tcW w:w="1853" w:type="dxa"/>
            <w:gridSpan w:val="2"/>
            <w:tcBorders>
              <w:top w:val="single" w:sz="12" w:space="0" w:color="auto"/>
              <w:left w:val="single" w:sz="6" w:space="0" w:color="auto"/>
              <w:bottom w:val="single" w:sz="4" w:space="0" w:color="auto"/>
              <w:right w:val="single" w:sz="12" w:space="0" w:color="auto"/>
            </w:tcBorders>
            <w:vAlign w:val="center"/>
          </w:tcPr>
          <w:p>
            <w:pPr>
              <w:keepNext/>
              <w:ind w:right="-29"/>
              <w:jc w:val="center"/>
              <w:rPr>
                <w:noProof/>
                <w:sz w:val="18"/>
                <w:szCs w:val="18"/>
              </w:rPr>
            </w:pPr>
            <w:r>
              <w:rPr>
                <w:b/>
                <w:noProof/>
                <w:sz w:val="18"/>
              </w:rPr>
              <w:t>SKUPAJ</w:t>
            </w:r>
          </w:p>
        </w:tc>
      </w:tr>
      <w:tr>
        <w:trPr>
          <w:gridAfter w:val="22"/>
          <w:wAfter w:w="13512" w:type="dxa"/>
          <w:trHeight w:val="465"/>
          <w:jc w:val="center"/>
        </w:trPr>
        <w:tc>
          <w:tcPr>
            <w:tcW w:w="1422" w:type="dxa"/>
            <w:vMerge/>
            <w:tcBorders>
              <w:left w:val="single" w:sz="12" w:space="0" w:color="auto"/>
            </w:tcBorders>
            <w:vAlign w:val="center"/>
          </w:tcPr>
          <w:p>
            <w:pPr>
              <w:keepNext/>
              <w:ind w:right="-29"/>
              <w:jc w:val="center"/>
              <w:rPr>
                <w:noProof/>
                <w:sz w:val="18"/>
                <w:szCs w:val="18"/>
              </w:rPr>
            </w:pPr>
          </w:p>
        </w:tc>
      </w:tr>
      <w:tr>
        <w:trPr>
          <w:cantSplit/>
          <w:trHeight w:val="1134"/>
          <w:jc w:val="center"/>
        </w:trPr>
        <w:tc>
          <w:tcPr>
            <w:tcW w:w="1422" w:type="dxa"/>
            <w:vMerge/>
            <w:tcBorders>
              <w:left w:val="single" w:sz="12" w:space="0" w:color="auto"/>
            </w:tcBorders>
            <w:vAlign w:val="center"/>
          </w:tcPr>
          <w:p>
            <w:pPr>
              <w:keepNext/>
              <w:rPr>
                <w:noProof/>
                <w:sz w:val="18"/>
                <w:szCs w:val="18"/>
              </w:rPr>
            </w:pPr>
          </w:p>
        </w:tc>
        <w:tc>
          <w:tcPr>
            <w:tcW w:w="721" w:type="dxa"/>
            <w:vAlign w:val="center"/>
          </w:tcPr>
          <w:p>
            <w:pPr>
              <w:keepNext/>
              <w:jc w:val="center"/>
              <w:rPr>
                <w:noProof/>
                <w:sz w:val="18"/>
                <w:szCs w:val="18"/>
              </w:rPr>
            </w:pPr>
            <w:r>
              <w:rPr>
                <w:noProof/>
                <w:sz w:val="18"/>
              </w:rPr>
              <w:t>vrsta</w:t>
            </w:r>
            <w:r>
              <w:rPr>
                <w:rStyle w:val="FootnoteReference"/>
                <w:noProof/>
              </w:rPr>
              <w:footnoteReference w:id="100"/>
            </w:r>
          </w:p>
          <w:p>
            <w:pPr>
              <w:keepNext/>
              <w:spacing w:before="0" w:after="0"/>
              <w:jc w:val="center"/>
              <w:rPr>
                <w:noProof/>
                <w:sz w:val="18"/>
                <w:szCs w:val="18"/>
              </w:rPr>
            </w:pPr>
          </w:p>
        </w:tc>
        <w:tc>
          <w:tcPr>
            <w:tcW w:w="659" w:type="dxa"/>
            <w:tcBorders>
              <w:right w:val="single" w:sz="4" w:space="0" w:color="auto"/>
            </w:tcBorders>
            <w:vAlign w:val="center"/>
          </w:tcPr>
          <w:p>
            <w:pPr>
              <w:keepNext/>
              <w:jc w:val="center"/>
              <w:rPr>
                <w:noProof/>
                <w:sz w:val="18"/>
                <w:szCs w:val="18"/>
              </w:rPr>
            </w:pPr>
            <w:r>
              <w:rPr>
                <w:noProof/>
                <w:sz w:val="18"/>
              </w:rPr>
              <w:t>povprečni stroški</w:t>
            </w:r>
          </w:p>
        </w:tc>
        <w:tc>
          <w:tcPr>
            <w:tcW w:w="303" w:type="dxa"/>
            <w:tcBorders>
              <w:top w:val="dotted" w:sz="4" w:space="0" w:color="auto"/>
              <w:left w:val="single" w:sz="4" w:space="0" w:color="auto"/>
              <w:bottom w:val="dotted" w:sz="4" w:space="0" w:color="auto"/>
              <w:right w:val="nil"/>
            </w:tcBorders>
            <w:shd w:val="pct10" w:color="auto" w:fill="auto"/>
            <w:textDirection w:val="btLr"/>
            <w:vAlign w:val="center"/>
          </w:tcPr>
          <w:p>
            <w:pPr>
              <w:keepNext/>
              <w:ind w:left="113" w:right="113"/>
              <w:jc w:val="center"/>
              <w:rPr>
                <w:noProof/>
                <w:sz w:val="18"/>
              </w:rPr>
            </w:pPr>
            <w:r>
              <w:rPr>
                <w:noProof/>
                <w:sz w:val="18"/>
              </w:rPr>
              <w:t>število</w:t>
            </w:r>
          </w:p>
        </w:tc>
        <w:tc>
          <w:tcPr>
            <w:tcW w:w="867" w:type="dxa"/>
            <w:tcBorders>
              <w:left w:val="nil"/>
              <w:right w:val="single" w:sz="4" w:space="0" w:color="auto"/>
            </w:tcBorders>
            <w:shd w:val="pct10" w:color="auto" w:fill="auto"/>
            <w:vAlign w:val="center"/>
          </w:tcPr>
          <w:p>
            <w:pPr>
              <w:keepNext/>
              <w:jc w:val="center"/>
              <w:rPr>
                <w:noProof/>
                <w:sz w:val="18"/>
              </w:rPr>
            </w:pPr>
            <w:r>
              <w:rPr>
                <w:noProof/>
                <w:sz w:val="18"/>
              </w:rPr>
              <w:t>stroški</w:t>
            </w:r>
          </w:p>
        </w:tc>
        <w:tc>
          <w:tcPr>
            <w:tcW w:w="330" w:type="dxa"/>
            <w:tcBorders>
              <w:left w:val="single" w:sz="4" w:space="0" w:color="auto"/>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840"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840"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840"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672"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720"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840"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733"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425" w:type="dxa"/>
            <w:tcBorders>
              <w:right w:val="dashSmallGap" w:sz="4" w:space="0" w:color="auto"/>
            </w:tcBorders>
            <w:shd w:val="pct10" w:color="auto" w:fill="auto"/>
            <w:textDirection w:val="btLr"/>
            <w:vAlign w:val="center"/>
          </w:tcPr>
          <w:p>
            <w:pPr>
              <w:keepNext/>
              <w:ind w:left="113" w:right="113"/>
              <w:jc w:val="center"/>
              <w:rPr>
                <w:noProof/>
                <w:sz w:val="18"/>
              </w:rPr>
            </w:pPr>
            <w:r>
              <w:rPr>
                <w:noProof/>
                <w:sz w:val="18"/>
              </w:rPr>
              <w:t>število</w:t>
            </w:r>
          </w:p>
        </w:tc>
        <w:tc>
          <w:tcPr>
            <w:tcW w:w="709" w:type="dxa"/>
            <w:tcBorders>
              <w:left w:val="dashSmallGap" w:sz="4" w:space="0" w:color="auto"/>
            </w:tcBorders>
            <w:shd w:val="pct10" w:color="auto" w:fill="auto"/>
            <w:vAlign w:val="center"/>
          </w:tcPr>
          <w:p>
            <w:pPr>
              <w:keepNext/>
              <w:jc w:val="center"/>
              <w:rPr>
                <w:noProof/>
                <w:sz w:val="18"/>
              </w:rPr>
            </w:pPr>
            <w:r>
              <w:rPr>
                <w:noProof/>
                <w:sz w:val="18"/>
              </w:rPr>
              <w:t>stroški</w:t>
            </w:r>
          </w:p>
        </w:tc>
        <w:tc>
          <w:tcPr>
            <w:tcW w:w="709"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 realizacij skupaj</w:t>
            </w:r>
          </w:p>
        </w:tc>
        <w:tc>
          <w:tcPr>
            <w:tcW w:w="1144" w:type="dxa"/>
            <w:tcBorders>
              <w:left w:val="dashSmallGap" w:sz="4" w:space="0" w:color="auto"/>
              <w:right w:val="single" w:sz="12" w:space="0" w:color="auto"/>
            </w:tcBorders>
            <w:shd w:val="pct10" w:color="auto" w:fill="auto"/>
            <w:vAlign w:val="center"/>
          </w:tcPr>
          <w:p>
            <w:pPr>
              <w:keepNext/>
              <w:jc w:val="center"/>
              <w:rPr>
                <w:noProof/>
                <w:sz w:val="18"/>
                <w:szCs w:val="18"/>
              </w:rPr>
            </w:pPr>
            <w:r>
              <w:rPr>
                <w:noProof/>
                <w:sz w:val="18"/>
              </w:rPr>
              <w:t>stroški realizacij skupaj</w:t>
            </w:r>
          </w:p>
        </w:tc>
      </w:tr>
      <w:tr>
        <w:trPr>
          <w:jc w:val="center"/>
        </w:trPr>
        <w:tc>
          <w:tcPr>
            <w:tcW w:w="2802" w:type="dxa"/>
            <w:gridSpan w:val="3"/>
            <w:tcBorders>
              <w:left w:val="single" w:sz="12" w:space="0" w:color="auto"/>
            </w:tcBorders>
            <w:vAlign w:val="center"/>
          </w:tcPr>
          <w:p>
            <w:pPr>
              <w:keepNext/>
              <w:spacing w:before="60" w:after="60"/>
              <w:ind w:right="-29"/>
              <w:jc w:val="center"/>
              <w:rPr>
                <w:noProof/>
                <w:sz w:val="18"/>
              </w:rPr>
            </w:pPr>
            <w:r>
              <w:rPr>
                <w:noProof/>
                <w:sz w:val="18"/>
              </w:rPr>
              <w:t>SPECIFIČNI CILJ št. 4</w:t>
            </w:r>
            <w:r>
              <w:rPr>
                <w:rStyle w:val="FootnoteReference"/>
                <w:noProof/>
              </w:rPr>
              <w:footnoteReference w:id="101"/>
            </w:r>
          </w:p>
          <w:p>
            <w:pPr>
              <w:keepNext/>
              <w:spacing w:before="60" w:after="60"/>
              <w:ind w:right="-29"/>
              <w:jc w:val="center"/>
              <w:rPr>
                <w:noProof/>
                <w:sz w:val="18"/>
                <w:szCs w:val="18"/>
              </w:rPr>
            </w:pPr>
            <w:r>
              <w:rPr>
                <w:noProof/>
                <w:sz w:val="18"/>
              </w:rPr>
              <w:t>Omrežje</w:t>
            </w:r>
          </w:p>
        </w:tc>
        <w:tc>
          <w:tcPr>
            <w:tcW w:w="303" w:type="dxa"/>
            <w:tcBorders>
              <w:right w:val="nil"/>
            </w:tcBorders>
          </w:tcPr>
          <w:p>
            <w:pPr>
              <w:keepNext/>
              <w:spacing w:before="60" w:after="60"/>
              <w:ind w:right="-29"/>
              <w:jc w:val="center"/>
              <w:rPr>
                <w:noProof/>
                <w:sz w:val="18"/>
                <w:szCs w:val="18"/>
              </w:rPr>
            </w:pPr>
          </w:p>
        </w:tc>
        <w:tc>
          <w:tcPr>
            <w:tcW w:w="867" w:type="dxa"/>
            <w:tcBorders>
              <w:left w:val="nil"/>
              <w:bottom w:val="single" w:sz="4" w:space="0" w:color="auto"/>
            </w:tcBorders>
          </w:tcPr>
          <w:p>
            <w:pPr>
              <w:keepNext/>
              <w:spacing w:before="60" w:after="60"/>
              <w:ind w:right="-29"/>
              <w:jc w:val="center"/>
              <w:rPr>
                <w:noProof/>
                <w:sz w:val="18"/>
                <w:szCs w:val="18"/>
              </w:rPr>
            </w:pPr>
          </w:p>
        </w:tc>
        <w:tc>
          <w:tcPr>
            <w:tcW w:w="330" w:type="dxa"/>
            <w:tcBorders>
              <w:top w:val="nil"/>
              <w:left w:val="nil"/>
              <w:bottom w:val="nil"/>
              <w:right w:val="nil"/>
            </w:tcBorders>
          </w:tcPr>
          <w:p>
            <w:pPr>
              <w:keepNext/>
              <w:spacing w:before="60" w:after="60"/>
              <w:ind w:right="-29"/>
              <w:jc w:val="center"/>
              <w:rPr>
                <w:noProof/>
                <w:sz w:val="18"/>
                <w:szCs w:val="18"/>
              </w:rPr>
            </w:pPr>
          </w:p>
        </w:tc>
        <w:tc>
          <w:tcPr>
            <w:tcW w:w="840" w:type="dxa"/>
            <w:tcBorders>
              <w:top w:val="nil"/>
              <w:left w:val="nil"/>
              <w:bottom w:val="nil"/>
              <w:right w:val="nil"/>
            </w:tcBorders>
          </w:tcPr>
          <w:p>
            <w:pPr>
              <w:keepNext/>
              <w:spacing w:before="60" w:after="60"/>
              <w:ind w:right="-29"/>
              <w:jc w:val="center"/>
              <w:rPr>
                <w:noProof/>
                <w:sz w:val="18"/>
                <w:szCs w:val="18"/>
              </w:rPr>
            </w:pPr>
          </w:p>
        </w:tc>
        <w:tc>
          <w:tcPr>
            <w:tcW w:w="360" w:type="dxa"/>
            <w:tcBorders>
              <w:top w:val="nil"/>
              <w:left w:val="nil"/>
              <w:bottom w:val="nil"/>
              <w:right w:val="nil"/>
            </w:tcBorders>
          </w:tcPr>
          <w:p>
            <w:pPr>
              <w:keepNext/>
              <w:spacing w:before="60" w:after="60"/>
              <w:ind w:right="-29"/>
              <w:jc w:val="center"/>
              <w:rPr>
                <w:noProof/>
                <w:sz w:val="18"/>
                <w:szCs w:val="18"/>
              </w:rPr>
            </w:pPr>
          </w:p>
        </w:tc>
        <w:tc>
          <w:tcPr>
            <w:tcW w:w="840" w:type="dxa"/>
            <w:tcBorders>
              <w:top w:val="nil"/>
              <w:left w:val="nil"/>
              <w:bottom w:val="nil"/>
              <w:right w:val="nil"/>
            </w:tcBorders>
          </w:tcPr>
          <w:p>
            <w:pPr>
              <w:keepNext/>
              <w:spacing w:before="60" w:after="60"/>
              <w:ind w:right="-29"/>
              <w:jc w:val="center"/>
              <w:rPr>
                <w:noProof/>
                <w:sz w:val="18"/>
                <w:szCs w:val="18"/>
              </w:rPr>
            </w:pPr>
          </w:p>
        </w:tc>
        <w:tc>
          <w:tcPr>
            <w:tcW w:w="360" w:type="dxa"/>
            <w:tcBorders>
              <w:top w:val="nil"/>
              <w:left w:val="nil"/>
              <w:bottom w:val="nil"/>
              <w:right w:val="nil"/>
            </w:tcBorders>
          </w:tcPr>
          <w:p>
            <w:pPr>
              <w:keepNext/>
              <w:spacing w:before="60" w:after="60"/>
              <w:ind w:right="-29"/>
              <w:jc w:val="center"/>
              <w:rPr>
                <w:noProof/>
                <w:sz w:val="18"/>
                <w:szCs w:val="18"/>
              </w:rPr>
            </w:pPr>
          </w:p>
        </w:tc>
        <w:tc>
          <w:tcPr>
            <w:tcW w:w="840" w:type="dxa"/>
            <w:tcBorders>
              <w:top w:val="nil"/>
              <w:left w:val="nil"/>
              <w:bottom w:val="nil"/>
              <w:right w:val="nil"/>
            </w:tcBorders>
          </w:tcPr>
          <w:p>
            <w:pPr>
              <w:keepNext/>
              <w:spacing w:before="60" w:after="60"/>
              <w:ind w:right="-29"/>
              <w:jc w:val="center"/>
              <w:rPr>
                <w:noProof/>
                <w:sz w:val="18"/>
                <w:szCs w:val="18"/>
              </w:rPr>
            </w:pPr>
          </w:p>
        </w:tc>
        <w:tc>
          <w:tcPr>
            <w:tcW w:w="360" w:type="dxa"/>
            <w:tcBorders>
              <w:top w:val="nil"/>
              <w:left w:val="nil"/>
              <w:bottom w:val="nil"/>
              <w:right w:val="nil"/>
            </w:tcBorders>
          </w:tcPr>
          <w:p>
            <w:pPr>
              <w:keepNext/>
              <w:spacing w:before="60" w:after="60"/>
              <w:ind w:right="-29"/>
              <w:jc w:val="center"/>
              <w:rPr>
                <w:noProof/>
                <w:sz w:val="18"/>
                <w:szCs w:val="18"/>
              </w:rPr>
            </w:pPr>
          </w:p>
        </w:tc>
        <w:tc>
          <w:tcPr>
            <w:tcW w:w="672" w:type="dxa"/>
            <w:tcBorders>
              <w:top w:val="nil"/>
              <w:left w:val="nil"/>
              <w:bottom w:val="nil"/>
              <w:right w:val="nil"/>
            </w:tcBorders>
          </w:tcPr>
          <w:p>
            <w:pPr>
              <w:keepNext/>
              <w:spacing w:before="60" w:after="60"/>
              <w:ind w:right="-29"/>
              <w:jc w:val="center"/>
              <w:rPr>
                <w:noProof/>
                <w:sz w:val="18"/>
                <w:szCs w:val="18"/>
              </w:rPr>
            </w:pPr>
          </w:p>
        </w:tc>
        <w:tc>
          <w:tcPr>
            <w:tcW w:w="360" w:type="dxa"/>
            <w:tcBorders>
              <w:top w:val="nil"/>
              <w:left w:val="nil"/>
              <w:bottom w:val="nil"/>
              <w:right w:val="nil"/>
            </w:tcBorders>
          </w:tcPr>
          <w:p>
            <w:pPr>
              <w:keepNext/>
              <w:spacing w:before="60" w:after="60"/>
              <w:ind w:right="-29"/>
              <w:jc w:val="center"/>
              <w:rPr>
                <w:noProof/>
                <w:sz w:val="18"/>
                <w:szCs w:val="18"/>
              </w:rPr>
            </w:pPr>
          </w:p>
        </w:tc>
        <w:tc>
          <w:tcPr>
            <w:tcW w:w="720" w:type="dxa"/>
            <w:tcBorders>
              <w:top w:val="nil"/>
              <w:left w:val="nil"/>
              <w:bottom w:val="nil"/>
              <w:right w:val="nil"/>
            </w:tcBorders>
          </w:tcPr>
          <w:p>
            <w:pPr>
              <w:keepNext/>
              <w:spacing w:before="60" w:after="60"/>
              <w:ind w:right="-29"/>
              <w:jc w:val="center"/>
              <w:rPr>
                <w:noProof/>
                <w:sz w:val="18"/>
                <w:szCs w:val="18"/>
              </w:rPr>
            </w:pPr>
          </w:p>
        </w:tc>
        <w:tc>
          <w:tcPr>
            <w:tcW w:w="360" w:type="dxa"/>
            <w:tcBorders>
              <w:top w:val="nil"/>
              <w:left w:val="nil"/>
              <w:bottom w:val="nil"/>
              <w:right w:val="nil"/>
            </w:tcBorders>
          </w:tcPr>
          <w:p>
            <w:pPr>
              <w:keepNext/>
              <w:spacing w:before="60" w:after="60"/>
              <w:ind w:right="-29"/>
              <w:jc w:val="center"/>
              <w:rPr>
                <w:noProof/>
                <w:sz w:val="18"/>
                <w:szCs w:val="18"/>
              </w:rPr>
            </w:pPr>
          </w:p>
        </w:tc>
        <w:tc>
          <w:tcPr>
            <w:tcW w:w="840" w:type="dxa"/>
            <w:tcBorders>
              <w:top w:val="nil"/>
              <w:left w:val="nil"/>
              <w:bottom w:val="nil"/>
              <w:right w:val="nil"/>
            </w:tcBorders>
          </w:tcPr>
          <w:p>
            <w:pPr>
              <w:keepNext/>
              <w:spacing w:before="60" w:after="60"/>
              <w:ind w:right="-29"/>
              <w:jc w:val="center"/>
              <w:rPr>
                <w:noProof/>
                <w:sz w:val="18"/>
                <w:szCs w:val="18"/>
              </w:rPr>
            </w:pPr>
          </w:p>
        </w:tc>
        <w:tc>
          <w:tcPr>
            <w:tcW w:w="360" w:type="dxa"/>
            <w:tcBorders>
              <w:top w:val="nil"/>
              <w:left w:val="nil"/>
              <w:bottom w:val="nil"/>
              <w:right w:val="nil"/>
            </w:tcBorders>
          </w:tcPr>
          <w:p>
            <w:pPr>
              <w:keepNext/>
              <w:spacing w:before="60" w:after="60"/>
              <w:ind w:right="-29"/>
              <w:jc w:val="center"/>
              <w:rPr>
                <w:noProof/>
                <w:sz w:val="18"/>
                <w:szCs w:val="18"/>
              </w:rPr>
            </w:pPr>
          </w:p>
        </w:tc>
        <w:tc>
          <w:tcPr>
            <w:tcW w:w="733" w:type="dxa"/>
            <w:tcBorders>
              <w:top w:val="nil"/>
              <w:left w:val="nil"/>
              <w:bottom w:val="nil"/>
              <w:right w:val="nil"/>
            </w:tcBorders>
          </w:tcPr>
          <w:p>
            <w:pPr>
              <w:keepNext/>
              <w:spacing w:before="60" w:after="60"/>
              <w:ind w:right="-29"/>
              <w:jc w:val="center"/>
              <w:rPr>
                <w:noProof/>
                <w:sz w:val="18"/>
                <w:szCs w:val="18"/>
              </w:rPr>
            </w:pPr>
          </w:p>
        </w:tc>
        <w:tc>
          <w:tcPr>
            <w:tcW w:w="1134" w:type="dxa"/>
            <w:gridSpan w:val="2"/>
            <w:tcBorders>
              <w:top w:val="nil"/>
              <w:left w:val="nil"/>
              <w:bottom w:val="nil"/>
              <w:right w:val="nil"/>
            </w:tcBorders>
          </w:tcPr>
          <w:p>
            <w:pPr>
              <w:keepNext/>
              <w:spacing w:before="60" w:after="60"/>
              <w:ind w:right="-29"/>
              <w:jc w:val="center"/>
              <w:rPr>
                <w:noProof/>
                <w:sz w:val="18"/>
                <w:szCs w:val="18"/>
              </w:rPr>
            </w:pPr>
          </w:p>
        </w:tc>
        <w:tc>
          <w:tcPr>
            <w:tcW w:w="709" w:type="dxa"/>
            <w:tcBorders>
              <w:top w:val="nil"/>
              <w:left w:val="nil"/>
              <w:bottom w:val="nil"/>
              <w:right w:val="nil"/>
            </w:tcBorders>
          </w:tcPr>
          <w:p>
            <w:pPr>
              <w:keepNext/>
              <w:spacing w:before="60" w:after="60"/>
              <w:ind w:right="-29"/>
              <w:jc w:val="center"/>
              <w:rPr>
                <w:noProof/>
                <w:sz w:val="18"/>
                <w:szCs w:val="18"/>
              </w:rPr>
            </w:pPr>
          </w:p>
        </w:tc>
        <w:tc>
          <w:tcPr>
            <w:tcW w:w="1144" w:type="dxa"/>
            <w:tcBorders>
              <w:top w:val="nil"/>
              <w:left w:val="nil"/>
              <w:bottom w:val="single" w:sz="4" w:space="0" w:color="auto"/>
              <w:right w:val="single" w:sz="12" w:space="0" w:color="auto"/>
            </w:tcBorders>
          </w:tcPr>
          <w:p>
            <w:pPr>
              <w:keepNext/>
              <w:spacing w:before="60" w:after="60"/>
              <w:ind w:right="-29"/>
              <w:jc w:val="center"/>
              <w:rPr>
                <w:noProof/>
                <w:sz w:val="18"/>
                <w:szCs w:val="18"/>
              </w:rPr>
            </w:pPr>
          </w:p>
        </w:tc>
      </w:tr>
      <w:tr>
        <w:trPr>
          <w:trHeight w:hRule="exact" w:val="604"/>
          <w:jc w:val="center"/>
        </w:trPr>
        <w:tc>
          <w:tcPr>
            <w:tcW w:w="1422" w:type="dxa"/>
            <w:tcBorders>
              <w:left w:val="single" w:sz="12" w:space="0" w:color="auto"/>
            </w:tcBorders>
          </w:tcPr>
          <w:p>
            <w:pPr>
              <w:ind w:right="-29"/>
              <w:jc w:val="center"/>
              <w:rPr>
                <w:noProof/>
                <w:sz w:val="18"/>
                <w:szCs w:val="18"/>
              </w:rPr>
            </w:pPr>
            <w:r>
              <w:rPr>
                <w:noProof/>
                <w:sz w:val="18"/>
              </w:rPr>
              <w:t>Omrežne povezave</w:t>
            </w:r>
          </w:p>
        </w:tc>
        <w:tc>
          <w:tcPr>
            <w:tcW w:w="1380" w:type="dxa"/>
            <w:gridSpan w:val="2"/>
          </w:tcPr>
          <w:p>
            <w:pPr>
              <w:ind w:right="-29"/>
              <w:jc w:val="center"/>
              <w:rPr>
                <w:noProof/>
                <w:sz w:val="18"/>
                <w:szCs w:val="18"/>
              </w:rPr>
            </w:pPr>
            <w:r>
              <w:rPr>
                <w:noProof/>
                <w:sz w:val="18"/>
              </w:rPr>
              <w:t>Vzpostavitev omrežja</w:t>
            </w:r>
          </w:p>
        </w:tc>
        <w:tc>
          <w:tcPr>
            <w:tcW w:w="303" w:type="dxa"/>
            <w:tcBorders>
              <w:right w:val="dashSmallGap" w:sz="4" w:space="0" w:color="auto"/>
            </w:tcBorders>
          </w:tcPr>
          <w:p>
            <w:pPr>
              <w:ind w:right="-29"/>
              <w:jc w:val="center"/>
              <w:rPr>
                <w:noProof/>
                <w:sz w:val="18"/>
                <w:szCs w:val="18"/>
              </w:rPr>
            </w:pPr>
          </w:p>
        </w:tc>
        <w:tc>
          <w:tcPr>
            <w:tcW w:w="867" w:type="dxa"/>
            <w:tcBorders>
              <w:left w:val="dashSmallGap" w:sz="4" w:space="0" w:color="auto"/>
              <w:bottom w:val="single" w:sz="4" w:space="0" w:color="auto"/>
            </w:tcBorders>
          </w:tcPr>
          <w:p>
            <w:pPr>
              <w:ind w:right="-29"/>
              <w:jc w:val="center"/>
              <w:rPr>
                <w:noProof/>
                <w:sz w:val="18"/>
                <w:szCs w:val="18"/>
              </w:rPr>
            </w:pPr>
            <w:r>
              <w:rPr>
                <w:noProof/>
                <w:sz w:val="18"/>
              </w:rPr>
              <w:t>0</w:t>
            </w:r>
          </w:p>
        </w:tc>
        <w:tc>
          <w:tcPr>
            <w:tcW w:w="33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r>
              <w:rPr>
                <w:noProof/>
                <w:sz w:val="18"/>
              </w:rPr>
              <w:t>0</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r>
              <w:rPr>
                <w:noProof/>
                <w:sz w:val="18"/>
              </w:rPr>
              <w:t>0</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r>
              <w:rPr>
                <w:noProof/>
                <w:sz w:val="18"/>
              </w:rPr>
              <w:t>0,505</w:t>
            </w:r>
          </w:p>
        </w:tc>
        <w:tc>
          <w:tcPr>
            <w:tcW w:w="360" w:type="dxa"/>
            <w:tcBorders>
              <w:right w:val="dashSmallGap" w:sz="4" w:space="0" w:color="auto"/>
            </w:tcBorders>
          </w:tcPr>
          <w:p>
            <w:pPr>
              <w:ind w:right="-29"/>
              <w:jc w:val="center"/>
              <w:rPr>
                <w:noProof/>
                <w:sz w:val="18"/>
                <w:szCs w:val="18"/>
              </w:rPr>
            </w:pPr>
          </w:p>
        </w:tc>
        <w:tc>
          <w:tcPr>
            <w:tcW w:w="672" w:type="dxa"/>
            <w:tcBorders>
              <w:left w:val="dashSmallGap" w:sz="4" w:space="0" w:color="auto"/>
            </w:tcBorders>
          </w:tcPr>
          <w:p>
            <w:pPr>
              <w:ind w:right="-29"/>
              <w:jc w:val="center"/>
              <w:rPr>
                <w:noProof/>
                <w:sz w:val="18"/>
                <w:szCs w:val="18"/>
              </w:rPr>
            </w:pPr>
          </w:p>
        </w:tc>
        <w:tc>
          <w:tcPr>
            <w:tcW w:w="36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p>
        </w:tc>
        <w:tc>
          <w:tcPr>
            <w:tcW w:w="360" w:type="dxa"/>
            <w:tcBorders>
              <w:right w:val="dashSmallGap" w:sz="4" w:space="0" w:color="auto"/>
            </w:tcBorders>
          </w:tcPr>
          <w:p>
            <w:pPr>
              <w:ind w:right="-29"/>
              <w:jc w:val="center"/>
              <w:rPr>
                <w:noProof/>
                <w:sz w:val="18"/>
                <w:szCs w:val="18"/>
              </w:rPr>
            </w:pPr>
          </w:p>
        </w:tc>
        <w:tc>
          <w:tcPr>
            <w:tcW w:w="733" w:type="dxa"/>
            <w:tcBorders>
              <w:left w:val="dashSmallGap" w:sz="4" w:space="0" w:color="auto"/>
            </w:tcBorders>
          </w:tcPr>
          <w:p>
            <w:pPr>
              <w:ind w:right="-29"/>
              <w:jc w:val="center"/>
              <w:rPr>
                <w:noProof/>
                <w:sz w:val="18"/>
                <w:szCs w:val="18"/>
              </w:rPr>
            </w:pPr>
          </w:p>
        </w:tc>
        <w:tc>
          <w:tcPr>
            <w:tcW w:w="425" w:type="dxa"/>
            <w:tcBorders>
              <w:right w:val="dashSmallGap" w:sz="4" w:space="0" w:color="auto"/>
            </w:tcBorders>
          </w:tcPr>
          <w:p>
            <w:pPr>
              <w:ind w:right="-29"/>
              <w:jc w:val="center"/>
              <w:rPr>
                <w:noProof/>
                <w:sz w:val="18"/>
                <w:szCs w:val="18"/>
              </w:rPr>
            </w:pPr>
          </w:p>
        </w:tc>
        <w:tc>
          <w:tcPr>
            <w:tcW w:w="709" w:type="dxa"/>
            <w:tcBorders>
              <w:left w:val="dashSmallGap" w:sz="4" w:space="0" w:color="auto"/>
              <w:bottom w:val="single" w:sz="4" w:space="0" w:color="auto"/>
            </w:tcBorders>
          </w:tcPr>
          <w:p>
            <w:pPr>
              <w:ind w:right="-29"/>
              <w:jc w:val="center"/>
              <w:rPr>
                <w:noProof/>
                <w:sz w:val="18"/>
                <w:szCs w:val="18"/>
              </w:rPr>
            </w:pPr>
            <w:r>
              <w:rPr>
                <w:noProof/>
                <w:sz w:val="18"/>
              </w:rPr>
              <w:t>0</w:t>
            </w:r>
          </w:p>
        </w:tc>
        <w:tc>
          <w:tcPr>
            <w:tcW w:w="709" w:type="dxa"/>
            <w:tcBorders>
              <w:right w:val="dashSmallGap" w:sz="4" w:space="0" w:color="auto"/>
            </w:tcBorders>
          </w:tcPr>
          <w:p>
            <w:pPr>
              <w:ind w:right="-29"/>
              <w:jc w:val="center"/>
              <w:rPr>
                <w:noProof/>
                <w:sz w:val="18"/>
                <w:szCs w:val="18"/>
              </w:rPr>
            </w:pPr>
          </w:p>
        </w:tc>
        <w:tc>
          <w:tcPr>
            <w:tcW w:w="1144" w:type="dxa"/>
            <w:tcBorders>
              <w:left w:val="dashSmallGap" w:sz="4" w:space="0" w:color="auto"/>
              <w:bottom w:val="single" w:sz="4" w:space="0" w:color="auto"/>
              <w:right w:val="single" w:sz="12" w:space="0" w:color="auto"/>
            </w:tcBorders>
          </w:tcPr>
          <w:p>
            <w:pPr>
              <w:ind w:right="-29"/>
              <w:jc w:val="center"/>
              <w:rPr>
                <w:noProof/>
                <w:sz w:val="18"/>
                <w:szCs w:val="18"/>
              </w:rPr>
            </w:pPr>
            <w:r>
              <w:rPr>
                <w:noProof/>
                <w:sz w:val="18"/>
              </w:rPr>
              <w:t>0,505</w:t>
            </w:r>
          </w:p>
        </w:tc>
      </w:tr>
      <w:tr>
        <w:trPr>
          <w:trHeight w:hRule="exact" w:val="844"/>
          <w:jc w:val="center"/>
        </w:trPr>
        <w:tc>
          <w:tcPr>
            <w:tcW w:w="1422" w:type="dxa"/>
            <w:tcBorders>
              <w:left w:val="single" w:sz="12" w:space="0" w:color="auto"/>
            </w:tcBorders>
          </w:tcPr>
          <w:p>
            <w:pPr>
              <w:ind w:right="-29"/>
              <w:jc w:val="center"/>
              <w:rPr>
                <w:noProof/>
                <w:sz w:val="18"/>
                <w:szCs w:val="18"/>
              </w:rPr>
            </w:pPr>
            <w:r>
              <w:rPr>
                <w:noProof/>
                <w:sz w:val="18"/>
              </w:rPr>
              <w:t>Opravljen promet po omrežju</w:t>
            </w:r>
          </w:p>
        </w:tc>
        <w:tc>
          <w:tcPr>
            <w:tcW w:w="1380" w:type="dxa"/>
            <w:gridSpan w:val="2"/>
          </w:tcPr>
          <w:p>
            <w:pPr>
              <w:ind w:right="-29"/>
              <w:jc w:val="center"/>
              <w:rPr>
                <w:noProof/>
                <w:sz w:val="18"/>
                <w:szCs w:val="18"/>
              </w:rPr>
            </w:pPr>
            <w:r>
              <w:rPr>
                <w:noProof/>
                <w:sz w:val="18"/>
              </w:rPr>
              <w:t>Omrežne operacije</w:t>
            </w:r>
          </w:p>
        </w:tc>
        <w:tc>
          <w:tcPr>
            <w:tcW w:w="303" w:type="dxa"/>
            <w:tcBorders>
              <w:right w:val="dashSmallGap" w:sz="4" w:space="0" w:color="auto"/>
            </w:tcBorders>
          </w:tcPr>
          <w:p>
            <w:pPr>
              <w:ind w:right="-29"/>
              <w:jc w:val="center"/>
              <w:rPr>
                <w:noProof/>
                <w:sz w:val="18"/>
                <w:szCs w:val="18"/>
              </w:rPr>
            </w:pPr>
          </w:p>
        </w:tc>
        <w:tc>
          <w:tcPr>
            <w:tcW w:w="867" w:type="dxa"/>
            <w:tcBorders>
              <w:left w:val="dashSmallGap" w:sz="4" w:space="0" w:color="auto"/>
              <w:bottom w:val="single" w:sz="4" w:space="0" w:color="auto"/>
            </w:tcBorders>
          </w:tcPr>
          <w:p>
            <w:pPr>
              <w:ind w:right="-29"/>
              <w:jc w:val="center"/>
              <w:rPr>
                <w:noProof/>
                <w:sz w:val="18"/>
                <w:szCs w:val="18"/>
              </w:rPr>
            </w:pPr>
            <w:r>
              <w:rPr>
                <w:noProof/>
                <w:sz w:val="18"/>
              </w:rPr>
              <w:t>0</w:t>
            </w:r>
          </w:p>
        </w:tc>
        <w:tc>
          <w:tcPr>
            <w:tcW w:w="330" w:type="dxa"/>
            <w:tcBorders>
              <w:right w:val="dashSmallGap" w:sz="4" w:space="0" w:color="auto"/>
            </w:tcBorders>
          </w:tcPr>
          <w:p>
            <w:pPr>
              <w:ind w:right="-29"/>
              <w:jc w:val="center"/>
              <w:rPr>
                <w:noProof/>
                <w:sz w:val="18"/>
                <w:szCs w:val="18"/>
              </w:rPr>
            </w:pPr>
          </w:p>
        </w:tc>
        <w:tc>
          <w:tcPr>
            <w:tcW w:w="840" w:type="dxa"/>
            <w:tcBorders>
              <w:left w:val="dashSmallGap" w:sz="4" w:space="0" w:color="auto"/>
              <w:bottom w:val="single" w:sz="4" w:space="0" w:color="auto"/>
            </w:tcBorders>
          </w:tcPr>
          <w:p>
            <w:pPr>
              <w:ind w:right="-29"/>
              <w:jc w:val="center"/>
              <w:rPr>
                <w:noProof/>
                <w:sz w:val="18"/>
                <w:szCs w:val="18"/>
              </w:rPr>
            </w:pPr>
            <w:r>
              <w:rPr>
                <w:noProof/>
                <w:sz w:val="18"/>
              </w:rPr>
              <w:t>0</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bottom w:val="single" w:sz="4" w:space="0" w:color="auto"/>
            </w:tcBorders>
          </w:tcPr>
          <w:p>
            <w:pPr>
              <w:ind w:right="-29"/>
              <w:jc w:val="center"/>
              <w:rPr>
                <w:noProof/>
                <w:sz w:val="18"/>
                <w:szCs w:val="18"/>
              </w:rPr>
            </w:pP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bottom w:val="single" w:sz="4" w:space="0" w:color="auto"/>
            </w:tcBorders>
          </w:tcPr>
          <w:p>
            <w:pPr>
              <w:ind w:right="-29"/>
              <w:jc w:val="center"/>
              <w:rPr>
                <w:noProof/>
                <w:sz w:val="18"/>
                <w:szCs w:val="18"/>
              </w:rPr>
            </w:pPr>
          </w:p>
        </w:tc>
        <w:tc>
          <w:tcPr>
            <w:tcW w:w="360" w:type="dxa"/>
            <w:tcBorders>
              <w:right w:val="dashSmallGap" w:sz="4" w:space="0" w:color="auto"/>
            </w:tcBorders>
          </w:tcPr>
          <w:p>
            <w:pPr>
              <w:ind w:right="-29"/>
              <w:jc w:val="center"/>
              <w:rPr>
                <w:noProof/>
                <w:sz w:val="18"/>
                <w:szCs w:val="18"/>
              </w:rPr>
            </w:pPr>
          </w:p>
        </w:tc>
        <w:tc>
          <w:tcPr>
            <w:tcW w:w="672" w:type="dxa"/>
            <w:tcBorders>
              <w:left w:val="dashSmallGap" w:sz="4" w:space="0" w:color="auto"/>
              <w:bottom w:val="single" w:sz="4" w:space="0" w:color="auto"/>
            </w:tcBorders>
          </w:tcPr>
          <w:p>
            <w:pPr>
              <w:ind w:right="-29"/>
              <w:jc w:val="center"/>
              <w:rPr>
                <w:noProof/>
                <w:sz w:val="18"/>
                <w:szCs w:val="18"/>
              </w:rPr>
            </w:pPr>
            <w:r>
              <w:rPr>
                <w:noProof/>
                <w:sz w:val="18"/>
              </w:rPr>
              <w:t>0,246</w:t>
            </w:r>
          </w:p>
        </w:tc>
        <w:tc>
          <w:tcPr>
            <w:tcW w:w="360" w:type="dxa"/>
            <w:tcBorders>
              <w:right w:val="dashSmallGap" w:sz="4" w:space="0" w:color="auto"/>
            </w:tcBorders>
          </w:tcPr>
          <w:p>
            <w:pPr>
              <w:ind w:right="-29"/>
              <w:jc w:val="center"/>
              <w:rPr>
                <w:noProof/>
                <w:sz w:val="18"/>
                <w:szCs w:val="18"/>
              </w:rPr>
            </w:pPr>
          </w:p>
        </w:tc>
        <w:tc>
          <w:tcPr>
            <w:tcW w:w="720" w:type="dxa"/>
            <w:tcBorders>
              <w:left w:val="dashSmallGap" w:sz="4" w:space="0" w:color="auto"/>
              <w:bottom w:val="single" w:sz="4" w:space="0" w:color="auto"/>
            </w:tcBorders>
          </w:tcPr>
          <w:p>
            <w:pPr>
              <w:ind w:right="-29"/>
              <w:jc w:val="center"/>
              <w:rPr>
                <w:noProof/>
                <w:sz w:val="18"/>
                <w:szCs w:val="18"/>
              </w:rPr>
            </w:pPr>
            <w:r>
              <w:rPr>
                <w:noProof/>
                <w:sz w:val="18"/>
              </w:rPr>
              <w:t>0,246</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bottom w:val="single" w:sz="4" w:space="0" w:color="auto"/>
            </w:tcBorders>
          </w:tcPr>
          <w:p>
            <w:pPr>
              <w:ind w:right="-29"/>
              <w:jc w:val="center"/>
              <w:rPr>
                <w:noProof/>
                <w:sz w:val="18"/>
                <w:szCs w:val="18"/>
              </w:rPr>
            </w:pPr>
            <w:r>
              <w:rPr>
                <w:noProof/>
                <w:sz w:val="18"/>
              </w:rPr>
              <w:t>0,246</w:t>
            </w:r>
          </w:p>
        </w:tc>
        <w:tc>
          <w:tcPr>
            <w:tcW w:w="360" w:type="dxa"/>
            <w:tcBorders>
              <w:right w:val="dashSmallGap" w:sz="4" w:space="0" w:color="auto"/>
            </w:tcBorders>
          </w:tcPr>
          <w:p>
            <w:pPr>
              <w:ind w:right="-29"/>
              <w:jc w:val="center"/>
              <w:rPr>
                <w:noProof/>
                <w:sz w:val="18"/>
                <w:szCs w:val="18"/>
              </w:rPr>
            </w:pPr>
          </w:p>
        </w:tc>
        <w:tc>
          <w:tcPr>
            <w:tcW w:w="733" w:type="dxa"/>
            <w:tcBorders>
              <w:left w:val="dashSmallGap" w:sz="4" w:space="0" w:color="auto"/>
              <w:bottom w:val="single" w:sz="4" w:space="0" w:color="auto"/>
            </w:tcBorders>
          </w:tcPr>
          <w:p>
            <w:pPr>
              <w:ind w:right="-29"/>
              <w:jc w:val="center"/>
              <w:rPr>
                <w:noProof/>
                <w:sz w:val="18"/>
                <w:szCs w:val="18"/>
              </w:rPr>
            </w:pPr>
            <w:r>
              <w:rPr>
                <w:noProof/>
                <w:sz w:val="18"/>
              </w:rPr>
              <w:t>0,246</w:t>
            </w:r>
          </w:p>
        </w:tc>
        <w:tc>
          <w:tcPr>
            <w:tcW w:w="425" w:type="dxa"/>
            <w:tcBorders>
              <w:right w:val="dashSmallGap" w:sz="4" w:space="0" w:color="auto"/>
            </w:tcBorders>
          </w:tcPr>
          <w:p>
            <w:pPr>
              <w:ind w:right="-29"/>
              <w:jc w:val="center"/>
              <w:rPr>
                <w:noProof/>
                <w:sz w:val="18"/>
                <w:szCs w:val="18"/>
              </w:rPr>
            </w:pPr>
          </w:p>
        </w:tc>
        <w:tc>
          <w:tcPr>
            <w:tcW w:w="709" w:type="dxa"/>
            <w:tcBorders>
              <w:left w:val="dashSmallGap" w:sz="4" w:space="0" w:color="auto"/>
              <w:bottom w:val="single" w:sz="4" w:space="0" w:color="auto"/>
            </w:tcBorders>
          </w:tcPr>
          <w:p>
            <w:pPr>
              <w:ind w:right="-29"/>
              <w:jc w:val="center"/>
              <w:rPr>
                <w:noProof/>
                <w:sz w:val="18"/>
                <w:szCs w:val="18"/>
              </w:rPr>
            </w:pPr>
            <w:r>
              <w:rPr>
                <w:noProof/>
                <w:sz w:val="18"/>
              </w:rPr>
              <w:t>0,246</w:t>
            </w:r>
          </w:p>
        </w:tc>
        <w:tc>
          <w:tcPr>
            <w:tcW w:w="709" w:type="dxa"/>
            <w:tcBorders>
              <w:right w:val="dashSmallGap" w:sz="4" w:space="0" w:color="auto"/>
            </w:tcBorders>
          </w:tcPr>
          <w:p>
            <w:pPr>
              <w:ind w:right="-29"/>
              <w:jc w:val="center"/>
              <w:rPr>
                <w:noProof/>
                <w:sz w:val="18"/>
                <w:szCs w:val="18"/>
              </w:rPr>
            </w:pPr>
          </w:p>
        </w:tc>
        <w:tc>
          <w:tcPr>
            <w:tcW w:w="1144" w:type="dxa"/>
            <w:tcBorders>
              <w:left w:val="dashSmallGap" w:sz="4" w:space="0" w:color="auto"/>
              <w:bottom w:val="single" w:sz="4" w:space="0" w:color="auto"/>
              <w:right w:val="single" w:sz="12" w:space="0" w:color="auto"/>
            </w:tcBorders>
          </w:tcPr>
          <w:p>
            <w:pPr>
              <w:ind w:right="-29"/>
              <w:jc w:val="center"/>
              <w:rPr>
                <w:noProof/>
                <w:sz w:val="18"/>
                <w:szCs w:val="18"/>
              </w:rPr>
            </w:pPr>
            <w:r>
              <w:rPr>
                <w:noProof/>
                <w:sz w:val="18"/>
              </w:rPr>
              <w:t>1,230</w:t>
            </w:r>
          </w:p>
        </w:tc>
      </w:tr>
      <w:tr>
        <w:trPr>
          <w:jc w:val="center"/>
        </w:trPr>
        <w:tc>
          <w:tcPr>
            <w:tcW w:w="2802" w:type="dxa"/>
            <w:gridSpan w:val="3"/>
            <w:tcBorders>
              <w:left w:val="single" w:sz="12" w:space="0" w:color="auto"/>
              <w:bottom w:val="single" w:sz="12" w:space="0" w:color="auto"/>
            </w:tcBorders>
            <w:vAlign w:val="center"/>
          </w:tcPr>
          <w:p>
            <w:pPr>
              <w:ind w:right="-29"/>
              <w:jc w:val="center"/>
              <w:rPr>
                <w:noProof/>
                <w:sz w:val="18"/>
                <w:szCs w:val="18"/>
              </w:rPr>
            </w:pPr>
            <w:r>
              <w:rPr>
                <w:noProof/>
                <w:sz w:val="18"/>
              </w:rPr>
              <w:t>Seštevek za specifični cilj št. 4</w:t>
            </w:r>
          </w:p>
        </w:tc>
        <w:tc>
          <w:tcPr>
            <w:tcW w:w="303" w:type="dxa"/>
            <w:tcBorders>
              <w:bottom w:val="single" w:sz="12" w:space="0" w:color="auto"/>
              <w:right w:val="dashSmallGap" w:sz="4" w:space="0" w:color="auto"/>
            </w:tcBorders>
          </w:tcPr>
          <w:p>
            <w:pPr>
              <w:ind w:right="-29"/>
              <w:jc w:val="center"/>
              <w:rPr>
                <w:noProof/>
                <w:sz w:val="18"/>
                <w:szCs w:val="18"/>
              </w:rPr>
            </w:pPr>
          </w:p>
        </w:tc>
        <w:tc>
          <w:tcPr>
            <w:tcW w:w="867" w:type="dxa"/>
            <w:tcBorders>
              <w:left w:val="dashSmallGap" w:sz="4" w:space="0" w:color="auto"/>
              <w:bottom w:val="single" w:sz="12" w:space="0" w:color="auto"/>
            </w:tcBorders>
          </w:tcPr>
          <w:p>
            <w:pPr>
              <w:ind w:right="-29"/>
              <w:jc w:val="center"/>
              <w:rPr>
                <w:b/>
                <w:noProof/>
                <w:sz w:val="18"/>
                <w:szCs w:val="18"/>
              </w:rPr>
            </w:pPr>
            <w:r>
              <w:rPr>
                <w:b/>
                <w:noProof/>
                <w:sz w:val="18"/>
              </w:rPr>
              <w:t>0</w:t>
            </w:r>
          </w:p>
        </w:tc>
        <w:tc>
          <w:tcPr>
            <w:tcW w:w="330" w:type="dxa"/>
            <w:tcBorders>
              <w:bottom w:val="single" w:sz="12" w:space="0" w:color="auto"/>
              <w:right w:val="dashSmallGap" w:sz="4" w:space="0" w:color="auto"/>
            </w:tcBorders>
          </w:tcPr>
          <w:p>
            <w:pPr>
              <w:ind w:right="-29"/>
              <w:jc w:val="center"/>
              <w:rPr>
                <w:noProof/>
                <w:sz w:val="18"/>
                <w:szCs w:val="18"/>
              </w:rPr>
            </w:pPr>
          </w:p>
        </w:tc>
        <w:tc>
          <w:tcPr>
            <w:tcW w:w="840" w:type="dxa"/>
            <w:tcBorders>
              <w:left w:val="dashSmallGap" w:sz="4" w:space="0" w:color="auto"/>
              <w:bottom w:val="single" w:sz="12" w:space="0" w:color="auto"/>
            </w:tcBorders>
          </w:tcPr>
          <w:p>
            <w:pPr>
              <w:ind w:right="-29"/>
              <w:jc w:val="center"/>
              <w:rPr>
                <w:b/>
                <w:noProof/>
                <w:sz w:val="18"/>
                <w:szCs w:val="18"/>
              </w:rPr>
            </w:pPr>
            <w:r>
              <w:rPr>
                <w:b/>
                <w:noProof/>
                <w:sz w:val="18"/>
              </w:rPr>
              <w:t>0</w:t>
            </w:r>
          </w:p>
        </w:tc>
        <w:tc>
          <w:tcPr>
            <w:tcW w:w="360" w:type="dxa"/>
            <w:tcBorders>
              <w:bottom w:val="single" w:sz="12" w:space="0" w:color="auto"/>
              <w:right w:val="dashSmallGap" w:sz="4" w:space="0" w:color="auto"/>
            </w:tcBorders>
          </w:tcPr>
          <w:p>
            <w:pPr>
              <w:ind w:right="-29"/>
              <w:jc w:val="center"/>
              <w:rPr>
                <w:noProof/>
                <w:sz w:val="18"/>
                <w:szCs w:val="18"/>
              </w:rPr>
            </w:pPr>
          </w:p>
        </w:tc>
        <w:tc>
          <w:tcPr>
            <w:tcW w:w="840" w:type="dxa"/>
            <w:tcBorders>
              <w:left w:val="dashSmallGap" w:sz="4" w:space="0" w:color="auto"/>
              <w:bottom w:val="single" w:sz="12" w:space="0" w:color="auto"/>
            </w:tcBorders>
          </w:tcPr>
          <w:p>
            <w:pPr>
              <w:ind w:right="-29"/>
              <w:jc w:val="center"/>
              <w:rPr>
                <w:b/>
                <w:noProof/>
                <w:sz w:val="18"/>
                <w:szCs w:val="18"/>
              </w:rPr>
            </w:pPr>
            <w:r>
              <w:rPr>
                <w:b/>
                <w:noProof/>
                <w:sz w:val="18"/>
              </w:rPr>
              <w:t>0</w:t>
            </w:r>
          </w:p>
        </w:tc>
        <w:tc>
          <w:tcPr>
            <w:tcW w:w="360" w:type="dxa"/>
            <w:tcBorders>
              <w:bottom w:val="single" w:sz="12" w:space="0" w:color="auto"/>
              <w:right w:val="dashSmallGap" w:sz="4" w:space="0" w:color="auto"/>
            </w:tcBorders>
          </w:tcPr>
          <w:p>
            <w:pPr>
              <w:ind w:right="-29"/>
              <w:jc w:val="center"/>
              <w:rPr>
                <w:noProof/>
                <w:sz w:val="18"/>
                <w:szCs w:val="18"/>
              </w:rPr>
            </w:pPr>
          </w:p>
        </w:tc>
        <w:tc>
          <w:tcPr>
            <w:tcW w:w="840" w:type="dxa"/>
            <w:tcBorders>
              <w:left w:val="dashSmallGap" w:sz="4" w:space="0" w:color="auto"/>
              <w:bottom w:val="single" w:sz="12" w:space="0" w:color="auto"/>
            </w:tcBorders>
          </w:tcPr>
          <w:p>
            <w:pPr>
              <w:ind w:right="-29"/>
              <w:jc w:val="center"/>
              <w:rPr>
                <w:b/>
                <w:noProof/>
                <w:sz w:val="18"/>
                <w:szCs w:val="18"/>
              </w:rPr>
            </w:pPr>
            <w:r>
              <w:rPr>
                <w:b/>
                <w:noProof/>
                <w:sz w:val="18"/>
              </w:rPr>
              <w:t>0,505</w:t>
            </w:r>
          </w:p>
        </w:tc>
        <w:tc>
          <w:tcPr>
            <w:tcW w:w="360" w:type="dxa"/>
            <w:tcBorders>
              <w:bottom w:val="single" w:sz="12" w:space="0" w:color="auto"/>
              <w:right w:val="dashSmallGap" w:sz="4" w:space="0" w:color="auto"/>
            </w:tcBorders>
          </w:tcPr>
          <w:p>
            <w:pPr>
              <w:ind w:right="-29"/>
              <w:jc w:val="center"/>
              <w:rPr>
                <w:noProof/>
                <w:sz w:val="18"/>
                <w:szCs w:val="18"/>
              </w:rPr>
            </w:pPr>
          </w:p>
        </w:tc>
        <w:tc>
          <w:tcPr>
            <w:tcW w:w="672" w:type="dxa"/>
            <w:tcBorders>
              <w:left w:val="dashSmallGap" w:sz="4" w:space="0" w:color="auto"/>
              <w:bottom w:val="single" w:sz="12" w:space="0" w:color="auto"/>
            </w:tcBorders>
          </w:tcPr>
          <w:p>
            <w:pPr>
              <w:ind w:right="-29"/>
              <w:rPr>
                <w:b/>
                <w:noProof/>
                <w:sz w:val="18"/>
                <w:szCs w:val="18"/>
              </w:rPr>
            </w:pPr>
            <w:r>
              <w:rPr>
                <w:b/>
                <w:noProof/>
                <w:sz w:val="18"/>
              </w:rPr>
              <w:t>0,246</w:t>
            </w:r>
          </w:p>
        </w:tc>
        <w:tc>
          <w:tcPr>
            <w:tcW w:w="360" w:type="dxa"/>
            <w:tcBorders>
              <w:bottom w:val="single" w:sz="12" w:space="0" w:color="auto"/>
              <w:right w:val="dashSmallGap" w:sz="4" w:space="0" w:color="auto"/>
            </w:tcBorders>
          </w:tcPr>
          <w:p>
            <w:pPr>
              <w:ind w:right="-29"/>
              <w:jc w:val="center"/>
              <w:rPr>
                <w:noProof/>
                <w:sz w:val="18"/>
                <w:szCs w:val="18"/>
              </w:rPr>
            </w:pPr>
          </w:p>
        </w:tc>
        <w:tc>
          <w:tcPr>
            <w:tcW w:w="720" w:type="dxa"/>
            <w:tcBorders>
              <w:left w:val="dashSmallGap" w:sz="4" w:space="0" w:color="auto"/>
              <w:bottom w:val="single" w:sz="12" w:space="0" w:color="auto"/>
            </w:tcBorders>
          </w:tcPr>
          <w:p>
            <w:pPr>
              <w:ind w:right="-29"/>
              <w:jc w:val="center"/>
              <w:rPr>
                <w:b/>
                <w:noProof/>
                <w:sz w:val="18"/>
                <w:szCs w:val="18"/>
              </w:rPr>
            </w:pPr>
            <w:r>
              <w:rPr>
                <w:b/>
                <w:noProof/>
                <w:sz w:val="18"/>
              </w:rPr>
              <w:t>0,246</w:t>
            </w:r>
          </w:p>
        </w:tc>
        <w:tc>
          <w:tcPr>
            <w:tcW w:w="360" w:type="dxa"/>
            <w:tcBorders>
              <w:bottom w:val="single" w:sz="12" w:space="0" w:color="auto"/>
              <w:right w:val="dashSmallGap" w:sz="4" w:space="0" w:color="auto"/>
            </w:tcBorders>
          </w:tcPr>
          <w:p>
            <w:pPr>
              <w:ind w:right="-29"/>
              <w:jc w:val="center"/>
              <w:rPr>
                <w:noProof/>
                <w:sz w:val="18"/>
                <w:szCs w:val="18"/>
              </w:rPr>
            </w:pPr>
          </w:p>
        </w:tc>
        <w:tc>
          <w:tcPr>
            <w:tcW w:w="840" w:type="dxa"/>
            <w:tcBorders>
              <w:left w:val="dashSmallGap" w:sz="4" w:space="0" w:color="auto"/>
              <w:bottom w:val="single" w:sz="12" w:space="0" w:color="auto"/>
            </w:tcBorders>
          </w:tcPr>
          <w:p>
            <w:pPr>
              <w:ind w:right="-29"/>
              <w:jc w:val="center"/>
              <w:rPr>
                <w:b/>
                <w:noProof/>
                <w:sz w:val="18"/>
                <w:szCs w:val="18"/>
              </w:rPr>
            </w:pPr>
            <w:r>
              <w:rPr>
                <w:b/>
                <w:noProof/>
                <w:sz w:val="18"/>
              </w:rPr>
              <w:t>0,246</w:t>
            </w:r>
          </w:p>
        </w:tc>
        <w:tc>
          <w:tcPr>
            <w:tcW w:w="360" w:type="dxa"/>
            <w:tcBorders>
              <w:bottom w:val="single" w:sz="12" w:space="0" w:color="auto"/>
              <w:right w:val="dashSmallGap" w:sz="4" w:space="0" w:color="auto"/>
            </w:tcBorders>
          </w:tcPr>
          <w:p>
            <w:pPr>
              <w:ind w:right="-29"/>
              <w:jc w:val="center"/>
              <w:rPr>
                <w:noProof/>
                <w:sz w:val="18"/>
                <w:szCs w:val="18"/>
              </w:rPr>
            </w:pPr>
          </w:p>
        </w:tc>
        <w:tc>
          <w:tcPr>
            <w:tcW w:w="733" w:type="dxa"/>
            <w:tcBorders>
              <w:left w:val="dashSmallGap" w:sz="4" w:space="0" w:color="auto"/>
              <w:bottom w:val="single" w:sz="12" w:space="0" w:color="auto"/>
            </w:tcBorders>
          </w:tcPr>
          <w:p>
            <w:pPr>
              <w:ind w:right="-29"/>
              <w:jc w:val="center"/>
              <w:rPr>
                <w:b/>
                <w:noProof/>
                <w:sz w:val="18"/>
                <w:szCs w:val="18"/>
              </w:rPr>
            </w:pPr>
            <w:r>
              <w:rPr>
                <w:b/>
                <w:noProof/>
                <w:sz w:val="18"/>
              </w:rPr>
              <w:t>0,246</w:t>
            </w:r>
          </w:p>
        </w:tc>
        <w:tc>
          <w:tcPr>
            <w:tcW w:w="425" w:type="dxa"/>
            <w:tcBorders>
              <w:bottom w:val="single" w:sz="12" w:space="0" w:color="auto"/>
              <w:right w:val="dashSmallGap" w:sz="4" w:space="0" w:color="auto"/>
            </w:tcBorders>
          </w:tcPr>
          <w:p>
            <w:pPr>
              <w:ind w:right="-29"/>
              <w:jc w:val="center"/>
              <w:rPr>
                <w:noProof/>
                <w:sz w:val="18"/>
                <w:szCs w:val="18"/>
              </w:rPr>
            </w:pPr>
          </w:p>
        </w:tc>
        <w:tc>
          <w:tcPr>
            <w:tcW w:w="709" w:type="dxa"/>
            <w:tcBorders>
              <w:left w:val="dashSmallGap" w:sz="4" w:space="0" w:color="auto"/>
              <w:bottom w:val="single" w:sz="12" w:space="0" w:color="auto"/>
            </w:tcBorders>
          </w:tcPr>
          <w:p>
            <w:pPr>
              <w:ind w:right="-29"/>
              <w:jc w:val="center"/>
              <w:rPr>
                <w:b/>
                <w:noProof/>
                <w:sz w:val="18"/>
                <w:szCs w:val="18"/>
              </w:rPr>
            </w:pPr>
            <w:r>
              <w:rPr>
                <w:b/>
                <w:noProof/>
                <w:sz w:val="18"/>
              </w:rPr>
              <w:t>0,246</w:t>
            </w:r>
          </w:p>
        </w:tc>
        <w:tc>
          <w:tcPr>
            <w:tcW w:w="709" w:type="dxa"/>
            <w:tcBorders>
              <w:bottom w:val="single" w:sz="12" w:space="0" w:color="auto"/>
              <w:right w:val="dashSmallGap" w:sz="4" w:space="0" w:color="auto"/>
            </w:tcBorders>
          </w:tcPr>
          <w:p>
            <w:pPr>
              <w:ind w:right="-29"/>
              <w:jc w:val="center"/>
              <w:rPr>
                <w:noProof/>
                <w:sz w:val="18"/>
                <w:szCs w:val="18"/>
              </w:rPr>
            </w:pPr>
          </w:p>
        </w:tc>
        <w:tc>
          <w:tcPr>
            <w:tcW w:w="1144" w:type="dxa"/>
            <w:tcBorders>
              <w:left w:val="dashSmallGap" w:sz="4" w:space="0" w:color="auto"/>
              <w:bottom w:val="single" w:sz="12" w:space="0" w:color="auto"/>
              <w:right w:val="single" w:sz="12" w:space="0" w:color="auto"/>
            </w:tcBorders>
          </w:tcPr>
          <w:p>
            <w:pPr>
              <w:ind w:right="-29"/>
              <w:jc w:val="center"/>
              <w:rPr>
                <w:b/>
                <w:noProof/>
                <w:sz w:val="18"/>
                <w:szCs w:val="18"/>
              </w:rPr>
            </w:pPr>
            <w:r>
              <w:rPr>
                <w:b/>
                <w:noProof/>
                <w:sz w:val="18"/>
              </w:rPr>
              <w:t>1,735</w:t>
            </w:r>
          </w:p>
        </w:tc>
      </w:tr>
    </w:tbl>
    <w:p>
      <w:pPr>
        <w:rPr>
          <w:noProof/>
        </w:rPr>
      </w:pPr>
    </w:p>
    <w:p>
      <w:pPr>
        <w:pStyle w:val="ListDash"/>
        <w:rPr>
          <w:noProof/>
        </w:rPr>
      </w:pPr>
      <w:r>
        <w:rPr>
          <w:noProof/>
        </w:rPr>
        <w:t>Sestavni deli interoperabilnosti imajo le majhen vpliv na promet po omrežju. Z vidika podatkov se ustvarjajo le povezave med obstoječimi podatki, pri čemer gre za neobsežno operacijo. Tu vključeni stroški predstavljajo le rahlo povečanje sredstev, že namenjenih proračunom za SVI in sistem ETIAS za vzpostavitev omrežja in promet po njem.</w:t>
      </w:r>
    </w:p>
    <w:p>
      <w:pPr>
        <w:keepNext/>
        <w:rPr>
          <w:noProof/>
        </w:rPr>
      </w:pPr>
    </w:p>
    <w:tbl>
      <w:tblPr>
        <w:tblW w:w="14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2"/>
        <w:gridCol w:w="721"/>
        <w:gridCol w:w="659"/>
        <w:gridCol w:w="303"/>
        <w:gridCol w:w="867"/>
        <w:gridCol w:w="330"/>
        <w:gridCol w:w="840"/>
        <w:gridCol w:w="360"/>
        <w:gridCol w:w="840"/>
        <w:gridCol w:w="360"/>
        <w:gridCol w:w="840"/>
        <w:gridCol w:w="360"/>
        <w:gridCol w:w="672"/>
        <w:gridCol w:w="360"/>
        <w:gridCol w:w="720"/>
        <w:gridCol w:w="360"/>
        <w:gridCol w:w="840"/>
        <w:gridCol w:w="360"/>
        <w:gridCol w:w="733"/>
        <w:gridCol w:w="425"/>
        <w:gridCol w:w="709"/>
        <w:gridCol w:w="709"/>
        <w:gridCol w:w="1144"/>
      </w:tblGrid>
      <w:tr>
        <w:trPr>
          <w:jc w:val="center"/>
        </w:trPr>
        <w:tc>
          <w:tcPr>
            <w:tcW w:w="1422" w:type="dxa"/>
            <w:vMerge w:val="restart"/>
            <w:tcBorders>
              <w:top w:val="single" w:sz="12" w:space="0" w:color="auto"/>
              <w:left w:val="single" w:sz="12" w:space="0" w:color="auto"/>
            </w:tcBorders>
            <w:vAlign w:val="center"/>
          </w:tcPr>
          <w:p>
            <w:pPr>
              <w:keepNext/>
              <w:ind w:right="-29"/>
              <w:jc w:val="center"/>
              <w:rPr>
                <w:b/>
                <w:noProof/>
                <w:sz w:val="18"/>
                <w:szCs w:val="18"/>
              </w:rPr>
            </w:pPr>
            <w:r>
              <w:rPr>
                <w:b/>
                <w:noProof/>
                <w:sz w:val="18"/>
              </w:rPr>
              <w:t xml:space="preserve">Cilji in realizacije </w:t>
            </w:r>
          </w:p>
          <w:p>
            <w:pPr>
              <w:keepNext/>
              <w:ind w:right="-29"/>
              <w:jc w:val="center"/>
              <w:rPr>
                <w:b/>
                <w:noProof/>
                <w:sz w:val="18"/>
                <w:szCs w:val="18"/>
              </w:rPr>
            </w:pPr>
            <w:r>
              <w:rPr>
                <w:b/>
                <w:noProof/>
                <w:sz w:val="18"/>
              </w:rPr>
              <w:t>eu-LISA</w:t>
            </w:r>
          </w:p>
          <w:p>
            <w:pPr>
              <w:keepNext/>
              <w:ind w:right="-29"/>
              <w:jc w:val="center"/>
              <w:rPr>
                <w:noProof/>
                <w:sz w:val="18"/>
                <w:szCs w:val="18"/>
              </w:rPr>
            </w:pPr>
            <w:r>
              <w:rPr>
                <w:noProof/>
                <w:sz w:val="18"/>
              </w:rPr>
              <w:sym w:font="Wingdings" w:char="F0F2"/>
            </w:r>
          </w:p>
        </w:tc>
        <w:tc>
          <w:tcPr>
            <w:tcW w:w="721" w:type="dxa"/>
            <w:tcBorders>
              <w:top w:val="single" w:sz="12" w:space="0" w:color="auto"/>
            </w:tcBorders>
            <w:vAlign w:val="center"/>
          </w:tcPr>
          <w:p>
            <w:pPr>
              <w:keepNext/>
              <w:ind w:right="-29"/>
              <w:jc w:val="center"/>
              <w:rPr>
                <w:noProof/>
                <w:sz w:val="18"/>
                <w:szCs w:val="18"/>
              </w:rPr>
            </w:pPr>
          </w:p>
        </w:tc>
        <w:tc>
          <w:tcPr>
            <w:tcW w:w="659" w:type="dxa"/>
            <w:tcBorders>
              <w:top w:val="single" w:sz="12" w:space="0" w:color="auto"/>
            </w:tcBorders>
            <w:vAlign w:val="center"/>
          </w:tcPr>
          <w:p>
            <w:pPr>
              <w:keepNext/>
              <w:ind w:right="-29"/>
              <w:jc w:val="center"/>
              <w:rPr>
                <w:noProof/>
                <w:sz w:val="18"/>
                <w:szCs w:val="18"/>
              </w:rPr>
            </w:pPr>
          </w:p>
        </w:tc>
        <w:tc>
          <w:tcPr>
            <w:tcW w:w="1170" w:type="dxa"/>
            <w:gridSpan w:val="2"/>
            <w:tcBorders>
              <w:top w:val="single" w:sz="12" w:space="0" w:color="auto"/>
              <w:right w:val="single" w:sz="4" w:space="0" w:color="auto"/>
            </w:tcBorders>
            <w:vAlign w:val="center"/>
          </w:tcPr>
          <w:p>
            <w:pPr>
              <w:keepNext/>
              <w:ind w:right="-29"/>
              <w:jc w:val="center"/>
              <w:rPr>
                <w:noProof/>
                <w:sz w:val="18"/>
                <w:szCs w:val="18"/>
              </w:rPr>
            </w:pPr>
            <w:r>
              <w:rPr>
                <w:noProof/>
                <w:sz w:val="18"/>
              </w:rPr>
              <w:t>Leto</w:t>
            </w:r>
            <w:r>
              <w:rPr>
                <w:noProof/>
                <w:sz w:val="22"/>
              </w:rPr>
              <w:br/>
            </w:r>
            <w:r>
              <w:rPr>
                <w:b/>
                <w:noProof/>
                <w:sz w:val="18"/>
              </w:rPr>
              <w:t>2019</w:t>
            </w:r>
          </w:p>
        </w:tc>
        <w:tc>
          <w:tcPr>
            <w:tcW w:w="1170" w:type="dxa"/>
            <w:gridSpan w:val="2"/>
            <w:tcBorders>
              <w:top w:val="single" w:sz="12" w:space="0" w:color="auto"/>
              <w:left w:val="single" w:sz="4" w:space="0" w:color="auto"/>
            </w:tcBorders>
            <w:vAlign w:val="center"/>
          </w:tcPr>
          <w:p>
            <w:pPr>
              <w:keepNext/>
              <w:ind w:right="-29"/>
              <w:jc w:val="center"/>
              <w:rPr>
                <w:noProof/>
                <w:sz w:val="18"/>
                <w:szCs w:val="18"/>
              </w:rPr>
            </w:pPr>
            <w:r>
              <w:rPr>
                <w:noProof/>
                <w:sz w:val="18"/>
              </w:rPr>
              <w:t>Leto</w:t>
            </w:r>
            <w:r>
              <w:rPr>
                <w:noProof/>
                <w:sz w:val="22"/>
              </w:rPr>
              <w:br/>
            </w:r>
            <w:r>
              <w:rPr>
                <w:b/>
                <w:noProof/>
                <w:sz w:val="18"/>
              </w:rPr>
              <w:t>2020</w:t>
            </w:r>
          </w:p>
        </w:tc>
        <w:tc>
          <w:tcPr>
            <w:tcW w:w="1200" w:type="dxa"/>
            <w:gridSpan w:val="2"/>
            <w:tcBorders>
              <w:top w:val="single" w:sz="12" w:space="0" w:color="auto"/>
            </w:tcBorders>
            <w:vAlign w:val="center"/>
          </w:tcPr>
          <w:p>
            <w:pPr>
              <w:keepNext/>
              <w:ind w:right="-29"/>
              <w:jc w:val="center"/>
              <w:rPr>
                <w:noProof/>
                <w:sz w:val="18"/>
                <w:szCs w:val="18"/>
              </w:rPr>
            </w:pPr>
            <w:r>
              <w:rPr>
                <w:noProof/>
                <w:sz w:val="18"/>
              </w:rPr>
              <w:t>Leto</w:t>
            </w:r>
            <w:r>
              <w:rPr>
                <w:noProof/>
                <w:sz w:val="22"/>
              </w:rPr>
              <w:br/>
            </w:r>
            <w:r>
              <w:rPr>
                <w:b/>
                <w:noProof/>
                <w:sz w:val="18"/>
              </w:rPr>
              <w:t>2021</w:t>
            </w:r>
          </w:p>
        </w:tc>
        <w:tc>
          <w:tcPr>
            <w:tcW w:w="1200" w:type="dxa"/>
            <w:gridSpan w:val="2"/>
            <w:tcBorders>
              <w:top w:val="single" w:sz="12" w:space="0" w:color="auto"/>
            </w:tcBorders>
            <w:vAlign w:val="center"/>
          </w:tcPr>
          <w:p>
            <w:pPr>
              <w:keepNext/>
              <w:ind w:right="-29"/>
              <w:jc w:val="center"/>
              <w:rPr>
                <w:noProof/>
                <w:sz w:val="18"/>
                <w:szCs w:val="18"/>
              </w:rPr>
            </w:pPr>
            <w:r>
              <w:rPr>
                <w:noProof/>
                <w:sz w:val="18"/>
              </w:rPr>
              <w:t>Leto</w:t>
            </w:r>
            <w:r>
              <w:rPr>
                <w:noProof/>
                <w:sz w:val="22"/>
              </w:rPr>
              <w:br/>
            </w:r>
            <w:r>
              <w:rPr>
                <w:b/>
                <w:noProof/>
                <w:sz w:val="18"/>
              </w:rPr>
              <w:t>2022</w:t>
            </w:r>
          </w:p>
        </w:tc>
        <w:tc>
          <w:tcPr>
            <w:tcW w:w="1032" w:type="dxa"/>
            <w:gridSpan w:val="2"/>
            <w:tcBorders>
              <w:top w:val="single" w:sz="12" w:space="0" w:color="auto"/>
            </w:tcBorders>
            <w:vAlign w:val="center"/>
          </w:tcPr>
          <w:p>
            <w:pPr>
              <w:keepNext/>
              <w:jc w:val="center"/>
              <w:rPr>
                <w:noProof/>
                <w:sz w:val="18"/>
                <w:szCs w:val="18"/>
              </w:rPr>
            </w:pPr>
            <w:r>
              <w:rPr>
                <w:noProof/>
                <w:sz w:val="18"/>
              </w:rPr>
              <w:t>Leto</w:t>
            </w:r>
            <w:r>
              <w:rPr>
                <w:noProof/>
                <w:sz w:val="22"/>
              </w:rPr>
              <w:br/>
            </w:r>
            <w:r>
              <w:rPr>
                <w:b/>
                <w:noProof/>
                <w:sz w:val="18"/>
              </w:rPr>
              <w:t>2023</w:t>
            </w:r>
          </w:p>
        </w:tc>
        <w:tc>
          <w:tcPr>
            <w:tcW w:w="1080" w:type="dxa"/>
            <w:gridSpan w:val="2"/>
            <w:tcBorders>
              <w:top w:val="single" w:sz="12" w:space="0" w:color="auto"/>
            </w:tcBorders>
            <w:vAlign w:val="center"/>
          </w:tcPr>
          <w:p>
            <w:pPr>
              <w:keepNext/>
              <w:jc w:val="center"/>
              <w:rPr>
                <w:noProof/>
                <w:sz w:val="18"/>
                <w:szCs w:val="18"/>
              </w:rPr>
            </w:pPr>
            <w:r>
              <w:rPr>
                <w:noProof/>
                <w:sz w:val="18"/>
              </w:rPr>
              <w:t>Leto</w:t>
            </w:r>
            <w:r>
              <w:rPr>
                <w:noProof/>
                <w:sz w:val="22"/>
              </w:rPr>
              <w:br/>
            </w:r>
            <w:r>
              <w:rPr>
                <w:b/>
                <w:noProof/>
                <w:sz w:val="18"/>
              </w:rPr>
              <w:t>2024</w:t>
            </w:r>
          </w:p>
        </w:tc>
        <w:tc>
          <w:tcPr>
            <w:tcW w:w="1200" w:type="dxa"/>
            <w:gridSpan w:val="2"/>
            <w:tcBorders>
              <w:top w:val="single" w:sz="12" w:space="0" w:color="auto"/>
            </w:tcBorders>
            <w:vAlign w:val="center"/>
          </w:tcPr>
          <w:p>
            <w:pPr>
              <w:keepNext/>
              <w:jc w:val="center"/>
              <w:rPr>
                <w:noProof/>
                <w:sz w:val="18"/>
                <w:szCs w:val="18"/>
              </w:rPr>
            </w:pPr>
            <w:r>
              <w:rPr>
                <w:noProof/>
                <w:sz w:val="18"/>
              </w:rPr>
              <w:t>Leto</w:t>
            </w:r>
            <w:r>
              <w:rPr>
                <w:noProof/>
                <w:sz w:val="22"/>
              </w:rPr>
              <w:br/>
            </w:r>
            <w:r>
              <w:rPr>
                <w:b/>
                <w:noProof/>
                <w:sz w:val="18"/>
              </w:rPr>
              <w:t>2025</w:t>
            </w:r>
          </w:p>
        </w:tc>
        <w:tc>
          <w:tcPr>
            <w:tcW w:w="1093" w:type="dxa"/>
            <w:gridSpan w:val="2"/>
            <w:tcBorders>
              <w:top w:val="single" w:sz="12" w:space="0" w:color="auto"/>
            </w:tcBorders>
          </w:tcPr>
          <w:p>
            <w:pPr>
              <w:keepNext/>
              <w:ind w:right="-29"/>
              <w:jc w:val="center"/>
              <w:rPr>
                <w:b/>
                <w:noProof/>
                <w:sz w:val="18"/>
              </w:rPr>
            </w:pPr>
            <w:r>
              <w:rPr>
                <w:noProof/>
                <w:sz w:val="18"/>
              </w:rPr>
              <w:t>Leto</w:t>
            </w:r>
            <w:r>
              <w:rPr>
                <w:noProof/>
                <w:sz w:val="22"/>
              </w:rPr>
              <w:br/>
            </w:r>
            <w:r>
              <w:rPr>
                <w:b/>
                <w:noProof/>
                <w:sz w:val="18"/>
              </w:rPr>
              <w:t>2026</w:t>
            </w:r>
          </w:p>
        </w:tc>
        <w:tc>
          <w:tcPr>
            <w:tcW w:w="1134" w:type="dxa"/>
            <w:gridSpan w:val="2"/>
            <w:tcBorders>
              <w:top w:val="single" w:sz="12" w:space="0" w:color="auto"/>
              <w:right w:val="nil"/>
            </w:tcBorders>
          </w:tcPr>
          <w:p>
            <w:pPr>
              <w:keepNext/>
              <w:ind w:right="-29"/>
              <w:jc w:val="center"/>
              <w:rPr>
                <w:b/>
                <w:noProof/>
                <w:sz w:val="18"/>
              </w:rPr>
            </w:pPr>
            <w:r>
              <w:rPr>
                <w:noProof/>
                <w:sz w:val="18"/>
              </w:rPr>
              <w:t>Leto</w:t>
            </w:r>
            <w:r>
              <w:rPr>
                <w:noProof/>
                <w:sz w:val="22"/>
              </w:rPr>
              <w:br/>
            </w:r>
            <w:r>
              <w:rPr>
                <w:b/>
                <w:noProof/>
                <w:sz w:val="18"/>
              </w:rPr>
              <w:t>2027</w:t>
            </w:r>
          </w:p>
        </w:tc>
        <w:tc>
          <w:tcPr>
            <w:tcW w:w="1853" w:type="dxa"/>
            <w:gridSpan w:val="2"/>
            <w:tcBorders>
              <w:top w:val="single" w:sz="12" w:space="0" w:color="auto"/>
              <w:left w:val="single" w:sz="6" w:space="0" w:color="auto"/>
              <w:bottom w:val="single" w:sz="4" w:space="0" w:color="auto"/>
              <w:right w:val="single" w:sz="12" w:space="0" w:color="auto"/>
            </w:tcBorders>
            <w:vAlign w:val="center"/>
          </w:tcPr>
          <w:p>
            <w:pPr>
              <w:keepNext/>
              <w:ind w:right="-29"/>
              <w:jc w:val="center"/>
              <w:rPr>
                <w:noProof/>
                <w:sz w:val="18"/>
                <w:szCs w:val="18"/>
              </w:rPr>
            </w:pPr>
            <w:r>
              <w:rPr>
                <w:b/>
                <w:noProof/>
                <w:sz w:val="18"/>
              </w:rPr>
              <w:t>SKUPAJ</w:t>
            </w:r>
          </w:p>
        </w:tc>
      </w:tr>
      <w:tr>
        <w:trPr>
          <w:gridAfter w:val="22"/>
          <w:wAfter w:w="13512" w:type="dxa"/>
          <w:trHeight w:val="465"/>
          <w:jc w:val="center"/>
        </w:trPr>
        <w:tc>
          <w:tcPr>
            <w:tcW w:w="1422" w:type="dxa"/>
            <w:vMerge/>
            <w:tcBorders>
              <w:left w:val="single" w:sz="12" w:space="0" w:color="auto"/>
            </w:tcBorders>
            <w:vAlign w:val="center"/>
          </w:tcPr>
          <w:p>
            <w:pPr>
              <w:ind w:right="-29"/>
              <w:jc w:val="center"/>
              <w:rPr>
                <w:noProof/>
                <w:sz w:val="18"/>
                <w:szCs w:val="18"/>
              </w:rPr>
            </w:pPr>
          </w:p>
        </w:tc>
      </w:tr>
      <w:tr>
        <w:trPr>
          <w:cantSplit/>
          <w:trHeight w:val="1134"/>
          <w:jc w:val="center"/>
        </w:trPr>
        <w:tc>
          <w:tcPr>
            <w:tcW w:w="1422" w:type="dxa"/>
            <w:vMerge/>
            <w:tcBorders>
              <w:left w:val="single" w:sz="12" w:space="0" w:color="auto"/>
            </w:tcBorders>
            <w:vAlign w:val="center"/>
          </w:tcPr>
          <w:p>
            <w:pPr>
              <w:rPr>
                <w:noProof/>
                <w:sz w:val="18"/>
                <w:szCs w:val="18"/>
              </w:rPr>
            </w:pPr>
          </w:p>
        </w:tc>
        <w:tc>
          <w:tcPr>
            <w:tcW w:w="721" w:type="dxa"/>
            <w:vAlign w:val="center"/>
          </w:tcPr>
          <w:p>
            <w:pPr>
              <w:jc w:val="center"/>
              <w:rPr>
                <w:noProof/>
                <w:sz w:val="18"/>
                <w:szCs w:val="18"/>
              </w:rPr>
            </w:pPr>
            <w:r>
              <w:rPr>
                <w:noProof/>
                <w:sz w:val="18"/>
              </w:rPr>
              <w:t>vrsta</w:t>
            </w:r>
            <w:r>
              <w:rPr>
                <w:rStyle w:val="FootnoteReference"/>
                <w:noProof/>
              </w:rPr>
              <w:footnoteReference w:id="102"/>
            </w:r>
          </w:p>
          <w:p>
            <w:pPr>
              <w:spacing w:before="0" w:after="0"/>
              <w:jc w:val="center"/>
              <w:rPr>
                <w:noProof/>
                <w:sz w:val="18"/>
                <w:szCs w:val="18"/>
              </w:rPr>
            </w:pPr>
          </w:p>
        </w:tc>
        <w:tc>
          <w:tcPr>
            <w:tcW w:w="659" w:type="dxa"/>
            <w:tcBorders>
              <w:right w:val="single" w:sz="4" w:space="0" w:color="auto"/>
            </w:tcBorders>
            <w:vAlign w:val="center"/>
          </w:tcPr>
          <w:p>
            <w:pPr>
              <w:jc w:val="center"/>
              <w:rPr>
                <w:noProof/>
                <w:sz w:val="18"/>
                <w:szCs w:val="18"/>
              </w:rPr>
            </w:pPr>
            <w:r>
              <w:rPr>
                <w:noProof/>
                <w:sz w:val="18"/>
              </w:rPr>
              <w:t>povprečni stroški</w:t>
            </w:r>
          </w:p>
        </w:tc>
        <w:tc>
          <w:tcPr>
            <w:tcW w:w="303" w:type="dxa"/>
            <w:tcBorders>
              <w:top w:val="dotted" w:sz="4" w:space="0" w:color="auto"/>
              <w:left w:val="single" w:sz="4" w:space="0" w:color="auto"/>
              <w:bottom w:val="dotted" w:sz="4" w:space="0" w:color="auto"/>
              <w:right w:val="nil"/>
            </w:tcBorders>
            <w:shd w:val="pct10" w:color="auto" w:fill="auto"/>
            <w:textDirection w:val="btLr"/>
            <w:vAlign w:val="center"/>
          </w:tcPr>
          <w:p>
            <w:pPr>
              <w:ind w:left="113" w:right="113"/>
              <w:jc w:val="center"/>
              <w:rPr>
                <w:noProof/>
                <w:sz w:val="18"/>
              </w:rPr>
            </w:pPr>
            <w:r>
              <w:rPr>
                <w:noProof/>
                <w:sz w:val="18"/>
              </w:rPr>
              <w:t>število</w:t>
            </w:r>
          </w:p>
        </w:tc>
        <w:tc>
          <w:tcPr>
            <w:tcW w:w="867" w:type="dxa"/>
            <w:tcBorders>
              <w:left w:val="nil"/>
              <w:right w:val="single" w:sz="4" w:space="0" w:color="auto"/>
            </w:tcBorders>
            <w:shd w:val="pct10" w:color="auto" w:fill="auto"/>
            <w:vAlign w:val="center"/>
          </w:tcPr>
          <w:p>
            <w:pPr>
              <w:jc w:val="center"/>
              <w:rPr>
                <w:noProof/>
                <w:sz w:val="18"/>
              </w:rPr>
            </w:pPr>
            <w:r>
              <w:rPr>
                <w:noProof/>
                <w:sz w:val="18"/>
              </w:rPr>
              <w:t>stroški</w:t>
            </w:r>
          </w:p>
        </w:tc>
        <w:tc>
          <w:tcPr>
            <w:tcW w:w="330" w:type="dxa"/>
            <w:tcBorders>
              <w:left w:val="single" w:sz="4" w:space="0" w:color="auto"/>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840"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840"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840"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672"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720"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840"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733"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425" w:type="dxa"/>
            <w:tcBorders>
              <w:right w:val="dashSmallGap" w:sz="4" w:space="0" w:color="auto"/>
            </w:tcBorders>
            <w:shd w:val="pct10" w:color="auto" w:fill="auto"/>
            <w:textDirection w:val="btLr"/>
            <w:vAlign w:val="center"/>
          </w:tcPr>
          <w:p>
            <w:pPr>
              <w:ind w:left="113" w:right="113"/>
              <w:jc w:val="center"/>
              <w:rPr>
                <w:noProof/>
                <w:sz w:val="18"/>
              </w:rPr>
            </w:pPr>
            <w:r>
              <w:rPr>
                <w:noProof/>
                <w:sz w:val="18"/>
              </w:rPr>
              <w:t>število</w:t>
            </w:r>
          </w:p>
        </w:tc>
        <w:tc>
          <w:tcPr>
            <w:tcW w:w="709" w:type="dxa"/>
            <w:tcBorders>
              <w:left w:val="dashSmallGap" w:sz="4" w:space="0" w:color="auto"/>
            </w:tcBorders>
            <w:shd w:val="pct10" w:color="auto" w:fill="auto"/>
            <w:vAlign w:val="center"/>
          </w:tcPr>
          <w:p>
            <w:pPr>
              <w:jc w:val="center"/>
              <w:rPr>
                <w:noProof/>
                <w:sz w:val="18"/>
              </w:rPr>
            </w:pPr>
            <w:r>
              <w:rPr>
                <w:noProof/>
                <w:sz w:val="18"/>
              </w:rPr>
              <w:t>stroški</w:t>
            </w:r>
          </w:p>
        </w:tc>
        <w:tc>
          <w:tcPr>
            <w:tcW w:w="709"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 realizacij skupaj</w:t>
            </w:r>
          </w:p>
        </w:tc>
        <w:tc>
          <w:tcPr>
            <w:tcW w:w="1144" w:type="dxa"/>
            <w:tcBorders>
              <w:left w:val="dashSmallGap" w:sz="4" w:space="0" w:color="auto"/>
              <w:right w:val="single" w:sz="12" w:space="0" w:color="auto"/>
            </w:tcBorders>
            <w:shd w:val="pct10" w:color="auto" w:fill="auto"/>
            <w:vAlign w:val="center"/>
          </w:tcPr>
          <w:p>
            <w:pPr>
              <w:jc w:val="center"/>
              <w:rPr>
                <w:noProof/>
                <w:sz w:val="18"/>
                <w:szCs w:val="18"/>
              </w:rPr>
            </w:pPr>
            <w:r>
              <w:rPr>
                <w:noProof/>
                <w:sz w:val="18"/>
              </w:rPr>
              <w:t>stroški realizacij skupaj</w:t>
            </w:r>
          </w:p>
        </w:tc>
      </w:tr>
      <w:tr>
        <w:trPr>
          <w:jc w:val="center"/>
        </w:trPr>
        <w:tc>
          <w:tcPr>
            <w:tcW w:w="2802" w:type="dxa"/>
            <w:gridSpan w:val="3"/>
            <w:tcBorders>
              <w:left w:val="single" w:sz="12" w:space="0" w:color="auto"/>
            </w:tcBorders>
            <w:vAlign w:val="center"/>
          </w:tcPr>
          <w:p>
            <w:pPr>
              <w:spacing w:before="60" w:after="60"/>
              <w:ind w:right="-29"/>
              <w:jc w:val="center"/>
              <w:rPr>
                <w:noProof/>
                <w:sz w:val="18"/>
              </w:rPr>
            </w:pPr>
            <w:r>
              <w:rPr>
                <w:noProof/>
                <w:sz w:val="18"/>
              </w:rPr>
              <w:t>SPECIFIČNI CILJ št. 5</w:t>
            </w:r>
            <w:r>
              <w:rPr>
                <w:rStyle w:val="FootnoteReference"/>
                <w:noProof/>
              </w:rPr>
              <w:footnoteReference w:id="103"/>
            </w:r>
          </w:p>
          <w:p>
            <w:pPr>
              <w:spacing w:before="60" w:after="60"/>
              <w:ind w:right="-29"/>
              <w:jc w:val="center"/>
              <w:rPr>
                <w:noProof/>
                <w:sz w:val="18"/>
                <w:szCs w:val="18"/>
              </w:rPr>
            </w:pPr>
            <w:r>
              <w:rPr>
                <w:noProof/>
                <w:sz w:val="18"/>
              </w:rPr>
              <w:t>Posodobiti NUI</w:t>
            </w:r>
          </w:p>
        </w:tc>
        <w:tc>
          <w:tcPr>
            <w:tcW w:w="303" w:type="dxa"/>
            <w:tcBorders>
              <w:right w:val="nil"/>
            </w:tcBorders>
          </w:tcPr>
          <w:p>
            <w:pPr>
              <w:spacing w:before="60" w:after="60"/>
              <w:ind w:right="-29"/>
              <w:jc w:val="center"/>
              <w:rPr>
                <w:noProof/>
                <w:sz w:val="18"/>
                <w:szCs w:val="18"/>
              </w:rPr>
            </w:pPr>
          </w:p>
        </w:tc>
        <w:tc>
          <w:tcPr>
            <w:tcW w:w="867" w:type="dxa"/>
            <w:tcBorders>
              <w:left w:val="nil"/>
              <w:bottom w:val="single" w:sz="4" w:space="0" w:color="auto"/>
            </w:tcBorders>
          </w:tcPr>
          <w:p>
            <w:pPr>
              <w:spacing w:before="60" w:after="60"/>
              <w:ind w:right="-29"/>
              <w:jc w:val="center"/>
              <w:rPr>
                <w:noProof/>
                <w:sz w:val="18"/>
                <w:szCs w:val="18"/>
              </w:rPr>
            </w:pPr>
          </w:p>
        </w:tc>
        <w:tc>
          <w:tcPr>
            <w:tcW w:w="330" w:type="dxa"/>
            <w:tcBorders>
              <w:top w:val="nil"/>
              <w:left w:val="nil"/>
              <w:bottom w:val="nil"/>
              <w:right w:val="nil"/>
            </w:tcBorders>
          </w:tcPr>
          <w:p>
            <w:pPr>
              <w:spacing w:before="60" w:after="60"/>
              <w:ind w:right="-29"/>
              <w:jc w:val="center"/>
              <w:rPr>
                <w:noProof/>
                <w:sz w:val="18"/>
                <w:szCs w:val="18"/>
              </w:rPr>
            </w:pPr>
          </w:p>
        </w:tc>
        <w:tc>
          <w:tcPr>
            <w:tcW w:w="840" w:type="dxa"/>
            <w:tcBorders>
              <w:top w:val="nil"/>
              <w:left w:val="nil"/>
              <w:bottom w:val="nil"/>
              <w:right w:val="nil"/>
            </w:tcBorders>
          </w:tcPr>
          <w:p>
            <w:pPr>
              <w:spacing w:before="60" w:after="60"/>
              <w:ind w:right="-29"/>
              <w:jc w:val="center"/>
              <w:rPr>
                <w:noProof/>
                <w:sz w:val="18"/>
                <w:szCs w:val="18"/>
              </w:rPr>
            </w:pPr>
          </w:p>
        </w:tc>
        <w:tc>
          <w:tcPr>
            <w:tcW w:w="360" w:type="dxa"/>
            <w:tcBorders>
              <w:top w:val="nil"/>
              <w:left w:val="nil"/>
              <w:bottom w:val="nil"/>
              <w:right w:val="nil"/>
            </w:tcBorders>
          </w:tcPr>
          <w:p>
            <w:pPr>
              <w:spacing w:before="60" w:after="60"/>
              <w:ind w:right="-29"/>
              <w:jc w:val="center"/>
              <w:rPr>
                <w:noProof/>
                <w:sz w:val="18"/>
                <w:szCs w:val="18"/>
              </w:rPr>
            </w:pPr>
          </w:p>
        </w:tc>
        <w:tc>
          <w:tcPr>
            <w:tcW w:w="840" w:type="dxa"/>
            <w:tcBorders>
              <w:top w:val="nil"/>
              <w:left w:val="nil"/>
              <w:bottom w:val="nil"/>
              <w:right w:val="nil"/>
            </w:tcBorders>
          </w:tcPr>
          <w:p>
            <w:pPr>
              <w:spacing w:before="60" w:after="60"/>
              <w:ind w:right="-29"/>
              <w:jc w:val="center"/>
              <w:rPr>
                <w:noProof/>
                <w:sz w:val="18"/>
                <w:szCs w:val="18"/>
              </w:rPr>
            </w:pPr>
          </w:p>
        </w:tc>
        <w:tc>
          <w:tcPr>
            <w:tcW w:w="360" w:type="dxa"/>
            <w:tcBorders>
              <w:top w:val="nil"/>
              <w:left w:val="nil"/>
              <w:bottom w:val="nil"/>
              <w:right w:val="nil"/>
            </w:tcBorders>
          </w:tcPr>
          <w:p>
            <w:pPr>
              <w:spacing w:before="60" w:after="60"/>
              <w:ind w:right="-29"/>
              <w:jc w:val="center"/>
              <w:rPr>
                <w:noProof/>
                <w:sz w:val="18"/>
                <w:szCs w:val="18"/>
              </w:rPr>
            </w:pPr>
          </w:p>
        </w:tc>
        <w:tc>
          <w:tcPr>
            <w:tcW w:w="840" w:type="dxa"/>
            <w:tcBorders>
              <w:top w:val="nil"/>
              <w:left w:val="nil"/>
              <w:bottom w:val="nil"/>
              <w:right w:val="nil"/>
            </w:tcBorders>
          </w:tcPr>
          <w:p>
            <w:pPr>
              <w:spacing w:before="60" w:after="60"/>
              <w:ind w:right="-29"/>
              <w:jc w:val="center"/>
              <w:rPr>
                <w:noProof/>
                <w:sz w:val="18"/>
                <w:szCs w:val="18"/>
              </w:rPr>
            </w:pPr>
          </w:p>
        </w:tc>
        <w:tc>
          <w:tcPr>
            <w:tcW w:w="360" w:type="dxa"/>
            <w:tcBorders>
              <w:top w:val="nil"/>
              <w:left w:val="nil"/>
              <w:bottom w:val="nil"/>
              <w:right w:val="nil"/>
            </w:tcBorders>
          </w:tcPr>
          <w:p>
            <w:pPr>
              <w:spacing w:before="60" w:after="60"/>
              <w:ind w:right="-29"/>
              <w:jc w:val="center"/>
              <w:rPr>
                <w:noProof/>
                <w:sz w:val="18"/>
                <w:szCs w:val="18"/>
              </w:rPr>
            </w:pPr>
          </w:p>
        </w:tc>
        <w:tc>
          <w:tcPr>
            <w:tcW w:w="672" w:type="dxa"/>
            <w:tcBorders>
              <w:top w:val="nil"/>
              <w:left w:val="nil"/>
              <w:bottom w:val="nil"/>
              <w:right w:val="nil"/>
            </w:tcBorders>
          </w:tcPr>
          <w:p>
            <w:pPr>
              <w:spacing w:before="60" w:after="60"/>
              <w:ind w:right="-29"/>
              <w:jc w:val="center"/>
              <w:rPr>
                <w:noProof/>
                <w:sz w:val="18"/>
                <w:szCs w:val="18"/>
              </w:rPr>
            </w:pPr>
          </w:p>
        </w:tc>
        <w:tc>
          <w:tcPr>
            <w:tcW w:w="36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360" w:type="dxa"/>
            <w:tcBorders>
              <w:top w:val="nil"/>
              <w:left w:val="nil"/>
              <w:bottom w:val="nil"/>
              <w:right w:val="nil"/>
            </w:tcBorders>
          </w:tcPr>
          <w:p>
            <w:pPr>
              <w:spacing w:before="60" w:after="60"/>
              <w:ind w:right="-29"/>
              <w:jc w:val="center"/>
              <w:rPr>
                <w:noProof/>
                <w:sz w:val="18"/>
                <w:szCs w:val="18"/>
              </w:rPr>
            </w:pPr>
          </w:p>
        </w:tc>
        <w:tc>
          <w:tcPr>
            <w:tcW w:w="840" w:type="dxa"/>
            <w:tcBorders>
              <w:top w:val="nil"/>
              <w:left w:val="nil"/>
              <w:bottom w:val="nil"/>
              <w:right w:val="nil"/>
            </w:tcBorders>
          </w:tcPr>
          <w:p>
            <w:pPr>
              <w:spacing w:before="60" w:after="60"/>
              <w:ind w:right="-29"/>
              <w:jc w:val="center"/>
              <w:rPr>
                <w:noProof/>
                <w:sz w:val="18"/>
                <w:szCs w:val="18"/>
              </w:rPr>
            </w:pPr>
          </w:p>
        </w:tc>
        <w:tc>
          <w:tcPr>
            <w:tcW w:w="360" w:type="dxa"/>
            <w:tcBorders>
              <w:top w:val="nil"/>
              <w:left w:val="nil"/>
              <w:bottom w:val="nil"/>
              <w:right w:val="nil"/>
            </w:tcBorders>
          </w:tcPr>
          <w:p>
            <w:pPr>
              <w:spacing w:before="60" w:after="60"/>
              <w:ind w:right="-29"/>
              <w:jc w:val="center"/>
              <w:rPr>
                <w:noProof/>
                <w:sz w:val="18"/>
                <w:szCs w:val="18"/>
              </w:rPr>
            </w:pPr>
          </w:p>
        </w:tc>
        <w:tc>
          <w:tcPr>
            <w:tcW w:w="733" w:type="dxa"/>
            <w:tcBorders>
              <w:top w:val="nil"/>
              <w:left w:val="nil"/>
              <w:bottom w:val="nil"/>
              <w:right w:val="nil"/>
            </w:tcBorders>
          </w:tcPr>
          <w:p>
            <w:pPr>
              <w:spacing w:before="60" w:after="60"/>
              <w:ind w:right="-29"/>
              <w:jc w:val="center"/>
              <w:rPr>
                <w:noProof/>
                <w:sz w:val="18"/>
                <w:szCs w:val="18"/>
              </w:rPr>
            </w:pPr>
          </w:p>
        </w:tc>
        <w:tc>
          <w:tcPr>
            <w:tcW w:w="1134" w:type="dxa"/>
            <w:gridSpan w:val="2"/>
            <w:tcBorders>
              <w:top w:val="nil"/>
              <w:left w:val="nil"/>
              <w:bottom w:val="nil"/>
              <w:right w:val="nil"/>
            </w:tcBorders>
          </w:tcPr>
          <w:p>
            <w:pPr>
              <w:spacing w:before="60" w:after="60"/>
              <w:ind w:right="-29"/>
              <w:jc w:val="center"/>
              <w:rPr>
                <w:noProof/>
                <w:sz w:val="18"/>
                <w:szCs w:val="18"/>
              </w:rPr>
            </w:pPr>
          </w:p>
        </w:tc>
        <w:tc>
          <w:tcPr>
            <w:tcW w:w="709" w:type="dxa"/>
            <w:tcBorders>
              <w:top w:val="nil"/>
              <w:left w:val="nil"/>
              <w:bottom w:val="nil"/>
              <w:right w:val="nil"/>
            </w:tcBorders>
          </w:tcPr>
          <w:p>
            <w:pPr>
              <w:spacing w:before="60" w:after="60"/>
              <w:ind w:right="-29"/>
              <w:jc w:val="center"/>
              <w:rPr>
                <w:noProof/>
                <w:sz w:val="18"/>
                <w:szCs w:val="18"/>
              </w:rPr>
            </w:pPr>
          </w:p>
        </w:tc>
        <w:tc>
          <w:tcPr>
            <w:tcW w:w="1144" w:type="dxa"/>
            <w:tcBorders>
              <w:top w:val="nil"/>
              <w:left w:val="nil"/>
              <w:bottom w:val="single" w:sz="4" w:space="0" w:color="auto"/>
              <w:right w:val="single" w:sz="12" w:space="0" w:color="auto"/>
            </w:tcBorders>
          </w:tcPr>
          <w:p>
            <w:pPr>
              <w:spacing w:before="60" w:after="60"/>
              <w:ind w:right="-29"/>
              <w:jc w:val="center"/>
              <w:rPr>
                <w:noProof/>
                <w:sz w:val="18"/>
                <w:szCs w:val="18"/>
              </w:rPr>
            </w:pPr>
          </w:p>
        </w:tc>
      </w:tr>
      <w:tr>
        <w:trPr>
          <w:trHeight w:hRule="exact" w:val="604"/>
          <w:jc w:val="center"/>
        </w:trPr>
        <w:tc>
          <w:tcPr>
            <w:tcW w:w="1422" w:type="dxa"/>
            <w:tcBorders>
              <w:left w:val="single" w:sz="12" w:space="0" w:color="auto"/>
            </w:tcBorders>
          </w:tcPr>
          <w:p>
            <w:pPr>
              <w:ind w:right="-29"/>
              <w:jc w:val="center"/>
              <w:rPr>
                <w:noProof/>
                <w:sz w:val="18"/>
                <w:szCs w:val="18"/>
              </w:rPr>
            </w:pPr>
            <w:r>
              <w:rPr>
                <w:noProof/>
                <w:sz w:val="18"/>
              </w:rPr>
              <w:t xml:space="preserve">Posodobitev NUI </w:t>
            </w:r>
          </w:p>
        </w:tc>
        <w:tc>
          <w:tcPr>
            <w:tcW w:w="1380" w:type="dxa"/>
            <w:gridSpan w:val="2"/>
          </w:tcPr>
          <w:p>
            <w:pPr>
              <w:ind w:right="-29"/>
              <w:rPr>
                <w:noProof/>
                <w:sz w:val="18"/>
                <w:szCs w:val="18"/>
              </w:rPr>
            </w:pPr>
            <w:r>
              <w:rPr>
                <w:noProof/>
                <w:sz w:val="18"/>
              </w:rPr>
              <w:t>Izvajalec</w:t>
            </w:r>
          </w:p>
        </w:tc>
        <w:tc>
          <w:tcPr>
            <w:tcW w:w="303" w:type="dxa"/>
            <w:tcBorders>
              <w:right w:val="dashSmallGap" w:sz="4" w:space="0" w:color="auto"/>
            </w:tcBorders>
          </w:tcPr>
          <w:p>
            <w:pPr>
              <w:ind w:right="-29"/>
              <w:jc w:val="center"/>
              <w:rPr>
                <w:noProof/>
                <w:sz w:val="18"/>
                <w:szCs w:val="18"/>
              </w:rPr>
            </w:pPr>
          </w:p>
        </w:tc>
        <w:tc>
          <w:tcPr>
            <w:tcW w:w="867" w:type="dxa"/>
            <w:tcBorders>
              <w:left w:val="dashSmallGap" w:sz="4" w:space="0" w:color="auto"/>
              <w:bottom w:val="single" w:sz="4" w:space="0" w:color="auto"/>
            </w:tcBorders>
          </w:tcPr>
          <w:p>
            <w:pPr>
              <w:ind w:right="-29"/>
              <w:jc w:val="center"/>
              <w:rPr>
                <w:noProof/>
                <w:sz w:val="18"/>
                <w:szCs w:val="18"/>
              </w:rPr>
            </w:pPr>
            <w:r>
              <w:rPr>
                <w:noProof/>
                <w:sz w:val="18"/>
              </w:rPr>
              <w:t>0</w:t>
            </w:r>
          </w:p>
        </w:tc>
        <w:tc>
          <w:tcPr>
            <w:tcW w:w="33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r>
              <w:rPr>
                <w:noProof/>
                <w:sz w:val="18"/>
              </w:rPr>
              <w:t>0</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r>
              <w:rPr>
                <w:noProof/>
                <w:sz w:val="18"/>
              </w:rPr>
              <w:t>0</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r>
              <w:rPr>
                <w:noProof/>
                <w:sz w:val="18"/>
              </w:rPr>
              <w:t>0,505</w:t>
            </w:r>
          </w:p>
        </w:tc>
        <w:tc>
          <w:tcPr>
            <w:tcW w:w="360" w:type="dxa"/>
            <w:tcBorders>
              <w:right w:val="dashSmallGap" w:sz="4" w:space="0" w:color="auto"/>
            </w:tcBorders>
          </w:tcPr>
          <w:p>
            <w:pPr>
              <w:ind w:right="-29"/>
              <w:jc w:val="center"/>
              <w:rPr>
                <w:noProof/>
                <w:sz w:val="18"/>
                <w:szCs w:val="18"/>
              </w:rPr>
            </w:pPr>
          </w:p>
        </w:tc>
        <w:tc>
          <w:tcPr>
            <w:tcW w:w="672" w:type="dxa"/>
            <w:tcBorders>
              <w:left w:val="dashSmallGap" w:sz="4" w:space="0" w:color="auto"/>
            </w:tcBorders>
          </w:tcPr>
          <w:p>
            <w:pPr>
              <w:ind w:right="-29"/>
              <w:jc w:val="center"/>
              <w:rPr>
                <w:noProof/>
                <w:sz w:val="18"/>
                <w:szCs w:val="18"/>
              </w:rPr>
            </w:pPr>
            <w:r>
              <w:rPr>
                <w:noProof/>
                <w:sz w:val="18"/>
              </w:rPr>
              <w:t>0,505</w:t>
            </w:r>
          </w:p>
        </w:tc>
        <w:tc>
          <w:tcPr>
            <w:tcW w:w="36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p>
        </w:tc>
        <w:tc>
          <w:tcPr>
            <w:tcW w:w="360" w:type="dxa"/>
            <w:tcBorders>
              <w:right w:val="dashSmallGap" w:sz="4" w:space="0" w:color="auto"/>
            </w:tcBorders>
          </w:tcPr>
          <w:p>
            <w:pPr>
              <w:ind w:right="-29"/>
              <w:jc w:val="center"/>
              <w:rPr>
                <w:noProof/>
                <w:sz w:val="18"/>
                <w:szCs w:val="18"/>
              </w:rPr>
            </w:pPr>
          </w:p>
        </w:tc>
        <w:tc>
          <w:tcPr>
            <w:tcW w:w="733" w:type="dxa"/>
            <w:tcBorders>
              <w:left w:val="dashSmallGap" w:sz="4" w:space="0" w:color="auto"/>
            </w:tcBorders>
          </w:tcPr>
          <w:p>
            <w:pPr>
              <w:ind w:right="-29"/>
              <w:jc w:val="center"/>
              <w:rPr>
                <w:noProof/>
                <w:sz w:val="18"/>
                <w:szCs w:val="18"/>
              </w:rPr>
            </w:pPr>
          </w:p>
        </w:tc>
        <w:tc>
          <w:tcPr>
            <w:tcW w:w="425" w:type="dxa"/>
            <w:tcBorders>
              <w:right w:val="dashSmallGap" w:sz="4" w:space="0" w:color="auto"/>
            </w:tcBorders>
          </w:tcPr>
          <w:p>
            <w:pPr>
              <w:ind w:right="-29"/>
              <w:jc w:val="center"/>
              <w:rPr>
                <w:noProof/>
                <w:sz w:val="18"/>
                <w:szCs w:val="18"/>
              </w:rPr>
            </w:pPr>
          </w:p>
        </w:tc>
        <w:tc>
          <w:tcPr>
            <w:tcW w:w="709" w:type="dxa"/>
            <w:tcBorders>
              <w:left w:val="dashSmallGap" w:sz="4" w:space="0" w:color="auto"/>
              <w:bottom w:val="single" w:sz="4" w:space="0" w:color="auto"/>
            </w:tcBorders>
          </w:tcPr>
          <w:p>
            <w:pPr>
              <w:ind w:right="-29"/>
              <w:jc w:val="center"/>
              <w:rPr>
                <w:noProof/>
                <w:sz w:val="18"/>
                <w:szCs w:val="18"/>
              </w:rPr>
            </w:pPr>
            <w:r>
              <w:rPr>
                <w:noProof/>
                <w:sz w:val="18"/>
              </w:rPr>
              <w:t>0</w:t>
            </w:r>
          </w:p>
        </w:tc>
        <w:tc>
          <w:tcPr>
            <w:tcW w:w="709" w:type="dxa"/>
            <w:tcBorders>
              <w:right w:val="dashSmallGap" w:sz="4" w:space="0" w:color="auto"/>
            </w:tcBorders>
          </w:tcPr>
          <w:p>
            <w:pPr>
              <w:ind w:right="-29"/>
              <w:jc w:val="center"/>
              <w:rPr>
                <w:noProof/>
                <w:sz w:val="18"/>
                <w:szCs w:val="18"/>
              </w:rPr>
            </w:pPr>
          </w:p>
        </w:tc>
        <w:tc>
          <w:tcPr>
            <w:tcW w:w="1144" w:type="dxa"/>
            <w:tcBorders>
              <w:left w:val="dashSmallGap" w:sz="4" w:space="0" w:color="auto"/>
              <w:bottom w:val="single" w:sz="4" w:space="0" w:color="auto"/>
              <w:right w:val="single" w:sz="12" w:space="0" w:color="auto"/>
            </w:tcBorders>
          </w:tcPr>
          <w:p>
            <w:pPr>
              <w:ind w:right="-29"/>
              <w:jc w:val="center"/>
              <w:rPr>
                <w:noProof/>
                <w:sz w:val="18"/>
                <w:szCs w:val="18"/>
              </w:rPr>
            </w:pPr>
            <w:r>
              <w:rPr>
                <w:noProof/>
                <w:sz w:val="18"/>
              </w:rPr>
              <w:t>1,010</w:t>
            </w:r>
          </w:p>
        </w:tc>
      </w:tr>
      <w:tr>
        <w:trPr>
          <w:jc w:val="center"/>
        </w:trPr>
        <w:tc>
          <w:tcPr>
            <w:tcW w:w="2802" w:type="dxa"/>
            <w:gridSpan w:val="3"/>
            <w:tcBorders>
              <w:left w:val="single" w:sz="12" w:space="0" w:color="auto"/>
              <w:bottom w:val="single" w:sz="12" w:space="0" w:color="auto"/>
            </w:tcBorders>
            <w:vAlign w:val="center"/>
          </w:tcPr>
          <w:p>
            <w:pPr>
              <w:ind w:right="-29"/>
              <w:jc w:val="center"/>
              <w:rPr>
                <w:noProof/>
                <w:sz w:val="18"/>
                <w:szCs w:val="18"/>
              </w:rPr>
            </w:pPr>
            <w:r>
              <w:rPr>
                <w:noProof/>
                <w:sz w:val="18"/>
              </w:rPr>
              <w:t>Seštevek za specifični cilj št. 5</w:t>
            </w:r>
          </w:p>
        </w:tc>
        <w:tc>
          <w:tcPr>
            <w:tcW w:w="303" w:type="dxa"/>
            <w:tcBorders>
              <w:bottom w:val="single" w:sz="12" w:space="0" w:color="auto"/>
              <w:right w:val="dashSmallGap" w:sz="4" w:space="0" w:color="auto"/>
            </w:tcBorders>
          </w:tcPr>
          <w:p>
            <w:pPr>
              <w:ind w:right="-29"/>
              <w:jc w:val="center"/>
              <w:rPr>
                <w:noProof/>
                <w:sz w:val="18"/>
                <w:szCs w:val="18"/>
              </w:rPr>
            </w:pPr>
          </w:p>
        </w:tc>
        <w:tc>
          <w:tcPr>
            <w:tcW w:w="867" w:type="dxa"/>
            <w:tcBorders>
              <w:left w:val="dashSmallGap" w:sz="4" w:space="0" w:color="auto"/>
              <w:bottom w:val="single" w:sz="12" w:space="0" w:color="auto"/>
            </w:tcBorders>
          </w:tcPr>
          <w:p>
            <w:pPr>
              <w:ind w:right="-29"/>
              <w:jc w:val="center"/>
              <w:rPr>
                <w:b/>
                <w:noProof/>
                <w:sz w:val="18"/>
                <w:szCs w:val="18"/>
              </w:rPr>
            </w:pPr>
            <w:r>
              <w:rPr>
                <w:b/>
                <w:noProof/>
                <w:sz w:val="18"/>
              </w:rPr>
              <w:t>0</w:t>
            </w:r>
          </w:p>
        </w:tc>
        <w:tc>
          <w:tcPr>
            <w:tcW w:w="330" w:type="dxa"/>
            <w:tcBorders>
              <w:bottom w:val="single" w:sz="12" w:space="0" w:color="auto"/>
              <w:right w:val="dashSmallGap" w:sz="4" w:space="0" w:color="auto"/>
            </w:tcBorders>
          </w:tcPr>
          <w:p>
            <w:pPr>
              <w:ind w:right="-29"/>
              <w:jc w:val="center"/>
              <w:rPr>
                <w:noProof/>
                <w:sz w:val="18"/>
                <w:szCs w:val="18"/>
              </w:rPr>
            </w:pPr>
          </w:p>
        </w:tc>
        <w:tc>
          <w:tcPr>
            <w:tcW w:w="840" w:type="dxa"/>
            <w:tcBorders>
              <w:left w:val="dashSmallGap" w:sz="4" w:space="0" w:color="auto"/>
              <w:bottom w:val="single" w:sz="12" w:space="0" w:color="auto"/>
            </w:tcBorders>
          </w:tcPr>
          <w:p>
            <w:pPr>
              <w:ind w:right="-29"/>
              <w:jc w:val="center"/>
              <w:rPr>
                <w:b/>
                <w:noProof/>
                <w:sz w:val="18"/>
                <w:szCs w:val="18"/>
              </w:rPr>
            </w:pPr>
            <w:r>
              <w:rPr>
                <w:b/>
                <w:noProof/>
                <w:sz w:val="18"/>
              </w:rPr>
              <w:t>0</w:t>
            </w:r>
          </w:p>
        </w:tc>
        <w:tc>
          <w:tcPr>
            <w:tcW w:w="360" w:type="dxa"/>
            <w:tcBorders>
              <w:bottom w:val="single" w:sz="12" w:space="0" w:color="auto"/>
              <w:right w:val="dashSmallGap" w:sz="4" w:space="0" w:color="auto"/>
            </w:tcBorders>
          </w:tcPr>
          <w:p>
            <w:pPr>
              <w:ind w:right="-29"/>
              <w:jc w:val="center"/>
              <w:rPr>
                <w:noProof/>
                <w:sz w:val="18"/>
                <w:szCs w:val="18"/>
              </w:rPr>
            </w:pPr>
          </w:p>
        </w:tc>
        <w:tc>
          <w:tcPr>
            <w:tcW w:w="840" w:type="dxa"/>
            <w:tcBorders>
              <w:left w:val="dashSmallGap" w:sz="4" w:space="0" w:color="auto"/>
              <w:bottom w:val="single" w:sz="12" w:space="0" w:color="auto"/>
            </w:tcBorders>
          </w:tcPr>
          <w:p>
            <w:pPr>
              <w:ind w:right="-29"/>
              <w:jc w:val="center"/>
              <w:rPr>
                <w:b/>
                <w:noProof/>
                <w:sz w:val="18"/>
                <w:szCs w:val="18"/>
              </w:rPr>
            </w:pPr>
            <w:r>
              <w:rPr>
                <w:b/>
                <w:noProof/>
                <w:sz w:val="18"/>
              </w:rPr>
              <w:t>0</w:t>
            </w:r>
          </w:p>
        </w:tc>
        <w:tc>
          <w:tcPr>
            <w:tcW w:w="360" w:type="dxa"/>
            <w:tcBorders>
              <w:bottom w:val="single" w:sz="12" w:space="0" w:color="auto"/>
              <w:right w:val="dashSmallGap" w:sz="4" w:space="0" w:color="auto"/>
            </w:tcBorders>
          </w:tcPr>
          <w:p>
            <w:pPr>
              <w:ind w:right="-29"/>
              <w:jc w:val="center"/>
              <w:rPr>
                <w:noProof/>
                <w:sz w:val="18"/>
                <w:szCs w:val="18"/>
              </w:rPr>
            </w:pPr>
          </w:p>
        </w:tc>
        <w:tc>
          <w:tcPr>
            <w:tcW w:w="840" w:type="dxa"/>
            <w:tcBorders>
              <w:left w:val="dashSmallGap" w:sz="4" w:space="0" w:color="auto"/>
              <w:bottom w:val="single" w:sz="12" w:space="0" w:color="auto"/>
            </w:tcBorders>
          </w:tcPr>
          <w:p>
            <w:pPr>
              <w:ind w:right="-29"/>
              <w:jc w:val="center"/>
              <w:rPr>
                <w:b/>
                <w:noProof/>
                <w:sz w:val="18"/>
                <w:szCs w:val="18"/>
              </w:rPr>
            </w:pPr>
            <w:r>
              <w:rPr>
                <w:b/>
                <w:noProof/>
                <w:sz w:val="18"/>
              </w:rPr>
              <w:t>0,505</w:t>
            </w:r>
          </w:p>
        </w:tc>
        <w:tc>
          <w:tcPr>
            <w:tcW w:w="360" w:type="dxa"/>
            <w:tcBorders>
              <w:bottom w:val="single" w:sz="12" w:space="0" w:color="auto"/>
              <w:right w:val="dashSmallGap" w:sz="4" w:space="0" w:color="auto"/>
            </w:tcBorders>
          </w:tcPr>
          <w:p>
            <w:pPr>
              <w:ind w:right="-29"/>
              <w:jc w:val="center"/>
              <w:rPr>
                <w:noProof/>
                <w:sz w:val="18"/>
                <w:szCs w:val="18"/>
              </w:rPr>
            </w:pPr>
          </w:p>
        </w:tc>
        <w:tc>
          <w:tcPr>
            <w:tcW w:w="672" w:type="dxa"/>
            <w:tcBorders>
              <w:left w:val="dashSmallGap" w:sz="4" w:space="0" w:color="auto"/>
              <w:bottom w:val="single" w:sz="12" w:space="0" w:color="auto"/>
            </w:tcBorders>
          </w:tcPr>
          <w:p>
            <w:pPr>
              <w:ind w:right="-29"/>
              <w:rPr>
                <w:b/>
                <w:noProof/>
                <w:sz w:val="18"/>
                <w:szCs w:val="18"/>
              </w:rPr>
            </w:pPr>
            <w:r>
              <w:rPr>
                <w:b/>
                <w:noProof/>
                <w:sz w:val="18"/>
              </w:rPr>
              <w:t>0,505</w:t>
            </w:r>
          </w:p>
        </w:tc>
        <w:tc>
          <w:tcPr>
            <w:tcW w:w="360" w:type="dxa"/>
            <w:tcBorders>
              <w:bottom w:val="single" w:sz="12" w:space="0" w:color="auto"/>
              <w:right w:val="dashSmallGap" w:sz="4" w:space="0" w:color="auto"/>
            </w:tcBorders>
          </w:tcPr>
          <w:p>
            <w:pPr>
              <w:ind w:right="-29"/>
              <w:jc w:val="center"/>
              <w:rPr>
                <w:noProof/>
                <w:sz w:val="18"/>
                <w:szCs w:val="18"/>
              </w:rPr>
            </w:pPr>
          </w:p>
        </w:tc>
        <w:tc>
          <w:tcPr>
            <w:tcW w:w="720" w:type="dxa"/>
            <w:tcBorders>
              <w:left w:val="dashSmallGap" w:sz="4" w:space="0" w:color="auto"/>
              <w:bottom w:val="single" w:sz="12" w:space="0" w:color="auto"/>
            </w:tcBorders>
          </w:tcPr>
          <w:p>
            <w:pPr>
              <w:ind w:right="-29"/>
              <w:jc w:val="center"/>
              <w:rPr>
                <w:b/>
                <w:noProof/>
                <w:sz w:val="18"/>
                <w:szCs w:val="18"/>
              </w:rPr>
            </w:pPr>
          </w:p>
        </w:tc>
        <w:tc>
          <w:tcPr>
            <w:tcW w:w="360" w:type="dxa"/>
            <w:tcBorders>
              <w:bottom w:val="single" w:sz="12" w:space="0" w:color="auto"/>
              <w:right w:val="dashSmallGap" w:sz="4" w:space="0" w:color="auto"/>
            </w:tcBorders>
          </w:tcPr>
          <w:p>
            <w:pPr>
              <w:ind w:right="-29"/>
              <w:jc w:val="center"/>
              <w:rPr>
                <w:noProof/>
                <w:sz w:val="18"/>
                <w:szCs w:val="18"/>
              </w:rPr>
            </w:pPr>
          </w:p>
        </w:tc>
        <w:tc>
          <w:tcPr>
            <w:tcW w:w="840" w:type="dxa"/>
            <w:tcBorders>
              <w:left w:val="dashSmallGap" w:sz="4" w:space="0" w:color="auto"/>
              <w:bottom w:val="single" w:sz="12" w:space="0" w:color="auto"/>
            </w:tcBorders>
          </w:tcPr>
          <w:p>
            <w:pPr>
              <w:ind w:right="-29"/>
              <w:jc w:val="center"/>
              <w:rPr>
                <w:b/>
                <w:noProof/>
                <w:sz w:val="18"/>
                <w:szCs w:val="18"/>
              </w:rPr>
            </w:pPr>
          </w:p>
        </w:tc>
        <w:tc>
          <w:tcPr>
            <w:tcW w:w="360" w:type="dxa"/>
            <w:tcBorders>
              <w:bottom w:val="single" w:sz="12" w:space="0" w:color="auto"/>
              <w:right w:val="dashSmallGap" w:sz="4" w:space="0" w:color="auto"/>
            </w:tcBorders>
          </w:tcPr>
          <w:p>
            <w:pPr>
              <w:ind w:right="-29"/>
              <w:jc w:val="center"/>
              <w:rPr>
                <w:noProof/>
                <w:sz w:val="18"/>
                <w:szCs w:val="18"/>
              </w:rPr>
            </w:pPr>
          </w:p>
        </w:tc>
        <w:tc>
          <w:tcPr>
            <w:tcW w:w="733" w:type="dxa"/>
            <w:tcBorders>
              <w:left w:val="dashSmallGap" w:sz="4" w:space="0" w:color="auto"/>
              <w:bottom w:val="single" w:sz="12" w:space="0" w:color="auto"/>
            </w:tcBorders>
          </w:tcPr>
          <w:p>
            <w:pPr>
              <w:ind w:right="-29"/>
              <w:jc w:val="center"/>
              <w:rPr>
                <w:b/>
                <w:noProof/>
                <w:sz w:val="18"/>
                <w:szCs w:val="18"/>
              </w:rPr>
            </w:pPr>
          </w:p>
        </w:tc>
        <w:tc>
          <w:tcPr>
            <w:tcW w:w="425" w:type="dxa"/>
            <w:tcBorders>
              <w:bottom w:val="single" w:sz="12" w:space="0" w:color="auto"/>
              <w:right w:val="dashSmallGap" w:sz="4" w:space="0" w:color="auto"/>
            </w:tcBorders>
          </w:tcPr>
          <w:p>
            <w:pPr>
              <w:ind w:right="-29"/>
              <w:jc w:val="center"/>
              <w:rPr>
                <w:noProof/>
                <w:sz w:val="18"/>
                <w:szCs w:val="18"/>
              </w:rPr>
            </w:pPr>
          </w:p>
        </w:tc>
        <w:tc>
          <w:tcPr>
            <w:tcW w:w="709" w:type="dxa"/>
            <w:tcBorders>
              <w:left w:val="dashSmallGap" w:sz="4" w:space="0" w:color="auto"/>
              <w:bottom w:val="single" w:sz="12" w:space="0" w:color="auto"/>
            </w:tcBorders>
          </w:tcPr>
          <w:p>
            <w:pPr>
              <w:ind w:right="-29"/>
              <w:jc w:val="center"/>
              <w:rPr>
                <w:b/>
                <w:noProof/>
                <w:sz w:val="18"/>
                <w:szCs w:val="18"/>
              </w:rPr>
            </w:pPr>
          </w:p>
        </w:tc>
        <w:tc>
          <w:tcPr>
            <w:tcW w:w="709" w:type="dxa"/>
            <w:tcBorders>
              <w:bottom w:val="single" w:sz="12" w:space="0" w:color="auto"/>
              <w:right w:val="dashSmallGap" w:sz="4" w:space="0" w:color="auto"/>
            </w:tcBorders>
          </w:tcPr>
          <w:p>
            <w:pPr>
              <w:ind w:right="-29"/>
              <w:jc w:val="center"/>
              <w:rPr>
                <w:noProof/>
                <w:sz w:val="18"/>
                <w:szCs w:val="18"/>
              </w:rPr>
            </w:pPr>
          </w:p>
        </w:tc>
        <w:tc>
          <w:tcPr>
            <w:tcW w:w="1144" w:type="dxa"/>
            <w:tcBorders>
              <w:left w:val="dashSmallGap" w:sz="4" w:space="0" w:color="auto"/>
              <w:bottom w:val="single" w:sz="12" w:space="0" w:color="auto"/>
              <w:right w:val="single" w:sz="12" w:space="0" w:color="auto"/>
            </w:tcBorders>
          </w:tcPr>
          <w:p>
            <w:pPr>
              <w:ind w:right="-29"/>
              <w:jc w:val="center"/>
              <w:rPr>
                <w:b/>
                <w:noProof/>
                <w:sz w:val="18"/>
                <w:szCs w:val="18"/>
              </w:rPr>
            </w:pPr>
            <w:r>
              <w:rPr>
                <w:b/>
                <w:noProof/>
                <w:sz w:val="18"/>
              </w:rPr>
              <w:t>1,010</w:t>
            </w:r>
          </w:p>
        </w:tc>
      </w:tr>
    </w:tbl>
    <w:p>
      <w:pPr>
        <w:pStyle w:val="ListDash"/>
        <w:rPr>
          <w:noProof/>
        </w:rPr>
      </w:pPr>
      <w:r>
        <w:rPr>
          <w:noProof/>
        </w:rPr>
        <w:t>S predlogom o SVI je bil uveden koncept nacionalnega enotnega vmesnika (NUI), ki ga bo razvila in vzdrževala agencija eu-LISA. V zgornji razpredelnici je naveden proračun za posodobitev NUI z dodatno vrsto izmenjave informacij. Za operacije NUI ni dodatnih stroškov, saj so bili ti predvideni že v okviru predloga o SVI.</w:t>
      </w:r>
    </w:p>
    <w:p>
      <w:pPr>
        <w:keepNext/>
        <w:rPr>
          <w:noProof/>
        </w:rPr>
      </w:pPr>
    </w:p>
    <w:tbl>
      <w:tblPr>
        <w:tblW w:w="16450" w:type="dxa"/>
        <w:jc w:val="center"/>
        <w:tblInd w:w="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1"/>
        <w:gridCol w:w="719"/>
        <w:gridCol w:w="574"/>
        <w:gridCol w:w="669"/>
        <w:gridCol w:w="780"/>
        <w:gridCol w:w="669"/>
        <w:gridCol w:w="780"/>
        <w:gridCol w:w="669"/>
        <w:gridCol w:w="780"/>
        <w:gridCol w:w="669"/>
        <w:gridCol w:w="780"/>
        <w:gridCol w:w="669"/>
        <w:gridCol w:w="839"/>
        <w:gridCol w:w="596"/>
        <w:gridCol w:w="780"/>
        <w:gridCol w:w="360"/>
        <w:gridCol w:w="780"/>
        <w:gridCol w:w="360"/>
        <w:gridCol w:w="780"/>
        <w:gridCol w:w="360"/>
        <w:gridCol w:w="840"/>
        <w:gridCol w:w="596"/>
        <w:gridCol w:w="1320"/>
      </w:tblGrid>
      <w:tr>
        <w:trPr>
          <w:jc w:val="center"/>
        </w:trPr>
        <w:tc>
          <w:tcPr>
            <w:tcW w:w="1081" w:type="dxa"/>
            <w:vMerge w:val="restart"/>
            <w:tcBorders>
              <w:top w:val="single" w:sz="12" w:space="0" w:color="auto"/>
              <w:left w:val="single" w:sz="12" w:space="0" w:color="auto"/>
            </w:tcBorders>
            <w:vAlign w:val="center"/>
          </w:tcPr>
          <w:p>
            <w:pPr>
              <w:keepNext/>
              <w:ind w:right="-29"/>
              <w:jc w:val="center"/>
              <w:rPr>
                <w:b/>
                <w:noProof/>
                <w:sz w:val="18"/>
                <w:szCs w:val="18"/>
              </w:rPr>
            </w:pPr>
            <w:r>
              <w:rPr>
                <w:b/>
                <w:noProof/>
                <w:sz w:val="18"/>
              </w:rPr>
              <w:t xml:space="preserve">Cilji in realizacije </w:t>
            </w:r>
          </w:p>
          <w:p>
            <w:pPr>
              <w:keepNext/>
              <w:ind w:right="-29"/>
              <w:jc w:val="center"/>
              <w:rPr>
                <w:b/>
                <w:noProof/>
                <w:sz w:val="18"/>
                <w:szCs w:val="18"/>
              </w:rPr>
            </w:pPr>
            <w:r>
              <w:rPr>
                <w:b/>
                <w:noProof/>
                <w:sz w:val="18"/>
              </w:rPr>
              <w:t>eu-LISA</w:t>
            </w:r>
          </w:p>
          <w:p>
            <w:pPr>
              <w:keepNext/>
              <w:ind w:right="-29"/>
              <w:jc w:val="center"/>
              <w:rPr>
                <w:noProof/>
                <w:sz w:val="18"/>
                <w:szCs w:val="18"/>
              </w:rPr>
            </w:pPr>
            <w:r>
              <w:rPr>
                <w:noProof/>
                <w:sz w:val="18"/>
              </w:rPr>
              <w:sym w:font="Wingdings" w:char="F0F2"/>
            </w:r>
          </w:p>
        </w:tc>
        <w:tc>
          <w:tcPr>
            <w:tcW w:w="719" w:type="dxa"/>
            <w:tcBorders>
              <w:top w:val="single" w:sz="12" w:space="0" w:color="auto"/>
            </w:tcBorders>
            <w:vAlign w:val="center"/>
          </w:tcPr>
          <w:p>
            <w:pPr>
              <w:keepNext/>
              <w:ind w:right="-29"/>
              <w:jc w:val="center"/>
              <w:rPr>
                <w:noProof/>
                <w:sz w:val="18"/>
                <w:szCs w:val="18"/>
              </w:rPr>
            </w:pPr>
          </w:p>
        </w:tc>
        <w:tc>
          <w:tcPr>
            <w:tcW w:w="574" w:type="dxa"/>
            <w:tcBorders>
              <w:top w:val="single" w:sz="12" w:space="0" w:color="auto"/>
            </w:tcBorders>
            <w:vAlign w:val="center"/>
          </w:tcPr>
          <w:p>
            <w:pPr>
              <w:keepNext/>
              <w:ind w:right="-29"/>
              <w:jc w:val="center"/>
              <w:rPr>
                <w:noProof/>
                <w:sz w:val="18"/>
                <w:szCs w:val="18"/>
              </w:rPr>
            </w:pPr>
          </w:p>
        </w:tc>
        <w:tc>
          <w:tcPr>
            <w:tcW w:w="1449" w:type="dxa"/>
            <w:gridSpan w:val="2"/>
            <w:tcBorders>
              <w:top w:val="single" w:sz="12" w:space="0" w:color="auto"/>
              <w:right w:val="single" w:sz="4" w:space="0" w:color="auto"/>
            </w:tcBorders>
            <w:vAlign w:val="center"/>
          </w:tcPr>
          <w:p>
            <w:pPr>
              <w:keepNext/>
              <w:ind w:right="-29"/>
              <w:jc w:val="center"/>
              <w:rPr>
                <w:noProof/>
                <w:sz w:val="18"/>
                <w:szCs w:val="18"/>
              </w:rPr>
            </w:pPr>
            <w:r>
              <w:rPr>
                <w:noProof/>
                <w:sz w:val="18"/>
              </w:rPr>
              <w:t>Leto</w:t>
            </w:r>
            <w:r>
              <w:rPr>
                <w:noProof/>
                <w:sz w:val="22"/>
              </w:rPr>
              <w:br/>
            </w:r>
            <w:r>
              <w:rPr>
                <w:b/>
                <w:noProof/>
                <w:sz w:val="18"/>
              </w:rPr>
              <w:t>2019</w:t>
            </w:r>
          </w:p>
        </w:tc>
        <w:tc>
          <w:tcPr>
            <w:tcW w:w="1449" w:type="dxa"/>
            <w:gridSpan w:val="2"/>
            <w:tcBorders>
              <w:top w:val="single" w:sz="12" w:space="0" w:color="auto"/>
              <w:left w:val="single" w:sz="4" w:space="0" w:color="auto"/>
            </w:tcBorders>
            <w:vAlign w:val="center"/>
          </w:tcPr>
          <w:p>
            <w:pPr>
              <w:keepNext/>
              <w:ind w:right="-29"/>
              <w:jc w:val="center"/>
              <w:rPr>
                <w:noProof/>
                <w:sz w:val="18"/>
                <w:szCs w:val="18"/>
              </w:rPr>
            </w:pPr>
            <w:r>
              <w:rPr>
                <w:noProof/>
                <w:sz w:val="18"/>
              </w:rPr>
              <w:t>Leto</w:t>
            </w:r>
            <w:r>
              <w:rPr>
                <w:noProof/>
                <w:sz w:val="22"/>
              </w:rPr>
              <w:br/>
            </w:r>
            <w:r>
              <w:rPr>
                <w:b/>
                <w:noProof/>
                <w:sz w:val="18"/>
              </w:rPr>
              <w:t>2020</w:t>
            </w:r>
          </w:p>
        </w:tc>
        <w:tc>
          <w:tcPr>
            <w:tcW w:w="1449" w:type="dxa"/>
            <w:gridSpan w:val="2"/>
            <w:tcBorders>
              <w:top w:val="single" w:sz="12" w:space="0" w:color="auto"/>
            </w:tcBorders>
            <w:vAlign w:val="center"/>
          </w:tcPr>
          <w:p>
            <w:pPr>
              <w:keepNext/>
              <w:ind w:right="-29"/>
              <w:jc w:val="center"/>
              <w:rPr>
                <w:noProof/>
                <w:sz w:val="18"/>
                <w:szCs w:val="18"/>
              </w:rPr>
            </w:pPr>
            <w:r>
              <w:rPr>
                <w:noProof/>
                <w:sz w:val="18"/>
              </w:rPr>
              <w:t>Leto</w:t>
            </w:r>
            <w:r>
              <w:rPr>
                <w:noProof/>
                <w:sz w:val="22"/>
              </w:rPr>
              <w:br/>
            </w:r>
            <w:r>
              <w:rPr>
                <w:b/>
                <w:noProof/>
                <w:sz w:val="18"/>
              </w:rPr>
              <w:t>2021</w:t>
            </w:r>
          </w:p>
        </w:tc>
        <w:tc>
          <w:tcPr>
            <w:tcW w:w="1449" w:type="dxa"/>
            <w:gridSpan w:val="2"/>
            <w:tcBorders>
              <w:top w:val="single" w:sz="12" w:space="0" w:color="auto"/>
            </w:tcBorders>
            <w:vAlign w:val="center"/>
          </w:tcPr>
          <w:p>
            <w:pPr>
              <w:keepNext/>
              <w:ind w:right="-29"/>
              <w:jc w:val="center"/>
              <w:rPr>
                <w:noProof/>
                <w:sz w:val="18"/>
                <w:szCs w:val="18"/>
              </w:rPr>
            </w:pPr>
            <w:r>
              <w:rPr>
                <w:noProof/>
                <w:sz w:val="18"/>
              </w:rPr>
              <w:t>Leto</w:t>
            </w:r>
            <w:r>
              <w:rPr>
                <w:noProof/>
                <w:sz w:val="22"/>
              </w:rPr>
              <w:br/>
            </w:r>
            <w:r>
              <w:rPr>
                <w:b/>
                <w:noProof/>
                <w:sz w:val="18"/>
              </w:rPr>
              <w:t>2022</w:t>
            </w:r>
          </w:p>
        </w:tc>
        <w:tc>
          <w:tcPr>
            <w:tcW w:w="1508" w:type="dxa"/>
            <w:gridSpan w:val="2"/>
            <w:tcBorders>
              <w:top w:val="single" w:sz="12" w:space="0" w:color="auto"/>
            </w:tcBorders>
            <w:vAlign w:val="center"/>
          </w:tcPr>
          <w:p>
            <w:pPr>
              <w:keepNext/>
              <w:jc w:val="center"/>
              <w:rPr>
                <w:noProof/>
                <w:sz w:val="18"/>
                <w:szCs w:val="18"/>
              </w:rPr>
            </w:pPr>
            <w:r>
              <w:rPr>
                <w:noProof/>
                <w:sz w:val="18"/>
              </w:rPr>
              <w:t>Leto</w:t>
            </w:r>
            <w:r>
              <w:rPr>
                <w:noProof/>
                <w:sz w:val="22"/>
              </w:rPr>
              <w:br/>
            </w:r>
            <w:r>
              <w:rPr>
                <w:b/>
                <w:noProof/>
                <w:sz w:val="18"/>
              </w:rPr>
              <w:t>2023</w:t>
            </w:r>
          </w:p>
        </w:tc>
        <w:tc>
          <w:tcPr>
            <w:tcW w:w="1376" w:type="dxa"/>
            <w:gridSpan w:val="2"/>
            <w:tcBorders>
              <w:top w:val="single" w:sz="12" w:space="0" w:color="auto"/>
            </w:tcBorders>
            <w:vAlign w:val="center"/>
          </w:tcPr>
          <w:p>
            <w:pPr>
              <w:keepNext/>
              <w:jc w:val="center"/>
              <w:rPr>
                <w:noProof/>
                <w:sz w:val="18"/>
                <w:szCs w:val="18"/>
              </w:rPr>
            </w:pPr>
            <w:r>
              <w:rPr>
                <w:noProof/>
                <w:sz w:val="18"/>
              </w:rPr>
              <w:t>Leto</w:t>
            </w:r>
            <w:r>
              <w:rPr>
                <w:noProof/>
                <w:sz w:val="22"/>
              </w:rPr>
              <w:br/>
            </w:r>
            <w:r>
              <w:rPr>
                <w:b/>
                <w:noProof/>
                <w:sz w:val="18"/>
              </w:rPr>
              <w:t>2024</w:t>
            </w:r>
          </w:p>
        </w:tc>
        <w:tc>
          <w:tcPr>
            <w:tcW w:w="1140" w:type="dxa"/>
            <w:gridSpan w:val="2"/>
            <w:tcBorders>
              <w:top w:val="single" w:sz="12" w:space="0" w:color="auto"/>
            </w:tcBorders>
            <w:vAlign w:val="center"/>
          </w:tcPr>
          <w:p>
            <w:pPr>
              <w:keepNext/>
              <w:jc w:val="center"/>
              <w:rPr>
                <w:noProof/>
                <w:sz w:val="18"/>
                <w:szCs w:val="18"/>
              </w:rPr>
            </w:pPr>
            <w:r>
              <w:rPr>
                <w:noProof/>
                <w:sz w:val="18"/>
              </w:rPr>
              <w:t>Leto</w:t>
            </w:r>
            <w:r>
              <w:rPr>
                <w:noProof/>
                <w:sz w:val="22"/>
              </w:rPr>
              <w:br/>
            </w:r>
            <w:r>
              <w:rPr>
                <w:b/>
                <w:noProof/>
                <w:sz w:val="18"/>
              </w:rPr>
              <w:t>2025</w:t>
            </w:r>
          </w:p>
        </w:tc>
        <w:tc>
          <w:tcPr>
            <w:tcW w:w="1140" w:type="dxa"/>
            <w:gridSpan w:val="2"/>
            <w:tcBorders>
              <w:top w:val="single" w:sz="12" w:space="0" w:color="auto"/>
            </w:tcBorders>
          </w:tcPr>
          <w:p>
            <w:pPr>
              <w:keepNext/>
              <w:ind w:right="-29"/>
              <w:jc w:val="center"/>
              <w:rPr>
                <w:b/>
                <w:noProof/>
                <w:sz w:val="18"/>
              </w:rPr>
            </w:pPr>
            <w:r>
              <w:rPr>
                <w:noProof/>
                <w:sz w:val="18"/>
              </w:rPr>
              <w:t>Leto</w:t>
            </w:r>
            <w:r>
              <w:rPr>
                <w:noProof/>
                <w:sz w:val="22"/>
              </w:rPr>
              <w:br/>
            </w:r>
            <w:r>
              <w:rPr>
                <w:b/>
                <w:noProof/>
                <w:sz w:val="18"/>
              </w:rPr>
              <w:t>2026</w:t>
            </w:r>
          </w:p>
        </w:tc>
        <w:tc>
          <w:tcPr>
            <w:tcW w:w="1200" w:type="dxa"/>
            <w:gridSpan w:val="2"/>
            <w:tcBorders>
              <w:top w:val="single" w:sz="12" w:space="0" w:color="auto"/>
              <w:right w:val="nil"/>
            </w:tcBorders>
          </w:tcPr>
          <w:p>
            <w:pPr>
              <w:keepNext/>
              <w:ind w:right="-29"/>
              <w:jc w:val="center"/>
              <w:rPr>
                <w:b/>
                <w:noProof/>
                <w:sz w:val="18"/>
              </w:rPr>
            </w:pPr>
            <w:r>
              <w:rPr>
                <w:noProof/>
                <w:sz w:val="18"/>
              </w:rPr>
              <w:t>Leto</w:t>
            </w:r>
            <w:r>
              <w:rPr>
                <w:noProof/>
                <w:sz w:val="22"/>
              </w:rPr>
              <w:br/>
            </w:r>
            <w:r>
              <w:rPr>
                <w:b/>
                <w:noProof/>
                <w:sz w:val="18"/>
              </w:rPr>
              <w:t>2027</w:t>
            </w:r>
          </w:p>
        </w:tc>
        <w:tc>
          <w:tcPr>
            <w:tcW w:w="1916" w:type="dxa"/>
            <w:gridSpan w:val="2"/>
            <w:tcBorders>
              <w:top w:val="single" w:sz="12" w:space="0" w:color="auto"/>
              <w:left w:val="single" w:sz="6" w:space="0" w:color="auto"/>
              <w:bottom w:val="single" w:sz="4" w:space="0" w:color="auto"/>
              <w:right w:val="single" w:sz="12" w:space="0" w:color="auto"/>
            </w:tcBorders>
            <w:vAlign w:val="center"/>
          </w:tcPr>
          <w:p>
            <w:pPr>
              <w:keepNext/>
              <w:ind w:right="-29"/>
              <w:jc w:val="center"/>
              <w:rPr>
                <w:noProof/>
                <w:sz w:val="18"/>
                <w:szCs w:val="18"/>
              </w:rPr>
            </w:pPr>
            <w:r>
              <w:rPr>
                <w:b/>
                <w:noProof/>
                <w:sz w:val="18"/>
              </w:rPr>
              <w:t>SKUPAJ</w:t>
            </w:r>
          </w:p>
        </w:tc>
      </w:tr>
      <w:tr>
        <w:trPr>
          <w:gridAfter w:val="22"/>
          <w:wAfter w:w="15369" w:type="dxa"/>
          <w:trHeight w:val="465"/>
          <w:jc w:val="center"/>
        </w:trPr>
        <w:tc>
          <w:tcPr>
            <w:tcW w:w="1081" w:type="dxa"/>
            <w:vMerge/>
            <w:tcBorders>
              <w:left w:val="single" w:sz="12" w:space="0" w:color="auto"/>
            </w:tcBorders>
            <w:vAlign w:val="center"/>
          </w:tcPr>
          <w:p>
            <w:pPr>
              <w:keepNext/>
              <w:ind w:right="-29"/>
              <w:jc w:val="center"/>
              <w:rPr>
                <w:noProof/>
                <w:sz w:val="18"/>
                <w:szCs w:val="18"/>
              </w:rPr>
            </w:pPr>
          </w:p>
        </w:tc>
      </w:tr>
      <w:tr>
        <w:trPr>
          <w:cantSplit/>
          <w:trHeight w:val="1134"/>
          <w:jc w:val="center"/>
        </w:trPr>
        <w:tc>
          <w:tcPr>
            <w:tcW w:w="1081" w:type="dxa"/>
            <w:vMerge/>
            <w:tcBorders>
              <w:left w:val="single" w:sz="12" w:space="0" w:color="auto"/>
            </w:tcBorders>
            <w:vAlign w:val="center"/>
          </w:tcPr>
          <w:p>
            <w:pPr>
              <w:rPr>
                <w:noProof/>
                <w:sz w:val="18"/>
                <w:szCs w:val="18"/>
              </w:rPr>
            </w:pPr>
          </w:p>
        </w:tc>
        <w:tc>
          <w:tcPr>
            <w:tcW w:w="719" w:type="dxa"/>
            <w:vAlign w:val="center"/>
          </w:tcPr>
          <w:p>
            <w:pPr>
              <w:jc w:val="center"/>
              <w:rPr>
                <w:noProof/>
                <w:sz w:val="18"/>
                <w:szCs w:val="18"/>
              </w:rPr>
            </w:pPr>
            <w:r>
              <w:rPr>
                <w:noProof/>
                <w:sz w:val="18"/>
              </w:rPr>
              <w:t>vrsta</w:t>
            </w:r>
            <w:r>
              <w:rPr>
                <w:rStyle w:val="FootnoteReference"/>
                <w:noProof/>
              </w:rPr>
              <w:footnoteReference w:id="104"/>
            </w:r>
          </w:p>
          <w:p>
            <w:pPr>
              <w:spacing w:before="0" w:after="0"/>
              <w:jc w:val="center"/>
              <w:rPr>
                <w:noProof/>
                <w:sz w:val="18"/>
                <w:szCs w:val="18"/>
              </w:rPr>
            </w:pPr>
          </w:p>
        </w:tc>
        <w:tc>
          <w:tcPr>
            <w:tcW w:w="574" w:type="dxa"/>
            <w:tcBorders>
              <w:right w:val="single" w:sz="4" w:space="0" w:color="auto"/>
            </w:tcBorders>
            <w:vAlign w:val="center"/>
          </w:tcPr>
          <w:p>
            <w:pPr>
              <w:jc w:val="center"/>
              <w:rPr>
                <w:noProof/>
                <w:sz w:val="18"/>
                <w:szCs w:val="18"/>
              </w:rPr>
            </w:pPr>
            <w:r>
              <w:rPr>
                <w:noProof/>
                <w:sz w:val="18"/>
              </w:rPr>
              <w:t>povprečni stroški</w:t>
            </w:r>
          </w:p>
        </w:tc>
        <w:tc>
          <w:tcPr>
            <w:tcW w:w="669" w:type="dxa"/>
            <w:tcBorders>
              <w:top w:val="dotted" w:sz="4" w:space="0" w:color="auto"/>
              <w:left w:val="single" w:sz="4" w:space="0" w:color="auto"/>
              <w:bottom w:val="dotted" w:sz="4" w:space="0" w:color="auto"/>
              <w:right w:val="nil"/>
            </w:tcBorders>
            <w:shd w:val="pct10" w:color="auto" w:fill="auto"/>
            <w:textDirection w:val="btLr"/>
            <w:vAlign w:val="center"/>
          </w:tcPr>
          <w:p>
            <w:pPr>
              <w:ind w:left="113" w:right="113"/>
              <w:jc w:val="center"/>
              <w:rPr>
                <w:noProof/>
                <w:sz w:val="18"/>
              </w:rPr>
            </w:pPr>
            <w:r>
              <w:rPr>
                <w:noProof/>
                <w:sz w:val="18"/>
              </w:rPr>
              <w:t>število</w:t>
            </w:r>
          </w:p>
        </w:tc>
        <w:tc>
          <w:tcPr>
            <w:tcW w:w="780" w:type="dxa"/>
            <w:tcBorders>
              <w:left w:val="nil"/>
              <w:right w:val="single" w:sz="4" w:space="0" w:color="auto"/>
            </w:tcBorders>
            <w:shd w:val="pct10" w:color="auto" w:fill="auto"/>
            <w:vAlign w:val="center"/>
          </w:tcPr>
          <w:p>
            <w:pPr>
              <w:jc w:val="center"/>
              <w:rPr>
                <w:noProof/>
                <w:sz w:val="18"/>
              </w:rPr>
            </w:pPr>
            <w:r>
              <w:rPr>
                <w:noProof/>
                <w:sz w:val="18"/>
              </w:rPr>
              <w:t>stroški</w:t>
            </w:r>
          </w:p>
        </w:tc>
        <w:tc>
          <w:tcPr>
            <w:tcW w:w="669" w:type="dxa"/>
            <w:tcBorders>
              <w:left w:val="single" w:sz="4" w:space="0" w:color="auto"/>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780"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669"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780"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669"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780"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669"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839"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596"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780"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780"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780"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ind w:left="113" w:right="113"/>
              <w:jc w:val="center"/>
              <w:rPr>
                <w:noProof/>
                <w:sz w:val="18"/>
              </w:rPr>
            </w:pPr>
            <w:r>
              <w:rPr>
                <w:noProof/>
                <w:sz w:val="18"/>
              </w:rPr>
              <w:t>število</w:t>
            </w:r>
          </w:p>
        </w:tc>
        <w:tc>
          <w:tcPr>
            <w:tcW w:w="840" w:type="dxa"/>
            <w:tcBorders>
              <w:left w:val="dashSmallGap" w:sz="4" w:space="0" w:color="auto"/>
            </w:tcBorders>
            <w:shd w:val="pct10" w:color="auto" w:fill="auto"/>
            <w:vAlign w:val="center"/>
          </w:tcPr>
          <w:p>
            <w:pPr>
              <w:jc w:val="center"/>
              <w:rPr>
                <w:noProof/>
                <w:sz w:val="18"/>
              </w:rPr>
            </w:pPr>
            <w:r>
              <w:rPr>
                <w:noProof/>
                <w:sz w:val="18"/>
              </w:rPr>
              <w:t>stroški</w:t>
            </w:r>
          </w:p>
        </w:tc>
        <w:tc>
          <w:tcPr>
            <w:tcW w:w="596"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 realizacij skupaj</w:t>
            </w:r>
          </w:p>
        </w:tc>
        <w:tc>
          <w:tcPr>
            <w:tcW w:w="1320" w:type="dxa"/>
            <w:tcBorders>
              <w:left w:val="dashSmallGap" w:sz="4" w:space="0" w:color="auto"/>
              <w:right w:val="single" w:sz="12" w:space="0" w:color="auto"/>
            </w:tcBorders>
            <w:shd w:val="pct10" w:color="auto" w:fill="auto"/>
            <w:vAlign w:val="center"/>
          </w:tcPr>
          <w:p>
            <w:pPr>
              <w:jc w:val="center"/>
              <w:rPr>
                <w:noProof/>
                <w:sz w:val="18"/>
                <w:szCs w:val="18"/>
              </w:rPr>
            </w:pPr>
            <w:r>
              <w:rPr>
                <w:noProof/>
                <w:sz w:val="18"/>
              </w:rPr>
              <w:t>stroški realizacij skupaj</w:t>
            </w:r>
          </w:p>
        </w:tc>
      </w:tr>
      <w:tr>
        <w:trPr>
          <w:jc w:val="center"/>
        </w:trPr>
        <w:tc>
          <w:tcPr>
            <w:tcW w:w="2374" w:type="dxa"/>
            <w:gridSpan w:val="3"/>
            <w:tcBorders>
              <w:left w:val="single" w:sz="12" w:space="0" w:color="auto"/>
            </w:tcBorders>
            <w:vAlign w:val="center"/>
          </w:tcPr>
          <w:p>
            <w:pPr>
              <w:spacing w:before="60" w:after="60"/>
              <w:ind w:right="-29"/>
              <w:jc w:val="center"/>
              <w:rPr>
                <w:noProof/>
                <w:sz w:val="18"/>
              </w:rPr>
            </w:pPr>
            <w:r>
              <w:rPr>
                <w:noProof/>
                <w:sz w:val="18"/>
              </w:rPr>
              <w:t>SPECIFIČNI CILJ št. 6: Srečanja in usposabljanje</w:t>
            </w:r>
          </w:p>
          <w:p>
            <w:pPr>
              <w:spacing w:before="60" w:after="60"/>
              <w:ind w:right="-29"/>
              <w:jc w:val="center"/>
              <w:rPr>
                <w:noProof/>
                <w:sz w:val="18"/>
                <w:szCs w:val="18"/>
              </w:rPr>
            </w:pPr>
          </w:p>
        </w:tc>
        <w:tc>
          <w:tcPr>
            <w:tcW w:w="669" w:type="dxa"/>
            <w:tcBorders>
              <w:right w:val="nil"/>
            </w:tcBorders>
          </w:tcPr>
          <w:p>
            <w:pPr>
              <w:spacing w:before="60" w:after="60"/>
              <w:ind w:right="-29"/>
              <w:jc w:val="center"/>
              <w:rPr>
                <w:noProof/>
                <w:sz w:val="18"/>
                <w:szCs w:val="18"/>
              </w:rPr>
            </w:pPr>
          </w:p>
        </w:tc>
        <w:tc>
          <w:tcPr>
            <w:tcW w:w="780" w:type="dxa"/>
            <w:tcBorders>
              <w:left w:val="nil"/>
              <w:bottom w:val="single" w:sz="4" w:space="0" w:color="auto"/>
            </w:tcBorders>
          </w:tcPr>
          <w:p>
            <w:pPr>
              <w:spacing w:before="60" w:after="60"/>
              <w:ind w:right="-29"/>
              <w:jc w:val="center"/>
              <w:rPr>
                <w:noProof/>
                <w:sz w:val="18"/>
                <w:szCs w:val="18"/>
              </w:rPr>
            </w:pPr>
          </w:p>
        </w:tc>
        <w:tc>
          <w:tcPr>
            <w:tcW w:w="669" w:type="dxa"/>
            <w:tcBorders>
              <w:top w:val="nil"/>
              <w:left w:val="nil"/>
              <w:bottom w:val="nil"/>
              <w:right w:val="nil"/>
            </w:tcBorders>
          </w:tcPr>
          <w:p>
            <w:pPr>
              <w:spacing w:before="60" w:after="60"/>
              <w:ind w:right="-29"/>
              <w:jc w:val="center"/>
              <w:rPr>
                <w:noProof/>
                <w:sz w:val="18"/>
                <w:szCs w:val="18"/>
              </w:rPr>
            </w:pPr>
          </w:p>
        </w:tc>
        <w:tc>
          <w:tcPr>
            <w:tcW w:w="780" w:type="dxa"/>
            <w:tcBorders>
              <w:top w:val="nil"/>
              <w:left w:val="nil"/>
              <w:bottom w:val="nil"/>
              <w:right w:val="nil"/>
            </w:tcBorders>
          </w:tcPr>
          <w:p>
            <w:pPr>
              <w:spacing w:before="60" w:after="60"/>
              <w:ind w:right="-29"/>
              <w:jc w:val="center"/>
              <w:rPr>
                <w:noProof/>
                <w:sz w:val="18"/>
                <w:szCs w:val="18"/>
              </w:rPr>
            </w:pPr>
          </w:p>
        </w:tc>
        <w:tc>
          <w:tcPr>
            <w:tcW w:w="669" w:type="dxa"/>
            <w:tcBorders>
              <w:top w:val="nil"/>
              <w:left w:val="nil"/>
              <w:bottom w:val="nil"/>
              <w:right w:val="nil"/>
            </w:tcBorders>
          </w:tcPr>
          <w:p>
            <w:pPr>
              <w:spacing w:before="60" w:after="60"/>
              <w:ind w:right="-29"/>
              <w:jc w:val="center"/>
              <w:rPr>
                <w:noProof/>
                <w:sz w:val="18"/>
                <w:szCs w:val="18"/>
              </w:rPr>
            </w:pPr>
          </w:p>
        </w:tc>
        <w:tc>
          <w:tcPr>
            <w:tcW w:w="780" w:type="dxa"/>
            <w:tcBorders>
              <w:top w:val="nil"/>
              <w:left w:val="nil"/>
              <w:bottom w:val="nil"/>
              <w:right w:val="nil"/>
            </w:tcBorders>
          </w:tcPr>
          <w:p>
            <w:pPr>
              <w:spacing w:before="60" w:after="60"/>
              <w:ind w:right="-29"/>
              <w:jc w:val="center"/>
              <w:rPr>
                <w:noProof/>
                <w:sz w:val="18"/>
                <w:szCs w:val="18"/>
              </w:rPr>
            </w:pPr>
          </w:p>
        </w:tc>
        <w:tc>
          <w:tcPr>
            <w:tcW w:w="669" w:type="dxa"/>
            <w:tcBorders>
              <w:top w:val="nil"/>
              <w:left w:val="nil"/>
              <w:bottom w:val="nil"/>
              <w:right w:val="nil"/>
            </w:tcBorders>
          </w:tcPr>
          <w:p>
            <w:pPr>
              <w:spacing w:before="60" w:after="60"/>
              <w:ind w:right="-29"/>
              <w:jc w:val="center"/>
              <w:rPr>
                <w:noProof/>
                <w:sz w:val="18"/>
                <w:szCs w:val="18"/>
              </w:rPr>
            </w:pPr>
          </w:p>
        </w:tc>
        <w:tc>
          <w:tcPr>
            <w:tcW w:w="780" w:type="dxa"/>
            <w:tcBorders>
              <w:top w:val="nil"/>
              <w:left w:val="nil"/>
              <w:bottom w:val="nil"/>
              <w:right w:val="nil"/>
            </w:tcBorders>
          </w:tcPr>
          <w:p>
            <w:pPr>
              <w:spacing w:before="60" w:after="60"/>
              <w:ind w:right="-29"/>
              <w:jc w:val="center"/>
              <w:rPr>
                <w:noProof/>
                <w:sz w:val="18"/>
                <w:szCs w:val="18"/>
              </w:rPr>
            </w:pPr>
          </w:p>
        </w:tc>
        <w:tc>
          <w:tcPr>
            <w:tcW w:w="669" w:type="dxa"/>
            <w:tcBorders>
              <w:top w:val="nil"/>
              <w:left w:val="nil"/>
              <w:bottom w:val="nil"/>
              <w:right w:val="nil"/>
            </w:tcBorders>
          </w:tcPr>
          <w:p>
            <w:pPr>
              <w:spacing w:before="60" w:after="60"/>
              <w:ind w:right="-29"/>
              <w:jc w:val="center"/>
              <w:rPr>
                <w:noProof/>
                <w:sz w:val="18"/>
                <w:szCs w:val="18"/>
              </w:rPr>
            </w:pPr>
          </w:p>
        </w:tc>
        <w:tc>
          <w:tcPr>
            <w:tcW w:w="839" w:type="dxa"/>
            <w:tcBorders>
              <w:top w:val="nil"/>
              <w:left w:val="nil"/>
              <w:bottom w:val="nil"/>
              <w:right w:val="nil"/>
            </w:tcBorders>
          </w:tcPr>
          <w:p>
            <w:pPr>
              <w:spacing w:before="60" w:after="60"/>
              <w:ind w:right="-29"/>
              <w:jc w:val="center"/>
              <w:rPr>
                <w:noProof/>
                <w:sz w:val="18"/>
                <w:szCs w:val="18"/>
              </w:rPr>
            </w:pPr>
          </w:p>
        </w:tc>
        <w:tc>
          <w:tcPr>
            <w:tcW w:w="596" w:type="dxa"/>
            <w:tcBorders>
              <w:top w:val="nil"/>
              <w:left w:val="nil"/>
              <w:bottom w:val="nil"/>
              <w:right w:val="nil"/>
            </w:tcBorders>
          </w:tcPr>
          <w:p>
            <w:pPr>
              <w:spacing w:before="60" w:after="60"/>
              <w:ind w:right="-29"/>
              <w:jc w:val="center"/>
              <w:rPr>
                <w:noProof/>
                <w:sz w:val="18"/>
                <w:szCs w:val="18"/>
              </w:rPr>
            </w:pPr>
          </w:p>
        </w:tc>
        <w:tc>
          <w:tcPr>
            <w:tcW w:w="780" w:type="dxa"/>
            <w:tcBorders>
              <w:top w:val="nil"/>
              <w:left w:val="nil"/>
              <w:bottom w:val="nil"/>
              <w:right w:val="nil"/>
            </w:tcBorders>
          </w:tcPr>
          <w:p>
            <w:pPr>
              <w:spacing w:before="60" w:after="60"/>
              <w:ind w:right="-29"/>
              <w:jc w:val="center"/>
              <w:rPr>
                <w:noProof/>
                <w:sz w:val="18"/>
                <w:szCs w:val="18"/>
              </w:rPr>
            </w:pPr>
          </w:p>
        </w:tc>
        <w:tc>
          <w:tcPr>
            <w:tcW w:w="360" w:type="dxa"/>
            <w:tcBorders>
              <w:top w:val="nil"/>
              <w:left w:val="nil"/>
              <w:bottom w:val="nil"/>
              <w:right w:val="nil"/>
            </w:tcBorders>
          </w:tcPr>
          <w:p>
            <w:pPr>
              <w:spacing w:before="60" w:after="60"/>
              <w:ind w:right="-29"/>
              <w:jc w:val="center"/>
              <w:rPr>
                <w:noProof/>
                <w:sz w:val="18"/>
                <w:szCs w:val="18"/>
              </w:rPr>
            </w:pPr>
          </w:p>
        </w:tc>
        <w:tc>
          <w:tcPr>
            <w:tcW w:w="780" w:type="dxa"/>
            <w:tcBorders>
              <w:top w:val="nil"/>
              <w:left w:val="nil"/>
              <w:bottom w:val="nil"/>
              <w:right w:val="nil"/>
            </w:tcBorders>
          </w:tcPr>
          <w:p>
            <w:pPr>
              <w:spacing w:before="60" w:after="60"/>
              <w:ind w:right="-29"/>
              <w:jc w:val="center"/>
              <w:rPr>
                <w:noProof/>
                <w:sz w:val="18"/>
                <w:szCs w:val="18"/>
              </w:rPr>
            </w:pPr>
          </w:p>
        </w:tc>
        <w:tc>
          <w:tcPr>
            <w:tcW w:w="360" w:type="dxa"/>
            <w:tcBorders>
              <w:top w:val="nil"/>
              <w:left w:val="nil"/>
              <w:bottom w:val="nil"/>
              <w:right w:val="nil"/>
            </w:tcBorders>
          </w:tcPr>
          <w:p>
            <w:pPr>
              <w:spacing w:before="60" w:after="60"/>
              <w:ind w:right="-29"/>
              <w:jc w:val="center"/>
              <w:rPr>
                <w:noProof/>
                <w:sz w:val="18"/>
                <w:szCs w:val="18"/>
              </w:rPr>
            </w:pPr>
          </w:p>
        </w:tc>
        <w:tc>
          <w:tcPr>
            <w:tcW w:w="780" w:type="dxa"/>
            <w:tcBorders>
              <w:top w:val="nil"/>
              <w:left w:val="nil"/>
              <w:bottom w:val="nil"/>
              <w:right w:val="nil"/>
            </w:tcBorders>
          </w:tcPr>
          <w:p>
            <w:pPr>
              <w:spacing w:before="60" w:after="60"/>
              <w:ind w:right="-29"/>
              <w:jc w:val="center"/>
              <w:rPr>
                <w:noProof/>
                <w:sz w:val="18"/>
                <w:szCs w:val="18"/>
              </w:rPr>
            </w:pPr>
          </w:p>
        </w:tc>
        <w:tc>
          <w:tcPr>
            <w:tcW w:w="1200" w:type="dxa"/>
            <w:gridSpan w:val="2"/>
            <w:tcBorders>
              <w:top w:val="nil"/>
              <w:left w:val="nil"/>
              <w:bottom w:val="nil"/>
              <w:right w:val="nil"/>
            </w:tcBorders>
          </w:tcPr>
          <w:p>
            <w:pPr>
              <w:spacing w:before="60" w:after="60"/>
              <w:ind w:right="-29"/>
              <w:jc w:val="center"/>
              <w:rPr>
                <w:noProof/>
                <w:sz w:val="18"/>
                <w:szCs w:val="18"/>
              </w:rPr>
            </w:pPr>
          </w:p>
        </w:tc>
        <w:tc>
          <w:tcPr>
            <w:tcW w:w="596" w:type="dxa"/>
            <w:tcBorders>
              <w:top w:val="nil"/>
              <w:left w:val="nil"/>
              <w:bottom w:val="nil"/>
              <w:right w:val="nil"/>
            </w:tcBorders>
          </w:tcPr>
          <w:p>
            <w:pPr>
              <w:spacing w:before="60" w:after="60"/>
              <w:ind w:right="-29"/>
              <w:jc w:val="center"/>
              <w:rPr>
                <w:noProof/>
                <w:sz w:val="18"/>
                <w:szCs w:val="18"/>
              </w:rPr>
            </w:pPr>
          </w:p>
        </w:tc>
        <w:tc>
          <w:tcPr>
            <w:tcW w:w="1320" w:type="dxa"/>
            <w:tcBorders>
              <w:top w:val="nil"/>
              <w:left w:val="nil"/>
              <w:bottom w:val="single" w:sz="4" w:space="0" w:color="auto"/>
              <w:right w:val="single" w:sz="12" w:space="0" w:color="auto"/>
            </w:tcBorders>
          </w:tcPr>
          <w:p>
            <w:pPr>
              <w:spacing w:before="60" w:after="60"/>
              <w:ind w:right="-29"/>
              <w:jc w:val="center"/>
              <w:rPr>
                <w:noProof/>
                <w:sz w:val="18"/>
                <w:szCs w:val="18"/>
              </w:rPr>
            </w:pPr>
          </w:p>
        </w:tc>
      </w:tr>
      <w:tr>
        <w:trPr>
          <w:trHeight w:hRule="exact" w:val="1462"/>
          <w:jc w:val="center"/>
        </w:trPr>
        <w:tc>
          <w:tcPr>
            <w:tcW w:w="1081" w:type="dxa"/>
            <w:tcBorders>
              <w:left w:val="single" w:sz="12" w:space="0" w:color="auto"/>
            </w:tcBorders>
          </w:tcPr>
          <w:p>
            <w:pPr>
              <w:ind w:right="-29"/>
              <w:jc w:val="center"/>
              <w:rPr>
                <w:noProof/>
                <w:color w:val="000000"/>
                <w:sz w:val="20"/>
                <w:szCs w:val="20"/>
              </w:rPr>
            </w:pPr>
            <w:r>
              <w:rPr>
                <w:noProof/>
                <w:color w:val="000000"/>
                <w:sz w:val="20"/>
              </w:rPr>
              <w:t xml:space="preserve">Mesečni sestanki o napredku </w:t>
            </w:r>
          </w:p>
          <w:p>
            <w:pPr>
              <w:ind w:right="-29"/>
              <w:jc w:val="center"/>
              <w:rPr>
                <w:noProof/>
                <w:sz w:val="20"/>
                <w:szCs w:val="20"/>
              </w:rPr>
            </w:pPr>
            <w:r>
              <w:rPr>
                <w:noProof/>
                <w:color w:val="000000"/>
                <w:sz w:val="20"/>
              </w:rPr>
              <w:t>(Razvoj)</w:t>
            </w:r>
          </w:p>
        </w:tc>
        <w:tc>
          <w:tcPr>
            <w:tcW w:w="1293" w:type="dxa"/>
            <w:gridSpan w:val="2"/>
          </w:tcPr>
          <w:p>
            <w:pPr>
              <w:ind w:right="-29"/>
              <w:jc w:val="center"/>
              <w:rPr>
                <w:noProof/>
                <w:sz w:val="18"/>
                <w:szCs w:val="18"/>
              </w:rPr>
            </w:pPr>
            <w:r>
              <w:rPr>
                <w:noProof/>
                <w:sz w:val="18"/>
              </w:rPr>
              <w:t>0,021 na srečanje x 10 na leto</w:t>
            </w:r>
          </w:p>
        </w:tc>
        <w:tc>
          <w:tcPr>
            <w:tcW w:w="669" w:type="dxa"/>
            <w:tcBorders>
              <w:right w:val="dashSmallGap" w:sz="4" w:space="0" w:color="auto"/>
            </w:tcBorders>
          </w:tcPr>
          <w:p>
            <w:pPr>
              <w:ind w:right="-29"/>
              <w:jc w:val="center"/>
              <w:rPr>
                <w:noProof/>
                <w:sz w:val="20"/>
                <w:szCs w:val="20"/>
              </w:rPr>
            </w:pPr>
            <w:r>
              <w:rPr>
                <w:noProof/>
                <w:sz w:val="20"/>
              </w:rPr>
              <w:t>10</w:t>
            </w:r>
          </w:p>
        </w:tc>
        <w:tc>
          <w:tcPr>
            <w:tcW w:w="780" w:type="dxa"/>
            <w:tcBorders>
              <w:left w:val="dashSmallGap" w:sz="4" w:space="0" w:color="auto"/>
              <w:bottom w:val="single" w:sz="4" w:space="0" w:color="auto"/>
            </w:tcBorders>
          </w:tcPr>
          <w:p>
            <w:pPr>
              <w:ind w:right="-29"/>
              <w:jc w:val="center"/>
              <w:rPr>
                <w:noProof/>
                <w:sz w:val="20"/>
                <w:szCs w:val="20"/>
              </w:rPr>
            </w:pPr>
            <w:r>
              <w:rPr>
                <w:rFonts w:ascii="Calibri" w:hAnsi="Calibri"/>
                <w:i/>
                <w:noProof/>
                <w:color w:val="000000"/>
                <w:sz w:val="20"/>
              </w:rPr>
              <w:t>0,210</w:t>
            </w:r>
          </w:p>
        </w:tc>
        <w:tc>
          <w:tcPr>
            <w:tcW w:w="669" w:type="dxa"/>
            <w:tcBorders>
              <w:right w:val="dashSmallGap" w:sz="4" w:space="0" w:color="auto"/>
            </w:tcBorders>
          </w:tcPr>
          <w:p>
            <w:pPr>
              <w:ind w:right="-29"/>
              <w:jc w:val="center"/>
              <w:rPr>
                <w:noProof/>
                <w:sz w:val="20"/>
                <w:szCs w:val="20"/>
              </w:rPr>
            </w:pPr>
            <w:r>
              <w:rPr>
                <w:noProof/>
                <w:sz w:val="20"/>
              </w:rPr>
              <w:t>10</w:t>
            </w:r>
          </w:p>
        </w:tc>
        <w:tc>
          <w:tcPr>
            <w:tcW w:w="780" w:type="dxa"/>
            <w:tcBorders>
              <w:left w:val="dashSmallGap" w:sz="4" w:space="0" w:color="auto"/>
            </w:tcBorders>
          </w:tcPr>
          <w:p>
            <w:pPr>
              <w:ind w:right="-29"/>
              <w:jc w:val="center"/>
              <w:rPr>
                <w:noProof/>
                <w:sz w:val="20"/>
                <w:szCs w:val="20"/>
              </w:rPr>
            </w:pPr>
            <w:r>
              <w:rPr>
                <w:rFonts w:ascii="Calibri" w:hAnsi="Calibri"/>
                <w:i/>
                <w:noProof/>
                <w:color w:val="000000"/>
                <w:sz w:val="20"/>
              </w:rPr>
              <w:t>0,210</w:t>
            </w:r>
          </w:p>
        </w:tc>
        <w:tc>
          <w:tcPr>
            <w:tcW w:w="669" w:type="dxa"/>
            <w:tcBorders>
              <w:right w:val="dashSmallGap" w:sz="4" w:space="0" w:color="auto"/>
            </w:tcBorders>
          </w:tcPr>
          <w:p>
            <w:pPr>
              <w:ind w:right="-29"/>
              <w:jc w:val="center"/>
              <w:rPr>
                <w:noProof/>
                <w:sz w:val="20"/>
                <w:szCs w:val="20"/>
              </w:rPr>
            </w:pPr>
            <w:r>
              <w:rPr>
                <w:noProof/>
                <w:sz w:val="20"/>
              </w:rPr>
              <w:t>10</w:t>
            </w:r>
          </w:p>
        </w:tc>
        <w:tc>
          <w:tcPr>
            <w:tcW w:w="780" w:type="dxa"/>
            <w:tcBorders>
              <w:left w:val="dashSmallGap" w:sz="4" w:space="0" w:color="auto"/>
            </w:tcBorders>
          </w:tcPr>
          <w:p>
            <w:pPr>
              <w:ind w:right="-29"/>
              <w:jc w:val="center"/>
              <w:rPr>
                <w:noProof/>
                <w:sz w:val="20"/>
                <w:szCs w:val="20"/>
              </w:rPr>
            </w:pPr>
            <w:r>
              <w:rPr>
                <w:rFonts w:ascii="Calibri" w:hAnsi="Calibri"/>
                <w:i/>
                <w:noProof/>
                <w:color w:val="000000"/>
                <w:sz w:val="20"/>
              </w:rPr>
              <w:t>0,210</w:t>
            </w:r>
          </w:p>
        </w:tc>
        <w:tc>
          <w:tcPr>
            <w:tcW w:w="669" w:type="dxa"/>
            <w:tcBorders>
              <w:right w:val="dashSmallGap" w:sz="4" w:space="0" w:color="auto"/>
            </w:tcBorders>
          </w:tcPr>
          <w:p>
            <w:pPr>
              <w:ind w:right="-29"/>
              <w:jc w:val="center"/>
              <w:rPr>
                <w:noProof/>
                <w:sz w:val="20"/>
                <w:szCs w:val="20"/>
              </w:rPr>
            </w:pPr>
            <w:r>
              <w:rPr>
                <w:noProof/>
                <w:sz w:val="20"/>
              </w:rPr>
              <w:t>10</w:t>
            </w:r>
          </w:p>
        </w:tc>
        <w:tc>
          <w:tcPr>
            <w:tcW w:w="780" w:type="dxa"/>
            <w:tcBorders>
              <w:left w:val="dashSmallGap" w:sz="4" w:space="0" w:color="auto"/>
            </w:tcBorders>
          </w:tcPr>
          <w:p>
            <w:pPr>
              <w:ind w:right="-29"/>
              <w:jc w:val="center"/>
              <w:rPr>
                <w:noProof/>
                <w:sz w:val="20"/>
                <w:szCs w:val="20"/>
              </w:rPr>
            </w:pPr>
            <w:r>
              <w:rPr>
                <w:rFonts w:ascii="Calibri" w:hAnsi="Calibri"/>
                <w:i/>
                <w:noProof/>
                <w:color w:val="000000"/>
                <w:sz w:val="20"/>
              </w:rPr>
              <w:t>0,210</w:t>
            </w:r>
          </w:p>
        </w:tc>
        <w:tc>
          <w:tcPr>
            <w:tcW w:w="669" w:type="dxa"/>
            <w:tcBorders>
              <w:right w:val="dashSmallGap" w:sz="4" w:space="0" w:color="auto"/>
            </w:tcBorders>
          </w:tcPr>
          <w:p>
            <w:pPr>
              <w:ind w:right="-29"/>
              <w:jc w:val="center"/>
              <w:rPr>
                <w:noProof/>
                <w:sz w:val="20"/>
                <w:szCs w:val="20"/>
              </w:rPr>
            </w:pPr>
          </w:p>
        </w:tc>
        <w:tc>
          <w:tcPr>
            <w:tcW w:w="839" w:type="dxa"/>
            <w:tcBorders>
              <w:left w:val="dashSmallGap" w:sz="4" w:space="0" w:color="auto"/>
            </w:tcBorders>
          </w:tcPr>
          <w:p>
            <w:pPr>
              <w:ind w:right="-29"/>
              <w:jc w:val="center"/>
              <w:rPr>
                <w:noProof/>
                <w:sz w:val="20"/>
                <w:szCs w:val="20"/>
              </w:rPr>
            </w:pPr>
          </w:p>
        </w:tc>
        <w:tc>
          <w:tcPr>
            <w:tcW w:w="596" w:type="dxa"/>
            <w:tcBorders>
              <w:right w:val="dashSmallGap" w:sz="4" w:space="0" w:color="auto"/>
            </w:tcBorders>
          </w:tcPr>
          <w:p>
            <w:pPr>
              <w:ind w:right="-29"/>
              <w:jc w:val="center"/>
              <w:rPr>
                <w:noProof/>
                <w:sz w:val="20"/>
                <w:szCs w:val="20"/>
              </w:rPr>
            </w:pPr>
          </w:p>
        </w:tc>
        <w:tc>
          <w:tcPr>
            <w:tcW w:w="780" w:type="dxa"/>
            <w:tcBorders>
              <w:left w:val="dashSmallGap" w:sz="4" w:space="0" w:color="auto"/>
            </w:tcBorders>
          </w:tcPr>
          <w:p>
            <w:pPr>
              <w:ind w:right="-29"/>
              <w:jc w:val="center"/>
              <w:rPr>
                <w:noProof/>
                <w:sz w:val="20"/>
                <w:szCs w:val="20"/>
              </w:rPr>
            </w:pPr>
          </w:p>
        </w:tc>
        <w:tc>
          <w:tcPr>
            <w:tcW w:w="360" w:type="dxa"/>
            <w:tcBorders>
              <w:right w:val="dashSmallGap" w:sz="4" w:space="0" w:color="auto"/>
            </w:tcBorders>
          </w:tcPr>
          <w:p>
            <w:pPr>
              <w:ind w:right="-29"/>
              <w:jc w:val="center"/>
              <w:rPr>
                <w:noProof/>
                <w:sz w:val="20"/>
                <w:szCs w:val="20"/>
              </w:rPr>
            </w:pPr>
          </w:p>
        </w:tc>
        <w:tc>
          <w:tcPr>
            <w:tcW w:w="780" w:type="dxa"/>
            <w:tcBorders>
              <w:left w:val="dashSmallGap" w:sz="4" w:space="0" w:color="auto"/>
            </w:tcBorders>
          </w:tcPr>
          <w:p>
            <w:pPr>
              <w:ind w:right="-29"/>
              <w:jc w:val="center"/>
              <w:rPr>
                <w:noProof/>
                <w:sz w:val="20"/>
                <w:szCs w:val="20"/>
              </w:rPr>
            </w:pPr>
          </w:p>
        </w:tc>
        <w:tc>
          <w:tcPr>
            <w:tcW w:w="360" w:type="dxa"/>
            <w:tcBorders>
              <w:right w:val="dashSmallGap" w:sz="4" w:space="0" w:color="auto"/>
            </w:tcBorders>
          </w:tcPr>
          <w:p>
            <w:pPr>
              <w:ind w:right="-29"/>
              <w:jc w:val="center"/>
              <w:rPr>
                <w:noProof/>
                <w:sz w:val="20"/>
                <w:szCs w:val="20"/>
              </w:rPr>
            </w:pPr>
          </w:p>
        </w:tc>
        <w:tc>
          <w:tcPr>
            <w:tcW w:w="780" w:type="dxa"/>
            <w:tcBorders>
              <w:left w:val="dashSmallGap" w:sz="4" w:space="0" w:color="auto"/>
            </w:tcBorders>
          </w:tcPr>
          <w:p>
            <w:pPr>
              <w:ind w:right="-29"/>
              <w:jc w:val="center"/>
              <w:rPr>
                <w:noProof/>
                <w:sz w:val="20"/>
                <w:szCs w:val="20"/>
              </w:rPr>
            </w:pPr>
          </w:p>
        </w:tc>
        <w:tc>
          <w:tcPr>
            <w:tcW w:w="360" w:type="dxa"/>
            <w:tcBorders>
              <w:right w:val="dashSmallGap" w:sz="4" w:space="0" w:color="auto"/>
            </w:tcBorders>
          </w:tcPr>
          <w:p>
            <w:pPr>
              <w:ind w:right="-29"/>
              <w:jc w:val="center"/>
              <w:rPr>
                <w:noProof/>
                <w:sz w:val="20"/>
                <w:szCs w:val="20"/>
              </w:rPr>
            </w:pPr>
          </w:p>
        </w:tc>
        <w:tc>
          <w:tcPr>
            <w:tcW w:w="840" w:type="dxa"/>
            <w:tcBorders>
              <w:left w:val="dashSmallGap" w:sz="4" w:space="0" w:color="auto"/>
              <w:bottom w:val="single" w:sz="4" w:space="0" w:color="auto"/>
            </w:tcBorders>
          </w:tcPr>
          <w:p>
            <w:pPr>
              <w:ind w:right="-29"/>
              <w:jc w:val="center"/>
              <w:rPr>
                <w:noProof/>
                <w:sz w:val="20"/>
                <w:szCs w:val="20"/>
              </w:rPr>
            </w:pPr>
          </w:p>
        </w:tc>
        <w:tc>
          <w:tcPr>
            <w:tcW w:w="596" w:type="dxa"/>
            <w:tcBorders>
              <w:right w:val="dashSmallGap" w:sz="4" w:space="0" w:color="auto"/>
            </w:tcBorders>
          </w:tcPr>
          <w:p>
            <w:pPr>
              <w:ind w:right="-29"/>
              <w:jc w:val="center"/>
              <w:rPr>
                <w:noProof/>
                <w:sz w:val="20"/>
                <w:szCs w:val="20"/>
              </w:rPr>
            </w:pPr>
            <w:r>
              <w:rPr>
                <w:noProof/>
                <w:sz w:val="20"/>
              </w:rPr>
              <w:t>40</w:t>
            </w:r>
          </w:p>
        </w:tc>
        <w:tc>
          <w:tcPr>
            <w:tcW w:w="1320" w:type="dxa"/>
            <w:tcBorders>
              <w:left w:val="dashSmallGap" w:sz="4" w:space="0" w:color="auto"/>
              <w:bottom w:val="single" w:sz="4" w:space="0" w:color="auto"/>
              <w:right w:val="single" w:sz="12" w:space="0" w:color="auto"/>
            </w:tcBorders>
          </w:tcPr>
          <w:p>
            <w:pPr>
              <w:ind w:right="-29"/>
              <w:jc w:val="center"/>
              <w:rPr>
                <w:noProof/>
                <w:sz w:val="20"/>
                <w:szCs w:val="20"/>
              </w:rPr>
            </w:pPr>
            <w:r>
              <w:rPr>
                <w:noProof/>
                <w:sz w:val="20"/>
              </w:rPr>
              <w:t>0,840</w:t>
            </w:r>
          </w:p>
        </w:tc>
      </w:tr>
      <w:tr>
        <w:trPr>
          <w:trHeight w:hRule="exact" w:val="1002"/>
          <w:jc w:val="center"/>
        </w:trPr>
        <w:tc>
          <w:tcPr>
            <w:tcW w:w="1081" w:type="dxa"/>
            <w:tcBorders>
              <w:left w:val="single" w:sz="12" w:space="0" w:color="auto"/>
            </w:tcBorders>
          </w:tcPr>
          <w:p>
            <w:pPr>
              <w:ind w:right="-29"/>
              <w:jc w:val="center"/>
              <w:rPr>
                <w:noProof/>
                <w:sz w:val="20"/>
                <w:szCs w:val="20"/>
              </w:rPr>
            </w:pPr>
            <w:r>
              <w:rPr>
                <w:noProof/>
                <w:sz w:val="20"/>
              </w:rPr>
              <w:t>Četrtletna srečanja (operacije)</w:t>
            </w:r>
          </w:p>
        </w:tc>
        <w:tc>
          <w:tcPr>
            <w:tcW w:w="1293" w:type="dxa"/>
            <w:gridSpan w:val="2"/>
          </w:tcPr>
          <w:p>
            <w:pPr>
              <w:ind w:right="-29"/>
              <w:jc w:val="center"/>
              <w:rPr>
                <w:noProof/>
                <w:sz w:val="18"/>
                <w:szCs w:val="18"/>
              </w:rPr>
            </w:pPr>
            <w:r>
              <w:rPr>
                <w:noProof/>
                <w:sz w:val="18"/>
              </w:rPr>
              <w:t xml:space="preserve">0,021 x 4 na leto </w:t>
            </w:r>
          </w:p>
        </w:tc>
        <w:tc>
          <w:tcPr>
            <w:tcW w:w="669" w:type="dxa"/>
            <w:tcBorders>
              <w:right w:val="dashSmallGap" w:sz="4" w:space="0" w:color="auto"/>
            </w:tcBorders>
          </w:tcPr>
          <w:p>
            <w:pPr>
              <w:ind w:right="-29"/>
              <w:jc w:val="center"/>
              <w:rPr>
                <w:noProof/>
                <w:sz w:val="20"/>
                <w:szCs w:val="20"/>
              </w:rPr>
            </w:pPr>
            <w:r>
              <w:rPr>
                <w:noProof/>
                <w:sz w:val="20"/>
              </w:rPr>
              <w:t>4</w:t>
            </w:r>
          </w:p>
        </w:tc>
        <w:tc>
          <w:tcPr>
            <w:tcW w:w="780" w:type="dxa"/>
            <w:tcBorders>
              <w:left w:val="dashSmallGap" w:sz="4" w:space="0" w:color="auto"/>
              <w:bottom w:val="single" w:sz="4" w:space="0" w:color="auto"/>
            </w:tcBorders>
          </w:tcPr>
          <w:p>
            <w:pPr>
              <w:ind w:right="-29"/>
              <w:jc w:val="center"/>
              <w:rPr>
                <w:noProof/>
                <w:sz w:val="20"/>
                <w:szCs w:val="20"/>
              </w:rPr>
            </w:pPr>
            <w:r>
              <w:rPr>
                <w:noProof/>
                <w:sz w:val="20"/>
              </w:rPr>
              <w:t>0,084</w:t>
            </w:r>
          </w:p>
        </w:tc>
        <w:tc>
          <w:tcPr>
            <w:tcW w:w="669" w:type="dxa"/>
            <w:tcBorders>
              <w:right w:val="dashSmallGap" w:sz="4" w:space="0" w:color="auto"/>
            </w:tcBorders>
          </w:tcPr>
          <w:p>
            <w:pPr>
              <w:ind w:right="-29"/>
              <w:jc w:val="center"/>
              <w:rPr>
                <w:noProof/>
                <w:sz w:val="20"/>
                <w:szCs w:val="20"/>
              </w:rPr>
            </w:pPr>
            <w:r>
              <w:rPr>
                <w:noProof/>
                <w:sz w:val="20"/>
              </w:rPr>
              <w:t>4</w:t>
            </w:r>
          </w:p>
        </w:tc>
        <w:tc>
          <w:tcPr>
            <w:tcW w:w="780" w:type="dxa"/>
            <w:tcBorders>
              <w:left w:val="dashSmallGap" w:sz="4" w:space="0" w:color="auto"/>
              <w:bottom w:val="single" w:sz="4" w:space="0" w:color="auto"/>
            </w:tcBorders>
          </w:tcPr>
          <w:p>
            <w:pPr>
              <w:ind w:right="-29"/>
              <w:jc w:val="center"/>
              <w:rPr>
                <w:noProof/>
                <w:sz w:val="20"/>
                <w:szCs w:val="20"/>
              </w:rPr>
            </w:pPr>
            <w:r>
              <w:rPr>
                <w:noProof/>
                <w:sz w:val="20"/>
              </w:rPr>
              <w:t>0,084</w:t>
            </w:r>
          </w:p>
        </w:tc>
        <w:tc>
          <w:tcPr>
            <w:tcW w:w="669" w:type="dxa"/>
            <w:tcBorders>
              <w:right w:val="dashSmallGap" w:sz="4" w:space="0" w:color="auto"/>
            </w:tcBorders>
          </w:tcPr>
          <w:p>
            <w:pPr>
              <w:ind w:right="-29"/>
              <w:jc w:val="center"/>
              <w:rPr>
                <w:noProof/>
                <w:sz w:val="20"/>
                <w:szCs w:val="20"/>
              </w:rPr>
            </w:pPr>
            <w:r>
              <w:rPr>
                <w:noProof/>
                <w:sz w:val="20"/>
              </w:rPr>
              <w:t>4</w:t>
            </w:r>
          </w:p>
        </w:tc>
        <w:tc>
          <w:tcPr>
            <w:tcW w:w="780" w:type="dxa"/>
            <w:tcBorders>
              <w:left w:val="dashSmallGap" w:sz="4" w:space="0" w:color="auto"/>
              <w:bottom w:val="single" w:sz="4" w:space="0" w:color="auto"/>
            </w:tcBorders>
          </w:tcPr>
          <w:p>
            <w:pPr>
              <w:ind w:right="-29"/>
              <w:jc w:val="center"/>
              <w:rPr>
                <w:noProof/>
                <w:sz w:val="20"/>
                <w:szCs w:val="20"/>
              </w:rPr>
            </w:pPr>
            <w:r>
              <w:rPr>
                <w:noProof/>
                <w:sz w:val="20"/>
              </w:rPr>
              <w:t>0,084</w:t>
            </w:r>
          </w:p>
        </w:tc>
        <w:tc>
          <w:tcPr>
            <w:tcW w:w="669" w:type="dxa"/>
            <w:tcBorders>
              <w:right w:val="dashSmallGap" w:sz="4" w:space="0" w:color="auto"/>
            </w:tcBorders>
          </w:tcPr>
          <w:p>
            <w:pPr>
              <w:ind w:right="-29"/>
              <w:jc w:val="center"/>
              <w:rPr>
                <w:noProof/>
                <w:sz w:val="20"/>
                <w:szCs w:val="20"/>
              </w:rPr>
            </w:pPr>
            <w:r>
              <w:rPr>
                <w:noProof/>
                <w:sz w:val="20"/>
              </w:rPr>
              <w:t>4</w:t>
            </w:r>
          </w:p>
        </w:tc>
        <w:tc>
          <w:tcPr>
            <w:tcW w:w="780" w:type="dxa"/>
            <w:tcBorders>
              <w:left w:val="dashSmallGap" w:sz="4" w:space="0" w:color="auto"/>
              <w:bottom w:val="single" w:sz="4" w:space="0" w:color="auto"/>
            </w:tcBorders>
          </w:tcPr>
          <w:p>
            <w:pPr>
              <w:ind w:right="-29"/>
              <w:jc w:val="center"/>
              <w:rPr>
                <w:noProof/>
                <w:sz w:val="20"/>
                <w:szCs w:val="20"/>
              </w:rPr>
            </w:pPr>
            <w:r>
              <w:rPr>
                <w:noProof/>
                <w:sz w:val="20"/>
              </w:rPr>
              <w:t>0,084</w:t>
            </w:r>
          </w:p>
        </w:tc>
        <w:tc>
          <w:tcPr>
            <w:tcW w:w="669" w:type="dxa"/>
            <w:tcBorders>
              <w:right w:val="dashSmallGap" w:sz="4" w:space="0" w:color="auto"/>
            </w:tcBorders>
          </w:tcPr>
          <w:p>
            <w:pPr>
              <w:ind w:right="-29"/>
              <w:jc w:val="center"/>
              <w:rPr>
                <w:noProof/>
                <w:sz w:val="20"/>
                <w:szCs w:val="20"/>
              </w:rPr>
            </w:pPr>
            <w:r>
              <w:rPr>
                <w:noProof/>
                <w:sz w:val="20"/>
              </w:rPr>
              <w:t>4</w:t>
            </w:r>
          </w:p>
        </w:tc>
        <w:tc>
          <w:tcPr>
            <w:tcW w:w="839" w:type="dxa"/>
            <w:tcBorders>
              <w:left w:val="dashSmallGap" w:sz="4" w:space="0" w:color="auto"/>
              <w:bottom w:val="single" w:sz="4" w:space="0" w:color="auto"/>
            </w:tcBorders>
          </w:tcPr>
          <w:p>
            <w:pPr>
              <w:ind w:right="-29"/>
              <w:jc w:val="center"/>
              <w:rPr>
                <w:noProof/>
                <w:sz w:val="20"/>
                <w:szCs w:val="20"/>
              </w:rPr>
            </w:pPr>
            <w:r>
              <w:rPr>
                <w:noProof/>
                <w:sz w:val="20"/>
              </w:rPr>
              <w:t>0,084</w:t>
            </w:r>
          </w:p>
        </w:tc>
        <w:tc>
          <w:tcPr>
            <w:tcW w:w="596" w:type="dxa"/>
            <w:tcBorders>
              <w:right w:val="dashSmallGap" w:sz="4" w:space="0" w:color="auto"/>
            </w:tcBorders>
          </w:tcPr>
          <w:p>
            <w:pPr>
              <w:ind w:right="-29"/>
              <w:jc w:val="center"/>
              <w:rPr>
                <w:noProof/>
                <w:sz w:val="20"/>
                <w:szCs w:val="20"/>
              </w:rPr>
            </w:pPr>
            <w:r>
              <w:rPr>
                <w:noProof/>
                <w:sz w:val="20"/>
              </w:rPr>
              <w:t>4</w:t>
            </w:r>
          </w:p>
        </w:tc>
        <w:tc>
          <w:tcPr>
            <w:tcW w:w="780" w:type="dxa"/>
            <w:tcBorders>
              <w:left w:val="dashSmallGap" w:sz="4" w:space="0" w:color="auto"/>
              <w:bottom w:val="single" w:sz="4" w:space="0" w:color="auto"/>
            </w:tcBorders>
          </w:tcPr>
          <w:p>
            <w:pPr>
              <w:ind w:right="-29"/>
              <w:jc w:val="center"/>
              <w:rPr>
                <w:noProof/>
                <w:sz w:val="20"/>
                <w:szCs w:val="20"/>
              </w:rPr>
            </w:pPr>
            <w:r>
              <w:rPr>
                <w:noProof/>
                <w:sz w:val="20"/>
              </w:rPr>
              <w:t>0,084</w:t>
            </w:r>
          </w:p>
        </w:tc>
        <w:tc>
          <w:tcPr>
            <w:tcW w:w="360" w:type="dxa"/>
            <w:tcBorders>
              <w:right w:val="dashSmallGap" w:sz="4" w:space="0" w:color="auto"/>
            </w:tcBorders>
          </w:tcPr>
          <w:p>
            <w:pPr>
              <w:ind w:right="-29"/>
              <w:jc w:val="center"/>
              <w:rPr>
                <w:noProof/>
                <w:sz w:val="20"/>
                <w:szCs w:val="20"/>
              </w:rPr>
            </w:pPr>
            <w:r>
              <w:rPr>
                <w:noProof/>
                <w:sz w:val="20"/>
              </w:rPr>
              <w:t>4</w:t>
            </w:r>
          </w:p>
        </w:tc>
        <w:tc>
          <w:tcPr>
            <w:tcW w:w="780" w:type="dxa"/>
            <w:tcBorders>
              <w:left w:val="dashSmallGap" w:sz="4" w:space="0" w:color="auto"/>
              <w:bottom w:val="single" w:sz="4" w:space="0" w:color="auto"/>
            </w:tcBorders>
          </w:tcPr>
          <w:p>
            <w:pPr>
              <w:ind w:right="-29"/>
              <w:jc w:val="center"/>
              <w:rPr>
                <w:noProof/>
                <w:sz w:val="20"/>
                <w:szCs w:val="20"/>
              </w:rPr>
            </w:pPr>
            <w:r>
              <w:rPr>
                <w:noProof/>
                <w:sz w:val="20"/>
              </w:rPr>
              <w:t>0,084</w:t>
            </w:r>
          </w:p>
        </w:tc>
        <w:tc>
          <w:tcPr>
            <w:tcW w:w="360" w:type="dxa"/>
            <w:tcBorders>
              <w:right w:val="dashSmallGap" w:sz="4" w:space="0" w:color="auto"/>
            </w:tcBorders>
          </w:tcPr>
          <w:p>
            <w:pPr>
              <w:ind w:right="-29"/>
              <w:jc w:val="center"/>
              <w:rPr>
                <w:noProof/>
                <w:sz w:val="20"/>
                <w:szCs w:val="20"/>
              </w:rPr>
            </w:pPr>
            <w:r>
              <w:rPr>
                <w:noProof/>
                <w:sz w:val="20"/>
              </w:rPr>
              <w:t>4</w:t>
            </w:r>
          </w:p>
        </w:tc>
        <w:tc>
          <w:tcPr>
            <w:tcW w:w="780" w:type="dxa"/>
            <w:tcBorders>
              <w:left w:val="dashSmallGap" w:sz="4" w:space="0" w:color="auto"/>
              <w:bottom w:val="single" w:sz="4" w:space="0" w:color="auto"/>
            </w:tcBorders>
          </w:tcPr>
          <w:p>
            <w:pPr>
              <w:ind w:right="-29"/>
              <w:jc w:val="center"/>
              <w:rPr>
                <w:noProof/>
                <w:sz w:val="20"/>
                <w:szCs w:val="20"/>
              </w:rPr>
            </w:pPr>
            <w:r>
              <w:rPr>
                <w:noProof/>
                <w:sz w:val="20"/>
              </w:rPr>
              <w:t>0,084</w:t>
            </w:r>
          </w:p>
        </w:tc>
        <w:tc>
          <w:tcPr>
            <w:tcW w:w="360" w:type="dxa"/>
            <w:tcBorders>
              <w:right w:val="dashSmallGap" w:sz="4" w:space="0" w:color="auto"/>
            </w:tcBorders>
          </w:tcPr>
          <w:p>
            <w:pPr>
              <w:ind w:right="-29"/>
              <w:jc w:val="center"/>
              <w:rPr>
                <w:noProof/>
                <w:sz w:val="20"/>
                <w:szCs w:val="20"/>
              </w:rPr>
            </w:pPr>
            <w:r>
              <w:rPr>
                <w:noProof/>
                <w:sz w:val="20"/>
              </w:rPr>
              <w:t>4</w:t>
            </w:r>
          </w:p>
        </w:tc>
        <w:tc>
          <w:tcPr>
            <w:tcW w:w="840" w:type="dxa"/>
            <w:tcBorders>
              <w:left w:val="dashSmallGap" w:sz="4" w:space="0" w:color="auto"/>
              <w:bottom w:val="single" w:sz="4" w:space="0" w:color="auto"/>
            </w:tcBorders>
          </w:tcPr>
          <w:p>
            <w:pPr>
              <w:ind w:right="-29"/>
              <w:jc w:val="center"/>
              <w:rPr>
                <w:noProof/>
                <w:sz w:val="20"/>
                <w:szCs w:val="20"/>
              </w:rPr>
            </w:pPr>
            <w:r>
              <w:rPr>
                <w:noProof/>
                <w:sz w:val="20"/>
              </w:rPr>
              <w:t>0,084</w:t>
            </w:r>
          </w:p>
        </w:tc>
        <w:tc>
          <w:tcPr>
            <w:tcW w:w="596" w:type="dxa"/>
            <w:tcBorders>
              <w:right w:val="dashSmallGap" w:sz="4" w:space="0" w:color="auto"/>
            </w:tcBorders>
          </w:tcPr>
          <w:p>
            <w:pPr>
              <w:ind w:right="-29"/>
              <w:jc w:val="center"/>
              <w:rPr>
                <w:noProof/>
                <w:sz w:val="20"/>
                <w:szCs w:val="20"/>
              </w:rPr>
            </w:pPr>
            <w:r>
              <w:rPr>
                <w:noProof/>
                <w:sz w:val="20"/>
              </w:rPr>
              <w:t>36</w:t>
            </w:r>
          </w:p>
        </w:tc>
        <w:tc>
          <w:tcPr>
            <w:tcW w:w="1320" w:type="dxa"/>
            <w:tcBorders>
              <w:left w:val="dashSmallGap" w:sz="4" w:space="0" w:color="auto"/>
              <w:bottom w:val="single" w:sz="4" w:space="0" w:color="auto"/>
              <w:right w:val="single" w:sz="12" w:space="0" w:color="auto"/>
            </w:tcBorders>
          </w:tcPr>
          <w:p>
            <w:pPr>
              <w:ind w:right="-29"/>
              <w:jc w:val="center"/>
              <w:rPr>
                <w:noProof/>
                <w:sz w:val="20"/>
                <w:szCs w:val="20"/>
              </w:rPr>
            </w:pPr>
            <w:r>
              <w:rPr>
                <w:noProof/>
                <w:sz w:val="20"/>
              </w:rPr>
              <w:t>0,756</w:t>
            </w:r>
          </w:p>
        </w:tc>
      </w:tr>
      <w:tr>
        <w:trPr>
          <w:trHeight w:hRule="exact" w:val="717"/>
          <w:jc w:val="center"/>
        </w:trPr>
        <w:tc>
          <w:tcPr>
            <w:tcW w:w="1081" w:type="dxa"/>
            <w:tcBorders>
              <w:left w:val="single" w:sz="12" w:space="0" w:color="auto"/>
            </w:tcBorders>
          </w:tcPr>
          <w:p>
            <w:pPr>
              <w:ind w:right="-29"/>
              <w:jc w:val="center"/>
              <w:rPr>
                <w:noProof/>
                <w:sz w:val="18"/>
                <w:szCs w:val="18"/>
              </w:rPr>
            </w:pPr>
            <w:r>
              <w:rPr>
                <w:noProof/>
                <w:sz w:val="18"/>
              </w:rPr>
              <w:t>Svetovalne skupine</w:t>
            </w:r>
          </w:p>
        </w:tc>
        <w:tc>
          <w:tcPr>
            <w:tcW w:w="1293" w:type="dxa"/>
            <w:gridSpan w:val="2"/>
          </w:tcPr>
          <w:p>
            <w:pPr>
              <w:ind w:right="-29"/>
              <w:jc w:val="center"/>
              <w:rPr>
                <w:noProof/>
                <w:sz w:val="18"/>
                <w:szCs w:val="18"/>
              </w:rPr>
            </w:pPr>
            <w:r>
              <w:rPr>
                <w:noProof/>
                <w:sz w:val="18"/>
              </w:rPr>
              <w:t>0,021 x 4 na leto</w:t>
            </w:r>
          </w:p>
        </w:tc>
        <w:tc>
          <w:tcPr>
            <w:tcW w:w="669" w:type="dxa"/>
            <w:tcBorders>
              <w:right w:val="dashSmallGap" w:sz="4" w:space="0" w:color="auto"/>
            </w:tcBorders>
          </w:tcPr>
          <w:p>
            <w:pPr>
              <w:ind w:right="-29"/>
              <w:jc w:val="center"/>
              <w:rPr>
                <w:noProof/>
                <w:sz w:val="20"/>
                <w:szCs w:val="20"/>
              </w:rPr>
            </w:pPr>
            <w:r>
              <w:rPr>
                <w:noProof/>
                <w:sz w:val="20"/>
              </w:rPr>
              <w:t>4</w:t>
            </w:r>
          </w:p>
        </w:tc>
        <w:tc>
          <w:tcPr>
            <w:tcW w:w="780" w:type="dxa"/>
            <w:tcBorders>
              <w:left w:val="dashSmallGap" w:sz="4" w:space="0" w:color="auto"/>
              <w:bottom w:val="single" w:sz="4" w:space="0" w:color="auto"/>
            </w:tcBorders>
          </w:tcPr>
          <w:p>
            <w:pPr>
              <w:ind w:right="-29"/>
              <w:jc w:val="center"/>
              <w:rPr>
                <w:noProof/>
                <w:sz w:val="20"/>
                <w:szCs w:val="20"/>
              </w:rPr>
            </w:pPr>
            <w:r>
              <w:rPr>
                <w:noProof/>
                <w:sz w:val="20"/>
              </w:rPr>
              <w:t>0,084</w:t>
            </w:r>
          </w:p>
        </w:tc>
        <w:tc>
          <w:tcPr>
            <w:tcW w:w="669" w:type="dxa"/>
            <w:tcBorders>
              <w:right w:val="dashSmallGap" w:sz="4" w:space="0" w:color="auto"/>
            </w:tcBorders>
          </w:tcPr>
          <w:p>
            <w:pPr>
              <w:ind w:right="-29"/>
              <w:jc w:val="center"/>
              <w:rPr>
                <w:noProof/>
                <w:sz w:val="20"/>
              </w:rPr>
            </w:pPr>
            <w:r>
              <w:rPr>
                <w:noProof/>
                <w:sz w:val="20"/>
              </w:rPr>
              <w:t>4</w:t>
            </w:r>
          </w:p>
        </w:tc>
        <w:tc>
          <w:tcPr>
            <w:tcW w:w="780" w:type="dxa"/>
            <w:tcBorders>
              <w:left w:val="dashSmallGap" w:sz="4" w:space="0" w:color="auto"/>
              <w:bottom w:val="single" w:sz="4" w:space="0" w:color="auto"/>
            </w:tcBorders>
          </w:tcPr>
          <w:p>
            <w:pPr>
              <w:ind w:right="-29"/>
              <w:jc w:val="center"/>
              <w:rPr>
                <w:noProof/>
                <w:sz w:val="20"/>
              </w:rPr>
            </w:pPr>
            <w:r>
              <w:rPr>
                <w:noProof/>
                <w:sz w:val="20"/>
              </w:rPr>
              <w:t>0,084</w:t>
            </w:r>
          </w:p>
        </w:tc>
        <w:tc>
          <w:tcPr>
            <w:tcW w:w="669" w:type="dxa"/>
            <w:tcBorders>
              <w:right w:val="dashSmallGap" w:sz="4" w:space="0" w:color="auto"/>
            </w:tcBorders>
          </w:tcPr>
          <w:p>
            <w:pPr>
              <w:ind w:right="-29"/>
              <w:jc w:val="center"/>
              <w:rPr>
                <w:noProof/>
                <w:sz w:val="20"/>
              </w:rPr>
            </w:pPr>
            <w:r>
              <w:rPr>
                <w:noProof/>
                <w:sz w:val="20"/>
              </w:rPr>
              <w:t>4</w:t>
            </w:r>
          </w:p>
        </w:tc>
        <w:tc>
          <w:tcPr>
            <w:tcW w:w="780" w:type="dxa"/>
            <w:tcBorders>
              <w:top w:val="single" w:sz="4" w:space="0" w:color="auto"/>
              <w:left w:val="dashSmallGap" w:sz="4" w:space="0" w:color="auto"/>
              <w:bottom w:val="single" w:sz="4" w:space="0" w:color="auto"/>
              <w:right w:val="single" w:sz="4" w:space="0" w:color="auto"/>
            </w:tcBorders>
          </w:tcPr>
          <w:p>
            <w:pPr>
              <w:ind w:right="-29"/>
              <w:jc w:val="center"/>
              <w:rPr>
                <w:noProof/>
                <w:sz w:val="20"/>
              </w:rPr>
            </w:pPr>
            <w:r>
              <w:rPr>
                <w:noProof/>
                <w:sz w:val="20"/>
              </w:rPr>
              <w:t>0,084</w:t>
            </w:r>
          </w:p>
        </w:tc>
        <w:tc>
          <w:tcPr>
            <w:tcW w:w="669" w:type="dxa"/>
            <w:tcBorders>
              <w:left w:val="single" w:sz="4" w:space="0" w:color="auto"/>
              <w:right w:val="dashSmallGap" w:sz="4" w:space="0" w:color="auto"/>
            </w:tcBorders>
          </w:tcPr>
          <w:p>
            <w:pPr>
              <w:ind w:right="-29"/>
              <w:jc w:val="center"/>
              <w:rPr>
                <w:noProof/>
                <w:sz w:val="20"/>
              </w:rPr>
            </w:pPr>
            <w:r>
              <w:rPr>
                <w:noProof/>
                <w:sz w:val="20"/>
              </w:rPr>
              <w:t>4</w:t>
            </w:r>
          </w:p>
        </w:tc>
        <w:tc>
          <w:tcPr>
            <w:tcW w:w="780" w:type="dxa"/>
            <w:tcBorders>
              <w:left w:val="dashSmallGap" w:sz="4" w:space="0" w:color="auto"/>
              <w:bottom w:val="single" w:sz="4" w:space="0" w:color="auto"/>
            </w:tcBorders>
          </w:tcPr>
          <w:p>
            <w:pPr>
              <w:ind w:right="-29"/>
              <w:jc w:val="center"/>
              <w:rPr>
                <w:noProof/>
                <w:sz w:val="20"/>
              </w:rPr>
            </w:pPr>
            <w:r>
              <w:rPr>
                <w:noProof/>
                <w:sz w:val="20"/>
              </w:rPr>
              <w:t>0,084</w:t>
            </w:r>
          </w:p>
        </w:tc>
        <w:tc>
          <w:tcPr>
            <w:tcW w:w="669" w:type="dxa"/>
            <w:tcBorders>
              <w:right w:val="dashSmallGap" w:sz="4" w:space="0" w:color="auto"/>
            </w:tcBorders>
          </w:tcPr>
          <w:p>
            <w:pPr>
              <w:ind w:right="-29"/>
              <w:jc w:val="center"/>
              <w:rPr>
                <w:noProof/>
                <w:sz w:val="20"/>
              </w:rPr>
            </w:pPr>
            <w:r>
              <w:rPr>
                <w:noProof/>
                <w:sz w:val="20"/>
              </w:rPr>
              <w:t>4</w:t>
            </w:r>
          </w:p>
        </w:tc>
        <w:tc>
          <w:tcPr>
            <w:tcW w:w="839" w:type="dxa"/>
            <w:tcBorders>
              <w:left w:val="dashSmallGap" w:sz="4" w:space="0" w:color="auto"/>
              <w:bottom w:val="single" w:sz="4" w:space="0" w:color="auto"/>
            </w:tcBorders>
          </w:tcPr>
          <w:p>
            <w:pPr>
              <w:ind w:right="-29"/>
              <w:jc w:val="center"/>
              <w:rPr>
                <w:noProof/>
                <w:sz w:val="20"/>
              </w:rPr>
            </w:pPr>
            <w:r>
              <w:rPr>
                <w:noProof/>
                <w:sz w:val="20"/>
              </w:rPr>
              <w:t>0,084</w:t>
            </w:r>
          </w:p>
        </w:tc>
        <w:tc>
          <w:tcPr>
            <w:tcW w:w="596" w:type="dxa"/>
            <w:tcBorders>
              <w:right w:val="dashSmallGap" w:sz="4" w:space="0" w:color="auto"/>
            </w:tcBorders>
          </w:tcPr>
          <w:p>
            <w:pPr>
              <w:ind w:right="-29"/>
              <w:jc w:val="center"/>
              <w:rPr>
                <w:noProof/>
                <w:sz w:val="20"/>
              </w:rPr>
            </w:pPr>
            <w:r>
              <w:rPr>
                <w:noProof/>
                <w:sz w:val="20"/>
              </w:rPr>
              <w:t>4</w:t>
            </w:r>
          </w:p>
        </w:tc>
        <w:tc>
          <w:tcPr>
            <w:tcW w:w="780" w:type="dxa"/>
            <w:tcBorders>
              <w:left w:val="dashSmallGap" w:sz="4" w:space="0" w:color="auto"/>
              <w:bottom w:val="single" w:sz="4" w:space="0" w:color="auto"/>
            </w:tcBorders>
          </w:tcPr>
          <w:p>
            <w:pPr>
              <w:ind w:right="-29"/>
              <w:jc w:val="center"/>
              <w:rPr>
                <w:noProof/>
                <w:sz w:val="20"/>
              </w:rPr>
            </w:pPr>
            <w:r>
              <w:rPr>
                <w:noProof/>
                <w:sz w:val="20"/>
              </w:rPr>
              <w:t>0,084</w:t>
            </w:r>
          </w:p>
        </w:tc>
        <w:tc>
          <w:tcPr>
            <w:tcW w:w="360" w:type="dxa"/>
            <w:tcBorders>
              <w:right w:val="dashSmallGap" w:sz="4" w:space="0" w:color="auto"/>
            </w:tcBorders>
          </w:tcPr>
          <w:p>
            <w:pPr>
              <w:ind w:right="-29"/>
              <w:jc w:val="center"/>
              <w:rPr>
                <w:noProof/>
                <w:sz w:val="20"/>
              </w:rPr>
            </w:pPr>
            <w:r>
              <w:rPr>
                <w:noProof/>
                <w:sz w:val="20"/>
              </w:rPr>
              <w:t>4</w:t>
            </w:r>
          </w:p>
        </w:tc>
        <w:tc>
          <w:tcPr>
            <w:tcW w:w="780" w:type="dxa"/>
            <w:tcBorders>
              <w:left w:val="dashSmallGap" w:sz="4" w:space="0" w:color="auto"/>
              <w:bottom w:val="single" w:sz="4" w:space="0" w:color="auto"/>
            </w:tcBorders>
          </w:tcPr>
          <w:p>
            <w:pPr>
              <w:ind w:right="-29"/>
              <w:jc w:val="center"/>
              <w:rPr>
                <w:noProof/>
                <w:sz w:val="20"/>
              </w:rPr>
            </w:pPr>
            <w:r>
              <w:rPr>
                <w:noProof/>
                <w:sz w:val="20"/>
              </w:rPr>
              <w:t>0,084</w:t>
            </w:r>
          </w:p>
        </w:tc>
        <w:tc>
          <w:tcPr>
            <w:tcW w:w="360" w:type="dxa"/>
            <w:tcBorders>
              <w:right w:val="dashSmallGap" w:sz="4" w:space="0" w:color="auto"/>
            </w:tcBorders>
          </w:tcPr>
          <w:p>
            <w:pPr>
              <w:ind w:right="-29"/>
              <w:jc w:val="center"/>
              <w:rPr>
                <w:noProof/>
                <w:sz w:val="20"/>
              </w:rPr>
            </w:pPr>
            <w:r>
              <w:rPr>
                <w:noProof/>
                <w:sz w:val="20"/>
              </w:rPr>
              <w:t>4</w:t>
            </w:r>
          </w:p>
        </w:tc>
        <w:tc>
          <w:tcPr>
            <w:tcW w:w="780" w:type="dxa"/>
            <w:tcBorders>
              <w:left w:val="dashSmallGap" w:sz="4" w:space="0" w:color="auto"/>
              <w:bottom w:val="single" w:sz="4" w:space="0" w:color="auto"/>
            </w:tcBorders>
          </w:tcPr>
          <w:p>
            <w:pPr>
              <w:ind w:right="-29"/>
              <w:jc w:val="center"/>
              <w:rPr>
                <w:noProof/>
                <w:sz w:val="20"/>
              </w:rPr>
            </w:pPr>
            <w:r>
              <w:rPr>
                <w:noProof/>
                <w:sz w:val="20"/>
              </w:rPr>
              <w:t>0,084</w:t>
            </w:r>
          </w:p>
        </w:tc>
        <w:tc>
          <w:tcPr>
            <w:tcW w:w="360" w:type="dxa"/>
            <w:tcBorders>
              <w:right w:val="dashSmallGap" w:sz="4" w:space="0" w:color="auto"/>
            </w:tcBorders>
          </w:tcPr>
          <w:p>
            <w:pPr>
              <w:ind w:right="-29"/>
              <w:jc w:val="center"/>
              <w:rPr>
                <w:noProof/>
                <w:sz w:val="20"/>
              </w:rPr>
            </w:pPr>
            <w:r>
              <w:rPr>
                <w:noProof/>
                <w:sz w:val="20"/>
              </w:rPr>
              <w:t>4</w:t>
            </w:r>
          </w:p>
        </w:tc>
        <w:tc>
          <w:tcPr>
            <w:tcW w:w="840" w:type="dxa"/>
            <w:tcBorders>
              <w:left w:val="dashSmallGap" w:sz="4" w:space="0" w:color="auto"/>
              <w:bottom w:val="single" w:sz="4" w:space="0" w:color="auto"/>
            </w:tcBorders>
          </w:tcPr>
          <w:p>
            <w:pPr>
              <w:ind w:right="-29"/>
              <w:jc w:val="center"/>
              <w:rPr>
                <w:noProof/>
                <w:sz w:val="20"/>
              </w:rPr>
            </w:pPr>
            <w:r>
              <w:rPr>
                <w:noProof/>
                <w:sz w:val="20"/>
              </w:rPr>
              <w:t>0,084</w:t>
            </w:r>
          </w:p>
        </w:tc>
        <w:tc>
          <w:tcPr>
            <w:tcW w:w="596" w:type="dxa"/>
            <w:tcBorders>
              <w:right w:val="dashSmallGap" w:sz="4" w:space="0" w:color="auto"/>
            </w:tcBorders>
          </w:tcPr>
          <w:p>
            <w:pPr>
              <w:ind w:right="-29"/>
              <w:jc w:val="center"/>
              <w:rPr>
                <w:noProof/>
                <w:sz w:val="20"/>
              </w:rPr>
            </w:pPr>
            <w:r>
              <w:rPr>
                <w:noProof/>
                <w:sz w:val="20"/>
              </w:rPr>
              <w:t>36</w:t>
            </w:r>
          </w:p>
        </w:tc>
        <w:tc>
          <w:tcPr>
            <w:tcW w:w="1320" w:type="dxa"/>
            <w:tcBorders>
              <w:left w:val="dashSmallGap" w:sz="4" w:space="0" w:color="auto"/>
              <w:bottom w:val="single" w:sz="4" w:space="0" w:color="auto"/>
              <w:right w:val="single" w:sz="12" w:space="0" w:color="auto"/>
            </w:tcBorders>
          </w:tcPr>
          <w:p>
            <w:pPr>
              <w:ind w:right="-29"/>
              <w:jc w:val="center"/>
              <w:rPr>
                <w:noProof/>
                <w:sz w:val="20"/>
              </w:rPr>
            </w:pPr>
            <w:r>
              <w:rPr>
                <w:noProof/>
                <w:sz w:val="20"/>
              </w:rPr>
              <w:t>0,756</w:t>
            </w:r>
          </w:p>
        </w:tc>
      </w:tr>
      <w:tr>
        <w:trPr>
          <w:trHeight w:hRule="exact" w:val="790"/>
          <w:jc w:val="center"/>
        </w:trPr>
        <w:tc>
          <w:tcPr>
            <w:tcW w:w="1081" w:type="dxa"/>
            <w:tcBorders>
              <w:left w:val="single" w:sz="12" w:space="0" w:color="auto"/>
            </w:tcBorders>
          </w:tcPr>
          <w:p>
            <w:pPr>
              <w:ind w:right="-29"/>
              <w:jc w:val="center"/>
              <w:rPr>
                <w:noProof/>
                <w:sz w:val="18"/>
              </w:rPr>
            </w:pPr>
            <w:r>
              <w:rPr>
                <w:noProof/>
                <w:sz w:val="18"/>
              </w:rPr>
              <w:t>Usposabljanje v državah članicah</w:t>
            </w:r>
          </w:p>
        </w:tc>
        <w:tc>
          <w:tcPr>
            <w:tcW w:w="1293" w:type="dxa"/>
            <w:gridSpan w:val="2"/>
          </w:tcPr>
          <w:p>
            <w:pPr>
              <w:ind w:right="-29"/>
              <w:jc w:val="center"/>
              <w:rPr>
                <w:noProof/>
                <w:sz w:val="18"/>
                <w:szCs w:val="18"/>
              </w:rPr>
            </w:pPr>
            <w:r>
              <w:rPr>
                <w:noProof/>
                <w:sz w:val="18"/>
              </w:rPr>
              <w:t>0,025 na usposabljanje</w:t>
            </w:r>
          </w:p>
        </w:tc>
        <w:tc>
          <w:tcPr>
            <w:tcW w:w="669" w:type="dxa"/>
            <w:tcBorders>
              <w:right w:val="dashSmallGap" w:sz="4" w:space="0" w:color="auto"/>
            </w:tcBorders>
          </w:tcPr>
          <w:p>
            <w:pPr>
              <w:ind w:right="-29"/>
              <w:jc w:val="center"/>
              <w:rPr>
                <w:noProof/>
                <w:sz w:val="20"/>
                <w:szCs w:val="20"/>
              </w:rPr>
            </w:pPr>
            <w:r>
              <w:rPr>
                <w:noProof/>
                <w:sz w:val="20"/>
              </w:rPr>
              <w:t>2</w:t>
            </w:r>
          </w:p>
        </w:tc>
        <w:tc>
          <w:tcPr>
            <w:tcW w:w="780" w:type="dxa"/>
            <w:tcBorders>
              <w:left w:val="dashSmallGap" w:sz="4" w:space="0" w:color="auto"/>
              <w:bottom w:val="single" w:sz="4" w:space="0" w:color="auto"/>
            </w:tcBorders>
          </w:tcPr>
          <w:p>
            <w:pPr>
              <w:ind w:right="-29"/>
              <w:jc w:val="center"/>
              <w:rPr>
                <w:noProof/>
                <w:sz w:val="20"/>
                <w:szCs w:val="20"/>
              </w:rPr>
            </w:pPr>
            <w:r>
              <w:rPr>
                <w:noProof/>
                <w:sz w:val="20"/>
              </w:rPr>
              <w:t>0,050</w:t>
            </w:r>
          </w:p>
        </w:tc>
        <w:tc>
          <w:tcPr>
            <w:tcW w:w="669" w:type="dxa"/>
            <w:tcBorders>
              <w:right w:val="dashSmallGap" w:sz="4" w:space="0" w:color="auto"/>
            </w:tcBorders>
          </w:tcPr>
          <w:p>
            <w:pPr>
              <w:ind w:right="-29"/>
              <w:jc w:val="center"/>
              <w:rPr>
                <w:noProof/>
                <w:sz w:val="20"/>
                <w:szCs w:val="20"/>
              </w:rPr>
            </w:pPr>
            <w:r>
              <w:rPr>
                <w:noProof/>
                <w:sz w:val="20"/>
              </w:rPr>
              <w:t>4</w:t>
            </w:r>
          </w:p>
        </w:tc>
        <w:tc>
          <w:tcPr>
            <w:tcW w:w="780" w:type="dxa"/>
            <w:tcBorders>
              <w:left w:val="dashSmallGap" w:sz="4" w:space="0" w:color="auto"/>
              <w:bottom w:val="single" w:sz="4" w:space="0" w:color="auto"/>
            </w:tcBorders>
          </w:tcPr>
          <w:p>
            <w:pPr>
              <w:ind w:right="-29"/>
              <w:jc w:val="center"/>
              <w:rPr>
                <w:noProof/>
                <w:sz w:val="20"/>
                <w:szCs w:val="20"/>
              </w:rPr>
            </w:pPr>
            <w:r>
              <w:rPr>
                <w:noProof/>
                <w:sz w:val="20"/>
              </w:rPr>
              <w:t>0,100</w:t>
            </w:r>
          </w:p>
        </w:tc>
        <w:tc>
          <w:tcPr>
            <w:tcW w:w="669" w:type="dxa"/>
            <w:tcBorders>
              <w:right w:val="dashSmallGap" w:sz="4" w:space="0" w:color="auto"/>
            </w:tcBorders>
          </w:tcPr>
          <w:p>
            <w:pPr>
              <w:ind w:right="-29"/>
              <w:jc w:val="center"/>
              <w:rPr>
                <w:noProof/>
                <w:sz w:val="20"/>
                <w:szCs w:val="20"/>
              </w:rPr>
            </w:pPr>
            <w:r>
              <w:rPr>
                <w:noProof/>
                <w:sz w:val="20"/>
              </w:rPr>
              <w:t>4</w:t>
            </w:r>
          </w:p>
        </w:tc>
        <w:tc>
          <w:tcPr>
            <w:tcW w:w="780" w:type="dxa"/>
            <w:tcBorders>
              <w:top w:val="single" w:sz="4" w:space="0" w:color="auto"/>
              <w:left w:val="dashSmallGap" w:sz="4" w:space="0" w:color="auto"/>
              <w:bottom w:val="single" w:sz="4" w:space="0" w:color="auto"/>
            </w:tcBorders>
          </w:tcPr>
          <w:p>
            <w:pPr>
              <w:ind w:right="-29"/>
              <w:jc w:val="center"/>
              <w:rPr>
                <w:noProof/>
                <w:sz w:val="20"/>
                <w:szCs w:val="20"/>
              </w:rPr>
            </w:pPr>
            <w:r>
              <w:rPr>
                <w:noProof/>
                <w:sz w:val="20"/>
              </w:rPr>
              <w:t>0,100</w:t>
            </w:r>
          </w:p>
        </w:tc>
        <w:tc>
          <w:tcPr>
            <w:tcW w:w="669" w:type="dxa"/>
            <w:tcBorders>
              <w:right w:val="dashSmallGap" w:sz="4" w:space="0" w:color="auto"/>
            </w:tcBorders>
          </w:tcPr>
          <w:p>
            <w:pPr>
              <w:ind w:right="-29"/>
              <w:jc w:val="center"/>
              <w:rPr>
                <w:noProof/>
                <w:sz w:val="20"/>
                <w:szCs w:val="20"/>
              </w:rPr>
            </w:pPr>
            <w:r>
              <w:rPr>
                <w:noProof/>
                <w:sz w:val="20"/>
              </w:rPr>
              <w:t>6</w:t>
            </w:r>
          </w:p>
        </w:tc>
        <w:tc>
          <w:tcPr>
            <w:tcW w:w="780" w:type="dxa"/>
            <w:tcBorders>
              <w:left w:val="dashSmallGap" w:sz="4" w:space="0" w:color="auto"/>
              <w:bottom w:val="single" w:sz="4" w:space="0" w:color="auto"/>
            </w:tcBorders>
          </w:tcPr>
          <w:p>
            <w:pPr>
              <w:ind w:right="-29"/>
              <w:jc w:val="center"/>
              <w:rPr>
                <w:noProof/>
                <w:sz w:val="20"/>
                <w:szCs w:val="20"/>
              </w:rPr>
            </w:pPr>
            <w:r>
              <w:rPr>
                <w:noProof/>
                <w:sz w:val="20"/>
              </w:rPr>
              <w:t>0,150</w:t>
            </w:r>
          </w:p>
        </w:tc>
        <w:tc>
          <w:tcPr>
            <w:tcW w:w="669" w:type="dxa"/>
            <w:tcBorders>
              <w:right w:val="dashSmallGap" w:sz="4" w:space="0" w:color="auto"/>
            </w:tcBorders>
          </w:tcPr>
          <w:p>
            <w:pPr>
              <w:ind w:right="-29"/>
              <w:jc w:val="center"/>
              <w:rPr>
                <w:noProof/>
                <w:sz w:val="20"/>
                <w:szCs w:val="20"/>
              </w:rPr>
            </w:pPr>
            <w:r>
              <w:rPr>
                <w:noProof/>
                <w:sz w:val="20"/>
              </w:rPr>
              <w:t>6</w:t>
            </w:r>
          </w:p>
        </w:tc>
        <w:tc>
          <w:tcPr>
            <w:tcW w:w="839" w:type="dxa"/>
            <w:tcBorders>
              <w:left w:val="dashSmallGap" w:sz="4" w:space="0" w:color="auto"/>
              <w:bottom w:val="single" w:sz="4" w:space="0" w:color="auto"/>
            </w:tcBorders>
          </w:tcPr>
          <w:p>
            <w:pPr>
              <w:ind w:right="-29"/>
              <w:jc w:val="center"/>
              <w:rPr>
                <w:noProof/>
                <w:sz w:val="20"/>
                <w:szCs w:val="20"/>
              </w:rPr>
            </w:pPr>
            <w:r>
              <w:rPr>
                <w:noProof/>
                <w:sz w:val="20"/>
              </w:rPr>
              <w:t>0,150</w:t>
            </w:r>
          </w:p>
        </w:tc>
        <w:tc>
          <w:tcPr>
            <w:tcW w:w="596" w:type="dxa"/>
            <w:tcBorders>
              <w:right w:val="dashSmallGap" w:sz="4" w:space="0" w:color="auto"/>
            </w:tcBorders>
          </w:tcPr>
          <w:p>
            <w:pPr>
              <w:ind w:right="-29"/>
              <w:jc w:val="center"/>
              <w:rPr>
                <w:noProof/>
                <w:sz w:val="20"/>
                <w:szCs w:val="20"/>
              </w:rPr>
            </w:pPr>
            <w:r>
              <w:rPr>
                <w:noProof/>
                <w:sz w:val="20"/>
              </w:rPr>
              <w:t>6</w:t>
            </w:r>
          </w:p>
        </w:tc>
        <w:tc>
          <w:tcPr>
            <w:tcW w:w="780" w:type="dxa"/>
            <w:tcBorders>
              <w:left w:val="dashSmallGap" w:sz="4" w:space="0" w:color="auto"/>
              <w:bottom w:val="single" w:sz="4" w:space="0" w:color="auto"/>
            </w:tcBorders>
          </w:tcPr>
          <w:p>
            <w:pPr>
              <w:ind w:right="-29"/>
              <w:jc w:val="center"/>
              <w:rPr>
                <w:noProof/>
                <w:sz w:val="20"/>
                <w:szCs w:val="20"/>
              </w:rPr>
            </w:pPr>
            <w:r>
              <w:rPr>
                <w:noProof/>
                <w:sz w:val="20"/>
              </w:rPr>
              <w:t>0,150</w:t>
            </w:r>
          </w:p>
        </w:tc>
        <w:tc>
          <w:tcPr>
            <w:tcW w:w="360" w:type="dxa"/>
            <w:tcBorders>
              <w:right w:val="dashSmallGap" w:sz="4" w:space="0" w:color="auto"/>
            </w:tcBorders>
          </w:tcPr>
          <w:p>
            <w:pPr>
              <w:ind w:right="-29"/>
              <w:jc w:val="center"/>
              <w:rPr>
                <w:noProof/>
                <w:sz w:val="20"/>
                <w:szCs w:val="20"/>
              </w:rPr>
            </w:pPr>
            <w:r>
              <w:rPr>
                <w:noProof/>
                <w:sz w:val="20"/>
              </w:rPr>
              <w:t>6</w:t>
            </w:r>
          </w:p>
        </w:tc>
        <w:tc>
          <w:tcPr>
            <w:tcW w:w="780" w:type="dxa"/>
            <w:tcBorders>
              <w:left w:val="dashSmallGap" w:sz="4" w:space="0" w:color="auto"/>
              <w:bottom w:val="single" w:sz="4" w:space="0" w:color="auto"/>
            </w:tcBorders>
          </w:tcPr>
          <w:p>
            <w:pPr>
              <w:ind w:right="-29"/>
              <w:jc w:val="center"/>
              <w:rPr>
                <w:noProof/>
                <w:sz w:val="20"/>
                <w:szCs w:val="20"/>
              </w:rPr>
            </w:pPr>
            <w:r>
              <w:rPr>
                <w:noProof/>
                <w:sz w:val="20"/>
              </w:rPr>
              <w:t>0,150</w:t>
            </w:r>
          </w:p>
        </w:tc>
        <w:tc>
          <w:tcPr>
            <w:tcW w:w="360" w:type="dxa"/>
            <w:tcBorders>
              <w:right w:val="dashSmallGap" w:sz="4" w:space="0" w:color="auto"/>
            </w:tcBorders>
          </w:tcPr>
          <w:p>
            <w:pPr>
              <w:ind w:right="-29"/>
              <w:jc w:val="center"/>
              <w:rPr>
                <w:noProof/>
                <w:sz w:val="20"/>
                <w:szCs w:val="20"/>
              </w:rPr>
            </w:pPr>
            <w:r>
              <w:rPr>
                <w:noProof/>
                <w:sz w:val="20"/>
              </w:rPr>
              <w:t>6</w:t>
            </w:r>
          </w:p>
        </w:tc>
        <w:tc>
          <w:tcPr>
            <w:tcW w:w="780" w:type="dxa"/>
            <w:tcBorders>
              <w:left w:val="dashSmallGap" w:sz="4" w:space="0" w:color="auto"/>
              <w:bottom w:val="single" w:sz="4" w:space="0" w:color="auto"/>
            </w:tcBorders>
          </w:tcPr>
          <w:p>
            <w:pPr>
              <w:ind w:right="-29"/>
              <w:jc w:val="center"/>
              <w:rPr>
                <w:noProof/>
                <w:sz w:val="20"/>
                <w:szCs w:val="20"/>
              </w:rPr>
            </w:pPr>
            <w:r>
              <w:rPr>
                <w:noProof/>
                <w:sz w:val="20"/>
              </w:rPr>
              <w:t>0,150</w:t>
            </w:r>
          </w:p>
        </w:tc>
        <w:tc>
          <w:tcPr>
            <w:tcW w:w="360" w:type="dxa"/>
            <w:tcBorders>
              <w:right w:val="dashSmallGap" w:sz="4" w:space="0" w:color="auto"/>
            </w:tcBorders>
          </w:tcPr>
          <w:p>
            <w:pPr>
              <w:ind w:right="-29"/>
              <w:jc w:val="center"/>
              <w:rPr>
                <w:noProof/>
                <w:sz w:val="20"/>
                <w:szCs w:val="20"/>
              </w:rPr>
            </w:pPr>
            <w:r>
              <w:rPr>
                <w:noProof/>
                <w:sz w:val="20"/>
              </w:rPr>
              <w:t>6</w:t>
            </w:r>
          </w:p>
        </w:tc>
        <w:tc>
          <w:tcPr>
            <w:tcW w:w="840" w:type="dxa"/>
            <w:tcBorders>
              <w:left w:val="dashSmallGap" w:sz="4" w:space="0" w:color="auto"/>
              <w:bottom w:val="single" w:sz="4" w:space="0" w:color="auto"/>
            </w:tcBorders>
          </w:tcPr>
          <w:p>
            <w:pPr>
              <w:ind w:right="-29"/>
              <w:jc w:val="center"/>
              <w:rPr>
                <w:noProof/>
                <w:sz w:val="20"/>
                <w:szCs w:val="20"/>
              </w:rPr>
            </w:pPr>
            <w:r>
              <w:rPr>
                <w:noProof/>
                <w:sz w:val="20"/>
              </w:rPr>
              <w:t>0,150</w:t>
            </w:r>
          </w:p>
        </w:tc>
        <w:tc>
          <w:tcPr>
            <w:tcW w:w="596" w:type="dxa"/>
            <w:tcBorders>
              <w:right w:val="dashSmallGap" w:sz="4" w:space="0" w:color="auto"/>
            </w:tcBorders>
          </w:tcPr>
          <w:p>
            <w:pPr>
              <w:ind w:right="-29"/>
              <w:jc w:val="center"/>
              <w:rPr>
                <w:noProof/>
                <w:sz w:val="20"/>
                <w:szCs w:val="20"/>
              </w:rPr>
            </w:pPr>
            <w:r>
              <w:rPr>
                <w:noProof/>
                <w:sz w:val="20"/>
              </w:rPr>
              <w:t>24</w:t>
            </w:r>
          </w:p>
        </w:tc>
        <w:tc>
          <w:tcPr>
            <w:tcW w:w="1320" w:type="dxa"/>
            <w:tcBorders>
              <w:left w:val="dashSmallGap" w:sz="4" w:space="0" w:color="auto"/>
              <w:bottom w:val="single" w:sz="4" w:space="0" w:color="auto"/>
              <w:right w:val="single" w:sz="12" w:space="0" w:color="auto"/>
            </w:tcBorders>
          </w:tcPr>
          <w:p>
            <w:pPr>
              <w:ind w:right="-29"/>
              <w:jc w:val="center"/>
              <w:rPr>
                <w:noProof/>
                <w:sz w:val="20"/>
                <w:szCs w:val="20"/>
              </w:rPr>
            </w:pPr>
            <w:r>
              <w:rPr>
                <w:noProof/>
                <w:sz w:val="20"/>
              </w:rPr>
              <w:t>1,150</w:t>
            </w:r>
          </w:p>
        </w:tc>
      </w:tr>
      <w:tr>
        <w:trPr>
          <w:jc w:val="center"/>
        </w:trPr>
        <w:tc>
          <w:tcPr>
            <w:tcW w:w="2374" w:type="dxa"/>
            <w:gridSpan w:val="3"/>
            <w:tcBorders>
              <w:left w:val="single" w:sz="12" w:space="0" w:color="auto"/>
              <w:bottom w:val="single" w:sz="12" w:space="0" w:color="auto"/>
            </w:tcBorders>
            <w:vAlign w:val="center"/>
          </w:tcPr>
          <w:p>
            <w:pPr>
              <w:ind w:right="-29"/>
              <w:jc w:val="center"/>
              <w:rPr>
                <w:noProof/>
                <w:sz w:val="18"/>
                <w:szCs w:val="18"/>
              </w:rPr>
            </w:pPr>
            <w:r>
              <w:rPr>
                <w:noProof/>
                <w:sz w:val="18"/>
              </w:rPr>
              <w:t>Seštevek za specifični cilj št. 6</w:t>
            </w:r>
          </w:p>
        </w:tc>
        <w:tc>
          <w:tcPr>
            <w:tcW w:w="669" w:type="dxa"/>
            <w:tcBorders>
              <w:bottom w:val="single" w:sz="12" w:space="0" w:color="auto"/>
              <w:right w:val="dashSmallGap" w:sz="4" w:space="0" w:color="auto"/>
            </w:tcBorders>
          </w:tcPr>
          <w:p>
            <w:pPr>
              <w:ind w:right="-29"/>
              <w:jc w:val="center"/>
              <w:rPr>
                <w:noProof/>
                <w:sz w:val="20"/>
                <w:szCs w:val="20"/>
              </w:rPr>
            </w:pPr>
            <w:r>
              <w:rPr>
                <w:noProof/>
                <w:sz w:val="20"/>
              </w:rPr>
              <w:t>20</w:t>
            </w:r>
          </w:p>
        </w:tc>
        <w:tc>
          <w:tcPr>
            <w:tcW w:w="780" w:type="dxa"/>
            <w:tcBorders>
              <w:left w:val="dashSmallGap" w:sz="4" w:space="0" w:color="auto"/>
              <w:bottom w:val="single" w:sz="12" w:space="0" w:color="auto"/>
            </w:tcBorders>
          </w:tcPr>
          <w:p>
            <w:pPr>
              <w:ind w:right="-29"/>
              <w:jc w:val="center"/>
              <w:rPr>
                <w:b/>
                <w:noProof/>
                <w:sz w:val="20"/>
                <w:szCs w:val="20"/>
              </w:rPr>
            </w:pPr>
            <w:r>
              <w:rPr>
                <w:rFonts w:ascii="Calibri" w:hAnsi="Calibri"/>
                <w:b/>
                <w:noProof/>
                <w:color w:val="000000"/>
                <w:sz w:val="20"/>
              </w:rPr>
              <w:t>0,428</w:t>
            </w:r>
          </w:p>
        </w:tc>
        <w:tc>
          <w:tcPr>
            <w:tcW w:w="669" w:type="dxa"/>
            <w:tcBorders>
              <w:bottom w:val="single" w:sz="12" w:space="0" w:color="auto"/>
              <w:right w:val="dashSmallGap" w:sz="4" w:space="0" w:color="auto"/>
            </w:tcBorders>
          </w:tcPr>
          <w:p>
            <w:pPr>
              <w:ind w:right="-29"/>
              <w:jc w:val="center"/>
              <w:rPr>
                <w:noProof/>
                <w:sz w:val="20"/>
                <w:szCs w:val="20"/>
              </w:rPr>
            </w:pPr>
            <w:r>
              <w:rPr>
                <w:noProof/>
                <w:sz w:val="20"/>
              </w:rPr>
              <w:t>22</w:t>
            </w:r>
          </w:p>
        </w:tc>
        <w:tc>
          <w:tcPr>
            <w:tcW w:w="780" w:type="dxa"/>
            <w:tcBorders>
              <w:left w:val="dashSmallGap" w:sz="4" w:space="0" w:color="auto"/>
              <w:bottom w:val="single" w:sz="12" w:space="0" w:color="auto"/>
            </w:tcBorders>
          </w:tcPr>
          <w:p>
            <w:pPr>
              <w:ind w:right="-29"/>
              <w:jc w:val="center"/>
              <w:rPr>
                <w:b/>
                <w:noProof/>
                <w:sz w:val="20"/>
                <w:szCs w:val="20"/>
              </w:rPr>
            </w:pPr>
            <w:r>
              <w:rPr>
                <w:rFonts w:ascii="Calibri" w:hAnsi="Calibri"/>
                <w:b/>
                <w:noProof/>
                <w:color w:val="000000"/>
                <w:sz w:val="20"/>
              </w:rPr>
              <w:t>0,478</w:t>
            </w:r>
          </w:p>
        </w:tc>
        <w:tc>
          <w:tcPr>
            <w:tcW w:w="669" w:type="dxa"/>
            <w:tcBorders>
              <w:bottom w:val="single" w:sz="12" w:space="0" w:color="auto"/>
              <w:right w:val="dashSmallGap" w:sz="4" w:space="0" w:color="auto"/>
            </w:tcBorders>
          </w:tcPr>
          <w:p>
            <w:pPr>
              <w:ind w:right="-29"/>
              <w:jc w:val="center"/>
              <w:rPr>
                <w:noProof/>
                <w:sz w:val="20"/>
                <w:szCs w:val="20"/>
              </w:rPr>
            </w:pPr>
            <w:r>
              <w:rPr>
                <w:noProof/>
                <w:sz w:val="20"/>
              </w:rPr>
              <w:t>22</w:t>
            </w:r>
          </w:p>
        </w:tc>
        <w:tc>
          <w:tcPr>
            <w:tcW w:w="780" w:type="dxa"/>
            <w:tcBorders>
              <w:left w:val="dashSmallGap" w:sz="4" w:space="0" w:color="auto"/>
              <w:bottom w:val="single" w:sz="12" w:space="0" w:color="auto"/>
            </w:tcBorders>
          </w:tcPr>
          <w:p>
            <w:pPr>
              <w:ind w:right="-29"/>
              <w:jc w:val="center"/>
              <w:rPr>
                <w:b/>
                <w:noProof/>
                <w:sz w:val="20"/>
                <w:szCs w:val="20"/>
              </w:rPr>
            </w:pPr>
            <w:r>
              <w:rPr>
                <w:rFonts w:ascii="Calibri" w:hAnsi="Calibri"/>
                <w:b/>
                <w:noProof/>
                <w:color w:val="000000"/>
                <w:sz w:val="20"/>
              </w:rPr>
              <w:t>0,478</w:t>
            </w:r>
          </w:p>
        </w:tc>
        <w:tc>
          <w:tcPr>
            <w:tcW w:w="669" w:type="dxa"/>
            <w:tcBorders>
              <w:bottom w:val="single" w:sz="12" w:space="0" w:color="auto"/>
              <w:right w:val="dashSmallGap" w:sz="4" w:space="0" w:color="auto"/>
            </w:tcBorders>
          </w:tcPr>
          <w:p>
            <w:pPr>
              <w:ind w:right="-29"/>
              <w:jc w:val="center"/>
              <w:rPr>
                <w:noProof/>
                <w:sz w:val="20"/>
                <w:szCs w:val="20"/>
              </w:rPr>
            </w:pPr>
            <w:r>
              <w:rPr>
                <w:noProof/>
                <w:sz w:val="20"/>
              </w:rPr>
              <w:t>24</w:t>
            </w:r>
          </w:p>
        </w:tc>
        <w:tc>
          <w:tcPr>
            <w:tcW w:w="780" w:type="dxa"/>
            <w:tcBorders>
              <w:left w:val="dashSmallGap" w:sz="4" w:space="0" w:color="auto"/>
              <w:bottom w:val="single" w:sz="12" w:space="0" w:color="auto"/>
            </w:tcBorders>
          </w:tcPr>
          <w:p>
            <w:pPr>
              <w:ind w:right="-29"/>
              <w:jc w:val="center"/>
              <w:rPr>
                <w:b/>
                <w:noProof/>
                <w:sz w:val="20"/>
                <w:szCs w:val="20"/>
              </w:rPr>
            </w:pPr>
            <w:r>
              <w:rPr>
                <w:rFonts w:ascii="Calibri" w:hAnsi="Calibri"/>
                <w:b/>
                <w:noProof/>
                <w:color w:val="000000"/>
                <w:sz w:val="20"/>
              </w:rPr>
              <w:t>0,528</w:t>
            </w:r>
          </w:p>
        </w:tc>
        <w:tc>
          <w:tcPr>
            <w:tcW w:w="669" w:type="dxa"/>
            <w:tcBorders>
              <w:bottom w:val="single" w:sz="12" w:space="0" w:color="auto"/>
              <w:right w:val="dashSmallGap" w:sz="4" w:space="0" w:color="auto"/>
            </w:tcBorders>
          </w:tcPr>
          <w:p>
            <w:pPr>
              <w:ind w:right="-29"/>
              <w:jc w:val="center"/>
              <w:rPr>
                <w:noProof/>
                <w:sz w:val="20"/>
                <w:szCs w:val="20"/>
              </w:rPr>
            </w:pPr>
            <w:r>
              <w:rPr>
                <w:noProof/>
                <w:sz w:val="20"/>
              </w:rPr>
              <w:t>14</w:t>
            </w:r>
          </w:p>
        </w:tc>
        <w:tc>
          <w:tcPr>
            <w:tcW w:w="839" w:type="dxa"/>
            <w:tcBorders>
              <w:left w:val="dashSmallGap" w:sz="4" w:space="0" w:color="auto"/>
              <w:bottom w:val="single" w:sz="12" w:space="0" w:color="auto"/>
            </w:tcBorders>
          </w:tcPr>
          <w:p>
            <w:pPr>
              <w:ind w:right="-29"/>
              <w:rPr>
                <w:noProof/>
                <w:sz w:val="20"/>
                <w:szCs w:val="20"/>
              </w:rPr>
            </w:pPr>
            <w:r>
              <w:rPr>
                <w:rFonts w:ascii="Calibri" w:hAnsi="Calibri"/>
                <w:b/>
                <w:noProof/>
                <w:color w:val="000000"/>
                <w:sz w:val="20"/>
              </w:rPr>
              <w:t>0,318</w:t>
            </w:r>
          </w:p>
        </w:tc>
        <w:tc>
          <w:tcPr>
            <w:tcW w:w="596" w:type="dxa"/>
            <w:tcBorders>
              <w:bottom w:val="single" w:sz="12" w:space="0" w:color="auto"/>
              <w:right w:val="dashSmallGap" w:sz="4" w:space="0" w:color="auto"/>
            </w:tcBorders>
          </w:tcPr>
          <w:p>
            <w:pPr>
              <w:ind w:right="-29"/>
              <w:jc w:val="center"/>
              <w:rPr>
                <w:noProof/>
                <w:sz w:val="20"/>
                <w:szCs w:val="20"/>
              </w:rPr>
            </w:pPr>
            <w:r>
              <w:rPr>
                <w:noProof/>
                <w:sz w:val="20"/>
              </w:rPr>
              <w:t>14</w:t>
            </w:r>
          </w:p>
        </w:tc>
        <w:tc>
          <w:tcPr>
            <w:tcW w:w="780" w:type="dxa"/>
            <w:tcBorders>
              <w:left w:val="dashSmallGap" w:sz="4" w:space="0" w:color="auto"/>
              <w:bottom w:val="single" w:sz="12" w:space="0" w:color="auto"/>
            </w:tcBorders>
          </w:tcPr>
          <w:p>
            <w:pPr>
              <w:ind w:right="-29"/>
              <w:jc w:val="center"/>
              <w:rPr>
                <w:noProof/>
                <w:sz w:val="20"/>
                <w:szCs w:val="20"/>
              </w:rPr>
            </w:pPr>
            <w:r>
              <w:rPr>
                <w:rFonts w:ascii="Calibri" w:hAnsi="Calibri"/>
                <w:b/>
                <w:noProof/>
                <w:color w:val="000000"/>
                <w:sz w:val="20"/>
              </w:rPr>
              <w:t>0,318</w:t>
            </w:r>
          </w:p>
        </w:tc>
        <w:tc>
          <w:tcPr>
            <w:tcW w:w="360" w:type="dxa"/>
            <w:tcBorders>
              <w:bottom w:val="single" w:sz="12" w:space="0" w:color="auto"/>
              <w:right w:val="dashSmallGap" w:sz="4" w:space="0" w:color="auto"/>
            </w:tcBorders>
          </w:tcPr>
          <w:p>
            <w:pPr>
              <w:ind w:right="-29"/>
              <w:jc w:val="center"/>
              <w:rPr>
                <w:noProof/>
                <w:sz w:val="20"/>
                <w:szCs w:val="20"/>
              </w:rPr>
            </w:pPr>
            <w:r>
              <w:rPr>
                <w:noProof/>
                <w:sz w:val="20"/>
              </w:rPr>
              <w:t>14</w:t>
            </w:r>
          </w:p>
        </w:tc>
        <w:tc>
          <w:tcPr>
            <w:tcW w:w="780" w:type="dxa"/>
            <w:tcBorders>
              <w:left w:val="dashSmallGap" w:sz="4" w:space="0" w:color="auto"/>
              <w:bottom w:val="single" w:sz="12" w:space="0" w:color="auto"/>
            </w:tcBorders>
          </w:tcPr>
          <w:p>
            <w:pPr>
              <w:ind w:right="-29"/>
              <w:jc w:val="center"/>
              <w:rPr>
                <w:noProof/>
                <w:sz w:val="20"/>
                <w:szCs w:val="20"/>
              </w:rPr>
            </w:pPr>
            <w:r>
              <w:rPr>
                <w:rFonts w:ascii="Calibri" w:hAnsi="Calibri"/>
                <w:b/>
                <w:noProof/>
                <w:color w:val="000000"/>
                <w:sz w:val="20"/>
              </w:rPr>
              <w:t>0,318</w:t>
            </w:r>
          </w:p>
        </w:tc>
        <w:tc>
          <w:tcPr>
            <w:tcW w:w="360" w:type="dxa"/>
            <w:tcBorders>
              <w:bottom w:val="single" w:sz="12" w:space="0" w:color="auto"/>
              <w:right w:val="dashSmallGap" w:sz="4" w:space="0" w:color="auto"/>
            </w:tcBorders>
          </w:tcPr>
          <w:p>
            <w:pPr>
              <w:ind w:right="-29"/>
              <w:jc w:val="center"/>
              <w:rPr>
                <w:noProof/>
                <w:sz w:val="20"/>
                <w:szCs w:val="20"/>
              </w:rPr>
            </w:pPr>
            <w:r>
              <w:rPr>
                <w:noProof/>
                <w:sz w:val="20"/>
              </w:rPr>
              <w:t>14</w:t>
            </w:r>
          </w:p>
        </w:tc>
        <w:tc>
          <w:tcPr>
            <w:tcW w:w="780" w:type="dxa"/>
            <w:tcBorders>
              <w:left w:val="dashSmallGap" w:sz="4" w:space="0" w:color="auto"/>
              <w:bottom w:val="single" w:sz="12" w:space="0" w:color="auto"/>
            </w:tcBorders>
          </w:tcPr>
          <w:p>
            <w:pPr>
              <w:ind w:right="-29"/>
              <w:jc w:val="center"/>
              <w:rPr>
                <w:noProof/>
                <w:sz w:val="20"/>
                <w:szCs w:val="20"/>
              </w:rPr>
            </w:pPr>
            <w:r>
              <w:rPr>
                <w:rFonts w:ascii="Calibri" w:hAnsi="Calibri"/>
                <w:b/>
                <w:noProof/>
                <w:color w:val="000000"/>
                <w:sz w:val="20"/>
              </w:rPr>
              <w:t>0,318</w:t>
            </w:r>
          </w:p>
        </w:tc>
        <w:tc>
          <w:tcPr>
            <w:tcW w:w="360" w:type="dxa"/>
            <w:tcBorders>
              <w:bottom w:val="single" w:sz="12" w:space="0" w:color="auto"/>
              <w:right w:val="dashSmallGap" w:sz="4" w:space="0" w:color="auto"/>
            </w:tcBorders>
          </w:tcPr>
          <w:p>
            <w:pPr>
              <w:ind w:right="-29"/>
              <w:jc w:val="center"/>
              <w:rPr>
                <w:noProof/>
                <w:sz w:val="20"/>
                <w:szCs w:val="20"/>
              </w:rPr>
            </w:pPr>
            <w:r>
              <w:rPr>
                <w:noProof/>
                <w:sz w:val="20"/>
              </w:rPr>
              <w:t>14</w:t>
            </w:r>
          </w:p>
        </w:tc>
        <w:tc>
          <w:tcPr>
            <w:tcW w:w="840" w:type="dxa"/>
            <w:tcBorders>
              <w:left w:val="dashSmallGap" w:sz="4" w:space="0" w:color="auto"/>
              <w:bottom w:val="single" w:sz="12" w:space="0" w:color="auto"/>
            </w:tcBorders>
          </w:tcPr>
          <w:p>
            <w:pPr>
              <w:ind w:right="-29"/>
              <w:jc w:val="center"/>
              <w:rPr>
                <w:noProof/>
                <w:sz w:val="20"/>
                <w:szCs w:val="20"/>
              </w:rPr>
            </w:pPr>
            <w:r>
              <w:rPr>
                <w:rFonts w:ascii="Calibri" w:hAnsi="Calibri"/>
                <w:b/>
                <w:noProof/>
                <w:color w:val="000000"/>
                <w:sz w:val="20"/>
              </w:rPr>
              <w:t>0,318</w:t>
            </w:r>
          </w:p>
        </w:tc>
        <w:tc>
          <w:tcPr>
            <w:tcW w:w="596" w:type="dxa"/>
            <w:tcBorders>
              <w:bottom w:val="single" w:sz="12" w:space="0" w:color="auto"/>
              <w:right w:val="dashSmallGap" w:sz="4" w:space="0" w:color="auto"/>
            </w:tcBorders>
          </w:tcPr>
          <w:p>
            <w:pPr>
              <w:ind w:right="-29"/>
              <w:jc w:val="center"/>
              <w:rPr>
                <w:noProof/>
                <w:sz w:val="20"/>
                <w:szCs w:val="20"/>
              </w:rPr>
            </w:pPr>
          </w:p>
        </w:tc>
        <w:tc>
          <w:tcPr>
            <w:tcW w:w="1320" w:type="dxa"/>
            <w:tcBorders>
              <w:left w:val="dashSmallGap" w:sz="4" w:space="0" w:color="auto"/>
              <w:bottom w:val="single" w:sz="12" w:space="0" w:color="auto"/>
              <w:right w:val="single" w:sz="12" w:space="0" w:color="auto"/>
            </w:tcBorders>
          </w:tcPr>
          <w:p>
            <w:pPr>
              <w:ind w:right="-29"/>
              <w:jc w:val="center"/>
              <w:rPr>
                <w:b/>
                <w:noProof/>
                <w:sz w:val="20"/>
                <w:szCs w:val="20"/>
              </w:rPr>
            </w:pPr>
            <w:r>
              <w:rPr>
                <w:rFonts w:ascii="Calibri" w:hAnsi="Calibri"/>
                <w:b/>
                <w:noProof/>
                <w:color w:val="000000"/>
                <w:sz w:val="20"/>
              </w:rPr>
              <w:t>3,502</w:t>
            </w:r>
          </w:p>
        </w:tc>
      </w:tr>
    </w:tbl>
    <w:p>
      <w:pPr>
        <w:rPr>
          <w:noProof/>
        </w:rPr>
      </w:pPr>
    </w:p>
    <w:p>
      <w:pPr>
        <w:pStyle w:val="ListDash"/>
        <w:rPr>
          <w:noProof/>
        </w:rPr>
      </w:pPr>
      <w:r>
        <w:rPr>
          <w:noProof/>
        </w:rPr>
        <w:t>Seštevek 6 vključuje stroške, ki jih ima organ upravljanja (v tem primeru agencija eu-LISA) z organizacijo sestankov za upravljanje projekta. To so stroški za dodatne sestanke za izvedbo sestavnih delov interoperabilnosti.</w:t>
      </w:r>
    </w:p>
    <w:p>
      <w:pPr>
        <w:pStyle w:val="ListDash"/>
        <w:rPr>
          <w:noProof/>
        </w:rPr>
      </w:pPr>
      <w:r>
        <w:rPr>
          <w:noProof/>
        </w:rPr>
        <w:t>Seštevek 6 vključuje stroške, ki jih ima agencija eu-LISA za srečanja z osebjem držav članic, odgovornim za razvoj, vzdrževanje in delovanje sestavnih delov interoperabilnosti, in z organizacijo in izvajanjem usposabljanja za IT osebje iz držav članic.</w:t>
      </w:r>
    </w:p>
    <w:p>
      <w:pPr>
        <w:pStyle w:val="ListDash"/>
        <w:rPr>
          <w:noProof/>
        </w:rPr>
      </w:pPr>
      <w:r>
        <w:rPr>
          <w:noProof/>
        </w:rPr>
        <w:t>Med razvojem vključuje proračun 10 projektnih sestankov na leto. Med pripravljanjem na delovanje (to velja od leta 2019 naprej) se organizirajo štirje sestanki na leto. Na višji ravni se na začetku ustanovi svetovalna skupina za izvajanje izvedbenih sklepov Komisije. Načrtujejo se štirje sestanki na leto, tako kot za obstoječe svetovalne skupine. Poleg tega agencija eu-LISA pripravlja in zagotavlja usposabljanje za IT osebje v državah članicah. Gre za usposabljanje o tehničnih vidikih sestavnih delov interoperabilnosti.</w:t>
      </w:r>
    </w:p>
    <w:p>
      <w:pPr>
        <w:rPr>
          <w:noProof/>
        </w:rPr>
      </w:pPr>
    </w:p>
    <w:p>
      <w:pPr>
        <w:keepNext/>
        <w:rPr>
          <w:noProof/>
        </w:rPr>
      </w:pPr>
    </w:p>
    <w:tbl>
      <w:tblPr>
        <w:tblW w:w="14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2"/>
        <w:gridCol w:w="721"/>
        <w:gridCol w:w="659"/>
        <w:gridCol w:w="303"/>
        <w:gridCol w:w="867"/>
        <w:gridCol w:w="330"/>
        <w:gridCol w:w="840"/>
        <w:gridCol w:w="360"/>
        <w:gridCol w:w="840"/>
        <w:gridCol w:w="360"/>
        <w:gridCol w:w="840"/>
        <w:gridCol w:w="360"/>
        <w:gridCol w:w="672"/>
        <w:gridCol w:w="360"/>
        <w:gridCol w:w="720"/>
        <w:gridCol w:w="360"/>
        <w:gridCol w:w="840"/>
        <w:gridCol w:w="360"/>
        <w:gridCol w:w="733"/>
        <w:gridCol w:w="284"/>
        <w:gridCol w:w="850"/>
        <w:gridCol w:w="709"/>
        <w:gridCol w:w="1144"/>
      </w:tblGrid>
      <w:tr>
        <w:trPr>
          <w:jc w:val="center"/>
        </w:trPr>
        <w:tc>
          <w:tcPr>
            <w:tcW w:w="1422" w:type="dxa"/>
            <w:vMerge w:val="restart"/>
            <w:tcBorders>
              <w:top w:val="single" w:sz="12" w:space="0" w:color="auto"/>
              <w:left w:val="single" w:sz="12" w:space="0" w:color="auto"/>
            </w:tcBorders>
            <w:vAlign w:val="center"/>
          </w:tcPr>
          <w:p>
            <w:pPr>
              <w:keepNext/>
              <w:ind w:right="-29"/>
              <w:jc w:val="center"/>
              <w:rPr>
                <w:b/>
                <w:noProof/>
                <w:sz w:val="18"/>
                <w:szCs w:val="18"/>
              </w:rPr>
            </w:pPr>
            <w:r>
              <w:rPr>
                <w:b/>
                <w:noProof/>
                <w:sz w:val="18"/>
              </w:rPr>
              <w:t xml:space="preserve">Cilji in realizacije </w:t>
            </w:r>
          </w:p>
          <w:p>
            <w:pPr>
              <w:keepNext/>
              <w:ind w:right="-29"/>
              <w:jc w:val="center"/>
              <w:rPr>
                <w:b/>
                <w:noProof/>
                <w:sz w:val="18"/>
                <w:szCs w:val="18"/>
              </w:rPr>
            </w:pPr>
            <w:r>
              <w:rPr>
                <w:b/>
                <w:noProof/>
                <w:sz w:val="18"/>
              </w:rPr>
              <w:t>eu-LISA</w:t>
            </w:r>
          </w:p>
          <w:p>
            <w:pPr>
              <w:keepNext/>
              <w:ind w:right="-29"/>
              <w:jc w:val="center"/>
              <w:rPr>
                <w:noProof/>
                <w:sz w:val="18"/>
                <w:szCs w:val="18"/>
              </w:rPr>
            </w:pPr>
            <w:r>
              <w:rPr>
                <w:noProof/>
                <w:sz w:val="18"/>
              </w:rPr>
              <w:sym w:font="Wingdings" w:char="F0F2"/>
            </w:r>
          </w:p>
        </w:tc>
        <w:tc>
          <w:tcPr>
            <w:tcW w:w="721" w:type="dxa"/>
            <w:tcBorders>
              <w:top w:val="single" w:sz="12" w:space="0" w:color="auto"/>
            </w:tcBorders>
            <w:vAlign w:val="center"/>
          </w:tcPr>
          <w:p>
            <w:pPr>
              <w:keepNext/>
              <w:ind w:right="-29"/>
              <w:jc w:val="center"/>
              <w:rPr>
                <w:noProof/>
                <w:sz w:val="18"/>
                <w:szCs w:val="18"/>
              </w:rPr>
            </w:pPr>
          </w:p>
        </w:tc>
        <w:tc>
          <w:tcPr>
            <w:tcW w:w="659" w:type="dxa"/>
            <w:tcBorders>
              <w:top w:val="single" w:sz="12" w:space="0" w:color="auto"/>
            </w:tcBorders>
            <w:vAlign w:val="center"/>
          </w:tcPr>
          <w:p>
            <w:pPr>
              <w:keepNext/>
              <w:ind w:right="-29"/>
              <w:jc w:val="center"/>
              <w:rPr>
                <w:noProof/>
                <w:sz w:val="18"/>
                <w:szCs w:val="18"/>
              </w:rPr>
            </w:pPr>
          </w:p>
        </w:tc>
        <w:tc>
          <w:tcPr>
            <w:tcW w:w="1170" w:type="dxa"/>
            <w:gridSpan w:val="2"/>
            <w:tcBorders>
              <w:top w:val="single" w:sz="12" w:space="0" w:color="auto"/>
              <w:right w:val="single" w:sz="4" w:space="0" w:color="auto"/>
            </w:tcBorders>
            <w:vAlign w:val="center"/>
          </w:tcPr>
          <w:p>
            <w:pPr>
              <w:keepNext/>
              <w:ind w:right="-29"/>
              <w:jc w:val="center"/>
              <w:rPr>
                <w:noProof/>
                <w:sz w:val="18"/>
                <w:szCs w:val="18"/>
              </w:rPr>
            </w:pPr>
            <w:r>
              <w:rPr>
                <w:noProof/>
                <w:sz w:val="18"/>
              </w:rPr>
              <w:t>Leto</w:t>
            </w:r>
            <w:r>
              <w:rPr>
                <w:noProof/>
                <w:sz w:val="22"/>
              </w:rPr>
              <w:br/>
            </w:r>
            <w:r>
              <w:rPr>
                <w:b/>
                <w:noProof/>
                <w:sz w:val="18"/>
              </w:rPr>
              <w:t>2019</w:t>
            </w:r>
          </w:p>
        </w:tc>
        <w:tc>
          <w:tcPr>
            <w:tcW w:w="1170" w:type="dxa"/>
            <w:gridSpan w:val="2"/>
            <w:tcBorders>
              <w:top w:val="single" w:sz="12" w:space="0" w:color="auto"/>
              <w:left w:val="single" w:sz="4" w:space="0" w:color="auto"/>
            </w:tcBorders>
            <w:vAlign w:val="center"/>
          </w:tcPr>
          <w:p>
            <w:pPr>
              <w:keepNext/>
              <w:ind w:right="-29"/>
              <w:jc w:val="center"/>
              <w:rPr>
                <w:noProof/>
                <w:sz w:val="18"/>
                <w:szCs w:val="18"/>
              </w:rPr>
            </w:pPr>
            <w:r>
              <w:rPr>
                <w:noProof/>
                <w:sz w:val="18"/>
              </w:rPr>
              <w:t>Leto</w:t>
            </w:r>
            <w:r>
              <w:rPr>
                <w:noProof/>
                <w:sz w:val="22"/>
              </w:rPr>
              <w:br/>
            </w:r>
            <w:r>
              <w:rPr>
                <w:b/>
                <w:noProof/>
                <w:sz w:val="18"/>
              </w:rPr>
              <w:t>2020</w:t>
            </w:r>
          </w:p>
        </w:tc>
        <w:tc>
          <w:tcPr>
            <w:tcW w:w="1200" w:type="dxa"/>
            <w:gridSpan w:val="2"/>
            <w:tcBorders>
              <w:top w:val="single" w:sz="12" w:space="0" w:color="auto"/>
            </w:tcBorders>
            <w:vAlign w:val="center"/>
          </w:tcPr>
          <w:p>
            <w:pPr>
              <w:keepNext/>
              <w:ind w:right="-29"/>
              <w:jc w:val="center"/>
              <w:rPr>
                <w:noProof/>
                <w:sz w:val="18"/>
                <w:szCs w:val="18"/>
              </w:rPr>
            </w:pPr>
            <w:r>
              <w:rPr>
                <w:noProof/>
                <w:sz w:val="18"/>
              </w:rPr>
              <w:t>Leto</w:t>
            </w:r>
            <w:r>
              <w:rPr>
                <w:noProof/>
                <w:sz w:val="22"/>
              </w:rPr>
              <w:br/>
            </w:r>
            <w:r>
              <w:rPr>
                <w:b/>
                <w:noProof/>
                <w:sz w:val="18"/>
              </w:rPr>
              <w:t>2021</w:t>
            </w:r>
          </w:p>
        </w:tc>
        <w:tc>
          <w:tcPr>
            <w:tcW w:w="1200" w:type="dxa"/>
            <w:gridSpan w:val="2"/>
            <w:tcBorders>
              <w:top w:val="single" w:sz="12" w:space="0" w:color="auto"/>
            </w:tcBorders>
            <w:vAlign w:val="center"/>
          </w:tcPr>
          <w:p>
            <w:pPr>
              <w:keepNext/>
              <w:ind w:right="-29"/>
              <w:jc w:val="center"/>
              <w:rPr>
                <w:noProof/>
                <w:sz w:val="18"/>
                <w:szCs w:val="18"/>
              </w:rPr>
            </w:pPr>
            <w:r>
              <w:rPr>
                <w:noProof/>
                <w:sz w:val="18"/>
              </w:rPr>
              <w:t>Leto</w:t>
            </w:r>
            <w:r>
              <w:rPr>
                <w:noProof/>
                <w:sz w:val="22"/>
              </w:rPr>
              <w:br/>
            </w:r>
            <w:r>
              <w:rPr>
                <w:b/>
                <w:noProof/>
                <w:sz w:val="18"/>
              </w:rPr>
              <w:t>2022</w:t>
            </w:r>
          </w:p>
        </w:tc>
        <w:tc>
          <w:tcPr>
            <w:tcW w:w="1032" w:type="dxa"/>
            <w:gridSpan w:val="2"/>
            <w:tcBorders>
              <w:top w:val="single" w:sz="12" w:space="0" w:color="auto"/>
            </w:tcBorders>
            <w:vAlign w:val="center"/>
          </w:tcPr>
          <w:p>
            <w:pPr>
              <w:keepNext/>
              <w:jc w:val="center"/>
              <w:rPr>
                <w:noProof/>
                <w:sz w:val="18"/>
                <w:szCs w:val="18"/>
              </w:rPr>
            </w:pPr>
            <w:r>
              <w:rPr>
                <w:noProof/>
                <w:sz w:val="18"/>
              </w:rPr>
              <w:t>Leto</w:t>
            </w:r>
            <w:r>
              <w:rPr>
                <w:noProof/>
                <w:sz w:val="22"/>
              </w:rPr>
              <w:br/>
            </w:r>
            <w:r>
              <w:rPr>
                <w:b/>
                <w:noProof/>
                <w:sz w:val="18"/>
              </w:rPr>
              <w:t>2023</w:t>
            </w:r>
          </w:p>
        </w:tc>
        <w:tc>
          <w:tcPr>
            <w:tcW w:w="1080" w:type="dxa"/>
            <w:gridSpan w:val="2"/>
            <w:tcBorders>
              <w:top w:val="single" w:sz="12" w:space="0" w:color="auto"/>
            </w:tcBorders>
            <w:vAlign w:val="center"/>
          </w:tcPr>
          <w:p>
            <w:pPr>
              <w:keepNext/>
              <w:jc w:val="center"/>
              <w:rPr>
                <w:noProof/>
                <w:sz w:val="18"/>
                <w:szCs w:val="18"/>
              </w:rPr>
            </w:pPr>
            <w:r>
              <w:rPr>
                <w:noProof/>
                <w:sz w:val="18"/>
              </w:rPr>
              <w:t>Leto</w:t>
            </w:r>
            <w:r>
              <w:rPr>
                <w:noProof/>
                <w:sz w:val="22"/>
              </w:rPr>
              <w:br/>
            </w:r>
            <w:r>
              <w:rPr>
                <w:b/>
                <w:noProof/>
                <w:sz w:val="18"/>
              </w:rPr>
              <w:t>2024</w:t>
            </w:r>
          </w:p>
        </w:tc>
        <w:tc>
          <w:tcPr>
            <w:tcW w:w="1200" w:type="dxa"/>
            <w:gridSpan w:val="2"/>
            <w:tcBorders>
              <w:top w:val="single" w:sz="12" w:space="0" w:color="auto"/>
            </w:tcBorders>
            <w:vAlign w:val="center"/>
          </w:tcPr>
          <w:p>
            <w:pPr>
              <w:keepNext/>
              <w:jc w:val="center"/>
              <w:rPr>
                <w:noProof/>
                <w:sz w:val="18"/>
                <w:szCs w:val="18"/>
              </w:rPr>
            </w:pPr>
            <w:r>
              <w:rPr>
                <w:noProof/>
                <w:sz w:val="18"/>
              </w:rPr>
              <w:t>Leto</w:t>
            </w:r>
            <w:r>
              <w:rPr>
                <w:noProof/>
                <w:sz w:val="22"/>
              </w:rPr>
              <w:br/>
            </w:r>
            <w:r>
              <w:rPr>
                <w:b/>
                <w:noProof/>
                <w:sz w:val="18"/>
              </w:rPr>
              <w:t>2025</w:t>
            </w:r>
          </w:p>
        </w:tc>
        <w:tc>
          <w:tcPr>
            <w:tcW w:w="1093" w:type="dxa"/>
            <w:gridSpan w:val="2"/>
            <w:tcBorders>
              <w:top w:val="single" w:sz="12" w:space="0" w:color="auto"/>
            </w:tcBorders>
          </w:tcPr>
          <w:p>
            <w:pPr>
              <w:keepNext/>
              <w:ind w:right="-29"/>
              <w:jc w:val="center"/>
              <w:rPr>
                <w:b/>
                <w:noProof/>
                <w:sz w:val="18"/>
              </w:rPr>
            </w:pPr>
            <w:r>
              <w:rPr>
                <w:noProof/>
                <w:sz w:val="18"/>
              </w:rPr>
              <w:t>Leto</w:t>
            </w:r>
            <w:r>
              <w:rPr>
                <w:noProof/>
                <w:sz w:val="22"/>
              </w:rPr>
              <w:br/>
            </w:r>
            <w:r>
              <w:rPr>
                <w:b/>
                <w:noProof/>
                <w:sz w:val="18"/>
              </w:rPr>
              <w:t>2026</w:t>
            </w:r>
          </w:p>
        </w:tc>
        <w:tc>
          <w:tcPr>
            <w:tcW w:w="1134" w:type="dxa"/>
            <w:gridSpan w:val="2"/>
            <w:tcBorders>
              <w:top w:val="single" w:sz="12" w:space="0" w:color="auto"/>
              <w:right w:val="nil"/>
            </w:tcBorders>
          </w:tcPr>
          <w:p>
            <w:pPr>
              <w:keepNext/>
              <w:ind w:right="-29"/>
              <w:jc w:val="center"/>
              <w:rPr>
                <w:b/>
                <w:noProof/>
                <w:sz w:val="18"/>
              </w:rPr>
            </w:pPr>
            <w:r>
              <w:rPr>
                <w:noProof/>
                <w:sz w:val="18"/>
              </w:rPr>
              <w:t>Leto</w:t>
            </w:r>
            <w:r>
              <w:rPr>
                <w:noProof/>
                <w:sz w:val="22"/>
              </w:rPr>
              <w:br/>
            </w:r>
            <w:r>
              <w:rPr>
                <w:b/>
                <w:noProof/>
                <w:sz w:val="18"/>
              </w:rPr>
              <w:t>2027</w:t>
            </w:r>
          </w:p>
        </w:tc>
        <w:tc>
          <w:tcPr>
            <w:tcW w:w="1853" w:type="dxa"/>
            <w:gridSpan w:val="2"/>
            <w:tcBorders>
              <w:top w:val="single" w:sz="12" w:space="0" w:color="auto"/>
              <w:left w:val="single" w:sz="6" w:space="0" w:color="auto"/>
              <w:bottom w:val="single" w:sz="4" w:space="0" w:color="auto"/>
              <w:right w:val="single" w:sz="12" w:space="0" w:color="auto"/>
            </w:tcBorders>
            <w:vAlign w:val="center"/>
          </w:tcPr>
          <w:p>
            <w:pPr>
              <w:keepNext/>
              <w:ind w:right="-29"/>
              <w:jc w:val="center"/>
              <w:rPr>
                <w:noProof/>
                <w:sz w:val="18"/>
                <w:szCs w:val="18"/>
              </w:rPr>
            </w:pPr>
            <w:r>
              <w:rPr>
                <w:b/>
                <w:noProof/>
                <w:sz w:val="18"/>
              </w:rPr>
              <w:t>SKUPAJ</w:t>
            </w:r>
          </w:p>
        </w:tc>
      </w:tr>
      <w:tr>
        <w:trPr>
          <w:gridAfter w:val="22"/>
          <w:wAfter w:w="13512" w:type="dxa"/>
          <w:trHeight w:val="465"/>
          <w:jc w:val="center"/>
        </w:trPr>
        <w:tc>
          <w:tcPr>
            <w:tcW w:w="1422" w:type="dxa"/>
            <w:vMerge/>
            <w:tcBorders>
              <w:left w:val="single" w:sz="12" w:space="0" w:color="auto"/>
            </w:tcBorders>
            <w:vAlign w:val="center"/>
          </w:tcPr>
          <w:p>
            <w:pPr>
              <w:keepNext/>
              <w:ind w:right="-29"/>
              <w:jc w:val="center"/>
              <w:rPr>
                <w:noProof/>
                <w:sz w:val="18"/>
                <w:szCs w:val="18"/>
              </w:rPr>
            </w:pPr>
          </w:p>
        </w:tc>
      </w:tr>
      <w:tr>
        <w:trPr>
          <w:cantSplit/>
          <w:trHeight w:val="1134"/>
          <w:jc w:val="center"/>
        </w:trPr>
        <w:tc>
          <w:tcPr>
            <w:tcW w:w="1422" w:type="dxa"/>
            <w:vMerge/>
            <w:tcBorders>
              <w:left w:val="single" w:sz="12" w:space="0" w:color="auto"/>
            </w:tcBorders>
            <w:vAlign w:val="center"/>
          </w:tcPr>
          <w:p>
            <w:pPr>
              <w:keepNext/>
              <w:rPr>
                <w:noProof/>
                <w:sz w:val="18"/>
                <w:szCs w:val="18"/>
              </w:rPr>
            </w:pPr>
          </w:p>
        </w:tc>
        <w:tc>
          <w:tcPr>
            <w:tcW w:w="721" w:type="dxa"/>
            <w:vAlign w:val="center"/>
          </w:tcPr>
          <w:p>
            <w:pPr>
              <w:keepNext/>
              <w:jc w:val="center"/>
              <w:rPr>
                <w:noProof/>
                <w:sz w:val="18"/>
                <w:szCs w:val="18"/>
              </w:rPr>
            </w:pPr>
            <w:r>
              <w:rPr>
                <w:noProof/>
                <w:sz w:val="18"/>
              </w:rPr>
              <w:t>vrsta</w:t>
            </w:r>
            <w:r>
              <w:rPr>
                <w:rStyle w:val="FootnoteReference"/>
                <w:noProof/>
              </w:rPr>
              <w:footnoteReference w:id="105"/>
            </w:r>
          </w:p>
          <w:p>
            <w:pPr>
              <w:keepNext/>
              <w:spacing w:before="0" w:after="0"/>
              <w:jc w:val="center"/>
              <w:rPr>
                <w:noProof/>
                <w:sz w:val="18"/>
                <w:szCs w:val="18"/>
              </w:rPr>
            </w:pPr>
          </w:p>
        </w:tc>
        <w:tc>
          <w:tcPr>
            <w:tcW w:w="659" w:type="dxa"/>
            <w:tcBorders>
              <w:right w:val="single" w:sz="4" w:space="0" w:color="auto"/>
            </w:tcBorders>
            <w:vAlign w:val="center"/>
          </w:tcPr>
          <w:p>
            <w:pPr>
              <w:keepNext/>
              <w:jc w:val="center"/>
              <w:rPr>
                <w:noProof/>
                <w:sz w:val="18"/>
                <w:szCs w:val="18"/>
              </w:rPr>
            </w:pPr>
            <w:r>
              <w:rPr>
                <w:noProof/>
                <w:sz w:val="18"/>
              </w:rPr>
              <w:t>povprečni stroški</w:t>
            </w:r>
          </w:p>
        </w:tc>
        <w:tc>
          <w:tcPr>
            <w:tcW w:w="303" w:type="dxa"/>
            <w:tcBorders>
              <w:top w:val="dotted" w:sz="4" w:space="0" w:color="auto"/>
              <w:left w:val="single" w:sz="4" w:space="0" w:color="auto"/>
              <w:bottom w:val="dotted" w:sz="4" w:space="0" w:color="auto"/>
              <w:right w:val="nil"/>
            </w:tcBorders>
            <w:shd w:val="pct10" w:color="auto" w:fill="auto"/>
            <w:textDirection w:val="btLr"/>
            <w:vAlign w:val="center"/>
          </w:tcPr>
          <w:p>
            <w:pPr>
              <w:keepNext/>
              <w:ind w:left="113" w:right="113"/>
              <w:jc w:val="center"/>
              <w:rPr>
                <w:noProof/>
                <w:sz w:val="18"/>
              </w:rPr>
            </w:pPr>
            <w:r>
              <w:rPr>
                <w:noProof/>
                <w:sz w:val="18"/>
              </w:rPr>
              <w:t>število</w:t>
            </w:r>
          </w:p>
        </w:tc>
        <w:tc>
          <w:tcPr>
            <w:tcW w:w="867" w:type="dxa"/>
            <w:tcBorders>
              <w:left w:val="nil"/>
              <w:right w:val="single" w:sz="4" w:space="0" w:color="auto"/>
            </w:tcBorders>
            <w:shd w:val="pct10" w:color="auto" w:fill="auto"/>
            <w:vAlign w:val="center"/>
          </w:tcPr>
          <w:p>
            <w:pPr>
              <w:keepNext/>
              <w:jc w:val="center"/>
              <w:rPr>
                <w:noProof/>
                <w:sz w:val="18"/>
              </w:rPr>
            </w:pPr>
            <w:r>
              <w:rPr>
                <w:noProof/>
                <w:sz w:val="18"/>
              </w:rPr>
              <w:t>stroški</w:t>
            </w:r>
          </w:p>
        </w:tc>
        <w:tc>
          <w:tcPr>
            <w:tcW w:w="330" w:type="dxa"/>
            <w:tcBorders>
              <w:left w:val="single" w:sz="4" w:space="0" w:color="auto"/>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840"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840"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840"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672"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720"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840"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w:t>
            </w:r>
          </w:p>
        </w:tc>
        <w:tc>
          <w:tcPr>
            <w:tcW w:w="733" w:type="dxa"/>
            <w:tcBorders>
              <w:left w:val="dashSmallGap" w:sz="4" w:space="0" w:color="auto"/>
            </w:tcBorders>
            <w:shd w:val="pct10" w:color="auto" w:fill="auto"/>
            <w:vAlign w:val="center"/>
          </w:tcPr>
          <w:p>
            <w:pPr>
              <w:keepNext/>
              <w:jc w:val="center"/>
              <w:rPr>
                <w:noProof/>
                <w:sz w:val="18"/>
                <w:szCs w:val="18"/>
              </w:rPr>
            </w:pPr>
            <w:r>
              <w:rPr>
                <w:noProof/>
                <w:sz w:val="18"/>
              </w:rPr>
              <w:t>stroški</w:t>
            </w:r>
          </w:p>
        </w:tc>
        <w:tc>
          <w:tcPr>
            <w:tcW w:w="284" w:type="dxa"/>
            <w:tcBorders>
              <w:right w:val="dashSmallGap" w:sz="4" w:space="0" w:color="auto"/>
            </w:tcBorders>
            <w:shd w:val="pct10" w:color="auto" w:fill="auto"/>
            <w:textDirection w:val="btLr"/>
            <w:vAlign w:val="center"/>
          </w:tcPr>
          <w:p>
            <w:pPr>
              <w:keepNext/>
              <w:ind w:left="113" w:right="113"/>
              <w:jc w:val="center"/>
              <w:rPr>
                <w:noProof/>
                <w:sz w:val="18"/>
              </w:rPr>
            </w:pPr>
            <w:r>
              <w:rPr>
                <w:noProof/>
                <w:sz w:val="18"/>
              </w:rPr>
              <w:t>število</w:t>
            </w:r>
          </w:p>
        </w:tc>
        <w:tc>
          <w:tcPr>
            <w:tcW w:w="850" w:type="dxa"/>
            <w:tcBorders>
              <w:left w:val="dashSmallGap" w:sz="4" w:space="0" w:color="auto"/>
            </w:tcBorders>
            <w:shd w:val="pct10" w:color="auto" w:fill="auto"/>
            <w:vAlign w:val="center"/>
          </w:tcPr>
          <w:p>
            <w:pPr>
              <w:keepNext/>
              <w:jc w:val="center"/>
              <w:rPr>
                <w:noProof/>
                <w:sz w:val="18"/>
              </w:rPr>
            </w:pPr>
            <w:r>
              <w:rPr>
                <w:noProof/>
                <w:sz w:val="18"/>
              </w:rPr>
              <w:t>stroški</w:t>
            </w:r>
          </w:p>
        </w:tc>
        <w:tc>
          <w:tcPr>
            <w:tcW w:w="709" w:type="dxa"/>
            <w:tcBorders>
              <w:right w:val="dashSmallGap" w:sz="4" w:space="0" w:color="auto"/>
            </w:tcBorders>
            <w:shd w:val="pct10" w:color="auto" w:fill="auto"/>
            <w:textDirection w:val="btLr"/>
            <w:vAlign w:val="center"/>
          </w:tcPr>
          <w:p>
            <w:pPr>
              <w:keepNext/>
              <w:ind w:left="113" w:right="113"/>
              <w:jc w:val="center"/>
              <w:rPr>
                <w:noProof/>
                <w:sz w:val="18"/>
                <w:szCs w:val="18"/>
              </w:rPr>
            </w:pPr>
            <w:r>
              <w:rPr>
                <w:noProof/>
                <w:sz w:val="18"/>
              </w:rPr>
              <w:t>število realizacij skupaj</w:t>
            </w:r>
          </w:p>
        </w:tc>
        <w:tc>
          <w:tcPr>
            <w:tcW w:w="1144" w:type="dxa"/>
            <w:tcBorders>
              <w:left w:val="dashSmallGap" w:sz="4" w:space="0" w:color="auto"/>
              <w:right w:val="single" w:sz="12" w:space="0" w:color="auto"/>
            </w:tcBorders>
            <w:shd w:val="pct10" w:color="auto" w:fill="auto"/>
            <w:vAlign w:val="center"/>
          </w:tcPr>
          <w:p>
            <w:pPr>
              <w:keepNext/>
              <w:jc w:val="center"/>
              <w:rPr>
                <w:noProof/>
                <w:sz w:val="18"/>
                <w:szCs w:val="18"/>
              </w:rPr>
            </w:pPr>
            <w:r>
              <w:rPr>
                <w:noProof/>
                <w:sz w:val="18"/>
              </w:rPr>
              <w:t>stroški realizacij skupaj</w:t>
            </w:r>
          </w:p>
        </w:tc>
      </w:tr>
      <w:tr>
        <w:trPr>
          <w:jc w:val="center"/>
        </w:trPr>
        <w:tc>
          <w:tcPr>
            <w:tcW w:w="2802" w:type="dxa"/>
            <w:gridSpan w:val="3"/>
            <w:tcBorders>
              <w:left w:val="single" w:sz="12" w:space="0" w:color="auto"/>
            </w:tcBorders>
            <w:vAlign w:val="center"/>
          </w:tcPr>
          <w:p>
            <w:pPr>
              <w:keepNext/>
              <w:spacing w:before="60" w:after="60"/>
              <w:ind w:right="-29"/>
              <w:jc w:val="center"/>
              <w:rPr>
                <w:noProof/>
                <w:sz w:val="18"/>
              </w:rPr>
            </w:pPr>
            <w:r>
              <w:rPr>
                <w:noProof/>
                <w:sz w:val="18"/>
              </w:rPr>
              <w:t>SPECIFIČNI CILJ št. 7</w:t>
            </w:r>
            <w:r>
              <w:rPr>
                <w:rStyle w:val="FootnoteReference"/>
                <w:noProof/>
              </w:rPr>
              <w:footnoteReference w:id="106"/>
            </w:r>
          </w:p>
          <w:p>
            <w:pPr>
              <w:keepNext/>
              <w:spacing w:before="60" w:after="60"/>
              <w:ind w:right="-29"/>
              <w:jc w:val="center"/>
              <w:rPr>
                <w:noProof/>
                <w:sz w:val="18"/>
                <w:szCs w:val="18"/>
              </w:rPr>
            </w:pPr>
            <w:r>
              <w:rPr>
                <w:noProof/>
                <w:sz w:val="18"/>
              </w:rPr>
              <w:t>Visoka dostopnost sistema ECRIS-TCN</w:t>
            </w:r>
          </w:p>
        </w:tc>
        <w:tc>
          <w:tcPr>
            <w:tcW w:w="303" w:type="dxa"/>
            <w:tcBorders>
              <w:right w:val="nil"/>
            </w:tcBorders>
          </w:tcPr>
          <w:p>
            <w:pPr>
              <w:keepNext/>
              <w:spacing w:before="60" w:after="60"/>
              <w:ind w:right="-29"/>
              <w:jc w:val="center"/>
              <w:rPr>
                <w:noProof/>
                <w:sz w:val="18"/>
                <w:szCs w:val="18"/>
              </w:rPr>
            </w:pPr>
          </w:p>
        </w:tc>
        <w:tc>
          <w:tcPr>
            <w:tcW w:w="867" w:type="dxa"/>
            <w:tcBorders>
              <w:left w:val="nil"/>
              <w:bottom w:val="single" w:sz="4" w:space="0" w:color="auto"/>
            </w:tcBorders>
          </w:tcPr>
          <w:p>
            <w:pPr>
              <w:keepNext/>
              <w:spacing w:before="60" w:after="60"/>
              <w:ind w:right="-29"/>
              <w:jc w:val="center"/>
              <w:rPr>
                <w:noProof/>
                <w:sz w:val="18"/>
                <w:szCs w:val="18"/>
              </w:rPr>
            </w:pPr>
          </w:p>
        </w:tc>
        <w:tc>
          <w:tcPr>
            <w:tcW w:w="330" w:type="dxa"/>
            <w:tcBorders>
              <w:top w:val="nil"/>
              <w:left w:val="nil"/>
              <w:bottom w:val="nil"/>
              <w:right w:val="nil"/>
            </w:tcBorders>
          </w:tcPr>
          <w:p>
            <w:pPr>
              <w:keepNext/>
              <w:spacing w:before="60" w:after="60"/>
              <w:ind w:right="-29"/>
              <w:jc w:val="center"/>
              <w:rPr>
                <w:noProof/>
                <w:sz w:val="18"/>
                <w:szCs w:val="18"/>
              </w:rPr>
            </w:pPr>
          </w:p>
        </w:tc>
        <w:tc>
          <w:tcPr>
            <w:tcW w:w="840" w:type="dxa"/>
            <w:tcBorders>
              <w:top w:val="nil"/>
              <w:left w:val="nil"/>
              <w:bottom w:val="nil"/>
              <w:right w:val="nil"/>
            </w:tcBorders>
          </w:tcPr>
          <w:p>
            <w:pPr>
              <w:keepNext/>
              <w:spacing w:before="60" w:after="60"/>
              <w:ind w:right="-29"/>
              <w:jc w:val="center"/>
              <w:rPr>
                <w:noProof/>
                <w:sz w:val="18"/>
                <w:szCs w:val="18"/>
              </w:rPr>
            </w:pPr>
          </w:p>
        </w:tc>
        <w:tc>
          <w:tcPr>
            <w:tcW w:w="360" w:type="dxa"/>
            <w:tcBorders>
              <w:top w:val="nil"/>
              <w:left w:val="nil"/>
              <w:bottom w:val="nil"/>
              <w:right w:val="nil"/>
            </w:tcBorders>
          </w:tcPr>
          <w:p>
            <w:pPr>
              <w:keepNext/>
              <w:spacing w:before="60" w:after="60"/>
              <w:ind w:right="-29"/>
              <w:jc w:val="center"/>
              <w:rPr>
                <w:noProof/>
                <w:sz w:val="18"/>
                <w:szCs w:val="18"/>
              </w:rPr>
            </w:pPr>
          </w:p>
        </w:tc>
        <w:tc>
          <w:tcPr>
            <w:tcW w:w="840" w:type="dxa"/>
            <w:tcBorders>
              <w:top w:val="nil"/>
              <w:left w:val="nil"/>
              <w:bottom w:val="nil"/>
              <w:right w:val="nil"/>
            </w:tcBorders>
          </w:tcPr>
          <w:p>
            <w:pPr>
              <w:keepNext/>
              <w:spacing w:before="60" w:after="60"/>
              <w:ind w:right="-29"/>
              <w:jc w:val="center"/>
              <w:rPr>
                <w:noProof/>
                <w:sz w:val="18"/>
                <w:szCs w:val="18"/>
              </w:rPr>
            </w:pPr>
          </w:p>
        </w:tc>
        <w:tc>
          <w:tcPr>
            <w:tcW w:w="360" w:type="dxa"/>
            <w:tcBorders>
              <w:top w:val="nil"/>
              <w:left w:val="nil"/>
              <w:bottom w:val="nil"/>
              <w:right w:val="nil"/>
            </w:tcBorders>
          </w:tcPr>
          <w:p>
            <w:pPr>
              <w:keepNext/>
              <w:spacing w:before="60" w:after="60"/>
              <w:ind w:right="-29"/>
              <w:jc w:val="center"/>
              <w:rPr>
                <w:noProof/>
                <w:sz w:val="18"/>
                <w:szCs w:val="18"/>
              </w:rPr>
            </w:pPr>
          </w:p>
        </w:tc>
        <w:tc>
          <w:tcPr>
            <w:tcW w:w="840" w:type="dxa"/>
            <w:tcBorders>
              <w:top w:val="nil"/>
              <w:left w:val="nil"/>
              <w:bottom w:val="nil"/>
              <w:right w:val="nil"/>
            </w:tcBorders>
          </w:tcPr>
          <w:p>
            <w:pPr>
              <w:keepNext/>
              <w:spacing w:before="60" w:after="60"/>
              <w:ind w:right="-29"/>
              <w:jc w:val="center"/>
              <w:rPr>
                <w:noProof/>
                <w:sz w:val="18"/>
                <w:szCs w:val="18"/>
              </w:rPr>
            </w:pPr>
          </w:p>
        </w:tc>
        <w:tc>
          <w:tcPr>
            <w:tcW w:w="360" w:type="dxa"/>
            <w:tcBorders>
              <w:top w:val="nil"/>
              <w:left w:val="nil"/>
              <w:bottom w:val="nil"/>
              <w:right w:val="nil"/>
            </w:tcBorders>
          </w:tcPr>
          <w:p>
            <w:pPr>
              <w:keepNext/>
              <w:spacing w:before="60" w:after="60"/>
              <w:ind w:right="-29"/>
              <w:jc w:val="center"/>
              <w:rPr>
                <w:noProof/>
                <w:sz w:val="18"/>
                <w:szCs w:val="18"/>
              </w:rPr>
            </w:pPr>
          </w:p>
        </w:tc>
        <w:tc>
          <w:tcPr>
            <w:tcW w:w="672" w:type="dxa"/>
            <w:tcBorders>
              <w:top w:val="nil"/>
              <w:left w:val="nil"/>
              <w:bottom w:val="nil"/>
              <w:right w:val="nil"/>
            </w:tcBorders>
          </w:tcPr>
          <w:p>
            <w:pPr>
              <w:keepNext/>
              <w:spacing w:before="60" w:after="60"/>
              <w:ind w:right="-29"/>
              <w:jc w:val="center"/>
              <w:rPr>
                <w:noProof/>
                <w:sz w:val="18"/>
                <w:szCs w:val="18"/>
              </w:rPr>
            </w:pPr>
          </w:p>
        </w:tc>
        <w:tc>
          <w:tcPr>
            <w:tcW w:w="360" w:type="dxa"/>
            <w:tcBorders>
              <w:top w:val="nil"/>
              <w:left w:val="nil"/>
              <w:bottom w:val="nil"/>
              <w:right w:val="nil"/>
            </w:tcBorders>
          </w:tcPr>
          <w:p>
            <w:pPr>
              <w:keepNext/>
              <w:spacing w:before="60" w:after="60"/>
              <w:ind w:right="-29"/>
              <w:jc w:val="center"/>
              <w:rPr>
                <w:noProof/>
                <w:sz w:val="18"/>
                <w:szCs w:val="18"/>
              </w:rPr>
            </w:pPr>
          </w:p>
        </w:tc>
        <w:tc>
          <w:tcPr>
            <w:tcW w:w="720" w:type="dxa"/>
            <w:tcBorders>
              <w:top w:val="nil"/>
              <w:left w:val="nil"/>
              <w:bottom w:val="nil"/>
              <w:right w:val="nil"/>
            </w:tcBorders>
          </w:tcPr>
          <w:p>
            <w:pPr>
              <w:keepNext/>
              <w:spacing w:before="60" w:after="60"/>
              <w:ind w:right="-29"/>
              <w:jc w:val="center"/>
              <w:rPr>
                <w:noProof/>
                <w:sz w:val="18"/>
                <w:szCs w:val="18"/>
              </w:rPr>
            </w:pPr>
          </w:p>
        </w:tc>
        <w:tc>
          <w:tcPr>
            <w:tcW w:w="360" w:type="dxa"/>
            <w:tcBorders>
              <w:top w:val="nil"/>
              <w:left w:val="nil"/>
              <w:bottom w:val="nil"/>
              <w:right w:val="nil"/>
            </w:tcBorders>
          </w:tcPr>
          <w:p>
            <w:pPr>
              <w:keepNext/>
              <w:spacing w:before="60" w:after="60"/>
              <w:ind w:right="-29"/>
              <w:jc w:val="center"/>
              <w:rPr>
                <w:noProof/>
                <w:sz w:val="18"/>
                <w:szCs w:val="18"/>
              </w:rPr>
            </w:pPr>
          </w:p>
        </w:tc>
        <w:tc>
          <w:tcPr>
            <w:tcW w:w="840" w:type="dxa"/>
            <w:tcBorders>
              <w:top w:val="nil"/>
              <w:left w:val="nil"/>
              <w:bottom w:val="nil"/>
              <w:right w:val="nil"/>
            </w:tcBorders>
          </w:tcPr>
          <w:p>
            <w:pPr>
              <w:keepNext/>
              <w:spacing w:before="60" w:after="60"/>
              <w:ind w:right="-29"/>
              <w:jc w:val="center"/>
              <w:rPr>
                <w:noProof/>
                <w:sz w:val="18"/>
                <w:szCs w:val="18"/>
              </w:rPr>
            </w:pPr>
          </w:p>
        </w:tc>
        <w:tc>
          <w:tcPr>
            <w:tcW w:w="360" w:type="dxa"/>
            <w:tcBorders>
              <w:top w:val="nil"/>
              <w:left w:val="nil"/>
              <w:bottom w:val="nil"/>
              <w:right w:val="nil"/>
            </w:tcBorders>
          </w:tcPr>
          <w:p>
            <w:pPr>
              <w:keepNext/>
              <w:spacing w:before="60" w:after="60"/>
              <w:ind w:right="-29"/>
              <w:jc w:val="center"/>
              <w:rPr>
                <w:noProof/>
                <w:sz w:val="18"/>
                <w:szCs w:val="18"/>
              </w:rPr>
            </w:pPr>
          </w:p>
        </w:tc>
        <w:tc>
          <w:tcPr>
            <w:tcW w:w="733" w:type="dxa"/>
            <w:tcBorders>
              <w:top w:val="nil"/>
              <w:left w:val="nil"/>
              <w:bottom w:val="nil"/>
              <w:right w:val="nil"/>
            </w:tcBorders>
          </w:tcPr>
          <w:p>
            <w:pPr>
              <w:keepNext/>
              <w:spacing w:before="60" w:after="60"/>
              <w:ind w:right="-29"/>
              <w:jc w:val="center"/>
              <w:rPr>
                <w:noProof/>
                <w:sz w:val="18"/>
                <w:szCs w:val="18"/>
              </w:rPr>
            </w:pPr>
          </w:p>
        </w:tc>
        <w:tc>
          <w:tcPr>
            <w:tcW w:w="1134" w:type="dxa"/>
            <w:gridSpan w:val="2"/>
            <w:tcBorders>
              <w:top w:val="nil"/>
              <w:left w:val="nil"/>
              <w:bottom w:val="nil"/>
              <w:right w:val="nil"/>
            </w:tcBorders>
          </w:tcPr>
          <w:p>
            <w:pPr>
              <w:keepNext/>
              <w:spacing w:before="60" w:after="60"/>
              <w:ind w:right="-29"/>
              <w:jc w:val="center"/>
              <w:rPr>
                <w:noProof/>
                <w:sz w:val="18"/>
                <w:szCs w:val="18"/>
              </w:rPr>
            </w:pPr>
          </w:p>
        </w:tc>
        <w:tc>
          <w:tcPr>
            <w:tcW w:w="709" w:type="dxa"/>
            <w:tcBorders>
              <w:top w:val="nil"/>
              <w:left w:val="nil"/>
              <w:bottom w:val="nil"/>
              <w:right w:val="nil"/>
            </w:tcBorders>
          </w:tcPr>
          <w:p>
            <w:pPr>
              <w:keepNext/>
              <w:spacing w:before="60" w:after="60"/>
              <w:ind w:right="-29"/>
              <w:jc w:val="center"/>
              <w:rPr>
                <w:noProof/>
                <w:sz w:val="18"/>
                <w:szCs w:val="18"/>
              </w:rPr>
            </w:pPr>
          </w:p>
        </w:tc>
        <w:tc>
          <w:tcPr>
            <w:tcW w:w="1144" w:type="dxa"/>
            <w:tcBorders>
              <w:top w:val="nil"/>
              <w:left w:val="nil"/>
              <w:bottom w:val="single" w:sz="4" w:space="0" w:color="auto"/>
              <w:right w:val="single" w:sz="12" w:space="0" w:color="auto"/>
            </w:tcBorders>
          </w:tcPr>
          <w:p>
            <w:pPr>
              <w:keepNext/>
              <w:spacing w:before="60" w:after="60"/>
              <w:ind w:right="-29"/>
              <w:jc w:val="center"/>
              <w:rPr>
                <w:noProof/>
                <w:sz w:val="18"/>
                <w:szCs w:val="18"/>
              </w:rPr>
            </w:pPr>
          </w:p>
        </w:tc>
      </w:tr>
      <w:tr>
        <w:trPr>
          <w:trHeight w:hRule="exact" w:val="604"/>
          <w:jc w:val="center"/>
        </w:trPr>
        <w:tc>
          <w:tcPr>
            <w:tcW w:w="1422" w:type="dxa"/>
            <w:tcBorders>
              <w:left w:val="single" w:sz="12" w:space="0" w:color="auto"/>
            </w:tcBorders>
          </w:tcPr>
          <w:p>
            <w:pPr>
              <w:ind w:right="-29"/>
              <w:jc w:val="center"/>
              <w:rPr>
                <w:noProof/>
                <w:sz w:val="18"/>
                <w:szCs w:val="18"/>
              </w:rPr>
            </w:pPr>
            <w:r>
              <w:rPr>
                <w:noProof/>
                <w:sz w:val="18"/>
              </w:rPr>
              <w:t>Visoko dostopen sistem</w:t>
            </w:r>
          </w:p>
        </w:tc>
        <w:tc>
          <w:tcPr>
            <w:tcW w:w="1380" w:type="dxa"/>
            <w:gridSpan w:val="2"/>
          </w:tcPr>
          <w:p>
            <w:pPr>
              <w:ind w:right="-29"/>
              <w:jc w:val="center"/>
              <w:rPr>
                <w:noProof/>
                <w:sz w:val="18"/>
                <w:szCs w:val="18"/>
              </w:rPr>
            </w:pPr>
            <w:r>
              <w:rPr>
                <w:noProof/>
                <w:sz w:val="18"/>
              </w:rPr>
              <w:t>Vzpostavitev sistema</w:t>
            </w:r>
          </w:p>
        </w:tc>
        <w:tc>
          <w:tcPr>
            <w:tcW w:w="303" w:type="dxa"/>
            <w:tcBorders>
              <w:right w:val="dashSmallGap" w:sz="4" w:space="0" w:color="auto"/>
            </w:tcBorders>
          </w:tcPr>
          <w:p>
            <w:pPr>
              <w:ind w:right="-29"/>
              <w:jc w:val="center"/>
              <w:rPr>
                <w:noProof/>
                <w:sz w:val="18"/>
                <w:szCs w:val="18"/>
              </w:rPr>
            </w:pPr>
          </w:p>
        </w:tc>
        <w:tc>
          <w:tcPr>
            <w:tcW w:w="867" w:type="dxa"/>
            <w:tcBorders>
              <w:left w:val="dashSmallGap" w:sz="4" w:space="0" w:color="auto"/>
              <w:bottom w:val="single" w:sz="4" w:space="0" w:color="auto"/>
            </w:tcBorders>
          </w:tcPr>
          <w:p>
            <w:pPr>
              <w:ind w:right="-29"/>
              <w:jc w:val="center"/>
              <w:rPr>
                <w:noProof/>
                <w:sz w:val="18"/>
                <w:szCs w:val="18"/>
              </w:rPr>
            </w:pPr>
            <w:r>
              <w:rPr>
                <w:noProof/>
                <w:sz w:val="18"/>
              </w:rPr>
              <w:t>0</w:t>
            </w:r>
          </w:p>
        </w:tc>
        <w:tc>
          <w:tcPr>
            <w:tcW w:w="33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r>
              <w:rPr>
                <w:noProof/>
                <w:sz w:val="18"/>
              </w:rPr>
              <w:t>0</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r>
              <w:rPr>
                <w:noProof/>
                <w:sz w:val="18"/>
              </w:rPr>
              <w:t>8,067</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p>
        </w:tc>
        <w:tc>
          <w:tcPr>
            <w:tcW w:w="360" w:type="dxa"/>
            <w:tcBorders>
              <w:right w:val="dashSmallGap" w:sz="4" w:space="0" w:color="auto"/>
            </w:tcBorders>
          </w:tcPr>
          <w:p>
            <w:pPr>
              <w:ind w:right="-29"/>
              <w:jc w:val="center"/>
              <w:rPr>
                <w:noProof/>
                <w:sz w:val="18"/>
                <w:szCs w:val="18"/>
              </w:rPr>
            </w:pPr>
          </w:p>
        </w:tc>
        <w:tc>
          <w:tcPr>
            <w:tcW w:w="672" w:type="dxa"/>
            <w:tcBorders>
              <w:left w:val="dashSmallGap" w:sz="4" w:space="0" w:color="auto"/>
            </w:tcBorders>
          </w:tcPr>
          <w:p>
            <w:pPr>
              <w:ind w:right="-29"/>
              <w:jc w:val="center"/>
              <w:rPr>
                <w:noProof/>
                <w:sz w:val="18"/>
                <w:szCs w:val="18"/>
              </w:rPr>
            </w:pPr>
          </w:p>
        </w:tc>
        <w:tc>
          <w:tcPr>
            <w:tcW w:w="36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tcBorders>
          </w:tcPr>
          <w:p>
            <w:pPr>
              <w:ind w:right="-29"/>
              <w:jc w:val="center"/>
              <w:rPr>
                <w:noProof/>
                <w:sz w:val="18"/>
                <w:szCs w:val="18"/>
              </w:rPr>
            </w:pPr>
          </w:p>
        </w:tc>
        <w:tc>
          <w:tcPr>
            <w:tcW w:w="360" w:type="dxa"/>
            <w:tcBorders>
              <w:right w:val="dashSmallGap" w:sz="4" w:space="0" w:color="auto"/>
            </w:tcBorders>
          </w:tcPr>
          <w:p>
            <w:pPr>
              <w:ind w:right="-29"/>
              <w:jc w:val="center"/>
              <w:rPr>
                <w:noProof/>
                <w:sz w:val="18"/>
                <w:szCs w:val="18"/>
              </w:rPr>
            </w:pPr>
          </w:p>
        </w:tc>
        <w:tc>
          <w:tcPr>
            <w:tcW w:w="733" w:type="dxa"/>
            <w:tcBorders>
              <w:left w:val="dashSmallGap" w:sz="4" w:space="0" w:color="auto"/>
            </w:tcBorders>
          </w:tcPr>
          <w:p>
            <w:pPr>
              <w:ind w:right="-29"/>
              <w:jc w:val="center"/>
              <w:rPr>
                <w:noProof/>
                <w:sz w:val="18"/>
                <w:szCs w:val="18"/>
              </w:rPr>
            </w:pPr>
          </w:p>
        </w:tc>
        <w:tc>
          <w:tcPr>
            <w:tcW w:w="284" w:type="dxa"/>
            <w:tcBorders>
              <w:right w:val="dashSmallGap" w:sz="4" w:space="0" w:color="auto"/>
            </w:tcBorders>
          </w:tcPr>
          <w:p>
            <w:pPr>
              <w:ind w:right="-29"/>
              <w:jc w:val="center"/>
              <w:rPr>
                <w:noProof/>
                <w:sz w:val="18"/>
                <w:szCs w:val="18"/>
              </w:rPr>
            </w:pPr>
          </w:p>
        </w:tc>
        <w:tc>
          <w:tcPr>
            <w:tcW w:w="850" w:type="dxa"/>
            <w:tcBorders>
              <w:left w:val="dashSmallGap" w:sz="4" w:space="0" w:color="auto"/>
              <w:bottom w:val="single" w:sz="4" w:space="0" w:color="auto"/>
            </w:tcBorders>
          </w:tcPr>
          <w:p>
            <w:pPr>
              <w:ind w:right="-29"/>
              <w:jc w:val="center"/>
              <w:rPr>
                <w:noProof/>
                <w:sz w:val="18"/>
                <w:szCs w:val="18"/>
              </w:rPr>
            </w:pPr>
            <w:r>
              <w:rPr>
                <w:noProof/>
                <w:sz w:val="18"/>
              </w:rPr>
              <w:t>0</w:t>
            </w:r>
          </w:p>
        </w:tc>
        <w:tc>
          <w:tcPr>
            <w:tcW w:w="709" w:type="dxa"/>
            <w:tcBorders>
              <w:right w:val="dashSmallGap" w:sz="4" w:space="0" w:color="auto"/>
            </w:tcBorders>
          </w:tcPr>
          <w:p>
            <w:pPr>
              <w:ind w:right="-29"/>
              <w:jc w:val="center"/>
              <w:rPr>
                <w:noProof/>
                <w:sz w:val="18"/>
                <w:szCs w:val="18"/>
              </w:rPr>
            </w:pPr>
          </w:p>
        </w:tc>
        <w:tc>
          <w:tcPr>
            <w:tcW w:w="1144" w:type="dxa"/>
            <w:tcBorders>
              <w:left w:val="dashSmallGap" w:sz="4" w:space="0" w:color="auto"/>
              <w:bottom w:val="single" w:sz="4" w:space="0" w:color="auto"/>
              <w:right w:val="single" w:sz="12" w:space="0" w:color="auto"/>
            </w:tcBorders>
          </w:tcPr>
          <w:p>
            <w:pPr>
              <w:ind w:right="-29"/>
              <w:jc w:val="center"/>
              <w:rPr>
                <w:noProof/>
                <w:sz w:val="18"/>
                <w:szCs w:val="18"/>
              </w:rPr>
            </w:pPr>
            <w:r>
              <w:rPr>
                <w:noProof/>
                <w:sz w:val="18"/>
              </w:rPr>
              <w:t>8,067</w:t>
            </w:r>
          </w:p>
        </w:tc>
      </w:tr>
      <w:tr>
        <w:trPr>
          <w:trHeight w:hRule="exact" w:val="844"/>
          <w:jc w:val="center"/>
        </w:trPr>
        <w:tc>
          <w:tcPr>
            <w:tcW w:w="1422" w:type="dxa"/>
            <w:tcBorders>
              <w:left w:val="single" w:sz="12" w:space="0" w:color="auto"/>
            </w:tcBorders>
          </w:tcPr>
          <w:p>
            <w:pPr>
              <w:ind w:right="-29"/>
              <w:jc w:val="center"/>
              <w:rPr>
                <w:noProof/>
                <w:sz w:val="18"/>
                <w:szCs w:val="18"/>
              </w:rPr>
            </w:pPr>
            <w:r>
              <w:rPr>
                <w:noProof/>
                <w:sz w:val="18"/>
              </w:rPr>
              <w:t>Delovanje v načinu visoke dostopnosti</w:t>
            </w:r>
          </w:p>
        </w:tc>
        <w:tc>
          <w:tcPr>
            <w:tcW w:w="1380" w:type="dxa"/>
            <w:gridSpan w:val="2"/>
          </w:tcPr>
          <w:p>
            <w:pPr>
              <w:ind w:right="-29"/>
              <w:jc w:val="center"/>
              <w:rPr>
                <w:noProof/>
                <w:sz w:val="18"/>
                <w:szCs w:val="18"/>
              </w:rPr>
            </w:pPr>
            <w:r>
              <w:rPr>
                <w:noProof/>
                <w:sz w:val="18"/>
              </w:rPr>
              <w:t xml:space="preserve">Vzdrževanje in upravljanje sistema </w:t>
            </w:r>
          </w:p>
        </w:tc>
        <w:tc>
          <w:tcPr>
            <w:tcW w:w="303" w:type="dxa"/>
            <w:tcBorders>
              <w:right w:val="dashSmallGap" w:sz="4" w:space="0" w:color="auto"/>
            </w:tcBorders>
          </w:tcPr>
          <w:p>
            <w:pPr>
              <w:ind w:right="-29"/>
              <w:jc w:val="center"/>
              <w:rPr>
                <w:noProof/>
                <w:sz w:val="18"/>
                <w:szCs w:val="18"/>
              </w:rPr>
            </w:pPr>
          </w:p>
        </w:tc>
        <w:tc>
          <w:tcPr>
            <w:tcW w:w="867" w:type="dxa"/>
            <w:tcBorders>
              <w:left w:val="dashSmallGap" w:sz="4" w:space="0" w:color="auto"/>
              <w:bottom w:val="single" w:sz="4" w:space="0" w:color="auto"/>
            </w:tcBorders>
          </w:tcPr>
          <w:p>
            <w:pPr>
              <w:ind w:right="-29"/>
              <w:jc w:val="center"/>
              <w:rPr>
                <w:noProof/>
                <w:sz w:val="18"/>
                <w:szCs w:val="18"/>
              </w:rPr>
            </w:pPr>
            <w:r>
              <w:rPr>
                <w:noProof/>
                <w:sz w:val="18"/>
              </w:rPr>
              <w:t>0</w:t>
            </w:r>
          </w:p>
        </w:tc>
        <w:tc>
          <w:tcPr>
            <w:tcW w:w="330" w:type="dxa"/>
            <w:tcBorders>
              <w:right w:val="dashSmallGap" w:sz="4" w:space="0" w:color="auto"/>
            </w:tcBorders>
          </w:tcPr>
          <w:p>
            <w:pPr>
              <w:ind w:right="-29"/>
              <w:jc w:val="center"/>
              <w:rPr>
                <w:noProof/>
                <w:sz w:val="18"/>
                <w:szCs w:val="18"/>
              </w:rPr>
            </w:pPr>
          </w:p>
        </w:tc>
        <w:tc>
          <w:tcPr>
            <w:tcW w:w="840" w:type="dxa"/>
            <w:tcBorders>
              <w:left w:val="dashSmallGap" w:sz="4" w:space="0" w:color="auto"/>
              <w:bottom w:val="single" w:sz="4" w:space="0" w:color="auto"/>
            </w:tcBorders>
          </w:tcPr>
          <w:p>
            <w:pPr>
              <w:ind w:right="-29"/>
              <w:jc w:val="center"/>
              <w:rPr>
                <w:noProof/>
                <w:sz w:val="18"/>
                <w:szCs w:val="18"/>
              </w:rPr>
            </w:pPr>
            <w:r>
              <w:rPr>
                <w:noProof/>
                <w:sz w:val="18"/>
              </w:rPr>
              <w:t>0</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bottom w:val="single" w:sz="4" w:space="0" w:color="auto"/>
            </w:tcBorders>
          </w:tcPr>
          <w:p>
            <w:pPr>
              <w:ind w:right="-29"/>
              <w:jc w:val="center"/>
              <w:rPr>
                <w:noProof/>
                <w:sz w:val="18"/>
                <w:szCs w:val="18"/>
              </w:rPr>
            </w:pPr>
            <w:r>
              <w:rPr>
                <w:noProof/>
                <w:sz w:val="18"/>
              </w:rPr>
              <w:t>0</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bottom w:val="single" w:sz="4" w:space="0" w:color="auto"/>
            </w:tcBorders>
          </w:tcPr>
          <w:p>
            <w:pPr>
              <w:ind w:right="-29"/>
              <w:jc w:val="center"/>
              <w:rPr>
                <w:noProof/>
                <w:sz w:val="18"/>
                <w:szCs w:val="18"/>
              </w:rPr>
            </w:pPr>
            <w:r>
              <w:rPr>
                <w:noProof/>
                <w:sz w:val="18"/>
              </w:rPr>
              <w:t>1,768</w:t>
            </w:r>
          </w:p>
        </w:tc>
        <w:tc>
          <w:tcPr>
            <w:tcW w:w="360" w:type="dxa"/>
            <w:tcBorders>
              <w:right w:val="dashSmallGap" w:sz="4" w:space="0" w:color="auto"/>
            </w:tcBorders>
          </w:tcPr>
          <w:p>
            <w:pPr>
              <w:ind w:right="-29"/>
              <w:jc w:val="center"/>
              <w:rPr>
                <w:noProof/>
                <w:sz w:val="18"/>
                <w:szCs w:val="18"/>
              </w:rPr>
            </w:pPr>
          </w:p>
        </w:tc>
        <w:tc>
          <w:tcPr>
            <w:tcW w:w="672" w:type="dxa"/>
            <w:tcBorders>
              <w:left w:val="dashSmallGap" w:sz="4" w:space="0" w:color="auto"/>
              <w:bottom w:val="single" w:sz="4" w:space="0" w:color="auto"/>
            </w:tcBorders>
          </w:tcPr>
          <w:p>
            <w:pPr>
              <w:ind w:right="-29"/>
              <w:jc w:val="center"/>
              <w:rPr>
                <w:noProof/>
                <w:sz w:val="18"/>
                <w:szCs w:val="18"/>
              </w:rPr>
            </w:pPr>
            <w:r>
              <w:rPr>
                <w:noProof/>
                <w:sz w:val="18"/>
              </w:rPr>
              <w:t>1,768</w:t>
            </w:r>
          </w:p>
        </w:tc>
        <w:tc>
          <w:tcPr>
            <w:tcW w:w="360" w:type="dxa"/>
            <w:tcBorders>
              <w:right w:val="dashSmallGap" w:sz="4" w:space="0" w:color="auto"/>
            </w:tcBorders>
          </w:tcPr>
          <w:p>
            <w:pPr>
              <w:ind w:right="-29"/>
              <w:jc w:val="center"/>
              <w:rPr>
                <w:noProof/>
                <w:sz w:val="18"/>
                <w:szCs w:val="18"/>
              </w:rPr>
            </w:pPr>
          </w:p>
        </w:tc>
        <w:tc>
          <w:tcPr>
            <w:tcW w:w="720" w:type="dxa"/>
            <w:tcBorders>
              <w:left w:val="dashSmallGap" w:sz="4" w:space="0" w:color="auto"/>
              <w:bottom w:val="single" w:sz="4" w:space="0" w:color="auto"/>
            </w:tcBorders>
          </w:tcPr>
          <w:p>
            <w:pPr>
              <w:ind w:right="-29"/>
              <w:jc w:val="center"/>
              <w:rPr>
                <w:noProof/>
                <w:sz w:val="18"/>
                <w:szCs w:val="18"/>
              </w:rPr>
            </w:pPr>
            <w:r>
              <w:rPr>
                <w:noProof/>
                <w:sz w:val="18"/>
              </w:rPr>
              <w:t>1,768</w:t>
            </w:r>
          </w:p>
        </w:tc>
        <w:tc>
          <w:tcPr>
            <w:tcW w:w="360" w:type="dxa"/>
            <w:tcBorders>
              <w:right w:val="dashSmallGap" w:sz="4" w:space="0" w:color="auto"/>
            </w:tcBorders>
          </w:tcPr>
          <w:p>
            <w:pPr>
              <w:ind w:right="-29"/>
              <w:jc w:val="center"/>
              <w:rPr>
                <w:noProof/>
                <w:sz w:val="18"/>
                <w:szCs w:val="18"/>
              </w:rPr>
            </w:pPr>
          </w:p>
        </w:tc>
        <w:tc>
          <w:tcPr>
            <w:tcW w:w="840" w:type="dxa"/>
            <w:tcBorders>
              <w:left w:val="dashSmallGap" w:sz="4" w:space="0" w:color="auto"/>
              <w:bottom w:val="single" w:sz="4" w:space="0" w:color="auto"/>
            </w:tcBorders>
          </w:tcPr>
          <w:p>
            <w:pPr>
              <w:ind w:right="-29"/>
              <w:jc w:val="center"/>
              <w:rPr>
                <w:noProof/>
                <w:sz w:val="18"/>
                <w:szCs w:val="18"/>
              </w:rPr>
            </w:pPr>
            <w:r>
              <w:rPr>
                <w:noProof/>
                <w:sz w:val="18"/>
              </w:rPr>
              <w:t>1,768</w:t>
            </w:r>
          </w:p>
        </w:tc>
        <w:tc>
          <w:tcPr>
            <w:tcW w:w="360" w:type="dxa"/>
            <w:tcBorders>
              <w:right w:val="dashSmallGap" w:sz="4" w:space="0" w:color="auto"/>
            </w:tcBorders>
          </w:tcPr>
          <w:p>
            <w:pPr>
              <w:ind w:right="-29"/>
              <w:jc w:val="center"/>
              <w:rPr>
                <w:noProof/>
                <w:sz w:val="18"/>
                <w:szCs w:val="18"/>
              </w:rPr>
            </w:pPr>
          </w:p>
        </w:tc>
        <w:tc>
          <w:tcPr>
            <w:tcW w:w="733" w:type="dxa"/>
            <w:tcBorders>
              <w:left w:val="dashSmallGap" w:sz="4" w:space="0" w:color="auto"/>
              <w:bottom w:val="single" w:sz="4" w:space="0" w:color="auto"/>
            </w:tcBorders>
          </w:tcPr>
          <w:p>
            <w:pPr>
              <w:ind w:right="-29"/>
              <w:jc w:val="center"/>
              <w:rPr>
                <w:noProof/>
                <w:sz w:val="18"/>
                <w:szCs w:val="18"/>
              </w:rPr>
            </w:pPr>
            <w:r>
              <w:rPr>
                <w:noProof/>
                <w:sz w:val="18"/>
              </w:rPr>
              <w:t>1,768</w:t>
            </w:r>
          </w:p>
        </w:tc>
        <w:tc>
          <w:tcPr>
            <w:tcW w:w="284" w:type="dxa"/>
            <w:tcBorders>
              <w:right w:val="dashSmallGap" w:sz="4" w:space="0" w:color="auto"/>
            </w:tcBorders>
          </w:tcPr>
          <w:p>
            <w:pPr>
              <w:ind w:right="-29"/>
              <w:jc w:val="center"/>
              <w:rPr>
                <w:noProof/>
                <w:sz w:val="18"/>
                <w:szCs w:val="18"/>
              </w:rPr>
            </w:pPr>
          </w:p>
        </w:tc>
        <w:tc>
          <w:tcPr>
            <w:tcW w:w="850" w:type="dxa"/>
            <w:tcBorders>
              <w:left w:val="dashSmallGap" w:sz="4" w:space="0" w:color="auto"/>
              <w:bottom w:val="single" w:sz="4" w:space="0" w:color="auto"/>
            </w:tcBorders>
          </w:tcPr>
          <w:p>
            <w:pPr>
              <w:ind w:right="-29"/>
              <w:jc w:val="center"/>
              <w:rPr>
                <w:noProof/>
                <w:sz w:val="18"/>
                <w:szCs w:val="18"/>
              </w:rPr>
            </w:pPr>
            <w:r>
              <w:rPr>
                <w:noProof/>
                <w:sz w:val="18"/>
              </w:rPr>
              <w:t>1,768</w:t>
            </w:r>
          </w:p>
        </w:tc>
        <w:tc>
          <w:tcPr>
            <w:tcW w:w="709" w:type="dxa"/>
            <w:tcBorders>
              <w:right w:val="dashSmallGap" w:sz="4" w:space="0" w:color="auto"/>
            </w:tcBorders>
          </w:tcPr>
          <w:p>
            <w:pPr>
              <w:ind w:right="-29"/>
              <w:jc w:val="center"/>
              <w:rPr>
                <w:noProof/>
                <w:sz w:val="18"/>
                <w:szCs w:val="18"/>
              </w:rPr>
            </w:pPr>
          </w:p>
        </w:tc>
        <w:tc>
          <w:tcPr>
            <w:tcW w:w="1144" w:type="dxa"/>
            <w:tcBorders>
              <w:left w:val="dashSmallGap" w:sz="4" w:space="0" w:color="auto"/>
              <w:bottom w:val="single" w:sz="4" w:space="0" w:color="auto"/>
              <w:right w:val="single" w:sz="12" w:space="0" w:color="auto"/>
            </w:tcBorders>
          </w:tcPr>
          <w:p>
            <w:pPr>
              <w:ind w:right="-29"/>
              <w:jc w:val="center"/>
              <w:rPr>
                <w:noProof/>
                <w:sz w:val="18"/>
                <w:szCs w:val="18"/>
              </w:rPr>
            </w:pPr>
            <w:r>
              <w:rPr>
                <w:noProof/>
                <w:sz w:val="18"/>
              </w:rPr>
              <w:t>10,608</w:t>
            </w:r>
          </w:p>
        </w:tc>
      </w:tr>
      <w:tr>
        <w:trPr>
          <w:jc w:val="center"/>
        </w:trPr>
        <w:tc>
          <w:tcPr>
            <w:tcW w:w="2802" w:type="dxa"/>
            <w:gridSpan w:val="3"/>
            <w:tcBorders>
              <w:left w:val="single" w:sz="12" w:space="0" w:color="auto"/>
              <w:bottom w:val="single" w:sz="12" w:space="0" w:color="auto"/>
            </w:tcBorders>
            <w:vAlign w:val="center"/>
          </w:tcPr>
          <w:p>
            <w:pPr>
              <w:ind w:right="-29"/>
              <w:jc w:val="center"/>
              <w:rPr>
                <w:noProof/>
                <w:sz w:val="18"/>
                <w:szCs w:val="18"/>
              </w:rPr>
            </w:pPr>
            <w:r>
              <w:rPr>
                <w:noProof/>
                <w:sz w:val="18"/>
              </w:rPr>
              <w:t>Seštevek za specifični cilj št. 4</w:t>
            </w:r>
          </w:p>
        </w:tc>
        <w:tc>
          <w:tcPr>
            <w:tcW w:w="303" w:type="dxa"/>
            <w:tcBorders>
              <w:bottom w:val="single" w:sz="12" w:space="0" w:color="auto"/>
              <w:right w:val="dashSmallGap" w:sz="4" w:space="0" w:color="auto"/>
            </w:tcBorders>
          </w:tcPr>
          <w:p>
            <w:pPr>
              <w:ind w:right="-29"/>
              <w:jc w:val="center"/>
              <w:rPr>
                <w:noProof/>
                <w:sz w:val="18"/>
                <w:szCs w:val="18"/>
              </w:rPr>
            </w:pPr>
          </w:p>
        </w:tc>
        <w:tc>
          <w:tcPr>
            <w:tcW w:w="867" w:type="dxa"/>
            <w:tcBorders>
              <w:left w:val="dashSmallGap" w:sz="4" w:space="0" w:color="auto"/>
              <w:bottom w:val="single" w:sz="12" w:space="0" w:color="auto"/>
            </w:tcBorders>
          </w:tcPr>
          <w:p>
            <w:pPr>
              <w:ind w:right="-29"/>
              <w:jc w:val="center"/>
              <w:rPr>
                <w:b/>
                <w:noProof/>
                <w:sz w:val="18"/>
                <w:szCs w:val="18"/>
              </w:rPr>
            </w:pPr>
            <w:r>
              <w:rPr>
                <w:b/>
                <w:noProof/>
                <w:sz w:val="18"/>
              </w:rPr>
              <w:t>0</w:t>
            </w:r>
          </w:p>
        </w:tc>
        <w:tc>
          <w:tcPr>
            <w:tcW w:w="330" w:type="dxa"/>
            <w:tcBorders>
              <w:bottom w:val="single" w:sz="12" w:space="0" w:color="auto"/>
              <w:right w:val="dashSmallGap" w:sz="4" w:space="0" w:color="auto"/>
            </w:tcBorders>
          </w:tcPr>
          <w:p>
            <w:pPr>
              <w:ind w:right="-29"/>
              <w:jc w:val="center"/>
              <w:rPr>
                <w:noProof/>
                <w:sz w:val="18"/>
                <w:szCs w:val="18"/>
              </w:rPr>
            </w:pPr>
          </w:p>
        </w:tc>
        <w:tc>
          <w:tcPr>
            <w:tcW w:w="840" w:type="dxa"/>
            <w:tcBorders>
              <w:left w:val="dashSmallGap" w:sz="4" w:space="0" w:color="auto"/>
              <w:bottom w:val="single" w:sz="12" w:space="0" w:color="auto"/>
            </w:tcBorders>
          </w:tcPr>
          <w:p>
            <w:pPr>
              <w:ind w:right="-29"/>
              <w:jc w:val="center"/>
              <w:rPr>
                <w:b/>
                <w:noProof/>
                <w:sz w:val="18"/>
                <w:szCs w:val="18"/>
              </w:rPr>
            </w:pPr>
            <w:r>
              <w:rPr>
                <w:b/>
                <w:noProof/>
                <w:sz w:val="18"/>
              </w:rPr>
              <w:t>0</w:t>
            </w:r>
          </w:p>
        </w:tc>
        <w:tc>
          <w:tcPr>
            <w:tcW w:w="360" w:type="dxa"/>
            <w:tcBorders>
              <w:bottom w:val="single" w:sz="12" w:space="0" w:color="auto"/>
              <w:right w:val="dashSmallGap" w:sz="4" w:space="0" w:color="auto"/>
            </w:tcBorders>
          </w:tcPr>
          <w:p>
            <w:pPr>
              <w:ind w:right="-29"/>
              <w:jc w:val="center"/>
              <w:rPr>
                <w:noProof/>
                <w:sz w:val="18"/>
                <w:szCs w:val="18"/>
              </w:rPr>
            </w:pPr>
          </w:p>
        </w:tc>
        <w:tc>
          <w:tcPr>
            <w:tcW w:w="840" w:type="dxa"/>
            <w:tcBorders>
              <w:left w:val="dashSmallGap" w:sz="4" w:space="0" w:color="auto"/>
              <w:bottom w:val="single" w:sz="12" w:space="0" w:color="auto"/>
            </w:tcBorders>
          </w:tcPr>
          <w:p>
            <w:pPr>
              <w:ind w:right="-29"/>
              <w:jc w:val="center"/>
              <w:rPr>
                <w:b/>
                <w:noProof/>
                <w:sz w:val="18"/>
                <w:szCs w:val="18"/>
              </w:rPr>
            </w:pPr>
            <w:r>
              <w:rPr>
                <w:b/>
                <w:noProof/>
                <w:sz w:val="18"/>
              </w:rPr>
              <w:t>8,067</w:t>
            </w:r>
          </w:p>
        </w:tc>
        <w:tc>
          <w:tcPr>
            <w:tcW w:w="360" w:type="dxa"/>
            <w:tcBorders>
              <w:bottom w:val="single" w:sz="12" w:space="0" w:color="auto"/>
              <w:right w:val="dashSmallGap" w:sz="4" w:space="0" w:color="auto"/>
            </w:tcBorders>
          </w:tcPr>
          <w:p>
            <w:pPr>
              <w:ind w:right="-29"/>
              <w:jc w:val="center"/>
              <w:rPr>
                <w:noProof/>
                <w:sz w:val="18"/>
                <w:szCs w:val="18"/>
              </w:rPr>
            </w:pPr>
          </w:p>
        </w:tc>
        <w:tc>
          <w:tcPr>
            <w:tcW w:w="840" w:type="dxa"/>
            <w:tcBorders>
              <w:left w:val="dashSmallGap" w:sz="4" w:space="0" w:color="auto"/>
              <w:bottom w:val="single" w:sz="12" w:space="0" w:color="auto"/>
            </w:tcBorders>
          </w:tcPr>
          <w:p>
            <w:pPr>
              <w:ind w:right="-29"/>
              <w:jc w:val="center"/>
              <w:rPr>
                <w:b/>
                <w:noProof/>
                <w:sz w:val="18"/>
                <w:szCs w:val="18"/>
              </w:rPr>
            </w:pPr>
            <w:r>
              <w:rPr>
                <w:b/>
                <w:noProof/>
                <w:sz w:val="18"/>
              </w:rPr>
              <w:t>1,768</w:t>
            </w:r>
          </w:p>
        </w:tc>
        <w:tc>
          <w:tcPr>
            <w:tcW w:w="360" w:type="dxa"/>
            <w:tcBorders>
              <w:bottom w:val="single" w:sz="12" w:space="0" w:color="auto"/>
              <w:right w:val="dashSmallGap" w:sz="4" w:space="0" w:color="auto"/>
            </w:tcBorders>
          </w:tcPr>
          <w:p>
            <w:pPr>
              <w:ind w:right="-29"/>
              <w:jc w:val="center"/>
              <w:rPr>
                <w:noProof/>
                <w:sz w:val="18"/>
                <w:szCs w:val="18"/>
              </w:rPr>
            </w:pPr>
          </w:p>
        </w:tc>
        <w:tc>
          <w:tcPr>
            <w:tcW w:w="672" w:type="dxa"/>
            <w:tcBorders>
              <w:left w:val="dashSmallGap" w:sz="4" w:space="0" w:color="auto"/>
              <w:bottom w:val="single" w:sz="12" w:space="0" w:color="auto"/>
            </w:tcBorders>
          </w:tcPr>
          <w:p>
            <w:pPr>
              <w:ind w:right="-29"/>
              <w:rPr>
                <w:b/>
                <w:noProof/>
                <w:sz w:val="18"/>
                <w:szCs w:val="18"/>
              </w:rPr>
            </w:pPr>
            <w:r>
              <w:rPr>
                <w:b/>
                <w:noProof/>
                <w:sz w:val="18"/>
              </w:rPr>
              <w:t>1,768</w:t>
            </w:r>
          </w:p>
        </w:tc>
        <w:tc>
          <w:tcPr>
            <w:tcW w:w="360" w:type="dxa"/>
            <w:tcBorders>
              <w:bottom w:val="single" w:sz="12" w:space="0" w:color="auto"/>
              <w:right w:val="dashSmallGap" w:sz="4" w:space="0" w:color="auto"/>
            </w:tcBorders>
          </w:tcPr>
          <w:p>
            <w:pPr>
              <w:ind w:right="-29"/>
              <w:jc w:val="center"/>
              <w:rPr>
                <w:noProof/>
                <w:sz w:val="18"/>
                <w:szCs w:val="18"/>
              </w:rPr>
            </w:pPr>
          </w:p>
        </w:tc>
        <w:tc>
          <w:tcPr>
            <w:tcW w:w="720" w:type="dxa"/>
            <w:tcBorders>
              <w:left w:val="dashSmallGap" w:sz="4" w:space="0" w:color="auto"/>
              <w:bottom w:val="single" w:sz="12" w:space="0" w:color="auto"/>
            </w:tcBorders>
          </w:tcPr>
          <w:p>
            <w:pPr>
              <w:ind w:right="-29"/>
              <w:jc w:val="center"/>
              <w:rPr>
                <w:b/>
                <w:noProof/>
                <w:sz w:val="18"/>
                <w:szCs w:val="18"/>
              </w:rPr>
            </w:pPr>
            <w:r>
              <w:rPr>
                <w:b/>
                <w:noProof/>
                <w:sz w:val="18"/>
              </w:rPr>
              <w:t>1,768</w:t>
            </w:r>
          </w:p>
        </w:tc>
        <w:tc>
          <w:tcPr>
            <w:tcW w:w="360" w:type="dxa"/>
            <w:tcBorders>
              <w:bottom w:val="single" w:sz="12" w:space="0" w:color="auto"/>
              <w:right w:val="dashSmallGap" w:sz="4" w:space="0" w:color="auto"/>
            </w:tcBorders>
          </w:tcPr>
          <w:p>
            <w:pPr>
              <w:ind w:right="-29"/>
              <w:jc w:val="center"/>
              <w:rPr>
                <w:noProof/>
                <w:sz w:val="18"/>
                <w:szCs w:val="18"/>
              </w:rPr>
            </w:pPr>
          </w:p>
        </w:tc>
        <w:tc>
          <w:tcPr>
            <w:tcW w:w="840" w:type="dxa"/>
            <w:tcBorders>
              <w:left w:val="dashSmallGap" w:sz="4" w:space="0" w:color="auto"/>
              <w:bottom w:val="single" w:sz="12" w:space="0" w:color="auto"/>
            </w:tcBorders>
          </w:tcPr>
          <w:p>
            <w:pPr>
              <w:ind w:right="-29"/>
              <w:jc w:val="center"/>
              <w:rPr>
                <w:b/>
                <w:noProof/>
                <w:sz w:val="18"/>
                <w:szCs w:val="18"/>
              </w:rPr>
            </w:pPr>
            <w:r>
              <w:rPr>
                <w:b/>
                <w:noProof/>
                <w:sz w:val="18"/>
              </w:rPr>
              <w:t>1,768</w:t>
            </w:r>
          </w:p>
        </w:tc>
        <w:tc>
          <w:tcPr>
            <w:tcW w:w="360" w:type="dxa"/>
            <w:tcBorders>
              <w:bottom w:val="single" w:sz="12" w:space="0" w:color="auto"/>
              <w:right w:val="dashSmallGap" w:sz="4" w:space="0" w:color="auto"/>
            </w:tcBorders>
          </w:tcPr>
          <w:p>
            <w:pPr>
              <w:ind w:right="-29"/>
              <w:jc w:val="center"/>
              <w:rPr>
                <w:noProof/>
                <w:sz w:val="18"/>
                <w:szCs w:val="18"/>
              </w:rPr>
            </w:pPr>
          </w:p>
        </w:tc>
        <w:tc>
          <w:tcPr>
            <w:tcW w:w="733" w:type="dxa"/>
            <w:tcBorders>
              <w:left w:val="dashSmallGap" w:sz="4" w:space="0" w:color="auto"/>
              <w:bottom w:val="single" w:sz="12" w:space="0" w:color="auto"/>
            </w:tcBorders>
          </w:tcPr>
          <w:p>
            <w:pPr>
              <w:ind w:right="-29"/>
              <w:jc w:val="center"/>
              <w:rPr>
                <w:b/>
                <w:noProof/>
                <w:sz w:val="18"/>
                <w:szCs w:val="18"/>
              </w:rPr>
            </w:pPr>
            <w:r>
              <w:rPr>
                <w:b/>
                <w:noProof/>
                <w:sz w:val="18"/>
              </w:rPr>
              <w:t>1,768</w:t>
            </w:r>
          </w:p>
        </w:tc>
        <w:tc>
          <w:tcPr>
            <w:tcW w:w="284" w:type="dxa"/>
            <w:tcBorders>
              <w:bottom w:val="single" w:sz="12" w:space="0" w:color="auto"/>
              <w:right w:val="dashSmallGap" w:sz="4" w:space="0" w:color="auto"/>
            </w:tcBorders>
          </w:tcPr>
          <w:p>
            <w:pPr>
              <w:ind w:right="-29"/>
              <w:jc w:val="center"/>
              <w:rPr>
                <w:noProof/>
                <w:sz w:val="18"/>
                <w:szCs w:val="18"/>
              </w:rPr>
            </w:pPr>
          </w:p>
        </w:tc>
        <w:tc>
          <w:tcPr>
            <w:tcW w:w="850" w:type="dxa"/>
            <w:tcBorders>
              <w:left w:val="dashSmallGap" w:sz="4" w:space="0" w:color="auto"/>
              <w:bottom w:val="single" w:sz="12" w:space="0" w:color="auto"/>
            </w:tcBorders>
          </w:tcPr>
          <w:p>
            <w:pPr>
              <w:ind w:right="-29"/>
              <w:jc w:val="center"/>
              <w:rPr>
                <w:b/>
                <w:noProof/>
                <w:sz w:val="18"/>
                <w:szCs w:val="18"/>
              </w:rPr>
            </w:pPr>
            <w:r>
              <w:rPr>
                <w:b/>
                <w:noProof/>
                <w:sz w:val="18"/>
              </w:rPr>
              <w:t>1,768</w:t>
            </w:r>
          </w:p>
        </w:tc>
        <w:tc>
          <w:tcPr>
            <w:tcW w:w="709" w:type="dxa"/>
            <w:tcBorders>
              <w:bottom w:val="single" w:sz="12" w:space="0" w:color="auto"/>
              <w:right w:val="dashSmallGap" w:sz="4" w:space="0" w:color="auto"/>
            </w:tcBorders>
          </w:tcPr>
          <w:p>
            <w:pPr>
              <w:ind w:right="-29"/>
              <w:jc w:val="center"/>
              <w:rPr>
                <w:noProof/>
                <w:sz w:val="18"/>
                <w:szCs w:val="18"/>
              </w:rPr>
            </w:pPr>
          </w:p>
        </w:tc>
        <w:tc>
          <w:tcPr>
            <w:tcW w:w="1144" w:type="dxa"/>
            <w:tcBorders>
              <w:left w:val="dashSmallGap" w:sz="4" w:space="0" w:color="auto"/>
              <w:bottom w:val="single" w:sz="12" w:space="0" w:color="auto"/>
              <w:right w:val="single" w:sz="12" w:space="0" w:color="auto"/>
            </w:tcBorders>
          </w:tcPr>
          <w:p>
            <w:pPr>
              <w:ind w:right="-29"/>
              <w:jc w:val="center"/>
              <w:rPr>
                <w:b/>
                <w:noProof/>
                <w:sz w:val="18"/>
                <w:szCs w:val="18"/>
              </w:rPr>
            </w:pPr>
            <w:r>
              <w:rPr>
                <w:b/>
                <w:noProof/>
                <w:sz w:val="18"/>
              </w:rPr>
              <w:t>18,675</w:t>
            </w:r>
          </w:p>
        </w:tc>
      </w:tr>
    </w:tbl>
    <w:p>
      <w:pPr>
        <w:rPr>
          <w:noProof/>
        </w:rPr>
      </w:pPr>
    </w:p>
    <w:p>
      <w:pPr>
        <w:pStyle w:val="ListDash"/>
        <w:rPr>
          <w:noProof/>
        </w:rPr>
      </w:pPr>
      <w:r>
        <w:rPr>
          <w:noProof/>
        </w:rPr>
        <w:t>Cilj 7 je sistem ECRIS-TCN preoblikovati iz sistema s „standardno“ dostopnostjo v sistem visoke dostopnosti. Sistem ECRIS-TCN bo tako nadgrajen v letu 2021, za kar bo treba v bistvu pridobiti dodatno strojno opremo. Ker naj bi bil sistem ECRIS-TCN dokončan v letu 2020, se kot privlačna izkazuje njegova izgradnja v obliki sistema visoke dostopnosti že od začetka, z vgrajenimi sestavnimi deli interoperabilnosti. Glede na to, da bodo številni projekti postali odvisni drug od drugega, pa je preudarno to predpostavko izpustiti in predvideti sredstva za ločene ukrepe. Pri teh sredstvih gre za dodatna sredstva k stroškom za razvoj, vzdrževanje in delovanje sistema ECRIS-TCN v letih 2019 in 2020.</w:t>
      </w:r>
    </w:p>
    <w:p>
      <w:pPr>
        <w:rPr>
          <w:noProof/>
        </w:rPr>
      </w:pPr>
    </w:p>
    <w:p>
      <w:pPr>
        <w:rPr>
          <w:noProof/>
        </w:rPr>
      </w:pPr>
    </w:p>
    <w:p>
      <w:pPr>
        <w:spacing w:before="0" w:after="0"/>
        <w:jc w:val="left"/>
        <w:rPr>
          <w:noProof/>
        </w:rPr>
      </w:pPr>
      <w:r>
        <w:rPr>
          <w:noProof/>
        </w:rPr>
        <w:br w:type="page"/>
      </w:r>
    </w:p>
    <w:p>
      <w:pPr>
        <w:rPr>
          <w:noProof/>
        </w:rPr>
      </w:pPr>
    </w:p>
    <w:p>
      <w:pPr>
        <w:pStyle w:val="ManualHeading4"/>
        <w:rPr>
          <w:noProof/>
        </w:rPr>
      </w:pPr>
      <w:r>
        <w:t>3.2.2.5.</w:t>
      </w:r>
      <w:r>
        <w:tab/>
      </w:r>
      <w:r>
        <w:rPr>
          <w:noProof/>
        </w:rPr>
        <w:t>Ocenjene posledice za odobritve za GD HOME</w:t>
      </w:r>
    </w:p>
    <w:p>
      <w:pPr>
        <w:pStyle w:val="ListDash1"/>
        <w:rPr>
          <w:noProof/>
        </w:rPr>
      </w:pPr>
      <w:r>
        <w:rPr>
          <w:noProof/>
        </w:rPr>
        <w:sym w:font="Wingdings" w:char="F0A8"/>
      </w:r>
      <w:r>
        <w:rPr>
          <w:noProof/>
        </w:rPr>
        <w:tab/>
        <w:t xml:space="preserve">Za predlog/pobudo niso potrebne odobritve za poslovanje. </w:t>
      </w:r>
    </w:p>
    <w:p>
      <w:pPr>
        <w:pStyle w:val="ListDash1"/>
        <w:rPr>
          <w:noProof/>
        </w:rPr>
      </w:pPr>
      <w:r>
        <w:rPr>
          <w:noProof/>
        </w:rPr>
        <w:sym w:font="Wingdings" w:char="F078"/>
      </w:r>
      <w:r>
        <w:rPr>
          <w:noProof/>
        </w:rPr>
        <w:tab/>
        <w:t>Za predlog/pobudo so potrebne odobritve za poslovanje, kot je pojasnjeno v nadaljevanju:</w:t>
      </w:r>
    </w:p>
    <w:p>
      <w:pPr>
        <w:jc w:val="right"/>
        <w:rPr>
          <w:noProof/>
          <w:sz w:val="20"/>
        </w:rPr>
      </w:pPr>
      <w:r>
        <w:rPr>
          <w:noProof/>
          <w:sz w:val="20"/>
        </w:rPr>
        <w:t>odobritve za prevzem obveznosti v mio. EUR (na tri decimalna mesta natančno)</w:t>
      </w:r>
    </w:p>
    <w:p>
      <w:pPr>
        <w:rPr>
          <w:noProof/>
        </w:rPr>
      </w:pPr>
    </w:p>
    <w:tbl>
      <w:tblPr>
        <w:tblW w:w="14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2"/>
        <w:gridCol w:w="721"/>
        <w:gridCol w:w="659"/>
        <w:gridCol w:w="303"/>
        <w:gridCol w:w="637"/>
        <w:gridCol w:w="330"/>
        <w:gridCol w:w="637"/>
        <w:gridCol w:w="596"/>
        <w:gridCol w:w="840"/>
        <w:gridCol w:w="596"/>
        <w:gridCol w:w="840"/>
        <w:gridCol w:w="596"/>
        <w:gridCol w:w="772"/>
        <w:gridCol w:w="360"/>
        <w:gridCol w:w="637"/>
        <w:gridCol w:w="360"/>
        <w:gridCol w:w="637"/>
        <w:gridCol w:w="360"/>
        <w:gridCol w:w="637"/>
        <w:gridCol w:w="360"/>
        <w:gridCol w:w="637"/>
        <w:gridCol w:w="813"/>
        <w:gridCol w:w="1103"/>
      </w:tblGrid>
      <w:tr>
        <w:trPr>
          <w:jc w:val="center"/>
        </w:trPr>
        <w:tc>
          <w:tcPr>
            <w:tcW w:w="1422" w:type="dxa"/>
            <w:vMerge w:val="restart"/>
            <w:tcBorders>
              <w:top w:val="single" w:sz="12" w:space="0" w:color="auto"/>
              <w:left w:val="single" w:sz="12" w:space="0" w:color="auto"/>
            </w:tcBorders>
            <w:vAlign w:val="center"/>
          </w:tcPr>
          <w:p>
            <w:pPr>
              <w:ind w:right="-29"/>
              <w:jc w:val="center"/>
              <w:rPr>
                <w:b/>
                <w:noProof/>
                <w:sz w:val="18"/>
                <w:szCs w:val="18"/>
              </w:rPr>
            </w:pPr>
            <w:r>
              <w:rPr>
                <w:b/>
                <w:noProof/>
                <w:sz w:val="18"/>
              </w:rPr>
              <w:t xml:space="preserve">Cilji in realizacije </w:t>
            </w:r>
          </w:p>
          <w:p>
            <w:pPr>
              <w:ind w:right="-29"/>
              <w:jc w:val="center"/>
              <w:rPr>
                <w:b/>
                <w:noProof/>
                <w:sz w:val="18"/>
                <w:szCs w:val="18"/>
              </w:rPr>
            </w:pPr>
            <w:r>
              <w:rPr>
                <w:b/>
                <w:noProof/>
                <w:sz w:val="18"/>
              </w:rPr>
              <w:t>GD HOME</w:t>
            </w:r>
          </w:p>
          <w:p>
            <w:pPr>
              <w:ind w:right="-29"/>
              <w:jc w:val="center"/>
              <w:rPr>
                <w:noProof/>
                <w:sz w:val="18"/>
                <w:szCs w:val="18"/>
              </w:rPr>
            </w:pPr>
            <w:r>
              <w:rPr>
                <w:noProof/>
                <w:sz w:val="18"/>
              </w:rPr>
              <w:sym w:font="Wingdings" w:char="F0F2"/>
            </w:r>
          </w:p>
        </w:tc>
        <w:tc>
          <w:tcPr>
            <w:tcW w:w="721" w:type="dxa"/>
            <w:tcBorders>
              <w:top w:val="single" w:sz="12" w:space="0" w:color="auto"/>
            </w:tcBorders>
            <w:vAlign w:val="center"/>
          </w:tcPr>
          <w:p>
            <w:pPr>
              <w:ind w:right="-29"/>
              <w:jc w:val="center"/>
              <w:rPr>
                <w:noProof/>
                <w:sz w:val="18"/>
                <w:szCs w:val="18"/>
              </w:rPr>
            </w:pPr>
          </w:p>
        </w:tc>
        <w:tc>
          <w:tcPr>
            <w:tcW w:w="659" w:type="dxa"/>
            <w:tcBorders>
              <w:top w:val="single" w:sz="12" w:space="0" w:color="auto"/>
            </w:tcBorders>
            <w:vAlign w:val="center"/>
          </w:tcPr>
          <w:p>
            <w:pPr>
              <w:ind w:right="-29"/>
              <w:jc w:val="center"/>
              <w:rPr>
                <w:noProof/>
                <w:sz w:val="18"/>
                <w:szCs w:val="18"/>
              </w:rPr>
            </w:pPr>
          </w:p>
        </w:tc>
        <w:tc>
          <w:tcPr>
            <w:tcW w:w="940" w:type="dxa"/>
            <w:gridSpan w:val="2"/>
            <w:tcBorders>
              <w:top w:val="single" w:sz="12" w:space="0" w:color="auto"/>
              <w:right w:val="single" w:sz="4" w:space="0" w:color="auto"/>
            </w:tcBorders>
            <w:vAlign w:val="center"/>
          </w:tcPr>
          <w:p>
            <w:pPr>
              <w:ind w:right="-29"/>
              <w:jc w:val="center"/>
              <w:rPr>
                <w:noProof/>
                <w:sz w:val="18"/>
                <w:szCs w:val="18"/>
              </w:rPr>
            </w:pPr>
            <w:r>
              <w:rPr>
                <w:noProof/>
                <w:sz w:val="18"/>
              </w:rPr>
              <w:t>Leto</w:t>
            </w:r>
            <w:r>
              <w:rPr>
                <w:noProof/>
                <w:sz w:val="22"/>
              </w:rPr>
              <w:br/>
            </w:r>
            <w:r>
              <w:rPr>
                <w:b/>
                <w:noProof/>
                <w:sz w:val="18"/>
              </w:rPr>
              <w:t>2019</w:t>
            </w:r>
          </w:p>
        </w:tc>
        <w:tc>
          <w:tcPr>
            <w:tcW w:w="967" w:type="dxa"/>
            <w:gridSpan w:val="2"/>
            <w:tcBorders>
              <w:top w:val="single" w:sz="12" w:space="0" w:color="auto"/>
              <w:left w:val="single" w:sz="4" w:space="0" w:color="auto"/>
            </w:tcBorders>
            <w:vAlign w:val="center"/>
          </w:tcPr>
          <w:p>
            <w:pPr>
              <w:ind w:right="-29"/>
              <w:jc w:val="center"/>
              <w:rPr>
                <w:noProof/>
                <w:sz w:val="18"/>
                <w:szCs w:val="18"/>
              </w:rPr>
            </w:pPr>
            <w:r>
              <w:rPr>
                <w:noProof/>
                <w:sz w:val="18"/>
              </w:rPr>
              <w:t>Leto</w:t>
            </w:r>
            <w:r>
              <w:rPr>
                <w:noProof/>
                <w:sz w:val="22"/>
              </w:rPr>
              <w:br/>
            </w:r>
            <w:r>
              <w:rPr>
                <w:b/>
                <w:noProof/>
                <w:sz w:val="18"/>
              </w:rPr>
              <w:t>2020</w:t>
            </w:r>
          </w:p>
        </w:tc>
        <w:tc>
          <w:tcPr>
            <w:tcW w:w="1436" w:type="dxa"/>
            <w:gridSpan w:val="2"/>
            <w:tcBorders>
              <w:top w:val="single" w:sz="12" w:space="0" w:color="auto"/>
            </w:tcBorders>
            <w:vAlign w:val="center"/>
          </w:tcPr>
          <w:p>
            <w:pPr>
              <w:ind w:right="-29"/>
              <w:jc w:val="center"/>
              <w:rPr>
                <w:noProof/>
                <w:sz w:val="18"/>
                <w:szCs w:val="18"/>
              </w:rPr>
            </w:pPr>
            <w:r>
              <w:rPr>
                <w:noProof/>
                <w:sz w:val="18"/>
              </w:rPr>
              <w:t>Leto</w:t>
            </w:r>
            <w:r>
              <w:rPr>
                <w:noProof/>
                <w:sz w:val="22"/>
              </w:rPr>
              <w:br/>
            </w:r>
            <w:r>
              <w:rPr>
                <w:b/>
                <w:noProof/>
                <w:sz w:val="18"/>
              </w:rPr>
              <w:t>2021</w:t>
            </w:r>
          </w:p>
        </w:tc>
        <w:tc>
          <w:tcPr>
            <w:tcW w:w="1436" w:type="dxa"/>
            <w:gridSpan w:val="2"/>
            <w:tcBorders>
              <w:top w:val="single" w:sz="12" w:space="0" w:color="auto"/>
            </w:tcBorders>
            <w:vAlign w:val="center"/>
          </w:tcPr>
          <w:p>
            <w:pPr>
              <w:ind w:right="-29"/>
              <w:jc w:val="center"/>
              <w:rPr>
                <w:noProof/>
                <w:sz w:val="18"/>
                <w:szCs w:val="18"/>
              </w:rPr>
            </w:pPr>
            <w:r>
              <w:rPr>
                <w:noProof/>
                <w:sz w:val="18"/>
              </w:rPr>
              <w:t>Leto</w:t>
            </w:r>
            <w:r>
              <w:rPr>
                <w:noProof/>
                <w:sz w:val="22"/>
              </w:rPr>
              <w:br/>
            </w:r>
            <w:r>
              <w:rPr>
                <w:b/>
                <w:noProof/>
                <w:sz w:val="18"/>
              </w:rPr>
              <w:t>2022</w:t>
            </w:r>
          </w:p>
        </w:tc>
        <w:tc>
          <w:tcPr>
            <w:tcW w:w="1368" w:type="dxa"/>
            <w:gridSpan w:val="2"/>
            <w:tcBorders>
              <w:top w:val="single" w:sz="12" w:space="0" w:color="auto"/>
            </w:tcBorders>
            <w:vAlign w:val="center"/>
          </w:tcPr>
          <w:p>
            <w:pPr>
              <w:jc w:val="center"/>
              <w:rPr>
                <w:noProof/>
                <w:sz w:val="18"/>
                <w:szCs w:val="18"/>
              </w:rPr>
            </w:pPr>
            <w:r>
              <w:rPr>
                <w:noProof/>
                <w:sz w:val="18"/>
              </w:rPr>
              <w:t>Leto</w:t>
            </w:r>
            <w:r>
              <w:rPr>
                <w:noProof/>
                <w:sz w:val="22"/>
              </w:rPr>
              <w:br/>
            </w:r>
            <w:r>
              <w:rPr>
                <w:b/>
                <w:noProof/>
                <w:sz w:val="18"/>
              </w:rPr>
              <w:t>2023</w:t>
            </w:r>
          </w:p>
        </w:tc>
        <w:tc>
          <w:tcPr>
            <w:tcW w:w="997" w:type="dxa"/>
            <w:gridSpan w:val="2"/>
            <w:tcBorders>
              <w:top w:val="single" w:sz="12" w:space="0" w:color="auto"/>
            </w:tcBorders>
            <w:vAlign w:val="center"/>
          </w:tcPr>
          <w:p>
            <w:pPr>
              <w:jc w:val="center"/>
              <w:rPr>
                <w:noProof/>
                <w:sz w:val="18"/>
                <w:szCs w:val="18"/>
              </w:rPr>
            </w:pPr>
            <w:r>
              <w:rPr>
                <w:noProof/>
                <w:sz w:val="18"/>
              </w:rPr>
              <w:t>Leto</w:t>
            </w:r>
            <w:r>
              <w:rPr>
                <w:noProof/>
                <w:sz w:val="22"/>
              </w:rPr>
              <w:br/>
            </w:r>
            <w:r>
              <w:rPr>
                <w:b/>
                <w:noProof/>
                <w:sz w:val="18"/>
              </w:rPr>
              <w:t>2024</w:t>
            </w:r>
          </w:p>
        </w:tc>
        <w:tc>
          <w:tcPr>
            <w:tcW w:w="997" w:type="dxa"/>
            <w:gridSpan w:val="2"/>
            <w:tcBorders>
              <w:top w:val="single" w:sz="12" w:space="0" w:color="auto"/>
            </w:tcBorders>
            <w:vAlign w:val="center"/>
          </w:tcPr>
          <w:p>
            <w:pPr>
              <w:jc w:val="center"/>
              <w:rPr>
                <w:noProof/>
                <w:sz w:val="18"/>
                <w:szCs w:val="18"/>
              </w:rPr>
            </w:pPr>
            <w:r>
              <w:rPr>
                <w:noProof/>
                <w:sz w:val="18"/>
              </w:rPr>
              <w:t>Leto</w:t>
            </w:r>
            <w:r>
              <w:rPr>
                <w:noProof/>
                <w:sz w:val="22"/>
              </w:rPr>
              <w:br/>
            </w:r>
            <w:r>
              <w:rPr>
                <w:b/>
                <w:noProof/>
                <w:sz w:val="18"/>
              </w:rPr>
              <w:t>2025</w:t>
            </w:r>
          </w:p>
        </w:tc>
        <w:tc>
          <w:tcPr>
            <w:tcW w:w="997" w:type="dxa"/>
            <w:gridSpan w:val="2"/>
            <w:tcBorders>
              <w:top w:val="single" w:sz="12" w:space="0" w:color="auto"/>
            </w:tcBorders>
          </w:tcPr>
          <w:p>
            <w:pPr>
              <w:ind w:right="-29"/>
              <w:jc w:val="center"/>
              <w:rPr>
                <w:b/>
                <w:noProof/>
                <w:sz w:val="18"/>
              </w:rPr>
            </w:pPr>
            <w:r>
              <w:rPr>
                <w:noProof/>
                <w:sz w:val="18"/>
              </w:rPr>
              <w:t>Leto</w:t>
            </w:r>
            <w:r>
              <w:rPr>
                <w:noProof/>
                <w:sz w:val="22"/>
              </w:rPr>
              <w:br/>
            </w:r>
            <w:r>
              <w:rPr>
                <w:b/>
                <w:noProof/>
                <w:sz w:val="18"/>
              </w:rPr>
              <w:t>2026</w:t>
            </w:r>
          </w:p>
        </w:tc>
        <w:tc>
          <w:tcPr>
            <w:tcW w:w="997" w:type="dxa"/>
            <w:gridSpan w:val="2"/>
            <w:tcBorders>
              <w:top w:val="single" w:sz="12" w:space="0" w:color="auto"/>
              <w:right w:val="nil"/>
            </w:tcBorders>
          </w:tcPr>
          <w:p>
            <w:pPr>
              <w:ind w:right="-29"/>
              <w:jc w:val="center"/>
              <w:rPr>
                <w:b/>
                <w:noProof/>
                <w:sz w:val="18"/>
              </w:rPr>
            </w:pPr>
            <w:r>
              <w:rPr>
                <w:noProof/>
                <w:sz w:val="18"/>
              </w:rPr>
              <w:t>Leto</w:t>
            </w:r>
            <w:r>
              <w:rPr>
                <w:noProof/>
                <w:sz w:val="22"/>
              </w:rPr>
              <w:br/>
            </w:r>
            <w:r>
              <w:rPr>
                <w:b/>
                <w:noProof/>
                <w:sz w:val="18"/>
              </w:rPr>
              <w:t>2027</w:t>
            </w:r>
          </w:p>
        </w:tc>
        <w:tc>
          <w:tcPr>
            <w:tcW w:w="1916" w:type="dxa"/>
            <w:gridSpan w:val="2"/>
            <w:tcBorders>
              <w:top w:val="single" w:sz="12" w:space="0" w:color="auto"/>
              <w:left w:val="single" w:sz="6" w:space="0" w:color="auto"/>
              <w:bottom w:val="single" w:sz="4" w:space="0" w:color="auto"/>
              <w:right w:val="single" w:sz="12" w:space="0" w:color="auto"/>
            </w:tcBorders>
            <w:vAlign w:val="center"/>
          </w:tcPr>
          <w:p>
            <w:pPr>
              <w:ind w:right="-29"/>
              <w:jc w:val="center"/>
              <w:rPr>
                <w:noProof/>
                <w:sz w:val="18"/>
                <w:szCs w:val="18"/>
              </w:rPr>
            </w:pPr>
            <w:r>
              <w:rPr>
                <w:b/>
                <w:noProof/>
                <w:sz w:val="18"/>
              </w:rPr>
              <w:t>SKUPAJ</w:t>
            </w:r>
          </w:p>
        </w:tc>
      </w:tr>
      <w:tr>
        <w:trPr>
          <w:gridAfter w:val="22"/>
          <w:wAfter w:w="13431" w:type="dxa"/>
          <w:trHeight w:val="465"/>
          <w:jc w:val="center"/>
        </w:trPr>
        <w:tc>
          <w:tcPr>
            <w:tcW w:w="1422" w:type="dxa"/>
            <w:vMerge/>
            <w:tcBorders>
              <w:left w:val="single" w:sz="12" w:space="0" w:color="auto"/>
            </w:tcBorders>
            <w:vAlign w:val="center"/>
          </w:tcPr>
          <w:p>
            <w:pPr>
              <w:ind w:right="-29"/>
              <w:jc w:val="center"/>
              <w:rPr>
                <w:noProof/>
                <w:sz w:val="18"/>
                <w:szCs w:val="18"/>
              </w:rPr>
            </w:pPr>
          </w:p>
        </w:tc>
      </w:tr>
      <w:tr>
        <w:trPr>
          <w:cantSplit/>
          <w:trHeight w:val="1134"/>
          <w:jc w:val="center"/>
        </w:trPr>
        <w:tc>
          <w:tcPr>
            <w:tcW w:w="1422" w:type="dxa"/>
            <w:vMerge/>
            <w:tcBorders>
              <w:left w:val="single" w:sz="12" w:space="0" w:color="auto"/>
            </w:tcBorders>
            <w:vAlign w:val="center"/>
          </w:tcPr>
          <w:p>
            <w:pPr>
              <w:rPr>
                <w:noProof/>
                <w:sz w:val="18"/>
                <w:szCs w:val="18"/>
              </w:rPr>
            </w:pPr>
          </w:p>
        </w:tc>
        <w:tc>
          <w:tcPr>
            <w:tcW w:w="721" w:type="dxa"/>
            <w:vAlign w:val="center"/>
          </w:tcPr>
          <w:p>
            <w:pPr>
              <w:jc w:val="center"/>
              <w:rPr>
                <w:noProof/>
                <w:sz w:val="18"/>
                <w:szCs w:val="18"/>
              </w:rPr>
            </w:pPr>
            <w:r>
              <w:rPr>
                <w:noProof/>
                <w:sz w:val="18"/>
              </w:rPr>
              <w:t>vrsta</w:t>
            </w:r>
            <w:r>
              <w:rPr>
                <w:rStyle w:val="FootnoteReference"/>
                <w:noProof/>
              </w:rPr>
              <w:footnoteReference w:id="107"/>
            </w:r>
          </w:p>
          <w:p>
            <w:pPr>
              <w:spacing w:before="0" w:after="0"/>
              <w:jc w:val="center"/>
              <w:rPr>
                <w:noProof/>
                <w:sz w:val="18"/>
                <w:szCs w:val="18"/>
              </w:rPr>
            </w:pPr>
          </w:p>
        </w:tc>
        <w:tc>
          <w:tcPr>
            <w:tcW w:w="659" w:type="dxa"/>
            <w:tcBorders>
              <w:right w:val="single" w:sz="4" w:space="0" w:color="auto"/>
            </w:tcBorders>
            <w:vAlign w:val="center"/>
          </w:tcPr>
          <w:p>
            <w:pPr>
              <w:jc w:val="center"/>
              <w:rPr>
                <w:noProof/>
                <w:sz w:val="18"/>
                <w:szCs w:val="18"/>
              </w:rPr>
            </w:pPr>
            <w:r>
              <w:rPr>
                <w:noProof/>
                <w:sz w:val="18"/>
              </w:rPr>
              <w:t>povprečni stroški</w:t>
            </w:r>
          </w:p>
        </w:tc>
        <w:tc>
          <w:tcPr>
            <w:tcW w:w="303" w:type="dxa"/>
            <w:tcBorders>
              <w:top w:val="dotted" w:sz="4" w:space="0" w:color="auto"/>
              <w:left w:val="single" w:sz="4" w:space="0" w:color="auto"/>
              <w:bottom w:val="dotted" w:sz="4" w:space="0" w:color="auto"/>
              <w:right w:val="nil"/>
            </w:tcBorders>
            <w:shd w:val="pct10" w:color="auto" w:fill="auto"/>
            <w:textDirection w:val="btLr"/>
            <w:vAlign w:val="center"/>
          </w:tcPr>
          <w:p>
            <w:pPr>
              <w:ind w:left="113" w:right="113"/>
              <w:jc w:val="center"/>
              <w:rPr>
                <w:noProof/>
                <w:sz w:val="18"/>
              </w:rPr>
            </w:pPr>
            <w:r>
              <w:rPr>
                <w:noProof/>
                <w:sz w:val="18"/>
              </w:rPr>
              <w:t>število</w:t>
            </w:r>
          </w:p>
        </w:tc>
        <w:tc>
          <w:tcPr>
            <w:tcW w:w="637" w:type="dxa"/>
            <w:tcBorders>
              <w:left w:val="nil"/>
              <w:right w:val="single" w:sz="4" w:space="0" w:color="auto"/>
            </w:tcBorders>
            <w:shd w:val="pct10" w:color="auto" w:fill="auto"/>
            <w:vAlign w:val="center"/>
          </w:tcPr>
          <w:p>
            <w:pPr>
              <w:jc w:val="center"/>
              <w:rPr>
                <w:noProof/>
                <w:sz w:val="18"/>
              </w:rPr>
            </w:pPr>
            <w:r>
              <w:rPr>
                <w:noProof/>
                <w:sz w:val="18"/>
              </w:rPr>
              <w:t>stroški</w:t>
            </w:r>
          </w:p>
        </w:tc>
        <w:tc>
          <w:tcPr>
            <w:tcW w:w="330" w:type="dxa"/>
            <w:tcBorders>
              <w:left w:val="single" w:sz="4" w:space="0" w:color="auto"/>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637"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596"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840"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596"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840"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596"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772"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637"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637"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w:t>
            </w:r>
          </w:p>
        </w:tc>
        <w:tc>
          <w:tcPr>
            <w:tcW w:w="637" w:type="dxa"/>
            <w:tcBorders>
              <w:left w:val="dashSmallGap" w:sz="4" w:space="0" w:color="auto"/>
            </w:tcBorders>
            <w:shd w:val="pct10" w:color="auto" w:fill="auto"/>
            <w:vAlign w:val="center"/>
          </w:tcPr>
          <w:p>
            <w:pPr>
              <w:jc w:val="center"/>
              <w:rPr>
                <w:noProof/>
                <w:sz w:val="18"/>
                <w:szCs w:val="18"/>
              </w:rPr>
            </w:pPr>
            <w:r>
              <w:rPr>
                <w:noProof/>
                <w:sz w:val="18"/>
              </w:rPr>
              <w:t>stroški</w:t>
            </w:r>
          </w:p>
        </w:tc>
        <w:tc>
          <w:tcPr>
            <w:tcW w:w="360" w:type="dxa"/>
            <w:tcBorders>
              <w:right w:val="dashSmallGap" w:sz="4" w:space="0" w:color="auto"/>
            </w:tcBorders>
            <w:shd w:val="pct10" w:color="auto" w:fill="auto"/>
            <w:textDirection w:val="btLr"/>
            <w:vAlign w:val="center"/>
          </w:tcPr>
          <w:p>
            <w:pPr>
              <w:ind w:left="113" w:right="113"/>
              <w:jc w:val="center"/>
              <w:rPr>
                <w:noProof/>
                <w:sz w:val="18"/>
              </w:rPr>
            </w:pPr>
            <w:r>
              <w:rPr>
                <w:noProof/>
                <w:sz w:val="18"/>
              </w:rPr>
              <w:t>število</w:t>
            </w:r>
          </w:p>
        </w:tc>
        <w:tc>
          <w:tcPr>
            <w:tcW w:w="637" w:type="dxa"/>
            <w:tcBorders>
              <w:left w:val="dashSmallGap" w:sz="4" w:space="0" w:color="auto"/>
            </w:tcBorders>
            <w:shd w:val="pct10" w:color="auto" w:fill="auto"/>
            <w:vAlign w:val="center"/>
          </w:tcPr>
          <w:p>
            <w:pPr>
              <w:jc w:val="center"/>
              <w:rPr>
                <w:noProof/>
                <w:sz w:val="18"/>
              </w:rPr>
            </w:pPr>
            <w:r>
              <w:rPr>
                <w:noProof/>
                <w:sz w:val="18"/>
              </w:rPr>
              <w:t>stroški</w:t>
            </w:r>
          </w:p>
        </w:tc>
        <w:tc>
          <w:tcPr>
            <w:tcW w:w="813"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število realizacij skupaj</w:t>
            </w:r>
          </w:p>
        </w:tc>
        <w:tc>
          <w:tcPr>
            <w:tcW w:w="1103" w:type="dxa"/>
            <w:tcBorders>
              <w:left w:val="dashSmallGap" w:sz="4" w:space="0" w:color="auto"/>
              <w:right w:val="single" w:sz="12" w:space="0" w:color="auto"/>
            </w:tcBorders>
            <w:shd w:val="pct10" w:color="auto" w:fill="auto"/>
            <w:vAlign w:val="center"/>
          </w:tcPr>
          <w:p>
            <w:pPr>
              <w:jc w:val="center"/>
              <w:rPr>
                <w:noProof/>
                <w:sz w:val="18"/>
                <w:szCs w:val="18"/>
              </w:rPr>
            </w:pPr>
            <w:r>
              <w:rPr>
                <w:noProof/>
                <w:sz w:val="18"/>
              </w:rPr>
              <w:t>stroški realizacij skupaj</w:t>
            </w:r>
          </w:p>
        </w:tc>
      </w:tr>
      <w:tr>
        <w:trPr>
          <w:jc w:val="center"/>
        </w:trPr>
        <w:tc>
          <w:tcPr>
            <w:tcW w:w="2802" w:type="dxa"/>
            <w:gridSpan w:val="3"/>
            <w:tcBorders>
              <w:left w:val="single" w:sz="12" w:space="0" w:color="auto"/>
            </w:tcBorders>
            <w:vAlign w:val="center"/>
          </w:tcPr>
          <w:p>
            <w:pPr>
              <w:spacing w:before="60" w:after="60"/>
              <w:ind w:right="-29"/>
              <w:jc w:val="center"/>
              <w:rPr>
                <w:noProof/>
                <w:sz w:val="18"/>
              </w:rPr>
            </w:pPr>
            <w:r>
              <w:rPr>
                <w:noProof/>
                <w:sz w:val="18"/>
              </w:rPr>
              <w:t>SPECIFIČNI CILJ št. 1:</w:t>
            </w:r>
          </w:p>
          <w:p>
            <w:pPr>
              <w:spacing w:before="60" w:after="60"/>
              <w:ind w:right="-29"/>
              <w:jc w:val="center"/>
              <w:rPr>
                <w:noProof/>
                <w:sz w:val="18"/>
              </w:rPr>
            </w:pPr>
            <w:r>
              <w:rPr>
                <w:noProof/>
                <w:sz w:val="18"/>
              </w:rPr>
              <w:t>Vključitev nacionalnih sistemov (držav članic)</w:t>
            </w:r>
          </w:p>
          <w:p>
            <w:pPr>
              <w:spacing w:before="60" w:after="60"/>
              <w:ind w:right="-29"/>
              <w:jc w:val="center"/>
              <w:rPr>
                <w:noProof/>
                <w:sz w:val="18"/>
                <w:szCs w:val="18"/>
              </w:rPr>
            </w:pPr>
          </w:p>
        </w:tc>
        <w:tc>
          <w:tcPr>
            <w:tcW w:w="303" w:type="dxa"/>
            <w:tcBorders>
              <w:right w:val="nil"/>
            </w:tcBorders>
          </w:tcPr>
          <w:p>
            <w:pPr>
              <w:spacing w:before="60" w:after="60"/>
              <w:ind w:right="-29"/>
              <w:jc w:val="center"/>
              <w:rPr>
                <w:noProof/>
                <w:sz w:val="18"/>
                <w:szCs w:val="18"/>
              </w:rPr>
            </w:pPr>
          </w:p>
        </w:tc>
        <w:tc>
          <w:tcPr>
            <w:tcW w:w="637" w:type="dxa"/>
            <w:tcBorders>
              <w:left w:val="nil"/>
              <w:bottom w:val="single" w:sz="4" w:space="0" w:color="auto"/>
            </w:tcBorders>
          </w:tcPr>
          <w:p>
            <w:pPr>
              <w:spacing w:before="60" w:after="60"/>
              <w:ind w:right="-29"/>
              <w:jc w:val="center"/>
              <w:rPr>
                <w:noProof/>
                <w:sz w:val="18"/>
                <w:szCs w:val="18"/>
              </w:rPr>
            </w:pPr>
          </w:p>
        </w:tc>
        <w:tc>
          <w:tcPr>
            <w:tcW w:w="330" w:type="dxa"/>
            <w:tcBorders>
              <w:top w:val="nil"/>
              <w:left w:val="nil"/>
              <w:bottom w:val="nil"/>
              <w:right w:val="nil"/>
            </w:tcBorders>
          </w:tcPr>
          <w:p>
            <w:pPr>
              <w:spacing w:before="60" w:after="60"/>
              <w:ind w:right="-29"/>
              <w:jc w:val="center"/>
              <w:rPr>
                <w:noProof/>
                <w:sz w:val="18"/>
                <w:szCs w:val="18"/>
              </w:rPr>
            </w:pPr>
          </w:p>
        </w:tc>
        <w:tc>
          <w:tcPr>
            <w:tcW w:w="637" w:type="dxa"/>
            <w:tcBorders>
              <w:top w:val="nil"/>
              <w:left w:val="nil"/>
              <w:bottom w:val="nil"/>
              <w:right w:val="nil"/>
            </w:tcBorders>
          </w:tcPr>
          <w:p>
            <w:pPr>
              <w:spacing w:before="60" w:after="60"/>
              <w:ind w:right="-29"/>
              <w:jc w:val="center"/>
              <w:rPr>
                <w:noProof/>
                <w:sz w:val="18"/>
                <w:szCs w:val="18"/>
              </w:rPr>
            </w:pPr>
          </w:p>
        </w:tc>
        <w:tc>
          <w:tcPr>
            <w:tcW w:w="596" w:type="dxa"/>
            <w:tcBorders>
              <w:top w:val="nil"/>
              <w:left w:val="nil"/>
              <w:bottom w:val="nil"/>
              <w:right w:val="nil"/>
            </w:tcBorders>
          </w:tcPr>
          <w:p>
            <w:pPr>
              <w:spacing w:before="60" w:after="60"/>
              <w:ind w:right="-29"/>
              <w:jc w:val="center"/>
              <w:rPr>
                <w:noProof/>
                <w:sz w:val="18"/>
                <w:szCs w:val="18"/>
              </w:rPr>
            </w:pPr>
          </w:p>
        </w:tc>
        <w:tc>
          <w:tcPr>
            <w:tcW w:w="840" w:type="dxa"/>
            <w:tcBorders>
              <w:top w:val="nil"/>
              <w:left w:val="nil"/>
              <w:bottom w:val="nil"/>
              <w:right w:val="nil"/>
            </w:tcBorders>
          </w:tcPr>
          <w:p>
            <w:pPr>
              <w:spacing w:before="60" w:after="60"/>
              <w:ind w:right="-29"/>
              <w:jc w:val="center"/>
              <w:rPr>
                <w:noProof/>
                <w:sz w:val="18"/>
                <w:szCs w:val="18"/>
              </w:rPr>
            </w:pPr>
          </w:p>
        </w:tc>
        <w:tc>
          <w:tcPr>
            <w:tcW w:w="596" w:type="dxa"/>
            <w:tcBorders>
              <w:top w:val="nil"/>
              <w:left w:val="nil"/>
              <w:bottom w:val="nil"/>
              <w:right w:val="nil"/>
            </w:tcBorders>
          </w:tcPr>
          <w:p>
            <w:pPr>
              <w:spacing w:before="60" w:after="60"/>
              <w:ind w:right="-29"/>
              <w:jc w:val="center"/>
              <w:rPr>
                <w:noProof/>
                <w:sz w:val="18"/>
                <w:szCs w:val="18"/>
              </w:rPr>
            </w:pPr>
          </w:p>
        </w:tc>
        <w:tc>
          <w:tcPr>
            <w:tcW w:w="840" w:type="dxa"/>
            <w:tcBorders>
              <w:top w:val="nil"/>
              <w:left w:val="nil"/>
              <w:bottom w:val="nil"/>
              <w:right w:val="nil"/>
            </w:tcBorders>
          </w:tcPr>
          <w:p>
            <w:pPr>
              <w:spacing w:before="60" w:after="60"/>
              <w:ind w:right="-29"/>
              <w:jc w:val="center"/>
              <w:rPr>
                <w:noProof/>
                <w:sz w:val="18"/>
                <w:szCs w:val="18"/>
              </w:rPr>
            </w:pPr>
          </w:p>
        </w:tc>
        <w:tc>
          <w:tcPr>
            <w:tcW w:w="596" w:type="dxa"/>
            <w:tcBorders>
              <w:top w:val="nil"/>
              <w:left w:val="nil"/>
              <w:bottom w:val="nil"/>
              <w:right w:val="nil"/>
            </w:tcBorders>
          </w:tcPr>
          <w:p>
            <w:pPr>
              <w:spacing w:before="60" w:after="60"/>
              <w:ind w:right="-29"/>
              <w:jc w:val="center"/>
              <w:rPr>
                <w:noProof/>
                <w:sz w:val="18"/>
                <w:szCs w:val="18"/>
              </w:rPr>
            </w:pPr>
          </w:p>
        </w:tc>
        <w:tc>
          <w:tcPr>
            <w:tcW w:w="772" w:type="dxa"/>
            <w:tcBorders>
              <w:top w:val="nil"/>
              <w:left w:val="nil"/>
              <w:bottom w:val="nil"/>
              <w:right w:val="nil"/>
            </w:tcBorders>
          </w:tcPr>
          <w:p>
            <w:pPr>
              <w:spacing w:before="60" w:after="60"/>
              <w:ind w:right="-29"/>
              <w:jc w:val="center"/>
              <w:rPr>
                <w:noProof/>
                <w:sz w:val="18"/>
                <w:szCs w:val="18"/>
              </w:rPr>
            </w:pPr>
          </w:p>
        </w:tc>
        <w:tc>
          <w:tcPr>
            <w:tcW w:w="360" w:type="dxa"/>
            <w:tcBorders>
              <w:top w:val="nil"/>
              <w:left w:val="nil"/>
              <w:bottom w:val="nil"/>
              <w:right w:val="nil"/>
            </w:tcBorders>
          </w:tcPr>
          <w:p>
            <w:pPr>
              <w:spacing w:before="60" w:after="60"/>
              <w:ind w:right="-29"/>
              <w:jc w:val="center"/>
              <w:rPr>
                <w:noProof/>
                <w:sz w:val="18"/>
                <w:szCs w:val="18"/>
              </w:rPr>
            </w:pPr>
          </w:p>
        </w:tc>
        <w:tc>
          <w:tcPr>
            <w:tcW w:w="637" w:type="dxa"/>
            <w:tcBorders>
              <w:top w:val="nil"/>
              <w:left w:val="nil"/>
              <w:bottom w:val="nil"/>
              <w:right w:val="nil"/>
            </w:tcBorders>
          </w:tcPr>
          <w:p>
            <w:pPr>
              <w:spacing w:before="60" w:after="60"/>
              <w:ind w:right="-29"/>
              <w:jc w:val="center"/>
              <w:rPr>
                <w:noProof/>
                <w:sz w:val="18"/>
                <w:szCs w:val="18"/>
              </w:rPr>
            </w:pPr>
          </w:p>
        </w:tc>
        <w:tc>
          <w:tcPr>
            <w:tcW w:w="360" w:type="dxa"/>
            <w:tcBorders>
              <w:top w:val="nil"/>
              <w:left w:val="nil"/>
              <w:bottom w:val="nil"/>
              <w:right w:val="nil"/>
            </w:tcBorders>
          </w:tcPr>
          <w:p>
            <w:pPr>
              <w:spacing w:before="60" w:after="60"/>
              <w:ind w:right="-29"/>
              <w:jc w:val="center"/>
              <w:rPr>
                <w:noProof/>
                <w:sz w:val="18"/>
                <w:szCs w:val="18"/>
              </w:rPr>
            </w:pPr>
          </w:p>
        </w:tc>
        <w:tc>
          <w:tcPr>
            <w:tcW w:w="637" w:type="dxa"/>
            <w:tcBorders>
              <w:top w:val="nil"/>
              <w:left w:val="nil"/>
              <w:bottom w:val="nil"/>
              <w:right w:val="nil"/>
            </w:tcBorders>
          </w:tcPr>
          <w:p>
            <w:pPr>
              <w:spacing w:before="60" w:after="60"/>
              <w:ind w:right="-29"/>
              <w:jc w:val="center"/>
              <w:rPr>
                <w:noProof/>
                <w:sz w:val="18"/>
                <w:szCs w:val="18"/>
              </w:rPr>
            </w:pPr>
          </w:p>
        </w:tc>
        <w:tc>
          <w:tcPr>
            <w:tcW w:w="360" w:type="dxa"/>
            <w:tcBorders>
              <w:top w:val="nil"/>
              <w:left w:val="nil"/>
              <w:bottom w:val="nil"/>
              <w:right w:val="nil"/>
            </w:tcBorders>
          </w:tcPr>
          <w:p>
            <w:pPr>
              <w:spacing w:before="60" w:after="60"/>
              <w:ind w:right="-29"/>
              <w:jc w:val="center"/>
              <w:rPr>
                <w:noProof/>
                <w:sz w:val="18"/>
                <w:szCs w:val="18"/>
              </w:rPr>
            </w:pPr>
          </w:p>
        </w:tc>
        <w:tc>
          <w:tcPr>
            <w:tcW w:w="637" w:type="dxa"/>
            <w:tcBorders>
              <w:top w:val="nil"/>
              <w:left w:val="nil"/>
              <w:bottom w:val="nil"/>
              <w:right w:val="nil"/>
            </w:tcBorders>
          </w:tcPr>
          <w:p>
            <w:pPr>
              <w:spacing w:before="60" w:after="60"/>
              <w:ind w:right="-29"/>
              <w:jc w:val="center"/>
              <w:rPr>
                <w:noProof/>
                <w:sz w:val="18"/>
                <w:szCs w:val="18"/>
              </w:rPr>
            </w:pPr>
          </w:p>
        </w:tc>
        <w:tc>
          <w:tcPr>
            <w:tcW w:w="997" w:type="dxa"/>
            <w:gridSpan w:val="2"/>
            <w:tcBorders>
              <w:top w:val="nil"/>
              <w:left w:val="nil"/>
              <w:bottom w:val="nil"/>
              <w:right w:val="nil"/>
            </w:tcBorders>
          </w:tcPr>
          <w:p>
            <w:pPr>
              <w:spacing w:before="60" w:after="60"/>
              <w:ind w:right="-29"/>
              <w:jc w:val="center"/>
              <w:rPr>
                <w:noProof/>
                <w:sz w:val="18"/>
                <w:szCs w:val="18"/>
              </w:rPr>
            </w:pPr>
          </w:p>
        </w:tc>
        <w:tc>
          <w:tcPr>
            <w:tcW w:w="813" w:type="dxa"/>
            <w:tcBorders>
              <w:top w:val="nil"/>
              <w:left w:val="nil"/>
              <w:bottom w:val="nil"/>
              <w:right w:val="nil"/>
            </w:tcBorders>
          </w:tcPr>
          <w:p>
            <w:pPr>
              <w:spacing w:before="60" w:after="60"/>
              <w:ind w:right="-29"/>
              <w:jc w:val="center"/>
              <w:rPr>
                <w:noProof/>
                <w:sz w:val="18"/>
                <w:szCs w:val="18"/>
              </w:rPr>
            </w:pPr>
          </w:p>
        </w:tc>
        <w:tc>
          <w:tcPr>
            <w:tcW w:w="1103" w:type="dxa"/>
            <w:tcBorders>
              <w:top w:val="nil"/>
              <w:left w:val="nil"/>
              <w:bottom w:val="single" w:sz="4" w:space="0" w:color="auto"/>
              <w:right w:val="single" w:sz="12" w:space="0" w:color="auto"/>
            </w:tcBorders>
          </w:tcPr>
          <w:p>
            <w:pPr>
              <w:spacing w:before="60" w:after="60"/>
              <w:ind w:right="-29"/>
              <w:jc w:val="center"/>
              <w:rPr>
                <w:noProof/>
                <w:sz w:val="18"/>
                <w:szCs w:val="18"/>
              </w:rPr>
            </w:pPr>
          </w:p>
        </w:tc>
      </w:tr>
      <w:tr>
        <w:trPr>
          <w:trHeight w:hRule="exact" w:val="685"/>
          <w:jc w:val="center"/>
        </w:trPr>
        <w:tc>
          <w:tcPr>
            <w:tcW w:w="1422" w:type="dxa"/>
            <w:tcBorders>
              <w:left w:val="single" w:sz="12" w:space="0" w:color="auto"/>
            </w:tcBorders>
          </w:tcPr>
          <w:p>
            <w:pPr>
              <w:ind w:right="-29"/>
              <w:jc w:val="center"/>
              <w:rPr>
                <w:noProof/>
                <w:sz w:val="18"/>
                <w:szCs w:val="18"/>
              </w:rPr>
            </w:pPr>
            <w:r>
              <w:rPr>
                <w:noProof/>
                <w:sz w:val="18"/>
              </w:rPr>
              <w:t xml:space="preserve">NUI pripravljen za uporabo </w:t>
            </w:r>
          </w:p>
        </w:tc>
        <w:tc>
          <w:tcPr>
            <w:tcW w:w="1380" w:type="dxa"/>
            <w:gridSpan w:val="2"/>
          </w:tcPr>
          <w:p>
            <w:pPr>
              <w:ind w:right="-29"/>
              <w:jc w:val="center"/>
              <w:rPr>
                <w:noProof/>
                <w:sz w:val="18"/>
                <w:szCs w:val="18"/>
              </w:rPr>
            </w:pPr>
            <w:r>
              <w:rPr>
                <w:noProof/>
                <w:sz w:val="18"/>
              </w:rPr>
              <w:t>Prilagoditev NUI – razvoj</w:t>
            </w:r>
          </w:p>
        </w:tc>
        <w:tc>
          <w:tcPr>
            <w:tcW w:w="303" w:type="dxa"/>
            <w:tcBorders>
              <w:right w:val="dashSmallGap" w:sz="4" w:space="0" w:color="auto"/>
            </w:tcBorders>
          </w:tcPr>
          <w:p>
            <w:pPr>
              <w:ind w:right="-29"/>
              <w:jc w:val="center"/>
              <w:rPr>
                <w:noProof/>
                <w:sz w:val="18"/>
                <w:szCs w:val="18"/>
              </w:rPr>
            </w:pPr>
          </w:p>
        </w:tc>
        <w:tc>
          <w:tcPr>
            <w:tcW w:w="637" w:type="dxa"/>
            <w:tcBorders>
              <w:left w:val="dashSmallGap" w:sz="4" w:space="0" w:color="auto"/>
              <w:bottom w:val="single" w:sz="4" w:space="0" w:color="auto"/>
            </w:tcBorders>
          </w:tcPr>
          <w:p>
            <w:pPr>
              <w:ind w:right="-29"/>
              <w:jc w:val="center"/>
              <w:rPr>
                <w:noProof/>
                <w:sz w:val="18"/>
                <w:szCs w:val="18"/>
              </w:rPr>
            </w:pPr>
          </w:p>
        </w:tc>
        <w:tc>
          <w:tcPr>
            <w:tcW w:w="330" w:type="dxa"/>
            <w:tcBorders>
              <w:right w:val="dashSmallGap" w:sz="4" w:space="0" w:color="auto"/>
            </w:tcBorders>
          </w:tcPr>
          <w:p>
            <w:pPr>
              <w:ind w:right="-29"/>
              <w:jc w:val="center"/>
              <w:rPr>
                <w:noProof/>
                <w:sz w:val="18"/>
                <w:szCs w:val="18"/>
              </w:rPr>
            </w:pPr>
          </w:p>
        </w:tc>
        <w:tc>
          <w:tcPr>
            <w:tcW w:w="637" w:type="dxa"/>
            <w:tcBorders>
              <w:left w:val="dashSmallGap" w:sz="4" w:space="0" w:color="auto"/>
            </w:tcBorders>
          </w:tcPr>
          <w:p>
            <w:pPr>
              <w:ind w:right="-29"/>
              <w:jc w:val="center"/>
              <w:rPr>
                <w:noProof/>
                <w:sz w:val="18"/>
                <w:szCs w:val="18"/>
              </w:rPr>
            </w:pPr>
          </w:p>
        </w:tc>
        <w:tc>
          <w:tcPr>
            <w:tcW w:w="596" w:type="dxa"/>
            <w:tcBorders>
              <w:right w:val="dashSmallGap" w:sz="4" w:space="0" w:color="auto"/>
            </w:tcBorders>
          </w:tcPr>
          <w:p>
            <w:pPr>
              <w:ind w:right="-29"/>
              <w:jc w:val="center"/>
              <w:rPr>
                <w:noProof/>
                <w:sz w:val="18"/>
                <w:szCs w:val="18"/>
              </w:rPr>
            </w:pPr>
            <w:r>
              <w:rPr>
                <w:noProof/>
                <w:sz w:val="18"/>
              </w:rPr>
              <w:t>30</w:t>
            </w:r>
          </w:p>
        </w:tc>
        <w:tc>
          <w:tcPr>
            <w:tcW w:w="840" w:type="dxa"/>
            <w:tcBorders>
              <w:left w:val="dashSmallGap" w:sz="4" w:space="0" w:color="auto"/>
            </w:tcBorders>
          </w:tcPr>
          <w:p>
            <w:pPr>
              <w:ind w:right="-29"/>
              <w:jc w:val="center"/>
              <w:rPr>
                <w:noProof/>
                <w:sz w:val="18"/>
                <w:szCs w:val="18"/>
              </w:rPr>
            </w:pPr>
            <w:r>
              <w:rPr>
                <w:noProof/>
                <w:sz w:val="18"/>
              </w:rPr>
              <w:t>3,150</w:t>
            </w:r>
          </w:p>
        </w:tc>
        <w:tc>
          <w:tcPr>
            <w:tcW w:w="596" w:type="dxa"/>
            <w:tcBorders>
              <w:right w:val="dashSmallGap" w:sz="4" w:space="0" w:color="auto"/>
            </w:tcBorders>
          </w:tcPr>
          <w:p>
            <w:pPr>
              <w:ind w:right="-29"/>
              <w:jc w:val="center"/>
              <w:rPr>
                <w:noProof/>
                <w:sz w:val="18"/>
                <w:szCs w:val="18"/>
              </w:rPr>
            </w:pPr>
            <w:r>
              <w:rPr>
                <w:noProof/>
                <w:sz w:val="18"/>
              </w:rPr>
              <w:t>30</w:t>
            </w:r>
          </w:p>
        </w:tc>
        <w:tc>
          <w:tcPr>
            <w:tcW w:w="840" w:type="dxa"/>
            <w:tcBorders>
              <w:left w:val="dashSmallGap" w:sz="4" w:space="0" w:color="auto"/>
            </w:tcBorders>
          </w:tcPr>
          <w:p>
            <w:pPr>
              <w:ind w:right="-29"/>
              <w:jc w:val="center"/>
              <w:rPr>
                <w:noProof/>
                <w:sz w:val="18"/>
                <w:szCs w:val="18"/>
              </w:rPr>
            </w:pPr>
            <w:r>
              <w:rPr>
                <w:noProof/>
                <w:sz w:val="18"/>
              </w:rPr>
              <w:t>3,150</w:t>
            </w:r>
          </w:p>
        </w:tc>
        <w:tc>
          <w:tcPr>
            <w:tcW w:w="596" w:type="dxa"/>
            <w:tcBorders>
              <w:right w:val="dashSmallGap" w:sz="4" w:space="0" w:color="auto"/>
            </w:tcBorders>
          </w:tcPr>
          <w:p>
            <w:pPr>
              <w:ind w:right="-29"/>
              <w:jc w:val="center"/>
              <w:rPr>
                <w:noProof/>
                <w:sz w:val="18"/>
                <w:szCs w:val="18"/>
              </w:rPr>
            </w:pPr>
          </w:p>
        </w:tc>
        <w:tc>
          <w:tcPr>
            <w:tcW w:w="772" w:type="dxa"/>
            <w:tcBorders>
              <w:left w:val="dashSmallGap" w:sz="4" w:space="0" w:color="auto"/>
            </w:tcBorders>
          </w:tcPr>
          <w:p>
            <w:pPr>
              <w:ind w:right="-29"/>
              <w:jc w:val="center"/>
              <w:rPr>
                <w:noProof/>
                <w:sz w:val="18"/>
                <w:szCs w:val="18"/>
              </w:rPr>
            </w:pPr>
          </w:p>
        </w:tc>
        <w:tc>
          <w:tcPr>
            <w:tcW w:w="360" w:type="dxa"/>
            <w:tcBorders>
              <w:right w:val="dashSmallGap" w:sz="4" w:space="0" w:color="auto"/>
            </w:tcBorders>
          </w:tcPr>
          <w:p>
            <w:pPr>
              <w:ind w:right="-29"/>
              <w:jc w:val="center"/>
              <w:rPr>
                <w:noProof/>
                <w:sz w:val="18"/>
                <w:szCs w:val="18"/>
              </w:rPr>
            </w:pPr>
          </w:p>
        </w:tc>
        <w:tc>
          <w:tcPr>
            <w:tcW w:w="637" w:type="dxa"/>
            <w:tcBorders>
              <w:left w:val="dashSmallGap" w:sz="4" w:space="0" w:color="auto"/>
            </w:tcBorders>
          </w:tcPr>
          <w:p>
            <w:pPr>
              <w:ind w:right="-29"/>
              <w:jc w:val="center"/>
              <w:rPr>
                <w:noProof/>
                <w:sz w:val="18"/>
                <w:szCs w:val="18"/>
              </w:rPr>
            </w:pPr>
          </w:p>
        </w:tc>
        <w:tc>
          <w:tcPr>
            <w:tcW w:w="360" w:type="dxa"/>
            <w:tcBorders>
              <w:right w:val="dashSmallGap" w:sz="4" w:space="0" w:color="auto"/>
            </w:tcBorders>
          </w:tcPr>
          <w:p>
            <w:pPr>
              <w:ind w:right="-29"/>
              <w:jc w:val="center"/>
              <w:rPr>
                <w:noProof/>
                <w:sz w:val="18"/>
                <w:szCs w:val="18"/>
              </w:rPr>
            </w:pPr>
          </w:p>
        </w:tc>
        <w:tc>
          <w:tcPr>
            <w:tcW w:w="637" w:type="dxa"/>
            <w:tcBorders>
              <w:left w:val="dashSmallGap" w:sz="4" w:space="0" w:color="auto"/>
            </w:tcBorders>
          </w:tcPr>
          <w:p>
            <w:pPr>
              <w:ind w:right="-29"/>
              <w:jc w:val="center"/>
              <w:rPr>
                <w:noProof/>
                <w:sz w:val="18"/>
                <w:szCs w:val="18"/>
              </w:rPr>
            </w:pPr>
          </w:p>
        </w:tc>
        <w:tc>
          <w:tcPr>
            <w:tcW w:w="360" w:type="dxa"/>
            <w:tcBorders>
              <w:right w:val="dashSmallGap" w:sz="4" w:space="0" w:color="auto"/>
            </w:tcBorders>
          </w:tcPr>
          <w:p>
            <w:pPr>
              <w:ind w:right="-29"/>
              <w:jc w:val="center"/>
              <w:rPr>
                <w:noProof/>
                <w:sz w:val="18"/>
                <w:szCs w:val="18"/>
              </w:rPr>
            </w:pPr>
          </w:p>
        </w:tc>
        <w:tc>
          <w:tcPr>
            <w:tcW w:w="637" w:type="dxa"/>
            <w:tcBorders>
              <w:left w:val="dashSmallGap" w:sz="4" w:space="0" w:color="auto"/>
            </w:tcBorders>
          </w:tcPr>
          <w:p>
            <w:pPr>
              <w:ind w:right="-29"/>
              <w:jc w:val="center"/>
              <w:rPr>
                <w:noProof/>
                <w:sz w:val="18"/>
                <w:szCs w:val="18"/>
              </w:rPr>
            </w:pPr>
          </w:p>
        </w:tc>
        <w:tc>
          <w:tcPr>
            <w:tcW w:w="360" w:type="dxa"/>
            <w:tcBorders>
              <w:right w:val="dashSmallGap" w:sz="4" w:space="0" w:color="auto"/>
            </w:tcBorders>
          </w:tcPr>
          <w:p>
            <w:pPr>
              <w:ind w:right="-29"/>
              <w:jc w:val="center"/>
              <w:rPr>
                <w:noProof/>
                <w:sz w:val="18"/>
                <w:szCs w:val="18"/>
              </w:rPr>
            </w:pPr>
          </w:p>
        </w:tc>
        <w:tc>
          <w:tcPr>
            <w:tcW w:w="637" w:type="dxa"/>
            <w:tcBorders>
              <w:left w:val="dashSmallGap" w:sz="4" w:space="0" w:color="auto"/>
              <w:bottom w:val="single" w:sz="4" w:space="0" w:color="auto"/>
            </w:tcBorders>
          </w:tcPr>
          <w:p>
            <w:pPr>
              <w:ind w:right="-29"/>
              <w:jc w:val="center"/>
              <w:rPr>
                <w:noProof/>
                <w:sz w:val="18"/>
                <w:szCs w:val="18"/>
              </w:rPr>
            </w:pPr>
          </w:p>
        </w:tc>
        <w:tc>
          <w:tcPr>
            <w:tcW w:w="813" w:type="dxa"/>
            <w:tcBorders>
              <w:right w:val="dashSmallGap" w:sz="4" w:space="0" w:color="auto"/>
            </w:tcBorders>
          </w:tcPr>
          <w:p>
            <w:pPr>
              <w:ind w:right="-29"/>
              <w:jc w:val="center"/>
              <w:rPr>
                <w:noProof/>
                <w:sz w:val="18"/>
                <w:szCs w:val="18"/>
              </w:rPr>
            </w:pPr>
            <w:r>
              <w:rPr>
                <w:noProof/>
                <w:sz w:val="18"/>
              </w:rPr>
              <w:t>30</w:t>
            </w:r>
          </w:p>
        </w:tc>
        <w:tc>
          <w:tcPr>
            <w:tcW w:w="1103" w:type="dxa"/>
            <w:tcBorders>
              <w:left w:val="dashSmallGap" w:sz="4" w:space="0" w:color="auto"/>
              <w:bottom w:val="single" w:sz="4" w:space="0" w:color="auto"/>
              <w:right w:val="single" w:sz="12" w:space="0" w:color="auto"/>
            </w:tcBorders>
          </w:tcPr>
          <w:p>
            <w:pPr>
              <w:ind w:right="-29"/>
              <w:jc w:val="center"/>
              <w:rPr>
                <w:noProof/>
                <w:sz w:val="18"/>
                <w:szCs w:val="18"/>
              </w:rPr>
            </w:pPr>
            <w:r>
              <w:rPr>
                <w:noProof/>
                <w:sz w:val="18"/>
              </w:rPr>
              <w:t>6,300</w:t>
            </w:r>
          </w:p>
        </w:tc>
      </w:tr>
      <w:tr>
        <w:trPr>
          <w:trHeight w:hRule="exact" w:val="978"/>
          <w:jc w:val="center"/>
        </w:trPr>
        <w:tc>
          <w:tcPr>
            <w:tcW w:w="1422" w:type="dxa"/>
            <w:tcBorders>
              <w:left w:val="single" w:sz="12" w:space="0" w:color="auto"/>
            </w:tcBorders>
          </w:tcPr>
          <w:p>
            <w:pPr>
              <w:ind w:right="-29"/>
              <w:rPr>
                <w:noProof/>
                <w:sz w:val="18"/>
                <w:szCs w:val="18"/>
              </w:rPr>
            </w:pPr>
            <w:r>
              <w:rPr>
                <w:noProof/>
                <w:sz w:val="18"/>
              </w:rPr>
              <w:t>Prilagoditev sistemov držav članic za interoperabilnost</w:t>
            </w:r>
          </w:p>
        </w:tc>
        <w:tc>
          <w:tcPr>
            <w:tcW w:w="1380" w:type="dxa"/>
            <w:gridSpan w:val="2"/>
          </w:tcPr>
          <w:p>
            <w:pPr>
              <w:ind w:right="-29"/>
              <w:jc w:val="center"/>
              <w:rPr>
                <w:noProof/>
                <w:sz w:val="18"/>
                <w:szCs w:val="18"/>
              </w:rPr>
            </w:pPr>
            <w:r>
              <w:rPr>
                <w:noProof/>
                <w:sz w:val="18"/>
              </w:rPr>
              <w:t>Stroški vključitve</w:t>
            </w:r>
          </w:p>
        </w:tc>
        <w:tc>
          <w:tcPr>
            <w:tcW w:w="303" w:type="dxa"/>
            <w:tcBorders>
              <w:right w:val="dashSmallGap" w:sz="4" w:space="0" w:color="auto"/>
            </w:tcBorders>
          </w:tcPr>
          <w:p>
            <w:pPr>
              <w:ind w:right="-29"/>
              <w:jc w:val="center"/>
              <w:rPr>
                <w:noProof/>
                <w:sz w:val="18"/>
                <w:szCs w:val="18"/>
              </w:rPr>
            </w:pPr>
          </w:p>
        </w:tc>
        <w:tc>
          <w:tcPr>
            <w:tcW w:w="637" w:type="dxa"/>
            <w:tcBorders>
              <w:left w:val="dashSmallGap" w:sz="4" w:space="0" w:color="auto"/>
              <w:bottom w:val="single" w:sz="4" w:space="0" w:color="auto"/>
            </w:tcBorders>
          </w:tcPr>
          <w:p>
            <w:pPr>
              <w:ind w:right="-29"/>
              <w:jc w:val="center"/>
              <w:rPr>
                <w:noProof/>
                <w:sz w:val="18"/>
                <w:szCs w:val="18"/>
              </w:rPr>
            </w:pPr>
          </w:p>
        </w:tc>
        <w:tc>
          <w:tcPr>
            <w:tcW w:w="330" w:type="dxa"/>
            <w:tcBorders>
              <w:right w:val="dashSmallGap" w:sz="4" w:space="0" w:color="auto"/>
            </w:tcBorders>
          </w:tcPr>
          <w:p>
            <w:pPr>
              <w:ind w:right="-29"/>
              <w:jc w:val="center"/>
              <w:rPr>
                <w:noProof/>
                <w:sz w:val="18"/>
                <w:szCs w:val="18"/>
              </w:rPr>
            </w:pPr>
          </w:p>
        </w:tc>
        <w:tc>
          <w:tcPr>
            <w:tcW w:w="637" w:type="dxa"/>
            <w:tcBorders>
              <w:left w:val="dashSmallGap" w:sz="4" w:space="0" w:color="auto"/>
              <w:bottom w:val="single" w:sz="4" w:space="0" w:color="auto"/>
            </w:tcBorders>
          </w:tcPr>
          <w:p>
            <w:pPr>
              <w:ind w:right="-29"/>
              <w:jc w:val="center"/>
              <w:rPr>
                <w:noProof/>
                <w:sz w:val="18"/>
                <w:szCs w:val="18"/>
              </w:rPr>
            </w:pPr>
          </w:p>
        </w:tc>
        <w:tc>
          <w:tcPr>
            <w:tcW w:w="596" w:type="dxa"/>
            <w:tcBorders>
              <w:right w:val="dashSmallGap" w:sz="4" w:space="0" w:color="auto"/>
            </w:tcBorders>
          </w:tcPr>
          <w:p>
            <w:pPr>
              <w:ind w:right="-29"/>
              <w:jc w:val="center"/>
              <w:rPr>
                <w:noProof/>
                <w:sz w:val="18"/>
                <w:szCs w:val="18"/>
              </w:rPr>
            </w:pPr>
            <w:r>
              <w:rPr>
                <w:noProof/>
                <w:sz w:val="18"/>
              </w:rPr>
              <w:t>30</w:t>
            </w:r>
          </w:p>
        </w:tc>
        <w:tc>
          <w:tcPr>
            <w:tcW w:w="840" w:type="dxa"/>
            <w:tcBorders>
              <w:left w:val="dashSmallGap" w:sz="4" w:space="0" w:color="auto"/>
              <w:bottom w:val="single" w:sz="4" w:space="0" w:color="auto"/>
            </w:tcBorders>
          </w:tcPr>
          <w:p>
            <w:pPr>
              <w:ind w:right="-29"/>
              <w:jc w:val="center"/>
              <w:rPr>
                <w:noProof/>
                <w:sz w:val="18"/>
                <w:szCs w:val="18"/>
              </w:rPr>
            </w:pPr>
            <w:r>
              <w:rPr>
                <w:noProof/>
                <w:sz w:val="18"/>
              </w:rPr>
              <w:t>40,000</w:t>
            </w:r>
          </w:p>
        </w:tc>
        <w:tc>
          <w:tcPr>
            <w:tcW w:w="596" w:type="dxa"/>
            <w:tcBorders>
              <w:right w:val="dashSmallGap" w:sz="4" w:space="0" w:color="auto"/>
            </w:tcBorders>
          </w:tcPr>
          <w:p>
            <w:pPr>
              <w:ind w:right="-29"/>
              <w:jc w:val="center"/>
              <w:rPr>
                <w:noProof/>
                <w:sz w:val="18"/>
                <w:szCs w:val="18"/>
              </w:rPr>
            </w:pPr>
            <w:r>
              <w:rPr>
                <w:noProof/>
                <w:sz w:val="18"/>
              </w:rPr>
              <w:t>30</w:t>
            </w:r>
          </w:p>
        </w:tc>
        <w:tc>
          <w:tcPr>
            <w:tcW w:w="840" w:type="dxa"/>
            <w:tcBorders>
              <w:left w:val="dashSmallGap" w:sz="4" w:space="0" w:color="auto"/>
              <w:bottom w:val="single" w:sz="4" w:space="0" w:color="auto"/>
            </w:tcBorders>
          </w:tcPr>
          <w:p>
            <w:pPr>
              <w:ind w:right="-29"/>
              <w:jc w:val="center"/>
              <w:rPr>
                <w:noProof/>
                <w:sz w:val="18"/>
                <w:szCs w:val="18"/>
              </w:rPr>
            </w:pPr>
            <w:r>
              <w:rPr>
                <w:noProof/>
                <w:sz w:val="18"/>
              </w:rPr>
              <w:t>40,000</w:t>
            </w:r>
          </w:p>
        </w:tc>
        <w:tc>
          <w:tcPr>
            <w:tcW w:w="596" w:type="dxa"/>
            <w:tcBorders>
              <w:right w:val="dashSmallGap" w:sz="4" w:space="0" w:color="auto"/>
            </w:tcBorders>
          </w:tcPr>
          <w:p>
            <w:pPr>
              <w:ind w:right="-29"/>
              <w:jc w:val="center"/>
              <w:rPr>
                <w:noProof/>
                <w:sz w:val="18"/>
                <w:szCs w:val="18"/>
              </w:rPr>
            </w:pPr>
            <w:r>
              <w:rPr>
                <w:noProof/>
                <w:sz w:val="18"/>
              </w:rPr>
              <w:t>30</w:t>
            </w:r>
          </w:p>
        </w:tc>
        <w:tc>
          <w:tcPr>
            <w:tcW w:w="772" w:type="dxa"/>
            <w:tcBorders>
              <w:left w:val="dashSmallGap" w:sz="4" w:space="0" w:color="auto"/>
              <w:bottom w:val="single" w:sz="4" w:space="0" w:color="auto"/>
            </w:tcBorders>
          </w:tcPr>
          <w:p>
            <w:pPr>
              <w:ind w:right="-29"/>
              <w:jc w:val="center"/>
              <w:rPr>
                <w:noProof/>
                <w:sz w:val="18"/>
                <w:szCs w:val="18"/>
              </w:rPr>
            </w:pPr>
            <w:r>
              <w:rPr>
                <w:noProof/>
                <w:sz w:val="18"/>
              </w:rPr>
              <w:t>40,000</w:t>
            </w:r>
          </w:p>
        </w:tc>
        <w:tc>
          <w:tcPr>
            <w:tcW w:w="360" w:type="dxa"/>
            <w:tcBorders>
              <w:right w:val="dashSmallGap" w:sz="4" w:space="0" w:color="auto"/>
            </w:tcBorders>
          </w:tcPr>
          <w:p>
            <w:pPr>
              <w:ind w:right="-29"/>
              <w:jc w:val="center"/>
              <w:rPr>
                <w:noProof/>
                <w:sz w:val="18"/>
                <w:szCs w:val="18"/>
              </w:rPr>
            </w:pPr>
          </w:p>
        </w:tc>
        <w:tc>
          <w:tcPr>
            <w:tcW w:w="637" w:type="dxa"/>
            <w:tcBorders>
              <w:left w:val="dashSmallGap" w:sz="4" w:space="0" w:color="auto"/>
              <w:bottom w:val="single" w:sz="4" w:space="0" w:color="auto"/>
            </w:tcBorders>
          </w:tcPr>
          <w:p>
            <w:pPr>
              <w:ind w:right="-29"/>
              <w:jc w:val="center"/>
              <w:rPr>
                <w:noProof/>
                <w:sz w:val="18"/>
                <w:szCs w:val="18"/>
              </w:rPr>
            </w:pPr>
          </w:p>
        </w:tc>
        <w:tc>
          <w:tcPr>
            <w:tcW w:w="360" w:type="dxa"/>
            <w:tcBorders>
              <w:right w:val="dashSmallGap" w:sz="4" w:space="0" w:color="auto"/>
            </w:tcBorders>
          </w:tcPr>
          <w:p>
            <w:pPr>
              <w:ind w:right="-29"/>
              <w:jc w:val="center"/>
              <w:rPr>
                <w:noProof/>
                <w:sz w:val="18"/>
                <w:szCs w:val="18"/>
              </w:rPr>
            </w:pPr>
          </w:p>
        </w:tc>
        <w:tc>
          <w:tcPr>
            <w:tcW w:w="637" w:type="dxa"/>
            <w:tcBorders>
              <w:left w:val="dashSmallGap" w:sz="4" w:space="0" w:color="auto"/>
              <w:bottom w:val="single" w:sz="4" w:space="0" w:color="auto"/>
            </w:tcBorders>
          </w:tcPr>
          <w:p>
            <w:pPr>
              <w:ind w:right="-29"/>
              <w:jc w:val="center"/>
              <w:rPr>
                <w:noProof/>
                <w:sz w:val="18"/>
                <w:szCs w:val="18"/>
              </w:rPr>
            </w:pPr>
          </w:p>
        </w:tc>
        <w:tc>
          <w:tcPr>
            <w:tcW w:w="360" w:type="dxa"/>
            <w:tcBorders>
              <w:right w:val="dashSmallGap" w:sz="4" w:space="0" w:color="auto"/>
            </w:tcBorders>
          </w:tcPr>
          <w:p>
            <w:pPr>
              <w:ind w:right="-29"/>
              <w:jc w:val="center"/>
              <w:rPr>
                <w:noProof/>
                <w:sz w:val="18"/>
                <w:szCs w:val="18"/>
              </w:rPr>
            </w:pPr>
          </w:p>
        </w:tc>
        <w:tc>
          <w:tcPr>
            <w:tcW w:w="637" w:type="dxa"/>
            <w:tcBorders>
              <w:left w:val="dashSmallGap" w:sz="4" w:space="0" w:color="auto"/>
              <w:bottom w:val="single" w:sz="4" w:space="0" w:color="auto"/>
            </w:tcBorders>
          </w:tcPr>
          <w:p>
            <w:pPr>
              <w:ind w:right="-29"/>
              <w:jc w:val="center"/>
              <w:rPr>
                <w:noProof/>
                <w:sz w:val="18"/>
                <w:szCs w:val="18"/>
              </w:rPr>
            </w:pPr>
          </w:p>
        </w:tc>
        <w:tc>
          <w:tcPr>
            <w:tcW w:w="360" w:type="dxa"/>
            <w:tcBorders>
              <w:right w:val="dashSmallGap" w:sz="4" w:space="0" w:color="auto"/>
            </w:tcBorders>
          </w:tcPr>
          <w:p>
            <w:pPr>
              <w:ind w:right="-29"/>
              <w:jc w:val="center"/>
              <w:rPr>
                <w:noProof/>
                <w:sz w:val="18"/>
                <w:szCs w:val="18"/>
              </w:rPr>
            </w:pPr>
          </w:p>
        </w:tc>
        <w:tc>
          <w:tcPr>
            <w:tcW w:w="637" w:type="dxa"/>
            <w:tcBorders>
              <w:left w:val="dashSmallGap" w:sz="4" w:space="0" w:color="auto"/>
              <w:bottom w:val="single" w:sz="4" w:space="0" w:color="auto"/>
            </w:tcBorders>
          </w:tcPr>
          <w:p>
            <w:pPr>
              <w:ind w:right="-29"/>
              <w:jc w:val="center"/>
              <w:rPr>
                <w:noProof/>
                <w:sz w:val="18"/>
                <w:szCs w:val="18"/>
              </w:rPr>
            </w:pPr>
          </w:p>
        </w:tc>
        <w:tc>
          <w:tcPr>
            <w:tcW w:w="813" w:type="dxa"/>
            <w:tcBorders>
              <w:right w:val="dashSmallGap" w:sz="4" w:space="0" w:color="auto"/>
            </w:tcBorders>
          </w:tcPr>
          <w:p>
            <w:pPr>
              <w:ind w:right="-29"/>
              <w:jc w:val="center"/>
              <w:rPr>
                <w:noProof/>
                <w:sz w:val="18"/>
                <w:szCs w:val="18"/>
              </w:rPr>
            </w:pPr>
            <w:r>
              <w:rPr>
                <w:noProof/>
                <w:sz w:val="18"/>
              </w:rPr>
              <w:t>30</w:t>
            </w:r>
          </w:p>
        </w:tc>
        <w:tc>
          <w:tcPr>
            <w:tcW w:w="1103" w:type="dxa"/>
            <w:tcBorders>
              <w:left w:val="dashSmallGap" w:sz="4" w:space="0" w:color="auto"/>
              <w:bottom w:val="single" w:sz="4" w:space="0" w:color="auto"/>
              <w:right w:val="single" w:sz="12" w:space="0" w:color="auto"/>
            </w:tcBorders>
          </w:tcPr>
          <w:p>
            <w:pPr>
              <w:ind w:right="-29"/>
              <w:jc w:val="center"/>
              <w:rPr>
                <w:noProof/>
                <w:sz w:val="18"/>
                <w:szCs w:val="18"/>
              </w:rPr>
            </w:pPr>
            <w:r>
              <w:rPr>
                <w:noProof/>
                <w:sz w:val="18"/>
              </w:rPr>
              <w:t>120,000</w:t>
            </w:r>
          </w:p>
        </w:tc>
      </w:tr>
      <w:tr>
        <w:trPr>
          <w:trHeight w:hRule="exact" w:val="1569"/>
          <w:jc w:val="center"/>
        </w:trPr>
        <w:tc>
          <w:tcPr>
            <w:tcW w:w="1422" w:type="dxa"/>
            <w:tcBorders>
              <w:left w:val="single" w:sz="12" w:space="0" w:color="auto"/>
            </w:tcBorders>
          </w:tcPr>
          <w:p>
            <w:pPr>
              <w:ind w:right="-29"/>
              <w:jc w:val="center"/>
              <w:rPr>
                <w:noProof/>
                <w:sz w:val="18"/>
                <w:szCs w:val="18"/>
              </w:rPr>
            </w:pPr>
            <w:r>
              <w:rPr>
                <w:noProof/>
                <w:sz w:val="18"/>
              </w:rPr>
              <w:t xml:space="preserve">Usposobljeni končni uporabniki </w:t>
            </w:r>
          </w:p>
        </w:tc>
        <w:tc>
          <w:tcPr>
            <w:tcW w:w="1380" w:type="dxa"/>
            <w:gridSpan w:val="2"/>
          </w:tcPr>
          <w:p>
            <w:pPr>
              <w:ind w:right="-29"/>
              <w:jc w:val="center"/>
              <w:rPr>
                <w:noProof/>
                <w:sz w:val="18"/>
                <w:szCs w:val="18"/>
              </w:rPr>
            </w:pPr>
            <w:r>
              <w:rPr>
                <w:noProof/>
                <w:sz w:val="18"/>
              </w:rPr>
              <w:t>Skupaj 10 000 tečajev za končne uporabnike za ceno 1 000 EUR na tečaj</w:t>
            </w:r>
          </w:p>
        </w:tc>
        <w:tc>
          <w:tcPr>
            <w:tcW w:w="303" w:type="dxa"/>
            <w:tcBorders>
              <w:right w:val="dashSmallGap" w:sz="4" w:space="0" w:color="auto"/>
            </w:tcBorders>
          </w:tcPr>
          <w:p>
            <w:pPr>
              <w:ind w:right="-29"/>
              <w:jc w:val="center"/>
              <w:rPr>
                <w:noProof/>
                <w:sz w:val="18"/>
                <w:szCs w:val="18"/>
              </w:rPr>
            </w:pPr>
          </w:p>
        </w:tc>
        <w:tc>
          <w:tcPr>
            <w:tcW w:w="637" w:type="dxa"/>
            <w:tcBorders>
              <w:left w:val="dashSmallGap" w:sz="4" w:space="0" w:color="auto"/>
              <w:bottom w:val="single" w:sz="4" w:space="0" w:color="auto"/>
            </w:tcBorders>
          </w:tcPr>
          <w:p>
            <w:pPr>
              <w:ind w:right="-29"/>
              <w:jc w:val="center"/>
              <w:rPr>
                <w:noProof/>
                <w:sz w:val="18"/>
                <w:szCs w:val="18"/>
              </w:rPr>
            </w:pPr>
          </w:p>
        </w:tc>
        <w:tc>
          <w:tcPr>
            <w:tcW w:w="330" w:type="dxa"/>
            <w:tcBorders>
              <w:right w:val="dashSmallGap" w:sz="4" w:space="0" w:color="auto"/>
            </w:tcBorders>
          </w:tcPr>
          <w:p>
            <w:pPr>
              <w:ind w:right="-29"/>
              <w:jc w:val="center"/>
              <w:rPr>
                <w:noProof/>
                <w:sz w:val="18"/>
                <w:szCs w:val="18"/>
              </w:rPr>
            </w:pPr>
          </w:p>
        </w:tc>
        <w:tc>
          <w:tcPr>
            <w:tcW w:w="637" w:type="dxa"/>
            <w:tcBorders>
              <w:left w:val="dashSmallGap" w:sz="4" w:space="0" w:color="auto"/>
              <w:bottom w:val="single" w:sz="4" w:space="0" w:color="auto"/>
            </w:tcBorders>
          </w:tcPr>
          <w:p>
            <w:pPr>
              <w:ind w:right="-29"/>
              <w:jc w:val="center"/>
              <w:rPr>
                <w:noProof/>
                <w:sz w:val="18"/>
                <w:szCs w:val="18"/>
              </w:rPr>
            </w:pPr>
          </w:p>
        </w:tc>
        <w:tc>
          <w:tcPr>
            <w:tcW w:w="596" w:type="dxa"/>
            <w:tcBorders>
              <w:right w:val="dashSmallGap" w:sz="4" w:space="0" w:color="auto"/>
            </w:tcBorders>
          </w:tcPr>
          <w:p>
            <w:pPr>
              <w:ind w:right="-29"/>
              <w:jc w:val="center"/>
              <w:rPr>
                <w:noProof/>
                <w:sz w:val="18"/>
                <w:szCs w:val="18"/>
              </w:rPr>
            </w:pPr>
          </w:p>
        </w:tc>
        <w:tc>
          <w:tcPr>
            <w:tcW w:w="840" w:type="dxa"/>
            <w:tcBorders>
              <w:top w:val="single" w:sz="4" w:space="0" w:color="auto"/>
              <w:left w:val="dashSmallGap" w:sz="4" w:space="0" w:color="auto"/>
              <w:bottom w:val="single" w:sz="4" w:space="0" w:color="auto"/>
              <w:right w:val="single" w:sz="4" w:space="0" w:color="auto"/>
            </w:tcBorders>
          </w:tcPr>
          <w:p>
            <w:pPr>
              <w:ind w:right="-29"/>
              <w:jc w:val="center"/>
              <w:rPr>
                <w:noProof/>
                <w:sz w:val="18"/>
                <w:szCs w:val="18"/>
              </w:rPr>
            </w:pPr>
          </w:p>
        </w:tc>
        <w:tc>
          <w:tcPr>
            <w:tcW w:w="596" w:type="dxa"/>
            <w:tcBorders>
              <w:left w:val="single" w:sz="4" w:space="0" w:color="auto"/>
              <w:right w:val="dashSmallGap" w:sz="4" w:space="0" w:color="auto"/>
            </w:tcBorders>
          </w:tcPr>
          <w:p>
            <w:pPr>
              <w:ind w:right="-29"/>
              <w:jc w:val="center"/>
              <w:rPr>
                <w:noProof/>
                <w:sz w:val="18"/>
                <w:szCs w:val="18"/>
              </w:rPr>
            </w:pPr>
            <w:r>
              <w:rPr>
                <w:noProof/>
                <w:sz w:val="18"/>
              </w:rPr>
              <w:t>5 000</w:t>
            </w:r>
          </w:p>
        </w:tc>
        <w:tc>
          <w:tcPr>
            <w:tcW w:w="840" w:type="dxa"/>
            <w:tcBorders>
              <w:left w:val="dashSmallGap" w:sz="4" w:space="0" w:color="auto"/>
              <w:bottom w:val="single" w:sz="4" w:space="0" w:color="auto"/>
            </w:tcBorders>
          </w:tcPr>
          <w:p>
            <w:pPr>
              <w:ind w:right="-29"/>
              <w:jc w:val="center"/>
              <w:rPr>
                <w:noProof/>
                <w:sz w:val="18"/>
                <w:szCs w:val="18"/>
              </w:rPr>
            </w:pPr>
            <w:r>
              <w:rPr>
                <w:noProof/>
                <w:sz w:val="18"/>
              </w:rPr>
              <w:t>5,000</w:t>
            </w:r>
          </w:p>
        </w:tc>
        <w:tc>
          <w:tcPr>
            <w:tcW w:w="596" w:type="dxa"/>
            <w:tcBorders>
              <w:right w:val="dashSmallGap" w:sz="4" w:space="0" w:color="auto"/>
            </w:tcBorders>
          </w:tcPr>
          <w:p>
            <w:pPr>
              <w:ind w:right="-29"/>
              <w:jc w:val="center"/>
              <w:rPr>
                <w:noProof/>
                <w:sz w:val="18"/>
                <w:szCs w:val="18"/>
              </w:rPr>
            </w:pPr>
            <w:r>
              <w:rPr>
                <w:noProof/>
                <w:sz w:val="18"/>
              </w:rPr>
              <w:t>5 000</w:t>
            </w:r>
          </w:p>
        </w:tc>
        <w:tc>
          <w:tcPr>
            <w:tcW w:w="772" w:type="dxa"/>
            <w:tcBorders>
              <w:left w:val="dashSmallGap" w:sz="4" w:space="0" w:color="auto"/>
              <w:bottom w:val="single" w:sz="4" w:space="0" w:color="auto"/>
            </w:tcBorders>
          </w:tcPr>
          <w:p>
            <w:pPr>
              <w:ind w:right="-29"/>
              <w:jc w:val="center"/>
              <w:rPr>
                <w:noProof/>
                <w:sz w:val="18"/>
                <w:szCs w:val="18"/>
              </w:rPr>
            </w:pPr>
            <w:r>
              <w:rPr>
                <w:noProof/>
                <w:sz w:val="18"/>
              </w:rPr>
              <w:t>5,000</w:t>
            </w:r>
          </w:p>
        </w:tc>
        <w:tc>
          <w:tcPr>
            <w:tcW w:w="360" w:type="dxa"/>
            <w:tcBorders>
              <w:right w:val="dashSmallGap" w:sz="4" w:space="0" w:color="auto"/>
            </w:tcBorders>
          </w:tcPr>
          <w:p>
            <w:pPr>
              <w:ind w:right="-29"/>
              <w:jc w:val="center"/>
              <w:rPr>
                <w:noProof/>
                <w:sz w:val="18"/>
                <w:szCs w:val="18"/>
              </w:rPr>
            </w:pPr>
          </w:p>
        </w:tc>
        <w:tc>
          <w:tcPr>
            <w:tcW w:w="637" w:type="dxa"/>
            <w:tcBorders>
              <w:left w:val="dashSmallGap" w:sz="4" w:space="0" w:color="auto"/>
              <w:bottom w:val="single" w:sz="4" w:space="0" w:color="auto"/>
            </w:tcBorders>
          </w:tcPr>
          <w:p>
            <w:pPr>
              <w:ind w:right="-29"/>
              <w:jc w:val="center"/>
              <w:rPr>
                <w:noProof/>
                <w:sz w:val="18"/>
                <w:szCs w:val="18"/>
              </w:rPr>
            </w:pPr>
          </w:p>
        </w:tc>
        <w:tc>
          <w:tcPr>
            <w:tcW w:w="360" w:type="dxa"/>
            <w:tcBorders>
              <w:right w:val="dashSmallGap" w:sz="4" w:space="0" w:color="auto"/>
            </w:tcBorders>
          </w:tcPr>
          <w:p>
            <w:pPr>
              <w:ind w:right="-29"/>
              <w:jc w:val="center"/>
              <w:rPr>
                <w:noProof/>
                <w:sz w:val="18"/>
                <w:szCs w:val="18"/>
              </w:rPr>
            </w:pPr>
          </w:p>
        </w:tc>
        <w:tc>
          <w:tcPr>
            <w:tcW w:w="637" w:type="dxa"/>
            <w:tcBorders>
              <w:left w:val="dashSmallGap" w:sz="4" w:space="0" w:color="auto"/>
              <w:bottom w:val="single" w:sz="4" w:space="0" w:color="auto"/>
            </w:tcBorders>
          </w:tcPr>
          <w:p>
            <w:pPr>
              <w:ind w:right="-29"/>
              <w:jc w:val="center"/>
              <w:rPr>
                <w:noProof/>
                <w:sz w:val="18"/>
                <w:szCs w:val="18"/>
              </w:rPr>
            </w:pPr>
          </w:p>
        </w:tc>
        <w:tc>
          <w:tcPr>
            <w:tcW w:w="360" w:type="dxa"/>
            <w:tcBorders>
              <w:right w:val="dashSmallGap" w:sz="4" w:space="0" w:color="auto"/>
            </w:tcBorders>
          </w:tcPr>
          <w:p>
            <w:pPr>
              <w:ind w:right="-29"/>
              <w:jc w:val="center"/>
              <w:rPr>
                <w:noProof/>
                <w:sz w:val="18"/>
                <w:szCs w:val="18"/>
              </w:rPr>
            </w:pPr>
          </w:p>
        </w:tc>
        <w:tc>
          <w:tcPr>
            <w:tcW w:w="637" w:type="dxa"/>
            <w:tcBorders>
              <w:left w:val="dashSmallGap" w:sz="4" w:space="0" w:color="auto"/>
              <w:bottom w:val="single" w:sz="4" w:space="0" w:color="auto"/>
            </w:tcBorders>
          </w:tcPr>
          <w:p>
            <w:pPr>
              <w:ind w:right="-29"/>
              <w:jc w:val="center"/>
              <w:rPr>
                <w:noProof/>
                <w:sz w:val="18"/>
                <w:szCs w:val="18"/>
              </w:rPr>
            </w:pPr>
          </w:p>
        </w:tc>
        <w:tc>
          <w:tcPr>
            <w:tcW w:w="360" w:type="dxa"/>
            <w:tcBorders>
              <w:right w:val="dashSmallGap" w:sz="4" w:space="0" w:color="auto"/>
            </w:tcBorders>
          </w:tcPr>
          <w:p>
            <w:pPr>
              <w:ind w:right="-29"/>
              <w:jc w:val="center"/>
              <w:rPr>
                <w:noProof/>
                <w:sz w:val="18"/>
                <w:szCs w:val="18"/>
              </w:rPr>
            </w:pPr>
          </w:p>
        </w:tc>
        <w:tc>
          <w:tcPr>
            <w:tcW w:w="637" w:type="dxa"/>
            <w:tcBorders>
              <w:left w:val="dashSmallGap" w:sz="4" w:space="0" w:color="auto"/>
              <w:bottom w:val="single" w:sz="4" w:space="0" w:color="auto"/>
            </w:tcBorders>
          </w:tcPr>
          <w:p>
            <w:pPr>
              <w:ind w:right="-29"/>
              <w:jc w:val="center"/>
              <w:rPr>
                <w:noProof/>
                <w:sz w:val="18"/>
                <w:szCs w:val="18"/>
              </w:rPr>
            </w:pPr>
          </w:p>
        </w:tc>
        <w:tc>
          <w:tcPr>
            <w:tcW w:w="813" w:type="dxa"/>
            <w:tcBorders>
              <w:right w:val="dashSmallGap" w:sz="4" w:space="0" w:color="auto"/>
            </w:tcBorders>
          </w:tcPr>
          <w:p>
            <w:pPr>
              <w:ind w:right="-29"/>
              <w:jc w:val="center"/>
              <w:rPr>
                <w:noProof/>
                <w:sz w:val="18"/>
                <w:szCs w:val="18"/>
              </w:rPr>
            </w:pPr>
            <w:r>
              <w:rPr>
                <w:noProof/>
                <w:sz w:val="18"/>
              </w:rPr>
              <w:t>10 000</w:t>
            </w:r>
          </w:p>
        </w:tc>
        <w:tc>
          <w:tcPr>
            <w:tcW w:w="1103" w:type="dxa"/>
            <w:tcBorders>
              <w:left w:val="dashSmallGap" w:sz="4" w:space="0" w:color="auto"/>
              <w:bottom w:val="single" w:sz="4" w:space="0" w:color="auto"/>
              <w:right w:val="single" w:sz="12" w:space="0" w:color="auto"/>
            </w:tcBorders>
          </w:tcPr>
          <w:p>
            <w:pPr>
              <w:ind w:right="-29"/>
              <w:jc w:val="center"/>
              <w:rPr>
                <w:noProof/>
                <w:sz w:val="18"/>
                <w:szCs w:val="18"/>
              </w:rPr>
            </w:pPr>
            <w:r>
              <w:rPr>
                <w:noProof/>
                <w:sz w:val="18"/>
              </w:rPr>
              <w:t>10,000</w:t>
            </w:r>
          </w:p>
        </w:tc>
      </w:tr>
      <w:tr>
        <w:trPr>
          <w:trHeight w:val="687"/>
          <w:jc w:val="center"/>
        </w:trPr>
        <w:tc>
          <w:tcPr>
            <w:tcW w:w="2802" w:type="dxa"/>
            <w:gridSpan w:val="3"/>
            <w:tcBorders>
              <w:left w:val="single" w:sz="12" w:space="0" w:color="auto"/>
              <w:bottom w:val="single" w:sz="12" w:space="0" w:color="auto"/>
            </w:tcBorders>
            <w:vAlign w:val="center"/>
          </w:tcPr>
          <w:p>
            <w:pPr>
              <w:ind w:right="-29"/>
              <w:jc w:val="center"/>
              <w:rPr>
                <w:noProof/>
                <w:sz w:val="18"/>
                <w:szCs w:val="18"/>
              </w:rPr>
            </w:pPr>
            <w:r>
              <w:rPr>
                <w:noProof/>
                <w:sz w:val="18"/>
              </w:rPr>
              <w:t>Seštevek za specifični cilj št. 1</w:t>
            </w:r>
          </w:p>
        </w:tc>
        <w:tc>
          <w:tcPr>
            <w:tcW w:w="303" w:type="dxa"/>
            <w:tcBorders>
              <w:bottom w:val="single" w:sz="12" w:space="0" w:color="auto"/>
              <w:right w:val="dashSmallGap" w:sz="4" w:space="0" w:color="auto"/>
            </w:tcBorders>
          </w:tcPr>
          <w:p>
            <w:pPr>
              <w:ind w:right="-29"/>
              <w:jc w:val="center"/>
              <w:rPr>
                <w:noProof/>
                <w:sz w:val="18"/>
                <w:szCs w:val="18"/>
              </w:rPr>
            </w:pPr>
          </w:p>
        </w:tc>
        <w:tc>
          <w:tcPr>
            <w:tcW w:w="637" w:type="dxa"/>
            <w:tcBorders>
              <w:left w:val="dashSmallGap" w:sz="4" w:space="0" w:color="auto"/>
              <w:bottom w:val="single" w:sz="12" w:space="0" w:color="auto"/>
            </w:tcBorders>
          </w:tcPr>
          <w:p>
            <w:pPr>
              <w:ind w:right="-29"/>
              <w:jc w:val="center"/>
              <w:rPr>
                <w:b/>
                <w:noProof/>
                <w:sz w:val="18"/>
                <w:szCs w:val="18"/>
              </w:rPr>
            </w:pPr>
          </w:p>
        </w:tc>
        <w:tc>
          <w:tcPr>
            <w:tcW w:w="330" w:type="dxa"/>
            <w:tcBorders>
              <w:bottom w:val="single" w:sz="12" w:space="0" w:color="auto"/>
              <w:right w:val="dashSmallGap" w:sz="4" w:space="0" w:color="auto"/>
            </w:tcBorders>
          </w:tcPr>
          <w:p>
            <w:pPr>
              <w:ind w:right="-29"/>
              <w:jc w:val="center"/>
              <w:rPr>
                <w:noProof/>
                <w:sz w:val="18"/>
                <w:szCs w:val="18"/>
              </w:rPr>
            </w:pPr>
          </w:p>
        </w:tc>
        <w:tc>
          <w:tcPr>
            <w:tcW w:w="637" w:type="dxa"/>
            <w:tcBorders>
              <w:left w:val="dashSmallGap" w:sz="4" w:space="0" w:color="auto"/>
              <w:bottom w:val="single" w:sz="12" w:space="0" w:color="auto"/>
            </w:tcBorders>
          </w:tcPr>
          <w:p>
            <w:pPr>
              <w:ind w:right="-29"/>
              <w:jc w:val="center"/>
              <w:rPr>
                <w:b/>
                <w:noProof/>
                <w:sz w:val="18"/>
                <w:szCs w:val="18"/>
              </w:rPr>
            </w:pPr>
          </w:p>
        </w:tc>
        <w:tc>
          <w:tcPr>
            <w:tcW w:w="596" w:type="dxa"/>
            <w:tcBorders>
              <w:bottom w:val="single" w:sz="12" w:space="0" w:color="auto"/>
              <w:right w:val="dashSmallGap" w:sz="4" w:space="0" w:color="auto"/>
            </w:tcBorders>
          </w:tcPr>
          <w:p>
            <w:pPr>
              <w:ind w:right="-29"/>
              <w:jc w:val="center"/>
              <w:rPr>
                <w:noProof/>
                <w:sz w:val="18"/>
                <w:szCs w:val="18"/>
              </w:rPr>
            </w:pPr>
          </w:p>
        </w:tc>
        <w:tc>
          <w:tcPr>
            <w:tcW w:w="840" w:type="dxa"/>
            <w:tcBorders>
              <w:left w:val="dashSmallGap" w:sz="4" w:space="0" w:color="auto"/>
              <w:bottom w:val="single" w:sz="12" w:space="0" w:color="auto"/>
            </w:tcBorders>
          </w:tcPr>
          <w:p>
            <w:pPr>
              <w:ind w:right="-29"/>
              <w:jc w:val="center"/>
              <w:rPr>
                <w:b/>
                <w:noProof/>
                <w:sz w:val="18"/>
                <w:szCs w:val="18"/>
              </w:rPr>
            </w:pPr>
            <w:r>
              <w:rPr>
                <w:b/>
                <w:noProof/>
                <w:sz w:val="18"/>
              </w:rPr>
              <w:t>43,150</w:t>
            </w:r>
          </w:p>
        </w:tc>
        <w:tc>
          <w:tcPr>
            <w:tcW w:w="596" w:type="dxa"/>
            <w:tcBorders>
              <w:bottom w:val="single" w:sz="12" w:space="0" w:color="auto"/>
              <w:right w:val="dashSmallGap" w:sz="4" w:space="0" w:color="auto"/>
            </w:tcBorders>
          </w:tcPr>
          <w:p>
            <w:pPr>
              <w:ind w:right="-29"/>
              <w:jc w:val="center"/>
              <w:rPr>
                <w:noProof/>
                <w:sz w:val="18"/>
                <w:szCs w:val="18"/>
              </w:rPr>
            </w:pPr>
          </w:p>
        </w:tc>
        <w:tc>
          <w:tcPr>
            <w:tcW w:w="840" w:type="dxa"/>
            <w:tcBorders>
              <w:left w:val="dashSmallGap" w:sz="4" w:space="0" w:color="auto"/>
              <w:bottom w:val="single" w:sz="12" w:space="0" w:color="auto"/>
            </w:tcBorders>
          </w:tcPr>
          <w:p>
            <w:pPr>
              <w:ind w:right="-29"/>
              <w:jc w:val="center"/>
              <w:rPr>
                <w:b/>
                <w:noProof/>
                <w:sz w:val="18"/>
                <w:szCs w:val="18"/>
              </w:rPr>
            </w:pPr>
            <w:r>
              <w:rPr>
                <w:b/>
                <w:noProof/>
                <w:sz w:val="18"/>
              </w:rPr>
              <w:t>48,150</w:t>
            </w:r>
          </w:p>
        </w:tc>
        <w:tc>
          <w:tcPr>
            <w:tcW w:w="596" w:type="dxa"/>
            <w:tcBorders>
              <w:bottom w:val="single" w:sz="12" w:space="0" w:color="auto"/>
              <w:right w:val="dashSmallGap" w:sz="4" w:space="0" w:color="auto"/>
            </w:tcBorders>
          </w:tcPr>
          <w:p>
            <w:pPr>
              <w:ind w:right="-29"/>
              <w:jc w:val="center"/>
              <w:rPr>
                <w:noProof/>
                <w:sz w:val="18"/>
                <w:szCs w:val="18"/>
              </w:rPr>
            </w:pPr>
          </w:p>
        </w:tc>
        <w:tc>
          <w:tcPr>
            <w:tcW w:w="772" w:type="dxa"/>
            <w:tcBorders>
              <w:left w:val="dashSmallGap" w:sz="4" w:space="0" w:color="auto"/>
              <w:bottom w:val="single" w:sz="12" w:space="0" w:color="auto"/>
            </w:tcBorders>
          </w:tcPr>
          <w:p>
            <w:pPr>
              <w:ind w:right="-29"/>
              <w:rPr>
                <w:b/>
                <w:noProof/>
                <w:sz w:val="18"/>
              </w:rPr>
            </w:pPr>
            <w:r>
              <w:rPr>
                <w:b/>
                <w:noProof/>
                <w:sz w:val="18"/>
              </w:rPr>
              <w:t>45,000</w:t>
            </w:r>
          </w:p>
        </w:tc>
        <w:tc>
          <w:tcPr>
            <w:tcW w:w="360" w:type="dxa"/>
            <w:tcBorders>
              <w:bottom w:val="single" w:sz="12" w:space="0" w:color="auto"/>
              <w:right w:val="dashSmallGap" w:sz="4" w:space="0" w:color="auto"/>
            </w:tcBorders>
          </w:tcPr>
          <w:p>
            <w:pPr>
              <w:ind w:right="-29"/>
              <w:jc w:val="center"/>
              <w:rPr>
                <w:noProof/>
                <w:sz w:val="18"/>
                <w:szCs w:val="18"/>
              </w:rPr>
            </w:pPr>
          </w:p>
        </w:tc>
        <w:tc>
          <w:tcPr>
            <w:tcW w:w="637" w:type="dxa"/>
            <w:tcBorders>
              <w:left w:val="dashSmallGap" w:sz="4" w:space="0" w:color="auto"/>
              <w:bottom w:val="single" w:sz="12" w:space="0" w:color="auto"/>
            </w:tcBorders>
          </w:tcPr>
          <w:p>
            <w:pPr>
              <w:ind w:right="-29"/>
              <w:jc w:val="center"/>
              <w:rPr>
                <w:noProof/>
                <w:sz w:val="18"/>
                <w:szCs w:val="18"/>
              </w:rPr>
            </w:pPr>
          </w:p>
        </w:tc>
        <w:tc>
          <w:tcPr>
            <w:tcW w:w="360" w:type="dxa"/>
            <w:tcBorders>
              <w:bottom w:val="single" w:sz="12" w:space="0" w:color="auto"/>
              <w:right w:val="dashSmallGap" w:sz="4" w:space="0" w:color="auto"/>
            </w:tcBorders>
          </w:tcPr>
          <w:p>
            <w:pPr>
              <w:ind w:right="-29"/>
              <w:jc w:val="center"/>
              <w:rPr>
                <w:noProof/>
                <w:sz w:val="18"/>
                <w:szCs w:val="18"/>
              </w:rPr>
            </w:pPr>
          </w:p>
        </w:tc>
        <w:tc>
          <w:tcPr>
            <w:tcW w:w="637" w:type="dxa"/>
            <w:tcBorders>
              <w:left w:val="dashSmallGap" w:sz="4" w:space="0" w:color="auto"/>
              <w:bottom w:val="single" w:sz="12" w:space="0" w:color="auto"/>
            </w:tcBorders>
          </w:tcPr>
          <w:p>
            <w:pPr>
              <w:ind w:right="-29"/>
              <w:jc w:val="center"/>
              <w:rPr>
                <w:noProof/>
                <w:sz w:val="18"/>
                <w:szCs w:val="18"/>
              </w:rPr>
            </w:pPr>
          </w:p>
        </w:tc>
        <w:tc>
          <w:tcPr>
            <w:tcW w:w="360" w:type="dxa"/>
            <w:tcBorders>
              <w:bottom w:val="single" w:sz="12" w:space="0" w:color="auto"/>
              <w:right w:val="dashSmallGap" w:sz="4" w:space="0" w:color="auto"/>
            </w:tcBorders>
          </w:tcPr>
          <w:p>
            <w:pPr>
              <w:ind w:right="-29"/>
              <w:jc w:val="center"/>
              <w:rPr>
                <w:noProof/>
                <w:sz w:val="18"/>
                <w:szCs w:val="18"/>
              </w:rPr>
            </w:pPr>
          </w:p>
        </w:tc>
        <w:tc>
          <w:tcPr>
            <w:tcW w:w="637" w:type="dxa"/>
            <w:tcBorders>
              <w:left w:val="dashSmallGap" w:sz="4" w:space="0" w:color="auto"/>
              <w:bottom w:val="single" w:sz="12" w:space="0" w:color="auto"/>
            </w:tcBorders>
          </w:tcPr>
          <w:p>
            <w:pPr>
              <w:ind w:right="-29"/>
              <w:jc w:val="center"/>
              <w:rPr>
                <w:noProof/>
                <w:sz w:val="18"/>
                <w:szCs w:val="18"/>
              </w:rPr>
            </w:pPr>
          </w:p>
        </w:tc>
        <w:tc>
          <w:tcPr>
            <w:tcW w:w="360" w:type="dxa"/>
            <w:tcBorders>
              <w:bottom w:val="single" w:sz="12" w:space="0" w:color="auto"/>
              <w:right w:val="dashSmallGap" w:sz="4" w:space="0" w:color="auto"/>
            </w:tcBorders>
          </w:tcPr>
          <w:p>
            <w:pPr>
              <w:ind w:right="-29"/>
              <w:jc w:val="center"/>
              <w:rPr>
                <w:noProof/>
                <w:sz w:val="18"/>
                <w:szCs w:val="18"/>
              </w:rPr>
            </w:pPr>
          </w:p>
        </w:tc>
        <w:tc>
          <w:tcPr>
            <w:tcW w:w="637" w:type="dxa"/>
            <w:tcBorders>
              <w:left w:val="dashSmallGap" w:sz="4" w:space="0" w:color="auto"/>
              <w:bottom w:val="single" w:sz="12" w:space="0" w:color="auto"/>
            </w:tcBorders>
          </w:tcPr>
          <w:p>
            <w:pPr>
              <w:ind w:right="-29"/>
              <w:jc w:val="center"/>
              <w:rPr>
                <w:noProof/>
                <w:sz w:val="18"/>
                <w:szCs w:val="18"/>
              </w:rPr>
            </w:pPr>
          </w:p>
        </w:tc>
        <w:tc>
          <w:tcPr>
            <w:tcW w:w="813" w:type="dxa"/>
            <w:tcBorders>
              <w:bottom w:val="single" w:sz="12" w:space="0" w:color="auto"/>
              <w:right w:val="dashSmallGap" w:sz="4" w:space="0" w:color="auto"/>
            </w:tcBorders>
          </w:tcPr>
          <w:p>
            <w:pPr>
              <w:ind w:right="-29"/>
              <w:jc w:val="center"/>
              <w:rPr>
                <w:noProof/>
                <w:sz w:val="18"/>
                <w:szCs w:val="18"/>
              </w:rPr>
            </w:pPr>
          </w:p>
        </w:tc>
        <w:tc>
          <w:tcPr>
            <w:tcW w:w="1103" w:type="dxa"/>
            <w:tcBorders>
              <w:left w:val="dashSmallGap" w:sz="4" w:space="0" w:color="auto"/>
              <w:bottom w:val="single" w:sz="12" w:space="0" w:color="auto"/>
              <w:right w:val="single" w:sz="12" w:space="0" w:color="auto"/>
            </w:tcBorders>
          </w:tcPr>
          <w:p>
            <w:pPr>
              <w:ind w:right="-29"/>
              <w:jc w:val="center"/>
              <w:rPr>
                <w:b/>
                <w:noProof/>
                <w:sz w:val="18"/>
                <w:szCs w:val="18"/>
              </w:rPr>
            </w:pPr>
            <w:r>
              <w:rPr>
                <w:b/>
                <w:noProof/>
                <w:sz w:val="18"/>
              </w:rPr>
              <w:t>136,300</w:t>
            </w:r>
          </w:p>
        </w:tc>
      </w:tr>
    </w:tbl>
    <w:p>
      <w:pPr>
        <w:rPr>
          <w:noProof/>
        </w:rPr>
      </w:pPr>
    </w:p>
    <w:p>
      <w:pPr>
        <w:pStyle w:val="ListDash"/>
        <w:rPr>
          <w:noProof/>
        </w:rPr>
      </w:pPr>
      <w:r>
        <w:rPr>
          <w:noProof/>
        </w:rPr>
        <w:t>Specifični cilj št. 1 se nanaša na sredstva, ki se dajo na voljo državam članicam za izkoriščanje interoperabilnih centralnih sistemov. NUI se bo prilagodil tako ob izvedbi ESP kot ob začetku delovanja MID. Vsaka država članica mora nato opraviti relativno majhno spremembo (ocenjeno na 150 delovnih dni) za prilagoditev temu posodobljenemu izmenjevanju sporočil s centralnimi sistemi. Znatnejša bo sprememba vsebine podatkov, do katere bo privedla interoperabilnost in ki je vključena v „stroške vključitve“. Ta sredstva krijejo spremembe vrste sporočil, poslanih v centralni sistem, in ravnanja z vrnjenimi odgovori. Za namene ocene stroškov s temi spremembami se dodelijo sredstva v višini 4 milijonov EUR na posamezno državo članico. Ta znesek je enak kot pri SVI, saj je količina potrebnega dela za prilagoditev vključevanja nacionalnih sistemov v NUI primerljiva.</w:t>
      </w:r>
    </w:p>
    <w:p>
      <w:pPr>
        <w:pStyle w:val="ListDash"/>
        <w:rPr>
          <w:noProof/>
        </w:rPr>
      </w:pPr>
      <w:r>
        <w:rPr>
          <w:noProof/>
        </w:rPr>
        <w:t>Končni uporabniki morajo biti usposobljeni za sisteme. To usposabljanje zelo velikega števila končnih uporabnikov se bo financiralo po formuli 1 000 EUR na tečaj za 10 do 20 končnih uporabnikov pri približno 10 000 tečajih, ki jih vse države članice organizirajo v svojih prostorih.</w:t>
      </w:r>
    </w:p>
    <w:p>
      <w:pPr>
        <w:rPr>
          <w:noProof/>
        </w:rPr>
      </w:pPr>
    </w:p>
    <w:p>
      <w:pPr>
        <w:rPr>
          <w:noProof/>
        </w:rPr>
      </w:pPr>
    </w:p>
    <w:p>
      <w:pPr>
        <w:rPr>
          <w:noProof/>
        </w:rPr>
        <w:sectPr>
          <w:pgSz w:w="16840" w:h="11907" w:orient="landscape" w:code="9"/>
          <w:pgMar w:top="1134" w:right="1418" w:bottom="567" w:left="1418" w:header="709" w:footer="709" w:gutter="0"/>
          <w:cols w:space="708"/>
          <w:docGrid w:linePitch="360"/>
        </w:sectPr>
      </w:pPr>
    </w:p>
    <w:p>
      <w:pPr>
        <w:pStyle w:val="ManualHeading3"/>
        <w:rPr>
          <w:bCs/>
          <w:noProof/>
          <w:szCs w:val="24"/>
        </w:rPr>
      </w:pPr>
      <w:bookmarkStart w:id="293" w:name="_Toc498514177"/>
      <w:r>
        <w:t>3.2.3.</w:t>
      </w:r>
      <w:r>
        <w:tab/>
      </w:r>
      <w:r>
        <w:rPr>
          <w:noProof/>
        </w:rPr>
        <w:t>Ocenjene posledice za človeške vire</w:t>
      </w:r>
      <w:bookmarkEnd w:id="293"/>
    </w:p>
    <w:p>
      <w:pPr>
        <w:pStyle w:val="ManualHeading4"/>
        <w:rPr>
          <w:noProof/>
        </w:rPr>
      </w:pPr>
      <w:r>
        <w:t>3.2.3.1.</w:t>
      </w:r>
      <w:r>
        <w:tab/>
      </w:r>
      <w:r>
        <w:rPr>
          <w:noProof/>
        </w:rPr>
        <w:t>Povzetek za Evropsko agencijo za mejno in obalno stražo</w:t>
      </w:r>
    </w:p>
    <w:p>
      <w:pPr>
        <w:rPr>
          <w:noProof/>
        </w:rPr>
      </w:pPr>
      <w:r>
        <w:rPr>
          <w:noProof/>
        </w:rPr>
        <w:sym w:font="Wingdings" w:char="F0A8"/>
      </w:r>
      <w:r>
        <w:rPr>
          <w:noProof/>
        </w:rPr>
        <w:tab/>
        <w:t xml:space="preserve">Za predlog/pobudo niso potrebne odobritve za upravne zadeve. </w:t>
      </w:r>
    </w:p>
    <w:p>
      <w:pPr>
        <w:rPr>
          <w:noProof/>
        </w:rPr>
      </w:pPr>
      <w:r>
        <w:rPr>
          <w:noProof/>
        </w:rPr>
        <w:sym w:font="Wingdings" w:char="F078"/>
      </w:r>
      <w:r>
        <w:rPr>
          <w:noProof/>
        </w:rPr>
        <w:tab/>
        <w:t>Za predlog/pobudo so potrebne odobritve za upravne zadeve, kot je pojasnjeno v nadaljevanju:</w:t>
      </w:r>
    </w:p>
    <w:p>
      <w:pPr>
        <w:jc w:val="right"/>
        <w:rPr>
          <w:noProof/>
          <w:sz w:val="20"/>
        </w:rPr>
      </w:pPr>
      <w:r>
        <w:rPr>
          <w:noProof/>
          <w:sz w:val="20"/>
        </w:rPr>
        <w:t>v mio. EUR (na tri decimalna mesta natančno)</w:t>
      </w:r>
    </w:p>
    <w:tbl>
      <w:tblPr>
        <w:tblW w:w="1036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456"/>
        <w:gridCol w:w="752"/>
        <w:gridCol w:w="720"/>
        <w:gridCol w:w="720"/>
        <w:gridCol w:w="720"/>
        <w:gridCol w:w="720"/>
        <w:gridCol w:w="720"/>
        <w:gridCol w:w="720"/>
        <w:gridCol w:w="720"/>
        <w:gridCol w:w="840"/>
        <w:gridCol w:w="2272"/>
      </w:tblGrid>
      <w:tr>
        <w:trPr>
          <w:trHeight w:val="574"/>
        </w:trPr>
        <w:tc>
          <w:tcPr>
            <w:tcW w:w="1456" w:type="dxa"/>
          </w:tcPr>
          <w:p>
            <w:pPr>
              <w:spacing w:before="60" w:after="60"/>
              <w:rPr>
                <w:noProof/>
                <w:sz w:val="20"/>
              </w:rPr>
            </w:pPr>
          </w:p>
        </w:tc>
        <w:tc>
          <w:tcPr>
            <w:tcW w:w="752" w:type="dxa"/>
            <w:vAlign w:val="center"/>
          </w:tcPr>
          <w:p>
            <w:pPr>
              <w:spacing w:before="60" w:after="60"/>
              <w:jc w:val="center"/>
              <w:rPr>
                <w:noProof/>
                <w:sz w:val="20"/>
              </w:rPr>
            </w:pPr>
            <w:r>
              <w:rPr>
                <w:noProof/>
                <w:sz w:val="20"/>
              </w:rPr>
              <w:t>Leto</w:t>
            </w:r>
            <w:r>
              <w:rPr>
                <w:noProof/>
                <w:sz w:val="22"/>
              </w:rPr>
              <w:br/>
            </w:r>
            <w:r>
              <w:rPr>
                <w:b/>
                <w:noProof/>
                <w:sz w:val="20"/>
              </w:rPr>
              <w:t>2019</w:t>
            </w:r>
          </w:p>
        </w:tc>
        <w:tc>
          <w:tcPr>
            <w:tcW w:w="720" w:type="dxa"/>
            <w:vAlign w:val="center"/>
          </w:tcPr>
          <w:p>
            <w:pPr>
              <w:spacing w:before="60" w:after="60"/>
              <w:jc w:val="center"/>
              <w:rPr>
                <w:noProof/>
                <w:sz w:val="20"/>
              </w:rPr>
            </w:pPr>
            <w:r>
              <w:rPr>
                <w:noProof/>
                <w:sz w:val="20"/>
              </w:rPr>
              <w:t>Leto</w:t>
            </w:r>
            <w:r>
              <w:rPr>
                <w:noProof/>
                <w:sz w:val="22"/>
              </w:rPr>
              <w:br/>
            </w:r>
            <w:r>
              <w:rPr>
                <w:b/>
                <w:noProof/>
                <w:sz w:val="20"/>
              </w:rPr>
              <w:t>2020</w:t>
            </w:r>
          </w:p>
        </w:tc>
        <w:tc>
          <w:tcPr>
            <w:tcW w:w="720" w:type="dxa"/>
            <w:vAlign w:val="center"/>
          </w:tcPr>
          <w:p>
            <w:pPr>
              <w:spacing w:before="60" w:after="60"/>
              <w:jc w:val="center"/>
              <w:rPr>
                <w:noProof/>
                <w:sz w:val="20"/>
              </w:rPr>
            </w:pPr>
            <w:r>
              <w:rPr>
                <w:noProof/>
                <w:sz w:val="20"/>
              </w:rPr>
              <w:t>Leto</w:t>
            </w:r>
            <w:r>
              <w:rPr>
                <w:noProof/>
                <w:sz w:val="22"/>
              </w:rPr>
              <w:br/>
            </w:r>
            <w:r>
              <w:rPr>
                <w:b/>
                <w:noProof/>
                <w:sz w:val="20"/>
              </w:rPr>
              <w:t>2021</w:t>
            </w:r>
          </w:p>
        </w:tc>
        <w:tc>
          <w:tcPr>
            <w:tcW w:w="720" w:type="dxa"/>
            <w:vAlign w:val="center"/>
          </w:tcPr>
          <w:p>
            <w:pPr>
              <w:spacing w:before="60" w:after="60"/>
              <w:jc w:val="center"/>
              <w:rPr>
                <w:noProof/>
                <w:sz w:val="20"/>
              </w:rPr>
            </w:pPr>
            <w:r>
              <w:rPr>
                <w:noProof/>
                <w:sz w:val="20"/>
              </w:rPr>
              <w:t>Leto</w:t>
            </w:r>
            <w:r>
              <w:rPr>
                <w:noProof/>
                <w:sz w:val="22"/>
              </w:rPr>
              <w:br/>
            </w:r>
            <w:r>
              <w:rPr>
                <w:b/>
                <w:noProof/>
                <w:sz w:val="20"/>
              </w:rPr>
              <w:t>2022</w:t>
            </w:r>
          </w:p>
        </w:tc>
        <w:tc>
          <w:tcPr>
            <w:tcW w:w="720" w:type="dxa"/>
            <w:vAlign w:val="center"/>
          </w:tcPr>
          <w:p>
            <w:pPr>
              <w:jc w:val="center"/>
              <w:rPr>
                <w:b/>
                <w:noProof/>
                <w:sz w:val="20"/>
              </w:rPr>
            </w:pPr>
            <w:r>
              <w:rPr>
                <w:noProof/>
                <w:sz w:val="20"/>
              </w:rPr>
              <w:t>Leto</w:t>
            </w:r>
            <w:r>
              <w:rPr>
                <w:noProof/>
                <w:sz w:val="22"/>
              </w:rPr>
              <w:br/>
            </w:r>
            <w:r>
              <w:rPr>
                <w:b/>
                <w:noProof/>
                <w:sz w:val="20"/>
              </w:rPr>
              <w:t>2023</w:t>
            </w:r>
          </w:p>
        </w:tc>
        <w:tc>
          <w:tcPr>
            <w:tcW w:w="720" w:type="dxa"/>
            <w:vAlign w:val="center"/>
          </w:tcPr>
          <w:p>
            <w:pPr>
              <w:jc w:val="center"/>
              <w:rPr>
                <w:b/>
                <w:noProof/>
                <w:sz w:val="20"/>
              </w:rPr>
            </w:pPr>
            <w:r>
              <w:rPr>
                <w:noProof/>
                <w:sz w:val="20"/>
              </w:rPr>
              <w:t>Leto</w:t>
            </w:r>
            <w:r>
              <w:rPr>
                <w:noProof/>
                <w:sz w:val="22"/>
              </w:rPr>
              <w:br/>
            </w:r>
            <w:r>
              <w:rPr>
                <w:b/>
                <w:noProof/>
                <w:sz w:val="20"/>
              </w:rPr>
              <w:t>2024</w:t>
            </w:r>
          </w:p>
        </w:tc>
        <w:tc>
          <w:tcPr>
            <w:tcW w:w="720" w:type="dxa"/>
            <w:vAlign w:val="center"/>
          </w:tcPr>
          <w:p>
            <w:pPr>
              <w:jc w:val="center"/>
              <w:rPr>
                <w:b/>
                <w:noProof/>
                <w:sz w:val="20"/>
              </w:rPr>
            </w:pPr>
            <w:r>
              <w:rPr>
                <w:noProof/>
                <w:sz w:val="20"/>
              </w:rPr>
              <w:t>Leto</w:t>
            </w:r>
            <w:r>
              <w:rPr>
                <w:noProof/>
                <w:sz w:val="22"/>
              </w:rPr>
              <w:br/>
            </w:r>
            <w:r>
              <w:rPr>
                <w:b/>
                <w:noProof/>
                <w:sz w:val="20"/>
              </w:rPr>
              <w:t>2025</w:t>
            </w:r>
          </w:p>
        </w:tc>
        <w:tc>
          <w:tcPr>
            <w:tcW w:w="720" w:type="dxa"/>
            <w:vAlign w:val="center"/>
          </w:tcPr>
          <w:p>
            <w:pPr>
              <w:spacing w:before="60" w:after="60"/>
              <w:jc w:val="center"/>
              <w:rPr>
                <w:b/>
                <w:noProof/>
                <w:sz w:val="20"/>
              </w:rPr>
            </w:pPr>
            <w:r>
              <w:rPr>
                <w:noProof/>
                <w:sz w:val="20"/>
              </w:rPr>
              <w:t>Leto</w:t>
            </w:r>
            <w:r>
              <w:rPr>
                <w:noProof/>
                <w:sz w:val="22"/>
              </w:rPr>
              <w:br/>
            </w:r>
            <w:r>
              <w:rPr>
                <w:b/>
                <w:noProof/>
                <w:sz w:val="20"/>
              </w:rPr>
              <w:t>2026</w:t>
            </w:r>
          </w:p>
        </w:tc>
        <w:tc>
          <w:tcPr>
            <w:tcW w:w="840" w:type="dxa"/>
            <w:vAlign w:val="center"/>
          </w:tcPr>
          <w:p>
            <w:pPr>
              <w:spacing w:before="60" w:after="60"/>
              <w:jc w:val="center"/>
              <w:rPr>
                <w:b/>
                <w:noProof/>
                <w:sz w:val="20"/>
              </w:rPr>
            </w:pPr>
            <w:r>
              <w:rPr>
                <w:noProof/>
                <w:sz w:val="20"/>
              </w:rPr>
              <w:t>Leto</w:t>
            </w:r>
            <w:r>
              <w:rPr>
                <w:noProof/>
                <w:sz w:val="22"/>
              </w:rPr>
              <w:br/>
            </w:r>
            <w:r>
              <w:rPr>
                <w:b/>
                <w:noProof/>
                <w:sz w:val="20"/>
              </w:rPr>
              <w:t>2027</w:t>
            </w:r>
          </w:p>
        </w:tc>
        <w:tc>
          <w:tcPr>
            <w:tcW w:w="2272" w:type="dxa"/>
            <w:vAlign w:val="center"/>
          </w:tcPr>
          <w:p>
            <w:pPr>
              <w:spacing w:before="60" w:after="60"/>
              <w:jc w:val="center"/>
              <w:rPr>
                <w:b/>
                <w:noProof/>
                <w:sz w:val="20"/>
              </w:rPr>
            </w:pPr>
            <w:r>
              <w:rPr>
                <w:b/>
                <w:noProof/>
                <w:sz w:val="20"/>
              </w:rPr>
              <w:t>SKUPAJ</w:t>
            </w:r>
          </w:p>
        </w:tc>
      </w:tr>
    </w:tbl>
    <w:p>
      <w:pPr>
        <w:rPr>
          <w:noProof/>
          <w:sz w:val="20"/>
        </w:rPr>
      </w:pPr>
    </w:p>
    <w:tbl>
      <w:tblPr>
        <w:tblW w:w="10327"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451"/>
        <w:gridCol w:w="759"/>
        <w:gridCol w:w="720"/>
        <w:gridCol w:w="720"/>
        <w:gridCol w:w="720"/>
        <w:gridCol w:w="720"/>
        <w:gridCol w:w="720"/>
        <w:gridCol w:w="720"/>
        <w:gridCol w:w="720"/>
        <w:gridCol w:w="840"/>
        <w:gridCol w:w="2237"/>
      </w:tblGrid>
      <w:tr>
        <w:trPr>
          <w:trHeight w:val="587"/>
        </w:trPr>
        <w:tc>
          <w:tcPr>
            <w:tcW w:w="1451" w:type="dxa"/>
            <w:shd w:val="clear" w:color="auto" w:fill="CCCCCC"/>
            <w:vAlign w:val="center"/>
          </w:tcPr>
          <w:p>
            <w:pPr>
              <w:spacing w:before="60" w:after="60"/>
              <w:jc w:val="center"/>
              <w:rPr>
                <w:noProof/>
              </w:rPr>
            </w:pPr>
            <w:r>
              <w:rPr>
                <w:noProof/>
                <w:sz w:val="18"/>
              </w:rPr>
              <w:t>Uradniki (razredi AD)</w:t>
            </w:r>
          </w:p>
        </w:tc>
        <w:tc>
          <w:tcPr>
            <w:tcW w:w="759"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b/>
                <w:noProof/>
                <w:sz w:val="20"/>
              </w:rPr>
            </w:pPr>
          </w:p>
        </w:tc>
        <w:tc>
          <w:tcPr>
            <w:tcW w:w="720" w:type="dxa"/>
          </w:tcPr>
          <w:p>
            <w:pPr>
              <w:spacing w:before="60" w:after="60"/>
              <w:jc w:val="right"/>
              <w:rPr>
                <w:b/>
                <w:noProof/>
                <w:sz w:val="20"/>
              </w:rPr>
            </w:pPr>
          </w:p>
        </w:tc>
        <w:tc>
          <w:tcPr>
            <w:tcW w:w="840" w:type="dxa"/>
          </w:tcPr>
          <w:p>
            <w:pPr>
              <w:spacing w:before="60" w:after="60"/>
              <w:jc w:val="right"/>
              <w:rPr>
                <w:b/>
                <w:noProof/>
                <w:sz w:val="20"/>
              </w:rPr>
            </w:pPr>
          </w:p>
        </w:tc>
        <w:tc>
          <w:tcPr>
            <w:tcW w:w="2237" w:type="dxa"/>
            <w:vAlign w:val="center"/>
          </w:tcPr>
          <w:p>
            <w:pPr>
              <w:spacing w:before="60" w:after="60"/>
              <w:jc w:val="right"/>
              <w:rPr>
                <w:b/>
                <w:noProof/>
                <w:sz w:val="20"/>
              </w:rPr>
            </w:pPr>
          </w:p>
        </w:tc>
      </w:tr>
      <w:tr>
        <w:trPr>
          <w:trHeight w:val="587"/>
        </w:trPr>
        <w:tc>
          <w:tcPr>
            <w:tcW w:w="1451" w:type="dxa"/>
            <w:vAlign w:val="center"/>
          </w:tcPr>
          <w:p>
            <w:pPr>
              <w:spacing w:before="60" w:after="60"/>
              <w:ind w:left="72"/>
              <w:rPr>
                <w:noProof/>
              </w:rPr>
            </w:pPr>
            <w:r>
              <w:rPr>
                <w:noProof/>
                <w:sz w:val="20"/>
              </w:rPr>
              <w:t>Uradniki (razredi AST)</w:t>
            </w:r>
          </w:p>
        </w:tc>
        <w:tc>
          <w:tcPr>
            <w:tcW w:w="759" w:type="dxa"/>
            <w:vAlign w:val="center"/>
          </w:tcPr>
          <w:p>
            <w:pPr>
              <w:spacing w:before="60" w:after="60"/>
              <w:jc w:val="right"/>
              <w:rPr>
                <w:noProof/>
                <w:sz w:val="20"/>
              </w:rPr>
            </w:pPr>
            <w:r>
              <w:rPr>
                <w:noProof/>
                <w:sz w:val="20"/>
              </w:rPr>
              <w:t>0</w:t>
            </w: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b/>
                <w:noProof/>
                <w:sz w:val="20"/>
              </w:rPr>
            </w:pPr>
          </w:p>
        </w:tc>
        <w:tc>
          <w:tcPr>
            <w:tcW w:w="720" w:type="dxa"/>
          </w:tcPr>
          <w:p>
            <w:pPr>
              <w:spacing w:before="60" w:after="60"/>
              <w:jc w:val="right"/>
              <w:rPr>
                <w:b/>
                <w:noProof/>
                <w:sz w:val="20"/>
              </w:rPr>
            </w:pPr>
          </w:p>
        </w:tc>
        <w:tc>
          <w:tcPr>
            <w:tcW w:w="840" w:type="dxa"/>
          </w:tcPr>
          <w:p>
            <w:pPr>
              <w:spacing w:before="60" w:after="60"/>
              <w:jc w:val="right"/>
              <w:rPr>
                <w:b/>
                <w:noProof/>
                <w:sz w:val="20"/>
              </w:rPr>
            </w:pPr>
          </w:p>
        </w:tc>
        <w:tc>
          <w:tcPr>
            <w:tcW w:w="2237" w:type="dxa"/>
            <w:vAlign w:val="center"/>
          </w:tcPr>
          <w:p>
            <w:pPr>
              <w:spacing w:before="60" w:after="60"/>
              <w:jc w:val="right"/>
              <w:rPr>
                <w:b/>
                <w:noProof/>
                <w:sz w:val="20"/>
              </w:rPr>
            </w:pPr>
          </w:p>
        </w:tc>
      </w:tr>
      <w:tr>
        <w:trPr>
          <w:trHeight w:val="587"/>
        </w:trPr>
        <w:tc>
          <w:tcPr>
            <w:tcW w:w="1451" w:type="dxa"/>
            <w:vAlign w:val="center"/>
          </w:tcPr>
          <w:p>
            <w:pPr>
              <w:spacing w:before="60" w:after="60"/>
              <w:ind w:left="72"/>
              <w:rPr>
                <w:noProof/>
              </w:rPr>
            </w:pPr>
            <w:r>
              <w:rPr>
                <w:noProof/>
                <w:sz w:val="20"/>
              </w:rPr>
              <w:t>Pogodbeno zaposleni uslužbenci</w:t>
            </w:r>
          </w:p>
        </w:tc>
        <w:tc>
          <w:tcPr>
            <w:tcW w:w="759" w:type="dxa"/>
          </w:tcPr>
          <w:p>
            <w:pPr>
              <w:jc w:val="right"/>
              <w:rPr>
                <w:noProof/>
                <w:sz w:val="22"/>
              </w:rPr>
            </w:pPr>
            <w:r>
              <w:rPr>
                <w:noProof/>
                <w:sz w:val="22"/>
              </w:rPr>
              <w:t>0</w:t>
            </w:r>
          </w:p>
        </w:tc>
        <w:tc>
          <w:tcPr>
            <w:tcW w:w="720" w:type="dxa"/>
          </w:tcPr>
          <w:p>
            <w:pPr>
              <w:jc w:val="right"/>
              <w:rPr>
                <w:noProof/>
                <w:sz w:val="22"/>
              </w:rPr>
            </w:pPr>
            <w:r>
              <w:rPr>
                <w:noProof/>
                <w:sz w:val="22"/>
              </w:rPr>
              <w:t>0</w:t>
            </w:r>
          </w:p>
        </w:tc>
        <w:tc>
          <w:tcPr>
            <w:tcW w:w="720" w:type="dxa"/>
          </w:tcPr>
          <w:p>
            <w:pPr>
              <w:jc w:val="right"/>
              <w:rPr>
                <w:noProof/>
                <w:sz w:val="22"/>
              </w:rPr>
            </w:pPr>
            <w:r>
              <w:rPr>
                <w:noProof/>
                <w:sz w:val="22"/>
              </w:rPr>
              <w:t>0</w:t>
            </w:r>
          </w:p>
        </w:tc>
        <w:tc>
          <w:tcPr>
            <w:tcW w:w="720" w:type="dxa"/>
          </w:tcPr>
          <w:p>
            <w:pPr>
              <w:jc w:val="right"/>
              <w:rPr>
                <w:noProof/>
                <w:sz w:val="22"/>
              </w:rPr>
            </w:pPr>
            <w:r>
              <w:rPr>
                <w:noProof/>
                <w:sz w:val="22"/>
              </w:rPr>
              <w:t>0,350</w:t>
            </w:r>
          </w:p>
        </w:tc>
        <w:tc>
          <w:tcPr>
            <w:tcW w:w="720" w:type="dxa"/>
          </w:tcPr>
          <w:p>
            <w:pPr>
              <w:jc w:val="right"/>
              <w:rPr>
                <w:noProof/>
                <w:sz w:val="22"/>
              </w:rPr>
            </w:pPr>
            <w:r>
              <w:rPr>
                <w:noProof/>
                <w:sz w:val="22"/>
              </w:rPr>
              <w:t>1,400</w:t>
            </w:r>
          </w:p>
        </w:tc>
        <w:tc>
          <w:tcPr>
            <w:tcW w:w="720" w:type="dxa"/>
          </w:tcPr>
          <w:p>
            <w:pPr>
              <w:jc w:val="right"/>
              <w:rPr>
                <w:noProof/>
                <w:sz w:val="22"/>
              </w:rPr>
            </w:pPr>
            <w:r>
              <w:rPr>
                <w:noProof/>
                <w:sz w:val="22"/>
              </w:rPr>
              <w:t>0,233</w:t>
            </w:r>
          </w:p>
        </w:tc>
        <w:tc>
          <w:tcPr>
            <w:tcW w:w="720" w:type="dxa"/>
          </w:tcPr>
          <w:p>
            <w:pPr>
              <w:jc w:val="right"/>
              <w:rPr>
                <w:noProof/>
                <w:sz w:val="22"/>
              </w:rPr>
            </w:pPr>
            <w:r>
              <w:rPr>
                <w:noProof/>
                <w:sz w:val="22"/>
              </w:rPr>
              <w:t>0</w:t>
            </w:r>
          </w:p>
        </w:tc>
        <w:tc>
          <w:tcPr>
            <w:tcW w:w="720" w:type="dxa"/>
          </w:tcPr>
          <w:p>
            <w:pPr>
              <w:jc w:val="right"/>
              <w:rPr>
                <w:noProof/>
                <w:sz w:val="22"/>
              </w:rPr>
            </w:pPr>
            <w:r>
              <w:rPr>
                <w:noProof/>
                <w:sz w:val="22"/>
              </w:rPr>
              <w:t>0</w:t>
            </w:r>
          </w:p>
        </w:tc>
        <w:tc>
          <w:tcPr>
            <w:tcW w:w="840" w:type="dxa"/>
          </w:tcPr>
          <w:p>
            <w:pPr>
              <w:jc w:val="right"/>
              <w:rPr>
                <w:noProof/>
                <w:sz w:val="22"/>
              </w:rPr>
            </w:pPr>
            <w:r>
              <w:rPr>
                <w:noProof/>
                <w:sz w:val="22"/>
              </w:rPr>
              <w:t>0</w:t>
            </w:r>
          </w:p>
        </w:tc>
        <w:tc>
          <w:tcPr>
            <w:tcW w:w="2237" w:type="dxa"/>
          </w:tcPr>
          <w:p>
            <w:pPr>
              <w:jc w:val="center"/>
              <w:rPr>
                <w:noProof/>
                <w:sz w:val="22"/>
              </w:rPr>
            </w:pPr>
            <w:r>
              <w:rPr>
                <w:noProof/>
                <w:sz w:val="22"/>
              </w:rPr>
              <w:t>1,983</w:t>
            </w:r>
          </w:p>
        </w:tc>
      </w:tr>
      <w:tr>
        <w:trPr>
          <w:trHeight w:val="587"/>
        </w:trPr>
        <w:tc>
          <w:tcPr>
            <w:tcW w:w="1451" w:type="dxa"/>
            <w:shd w:val="clear" w:color="auto" w:fill="CCCCCC"/>
            <w:vAlign w:val="center"/>
          </w:tcPr>
          <w:p>
            <w:pPr>
              <w:spacing w:before="60" w:after="60"/>
              <w:jc w:val="center"/>
              <w:rPr>
                <w:noProof/>
              </w:rPr>
            </w:pPr>
            <w:r>
              <w:rPr>
                <w:noProof/>
                <w:sz w:val="18"/>
              </w:rPr>
              <w:t xml:space="preserve">Začasni uslužbenci </w:t>
            </w:r>
          </w:p>
        </w:tc>
        <w:tc>
          <w:tcPr>
            <w:tcW w:w="759" w:type="dxa"/>
          </w:tcPr>
          <w:p>
            <w:pPr>
              <w:spacing w:before="60" w:after="60"/>
              <w:jc w:val="right"/>
              <w:rPr>
                <w:noProof/>
                <w:sz w:val="22"/>
              </w:rPr>
            </w:pPr>
            <w:r>
              <w:rPr>
                <w:noProof/>
                <w:sz w:val="22"/>
              </w:rPr>
              <w:t>0</w:t>
            </w:r>
          </w:p>
        </w:tc>
        <w:tc>
          <w:tcPr>
            <w:tcW w:w="720" w:type="dxa"/>
          </w:tcPr>
          <w:p>
            <w:pPr>
              <w:spacing w:before="60" w:after="60"/>
              <w:jc w:val="right"/>
              <w:rPr>
                <w:noProof/>
                <w:sz w:val="22"/>
              </w:rPr>
            </w:pPr>
            <w:r>
              <w:rPr>
                <w:noProof/>
                <w:sz w:val="22"/>
              </w:rPr>
              <w:t>0</w:t>
            </w:r>
          </w:p>
        </w:tc>
        <w:tc>
          <w:tcPr>
            <w:tcW w:w="720" w:type="dxa"/>
          </w:tcPr>
          <w:p>
            <w:pPr>
              <w:spacing w:before="60" w:after="60"/>
              <w:jc w:val="right"/>
              <w:rPr>
                <w:noProof/>
                <w:sz w:val="22"/>
              </w:rPr>
            </w:pPr>
            <w:r>
              <w:rPr>
                <w:noProof/>
                <w:sz w:val="22"/>
              </w:rPr>
              <w:t>0</w:t>
            </w:r>
          </w:p>
        </w:tc>
        <w:tc>
          <w:tcPr>
            <w:tcW w:w="720" w:type="dxa"/>
          </w:tcPr>
          <w:p>
            <w:pPr>
              <w:spacing w:before="60" w:after="60"/>
              <w:jc w:val="right"/>
              <w:rPr>
                <w:noProof/>
                <w:sz w:val="22"/>
              </w:rPr>
            </w:pPr>
            <w:r>
              <w:rPr>
                <w:noProof/>
                <w:sz w:val="22"/>
              </w:rPr>
              <w:t>0</w:t>
            </w:r>
          </w:p>
        </w:tc>
        <w:tc>
          <w:tcPr>
            <w:tcW w:w="720" w:type="dxa"/>
          </w:tcPr>
          <w:p>
            <w:pPr>
              <w:spacing w:before="60" w:after="60"/>
              <w:jc w:val="right"/>
              <w:rPr>
                <w:noProof/>
                <w:sz w:val="22"/>
              </w:rPr>
            </w:pPr>
            <w:r>
              <w:rPr>
                <w:noProof/>
                <w:sz w:val="22"/>
              </w:rPr>
              <w:t>0</w:t>
            </w:r>
          </w:p>
        </w:tc>
        <w:tc>
          <w:tcPr>
            <w:tcW w:w="720" w:type="dxa"/>
          </w:tcPr>
          <w:p>
            <w:pPr>
              <w:spacing w:before="60" w:after="60"/>
              <w:jc w:val="right"/>
              <w:rPr>
                <w:noProof/>
                <w:sz w:val="22"/>
              </w:rPr>
            </w:pPr>
            <w:r>
              <w:rPr>
                <w:noProof/>
                <w:sz w:val="22"/>
              </w:rPr>
              <w:t>0</w:t>
            </w:r>
          </w:p>
        </w:tc>
        <w:tc>
          <w:tcPr>
            <w:tcW w:w="720" w:type="dxa"/>
          </w:tcPr>
          <w:p>
            <w:pPr>
              <w:spacing w:before="60" w:after="60"/>
              <w:jc w:val="right"/>
              <w:rPr>
                <w:noProof/>
                <w:sz w:val="22"/>
              </w:rPr>
            </w:pPr>
            <w:r>
              <w:rPr>
                <w:noProof/>
                <w:sz w:val="22"/>
              </w:rPr>
              <w:t>0</w:t>
            </w:r>
          </w:p>
        </w:tc>
        <w:tc>
          <w:tcPr>
            <w:tcW w:w="720" w:type="dxa"/>
          </w:tcPr>
          <w:p>
            <w:pPr>
              <w:spacing w:before="60" w:after="60"/>
              <w:jc w:val="right"/>
              <w:rPr>
                <w:noProof/>
                <w:sz w:val="22"/>
              </w:rPr>
            </w:pPr>
            <w:r>
              <w:rPr>
                <w:noProof/>
                <w:sz w:val="22"/>
              </w:rPr>
              <w:t>0</w:t>
            </w:r>
          </w:p>
        </w:tc>
        <w:tc>
          <w:tcPr>
            <w:tcW w:w="840" w:type="dxa"/>
          </w:tcPr>
          <w:p>
            <w:pPr>
              <w:spacing w:before="60" w:after="60"/>
              <w:jc w:val="center"/>
              <w:rPr>
                <w:noProof/>
                <w:sz w:val="22"/>
              </w:rPr>
            </w:pPr>
            <w:r>
              <w:rPr>
                <w:noProof/>
                <w:sz w:val="22"/>
              </w:rPr>
              <w:t>0</w:t>
            </w:r>
          </w:p>
        </w:tc>
        <w:tc>
          <w:tcPr>
            <w:tcW w:w="2237" w:type="dxa"/>
          </w:tcPr>
          <w:p>
            <w:pPr>
              <w:spacing w:before="60" w:after="60"/>
              <w:jc w:val="right"/>
              <w:rPr>
                <w:b/>
                <w:noProof/>
                <w:sz w:val="22"/>
              </w:rPr>
            </w:pPr>
            <w:r>
              <w:rPr>
                <w:noProof/>
                <w:sz w:val="22"/>
              </w:rPr>
              <w:t>0</w:t>
            </w:r>
          </w:p>
        </w:tc>
      </w:tr>
      <w:tr>
        <w:trPr>
          <w:trHeight w:val="587"/>
        </w:trPr>
        <w:tc>
          <w:tcPr>
            <w:tcW w:w="1451" w:type="dxa"/>
            <w:shd w:val="clear" w:color="auto" w:fill="CCCCCC"/>
            <w:vAlign w:val="center"/>
          </w:tcPr>
          <w:p>
            <w:pPr>
              <w:spacing w:before="60" w:after="60"/>
              <w:jc w:val="center"/>
              <w:rPr>
                <w:noProof/>
              </w:rPr>
            </w:pPr>
            <w:r>
              <w:rPr>
                <w:noProof/>
                <w:sz w:val="18"/>
              </w:rPr>
              <w:t>Napoteni nacionalni strokovnjaki</w:t>
            </w:r>
          </w:p>
        </w:tc>
        <w:tc>
          <w:tcPr>
            <w:tcW w:w="759"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b/>
                <w:noProof/>
                <w:sz w:val="20"/>
              </w:rPr>
            </w:pPr>
          </w:p>
        </w:tc>
        <w:tc>
          <w:tcPr>
            <w:tcW w:w="720" w:type="dxa"/>
          </w:tcPr>
          <w:p>
            <w:pPr>
              <w:spacing w:before="60" w:after="60"/>
              <w:jc w:val="right"/>
              <w:rPr>
                <w:b/>
                <w:noProof/>
                <w:sz w:val="20"/>
              </w:rPr>
            </w:pPr>
          </w:p>
        </w:tc>
        <w:tc>
          <w:tcPr>
            <w:tcW w:w="840" w:type="dxa"/>
          </w:tcPr>
          <w:p>
            <w:pPr>
              <w:spacing w:before="60" w:after="60"/>
              <w:jc w:val="right"/>
              <w:rPr>
                <w:b/>
                <w:noProof/>
                <w:sz w:val="20"/>
              </w:rPr>
            </w:pPr>
          </w:p>
        </w:tc>
        <w:tc>
          <w:tcPr>
            <w:tcW w:w="2237" w:type="dxa"/>
            <w:vAlign w:val="center"/>
          </w:tcPr>
          <w:p>
            <w:pPr>
              <w:spacing w:before="60" w:after="60"/>
              <w:jc w:val="right"/>
              <w:rPr>
                <w:b/>
                <w:noProof/>
                <w:sz w:val="20"/>
              </w:rPr>
            </w:pPr>
          </w:p>
        </w:tc>
      </w:tr>
    </w:tbl>
    <w:p>
      <w:pPr>
        <w:pStyle w:val="Text1"/>
        <w:rPr>
          <w:noProof/>
        </w:rPr>
      </w:pPr>
    </w:p>
    <w:tbl>
      <w:tblPr>
        <w:tblW w:w="10301" w:type="dxa"/>
        <w:tblInd w:w="-612" w:type="dxa"/>
        <w:tblLayout w:type="fixed"/>
        <w:tblLook w:val="01E0" w:firstRow="1" w:lastRow="1" w:firstColumn="1" w:lastColumn="1" w:noHBand="0" w:noVBand="0"/>
      </w:tblPr>
      <w:tblGrid>
        <w:gridCol w:w="1448"/>
        <w:gridCol w:w="764"/>
        <w:gridCol w:w="720"/>
        <w:gridCol w:w="720"/>
        <w:gridCol w:w="720"/>
        <w:gridCol w:w="720"/>
        <w:gridCol w:w="720"/>
        <w:gridCol w:w="720"/>
        <w:gridCol w:w="720"/>
        <w:gridCol w:w="840"/>
        <w:gridCol w:w="2209"/>
      </w:tblGrid>
      <w:tr>
        <w:trPr>
          <w:trHeight w:val="575"/>
        </w:trPr>
        <w:tc>
          <w:tcPr>
            <w:tcW w:w="1448" w:type="dxa"/>
            <w:tcBorders>
              <w:top w:val="single" w:sz="12" w:space="0" w:color="auto"/>
              <w:left w:val="single" w:sz="12" w:space="0" w:color="auto"/>
              <w:bottom w:val="single" w:sz="12" w:space="0" w:color="auto"/>
              <w:right w:val="single" w:sz="2" w:space="0" w:color="auto"/>
            </w:tcBorders>
            <w:vAlign w:val="center"/>
          </w:tcPr>
          <w:p>
            <w:pPr>
              <w:spacing w:before="60" w:after="60"/>
              <w:jc w:val="center"/>
              <w:rPr>
                <w:noProof/>
                <w:sz w:val="20"/>
              </w:rPr>
            </w:pPr>
            <w:r>
              <w:rPr>
                <w:b/>
                <w:noProof/>
                <w:sz w:val="20"/>
              </w:rPr>
              <w:t>SKUPAJ</w:t>
            </w:r>
          </w:p>
        </w:tc>
        <w:tc>
          <w:tcPr>
            <w:tcW w:w="764"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noProof/>
                <w:sz w:val="22"/>
              </w:rPr>
            </w:pPr>
            <w:r>
              <w:rPr>
                <w:b/>
                <w:noProof/>
                <w:sz w:val="22"/>
              </w:rPr>
              <w:t>0,0</w:t>
            </w:r>
          </w:p>
        </w:tc>
        <w:tc>
          <w:tcPr>
            <w:tcW w:w="72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noProof/>
                <w:sz w:val="22"/>
              </w:rPr>
            </w:pPr>
            <w:r>
              <w:rPr>
                <w:b/>
                <w:noProof/>
                <w:sz w:val="22"/>
              </w:rPr>
              <w:t>0,0</w:t>
            </w:r>
          </w:p>
        </w:tc>
        <w:tc>
          <w:tcPr>
            <w:tcW w:w="72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noProof/>
                <w:sz w:val="22"/>
              </w:rPr>
            </w:pPr>
            <w:r>
              <w:rPr>
                <w:b/>
                <w:noProof/>
                <w:sz w:val="22"/>
              </w:rPr>
              <w:t>0,0</w:t>
            </w:r>
          </w:p>
        </w:tc>
        <w:tc>
          <w:tcPr>
            <w:tcW w:w="720" w:type="dxa"/>
            <w:tcBorders>
              <w:top w:val="single" w:sz="12" w:space="0" w:color="auto"/>
              <w:left w:val="single" w:sz="2" w:space="0" w:color="auto"/>
              <w:bottom w:val="single" w:sz="12" w:space="0" w:color="auto"/>
              <w:right w:val="single" w:sz="2" w:space="0" w:color="auto"/>
            </w:tcBorders>
            <w:vAlign w:val="center"/>
          </w:tcPr>
          <w:p>
            <w:pPr>
              <w:jc w:val="center"/>
              <w:rPr>
                <w:b/>
                <w:noProof/>
                <w:sz w:val="20"/>
              </w:rPr>
            </w:pPr>
            <w:r>
              <w:rPr>
                <w:b/>
                <w:noProof/>
                <w:sz w:val="20"/>
              </w:rPr>
              <w:t>0,350</w:t>
            </w:r>
          </w:p>
        </w:tc>
        <w:tc>
          <w:tcPr>
            <w:tcW w:w="720" w:type="dxa"/>
            <w:tcBorders>
              <w:top w:val="single" w:sz="12" w:space="0" w:color="auto"/>
              <w:left w:val="single" w:sz="2" w:space="0" w:color="auto"/>
              <w:bottom w:val="single" w:sz="12" w:space="0" w:color="auto"/>
              <w:right w:val="single" w:sz="2" w:space="0" w:color="auto"/>
            </w:tcBorders>
            <w:vAlign w:val="center"/>
          </w:tcPr>
          <w:p>
            <w:pPr>
              <w:jc w:val="center"/>
              <w:rPr>
                <w:b/>
                <w:noProof/>
                <w:sz w:val="20"/>
              </w:rPr>
            </w:pPr>
            <w:r>
              <w:rPr>
                <w:b/>
                <w:noProof/>
                <w:sz w:val="20"/>
              </w:rPr>
              <w:t>1,400</w:t>
            </w:r>
          </w:p>
        </w:tc>
        <w:tc>
          <w:tcPr>
            <w:tcW w:w="720" w:type="dxa"/>
            <w:tcBorders>
              <w:top w:val="single" w:sz="12" w:space="0" w:color="auto"/>
              <w:left w:val="single" w:sz="2" w:space="0" w:color="auto"/>
              <w:bottom w:val="single" w:sz="12" w:space="0" w:color="auto"/>
              <w:right w:val="single" w:sz="2" w:space="0" w:color="auto"/>
            </w:tcBorders>
            <w:vAlign w:val="center"/>
          </w:tcPr>
          <w:p>
            <w:pPr>
              <w:jc w:val="center"/>
              <w:rPr>
                <w:b/>
                <w:noProof/>
                <w:sz w:val="20"/>
              </w:rPr>
            </w:pPr>
            <w:r>
              <w:rPr>
                <w:b/>
                <w:noProof/>
                <w:sz w:val="20"/>
              </w:rPr>
              <w:t>0,233</w:t>
            </w:r>
          </w:p>
        </w:tc>
        <w:tc>
          <w:tcPr>
            <w:tcW w:w="72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noProof/>
                <w:sz w:val="22"/>
              </w:rPr>
            </w:pPr>
            <w:r>
              <w:rPr>
                <w:b/>
                <w:noProof/>
                <w:sz w:val="22"/>
              </w:rPr>
              <w:t>0,0</w:t>
            </w:r>
          </w:p>
        </w:tc>
        <w:tc>
          <w:tcPr>
            <w:tcW w:w="72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noProof/>
                <w:sz w:val="22"/>
              </w:rPr>
            </w:pPr>
            <w:r>
              <w:rPr>
                <w:b/>
                <w:noProof/>
                <w:sz w:val="22"/>
              </w:rPr>
              <w:t>0,0</w:t>
            </w:r>
          </w:p>
        </w:tc>
        <w:tc>
          <w:tcPr>
            <w:tcW w:w="84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noProof/>
                <w:sz w:val="22"/>
              </w:rPr>
            </w:pPr>
            <w:r>
              <w:rPr>
                <w:b/>
                <w:noProof/>
                <w:sz w:val="22"/>
              </w:rPr>
              <w:t>0,0</w:t>
            </w:r>
          </w:p>
        </w:tc>
        <w:tc>
          <w:tcPr>
            <w:tcW w:w="2209" w:type="dxa"/>
            <w:tcBorders>
              <w:top w:val="single" w:sz="12" w:space="0" w:color="auto"/>
              <w:left w:val="single" w:sz="2" w:space="0" w:color="auto"/>
              <w:bottom w:val="single" w:sz="12" w:space="0" w:color="auto"/>
              <w:right w:val="single" w:sz="12" w:space="0" w:color="auto"/>
            </w:tcBorders>
            <w:vAlign w:val="center"/>
          </w:tcPr>
          <w:p>
            <w:pPr>
              <w:spacing w:before="60" w:after="60"/>
              <w:jc w:val="center"/>
              <w:rPr>
                <w:b/>
                <w:noProof/>
                <w:sz w:val="22"/>
              </w:rPr>
            </w:pPr>
            <w:r>
              <w:rPr>
                <w:b/>
                <w:noProof/>
                <w:sz w:val="22"/>
              </w:rPr>
              <w:t>1,983</w:t>
            </w:r>
          </w:p>
        </w:tc>
      </w:tr>
    </w:tbl>
    <w:p>
      <w:pPr>
        <w:rPr>
          <w:noProof/>
        </w:rPr>
      </w:pPr>
    </w:p>
    <w:p>
      <w:pPr>
        <w:pStyle w:val="Text1"/>
        <w:rPr>
          <w:noProof/>
        </w:rPr>
      </w:pPr>
      <w:r>
        <w:rPr>
          <w:noProof/>
        </w:rPr>
        <w:t>Predvidene naloge tega dodatnega osebja evropske mejne in obalne straže so časovno omejene (leto 2023) in se natančneje začnejo 24 mesecev od datuma, ko bo na voljo biometrični iskalnik za SVI. Vendar je treba osebje zaposliti vnaprej (po izračunih približno tri mesece), zato je navedeno tudi število za leto 2022. Opravljenim nalogam sledijo zaključne naloge, ki bodo potekale dva meseca, kar pojasnjuje število osebja za leto 2024.</w:t>
      </w:r>
    </w:p>
    <w:p>
      <w:pPr>
        <w:pStyle w:val="Text1"/>
        <w:rPr>
          <w:noProof/>
        </w:rPr>
      </w:pPr>
      <w:r>
        <w:rPr>
          <w:noProof/>
        </w:rPr>
        <w:t>Število osebja izhaja iz osnove 20 oseb, ki se potrebujejo za naloge, ki jih je treba opraviti (ob 10 dodatnih osebah, ki jih zagotovi izvajalec, kar se odraža v naslovu 3). Predpostavlja se tudi, da se bodo naloge opravljale v podaljšanem delovnem času in da ne bodo omejene na običajen delovni čas. Podporno in vodstveno osebje naj bi se zagotovilo iz virov agencije.</w:t>
      </w:r>
    </w:p>
    <w:p>
      <w:pPr>
        <w:pStyle w:val="Text1"/>
        <w:rPr>
          <w:noProof/>
        </w:rPr>
      </w:pPr>
      <w:r>
        <w:rPr>
          <w:noProof/>
        </w:rPr>
        <w:t>Število osebja temelji na predpostavki, da bo treba oceniti približno 550 000 prstnih odtisov, pri čemer naj bi bilo za en primer potrebnih povprečno 5 do 10 minut (preverjenih 17 000 odtisov letno)</w:t>
      </w:r>
      <w:r>
        <w:rPr>
          <w:rStyle w:val="FootnoteReference"/>
          <w:noProof/>
        </w:rPr>
        <w:footnoteReference w:id="108"/>
      </w:r>
      <w:r>
        <w:rPr>
          <w:noProof/>
        </w:rPr>
        <w:t>.</w:t>
      </w:r>
    </w:p>
    <w:p>
      <w:pPr>
        <w:pStyle w:val="Text1"/>
        <w:ind w:left="0"/>
        <w:rPr>
          <w:noProof/>
        </w:rPr>
      </w:pPr>
      <w:r>
        <w:rPr>
          <w:noProof/>
        </w:rPr>
        <w:t xml:space="preserve"> </w:t>
      </w:r>
      <w:r>
        <w:rPr>
          <w:noProof/>
          <w:lang w:val="en-US" w:eastAsia="en-US" w:bidi="ar-SA"/>
        </w:rPr>
        <w:drawing>
          <wp:inline distT="0" distB="0" distL="0" distR="0">
            <wp:extent cx="5780832" cy="1295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02753" cy="1300312"/>
                    </a:xfrm>
                    <a:prstGeom prst="rect">
                      <a:avLst/>
                    </a:prstGeom>
                    <a:noFill/>
                    <a:ln>
                      <a:noFill/>
                    </a:ln>
                  </pic:spPr>
                </pic:pic>
              </a:graphicData>
            </a:graphic>
          </wp:inline>
        </w:drawing>
      </w:r>
    </w:p>
    <w:p>
      <w:pPr>
        <w:pStyle w:val="Text1"/>
        <w:ind w:left="0"/>
        <w:rPr>
          <w:noProof/>
        </w:rPr>
      </w:pPr>
      <w:r>
        <w:rPr>
          <w:noProof/>
        </w:rPr>
        <w:t>.</w:t>
      </w:r>
    </w:p>
    <w:p>
      <w:pPr>
        <w:pStyle w:val="ManualHeading4"/>
        <w:rPr>
          <w:noProof/>
        </w:rPr>
      </w:pPr>
      <w:r>
        <w:t>3.2.3.2.</w:t>
      </w:r>
      <w:r>
        <w:tab/>
      </w:r>
      <w:r>
        <w:rPr>
          <w:noProof/>
        </w:rPr>
        <w:t>Povzetek za Europol</w:t>
      </w:r>
    </w:p>
    <w:p>
      <w:pPr>
        <w:keepNext/>
        <w:rPr>
          <w:noProof/>
        </w:rPr>
      </w:pPr>
      <w:r>
        <w:rPr>
          <w:noProof/>
        </w:rPr>
        <w:sym w:font="Wingdings" w:char="F0A8"/>
      </w:r>
      <w:r>
        <w:rPr>
          <w:noProof/>
        </w:rPr>
        <w:tab/>
        <w:t xml:space="preserve">Za predlog/pobudo niso potrebne odobritve za upravne zadeve. </w:t>
      </w:r>
    </w:p>
    <w:p>
      <w:pPr>
        <w:rPr>
          <w:noProof/>
        </w:rPr>
      </w:pPr>
      <w:r>
        <w:rPr>
          <w:noProof/>
        </w:rPr>
        <w:sym w:font="Wingdings" w:char="F078"/>
      </w:r>
      <w:r>
        <w:rPr>
          <w:noProof/>
        </w:rPr>
        <w:tab/>
        <w:t>Za predlog/pobudo so potrebne odobritve za upravne zadeve, kot je pojasnjeno v nadaljevanju:</w:t>
      </w:r>
    </w:p>
    <w:p>
      <w:pPr>
        <w:rPr>
          <w:noProof/>
          <w:sz w:val="20"/>
        </w:rPr>
      </w:pPr>
      <w:r>
        <w:rPr>
          <w:noProof/>
          <w:sz w:val="20"/>
        </w:rPr>
        <w:t>v mio. EUR (na tri decimalna mesta natančno)</w:t>
      </w:r>
    </w:p>
    <w:tbl>
      <w:tblPr>
        <w:tblW w:w="1036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456"/>
        <w:gridCol w:w="752"/>
        <w:gridCol w:w="720"/>
        <w:gridCol w:w="720"/>
        <w:gridCol w:w="720"/>
        <w:gridCol w:w="720"/>
        <w:gridCol w:w="720"/>
        <w:gridCol w:w="720"/>
        <w:gridCol w:w="720"/>
        <w:gridCol w:w="840"/>
        <w:gridCol w:w="2272"/>
      </w:tblGrid>
      <w:tr>
        <w:trPr>
          <w:trHeight w:val="574"/>
        </w:trPr>
        <w:tc>
          <w:tcPr>
            <w:tcW w:w="1456" w:type="dxa"/>
          </w:tcPr>
          <w:p>
            <w:pPr>
              <w:spacing w:before="60" w:after="60"/>
              <w:rPr>
                <w:noProof/>
                <w:sz w:val="20"/>
              </w:rPr>
            </w:pPr>
          </w:p>
        </w:tc>
        <w:tc>
          <w:tcPr>
            <w:tcW w:w="752" w:type="dxa"/>
            <w:vAlign w:val="center"/>
          </w:tcPr>
          <w:p>
            <w:pPr>
              <w:spacing w:before="60" w:after="60"/>
              <w:jc w:val="center"/>
              <w:rPr>
                <w:noProof/>
                <w:sz w:val="20"/>
              </w:rPr>
            </w:pPr>
            <w:r>
              <w:rPr>
                <w:noProof/>
                <w:sz w:val="20"/>
              </w:rPr>
              <w:t>Leto</w:t>
            </w:r>
            <w:r>
              <w:rPr>
                <w:noProof/>
                <w:sz w:val="22"/>
              </w:rPr>
              <w:br/>
            </w:r>
            <w:r>
              <w:rPr>
                <w:b/>
                <w:noProof/>
                <w:sz w:val="20"/>
              </w:rPr>
              <w:t>2019</w:t>
            </w:r>
          </w:p>
        </w:tc>
        <w:tc>
          <w:tcPr>
            <w:tcW w:w="720" w:type="dxa"/>
            <w:vAlign w:val="center"/>
          </w:tcPr>
          <w:p>
            <w:pPr>
              <w:spacing w:before="60" w:after="60"/>
              <w:jc w:val="center"/>
              <w:rPr>
                <w:noProof/>
                <w:sz w:val="20"/>
              </w:rPr>
            </w:pPr>
            <w:r>
              <w:rPr>
                <w:noProof/>
                <w:sz w:val="20"/>
              </w:rPr>
              <w:t>Leto</w:t>
            </w:r>
            <w:r>
              <w:rPr>
                <w:noProof/>
                <w:sz w:val="22"/>
              </w:rPr>
              <w:br/>
            </w:r>
            <w:r>
              <w:rPr>
                <w:b/>
                <w:noProof/>
                <w:sz w:val="20"/>
              </w:rPr>
              <w:t>2020</w:t>
            </w:r>
          </w:p>
        </w:tc>
        <w:tc>
          <w:tcPr>
            <w:tcW w:w="720" w:type="dxa"/>
            <w:vAlign w:val="center"/>
          </w:tcPr>
          <w:p>
            <w:pPr>
              <w:spacing w:before="60" w:after="60"/>
              <w:jc w:val="center"/>
              <w:rPr>
                <w:noProof/>
                <w:sz w:val="20"/>
              </w:rPr>
            </w:pPr>
            <w:r>
              <w:rPr>
                <w:noProof/>
                <w:sz w:val="20"/>
              </w:rPr>
              <w:t>Leto</w:t>
            </w:r>
            <w:r>
              <w:rPr>
                <w:noProof/>
                <w:sz w:val="22"/>
              </w:rPr>
              <w:br/>
            </w:r>
            <w:r>
              <w:rPr>
                <w:b/>
                <w:noProof/>
                <w:sz w:val="20"/>
              </w:rPr>
              <w:t>2021</w:t>
            </w:r>
          </w:p>
        </w:tc>
        <w:tc>
          <w:tcPr>
            <w:tcW w:w="720" w:type="dxa"/>
            <w:vAlign w:val="center"/>
          </w:tcPr>
          <w:p>
            <w:pPr>
              <w:spacing w:before="60" w:after="60"/>
              <w:jc w:val="center"/>
              <w:rPr>
                <w:noProof/>
                <w:sz w:val="20"/>
              </w:rPr>
            </w:pPr>
            <w:r>
              <w:rPr>
                <w:noProof/>
                <w:sz w:val="20"/>
              </w:rPr>
              <w:t>Leto</w:t>
            </w:r>
            <w:r>
              <w:rPr>
                <w:noProof/>
                <w:sz w:val="22"/>
              </w:rPr>
              <w:br/>
            </w:r>
            <w:r>
              <w:rPr>
                <w:b/>
                <w:noProof/>
                <w:sz w:val="20"/>
              </w:rPr>
              <w:t>2022</w:t>
            </w:r>
          </w:p>
        </w:tc>
        <w:tc>
          <w:tcPr>
            <w:tcW w:w="720" w:type="dxa"/>
            <w:vAlign w:val="center"/>
          </w:tcPr>
          <w:p>
            <w:pPr>
              <w:jc w:val="center"/>
              <w:rPr>
                <w:b/>
                <w:noProof/>
                <w:sz w:val="20"/>
              </w:rPr>
            </w:pPr>
            <w:r>
              <w:rPr>
                <w:noProof/>
                <w:sz w:val="20"/>
              </w:rPr>
              <w:t>Leto</w:t>
            </w:r>
            <w:r>
              <w:rPr>
                <w:noProof/>
                <w:sz w:val="22"/>
              </w:rPr>
              <w:br/>
            </w:r>
            <w:r>
              <w:rPr>
                <w:b/>
                <w:noProof/>
                <w:sz w:val="20"/>
              </w:rPr>
              <w:t>2023</w:t>
            </w:r>
          </w:p>
        </w:tc>
        <w:tc>
          <w:tcPr>
            <w:tcW w:w="720" w:type="dxa"/>
            <w:vAlign w:val="center"/>
          </w:tcPr>
          <w:p>
            <w:pPr>
              <w:jc w:val="center"/>
              <w:rPr>
                <w:b/>
                <w:noProof/>
                <w:sz w:val="20"/>
              </w:rPr>
            </w:pPr>
            <w:r>
              <w:rPr>
                <w:noProof/>
                <w:sz w:val="20"/>
              </w:rPr>
              <w:t>Leto</w:t>
            </w:r>
            <w:r>
              <w:rPr>
                <w:noProof/>
                <w:sz w:val="22"/>
              </w:rPr>
              <w:br/>
            </w:r>
            <w:r>
              <w:rPr>
                <w:b/>
                <w:noProof/>
                <w:sz w:val="20"/>
              </w:rPr>
              <w:t>2024</w:t>
            </w:r>
          </w:p>
        </w:tc>
        <w:tc>
          <w:tcPr>
            <w:tcW w:w="720" w:type="dxa"/>
            <w:vAlign w:val="center"/>
          </w:tcPr>
          <w:p>
            <w:pPr>
              <w:jc w:val="center"/>
              <w:rPr>
                <w:b/>
                <w:noProof/>
                <w:sz w:val="20"/>
              </w:rPr>
            </w:pPr>
            <w:r>
              <w:rPr>
                <w:noProof/>
                <w:sz w:val="20"/>
              </w:rPr>
              <w:t>Leto</w:t>
            </w:r>
            <w:r>
              <w:rPr>
                <w:noProof/>
                <w:sz w:val="22"/>
              </w:rPr>
              <w:br/>
            </w:r>
            <w:r>
              <w:rPr>
                <w:b/>
                <w:noProof/>
                <w:sz w:val="20"/>
              </w:rPr>
              <w:t>2025</w:t>
            </w:r>
          </w:p>
        </w:tc>
        <w:tc>
          <w:tcPr>
            <w:tcW w:w="720" w:type="dxa"/>
            <w:vAlign w:val="center"/>
          </w:tcPr>
          <w:p>
            <w:pPr>
              <w:spacing w:before="60" w:after="60"/>
              <w:jc w:val="center"/>
              <w:rPr>
                <w:b/>
                <w:noProof/>
                <w:sz w:val="20"/>
              </w:rPr>
            </w:pPr>
            <w:r>
              <w:rPr>
                <w:noProof/>
                <w:sz w:val="20"/>
              </w:rPr>
              <w:t>Leto</w:t>
            </w:r>
            <w:r>
              <w:rPr>
                <w:noProof/>
                <w:sz w:val="22"/>
              </w:rPr>
              <w:br/>
            </w:r>
            <w:r>
              <w:rPr>
                <w:b/>
                <w:noProof/>
                <w:sz w:val="20"/>
              </w:rPr>
              <w:t>2026</w:t>
            </w:r>
          </w:p>
        </w:tc>
        <w:tc>
          <w:tcPr>
            <w:tcW w:w="840" w:type="dxa"/>
            <w:vAlign w:val="center"/>
          </w:tcPr>
          <w:p>
            <w:pPr>
              <w:spacing w:before="60" w:after="60"/>
              <w:jc w:val="center"/>
              <w:rPr>
                <w:b/>
                <w:noProof/>
                <w:sz w:val="20"/>
              </w:rPr>
            </w:pPr>
            <w:r>
              <w:rPr>
                <w:noProof/>
                <w:sz w:val="20"/>
              </w:rPr>
              <w:t>Leto</w:t>
            </w:r>
            <w:r>
              <w:rPr>
                <w:noProof/>
                <w:sz w:val="22"/>
              </w:rPr>
              <w:br/>
            </w:r>
            <w:r>
              <w:rPr>
                <w:b/>
                <w:noProof/>
                <w:sz w:val="20"/>
              </w:rPr>
              <w:t>2027</w:t>
            </w:r>
          </w:p>
        </w:tc>
        <w:tc>
          <w:tcPr>
            <w:tcW w:w="2272" w:type="dxa"/>
            <w:vAlign w:val="center"/>
          </w:tcPr>
          <w:p>
            <w:pPr>
              <w:spacing w:before="60" w:after="60"/>
              <w:jc w:val="center"/>
              <w:rPr>
                <w:b/>
                <w:noProof/>
                <w:sz w:val="20"/>
              </w:rPr>
            </w:pPr>
            <w:r>
              <w:rPr>
                <w:b/>
                <w:noProof/>
                <w:sz w:val="20"/>
              </w:rPr>
              <w:t>SKUPAJ</w:t>
            </w:r>
          </w:p>
        </w:tc>
      </w:tr>
    </w:tbl>
    <w:p>
      <w:pPr>
        <w:rPr>
          <w:noProof/>
          <w:sz w:val="20"/>
        </w:rPr>
      </w:pPr>
    </w:p>
    <w:tbl>
      <w:tblPr>
        <w:tblW w:w="10327"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451"/>
        <w:gridCol w:w="759"/>
        <w:gridCol w:w="720"/>
        <w:gridCol w:w="720"/>
        <w:gridCol w:w="720"/>
        <w:gridCol w:w="720"/>
        <w:gridCol w:w="720"/>
        <w:gridCol w:w="720"/>
        <w:gridCol w:w="720"/>
        <w:gridCol w:w="840"/>
        <w:gridCol w:w="2237"/>
      </w:tblGrid>
      <w:tr>
        <w:trPr>
          <w:trHeight w:val="587"/>
        </w:trPr>
        <w:tc>
          <w:tcPr>
            <w:tcW w:w="1451" w:type="dxa"/>
            <w:shd w:val="clear" w:color="auto" w:fill="CCCCCC"/>
            <w:vAlign w:val="center"/>
          </w:tcPr>
          <w:p>
            <w:pPr>
              <w:spacing w:before="60" w:after="60"/>
              <w:jc w:val="center"/>
              <w:rPr>
                <w:noProof/>
              </w:rPr>
            </w:pPr>
            <w:r>
              <w:rPr>
                <w:noProof/>
                <w:sz w:val="18"/>
              </w:rPr>
              <w:t>Uradniki (razredi AD)</w:t>
            </w:r>
          </w:p>
        </w:tc>
        <w:tc>
          <w:tcPr>
            <w:tcW w:w="759"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b/>
                <w:noProof/>
                <w:sz w:val="20"/>
              </w:rPr>
            </w:pPr>
          </w:p>
        </w:tc>
        <w:tc>
          <w:tcPr>
            <w:tcW w:w="720" w:type="dxa"/>
          </w:tcPr>
          <w:p>
            <w:pPr>
              <w:spacing w:before="60" w:after="60"/>
              <w:jc w:val="right"/>
              <w:rPr>
                <w:b/>
                <w:noProof/>
                <w:sz w:val="20"/>
              </w:rPr>
            </w:pPr>
          </w:p>
        </w:tc>
        <w:tc>
          <w:tcPr>
            <w:tcW w:w="840" w:type="dxa"/>
          </w:tcPr>
          <w:p>
            <w:pPr>
              <w:spacing w:before="60" w:after="60"/>
              <w:jc w:val="right"/>
              <w:rPr>
                <w:b/>
                <w:noProof/>
                <w:sz w:val="20"/>
              </w:rPr>
            </w:pPr>
          </w:p>
        </w:tc>
        <w:tc>
          <w:tcPr>
            <w:tcW w:w="2237" w:type="dxa"/>
            <w:vAlign w:val="center"/>
          </w:tcPr>
          <w:p>
            <w:pPr>
              <w:spacing w:before="60" w:after="60"/>
              <w:jc w:val="right"/>
              <w:rPr>
                <w:b/>
                <w:noProof/>
                <w:sz w:val="20"/>
              </w:rPr>
            </w:pPr>
          </w:p>
        </w:tc>
      </w:tr>
      <w:tr>
        <w:trPr>
          <w:trHeight w:val="587"/>
        </w:trPr>
        <w:tc>
          <w:tcPr>
            <w:tcW w:w="1451" w:type="dxa"/>
            <w:vAlign w:val="center"/>
          </w:tcPr>
          <w:p>
            <w:pPr>
              <w:spacing w:before="60" w:after="60"/>
              <w:ind w:left="72"/>
              <w:rPr>
                <w:noProof/>
              </w:rPr>
            </w:pPr>
            <w:r>
              <w:rPr>
                <w:noProof/>
                <w:sz w:val="20"/>
              </w:rPr>
              <w:t>Uradniki (razredi AST)</w:t>
            </w:r>
          </w:p>
        </w:tc>
        <w:tc>
          <w:tcPr>
            <w:tcW w:w="759" w:type="dxa"/>
            <w:vAlign w:val="center"/>
          </w:tcPr>
          <w:p>
            <w:pPr>
              <w:spacing w:before="60" w:after="60"/>
              <w:jc w:val="right"/>
              <w:rPr>
                <w:noProof/>
                <w:sz w:val="20"/>
              </w:rPr>
            </w:pPr>
            <w:r>
              <w:rPr>
                <w:noProof/>
                <w:sz w:val="20"/>
              </w:rPr>
              <w:t>0</w:t>
            </w: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b/>
                <w:noProof/>
                <w:sz w:val="20"/>
              </w:rPr>
            </w:pPr>
          </w:p>
        </w:tc>
        <w:tc>
          <w:tcPr>
            <w:tcW w:w="720" w:type="dxa"/>
          </w:tcPr>
          <w:p>
            <w:pPr>
              <w:spacing w:before="60" w:after="60"/>
              <w:jc w:val="right"/>
              <w:rPr>
                <w:b/>
                <w:noProof/>
                <w:sz w:val="20"/>
              </w:rPr>
            </w:pPr>
          </w:p>
        </w:tc>
        <w:tc>
          <w:tcPr>
            <w:tcW w:w="840" w:type="dxa"/>
          </w:tcPr>
          <w:p>
            <w:pPr>
              <w:spacing w:before="60" w:after="60"/>
              <w:jc w:val="right"/>
              <w:rPr>
                <w:b/>
                <w:noProof/>
                <w:sz w:val="20"/>
              </w:rPr>
            </w:pPr>
          </w:p>
        </w:tc>
        <w:tc>
          <w:tcPr>
            <w:tcW w:w="2237" w:type="dxa"/>
            <w:vAlign w:val="center"/>
          </w:tcPr>
          <w:p>
            <w:pPr>
              <w:spacing w:before="60" w:after="60"/>
              <w:jc w:val="right"/>
              <w:rPr>
                <w:b/>
                <w:noProof/>
                <w:sz w:val="20"/>
              </w:rPr>
            </w:pPr>
          </w:p>
        </w:tc>
      </w:tr>
      <w:tr>
        <w:trPr>
          <w:trHeight w:val="587"/>
        </w:trPr>
        <w:tc>
          <w:tcPr>
            <w:tcW w:w="1451" w:type="dxa"/>
            <w:vAlign w:val="center"/>
          </w:tcPr>
          <w:p>
            <w:pPr>
              <w:spacing w:before="60" w:after="60"/>
              <w:ind w:left="72"/>
              <w:rPr>
                <w:noProof/>
              </w:rPr>
            </w:pPr>
            <w:r>
              <w:rPr>
                <w:noProof/>
                <w:sz w:val="20"/>
              </w:rPr>
              <w:t>Pogodbeno zaposleni uslužbenci</w:t>
            </w:r>
          </w:p>
        </w:tc>
        <w:tc>
          <w:tcPr>
            <w:tcW w:w="759" w:type="dxa"/>
          </w:tcPr>
          <w:p>
            <w:pPr>
              <w:spacing w:before="60" w:after="60"/>
              <w:jc w:val="right"/>
              <w:rPr>
                <w:noProof/>
                <w:sz w:val="20"/>
              </w:rPr>
            </w:pPr>
            <w:r>
              <w:rPr>
                <w:rFonts w:ascii="Calibri" w:hAnsi="Calibri"/>
                <w:noProof/>
                <w:color w:val="000000"/>
                <w:sz w:val="22"/>
              </w:rPr>
              <w:t>0,000</w:t>
            </w:r>
          </w:p>
        </w:tc>
        <w:tc>
          <w:tcPr>
            <w:tcW w:w="720" w:type="dxa"/>
          </w:tcPr>
          <w:p>
            <w:pPr>
              <w:spacing w:before="60" w:after="60"/>
              <w:jc w:val="right"/>
              <w:rPr>
                <w:noProof/>
                <w:sz w:val="20"/>
              </w:rPr>
            </w:pPr>
            <w:r>
              <w:rPr>
                <w:rFonts w:ascii="Calibri" w:hAnsi="Calibri"/>
                <w:noProof/>
                <w:color w:val="000000"/>
                <w:sz w:val="22"/>
              </w:rPr>
              <w:t>0,070</w:t>
            </w:r>
          </w:p>
        </w:tc>
        <w:tc>
          <w:tcPr>
            <w:tcW w:w="720" w:type="dxa"/>
          </w:tcPr>
          <w:p>
            <w:pPr>
              <w:spacing w:before="60" w:after="60"/>
              <w:jc w:val="right"/>
              <w:rPr>
                <w:noProof/>
                <w:sz w:val="20"/>
              </w:rPr>
            </w:pPr>
            <w:r>
              <w:rPr>
                <w:rFonts w:ascii="Calibri" w:hAnsi="Calibri"/>
                <w:noProof/>
                <w:color w:val="000000"/>
                <w:sz w:val="22"/>
              </w:rPr>
              <w:t>0,070</w:t>
            </w:r>
          </w:p>
        </w:tc>
        <w:tc>
          <w:tcPr>
            <w:tcW w:w="720" w:type="dxa"/>
          </w:tcPr>
          <w:p>
            <w:pPr>
              <w:spacing w:before="60" w:after="60"/>
              <w:jc w:val="right"/>
              <w:rPr>
                <w:noProof/>
                <w:sz w:val="20"/>
              </w:rPr>
            </w:pPr>
            <w:r>
              <w:rPr>
                <w:rFonts w:ascii="Calibri" w:hAnsi="Calibri"/>
                <w:noProof/>
                <w:color w:val="000000"/>
                <w:sz w:val="22"/>
              </w:rPr>
              <w:t>0,560</w:t>
            </w:r>
          </w:p>
        </w:tc>
        <w:tc>
          <w:tcPr>
            <w:tcW w:w="720" w:type="dxa"/>
          </w:tcPr>
          <w:p>
            <w:pPr>
              <w:spacing w:before="60" w:after="60"/>
              <w:jc w:val="right"/>
              <w:rPr>
                <w:noProof/>
                <w:sz w:val="20"/>
              </w:rPr>
            </w:pPr>
            <w:r>
              <w:rPr>
                <w:rFonts w:ascii="Calibri" w:hAnsi="Calibri"/>
                <w:noProof/>
                <w:color w:val="000000"/>
                <w:sz w:val="22"/>
              </w:rPr>
              <w:t>0,560</w:t>
            </w:r>
          </w:p>
        </w:tc>
        <w:tc>
          <w:tcPr>
            <w:tcW w:w="720" w:type="dxa"/>
          </w:tcPr>
          <w:p>
            <w:pPr>
              <w:spacing w:before="60" w:after="60"/>
              <w:jc w:val="right"/>
              <w:rPr>
                <w:noProof/>
                <w:sz w:val="20"/>
              </w:rPr>
            </w:pPr>
            <w:r>
              <w:rPr>
                <w:rFonts w:ascii="Calibri" w:hAnsi="Calibri"/>
                <w:noProof/>
                <w:color w:val="000000"/>
                <w:sz w:val="22"/>
              </w:rPr>
              <w:t>0,560</w:t>
            </w:r>
          </w:p>
        </w:tc>
        <w:tc>
          <w:tcPr>
            <w:tcW w:w="720" w:type="dxa"/>
          </w:tcPr>
          <w:p>
            <w:pPr>
              <w:spacing w:before="60" w:after="60"/>
              <w:jc w:val="right"/>
              <w:rPr>
                <w:noProof/>
                <w:sz w:val="20"/>
              </w:rPr>
            </w:pPr>
            <w:r>
              <w:rPr>
                <w:rFonts w:ascii="Calibri" w:hAnsi="Calibri"/>
                <w:noProof/>
                <w:color w:val="000000"/>
                <w:sz w:val="22"/>
              </w:rPr>
              <w:t>0,560</w:t>
            </w:r>
          </w:p>
        </w:tc>
        <w:tc>
          <w:tcPr>
            <w:tcW w:w="720" w:type="dxa"/>
          </w:tcPr>
          <w:p>
            <w:pPr>
              <w:spacing w:before="60" w:after="60"/>
              <w:jc w:val="center"/>
              <w:rPr>
                <w:noProof/>
                <w:sz w:val="20"/>
              </w:rPr>
            </w:pPr>
            <w:r>
              <w:rPr>
                <w:rFonts w:ascii="Calibri" w:hAnsi="Calibri"/>
                <w:noProof/>
                <w:color w:val="000000"/>
                <w:sz w:val="22"/>
              </w:rPr>
              <w:t>0,560</w:t>
            </w:r>
          </w:p>
        </w:tc>
        <w:tc>
          <w:tcPr>
            <w:tcW w:w="840" w:type="dxa"/>
          </w:tcPr>
          <w:p>
            <w:pPr>
              <w:spacing w:before="60" w:after="60"/>
              <w:jc w:val="center"/>
              <w:rPr>
                <w:noProof/>
                <w:sz w:val="20"/>
              </w:rPr>
            </w:pPr>
            <w:r>
              <w:rPr>
                <w:rFonts w:ascii="Calibri" w:hAnsi="Calibri"/>
                <w:noProof/>
                <w:color w:val="000000"/>
                <w:sz w:val="22"/>
              </w:rPr>
              <w:t>0,560</w:t>
            </w:r>
          </w:p>
        </w:tc>
        <w:tc>
          <w:tcPr>
            <w:tcW w:w="2237" w:type="dxa"/>
          </w:tcPr>
          <w:p>
            <w:pPr>
              <w:spacing w:before="60" w:after="60"/>
              <w:jc w:val="center"/>
              <w:rPr>
                <w:noProof/>
                <w:sz w:val="20"/>
              </w:rPr>
            </w:pPr>
            <w:r>
              <w:rPr>
                <w:rFonts w:ascii="Calibri" w:hAnsi="Calibri"/>
                <w:noProof/>
                <w:color w:val="000000"/>
                <w:sz w:val="22"/>
              </w:rPr>
              <w:t>3,500</w:t>
            </w:r>
          </w:p>
        </w:tc>
      </w:tr>
      <w:tr>
        <w:trPr>
          <w:trHeight w:val="587"/>
        </w:trPr>
        <w:tc>
          <w:tcPr>
            <w:tcW w:w="1451" w:type="dxa"/>
            <w:shd w:val="clear" w:color="auto" w:fill="CCCCCC"/>
            <w:vAlign w:val="center"/>
          </w:tcPr>
          <w:p>
            <w:pPr>
              <w:spacing w:before="60" w:after="60"/>
              <w:jc w:val="center"/>
              <w:rPr>
                <w:noProof/>
              </w:rPr>
            </w:pPr>
            <w:r>
              <w:rPr>
                <w:noProof/>
                <w:sz w:val="18"/>
              </w:rPr>
              <w:t xml:space="preserve">Začasni uslužbenci </w:t>
            </w:r>
          </w:p>
        </w:tc>
        <w:tc>
          <w:tcPr>
            <w:tcW w:w="759" w:type="dxa"/>
          </w:tcPr>
          <w:p>
            <w:pPr>
              <w:spacing w:before="60" w:after="60"/>
              <w:jc w:val="right"/>
              <w:rPr>
                <w:noProof/>
                <w:sz w:val="22"/>
              </w:rPr>
            </w:pPr>
            <w:r>
              <w:rPr>
                <w:rFonts w:ascii="Calibri" w:hAnsi="Calibri"/>
                <w:noProof/>
                <w:color w:val="000000"/>
                <w:sz w:val="22"/>
              </w:rPr>
              <w:t>0,690</w:t>
            </w:r>
          </w:p>
        </w:tc>
        <w:tc>
          <w:tcPr>
            <w:tcW w:w="720" w:type="dxa"/>
          </w:tcPr>
          <w:p>
            <w:pPr>
              <w:spacing w:before="60" w:after="60"/>
              <w:jc w:val="right"/>
              <w:rPr>
                <w:noProof/>
                <w:sz w:val="22"/>
              </w:rPr>
            </w:pPr>
            <w:r>
              <w:rPr>
                <w:rFonts w:ascii="Calibri" w:hAnsi="Calibri"/>
                <w:noProof/>
                <w:color w:val="000000"/>
                <w:sz w:val="22"/>
              </w:rPr>
              <w:t>1,932</w:t>
            </w:r>
          </w:p>
        </w:tc>
        <w:tc>
          <w:tcPr>
            <w:tcW w:w="720" w:type="dxa"/>
          </w:tcPr>
          <w:p>
            <w:pPr>
              <w:spacing w:before="60" w:after="60"/>
              <w:jc w:val="right"/>
              <w:rPr>
                <w:noProof/>
                <w:sz w:val="22"/>
              </w:rPr>
            </w:pPr>
            <w:r>
              <w:rPr>
                <w:rFonts w:ascii="Calibri" w:hAnsi="Calibri"/>
                <w:noProof/>
                <w:color w:val="000000"/>
                <w:sz w:val="22"/>
              </w:rPr>
              <w:t>1,932</w:t>
            </w:r>
          </w:p>
        </w:tc>
        <w:tc>
          <w:tcPr>
            <w:tcW w:w="720" w:type="dxa"/>
          </w:tcPr>
          <w:p>
            <w:pPr>
              <w:spacing w:before="60" w:after="60"/>
              <w:jc w:val="right"/>
              <w:rPr>
                <w:noProof/>
                <w:sz w:val="22"/>
              </w:rPr>
            </w:pPr>
            <w:r>
              <w:rPr>
                <w:rFonts w:ascii="Calibri" w:hAnsi="Calibri"/>
                <w:noProof/>
                <w:color w:val="000000"/>
                <w:sz w:val="22"/>
              </w:rPr>
              <w:t>0,621</w:t>
            </w:r>
          </w:p>
        </w:tc>
        <w:tc>
          <w:tcPr>
            <w:tcW w:w="720" w:type="dxa"/>
          </w:tcPr>
          <w:p>
            <w:pPr>
              <w:spacing w:before="60" w:after="60"/>
              <w:jc w:val="right"/>
              <w:rPr>
                <w:noProof/>
                <w:sz w:val="22"/>
              </w:rPr>
            </w:pPr>
            <w:r>
              <w:rPr>
                <w:rFonts w:ascii="Calibri" w:hAnsi="Calibri"/>
                <w:noProof/>
                <w:color w:val="000000"/>
                <w:sz w:val="22"/>
              </w:rPr>
              <w:t>0,621</w:t>
            </w:r>
          </w:p>
        </w:tc>
        <w:tc>
          <w:tcPr>
            <w:tcW w:w="720" w:type="dxa"/>
          </w:tcPr>
          <w:p>
            <w:pPr>
              <w:spacing w:before="60" w:after="60"/>
              <w:jc w:val="right"/>
              <w:rPr>
                <w:noProof/>
                <w:sz w:val="22"/>
              </w:rPr>
            </w:pPr>
            <w:r>
              <w:rPr>
                <w:rFonts w:ascii="Calibri" w:hAnsi="Calibri"/>
                <w:noProof/>
                <w:color w:val="000000"/>
                <w:sz w:val="22"/>
              </w:rPr>
              <w:t>0,414</w:t>
            </w:r>
          </w:p>
        </w:tc>
        <w:tc>
          <w:tcPr>
            <w:tcW w:w="720" w:type="dxa"/>
          </w:tcPr>
          <w:p>
            <w:pPr>
              <w:spacing w:before="60" w:after="60"/>
              <w:jc w:val="right"/>
              <w:rPr>
                <w:noProof/>
                <w:sz w:val="22"/>
              </w:rPr>
            </w:pPr>
            <w:r>
              <w:rPr>
                <w:rFonts w:ascii="Calibri" w:hAnsi="Calibri"/>
                <w:noProof/>
                <w:color w:val="000000"/>
                <w:sz w:val="22"/>
              </w:rPr>
              <w:t>0,414</w:t>
            </w:r>
          </w:p>
        </w:tc>
        <w:tc>
          <w:tcPr>
            <w:tcW w:w="720" w:type="dxa"/>
          </w:tcPr>
          <w:p>
            <w:pPr>
              <w:spacing w:before="60" w:after="60"/>
              <w:jc w:val="right"/>
              <w:rPr>
                <w:noProof/>
                <w:sz w:val="22"/>
              </w:rPr>
            </w:pPr>
            <w:r>
              <w:rPr>
                <w:rFonts w:ascii="Calibri" w:hAnsi="Calibri"/>
                <w:noProof/>
                <w:color w:val="000000"/>
                <w:sz w:val="22"/>
              </w:rPr>
              <w:t>0,414</w:t>
            </w:r>
          </w:p>
        </w:tc>
        <w:tc>
          <w:tcPr>
            <w:tcW w:w="840" w:type="dxa"/>
          </w:tcPr>
          <w:p>
            <w:pPr>
              <w:spacing w:before="60" w:after="60"/>
              <w:jc w:val="right"/>
              <w:rPr>
                <w:noProof/>
                <w:sz w:val="22"/>
              </w:rPr>
            </w:pPr>
            <w:r>
              <w:rPr>
                <w:rFonts w:ascii="Calibri" w:hAnsi="Calibri"/>
                <w:noProof/>
                <w:color w:val="000000"/>
                <w:sz w:val="22"/>
              </w:rPr>
              <w:t>0,414</w:t>
            </w:r>
          </w:p>
        </w:tc>
        <w:tc>
          <w:tcPr>
            <w:tcW w:w="2237" w:type="dxa"/>
          </w:tcPr>
          <w:p>
            <w:pPr>
              <w:spacing w:before="60" w:after="60"/>
              <w:jc w:val="center"/>
              <w:rPr>
                <w:noProof/>
                <w:sz w:val="22"/>
              </w:rPr>
            </w:pPr>
            <w:r>
              <w:rPr>
                <w:rFonts w:ascii="Calibri" w:hAnsi="Calibri"/>
                <w:noProof/>
                <w:color w:val="000000"/>
                <w:sz w:val="22"/>
              </w:rPr>
              <w:t>7,452</w:t>
            </w:r>
          </w:p>
        </w:tc>
      </w:tr>
      <w:tr>
        <w:trPr>
          <w:trHeight w:val="587"/>
        </w:trPr>
        <w:tc>
          <w:tcPr>
            <w:tcW w:w="1451" w:type="dxa"/>
            <w:shd w:val="clear" w:color="auto" w:fill="CCCCCC"/>
            <w:vAlign w:val="center"/>
          </w:tcPr>
          <w:p>
            <w:pPr>
              <w:spacing w:before="60" w:after="60"/>
              <w:jc w:val="center"/>
              <w:rPr>
                <w:noProof/>
              </w:rPr>
            </w:pPr>
            <w:r>
              <w:rPr>
                <w:noProof/>
                <w:sz w:val="18"/>
              </w:rPr>
              <w:t>Napoteni nacionalni strokovnjaki</w:t>
            </w:r>
          </w:p>
        </w:tc>
        <w:tc>
          <w:tcPr>
            <w:tcW w:w="759"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b/>
                <w:noProof/>
                <w:sz w:val="20"/>
              </w:rPr>
            </w:pPr>
          </w:p>
        </w:tc>
        <w:tc>
          <w:tcPr>
            <w:tcW w:w="720" w:type="dxa"/>
          </w:tcPr>
          <w:p>
            <w:pPr>
              <w:spacing w:before="60" w:after="60"/>
              <w:jc w:val="right"/>
              <w:rPr>
                <w:b/>
                <w:noProof/>
                <w:sz w:val="20"/>
              </w:rPr>
            </w:pPr>
          </w:p>
        </w:tc>
        <w:tc>
          <w:tcPr>
            <w:tcW w:w="840" w:type="dxa"/>
          </w:tcPr>
          <w:p>
            <w:pPr>
              <w:spacing w:before="60" w:after="60"/>
              <w:jc w:val="right"/>
              <w:rPr>
                <w:b/>
                <w:noProof/>
                <w:sz w:val="20"/>
              </w:rPr>
            </w:pPr>
          </w:p>
        </w:tc>
        <w:tc>
          <w:tcPr>
            <w:tcW w:w="2237" w:type="dxa"/>
            <w:vAlign w:val="center"/>
          </w:tcPr>
          <w:p>
            <w:pPr>
              <w:spacing w:before="60" w:after="60"/>
              <w:jc w:val="right"/>
              <w:rPr>
                <w:b/>
                <w:noProof/>
                <w:sz w:val="20"/>
              </w:rPr>
            </w:pPr>
          </w:p>
        </w:tc>
      </w:tr>
    </w:tbl>
    <w:p>
      <w:pPr>
        <w:rPr>
          <w:noProof/>
          <w:sz w:val="20"/>
        </w:rPr>
      </w:pPr>
    </w:p>
    <w:tbl>
      <w:tblPr>
        <w:tblW w:w="10301" w:type="dxa"/>
        <w:tblInd w:w="-612" w:type="dxa"/>
        <w:tblLayout w:type="fixed"/>
        <w:tblLook w:val="01E0" w:firstRow="1" w:lastRow="1" w:firstColumn="1" w:lastColumn="1" w:noHBand="0" w:noVBand="0"/>
      </w:tblPr>
      <w:tblGrid>
        <w:gridCol w:w="1448"/>
        <w:gridCol w:w="764"/>
        <w:gridCol w:w="720"/>
        <w:gridCol w:w="720"/>
        <w:gridCol w:w="720"/>
        <w:gridCol w:w="720"/>
        <w:gridCol w:w="720"/>
        <w:gridCol w:w="720"/>
        <w:gridCol w:w="720"/>
        <w:gridCol w:w="840"/>
        <w:gridCol w:w="2209"/>
      </w:tblGrid>
      <w:tr>
        <w:trPr>
          <w:trHeight w:val="575"/>
        </w:trPr>
        <w:tc>
          <w:tcPr>
            <w:tcW w:w="1448" w:type="dxa"/>
            <w:tcBorders>
              <w:top w:val="single" w:sz="12" w:space="0" w:color="auto"/>
              <w:left w:val="single" w:sz="12" w:space="0" w:color="auto"/>
              <w:bottom w:val="single" w:sz="12" w:space="0" w:color="auto"/>
              <w:right w:val="single" w:sz="2" w:space="0" w:color="auto"/>
            </w:tcBorders>
            <w:vAlign w:val="center"/>
          </w:tcPr>
          <w:p>
            <w:pPr>
              <w:spacing w:before="60" w:after="60"/>
              <w:jc w:val="center"/>
              <w:rPr>
                <w:noProof/>
                <w:sz w:val="20"/>
              </w:rPr>
            </w:pPr>
            <w:r>
              <w:rPr>
                <w:b/>
                <w:noProof/>
                <w:sz w:val="20"/>
              </w:rPr>
              <w:t>SKUPAJ</w:t>
            </w:r>
          </w:p>
        </w:tc>
        <w:tc>
          <w:tcPr>
            <w:tcW w:w="764" w:type="dxa"/>
            <w:tcBorders>
              <w:top w:val="single" w:sz="12" w:space="0" w:color="auto"/>
              <w:left w:val="single" w:sz="2" w:space="0" w:color="auto"/>
              <w:bottom w:val="single" w:sz="12" w:space="0" w:color="auto"/>
              <w:right w:val="single" w:sz="2" w:space="0" w:color="auto"/>
            </w:tcBorders>
          </w:tcPr>
          <w:p>
            <w:pPr>
              <w:spacing w:before="60" w:after="60"/>
              <w:jc w:val="right"/>
              <w:rPr>
                <w:b/>
                <w:noProof/>
                <w:sz w:val="22"/>
              </w:rPr>
            </w:pPr>
            <w:r>
              <w:rPr>
                <w:rFonts w:ascii="Calibri" w:hAnsi="Calibri"/>
                <w:b/>
                <w:noProof/>
                <w:color w:val="000000"/>
                <w:sz w:val="22"/>
              </w:rPr>
              <w:t>0,690</w:t>
            </w:r>
          </w:p>
        </w:tc>
        <w:tc>
          <w:tcPr>
            <w:tcW w:w="720" w:type="dxa"/>
            <w:tcBorders>
              <w:top w:val="single" w:sz="12" w:space="0" w:color="auto"/>
              <w:left w:val="single" w:sz="2" w:space="0" w:color="auto"/>
              <w:bottom w:val="single" w:sz="12" w:space="0" w:color="auto"/>
              <w:right w:val="single" w:sz="2" w:space="0" w:color="auto"/>
            </w:tcBorders>
          </w:tcPr>
          <w:p>
            <w:pPr>
              <w:spacing w:before="60" w:after="60"/>
              <w:jc w:val="right"/>
              <w:rPr>
                <w:b/>
                <w:noProof/>
                <w:sz w:val="22"/>
              </w:rPr>
            </w:pPr>
            <w:r>
              <w:rPr>
                <w:rFonts w:ascii="Calibri" w:hAnsi="Calibri"/>
                <w:b/>
                <w:noProof/>
                <w:color w:val="000000"/>
                <w:sz w:val="22"/>
              </w:rPr>
              <w:t>2,002</w:t>
            </w:r>
          </w:p>
        </w:tc>
        <w:tc>
          <w:tcPr>
            <w:tcW w:w="720" w:type="dxa"/>
            <w:tcBorders>
              <w:top w:val="single" w:sz="12" w:space="0" w:color="auto"/>
              <w:left w:val="single" w:sz="2" w:space="0" w:color="auto"/>
              <w:bottom w:val="single" w:sz="12" w:space="0" w:color="auto"/>
              <w:right w:val="single" w:sz="2" w:space="0" w:color="auto"/>
            </w:tcBorders>
          </w:tcPr>
          <w:p>
            <w:pPr>
              <w:spacing w:before="60" w:after="60"/>
              <w:jc w:val="right"/>
              <w:rPr>
                <w:b/>
                <w:noProof/>
                <w:sz w:val="22"/>
              </w:rPr>
            </w:pPr>
            <w:r>
              <w:rPr>
                <w:rFonts w:ascii="Calibri" w:hAnsi="Calibri"/>
                <w:b/>
                <w:noProof/>
                <w:color w:val="000000"/>
                <w:sz w:val="22"/>
              </w:rPr>
              <w:t>2,002</w:t>
            </w:r>
          </w:p>
        </w:tc>
        <w:tc>
          <w:tcPr>
            <w:tcW w:w="720" w:type="dxa"/>
            <w:tcBorders>
              <w:top w:val="single" w:sz="12" w:space="0" w:color="auto"/>
              <w:left w:val="single" w:sz="2" w:space="0" w:color="auto"/>
              <w:bottom w:val="single" w:sz="12" w:space="0" w:color="auto"/>
              <w:right w:val="single" w:sz="2" w:space="0" w:color="auto"/>
            </w:tcBorders>
          </w:tcPr>
          <w:p>
            <w:pPr>
              <w:spacing w:before="60" w:after="60"/>
              <w:jc w:val="right"/>
              <w:rPr>
                <w:b/>
                <w:noProof/>
                <w:sz w:val="22"/>
              </w:rPr>
            </w:pPr>
            <w:r>
              <w:rPr>
                <w:rFonts w:ascii="Calibri" w:hAnsi="Calibri"/>
                <w:b/>
                <w:noProof/>
                <w:color w:val="000000"/>
                <w:sz w:val="22"/>
              </w:rPr>
              <w:t>1,181</w:t>
            </w:r>
          </w:p>
        </w:tc>
        <w:tc>
          <w:tcPr>
            <w:tcW w:w="720" w:type="dxa"/>
            <w:tcBorders>
              <w:top w:val="single" w:sz="12" w:space="0" w:color="auto"/>
              <w:left w:val="single" w:sz="2" w:space="0" w:color="auto"/>
              <w:bottom w:val="single" w:sz="12" w:space="0" w:color="auto"/>
              <w:right w:val="single" w:sz="2" w:space="0" w:color="auto"/>
            </w:tcBorders>
          </w:tcPr>
          <w:p>
            <w:pPr>
              <w:spacing w:before="60" w:after="60"/>
              <w:jc w:val="right"/>
              <w:rPr>
                <w:b/>
                <w:noProof/>
                <w:sz w:val="22"/>
              </w:rPr>
            </w:pPr>
            <w:r>
              <w:rPr>
                <w:rFonts w:ascii="Calibri" w:hAnsi="Calibri"/>
                <w:b/>
                <w:noProof/>
                <w:color w:val="000000"/>
                <w:sz w:val="22"/>
              </w:rPr>
              <w:t>1,181</w:t>
            </w:r>
          </w:p>
        </w:tc>
        <w:tc>
          <w:tcPr>
            <w:tcW w:w="720" w:type="dxa"/>
            <w:tcBorders>
              <w:top w:val="single" w:sz="12" w:space="0" w:color="auto"/>
              <w:left w:val="single" w:sz="2" w:space="0" w:color="auto"/>
              <w:bottom w:val="single" w:sz="12" w:space="0" w:color="auto"/>
              <w:right w:val="single" w:sz="2" w:space="0" w:color="auto"/>
            </w:tcBorders>
          </w:tcPr>
          <w:p>
            <w:pPr>
              <w:spacing w:before="60" w:after="60"/>
              <w:jc w:val="right"/>
              <w:rPr>
                <w:b/>
                <w:noProof/>
                <w:sz w:val="22"/>
              </w:rPr>
            </w:pPr>
            <w:r>
              <w:rPr>
                <w:rFonts w:ascii="Calibri" w:hAnsi="Calibri"/>
                <w:b/>
                <w:noProof/>
                <w:color w:val="000000"/>
                <w:sz w:val="22"/>
              </w:rPr>
              <w:t>0,974</w:t>
            </w:r>
          </w:p>
        </w:tc>
        <w:tc>
          <w:tcPr>
            <w:tcW w:w="720" w:type="dxa"/>
            <w:tcBorders>
              <w:top w:val="single" w:sz="12" w:space="0" w:color="auto"/>
              <w:left w:val="single" w:sz="2" w:space="0" w:color="auto"/>
              <w:bottom w:val="single" w:sz="12" w:space="0" w:color="auto"/>
              <w:right w:val="single" w:sz="2" w:space="0" w:color="auto"/>
            </w:tcBorders>
          </w:tcPr>
          <w:p>
            <w:pPr>
              <w:spacing w:before="60" w:after="60"/>
              <w:jc w:val="right"/>
              <w:rPr>
                <w:b/>
                <w:noProof/>
                <w:sz w:val="22"/>
              </w:rPr>
            </w:pPr>
            <w:r>
              <w:rPr>
                <w:rFonts w:ascii="Calibri" w:hAnsi="Calibri"/>
                <w:b/>
                <w:noProof/>
                <w:color w:val="000000"/>
                <w:sz w:val="22"/>
              </w:rPr>
              <w:t>0,974</w:t>
            </w:r>
          </w:p>
        </w:tc>
        <w:tc>
          <w:tcPr>
            <w:tcW w:w="720" w:type="dxa"/>
            <w:tcBorders>
              <w:top w:val="single" w:sz="12" w:space="0" w:color="auto"/>
              <w:left w:val="single" w:sz="2" w:space="0" w:color="auto"/>
              <w:bottom w:val="single" w:sz="12" w:space="0" w:color="auto"/>
              <w:right w:val="single" w:sz="2" w:space="0" w:color="auto"/>
            </w:tcBorders>
          </w:tcPr>
          <w:p>
            <w:pPr>
              <w:spacing w:before="60" w:after="60"/>
              <w:jc w:val="right"/>
              <w:rPr>
                <w:b/>
                <w:noProof/>
                <w:sz w:val="22"/>
              </w:rPr>
            </w:pPr>
            <w:r>
              <w:rPr>
                <w:rFonts w:ascii="Calibri" w:hAnsi="Calibri"/>
                <w:b/>
                <w:noProof/>
                <w:color w:val="000000"/>
                <w:sz w:val="22"/>
              </w:rPr>
              <w:t>0,974</w:t>
            </w:r>
          </w:p>
        </w:tc>
        <w:tc>
          <w:tcPr>
            <w:tcW w:w="840" w:type="dxa"/>
            <w:tcBorders>
              <w:top w:val="single" w:sz="12" w:space="0" w:color="auto"/>
              <w:left w:val="single" w:sz="2" w:space="0" w:color="auto"/>
              <w:bottom w:val="single" w:sz="12" w:space="0" w:color="auto"/>
              <w:right w:val="single" w:sz="2" w:space="0" w:color="auto"/>
            </w:tcBorders>
          </w:tcPr>
          <w:p>
            <w:pPr>
              <w:spacing w:before="60" w:after="60"/>
              <w:jc w:val="right"/>
              <w:rPr>
                <w:b/>
                <w:noProof/>
                <w:sz w:val="22"/>
              </w:rPr>
            </w:pPr>
            <w:r>
              <w:rPr>
                <w:rFonts w:ascii="Calibri" w:hAnsi="Calibri"/>
                <w:b/>
                <w:noProof/>
                <w:color w:val="000000"/>
                <w:sz w:val="22"/>
              </w:rPr>
              <w:t>0,974</w:t>
            </w:r>
          </w:p>
        </w:tc>
        <w:tc>
          <w:tcPr>
            <w:tcW w:w="2209" w:type="dxa"/>
            <w:tcBorders>
              <w:top w:val="single" w:sz="12" w:space="0" w:color="auto"/>
              <w:left w:val="single" w:sz="2" w:space="0" w:color="auto"/>
              <w:bottom w:val="single" w:sz="12" w:space="0" w:color="auto"/>
              <w:right w:val="single" w:sz="12" w:space="0" w:color="auto"/>
            </w:tcBorders>
          </w:tcPr>
          <w:p>
            <w:pPr>
              <w:spacing w:before="60" w:after="60"/>
              <w:jc w:val="center"/>
              <w:rPr>
                <w:b/>
                <w:noProof/>
                <w:sz w:val="22"/>
              </w:rPr>
            </w:pPr>
            <w:r>
              <w:rPr>
                <w:rFonts w:ascii="Calibri" w:hAnsi="Calibri"/>
                <w:b/>
                <w:noProof/>
                <w:color w:val="000000"/>
                <w:sz w:val="22"/>
              </w:rPr>
              <w:t>10,952</w:t>
            </w:r>
          </w:p>
        </w:tc>
      </w:tr>
    </w:tbl>
    <w:p>
      <w:pPr>
        <w:pStyle w:val="Text1"/>
        <w:ind w:left="0"/>
        <w:rPr>
          <w:noProof/>
        </w:rPr>
      </w:pPr>
    </w:p>
    <w:p>
      <w:pPr>
        <w:pStyle w:val="Text1"/>
        <w:ind w:left="0"/>
        <w:rPr>
          <w:noProof/>
        </w:rPr>
      </w:pPr>
      <w:r>
        <w:rPr>
          <w:noProof/>
        </w:rPr>
        <w:t>Ti stroški so ocenjeni na podlagi naslednjega števila osebja:</w:t>
      </w:r>
    </w:p>
    <w:tbl>
      <w:tblPr>
        <w:tblW w:w="9194" w:type="dxa"/>
        <w:tblInd w:w="93" w:type="dxa"/>
        <w:tblLayout w:type="fixed"/>
        <w:tblLook w:val="04A0" w:firstRow="1" w:lastRow="0" w:firstColumn="1" w:lastColumn="0" w:noHBand="0" w:noVBand="1"/>
      </w:tblPr>
      <w:tblGrid>
        <w:gridCol w:w="2032"/>
        <w:gridCol w:w="705"/>
        <w:gridCol w:w="705"/>
        <w:gridCol w:w="705"/>
        <w:gridCol w:w="705"/>
        <w:gridCol w:w="706"/>
        <w:gridCol w:w="705"/>
        <w:gridCol w:w="705"/>
        <w:gridCol w:w="705"/>
        <w:gridCol w:w="706"/>
        <w:gridCol w:w="815"/>
      </w:tblGrid>
      <w:tr>
        <w:trPr>
          <w:trHeight w:val="315"/>
        </w:trPr>
        <w:tc>
          <w:tcPr>
            <w:tcW w:w="2032" w:type="dxa"/>
            <w:tcBorders>
              <w:top w:val="single" w:sz="4" w:space="0" w:color="auto"/>
              <w:left w:val="single" w:sz="4" w:space="0" w:color="auto"/>
              <w:bottom w:val="single" w:sz="4" w:space="0" w:color="auto"/>
              <w:right w:val="single" w:sz="4" w:space="0" w:color="auto"/>
            </w:tcBorders>
            <w:shd w:val="clear" w:color="000000" w:fill="D9D9D9"/>
            <w:noWrap/>
            <w:vAlign w:val="bottom"/>
          </w:tcPr>
          <w:p>
            <w:pPr>
              <w:rPr>
                <w:noProof/>
              </w:rPr>
            </w:pPr>
            <w:r>
              <w:rPr>
                <w:noProof/>
              </w:rPr>
              <w:t>Število EPDČ za IKT</w:t>
            </w:r>
          </w:p>
        </w:tc>
        <w:tc>
          <w:tcPr>
            <w:tcW w:w="705" w:type="dxa"/>
            <w:tcBorders>
              <w:top w:val="single" w:sz="8" w:space="0" w:color="auto"/>
              <w:left w:val="nil"/>
              <w:bottom w:val="single" w:sz="8" w:space="0" w:color="auto"/>
              <w:right w:val="single" w:sz="4" w:space="0" w:color="auto"/>
            </w:tcBorders>
            <w:shd w:val="clear" w:color="auto" w:fill="auto"/>
            <w:noWrap/>
            <w:vAlign w:val="bottom"/>
          </w:tcPr>
          <w:p>
            <w:pPr>
              <w:spacing w:before="0" w:after="0"/>
              <w:jc w:val="right"/>
              <w:rPr>
                <w:rFonts w:ascii="Calibri" w:hAnsi="Calibri"/>
                <w:noProof/>
                <w:color w:val="000000"/>
                <w:sz w:val="22"/>
              </w:rPr>
            </w:pPr>
            <w:r>
              <w:rPr>
                <w:rFonts w:ascii="Calibri" w:hAnsi="Calibri"/>
                <w:b/>
                <w:noProof/>
                <w:color w:val="000000"/>
                <w:sz w:val="22"/>
              </w:rPr>
              <w:t>2019</w:t>
            </w:r>
          </w:p>
        </w:tc>
        <w:tc>
          <w:tcPr>
            <w:tcW w:w="705" w:type="dxa"/>
            <w:tcBorders>
              <w:top w:val="single" w:sz="8" w:space="0" w:color="auto"/>
              <w:left w:val="nil"/>
              <w:bottom w:val="single" w:sz="8" w:space="0" w:color="auto"/>
              <w:right w:val="single" w:sz="4" w:space="0" w:color="auto"/>
            </w:tcBorders>
            <w:shd w:val="clear" w:color="auto" w:fill="auto"/>
            <w:noWrap/>
            <w:vAlign w:val="bottom"/>
          </w:tcPr>
          <w:p>
            <w:pPr>
              <w:spacing w:before="0" w:after="0"/>
              <w:jc w:val="right"/>
              <w:rPr>
                <w:rFonts w:ascii="Calibri" w:hAnsi="Calibri"/>
                <w:noProof/>
                <w:color w:val="000000"/>
                <w:sz w:val="22"/>
              </w:rPr>
            </w:pPr>
            <w:r>
              <w:rPr>
                <w:rFonts w:ascii="Calibri" w:hAnsi="Calibri"/>
                <w:b/>
                <w:noProof/>
                <w:color w:val="000000"/>
                <w:sz w:val="22"/>
              </w:rPr>
              <w:t>2020</w:t>
            </w:r>
          </w:p>
        </w:tc>
        <w:tc>
          <w:tcPr>
            <w:tcW w:w="705" w:type="dxa"/>
            <w:tcBorders>
              <w:top w:val="single" w:sz="8" w:space="0" w:color="auto"/>
              <w:left w:val="nil"/>
              <w:bottom w:val="single" w:sz="8" w:space="0" w:color="auto"/>
              <w:right w:val="single" w:sz="4" w:space="0" w:color="auto"/>
            </w:tcBorders>
            <w:shd w:val="clear" w:color="auto" w:fill="auto"/>
            <w:noWrap/>
            <w:vAlign w:val="bottom"/>
          </w:tcPr>
          <w:p>
            <w:pPr>
              <w:spacing w:before="0" w:after="0"/>
              <w:jc w:val="right"/>
              <w:rPr>
                <w:rFonts w:ascii="Calibri" w:hAnsi="Calibri"/>
                <w:noProof/>
                <w:color w:val="000000"/>
                <w:sz w:val="22"/>
              </w:rPr>
            </w:pPr>
            <w:r>
              <w:rPr>
                <w:rFonts w:ascii="Calibri" w:hAnsi="Calibri"/>
                <w:b/>
                <w:noProof/>
                <w:color w:val="000000"/>
                <w:sz w:val="22"/>
              </w:rPr>
              <w:t>2021</w:t>
            </w:r>
          </w:p>
        </w:tc>
        <w:tc>
          <w:tcPr>
            <w:tcW w:w="705" w:type="dxa"/>
            <w:tcBorders>
              <w:top w:val="single" w:sz="8" w:space="0" w:color="auto"/>
              <w:left w:val="nil"/>
              <w:bottom w:val="single" w:sz="8" w:space="0" w:color="auto"/>
              <w:right w:val="single" w:sz="4" w:space="0" w:color="auto"/>
            </w:tcBorders>
            <w:shd w:val="clear" w:color="auto" w:fill="auto"/>
            <w:noWrap/>
            <w:vAlign w:val="bottom"/>
          </w:tcPr>
          <w:p>
            <w:pPr>
              <w:spacing w:before="0" w:after="0"/>
              <w:jc w:val="right"/>
              <w:rPr>
                <w:rFonts w:ascii="Calibri" w:hAnsi="Calibri"/>
                <w:noProof/>
                <w:color w:val="000000"/>
                <w:sz w:val="22"/>
              </w:rPr>
            </w:pPr>
            <w:r>
              <w:rPr>
                <w:rFonts w:ascii="Calibri" w:hAnsi="Calibri"/>
                <w:b/>
                <w:noProof/>
                <w:color w:val="000000"/>
                <w:sz w:val="22"/>
              </w:rPr>
              <w:t>2022</w:t>
            </w:r>
          </w:p>
        </w:tc>
        <w:tc>
          <w:tcPr>
            <w:tcW w:w="706" w:type="dxa"/>
            <w:tcBorders>
              <w:top w:val="single" w:sz="8" w:space="0" w:color="auto"/>
              <w:left w:val="nil"/>
              <w:bottom w:val="single" w:sz="8" w:space="0" w:color="auto"/>
              <w:right w:val="single" w:sz="4" w:space="0" w:color="auto"/>
            </w:tcBorders>
            <w:shd w:val="clear" w:color="auto" w:fill="auto"/>
            <w:noWrap/>
            <w:vAlign w:val="bottom"/>
          </w:tcPr>
          <w:p>
            <w:pPr>
              <w:spacing w:before="0" w:after="0"/>
              <w:jc w:val="right"/>
              <w:rPr>
                <w:rFonts w:ascii="Calibri" w:hAnsi="Calibri"/>
                <w:noProof/>
                <w:color w:val="000000"/>
                <w:sz w:val="22"/>
              </w:rPr>
            </w:pPr>
            <w:r>
              <w:rPr>
                <w:rFonts w:ascii="Calibri" w:hAnsi="Calibri"/>
                <w:b/>
                <w:noProof/>
                <w:color w:val="000000"/>
                <w:sz w:val="22"/>
              </w:rPr>
              <w:t>2023</w:t>
            </w:r>
          </w:p>
        </w:tc>
        <w:tc>
          <w:tcPr>
            <w:tcW w:w="705" w:type="dxa"/>
            <w:tcBorders>
              <w:top w:val="single" w:sz="8" w:space="0" w:color="auto"/>
              <w:left w:val="nil"/>
              <w:bottom w:val="single" w:sz="8" w:space="0" w:color="auto"/>
              <w:right w:val="single" w:sz="4" w:space="0" w:color="auto"/>
            </w:tcBorders>
            <w:shd w:val="clear" w:color="auto" w:fill="auto"/>
            <w:noWrap/>
            <w:vAlign w:val="bottom"/>
          </w:tcPr>
          <w:p>
            <w:pPr>
              <w:spacing w:before="0" w:after="0"/>
              <w:jc w:val="right"/>
              <w:rPr>
                <w:rFonts w:ascii="Calibri" w:hAnsi="Calibri"/>
                <w:noProof/>
                <w:color w:val="000000"/>
                <w:sz w:val="22"/>
              </w:rPr>
            </w:pPr>
            <w:r>
              <w:rPr>
                <w:rFonts w:ascii="Calibri" w:hAnsi="Calibri"/>
                <w:b/>
                <w:noProof/>
                <w:color w:val="000000"/>
                <w:sz w:val="22"/>
              </w:rPr>
              <w:t>2024</w:t>
            </w:r>
          </w:p>
        </w:tc>
        <w:tc>
          <w:tcPr>
            <w:tcW w:w="705" w:type="dxa"/>
            <w:tcBorders>
              <w:top w:val="single" w:sz="8" w:space="0" w:color="auto"/>
              <w:left w:val="nil"/>
              <w:bottom w:val="single" w:sz="8" w:space="0" w:color="auto"/>
              <w:right w:val="single" w:sz="4" w:space="0" w:color="auto"/>
            </w:tcBorders>
            <w:shd w:val="clear" w:color="auto" w:fill="auto"/>
            <w:noWrap/>
            <w:vAlign w:val="bottom"/>
          </w:tcPr>
          <w:p>
            <w:pPr>
              <w:spacing w:before="0" w:after="0"/>
              <w:jc w:val="right"/>
              <w:rPr>
                <w:rFonts w:ascii="Calibri" w:hAnsi="Calibri"/>
                <w:noProof/>
                <w:color w:val="000000"/>
                <w:sz w:val="22"/>
              </w:rPr>
            </w:pPr>
            <w:r>
              <w:rPr>
                <w:rFonts w:ascii="Calibri" w:hAnsi="Calibri"/>
                <w:b/>
                <w:noProof/>
                <w:color w:val="000000"/>
                <w:sz w:val="22"/>
              </w:rPr>
              <w:t>2025</w:t>
            </w:r>
          </w:p>
        </w:tc>
        <w:tc>
          <w:tcPr>
            <w:tcW w:w="705" w:type="dxa"/>
            <w:tcBorders>
              <w:top w:val="single" w:sz="8" w:space="0" w:color="auto"/>
              <w:left w:val="nil"/>
              <w:bottom w:val="single" w:sz="8" w:space="0" w:color="auto"/>
              <w:right w:val="single" w:sz="4" w:space="0" w:color="auto"/>
            </w:tcBorders>
            <w:shd w:val="clear" w:color="auto" w:fill="auto"/>
            <w:noWrap/>
            <w:vAlign w:val="bottom"/>
          </w:tcPr>
          <w:p>
            <w:pPr>
              <w:spacing w:before="0" w:after="0"/>
              <w:jc w:val="right"/>
              <w:rPr>
                <w:rFonts w:ascii="Calibri" w:hAnsi="Calibri"/>
                <w:noProof/>
                <w:color w:val="000000"/>
                <w:sz w:val="22"/>
              </w:rPr>
            </w:pPr>
            <w:r>
              <w:rPr>
                <w:rFonts w:ascii="Calibri" w:hAnsi="Calibri"/>
                <w:b/>
                <w:noProof/>
                <w:color w:val="000000"/>
                <w:sz w:val="22"/>
              </w:rPr>
              <w:t>2026</w:t>
            </w:r>
          </w:p>
        </w:tc>
        <w:tc>
          <w:tcPr>
            <w:tcW w:w="706" w:type="dxa"/>
            <w:tcBorders>
              <w:top w:val="single" w:sz="8" w:space="0" w:color="auto"/>
              <w:left w:val="nil"/>
              <w:bottom w:val="single" w:sz="8" w:space="0" w:color="auto"/>
              <w:right w:val="single" w:sz="4" w:space="0" w:color="auto"/>
            </w:tcBorders>
            <w:shd w:val="clear" w:color="auto" w:fill="auto"/>
            <w:noWrap/>
            <w:vAlign w:val="bottom"/>
          </w:tcPr>
          <w:p>
            <w:pPr>
              <w:spacing w:before="0" w:after="0"/>
              <w:jc w:val="right"/>
              <w:rPr>
                <w:rFonts w:ascii="Calibri" w:hAnsi="Calibri"/>
                <w:noProof/>
                <w:color w:val="000000"/>
                <w:sz w:val="22"/>
              </w:rPr>
            </w:pPr>
            <w:r>
              <w:rPr>
                <w:rFonts w:ascii="Calibri" w:hAnsi="Calibri"/>
                <w:b/>
                <w:noProof/>
                <w:color w:val="000000"/>
                <w:sz w:val="22"/>
              </w:rPr>
              <w:t>2027</w:t>
            </w:r>
          </w:p>
        </w:tc>
        <w:tc>
          <w:tcPr>
            <w:tcW w:w="815" w:type="dxa"/>
            <w:tcBorders>
              <w:top w:val="single" w:sz="8" w:space="0" w:color="auto"/>
              <w:left w:val="nil"/>
              <w:bottom w:val="single" w:sz="8" w:space="0" w:color="auto"/>
              <w:right w:val="single" w:sz="4" w:space="0" w:color="auto"/>
            </w:tcBorders>
            <w:shd w:val="clear" w:color="auto" w:fill="auto"/>
            <w:noWrap/>
            <w:vAlign w:val="bottom"/>
          </w:tcPr>
          <w:p>
            <w:pPr>
              <w:spacing w:before="0" w:after="0"/>
              <w:jc w:val="right"/>
              <w:rPr>
                <w:rFonts w:ascii="Calibri" w:hAnsi="Calibri"/>
                <w:noProof/>
                <w:color w:val="000000"/>
                <w:sz w:val="22"/>
              </w:rPr>
            </w:pPr>
            <w:r>
              <w:rPr>
                <w:rFonts w:ascii="Calibri" w:hAnsi="Calibri"/>
                <w:b/>
                <w:noProof/>
                <w:color w:val="000000"/>
                <w:sz w:val="22"/>
              </w:rPr>
              <w:t>SKUPAJ</w:t>
            </w:r>
          </w:p>
        </w:tc>
      </w:tr>
      <w:tr>
        <w:trPr>
          <w:trHeight w:val="315"/>
        </w:trPr>
        <w:tc>
          <w:tcPr>
            <w:tcW w:w="2032"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pPr>
              <w:rPr>
                <w:rFonts w:ascii="Calibri" w:hAnsi="Calibri"/>
                <w:noProof/>
                <w:color w:val="0070C0"/>
                <w:sz w:val="22"/>
              </w:rPr>
            </w:pPr>
            <w:r>
              <w:rPr>
                <w:rFonts w:ascii="Calibri" w:hAnsi="Calibri"/>
                <w:noProof/>
                <w:color w:val="0070C0"/>
                <w:sz w:val="22"/>
              </w:rPr>
              <w:t xml:space="preserve">Pogodbeno zaposleni uslužbenci </w:t>
            </w:r>
          </w:p>
        </w:tc>
        <w:tc>
          <w:tcPr>
            <w:tcW w:w="705" w:type="dxa"/>
            <w:tcBorders>
              <w:top w:val="single" w:sz="8" w:space="0" w:color="auto"/>
              <w:left w:val="nil"/>
              <w:bottom w:val="single" w:sz="8" w:space="0" w:color="auto"/>
              <w:right w:val="single" w:sz="4" w:space="0" w:color="auto"/>
            </w:tcBorders>
            <w:shd w:val="clear" w:color="auto" w:fill="auto"/>
            <w:noWrap/>
            <w:hideMark/>
          </w:tcPr>
          <w:p>
            <w:pPr>
              <w:spacing w:before="0" w:after="0"/>
              <w:jc w:val="right"/>
              <w:rPr>
                <w:rFonts w:ascii="Calibri" w:hAnsi="Calibri"/>
                <w:noProof/>
                <w:color w:val="000000"/>
                <w:sz w:val="22"/>
              </w:rPr>
            </w:pPr>
            <w:r>
              <w:rPr>
                <w:rFonts w:ascii="Calibri" w:hAnsi="Calibri"/>
                <w:noProof/>
                <w:color w:val="000000"/>
                <w:sz w:val="22"/>
              </w:rPr>
              <w:t>0,0</w:t>
            </w:r>
          </w:p>
        </w:tc>
        <w:tc>
          <w:tcPr>
            <w:tcW w:w="705" w:type="dxa"/>
            <w:tcBorders>
              <w:top w:val="single" w:sz="8" w:space="0" w:color="auto"/>
              <w:left w:val="nil"/>
              <w:bottom w:val="single" w:sz="8" w:space="0" w:color="auto"/>
              <w:right w:val="single" w:sz="4" w:space="0" w:color="auto"/>
            </w:tcBorders>
            <w:shd w:val="clear" w:color="auto" w:fill="auto"/>
            <w:noWrap/>
            <w:hideMark/>
          </w:tcPr>
          <w:p>
            <w:pPr>
              <w:spacing w:before="0" w:after="0"/>
              <w:jc w:val="right"/>
              <w:rPr>
                <w:rFonts w:ascii="Calibri" w:hAnsi="Calibri"/>
                <w:noProof/>
                <w:color w:val="000000"/>
                <w:sz w:val="22"/>
              </w:rPr>
            </w:pPr>
            <w:r>
              <w:rPr>
                <w:rFonts w:ascii="Calibri" w:hAnsi="Calibri"/>
                <w:noProof/>
                <w:color w:val="000000"/>
                <w:sz w:val="22"/>
              </w:rPr>
              <w:t>1,0</w:t>
            </w:r>
          </w:p>
        </w:tc>
        <w:tc>
          <w:tcPr>
            <w:tcW w:w="705" w:type="dxa"/>
            <w:tcBorders>
              <w:top w:val="single" w:sz="8" w:space="0" w:color="auto"/>
              <w:left w:val="nil"/>
              <w:bottom w:val="single" w:sz="8" w:space="0" w:color="auto"/>
              <w:right w:val="single" w:sz="4" w:space="0" w:color="auto"/>
            </w:tcBorders>
            <w:shd w:val="clear" w:color="auto" w:fill="auto"/>
            <w:noWrap/>
            <w:hideMark/>
          </w:tcPr>
          <w:p>
            <w:pPr>
              <w:spacing w:before="0" w:after="0"/>
              <w:jc w:val="right"/>
              <w:rPr>
                <w:rFonts w:ascii="Calibri" w:hAnsi="Calibri"/>
                <w:noProof/>
                <w:color w:val="000000"/>
                <w:sz w:val="22"/>
              </w:rPr>
            </w:pPr>
            <w:r>
              <w:rPr>
                <w:rFonts w:ascii="Calibri" w:hAnsi="Calibri"/>
                <w:noProof/>
                <w:color w:val="000000"/>
                <w:sz w:val="22"/>
              </w:rPr>
              <w:t>1,0</w:t>
            </w:r>
          </w:p>
        </w:tc>
        <w:tc>
          <w:tcPr>
            <w:tcW w:w="705" w:type="dxa"/>
            <w:tcBorders>
              <w:top w:val="single" w:sz="8" w:space="0" w:color="auto"/>
              <w:left w:val="nil"/>
              <w:bottom w:val="single" w:sz="8" w:space="0" w:color="auto"/>
              <w:right w:val="single" w:sz="4" w:space="0" w:color="auto"/>
            </w:tcBorders>
            <w:shd w:val="clear" w:color="auto" w:fill="auto"/>
            <w:noWrap/>
            <w:hideMark/>
          </w:tcPr>
          <w:p>
            <w:pPr>
              <w:spacing w:before="0" w:after="0"/>
              <w:jc w:val="right"/>
              <w:rPr>
                <w:rFonts w:ascii="Calibri" w:hAnsi="Calibri"/>
                <w:noProof/>
                <w:color w:val="000000"/>
                <w:sz w:val="22"/>
              </w:rPr>
            </w:pPr>
            <w:r>
              <w:rPr>
                <w:rFonts w:ascii="Calibri" w:hAnsi="Calibri"/>
                <w:noProof/>
                <w:color w:val="000000"/>
                <w:sz w:val="22"/>
              </w:rPr>
              <w:t>8,0</w:t>
            </w:r>
          </w:p>
        </w:tc>
        <w:tc>
          <w:tcPr>
            <w:tcW w:w="706" w:type="dxa"/>
            <w:tcBorders>
              <w:top w:val="single" w:sz="8" w:space="0" w:color="auto"/>
              <w:left w:val="nil"/>
              <w:bottom w:val="single" w:sz="8" w:space="0" w:color="auto"/>
              <w:right w:val="single" w:sz="4" w:space="0" w:color="auto"/>
            </w:tcBorders>
            <w:shd w:val="clear" w:color="auto" w:fill="auto"/>
            <w:noWrap/>
            <w:hideMark/>
          </w:tcPr>
          <w:p>
            <w:pPr>
              <w:spacing w:before="0" w:after="0"/>
              <w:jc w:val="right"/>
              <w:rPr>
                <w:rFonts w:ascii="Calibri" w:hAnsi="Calibri"/>
                <w:noProof/>
                <w:color w:val="000000"/>
                <w:sz w:val="22"/>
              </w:rPr>
            </w:pPr>
            <w:r>
              <w:rPr>
                <w:rFonts w:ascii="Calibri" w:hAnsi="Calibri"/>
                <w:noProof/>
                <w:color w:val="000000"/>
                <w:sz w:val="22"/>
              </w:rPr>
              <w:t>8,0</w:t>
            </w:r>
          </w:p>
        </w:tc>
        <w:tc>
          <w:tcPr>
            <w:tcW w:w="705" w:type="dxa"/>
            <w:tcBorders>
              <w:top w:val="single" w:sz="8" w:space="0" w:color="auto"/>
              <w:left w:val="nil"/>
              <w:bottom w:val="single" w:sz="8" w:space="0" w:color="auto"/>
              <w:right w:val="single" w:sz="4" w:space="0" w:color="auto"/>
            </w:tcBorders>
            <w:shd w:val="clear" w:color="auto" w:fill="auto"/>
            <w:noWrap/>
            <w:hideMark/>
          </w:tcPr>
          <w:p>
            <w:pPr>
              <w:spacing w:before="0" w:after="0"/>
              <w:jc w:val="right"/>
              <w:rPr>
                <w:rFonts w:ascii="Calibri" w:hAnsi="Calibri"/>
                <w:noProof/>
                <w:color w:val="000000"/>
                <w:sz w:val="22"/>
              </w:rPr>
            </w:pPr>
            <w:r>
              <w:rPr>
                <w:rFonts w:ascii="Calibri" w:hAnsi="Calibri"/>
                <w:noProof/>
                <w:color w:val="000000"/>
                <w:sz w:val="22"/>
              </w:rPr>
              <w:t>8,0</w:t>
            </w:r>
          </w:p>
        </w:tc>
        <w:tc>
          <w:tcPr>
            <w:tcW w:w="705" w:type="dxa"/>
            <w:tcBorders>
              <w:top w:val="single" w:sz="8" w:space="0" w:color="auto"/>
              <w:left w:val="nil"/>
              <w:bottom w:val="single" w:sz="8" w:space="0" w:color="auto"/>
              <w:right w:val="single" w:sz="4" w:space="0" w:color="auto"/>
            </w:tcBorders>
            <w:shd w:val="clear" w:color="auto" w:fill="auto"/>
            <w:noWrap/>
            <w:hideMark/>
          </w:tcPr>
          <w:p>
            <w:pPr>
              <w:spacing w:before="0" w:after="0"/>
              <w:jc w:val="right"/>
              <w:rPr>
                <w:rFonts w:ascii="Calibri" w:hAnsi="Calibri"/>
                <w:noProof/>
                <w:color w:val="000000"/>
                <w:sz w:val="22"/>
              </w:rPr>
            </w:pPr>
            <w:r>
              <w:rPr>
                <w:rFonts w:ascii="Calibri" w:hAnsi="Calibri"/>
                <w:noProof/>
                <w:color w:val="000000"/>
                <w:sz w:val="22"/>
              </w:rPr>
              <w:t>8,0</w:t>
            </w:r>
          </w:p>
        </w:tc>
        <w:tc>
          <w:tcPr>
            <w:tcW w:w="705" w:type="dxa"/>
            <w:tcBorders>
              <w:top w:val="single" w:sz="8" w:space="0" w:color="auto"/>
              <w:left w:val="nil"/>
              <w:bottom w:val="single" w:sz="8" w:space="0" w:color="auto"/>
              <w:right w:val="single" w:sz="4" w:space="0" w:color="auto"/>
            </w:tcBorders>
            <w:shd w:val="clear" w:color="auto" w:fill="auto"/>
            <w:noWrap/>
            <w:hideMark/>
          </w:tcPr>
          <w:p>
            <w:pPr>
              <w:spacing w:before="0" w:after="0"/>
              <w:jc w:val="right"/>
              <w:rPr>
                <w:rFonts w:ascii="Calibri" w:hAnsi="Calibri"/>
                <w:noProof/>
                <w:color w:val="000000"/>
                <w:sz w:val="22"/>
              </w:rPr>
            </w:pPr>
            <w:r>
              <w:rPr>
                <w:rFonts w:ascii="Calibri" w:hAnsi="Calibri"/>
                <w:noProof/>
                <w:color w:val="000000"/>
                <w:sz w:val="22"/>
              </w:rPr>
              <w:t>8,0</w:t>
            </w:r>
          </w:p>
        </w:tc>
        <w:tc>
          <w:tcPr>
            <w:tcW w:w="706" w:type="dxa"/>
            <w:tcBorders>
              <w:top w:val="single" w:sz="8" w:space="0" w:color="auto"/>
              <w:left w:val="nil"/>
              <w:bottom w:val="single" w:sz="8" w:space="0" w:color="auto"/>
              <w:right w:val="single" w:sz="4" w:space="0" w:color="auto"/>
            </w:tcBorders>
            <w:shd w:val="clear" w:color="auto" w:fill="auto"/>
            <w:noWrap/>
            <w:hideMark/>
          </w:tcPr>
          <w:p>
            <w:pPr>
              <w:spacing w:before="0" w:after="0"/>
              <w:jc w:val="right"/>
              <w:rPr>
                <w:rFonts w:ascii="Calibri" w:hAnsi="Calibri"/>
                <w:noProof/>
                <w:color w:val="000000"/>
                <w:sz w:val="22"/>
              </w:rPr>
            </w:pPr>
            <w:r>
              <w:rPr>
                <w:rFonts w:ascii="Calibri" w:hAnsi="Calibri"/>
                <w:noProof/>
                <w:color w:val="000000"/>
                <w:sz w:val="22"/>
              </w:rPr>
              <w:t>8,0</w:t>
            </w:r>
          </w:p>
        </w:tc>
        <w:tc>
          <w:tcPr>
            <w:tcW w:w="815" w:type="dxa"/>
            <w:tcBorders>
              <w:top w:val="single" w:sz="8" w:space="0" w:color="auto"/>
              <w:left w:val="nil"/>
              <w:bottom w:val="single" w:sz="8" w:space="0" w:color="auto"/>
              <w:right w:val="single" w:sz="4" w:space="0" w:color="auto"/>
            </w:tcBorders>
            <w:shd w:val="clear" w:color="auto" w:fill="auto"/>
            <w:noWrap/>
            <w:hideMark/>
          </w:tcPr>
          <w:p>
            <w:pPr>
              <w:spacing w:before="0" w:after="0"/>
              <w:jc w:val="right"/>
              <w:rPr>
                <w:rFonts w:ascii="Calibri" w:hAnsi="Calibri"/>
                <w:noProof/>
                <w:color w:val="000000"/>
                <w:sz w:val="22"/>
              </w:rPr>
            </w:pPr>
            <w:r>
              <w:rPr>
                <w:rFonts w:ascii="Calibri" w:hAnsi="Calibri"/>
                <w:noProof/>
                <w:color w:val="000000"/>
                <w:sz w:val="22"/>
              </w:rPr>
              <w:t>50,0</w:t>
            </w:r>
          </w:p>
        </w:tc>
      </w:tr>
      <w:tr>
        <w:trPr>
          <w:trHeight w:val="315"/>
        </w:trPr>
        <w:tc>
          <w:tcPr>
            <w:tcW w:w="2032" w:type="dxa"/>
            <w:tcBorders>
              <w:top w:val="nil"/>
              <w:left w:val="single" w:sz="4" w:space="0" w:color="auto"/>
              <w:bottom w:val="single" w:sz="4" w:space="0" w:color="auto"/>
              <w:right w:val="single" w:sz="4" w:space="0" w:color="auto"/>
            </w:tcBorders>
            <w:shd w:val="clear" w:color="000000" w:fill="D9D9D9"/>
            <w:noWrap/>
            <w:vAlign w:val="bottom"/>
            <w:hideMark/>
          </w:tcPr>
          <w:p>
            <w:pPr>
              <w:spacing w:before="0" w:after="0"/>
              <w:jc w:val="left"/>
              <w:rPr>
                <w:rFonts w:ascii="Calibri" w:hAnsi="Calibri"/>
                <w:noProof/>
                <w:color w:val="0070C0"/>
                <w:sz w:val="22"/>
              </w:rPr>
            </w:pPr>
            <w:r>
              <w:rPr>
                <w:rFonts w:ascii="Calibri" w:hAnsi="Calibri"/>
                <w:noProof/>
                <w:color w:val="0070C0"/>
                <w:sz w:val="22"/>
              </w:rPr>
              <w:t xml:space="preserve">Začasni uslužbenci </w:t>
            </w:r>
          </w:p>
        </w:tc>
        <w:tc>
          <w:tcPr>
            <w:tcW w:w="705" w:type="dxa"/>
            <w:tcBorders>
              <w:top w:val="nil"/>
              <w:left w:val="nil"/>
              <w:bottom w:val="single" w:sz="8" w:space="0" w:color="auto"/>
              <w:right w:val="single" w:sz="4" w:space="0" w:color="auto"/>
            </w:tcBorders>
            <w:shd w:val="clear" w:color="auto" w:fill="auto"/>
            <w:noWrap/>
            <w:hideMark/>
          </w:tcPr>
          <w:p>
            <w:pPr>
              <w:spacing w:before="0" w:after="0"/>
              <w:jc w:val="right"/>
              <w:rPr>
                <w:rFonts w:ascii="Calibri" w:hAnsi="Calibri"/>
                <w:noProof/>
                <w:color w:val="000000"/>
                <w:sz w:val="22"/>
              </w:rPr>
            </w:pPr>
            <w:r>
              <w:rPr>
                <w:rFonts w:ascii="Calibri" w:hAnsi="Calibri"/>
                <w:noProof/>
                <w:color w:val="000000"/>
                <w:sz w:val="22"/>
              </w:rPr>
              <w:t>5,0</w:t>
            </w:r>
          </w:p>
        </w:tc>
        <w:tc>
          <w:tcPr>
            <w:tcW w:w="705" w:type="dxa"/>
            <w:tcBorders>
              <w:top w:val="nil"/>
              <w:left w:val="nil"/>
              <w:bottom w:val="single" w:sz="8" w:space="0" w:color="auto"/>
              <w:right w:val="single" w:sz="4" w:space="0" w:color="auto"/>
            </w:tcBorders>
            <w:shd w:val="clear" w:color="auto" w:fill="auto"/>
            <w:noWrap/>
            <w:hideMark/>
          </w:tcPr>
          <w:p>
            <w:pPr>
              <w:spacing w:before="0" w:after="0"/>
              <w:jc w:val="right"/>
              <w:rPr>
                <w:rFonts w:ascii="Calibri" w:hAnsi="Calibri"/>
                <w:noProof/>
                <w:color w:val="000000"/>
                <w:sz w:val="22"/>
              </w:rPr>
            </w:pPr>
            <w:r>
              <w:rPr>
                <w:rFonts w:ascii="Calibri" w:hAnsi="Calibri"/>
                <w:noProof/>
                <w:color w:val="000000"/>
                <w:sz w:val="22"/>
              </w:rPr>
              <w:t>14,0</w:t>
            </w:r>
          </w:p>
        </w:tc>
        <w:tc>
          <w:tcPr>
            <w:tcW w:w="705" w:type="dxa"/>
            <w:tcBorders>
              <w:top w:val="nil"/>
              <w:left w:val="nil"/>
              <w:bottom w:val="single" w:sz="8" w:space="0" w:color="auto"/>
              <w:right w:val="single" w:sz="4" w:space="0" w:color="auto"/>
            </w:tcBorders>
            <w:shd w:val="clear" w:color="auto" w:fill="auto"/>
            <w:noWrap/>
            <w:hideMark/>
          </w:tcPr>
          <w:p>
            <w:pPr>
              <w:spacing w:before="0" w:after="0"/>
              <w:jc w:val="right"/>
              <w:rPr>
                <w:rFonts w:ascii="Calibri" w:hAnsi="Calibri"/>
                <w:noProof/>
                <w:color w:val="000000"/>
                <w:sz w:val="22"/>
              </w:rPr>
            </w:pPr>
            <w:r>
              <w:rPr>
                <w:rFonts w:ascii="Calibri" w:hAnsi="Calibri"/>
                <w:noProof/>
                <w:color w:val="000000"/>
                <w:sz w:val="22"/>
              </w:rPr>
              <w:t>14,0</w:t>
            </w:r>
          </w:p>
        </w:tc>
        <w:tc>
          <w:tcPr>
            <w:tcW w:w="705" w:type="dxa"/>
            <w:tcBorders>
              <w:top w:val="nil"/>
              <w:left w:val="nil"/>
              <w:bottom w:val="single" w:sz="8" w:space="0" w:color="auto"/>
              <w:right w:val="single" w:sz="4" w:space="0" w:color="auto"/>
            </w:tcBorders>
            <w:shd w:val="clear" w:color="auto" w:fill="auto"/>
            <w:noWrap/>
            <w:hideMark/>
          </w:tcPr>
          <w:p>
            <w:pPr>
              <w:spacing w:before="0" w:after="0"/>
              <w:jc w:val="right"/>
              <w:rPr>
                <w:rFonts w:ascii="Calibri" w:hAnsi="Calibri"/>
                <w:noProof/>
                <w:color w:val="000000"/>
                <w:sz w:val="22"/>
              </w:rPr>
            </w:pPr>
            <w:r>
              <w:rPr>
                <w:rFonts w:ascii="Calibri" w:hAnsi="Calibri"/>
                <w:noProof/>
                <w:color w:val="000000"/>
                <w:sz w:val="22"/>
              </w:rPr>
              <w:t>4,5</w:t>
            </w:r>
          </w:p>
        </w:tc>
        <w:tc>
          <w:tcPr>
            <w:tcW w:w="706" w:type="dxa"/>
            <w:tcBorders>
              <w:top w:val="nil"/>
              <w:left w:val="nil"/>
              <w:bottom w:val="single" w:sz="8" w:space="0" w:color="auto"/>
              <w:right w:val="single" w:sz="4" w:space="0" w:color="auto"/>
            </w:tcBorders>
            <w:shd w:val="clear" w:color="auto" w:fill="auto"/>
            <w:noWrap/>
            <w:hideMark/>
          </w:tcPr>
          <w:p>
            <w:pPr>
              <w:spacing w:before="0" w:after="0"/>
              <w:jc w:val="right"/>
              <w:rPr>
                <w:rFonts w:ascii="Calibri" w:hAnsi="Calibri"/>
                <w:noProof/>
                <w:color w:val="000000"/>
                <w:sz w:val="22"/>
              </w:rPr>
            </w:pPr>
            <w:r>
              <w:rPr>
                <w:rFonts w:ascii="Calibri" w:hAnsi="Calibri"/>
                <w:noProof/>
                <w:color w:val="000000"/>
                <w:sz w:val="22"/>
              </w:rPr>
              <w:t>4,5</w:t>
            </w:r>
          </w:p>
        </w:tc>
        <w:tc>
          <w:tcPr>
            <w:tcW w:w="705" w:type="dxa"/>
            <w:tcBorders>
              <w:top w:val="nil"/>
              <w:left w:val="nil"/>
              <w:bottom w:val="single" w:sz="8" w:space="0" w:color="auto"/>
              <w:right w:val="single" w:sz="4" w:space="0" w:color="auto"/>
            </w:tcBorders>
            <w:shd w:val="clear" w:color="auto" w:fill="auto"/>
            <w:noWrap/>
            <w:hideMark/>
          </w:tcPr>
          <w:p>
            <w:pPr>
              <w:spacing w:before="0" w:after="0"/>
              <w:jc w:val="right"/>
              <w:rPr>
                <w:rFonts w:ascii="Calibri" w:hAnsi="Calibri"/>
                <w:noProof/>
                <w:color w:val="000000"/>
                <w:sz w:val="22"/>
              </w:rPr>
            </w:pPr>
            <w:r>
              <w:rPr>
                <w:rFonts w:ascii="Calibri" w:hAnsi="Calibri"/>
                <w:noProof/>
                <w:color w:val="000000"/>
                <w:sz w:val="22"/>
              </w:rPr>
              <w:t>3,0</w:t>
            </w:r>
          </w:p>
        </w:tc>
        <w:tc>
          <w:tcPr>
            <w:tcW w:w="705" w:type="dxa"/>
            <w:tcBorders>
              <w:top w:val="nil"/>
              <w:left w:val="nil"/>
              <w:bottom w:val="single" w:sz="8" w:space="0" w:color="auto"/>
              <w:right w:val="single" w:sz="4" w:space="0" w:color="auto"/>
            </w:tcBorders>
            <w:shd w:val="clear" w:color="auto" w:fill="auto"/>
            <w:noWrap/>
            <w:hideMark/>
          </w:tcPr>
          <w:p>
            <w:pPr>
              <w:spacing w:before="0" w:after="0"/>
              <w:jc w:val="right"/>
              <w:rPr>
                <w:rFonts w:ascii="Calibri" w:hAnsi="Calibri"/>
                <w:noProof/>
                <w:color w:val="000000"/>
                <w:sz w:val="22"/>
              </w:rPr>
            </w:pPr>
            <w:r>
              <w:rPr>
                <w:rFonts w:ascii="Calibri" w:hAnsi="Calibri"/>
                <w:noProof/>
                <w:color w:val="000000"/>
                <w:sz w:val="22"/>
              </w:rPr>
              <w:t>3,0</w:t>
            </w:r>
          </w:p>
        </w:tc>
        <w:tc>
          <w:tcPr>
            <w:tcW w:w="705" w:type="dxa"/>
            <w:tcBorders>
              <w:top w:val="nil"/>
              <w:left w:val="nil"/>
              <w:bottom w:val="single" w:sz="8" w:space="0" w:color="auto"/>
              <w:right w:val="single" w:sz="4" w:space="0" w:color="auto"/>
            </w:tcBorders>
            <w:shd w:val="clear" w:color="auto" w:fill="auto"/>
            <w:noWrap/>
            <w:hideMark/>
          </w:tcPr>
          <w:p>
            <w:pPr>
              <w:spacing w:before="0" w:after="0"/>
              <w:jc w:val="right"/>
              <w:rPr>
                <w:rFonts w:ascii="Calibri" w:hAnsi="Calibri"/>
                <w:noProof/>
                <w:color w:val="000000"/>
                <w:sz w:val="22"/>
              </w:rPr>
            </w:pPr>
            <w:r>
              <w:rPr>
                <w:rFonts w:ascii="Calibri" w:hAnsi="Calibri"/>
                <w:noProof/>
                <w:color w:val="000000"/>
                <w:sz w:val="22"/>
              </w:rPr>
              <w:t>3,0</w:t>
            </w:r>
          </w:p>
        </w:tc>
        <w:tc>
          <w:tcPr>
            <w:tcW w:w="706" w:type="dxa"/>
            <w:tcBorders>
              <w:top w:val="nil"/>
              <w:left w:val="nil"/>
              <w:bottom w:val="single" w:sz="8" w:space="0" w:color="auto"/>
              <w:right w:val="single" w:sz="4" w:space="0" w:color="auto"/>
            </w:tcBorders>
            <w:shd w:val="clear" w:color="auto" w:fill="auto"/>
            <w:noWrap/>
            <w:hideMark/>
          </w:tcPr>
          <w:p>
            <w:pPr>
              <w:spacing w:before="0" w:after="0"/>
              <w:jc w:val="right"/>
              <w:rPr>
                <w:rFonts w:ascii="Calibri" w:hAnsi="Calibri"/>
                <w:noProof/>
                <w:color w:val="000000"/>
                <w:sz w:val="22"/>
              </w:rPr>
            </w:pPr>
            <w:r>
              <w:rPr>
                <w:rFonts w:ascii="Calibri" w:hAnsi="Calibri"/>
                <w:noProof/>
                <w:color w:val="000000"/>
                <w:sz w:val="22"/>
              </w:rPr>
              <w:t>3,0</w:t>
            </w:r>
          </w:p>
        </w:tc>
        <w:tc>
          <w:tcPr>
            <w:tcW w:w="815" w:type="dxa"/>
            <w:tcBorders>
              <w:top w:val="nil"/>
              <w:left w:val="nil"/>
              <w:bottom w:val="single" w:sz="8" w:space="0" w:color="auto"/>
              <w:right w:val="single" w:sz="4" w:space="0" w:color="auto"/>
            </w:tcBorders>
            <w:shd w:val="clear" w:color="auto" w:fill="auto"/>
            <w:noWrap/>
            <w:hideMark/>
          </w:tcPr>
          <w:p>
            <w:pPr>
              <w:spacing w:before="0" w:after="0"/>
              <w:jc w:val="right"/>
              <w:rPr>
                <w:rFonts w:ascii="Calibri" w:hAnsi="Calibri"/>
                <w:noProof/>
                <w:color w:val="000000"/>
                <w:sz w:val="22"/>
              </w:rPr>
            </w:pPr>
            <w:r>
              <w:rPr>
                <w:rFonts w:ascii="Calibri" w:hAnsi="Calibri"/>
                <w:noProof/>
                <w:color w:val="000000"/>
                <w:sz w:val="22"/>
              </w:rPr>
              <w:t>54,0</w:t>
            </w:r>
          </w:p>
        </w:tc>
      </w:tr>
      <w:tr>
        <w:trPr>
          <w:trHeight w:val="300"/>
        </w:trPr>
        <w:tc>
          <w:tcPr>
            <w:tcW w:w="2032" w:type="dxa"/>
            <w:tcBorders>
              <w:top w:val="nil"/>
              <w:left w:val="nil"/>
              <w:bottom w:val="nil"/>
              <w:right w:val="nil"/>
            </w:tcBorders>
            <w:shd w:val="clear" w:color="auto" w:fill="auto"/>
            <w:noWrap/>
            <w:vAlign w:val="bottom"/>
            <w:hideMark/>
          </w:tcPr>
          <w:p>
            <w:pPr>
              <w:spacing w:before="0" w:after="0"/>
              <w:jc w:val="left"/>
              <w:rPr>
                <w:rFonts w:ascii="Calibri" w:hAnsi="Calibri"/>
                <w:b/>
                <w:bCs/>
                <w:noProof/>
                <w:color w:val="000000"/>
                <w:sz w:val="22"/>
              </w:rPr>
            </w:pPr>
            <w:r>
              <w:rPr>
                <w:rFonts w:ascii="Calibri" w:hAnsi="Calibri"/>
                <w:b/>
                <w:noProof/>
                <w:color w:val="000000"/>
                <w:sz w:val="22"/>
              </w:rPr>
              <w:t>Osebje skupaj (EPDČ)</w:t>
            </w:r>
          </w:p>
        </w:tc>
        <w:tc>
          <w:tcPr>
            <w:tcW w:w="705" w:type="dxa"/>
            <w:tcBorders>
              <w:top w:val="nil"/>
              <w:left w:val="nil"/>
              <w:bottom w:val="nil"/>
              <w:right w:val="nil"/>
            </w:tcBorders>
            <w:shd w:val="clear" w:color="auto" w:fill="auto"/>
            <w:noWrap/>
            <w:vAlign w:val="bottom"/>
            <w:hideMark/>
          </w:tcPr>
          <w:p>
            <w:pPr>
              <w:spacing w:before="0" w:after="0"/>
              <w:jc w:val="right"/>
              <w:rPr>
                <w:rFonts w:ascii="Calibri" w:hAnsi="Calibri"/>
                <w:b/>
                <w:bCs/>
                <w:noProof/>
                <w:color w:val="000000"/>
                <w:sz w:val="22"/>
              </w:rPr>
            </w:pPr>
            <w:r>
              <w:rPr>
                <w:rFonts w:ascii="Calibri" w:hAnsi="Calibri"/>
                <w:b/>
                <w:noProof/>
                <w:color w:val="000000"/>
                <w:sz w:val="22"/>
              </w:rPr>
              <w:t>5,0</w:t>
            </w:r>
          </w:p>
        </w:tc>
        <w:tc>
          <w:tcPr>
            <w:tcW w:w="705" w:type="dxa"/>
            <w:tcBorders>
              <w:top w:val="nil"/>
              <w:left w:val="nil"/>
              <w:bottom w:val="nil"/>
              <w:right w:val="nil"/>
            </w:tcBorders>
            <w:shd w:val="clear" w:color="auto" w:fill="auto"/>
            <w:noWrap/>
            <w:vAlign w:val="bottom"/>
            <w:hideMark/>
          </w:tcPr>
          <w:p>
            <w:pPr>
              <w:spacing w:before="0" w:after="0"/>
              <w:jc w:val="right"/>
              <w:rPr>
                <w:rFonts w:ascii="Calibri" w:hAnsi="Calibri"/>
                <w:b/>
                <w:bCs/>
                <w:noProof/>
                <w:color w:val="000000"/>
                <w:sz w:val="22"/>
              </w:rPr>
            </w:pPr>
            <w:r>
              <w:rPr>
                <w:rFonts w:ascii="Calibri" w:hAnsi="Calibri"/>
                <w:b/>
                <w:noProof/>
                <w:color w:val="000000"/>
                <w:sz w:val="22"/>
              </w:rPr>
              <w:t>15,0</w:t>
            </w:r>
          </w:p>
        </w:tc>
        <w:tc>
          <w:tcPr>
            <w:tcW w:w="705" w:type="dxa"/>
            <w:tcBorders>
              <w:top w:val="nil"/>
              <w:left w:val="nil"/>
              <w:bottom w:val="nil"/>
              <w:right w:val="nil"/>
            </w:tcBorders>
            <w:shd w:val="clear" w:color="auto" w:fill="auto"/>
            <w:noWrap/>
            <w:vAlign w:val="bottom"/>
            <w:hideMark/>
          </w:tcPr>
          <w:p>
            <w:pPr>
              <w:spacing w:before="0" w:after="0"/>
              <w:jc w:val="right"/>
              <w:rPr>
                <w:rFonts w:ascii="Calibri" w:hAnsi="Calibri"/>
                <w:b/>
                <w:bCs/>
                <w:noProof/>
                <w:color w:val="000000"/>
                <w:sz w:val="22"/>
              </w:rPr>
            </w:pPr>
            <w:r>
              <w:rPr>
                <w:rFonts w:ascii="Calibri" w:hAnsi="Calibri"/>
                <w:b/>
                <w:noProof/>
                <w:color w:val="000000"/>
                <w:sz w:val="22"/>
              </w:rPr>
              <w:t>15,0</w:t>
            </w:r>
          </w:p>
        </w:tc>
        <w:tc>
          <w:tcPr>
            <w:tcW w:w="705" w:type="dxa"/>
            <w:tcBorders>
              <w:top w:val="nil"/>
              <w:left w:val="nil"/>
              <w:bottom w:val="nil"/>
              <w:right w:val="nil"/>
            </w:tcBorders>
            <w:shd w:val="clear" w:color="auto" w:fill="auto"/>
            <w:noWrap/>
            <w:vAlign w:val="bottom"/>
            <w:hideMark/>
          </w:tcPr>
          <w:p>
            <w:pPr>
              <w:spacing w:before="0" w:after="0"/>
              <w:jc w:val="right"/>
              <w:rPr>
                <w:rFonts w:ascii="Calibri" w:hAnsi="Calibri"/>
                <w:b/>
                <w:bCs/>
                <w:noProof/>
                <w:color w:val="000000"/>
                <w:sz w:val="22"/>
              </w:rPr>
            </w:pPr>
            <w:r>
              <w:rPr>
                <w:rFonts w:ascii="Calibri" w:hAnsi="Calibri"/>
                <w:b/>
                <w:noProof/>
                <w:color w:val="000000"/>
                <w:sz w:val="22"/>
              </w:rPr>
              <w:t>12,5</w:t>
            </w:r>
          </w:p>
        </w:tc>
        <w:tc>
          <w:tcPr>
            <w:tcW w:w="706" w:type="dxa"/>
            <w:tcBorders>
              <w:top w:val="nil"/>
              <w:left w:val="nil"/>
              <w:bottom w:val="nil"/>
              <w:right w:val="nil"/>
            </w:tcBorders>
            <w:shd w:val="clear" w:color="auto" w:fill="auto"/>
            <w:noWrap/>
            <w:vAlign w:val="bottom"/>
            <w:hideMark/>
          </w:tcPr>
          <w:p>
            <w:pPr>
              <w:spacing w:before="0" w:after="0"/>
              <w:jc w:val="right"/>
              <w:rPr>
                <w:rFonts w:ascii="Calibri" w:hAnsi="Calibri"/>
                <w:b/>
                <w:bCs/>
                <w:noProof/>
                <w:color w:val="000000"/>
                <w:sz w:val="22"/>
              </w:rPr>
            </w:pPr>
            <w:r>
              <w:rPr>
                <w:rFonts w:ascii="Calibri" w:hAnsi="Calibri"/>
                <w:b/>
                <w:noProof/>
                <w:color w:val="000000"/>
                <w:sz w:val="22"/>
              </w:rPr>
              <w:t>12,5</w:t>
            </w:r>
          </w:p>
        </w:tc>
        <w:tc>
          <w:tcPr>
            <w:tcW w:w="705" w:type="dxa"/>
            <w:tcBorders>
              <w:top w:val="nil"/>
              <w:left w:val="nil"/>
              <w:bottom w:val="nil"/>
              <w:right w:val="nil"/>
            </w:tcBorders>
            <w:shd w:val="clear" w:color="auto" w:fill="auto"/>
            <w:noWrap/>
            <w:vAlign w:val="bottom"/>
            <w:hideMark/>
          </w:tcPr>
          <w:p>
            <w:pPr>
              <w:spacing w:before="0" w:after="0"/>
              <w:jc w:val="right"/>
              <w:rPr>
                <w:rFonts w:ascii="Calibri" w:hAnsi="Calibri"/>
                <w:b/>
                <w:bCs/>
                <w:noProof/>
                <w:color w:val="000000"/>
                <w:sz w:val="22"/>
              </w:rPr>
            </w:pPr>
            <w:r>
              <w:rPr>
                <w:rFonts w:ascii="Calibri" w:hAnsi="Calibri"/>
                <w:b/>
                <w:noProof/>
                <w:color w:val="000000"/>
                <w:sz w:val="22"/>
              </w:rPr>
              <w:t>11,0</w:t>
            </w:r>
          </w:p>
        </w:tc>
        <w:tc>
          <w:tcPr>
            <w:tcW w:w="705" w:type="dxa"/>
            <w:tcBorders>
              <w:top w:val="nil"/>
              <w:left w:val="nil"/>
              <w:bottom w:val="nil"/>
              <w:right w:val="nil"/>
            </w:tcBorders>
            <w:shd w:val="clear" w:color="auto" w:fill="auto"/>
            <w:noWrap/>
            <w:vAlign w:val="bottom"/>
            <w:hideMark/>
          </w:tcPr>
          <w:p>
            <w:pPr>
              <w:spacing w:before="0" w:after="0"/>
              <w:jc w:val="right"/>
              <w:rPr>
                <w:rFonts w:ascii="Calibri" w:hAnsi="Calibri"/>
                <w:b/>
                <w:bCs/>
                <w:noProof/>
                <w:color w:val="000000"/>
                <w:sz w:val="22"/>
              </w:rPr>
            </w:pPr>
            <w:r>
              <w:rPr>
                <w:rFonts w:ascii="Calibri" w:hAnsi="Calibri"/>
                <w:b/>
                <w:noProof/>
                <w:color w:val="000000"/>
                <w:sz w:val="22"/>
              </w:rPr>
              <w:t>11,0</w:t>
            </w:r>
          </w:p>
        </w:tc>
        <w:tc>
          <w:tcPr>
            <w:tcW w:w="705" w:type="dxa"/>
            <w:tcBorders>
              <w:top w:val="nil"/>
              <w:left w:val="nil"/>
              <w:bottom w:val="nil"/>
              <w:right w:val="nil"/>
            </w:tcBorders>
            <w:shd w:val="clear" w:color="auto" w:fill="auto"/>
            <w:noWrap/>
            <w:vAlign w:val="bottom"/>
            <w:hideMark/>
          </w:tcPr>
          <w:p>
            <w:pPr>
              <w:spacing w:before="0" w:after="0"/>
              <w:jc w:val="right"/>
              <w:rPr>
                <w:rFonts w:ascii="Calibri" w:hAnsi="Calibri"/>
                <w:b/>
                <w:bCs/>
                <w:noProof/>
                <w:color w:val="000000"/>
                <w:sz w:val="22"/>
              </w:rPr>
            </w:pPr>
            <w:r>
              <w:rPr>
                <w:rFonts w:ascii="Calibri" w:hAnsi="Calibri"/>
                <w:b/>
                <w:noProof/>
                <w:color w:val="000000"/>
                <w:sz w:val="22"/>
              </w:rPr>
              <w:t>11,0</w:t>
            </w:r>
          </w:p>
        </w:tc>
        <w:tc>
          <w:tcPr>
            <w:tcW w:w="706" w:type="dxa"/>
            <w:tcBorders>
              <w:top w:val="nil"/>
              <w:left w:val="nil"/>
              <w:bottom w:val="nil"/>
              <w:right w:val="nil"/>
            </w:tcBorders>
            <w:shd w:val="clear" w:color="auto" w:fill="auto"/>
            <w:noWrap/>
            <w:vAlign w:val="bottom"/>
            <w:hideMark/>
          </w:tcPr>
          <w:p>
            <w:pPr>
              <w:spacing w:before="0" w:after="0"/>
              <w:jc w:val="right"/>
              <w:rPr>
                <w:rFonts w:ascii="Calibri" w:hAnsi="Calibri"/>
                <w:b/>
                <w:bCs/>
                <w:noProof/>
                <w:color w:val="000000"/>
                <w:sz w:val="22"/>
              </w:rPr>
            </w:pPr>
            <w:r>
              <w:rPr>
                <w:rFonts w:ascii="Calibri" w:hAnsi="Calibri"/>
                <w:b/>
                <w:noProof/>
                <w:color w:val="000000"/>
                <w:sz w:val="22"/>
              </w:rPr>
              <w:t>11,0</w:t>
            </w:r>
          </w:p>
        </w:tc>
        <w:tc>
          <w:tcPr>
            <w:tcW w:w="815" w:type="dxa"/>
            <w:tcBorders>
              <w:top w:val="nil"/>
              <w:left w:val="nil"/>
              <w:bottom w:val="nil"/>
              <w:right w:val="nil"/>
            </w:tcBorders>
            <w:shd w:val="clear" w:color="auto" w:fill="auto"/>
            <w:noWrap/>
            <w:vAlign w:val="bottom"/>
            <w:hideMark/>
          </w:tcPr>
          <w:p>
            <w:pPr>
              <w:spacing w:before="0" w:after="0"/>
              <w:jc w:val="right"/>
              <w:rPr>
                <w:rFonts w:ascii="Calibri" w:hAnsi="Calibri"/>
                <w:b/>
                <w:bCs/>
                <w:noProof/>
                <w:color w:val="000000"/>
                <w:sz w:val="22"/>
              </w:rPr>
            </w:pPr>
            <w:r>
              <w:rPr>
                <w:rFonts w:ascii="Calibri" w:hAnsi="Calibri"/>
                <w:b/>
                <w:noProof/>
                <w:color w:val="000000"/>
                <w:sz w:val="22"/>
              </w:rPr>
              <w:t>104,0</w:t>
            </w:r>
          </w:p>
        </w:tc>
      </w:tr>
    </w:tbl>
    <w:p>
      <w:pPr>
        <w:pStyle w:val="Text1"/>
        <w:ind w:left="0"/>
        <w:rPr>
          <w:noProof/>
        </w:rPr>
      </w:pPr>
    </w:p>
    <w:p>
      <w:pPr>
        <w:rPr>
          <w:noProof/>
        </w:rPr>
      </w:pPr>
    </w:p>
    <w:p>
      <w:pPr>
        <w:rPr>
          <w:noProof/>
        </w:rPr>
      </w:pPr>
      <w:r>
        <w:rPr>
          <w:noProof/>
        </w:rPr>
        <w:t>Za Europol je za okrepitev njegovih informacijskih sistemov predvideno dodatno osebje za IKT, da se pokrije povečano število poizvedb iz ESP in sistema ETIAS ter nato zagotovi stalno vzdrževanje sistemov.</w:t>
      </w:r>
    </w:p>
    <w:p>
      <w:pPr>
        <w:pStyle w:val="ListDash"/>
        <w:rPr>
          <w:noProof/>
        </w:rPr>
      </w:pPr>
      <w:r>
        <w:rPr>
          <w:noProof/>
        </w:rPr>
        <w:t xml:space="preserve">V izvedbeni fazi ESP (v letih 2020 in 2021) so potrebni dodatni tehnični strokovnjaki (arhitekti, inženirji, načrtovalci, preskuševalci). Po letu 2022 bo potrebno manjše število tehničnih strokovnjakov za izvedbo preostalih sestavnih delov interoperabilnosti in vzdrževanje sistemov. </w:t>
      </w:r>
    </w:p>
    <w:p>
      <w:pPr>
        <w:pStyle w:val="ListDash"/>
        <w:rPr>
          <w:noProof/>
        </w:rPr>
      </w:pPr>
      <w:r>
        <w:rPr>
          <w:noProof/>
        </w:rPr>
        <w:t xml:space="preserve">Od druge polovice leta 2021 bo treba uvesti stalno spremljanje sistema IKT, da se zagotovijo ravni storitev ESP in sistema ETIAS. To bosta opravljala dva pogodbena uslužbenca v štirih izmenah, 24 ur na dan, 7 dni na teden. </w:t>
      </w:r>
    </w:p>
    <w:p>
      <w:pPr>
        <w:pStyle w:val="ListDash"/>
        <w:rPr>
          <w:noProof/>
        </w:rPr>
      </w:pPr>
      <w:r>
        <w:rPr>
          <w:noProof/>
        </w:rPr>
        <w:t>Kolikor je to mogoče, so bili profili razdeljeni med začasne in pogodbene uslužbence. Opozoriti pa je treba, da je zaradi visokih varnostnih zahtev na več delovnih mestih mogoče uporabiti samo začasne uslužbence. Pri zahtevku za začasne uslužbence se bo upošteval izid spravnega postopka v zvezi s proračunom za leto 2018.</w:t>
      </w:r>
    </w:p>
    <w:p>
      <w:pPr>
        <w:rPr>
          <w:noProof/>
        </w:rPr>
      </w:pPr>
    </w:p>
    <w:p>
      <w:pPr>
        <w:pStyle w:val="ManualHeading4"/>
        <w:rPr>
          <w:noProof/>
        </w:rPr>
      </w:pPr>
      <w:r>
        <w:t>3.2.3.3.</w:t>
      </w:r>
      <w:r>
        <w:tab/>
      </w:r>
      <w:r>
        <w:rPr>
          <w:noProof/>
        </w:rPr>
        <w:t>Povzetek za CEPOL</w:t>
      </w:r>
    </w:p>
    <w:p>
      <w:pPr>
        <w:rPr>
          <w:noProof/>
        </w:rPr>
      </w:pPr>
      <w:r>
        <w:rPr>
          <w:noProof/>
        </w:rPr>
        <w:sym w:font="Wingdings" w:char="F0A8"/>
      </w:r>
      <w:r>
        <w:rPr>
          <w:noProof/>
        </w:rPr>
        <w:tab/>
        <w:t xml:space="preserve">Za predlog/pobudo niso potrebne odobritve za upravne zadeve. </w:t>
      </w:r>
    </w:p>
    <w:p>
      <w:pPr>
        <w:rPr>
          <w:noProof/>
        </w:rPr>
      </w:pPr>
      <w:r>
        <w:rPr>
          <w:noProof/>
        </w:rPr>
        <w:sym w:font="Wingdings" w:char="F078"/>
      </w:r>
      <w:r>
        <w:rPr>
          <w:noProof/>
        </w:rPr>
        <w:tab/>
        <w:t>Za predlog/pobudo so potrebne odobritve za upravne zadeve, kot je pojasnjeno v nadaljevanju:</w:t>
      </w:r>
    </w:p>
    <w:p>
      <w:pPr>
        <w:rPr>
          <w:noProof/>
          <w:sz w:val="20"/>
        </w:rPr>
      </w:pPr>
      <w:r>
        <w:rPr>
          <w:noProof/>
          <w:sz w:val="20"/>
        </w:rPr>
        <w:t>v mio. EUR (na tri decimalna mesta natančno)</w:t>
      </w:r>
    </w:p>
    <w:tbl>
      <w:tblPr>
        <w:tblW w:w="1036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456"/>
        <w:gridCol w:w="752"/>
        <w:gridCol w:w="720"/>
        <w:gridCol w:w="720"/>
        <w:gridCol w:w="720"/>
        <w:gridCol w:w="720"/>
        <w:gridCol w:w="720"/>
        <w:gridCol w:w="720"/>
        <w:gridCol w:w="720"/>
        <w:gridCol w:w="840"/>
        <w:gridCol w:w="2272"/>
      </w:tblGrid>
      <w:tr>
        <w:trPr>
          <w:trHeight w:val="574"/>
        </w:trPr>
        <w:tc>
          <w:tcPr>
            <w:tcW w:w="1456" w:type="dxa"/>
          </w:tcPr>
          <w:p>
            <w:pPr>
              <w:spacing w:before="60" w:after="60"/>
              <w:rPr>
                <w:noProof/>
                <w:sz w:val="20"/>
              </w:rPr>
            </w:pPr>
          </w:p>
        </w:tc>
        <w:tc>
          <w:tcPr>
            <w:tcW w:w="752" w:type="dxa"/>
            <w:vAlign w:val="center"/>
          </w:tcPr>
          <w:p>
            <w:pPr>
              <w:spacing w:before="60" w:after="60"/>
              <w:jc w:val="center"/>
              <w:rPr>
                <w:noProof/>
                <w:sz w:val="20"/>
              </w:rPr>
            </w:pPr>
            <w:r>
              <w:rPr>
                <w:noProof/>
                <w:sz w:val="20"/>
              </w:rPr>
              <w:t>Leto</w:t>
            </w:r>
            <w:r>
              <w:rPr>
                <w:noProof/>
                <w:sz w:val="22"/>
              </w:rPr>
              <w:br/>
            </w:r>
            <w:r>
              <w:rPr>
                <w:b/>
                <w:noProof/>
                <w:sz w:val="20"/>
              </w:rPr>
              <w:t>2019</w:t>
            </w:r>
          </w:p>
        </w:tc>
        <w:tc>
          <w:tcPr>
            <w:tcW w:w="720" w:type="dxa"/>
            <w:vAlign w:val="center"/>
          </w:tcPr>
          <w:p>
            <w:pPr>
              <w:spacing w:before="60" w:after="60"/>
              <w:jc w:val="center"/>
              <w:rPr>
                <w:noProof/>
                <w:sz w:val="20"/>
              </w:rPr>
            </w:pPr>
            <w:r>
              <w:rPr>
                <w:noProof/>
                <w:sz w:val="20"/>
              </w:rPr>
              <w:t>Leto</w:t>
            </w:r>
            <w:r>
              <w:rPr>
                <w:noProof/>
                <w:sz w:val="22"/>
              </w:rPr>
              <w:br/>
            </w:r>
            <w:r>
              <w:rPr>
                <w:b/>
                <w:noProof/>
                <w:sz w:val="20"/>
              </w:rPr>
              <w:t>2020</w:t>
            </w:r>
          </w:p>
        </w:tc>
        <w:tc>
          <w:tcPr>
            <w:tcW w:w="720" w:type="dxa"/>
            <w:vAlign w:val="center"/>
          </w:tcPr>
          <w:p>
            <w:pPr>
              <w:spacing w:before="60" w:after="60"/>
              <w:jc w:val="center"/>
              <w:rPr>
                <w:noProof/>
                <w:sz w:val="20"/>
              </w:rPr>
            </w:pPr>
            <w:r>
              <w:rPr>
                <w:noProof/>
                <w:sz w:val="20"/>
              </w:rPr>
              <w:t>Leto</w:t>
            </w:r>
            <w:r>
              <w:rPr>
                <w:noProof/>
                <w:sz w:val="22"/>
              </w:rPr>
              <w:br/>
            </w:r>
            <w:r>
              <w:rPr>
                <w:b/>
                <w:noProof/>
                <w:sz w:val="20"/>
              </w:rPr>
              <w:t>2021</w:t>
            </w:r>
          </w:p>
        </w:tc>
        <w:tc>
          <w:tcPr>
            <w:tcW w:w="720" w:type="dxa"/>
            <w:vAlign w:val="center"/>
          </w:tcPr>
          <w:p>
            <w:pPr>
              <w:spacing w:before="60" w:after="60"/>
              <w:jc w:val="center"/>
              <w:rPr>
                <w:noProof/>
                <w:sz w:val="20"/>
              </w:rPr>
            </w:pPr>
            <w:r>
              <w:rPr>
                <w:noProof/>
                <w:sz w:val="20"/>
              </w:rPr>
              <w:t>Leto</w:t>
            </w:r>
            <w:r>
              <w:rPr>
                <w:noProof/>
                <w:sz w:val="22"/>
              </w:rPr>
              <w:br/>
            </w:r>
            <w:r>
              <w:rPr>
                <w:b/>
                <w:noProof/>
                <w:sz w:val="20"/>
              </w:rPr>
              <w:t>2022</w:t>
            </w:r>
          </w:p>
        </w:tc>
        <w:tc>
          <w:tcPr>
            <w:tcW w:w="720" w:type="dxa"/>
            <w:vAlign w:val="center"/>
          </w:tcPr>
          <w:p>
            <w:pPr>
              <w:jc w:val="center"/>
              <w:rPr>
                <w:b/>
                <w:noProof/>
                <w:sz w:val="20"/>
              </w:rPr>
            </w:pPr>
            <w:r>
              <w:rPr>
                <w:noProof/>
                <w:sz w:val="20"/>
              </w:rPr>
              <w:t>Leto</w:t>
            </w:r>
            <w:r>
              <w:rPr>
                <w:noProof/>
                <w:sz w:val="22"/>
              </w:rPr>
              <w:br/>
            </w:r>
            <w:r>
              <w:rPr>
                <w:b/>
                <w:noProof/>
                <w:sz w:val="20"/>
              </w:rPr>
              <w:t>2023</w:t>
            </w:r>
          </w:p>
        </w:tc>
        <w:tc>
          <w:tcPr>
            <w:tcW w:w="720" w:type="dxa"/>
            <w:vAlign w:val="center"/>
          </w:tcPr>
          <w:p>
            <w:pPr>
              <w:jc w:val="center"/>
              <w:rPr>
                <w:b/>
                <w:noProof/>
                <w:sz w:val="20"/>
              </w:rPr>
            </w:pPr>
            <w:r>
              <w:rPr>
                <w:noProof/>
                <w:sz w:val="20"/>
              </w:rPr>
              <w:t>Leto</w:t>
            </w:r>
            <w:r>
              <w:rPr>
                <w:noProof/>
                <w:sz w:val="22"/>
              </w:rPr>
              <w:br/>
            </w:r>
            <w:r>
              <w:rPr>
                <w:b/>
                <w:noProof/>
                <w:sz w:val="20"/>
              </w:rPr>
              <w:t>2024</w:t>
            </w:r>
          </w:p>
        </w:tc>
        <w:tc>
          <w:tcPr>
            <w:tcW w:w="720" w:type="dxa"/>
            <w:vAlign w:val="center"/>
          </w:tcPr>
          <w:p>
            <w:pPr>
              <w:jc w:val="center"/>
              <w:rPr>
                <w:b/>
                <w:noProof/>
                <w:sz w:val="20"/>
              </w:rPr>
            </w:pPr>
            <w:r>
              <w:rPr>
                <w:noProof/>
                <w:sz w:val="20"/>
              </w:rPr>
              <w:t>Leto</w:t>
            </w:r>
            <w:r>
              <w:rPr>
                <w:noProof/>
                <w:sz w:val="22"/>
              </w:rPr>
              <w:br/>
            </w:r>
            <w:r>
              <w:rPr>
                <w:b/>
                <w:noProof/>
                <w:sz w:val="20"/>
              </w:rPr>
              <w:t>2025</w:t>
            </w:r>
          </w:p>
        </w:tc>
        <w:tc>
          <w:tcPr>
            <w:tcW w:w="720" w:type="dxa"/>
            <w:vAlign w:val="center"/>
          </w:tcPr>
          <w:p>
            <w:pPr>
              <w:spacing w:before="60" w:after="60"/>
              <w:jc w:val="center"/>
              <w:rPr>
                <w:b/>
                <w:noProof/>
                <w:sz w:val="20"/>
              </w:rPr>
            </w:pPr>
            <w:r>
              <w:rPr>
                <w:noProof/>
                <w:sz w:val="20"/>
              </w:rPr>
              <w:t>Leto</w:t>
            </w:r>
            <w:r>
              <w:rPr>
                <w:noProof/>
                <w:sz w:val="22"/>
              </w:rPr>
              <w:br/>
            </w:r>
            <w:r>
              <w:rPr>
                <w:b/>
                <w:noProof/>
                <w:sz w:val="20"/>
              </w:rPr>
              <w:t>2026</w:t>
            </w:r>
          </w:p>
        </w:tc>
        <w:tc>
          <w:tcPr>
            <w:tcW w:w="840" w:type="dxa"/>
            <w:vAlign w:val="center"/>
          </w:tcPr>
          <w:p>
            <w:pPr>
              <w:spacing w:before="60" w:after="60"/>
              <w:jc w:val="center"/>
              <w:rPr>
                <w:b/>
                <w:noProof/>
                <w:sz w:val="20"/>
              </w:rPr>
            </w:pPr>
            <w:r>
              <w:rPr>
                <w:noProof/>
                <w:sz w:val="20"/>
              </w:rPr>
              <w:t>Leto</w:t>
            </w:r>
            <w:r>
              <w:rPr>
                <w:noProof/>
                <w:sz w:val="22"/>
              </w:rPr>
              <w:br/>
            </w:r>
            <w:r>
              <w:rPr>
                <w:b/>
                <w:noProof/>
                <w:sz w:val="20"/>
              </w:rPr>
              <w:t>2027</w:t>
            </w:r>
          </w:p>
        </w:tc>
        <w:tc>
          <w:tcPr>
            <w:tcW w:w="2272" w:type="dxa"/>
            <w:vAlign w:val="center"/>
          </w:tcPr>
          <w:p>
            <w:pPr>
              <w:spacing w:before="60" w:after="60"/>
              <w:jc w:val="center"/>
              <w:rPr>
                <w:b/>
                <w:noProof/>
                <w:sz w:val="20"/>
              </w:rPr>
            </w:pPr>
            <w:r>
              <w:rPr>
                <w:b/>
                <w:noProof/>
                <w:sz w:val="20"/>
              </w:rPr>
              <w:t>SKUPAJ</w:t>
            </w:r>
          </w:p>
        </w:tc>
      </w:tr>
    </w:tbl>
    <w:p>
      <w:pPr>
        <w:rPr>
          <w:noProof/>
          <w:sz w:val="20"/>
        </w:rPr>
      </w:pPr>
    </w:p>
    <w:tbl>
      <w:tblPr>
        <w:tblW w:w="10327"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451"/>
        <w:gridCol w:w="759"/>
        <w:gridCol w:w="720"/>
        <w:gridCol w:w="720"/>
        <w:gridCol w:w="720"/>
        <w:gridCol w:w="720"/>
        <w:gridCol w:w="720"/>
        <w:gridCol w:w="720"/>
        <w:gridCol w:w="720"/>
        <w:gridCol w:w="840"/>
        <w:gridCol w:w="2237"/>
      </w:tblGrid>
      <w:tr>
        <w:trPr>
          <w:trHeight w:val="587"/>
        </w:trPr>
        <w:tc>
          <w:tcPr>
            <w:tcW w:w="1451" w:type="dxa"/>
            <w:shd w:val="clear" w:color="auto" w:fill="CCCCCC"/>
            <w:vAlign w:val="center"/>
          </w:tcPr>
          <w:p>
            <w:pPr>
              <w:spacing w:before="60" w:after="60"/>
              <w:jc w:val="center"/>
              <w:rPr>
                <w:noProof/>
              </w:rPr>
            </w:pPr>
            <w:r>
              <w:rPr>
                <w:noProof/>
                <w:sz w:val="18"/>
              </w:rPr>
              <w:t>Uradniki (razredi AD)</w:t>
            </w:r>
          </w:p>
        </w:tc>
        <w:tc>
          <w:tcPr>
            <w:tcW w:w="759"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b/>
                <w:noProof/>
                <w:sz w:val="20"/>
              </w:rPr>
            </w:pPr>
          </w:p>
        </w:tc>
        <w:tc>
          <w:tcPr>
            <w:tcW w:w="720" w:type="dxa"/>
          </w:tcPr>
          <w:p>
            <w:pPr>
              <w:spacing w:before="60" w:after="60"/>
              <w:jc w:val="right"/>
              <w:rPr>
                <w:b/>
                <w:noProof/>
                <w:sz w:val="20"/>
              </w:rPr>
            </w:pPr>
          </w:p>
        </w:tc>
        <w:tc>
          <w:tcPr>
            <w:tcW w:w="840" w:type="dxa"/>
          </w:tcPr>
          <w:p>
            <w:pPr>
              <w:spacing w:before="60" w:after="60"/>
              <w:jc w:val="right"/>
              <w:rPr>
                <w:b/>
                <w:noProof/>
                <w:sz w:val="20"/>
              </w:rPr>
            </w:pPr>
          </w:p>
        </w:tc>
        <w:tc>
          <w:tcPr>
            <w:tcW w:w="2237" w:type="dxa"/>
            <w:vAlign w:val="center"/>
          </w:tcPr>
          <w:p>
            <w:pPr>
              <w:spacing w:before="60" w:after="60"/>
              <w:jc w:val="right"/>
              <w:rPr>
                <w:b/>
                <w:noProof/>
                <w:sz w:val="20"/>
              </w:rPr>
            </w:pPr>
          </w:p>
        </w:tc>
      </w:tr>
      <w:tr>
        <w:trPr>
          <w:trHeight w:val="587"/>
        </w:trPr>
        <w:tc>
          <w:tcPr>
            <w:tcW w:w="1451" w:type="dxa"/>
            <w:vAlign w:val="center"/>
          </w:tcPr>
          <w:p>
            <w:pPr>
              <w:spacing w:before="60" w:after="60"/>
              <w:ind w:left="72"/>
              <w:rPr>
                <w:noProof/>
              </w:rPr>
            </w:pPr>
            <w:r>
              <w:rPr>
                <w:noProof/>
                <w:sz w:val="20"/>
              </w:rPr>
              <w:t>Uradniki (razredi AST)</w:t>
            </w:r>
          </w:p>
        </w:tc>
        <w:tc>
          <w:tcPr>
            <w:tcW w:w="759"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b/>
                <w:noProof/>
                <w:sz w:val="20"/>
              </w:rPr>
            </w:pPr>
          </w:p>
        </w:tc>
        <w:tc>
          <w:tcPr>
            <w:tcW w:w="720" w:type="dxa"/>
          </w:tcPr>
          <w:p>
            <w:pPr>
              <w:spacing w:before="60" w:after="60"/>
              <w:jc w:val="right"/>
              <w:rPr>
                <w:b/>
                <w:noProof/>
                <w:sz w:val="20"/>
              </w:rPr>
            </w:pPr>
          </w:p>
        </w:tc>
        <w:tc>
          <w:tcPr>
            <w:tcW w:w="840" w:type="dxa"/>
          </w:tcPr>
          <w:p>
            <w:pPr>
              <w:spacing w:before="60" w:after="60"/>
              <w:jc w:val="right"/>
              <w:rPr>
                <w:b/>
                <w:noProof/>
                <w:sz w:val="20"/>
              </w:rPr>
            </w:pPr>
          </w:p>
        </w:tc>
        <w:tc>
          <w:tcPr>
            <w:tcW w:w="2237" w:type="dxa"/>
            <w:vAlign w:val="center"/>
          </w:tcPr>
          <w:p>
            <w:pPr>
              <w:spacing w:before="60" w:after="60"/>
              <w:jc w:val="right"/>
              <w:rPr>
                <w:b/>
                <w:noProof/>
                <w:sz w:val="20"/>
              </w:rPr>
            </w:pPr>
          </w:p>
        </w:tc>
      </w:tr>
      <w:tr>
        <w:trPr>
          <w:trHeight w:val="587"/>
        </w:trPr>
        <w:tc>
          <w:tcPr>
            <w:tcW w:w="1451" w:type="dxa"/>
            <w:vAlign w:val="center"/>
          </w:tcPr>
          <w:p>
            <w:pPr>
              <w:spacing w:before="60" w:after="60"/>
              <w:ind w:left="72"/>
              <w:rPr>
                <w:noProof/>
              </w:rPr>
            </w:pPr>
            <w:r>
              <w:rPr>
                <w:noProof/>
                <w:sz w:val="20"/>
              </w:rPr>
              <w:t>Pogodbeno zaposleni uslužbenci</w:t>
            </w:r>
          </w:p>
        </w:tc>
        <w:tc>
          <w:tcPr>
            <w:tcW w:w="759" w:type="dxa"/>
          </w:tcPr>
          <w:p>
            <w:pPr>
              <w:spacing w:before="60" w:after="60"/>
              <w:jc w:val="right"/>
              <w:rPr>
                <w:noProof/>
                <w:sz w:val="20"/>
              </w:rPr>
            </w:pPr>
          </w:p>
        </w:tc>
        <w:tc>
          <w:tcPr>
            <w:tcW w:w="720" w:type="dxa"/>
          </w:tcPr>
          <w:p>
            <w:pPr>
              <w:spacing w:before="60" w:after="60"/>
              <w:jc w:val="right"/>
              <w:rPr>
                <w:noProof/>
                <w:sz w:val="20"/>
              </w:rPr>
            </w:pPr>
          </w:p>
        </w:tc>
        <w:tc>
          <w:tcPr>
            <w:tcW w:w="720" w:type="dxa"/>
          </w:tcPr>
          <w:p>
            <w:pPr>
              <w:spacing w:before="60" w:after="60"/>
              <w:jc w:val="right"/>
              <w:rPr>
                <w:noProof/>
                <w:sz w:val="22"/>
              </w:rPr>
            </w:pPr>
            <w:r>
              <w:rPr>
                <w:noProof/>
                <w:sz w:val="22"/>
              </w:rPr>
              <w:t>0,070</w:t>
            </w:r>
          </w:p>
        </w:tc>
        <w:tc>
          <w:tcPr>
            <w:tcW w:w="720" w:type="dxa"/>
          </w:tcPr>
          <w:p>
            <w:pPr>
              <w:spacing w:before="60" w:after="60"/>
              <w:jc w:val="right"/>
              <w:rPr>
                <w:noProof/>
                <w:sz w:val="22"/>
              </w:rPr>
            </w:pPr>
            <w:r>
              <w:rPr>
                <w:noProof/>
                <w:sz w:val="22"/>
              </w:rPr>
              <w:t>0,070</w:t>
            </w:r>
          </w:p>
        </w:tc>
        <w:tc>
          <w:tcPr>
            <w:tcW w:w="720" w:type="dxa"/>
          </w:tcPr>
          <w:p>
            <w:pPr>
              <w:spacing w:before="60" w:after="60"/>
              <w:jc w:val="right"/>
              <w:rPr>
                <w:noProof/>
                <w:sz w:val="22"/>
              </w:rPr>
            </w:pPr>
          </w:p>
        </w:tc>
        <w:tc>
          <w:tcPr>
            <w:tcW w:w="720" w:type="dxa"/>
          </w:tcPr>
          <w:p>
            <w:pPr>
              <w:spacing w:before="60" w:after="60"/>
              <w:jc w:val="right"/>
              <w:rPr>
                <w:noProof/>
                <w:sz w:val="20"/>
              </w:rPr>
            </w:pPr>
          </w:p>
        </w:tc>
        <w:tc>
          <w:tcPr>
            <w:tcW w:w="720" w:type="dxa"/>
          </w:tcPr>
          <w:p>
            <w:pPr>
              <w:spacing w:before="60" w:after="60"/>
              <w:jc w:val="right"/>
              <w:rPr>
                <w:noProof/>
                <w:sz w:val="20"/>
              </w:rPr>
            </w:pPr>
          </w:p>
        </w:tc>
        <w:tc>
          <w:tcPr>
            <w:tcW w:w="720" w:type="dxa"/>
          </w:tcPr>
          <w:p>
            <w:pPr>
              <w:spacing w:before="60" w:after="60"/>
              <w:jc w:val="center"/>
              <w:rPr>
                <w:noProof/>
                <w:sz w:val="20"/>
              </w:rPr>
            </w:pPr>
          </w:p>
        </w:tc>
        <w:tc>
          <w:tcPr>
            <w:tcW w:w="840" w:type="dxa"/>
          </w:tcPr>
          <w:p>
            <w:pPr>
              <w:spacing w:before="60" w:after="60"/>
              <w:jc w:val="center"/>
              <w:rPr>
                <w:noProof/>
                <w:sz w:val="20"/>
              </w:rPr>
            </w:pPr>
          </w:p>
        </w:tc>
        <w:tc>
          <w:tcPr>
            <w:tcW w:w="2237" w:type="dxa"/>
          </w:tcPr>
          <w:p>
            <w:pPr>
              <w:spacing w:before="60" w:after="60"/>
              <w:jc w:val="center"/>
              <w:rPr>
                <w:b/>
                <w:noProof/>
                <w:sz w:val="20"/>
              </w:rPr>
            </w:pPr>
            <w:r>
              <w:rPr>
                <w:b/>
                <w:noProof/>
                <w:sz w:val="22"/>
              </w:rPr>
              <w:t>0,140</w:t>
            </w:r>
          </w:p>
        </w:tc>
      </w:tr>
      <w:tr>
        <w:trPr>
          <w:trHeight w:val="587"/>
        </w:trPr>
        <w:tc>
          <w:tcPr>
            <w:tcW w:w="1451" w:type="dxa"/>
            <w:shd w:val="clear" w:color="auto" w:fill="CCCCCC"/>
            <w:vAlign w:val="center"/>
          </w:tcPr>
          <w:p>
            <w:pPr>
              <w:spacing w:before="60" w:after="60"/>
              <w:jc w:val="center"/>
              <w:rPr>
                <w:noProof/>
              </w:rPr>
            </w:pPr>
            <w:r>
              <w:rPr>
                <w:noProof/>
                <w:sz w:val="18"/>
              </w:rPr>
              <w:t xml:space="preserve">Začasni uslužbenci </w:t>
            </w:r>
          </w:p>
        </w:tc>
        <w:tc>
          <w:tcPr>
            <w:tcW w:w="759" w:type="dxa"/>
          </w:tcPr>
          <w:p>
            <w:pPr>
              <w:spacing w:before="60" w:after="60"/>
              <w:jc w:val="right"/>
              <w:rPr>
                <w:noProof/>
                <w:sz w:val="22"/>
              </w:rPr>
            </w:pPr>
          </w:p>
        </w:tc>
        <w:tc>
          <w:tcPr>
            <w:tcW w:w="720" w:type="dxa"/>
          </w:tcPr>
          <w:p>
            <w:pPr>
              <w:spacing w:before="60" w:after="60"/>
              <w:jc w:val="right"/>
              <w:rPr>
                <w:noProof/>
                <w:sz w:val="22"/>
              </w:rPr>
            </w:pPr>
            <w:r>
              <w:rPr>
                <w:noProof/>
                <w:sz w:val="22"/>
              </w:rPr>
              <w:t>0,104</w:t>
            </w:r>
          </w:p>
        </w:tc>
        <w:tc>
          <w:tcPr>
            <w:tcW w:w="720" w:type="dxa"/>
          </w:tcPr>
          <w:p>
            <w:pPr>
              <w:spacing w:before="60" w:after="60"/>
              <w:jc w:val="right"/>
              <w:rPr>
                <w:noProof/>
                <w:sz w:val="22"/>
              </w:rPr>
            </w:pPr>
            <w:r>
              <w:rPr>
                <w:noProof/>
                <w:sz w:val="22"/>
              </w:rPr>
              <w:t xml:space="preserve">0,138 </w:t>
            </w:r>
          </w:p>
        </w:tc>
        <w:tc>
          <w:tcPr>
            <w:tcW w:w="720" w:type="dxa"/>
          </w:tcPr>
          <w:p>
            <w:pPr>
              <w:spacing w:before="60" w:after="60"/>
              <w:jc w:val="right"/>
              <w:rPr>
                <w:noProof/>
                <w:sz w:val="22"/>
              </w:rPr>
            </w:pPr>
            <w:r>
              <w:rPr>
                <w:noProof/>
                <w:sz w:val="22"/>
              </w:rPr>
              <w:t xml:space="preserve">0,138 </w:t>
            </w:r>
          </w:p>
        </w:tc>
        <w:tc>
          <w:tcPr>
            <w:tcW w:w="720" w:type="dxa"/>
          </w:tcPr>
          <w:p>
            <w:pPr>
              <w:spacing w:before="60" w:after="60"/>
              <w:jc w:val="right"/>
              <w:rPr>
                <w:noProof/>
                <w:sz w:val="22"/>
              </w:rPr>
            </w:pPr>
            <w:r>
              <w:rPr>
                <w:noProof/>
                <w:sz w:val="22"/>
              </w:rPr>
              <w:t xml:space="preserve">0,138 </w:t>
            </w:r>
          </w:p>
        </w:tc>
        <w:tc>
          <w:tcPr>
            <w:tcW w:w="720" w:type="dxa"/>
          </w:tcPr>
          <w:p>
            <w:pPr>
              <w:spacing w:before="60" w:after="60"/>
              <w:jc w:val="right"/>
              <w:rPr>
                <w:noProof/>
                <w:sz w:val="22"/>
              </w:rPr>
            </w:pPr>
            <w:r>
              <w:rPr>
                <w:noProof/>
                <w:sz w:val="22"/>
              </w:rPr>
              <w:t xml:space="preserve">0,138 </w:t>
            </w:r>
          </w:p>
        </w:tc>
        <w:tc>
          <w:tcPr>
            <w:tcW w:w="720" w:type="dxa"/>
          </w:tcPr>
          <w:p>
            <w:pPr>
              <w:spacing w:before="60" w:after="60"/>
              <w:jc w:val="right"/>
              <w:rPr>
                <w:noProof/>
                <w:sz w:val="22"/>
              </w:rPr>
            </w:pPr>
            <w:r>
              <w:rPr>
                <w:noProof/>
                <w:sz w:val="22"/>
              </w:rPr>
              <w:t xml:space="preserve">0,138 </w:t>
            </w:r>
          </w:p>
        </w:tc>
        <w:tc>
          <w:tcPr>
            <w:tcW w:w="720" w:type="dxa"/>
          </w:tcPr>
          <w:p>
            <w:pPr>
              <w:spacing w:before="60" w:after="60"/>
              <w:jc w:val="right"/>
              <w:rPr>
                <w:noProof/>
                <w:sz w:val="22"/>
              </w:rPr>
            </w:pPr>
            <w:r>
              <w:rPr>
                <w:noProof/>
                <w:sz w:val="22"/>
              </w:rPr>
              <w:t xml:space="preserve">0,138 </w:t>
            </w:r>
          </w:p>
        </w:tc>
        <w:tc>
          <w:tcPr>
            <w:tcW w:w="840" w:type="dxa"/>
          </w:tcPr>
          <w:p>
            <w:pPr>
              <w:spacing w:before="60" w:after="60"/>
              <w:jc w:val="right"/>
              <w:rPr>
                <w:noProof/>
                <w:sz w:val="22"/>
              </w:rPr>
            </w:pPr>
            <w:r>
              <w:rPr>
                <w:noProof/>
                <w:sz w:val="22"/>
              </w:rPr>
              <w:t xml:space="preserve">0,138 </w:t>
            </w:r>
          </w:p>
        </w:tc>
        <w:tc>
          <w:tcPr>
            <w:tcW w:w="2237" w:type="dxa"/>
          </w:tcPr>
          <w:p>
            <w:pPr>
              <w:spacing w:before="60" w:after="60"/>
              <w:jc w:val="center"/>
              <w:rPr>
                <w:b/>
                <w:noProof/>
                <w:sz w:val="22"/>
              </w:rPr>
            </w:pPr>
            <w:r>
              <w:rPr>
                <w:noProof/>
                <w:sz w:val="22"/>
              </w:rPr>
              <w:t>1,070</w:t>
            </w:r>
          </w:p>
        </w:tc>
      </w:tr>
      <w:tr>
        <w:trPr>
          <w:trHeight w:val="587"/>
        </w:trPr>
        <w:tc>
          <w:tcPr>
            <w:tcW w:w="1451" w:type="dxa"/>
            <w:shd w:val="clear" w:color="auto" w:fill="CCCCCC"/>
            <w:vAlign w:val="center"/>
          </w:tcPr>
          <w:p>
            <w:pPr>
              <w:spacing w:before="60" w:after="60"/>
              <w:jc w:val="center"/>
              <w:rPr>
                <w:noProof/>
              </w:rPr>
            </w:pPr>
            <w:r>
              <w:rPr>
                <w:noProof/>
                <w:sz w:val="18"/>
              </w:rPr>
              <w:t>Napoteni nacionalni strokovnjaki</w:t>
            </w:r>
          </w:p>
        </w:tc>
        <w:tc>
          <w:tcPr>
            <w:tcW w:w="759"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b/>
                <w:noProof/>
                <w:sz w:val="20"/>
              </w:rPr>
            </w:pPr>
          </w:p>
        </w:tc>
        <w:tc>
          <w:tcPr>
            <w:tcW w:w="720" w:type="dxa"/>
          </w:tcPr>
          <w:p>
            <w:pPr>
              <w:spacing w:before="60" w:after="60"/>
              <w:jc w:val="right"/>
              <w:rPr>
                <w:b/>
                <w:noProof/>
                <w:sz w:val="20"/>
              </w:rPr>
            </w:pPr>
          </w:p>
        </w:tc>
        <w:tc>
          <w:tcPr>
            <w:tcW w:w="840" w:type="dxa"/>
          </w:tcPr>
          <w:p>
            <w:pPr>
              <w:spacing w:before="60" w:after="60"/>
              <w:jc w:val="right"/>
              <w:rPr>
                <w:b/>
                <w:noProof/>
                <w:sz w:val="20"/>
              </w:rPr>
            </w:pPr>
          </w:p>
        </w:tc>
        <w:tc>
          <w:tcPr>
            <w:tcW w:w="2237" w:type="dxa"/>
            <w:vAlign w:val="center"/>
          </w:tcPr>
          <w:p>
            <w:pPr>
              <w:spacing w:before="60" w:after="60"/>
              <w:jc w:val="right"/>
              <w:rPr>
                <w:b/>
                <w:noProof/>
                <w:sz w:val="20"/>
              </w:rPr>
            </w:pPr>
          </w:p>
        </w:tc>
      </w:tr>
    </w:tbl>
    <w:p>
      <w:pPr>
        <w:rPr>
          <w:noProof/>
          <w:sz w:val="20"/>
        </w:rPr>
      </w:pPr>
    </w:p>
    <w:tbl>
      <w:tblPr>
        <w:tblW w:w="10301" w:type="dxa"/>
        <w:tblInd w:w="-612" w:type="dxa"/>
        <w:tblLayout w:type="fixed"/>
        <w:tblLook w:val="01E0" w:firstRow="1" w:lastRow="1" w:firstColumn="1" w:lastColumn="1" w:noHBand="0" w:noVBand="0"/>
      </w:tblPr>
      <w:tblGrid>
        <w:gridCol w:w="1448"/>
        <w:gridCol w:w="764"/>
        <w:gridCol w:w="720"/>
        <w:gridCol w:w="720"/>
        <w:gridCol w:w="720"/>
        <w:gridCol w:w="720"/>
        <w:gridCol w:w="720"/>
        <w:gridCol w:w="720"/>
        <w:gridCol w:w="720"/>
        <w:gridCol w:w="840"/>
        <w:gridCol w:w="2209"/>
      </w:tblGrid>
      <w:tr>
        <w:trPr>
          <w:trHeight w:val="575"/>
        </w:trPr>
        <w:tc>
          <w:tcPr>
            <w:tcW w:w="1448" w:type="dxa"/>
            <w:tcBorders>
              <w:top w:val="single" w:sz="12" w:space="0" w:color="auto"/>
              <w:left w:val="single" w:sz="12" w:space="0" w:color="auto"/>
              <w:bottom w:val="single" w:sz="12" w:space="0" w:color="auto"/>
              <w:right w:val="single" w:sz="2" w:space="0" w:color="auto"/>
            </w:tcBorders>
            <w:vAlign w:val="center"/>
          </w:tcPr>
          <w:p>
            <w:pPr>
              <w:spacing w:before="60" w:after="60"/>
              <w:jc w:val="center"/>
              <w:rPr>
                <w:noProof/>
                <w:sz w:val="20"/>
              </w:rPr>
            </w:pPr>
            <w:r>
              <w:rPr>
                <w:b/>
                <w:noProof/>
                <w:sz w:val="20"/>
              </w:rPr>
              <w:t>SKUPAJ</w:t>
            </w:r>
          </w:p>
        </w:tc>
        <w:tc>
          <w:tcPr>
            <w:tcW w:w="764" w:type="dxa"/>
            <w:tcBorders>
              <w:top w:val="single" w:sz="12" w:space="0" w:color="auto"/>
              <w:left w:val="single" w:sz="2" w:space="0" w:color="auto"/>
              <w:bottom w:val="single" w:sz="12" w:space="0" w:color="auto"/>
              <w:right w:val="single" w:sz="2" w:space="0" w:color="auto"/>
            </w:tcBorders>
          </w:tcPr>
          <w:p>
            <w:pPr>
              <w:spacing w:before="60" w:after="60"/>
              <w:jc w:val="right"/>
              <w:rPr>
                <w:b/>
                <w:noProof/>
                <w:sz w:val="22"/>
              </w:rPr>
            </w:pPr>
          </w:p>
        </w:tc>
        <w:tc>
          <w:tcPr>
            <w:tcW w:w="720" w:type="dxa"/>
            <w:tcBorders>
              <w:top w:val="single" w:sz="12" w:space="0" w:color="auto"/>
              <w:left w:val="single" w:sz="2" w:space="0" w:color="auto"/>
              <w:bottom w:val="single" w:sz="12" w:space="0" w:color="auto"/>
              <w:right w:val="single" w:sz="2" w:space="0" w:color="auto"/>
            </w:tcBorders>
          </w:tcPr>
          <w:p>
            <w:pPr>
              <w:spacing w:before="60" w:after="60"/>
              <w:jc w:val="right"/>
              <w:rPr>
                <w:b/>
                <w:noProof/>
                <w:sz w:val="22"/>
              </w:rPr>
            </w:pPr>
            <w:r>
              <w:rPr>
                <w:b/>
                <w:noProof/>
                <w:sz w:val="22"/>
              </w:rPr>
              <w:t>0,104</w:t>
            </w:r>
          </w:p>
        </w:tc>
        <w:tc>
          <w:tcPr>
            <w:tcW w:w="720" w:type="dxa"/>
            <w:tcBorders>
              <w:top w:val="single" w:sz="12" w:space="0" w:color="auto"/>
              <w:left w:val="single" w:sz="2" w:space="0" w:color="auto"/>
              <w:bottom w:val="single" w:sz="12" w:space="0" w:color="auto"/>
              <w:right w:val="single" w:sz="2" w:space="0" w:color="auto"/>
            </w:tcBorders>
          </w:tcPr>
          <w:p>
            <w:pPr>
              <w:spacing w:before="60" w:after="60"/>
              <w:jc w:val="right"/>
              <w:rPr>
                <w:b/>
                <w:noProof/>
                <w:sz w:val="22"/>
              </w:rPr>
            </w:pPr>
            <w:r>
              <w:rPr>
                <w:b/>
                <w:noProof/>
                <w:sz w:val="22"/>
              </w:rPr>
              <w:t>0,208</w:t>
            </w:r>
          </w:p>
        </w:tc>
        <w:tc>
          <w:tcPr>
            <w:tcW w:w="720" w:type="dxa"/>
            <w:tcBorders>
              <w:top w:val="single" w:sz="12" w:space="0" w:color="auto"/>
              <w:left w:val="single" w:sz="2" w:space="0" w:color="auto"/>
              <w:bottom w:val="single" w:sz="12" w:space="0" w:color="auto"/>
              <w:right w:val="single" w:sz="2" w:space="0" w:color="auto"/>
            </w:tcBorders>
          </w:tcPr>
          <w:p>
            <w:pPr>
              <w:spacing w:before="60" w:after="60"/>
              <w:jc w:val="right"/>
              <w:rPr>
                <w:b/>
                <w:noProof/>
                <w:sz w:val="22"/>
              </w:rPr>
            </w:pPr>
            <w:r>
              <w:rPr>
                <w:b/>
                <w:noProof/>
                <w:sz w:val="22"/>
              </w:rPr>
              <w:t>0,208</w:t>
            </w:r>
          </w:p>
        </w:tc>
        <w:tc>
          <w:tcPr>
            <w:tcW w:w="720" w:type="dxa"/>
            <w:tcBorders>
              <w:top w:val="single" w:sz="12" w:space="0" w:color="auto"/>
              <w:left w:val="single" w:sz="2" w:space="0" w:color="auto"/>
              <w:bottom w:val="single" w:sz="12" w:space="0" w:color="auto"/>
              <w:right w:val="single" w:sz="2" w:space="0" w:color="auto"/>
            </w:tcBorders>
          </w:tcPr>
          <w:p>
            <w:pPr>
              <w:spacing w:before="60" w:after="60"/>
              <w:jc w:val="right"/>
              <w:rPr>
                <w:b/>
                <w:noProof/>
                <w:sz w:val="22"/>
              </w:rPr>
            </w:pPr>
            <w:r>
              <w:rPr>
                <w:b/>
                <w:noProof/>
                <w:sz w:val="22"/>
              </w:rPr>
              <w:t xml:space="preserve">0,138 </w:t>
            </w:r>
          </w:p>
        </w:tc>
        <w:tc>
          <w:tcPr>
            <w:tcW w:w="720" w:type="dxa"/>
            <w:tcBorders>
              <w:top w:val="single" w:sz="12" w:space="0" w:color="auto"/>
              <w:left w:val="single" w:sz="2" w:space="0" w:color="auto"/>
              <w:bottom w:val="single" w:sz="12" w:space="0" w:color="auto"/>
              <w:right w:val="single" w:sz="2" w:space="0" w:color="auto"/>
            </w:tcBorders>
          </w:tcPr>
          <w:p>
            <w:pPr>
              <w:spacing w:before="60" w:after="60"/>
              <w:jc w:val="right"/>
              <w:rPr>
                <w:b/>
                <w:noProof/>
                <w:sz w:val="22"/>
              </w:rPr>
            </w:pPr>
            <w:r>
              <w:rPr>
                <w:b/>
                <w:noProof/>
                <w:sz w:val="22"/>
              </w:rPr>
              <w:t xml:space="preserve">0,138 </w:t>
            </w:r>
          </w:p>
        </w:tc>
        <w:tc>
          <w:tcPr>
            <w:tcW w:w="720" w:type="dxa"/>
            <w:tcBorders>
              <w:top w:val="single" w:sz="12" w:space="0" w:color="auto"/>
              <w:left w:val="single" w:sz="2" w:space="0" w:color="auto"/>
              <w:bottom w:val="single" w:sz="12" w:space="0" w:color="auto"/>
              <w:right w:val="single" w:sz="2" w:space="0" w:color="auto"/>
            </w:tcBorders>
          </w:tcPr>
          <w:p>
            <w:pPr>
              <w:spacing w:before="60" w:after="60"/>
              <w:jc w:val="right"/>
              <w:rPr>
                <w:b/>
                <w:noProof/>
                <w:sz w:val="22"/>
              </w:rPr>
            </w:pPr>
            <w:r>
              <w:rPr>
                <w:b/>
                <w:noProof/>
                <w:sz w:val="22"/>
              </w:rPr>
              <w:t xml:space="preserve">0,138 </w:t>
            </w:r>
          </w:p>
        </w:tc>
        <w:tc>
          <w:tcPr>
            <w:tcW w:w="720" w:type="dxa"/>
            <w:tcBorders>
              <w:top w:val="single" w:sz="12" w:space="0" w:color="auto"/>
              <w:left w:val="single" w:sz="2" w:space="0" w:color="auto"/>
              <w:bottom w:val="single" w:sz="12" w:space="0" w:color="auto"/>
              <w:right w:val="single" w:sz="2" w:space="0" w:color="auto"/>
            </w:tcBorders>
          </w:tcPr>
          <w:p>
            <w:pPr>
              <w:spacing w:before="60" w:after="60"/>
              <w:jc w:val="right"/>
              <w:rPr>
                <w:b/>
                <w:noProof/>
                <w:sz w:val="22"/>
              </w:rPr>
            </w:pPr>
            <w:r>
              <w:rPr>
                <w:b/>
                <w:noProof/>
                <w:sz w:val="22"/>
              </w:rPr>
              <w:t xml:space="preserve">0,138 </w:t>
            </w:r>
          </w:p>
        </w:tc>
        <w:tc>
          <w:tcPr>
            <w:tcW w:w="840" w:type="dxa"/>
            <w:tcBorders>
              <w:top w:val="single" w:sz="12" w:space="0" w:color="auto"/>
              <w:left w:val="single" w:sz="2" w:space="0" w:color="auto"/>
              <w:bottom w:val="single" w:sz="12" w:space="0" w:color="auto"/>
              <w:right w:val="single" w:sz="2" w:space="0" w:color="auto"/>
            </w:tcBorders>
          </w:tcPr>
          <w:p>
            <w:pPr>
              <w:spacing w:before="60" w:after="60"/>
              <w:jc w:val="right"/>
              <w:rPr>
                <w:b/>
                <w:noProof/>
                <w:sz w:val="22"/>
              </w:rPr>
            </w:pPr>
            <w:r>
              <w:rPr>
                <w:b/>
                <w:noProof/>
                <w:sz w:val="22"/>
              </w:rPr>
              <w:t xml:space="preserve">0,138 </w:t>
            </w:r>
          </w:p>
        </w:tc>
        <w:tc>
          <w:tcPr>
            <w:tcW w:w="2209" w:type="dxa"/>
            <w:tcBorders>
              <w:top w:val="single" w:sz="12" w:space="0" w:color="auto"/>
              <w:left w:val="single" w:sz="2" w:space="0" w:color="auto"/>
              <w:bottom w:val="single" w:sz="12" w:space="0" w:color="auto"/>
              <w:right w:val="single" w:sz="12" w:space="0" w:color="auto"/>
            </w:tcBorders>
          </w:tcPr>
          <w:p>
            <w:pPr>
              <w:spacing w:before="60" w:after="60"/>
              <w:jc w:val="center"/>
              <w:rPr>
                <w:b/>
                <w:noProof/>
                <w:sz w:val="22"/>
              </w:rPr>
            </w:pPr>
            <w:r>
              <w:rPr>
                <w:b/>
                <w:noProof/>
                <w:sz w:val="22"/>
              </w:rPr>
              <w:t xml:space="preserve">1,210 </w:t>
            </w:r>
          </w:p>
        </w:tc>
      </w:tr>
    </w:tbl>
    <w:p>
      <w:pPr>
        <w:pStyle w:val="Text1"/>
        <w:rPr>
          <w:noProof/>
        </w:rPr>
      </w:pPr>
    </w:p>
    <w:p>
      <w:pPr>
        <w:pStyle w:val="Text1"/>
        <w:ind w:left="0"/>
        <w:rPr>
          <w:noProof/>
        </w:rPr>
      </w:pPr>
      <w:bookmarkStart w:id="294" w:name="_Toc498514178"/>
      <w:r>
        <w:rPr>
          <w:noProof/>
        </w:rPr>
        <w:t xml:space="preserve">Potrebno je dodatno osebje, saj je treba usposabljanje za inštruktorje iz držav članic pripraviti posebej ob upoštevanju uporabe sestavnih delov interoperabilnosti v operativnih okoliščinah. </w:t>
      </w:r>
    </w:p>
    <w:p>
      <w:pPr>
        <w:pStyle w:val="Text1"/>
        <w:ind w:left="0"/>
        <w:rPr>
          <w:noProof/>
        </w:rPr>
      </w:pPr>
      <w:r>
        <w:rPr>
          <w:noProof/>
        </w:rPr>
        <w:t xml:space="preserve">– Priprava učnega načrta in modulov usposabljanja bi se morala začeti vsaj 8 mesecev pred začetkom delovanja sistema. V prvih dveh letih po začetku delovanja je usposabljanje najintenzivnejše. Vendar pa ga je po izkušnjah s schengenskim informacijskim sistemom treba ohraniti dlje, da se zagotovi dosledno izvajanje. </w:t>
      </w:r>
    </w:p>
    <w:p>
      <w:pPr>
        <w:pStyle w:val="Text1"/>
        <w:ind w:left="0"/>
        <w:rPr>
          <w:noProof/>
        </w:rPr>
      </w:pPr>
      <w:r>
        <w:rPr>
          <w:noProof/>
        </w:rPr>
        <w:t>– Dodatno osebje je potrebno za pripravo, usklajevanje in izvajanje učnega načrta, tečajev z organiziranim bivanjem in spletnega tečaja. Ti tečaji se lahko izvajajo le poleg obstoječih usposabljanj iz kataloga CEPOL-a, zato je potrebno dodatno osebje.</w:t>
      </w:r>
    </w:p>
    <w:p>
      <w:pPr>
        <w:pStyle w:val="Text1"/>
        <w:ind w:left="0"/>
        <w:rPr>
          <w:noProof/>
        </w:rPr>
      </w:pPr>
      <w:r>
        <w:rPr>
          <w:noProof/>
        </w:rPr>
        <w:t xml:space="preserve">– Načrtuje se en vodja tečajev kot začasni uslužbenec prek celotnega obdobja razvoja in vzdrževanja, ki ga bo v najintenzivnejšem obdobju organizacije usposabljanja podpiral en pogodbeni uslužbenec. </w:t>
      </w:r>
    </w:p>
    <w:p>
      <w:pPr>
        <w:pStyle w:val="Text1"/>
        <w:rPr>
          <w:noProof/>
        </w:rPr>
      </w:pPr>
    </w:p>
    <w:p>
      <w:pPr>
        <w:pStyle w:val="ManualHeading4"/>
        <w:rPr>
          <w:noProof/>
        </w:rPr>
      </w:pPr>
      <w:r>
        <w:t>3.2.3.4.</w:t>
      </w:r>
      <w:r>
        <w:tab/>
      </w:r>
      <w:r>
        <w:rPr>
          <w:noProof/>
        </w:rPr>
        <w:t>Povzetek za agencijo eu-LISA</w:t>
      </w:r>
    </w:p>
    <w:p>
      <w:pPr>
        <w:rPr>
          <w:noProof/>
        </w:rPr>
      </w:pPr>
      <w:r>
        <w:rPr>
          <w:noProof/>
        </w:rPr>
        <w:sym w:font="Wingdings" w:char="F0A8"/>
      </w:r>
      <w:r>
        <w:rPr>
          <w:noProof/>
        </w:rPr>
        <w:tab/>
        <w:t xml:space="preserve">Za predlog/pobudo niso potrebne odobritve za upravne zadeve. </w:t>
      </w:r>
    </w:p>
    <w:p>
      <w:pPr>
        <w:rPr>
          <w:noProof/>
        </w:rPr>
      </w:pPr>
      <w:r>
        <w:rPr>
          <w:noProof/>
        </w:rPr>
        <w:sym w:font="Wingdings" w:char="F078"/>
      </w:r>
      <w:r>
        <w:rPr>
          <w:noProof/>
        </w:rPr>
        <w:tab/>
        <w:t>Za predlog/pobudo so potrebne odobritve za upravne zadeve, kot je pojasnjeno v nadaljevanju:</w:t>
      </w:r>
    </w:p>
    <w:p>
      <w:pPr>
        <w:rPr>
          <w:noProof/>
          <w:sz w:val="20"/>
        </w:rPr>
      </w:pPr>
      <w:r>
        <w:rPr>
          <w:noProof/>
          <w:sz w:val="20"/>
        </w:rPr>
        <w:t>v mio. EUR (na tri decimalna mesta natančno)</w:t>
      </w:r>
    </w:p>
    <w:tbl>
      <w:tblPr>
        <w:tblW w:w="1036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456"/>
        <w:gridCol w:w="752"/>
        <w:gridCol w:w="720"/>
        <w:gridCol w:w="720"/>
        <w:gridCol w:w="720"/>
        <w:gridCol w:w="720"/>
        <w:gridCol w:w="720"/>
        <w:gridCol w:w="720"/>
        <w:gridCol w:w="720"/>
        <w:gridCol w:w="840"/>
        <w:gridCol w:w="2272"/>
      </w:tblGrid>
      <w:tr>
        <w:trPr>
          <w:trHeight w:val="574"/>
        </w:trPr>
        <w:tc>
          <w:tcPr>
            <w:tcW w:w="1456" w:type="dxa"/>
          </w:tcPr>
          <w:p>
            <w:pPr>
              <w:spacing w:before="60" w:after="60"/>
              <w:rPr>
                <w:noProof/>
                <w:sz w:val="20"/>
              </w:rPr>
            </w:pPr>
          </w:p>
        </w:tc>
        <w:tc>
          <w:tcPr>
            <w:tcW w:w="752" w:type="dxa"/>
            <w:vAlign w:val="center"/>
          </w:tcPr>
          <w:p>
            <w:pPr>
              <w:spacing w:before="60" w:after="60"/>
              <w:jc w:val="center"/>
              <w:rPr>
                <w:noProof/>
                <w:sz w:val="20"/>
              </w:rPr>
            </w:pPr>
            <w:r>
              <w:rPr>
                <w:noProof/>
                <w:sz w:val="20"/>
              </w:rPr>
              <w:t>Leto</w:t>
            </w:r>
            <w:r>
              <w:rPr>
                <w:noProof/>
                <w:sz w:val="22"/>
              </w:rPr>
              <w:br/>
            </w:r>
            <w:r>
              <w:rPr>
                <w:b/>
                <w:noProof/>
                <w:sz w:val="20"/>
              </w:rPr>
              <w:t>2019</w:t>
            </w:r>
          </w:p>
        </w:tc>
        <w:tc>
          <w:tcPr>
            <w:tcW w:w="720" w:type="dxa"/>
            <w:vAlign w:val="center"/>
          </w:tcPr>
          <w:p>
            <w:pPr>
              <w:spacing w:before="60" w:after="60"/>
              <w:jc w:val="center"/>
              <w:rPr>
                <w:noProof/>
                <w:sz w:val="20"/>
              </w:rPr>
            </w:pPr>
            <w:r>
              <w:rPr>
                <w:noProof/>
                <w:sz w:val="20"/>
              </w:rPr>
              <w:t>Leto</w:t>
            </w:r>
            <w:r>
              <w:rPr>
                <w:noProof/>
                <w:sz w:val="22"/>
              </w:rPr>
              <w:br/>
            </w:r>
            <w:r>
              <w:rPr>
                <w:b/>
                <w:noProof/>
                <w:sz w:val="20"/>
              </w:rPr>
              <w:t>2020</w:t>
            </w:r>
          </w:p>
        </w:tc>
        <w:tc>
          <w:tcPr>
            <w:tcW w:w="720" w:type="dxa"/>
            <w:vAlign w:val="center"/>
          </w:tcPr>
          <w:p>
            <w:pPr>
              <w:spacing w:before="60" w:after="60"/>
              <w:jc w:val="center"/>
              <w:rPr>
                <w:noProof/>
                <w:sz w:val="20"/>
              </w:rPr>
            </w:pPr>
            <w:r>
              <w:rPr>
                <w:noProof/>
                <w:sz w:val="20"/>
              </w:rPr>
              <w:t>Leto</w:t>
            </w:r>
            <w:r>
              <w:rPr>
                <w:noProof/>
                <w:sz w:val="22"/>
              </w:rPr>
              <w:br/>
            </w:r>
            <w:r>
              <w:rPr>
                <w:b/>
                <w:noProof/>
                <w:sz w:val="20"/>
              </w:rPr>
              <w:t>2021</w:t>
            </w:r>
          </w:p>
        </w:tc>
        <w:tc>
          <w:tcPr>
            <w:tcW w:w="720" w:type="dxa"/>
            <w:vAlign w:val="center"/>
          </w:tcPr>
          <w:p>
            <w:pPr>
              <w:spacing w:before="60" w:after="60"/>
              <w:jc w:val="center"/>
              <w:rPr>
                <w:noProof/>
                <w:sz w:val="20"/>
              </w:rPr>
            </w:pPr>
            <w:r>
              <w:rPr>
                <w:noProof/>
                <w:sz w:val="20"/>
              </w:rPr>
              <w:t>Leto</w:t>
            </w:r>
            <w:r>
              <w:rPr>
                <w:noProof/>
                <w:sz w:val="22"/>
              </w:rPr>
              <w:br/>
            </w:r>
            <w:r>
              <w:rPr>
                <w:b/>
                <w:noProof/>
                <w:sz w:val="20"/>
              </w:rPr>
              <w:t>2022</w:t>
            </w:r>
          </w:p>
        </w:tc>
        <w:tc>
          <w:tcPr>
            <w:tcW w:w="720" w:type="dxa"/>
            <w:vAlign w:val="center"/>
          </w:tcPr>
          <w:p>
            <w:pPr>
              <w:jc w:val="center"/>
              <w:rPr>
                <w:b/>
                <w:noProof/>
                <w:sz w:val="20"/>
              </w:rPr>
            </w:pPr>
            <w:r>
              <w:rPr>
                <w:noProof/>
                <w:sz w:val="20"/>
              </w:rPr>
              <w:t>Leto</w:t>
            </w:r>
            <w:r>
              <w:rPr>
                <w:noProof/>
                <w:sz w:val="22"/>
              </w:rPr>
              <w:br/>
            </w:r>
            <w:r>
              <w:rPr>
                <w:b/>
                <w:noProof/>
                <w:sz w:val="20"/>
              </w:rPr>
              <w:t>2023</w:t>
            </w:r>
          </w:p>
        </w:tc>
        <w:tc>
          <w:tcPr>
            <w:tcW w:w="720" w:type="dxa"/>
            <w:vAlign w:val="center"/>
          </w:tcPr>
          <w:p>
            <w:pPr>
              <w:jc w:val="center"/>
              <w:rPr>
                <w:b/>
                <w:noProof/>
                <w:sz w:val="20"/>
              </w:rPr>
            </w:pPr>
            <w:r>
              <w:rPr>
                <w:noProof/>
                <w:sz w:val="20"/>
              </w:rPr>
              <w:t>Leto</w:t>
            </w:r>
            <w:r>
              <w:rPr>
                <w:noProof/>
                <w:sz w:val="22"/>
              </w:rPr>
              <w:br/>
            </w:r>
            <w:r>
              <w:rPr>
                <w:b/>
                <w:noProof/>
                <w:sz w:val="20"/>
              </w:rPr>
              <w:t>2024</w:t>
            </w:r>
          </w:p>
        </w:tc>
        <w:tc>
          <w:tcPr>
            <w:tcW w:w="720" w:type="dxa"/>
            <w:vAlign w:val="center"/>
          </w:tcPr>
          <w:p>
            <w:pPr>
              <w:jc w:val="center"/>
              <w:rPr>
                <w:b/>
                <w:noProof/>
                <w:sz w:val="20"/>
              </w:rPr>
            </w:pPr>
            <w:r>
              <w:rPr>
                <w:noProof/>
                <w:sz w:val="20"/>
              </w:rPr>
              <w:t>Leto</w:t>
            </w:r>
            <w:r>
              <w:rPr>
                <w:noProof/>
                <w:sz w:val="22"/>
              </w:rPr>
              <w:br/>
            </w:r>
            <w:r>
              <w:rPr>
                <w:b/>
                <w:noProof/>
                <w:sz w:val="20"/>
              </w:rPr>
              <w:t>2025</w:t>
            </w:r>
          </w:p>
        </w:tc>
        <w:tc>
          <w:tcPr>
            <w:tcW w:w="720" w:type="dxa"/>
            <w:vAlign w:val="center"/>
          </w:tcPr>
          <w:p>
            <w:pPr>
              <w:spacing w:before="60" w:after="60"/>
              <w:jc w:val="center"/>
              <w:rPr>
                <w:b/>
                <w:noProof/>
                <w:sz w:val="20"/>
              </w:rPr>
            </w:pPr>
            <w:r>
              <w:rPr>
                <w:noProof/>
                <w:sz w:val="20"/>
              </w:rPr>
              <w:t>Leto</w:t>
            </w:r>
            <w:r>
              <w:rPr>
                <w:noProof/>
                <w:sz w:val="22"/>
              </w:rPr>
              <w:br/>
            </w:r>
            <w:r>
              <w:rPr>
                <w:b/>
                <w:noProof/>
                <w:sz w:val="20"/>
              </w:rPr>
              <w:t>2026</w:t>
            </w:r>
          </w:p>
        </w:tc>
        <w:tc>
          <w:tcPr>
            <w:tcW w:w="840" w:type="dxa"/>
            <w:vAlign w:val="center"/>
          </w:tcPr>
          <w:p>
            <w:pPr>
              <w:spacing w:before="60" w:after="60"/>
              <w:jc w:val="center"/>
              <w:rPr>
                <w:b/>
                <w:noProof/>
                <w:sz w:val="20"/>
              </w:rPr>
            </w:pPr>
            <w:r>
              <w:rPr>
                <w:noProof/>
                <w:sz w:val="20"/>
              </w:rPr>
              <w:t>Leto</w:t>
            </w:r>
            <w:r>
              <w:rPr>
                <w:noProof/>
                <w:sz w:val="22"/>
              </w:rPr>
              <w:br/>
            </w:r>
            <w:r>
              <w:rPr>
                <w:b/>
                <w:noProof/>
                <w:sz w:val="20"/>
              </w:rPr>
              <w:t>2027</w:t>
            </w:r>
          </w:p>
        </w:tc>
        <w:tc>
          <w:tcPr>
            <w:tcW w:w="2272" w:type="dxa"/>
            <w:vAlign w:val="center"/>
          </w:tcPr>
          <w:p>
            <w:pPr>
              <w:spacing w:before="60" w:after="60"/>
              <w:jc w:val="center"/>
              <w:rPr>
                <w:b/>
                <w:noProof/>
                <w:sz w:val="20"/>
              </w:rPr>
            </w:pPr>
            <w:r>
              <w:rPr>
                <w:b/>
                <w:noProof/>
                <w:sz w:val="20"/>
              </w:rPr>
              <w:t>SKUPAJ</w:t>
            </w:r>
          </w:p>
        </w:tc>
      </w:tr>
    </w:tbl>
    <w:p>
      <w:pPr>
        <w:rPr>
          <w:noProof/>
          <w:sz w:val="20"/>
        </w:rPr>
      </w:pPr>
    </w:p>
    <w:tbl>
      <w:tblPr>
        <w:tblW w:w="10327"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451"/>
        <w:gridCol w:w="759"/>
        <w:gridCol w:w="720"/>
        <w:gridCol w:w="720"/>
        <w:gridCol w:w="720"/>
        <w:gridCol w:w="720"/>
        <w:gridCol w:w="720"/>
        <w:gridCol w:w="720"/>
        <w:gridCol w:w="720"/>
        <w:gridCol w:w="840"/>
        <w:gridCol w:w="2237"/>
      </w:tblGrid>
      <w:tr>
        <w:trPr>
          <w:trHeight w:val="587"/>
        </w:trPr>
        <w:tc>
          <w:tcPr>
            <w:tcW w:w="1451" w:type="dxa"/>
            <w:shd w:val="clear" w:color="auto" w:fill="CCCCCC"/>
            <w:vAlign w:val="center"/>
          </w:tcPr>
          <w:p>
            <w:pPr>
              <w:spacing w:before="60" w:after="60"/>
              <w:jc w:val="center"/>
              <w:rPr>
                <w:noProof/>
              </w:rPr>
            </w:pPr>
            <w:r>
              <w:rPr>
                <w:noProof/>
                <w:sz w:val="18"/>
              </w:rPr>
              <w:t>Uradniki (razredi AD)</w:t>
            </w:r>
          </w:p>
        </w:tc>
        <w:tc>
          <w:tcPr>
            <w:tcW w:w="759"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b/>
                <w:noProof/>
                <w:sz w:val="20"/>
              </w:rPr>
            </w:pPr>
          </w:p>
        </w:tc>
        <w:tc>
          <w:tcPr>
            <w:tcW w:w="720" w:type="dxa"/>
          </w:tcPr>
          <w:p>
            <w:pPr>
              <w:spacing w:before="60" w:after="60"/>
              <w:jc w:val="right"/>
              <w:rPr>
                <w:b/>
                <w:noProof/>
                <w:sz w:val="20"/>
              </w:rPr>
            </w:pPr>
          </w:p>
        </w:tc>
        <w:tc>
          <w:tcPr>
            <w:tcW w:w="840" w:type="dxa"/>
          </w:tcPr>
          <w:p>
            <w:pPr>
              <w:spacing w:before="60" w:after="60"/>
              <w:jc w:val="right"/>
              <w:rPr>
                <w:b/>
                <w:noProof/>
                <w:sz w:val="20"/>
              </w:rPr>
            </w:pPr>
          </w:p>
        </w:tc>
        <w:tc>
          <w:tcPr>
            <w:tcW w:w="2237" w:type="dxa"/>
            <w:vAlign w:val="center"/>
          </w:tcPr>
          <w:p>
            <w:pPr>
              <w:spacing w:before="60" w:after="60"/>
              <w:jc w:val="right"/>
              <w:rPr>
                <w:b/>
                <w:noProof/>
                <w:sz w:val="20"/>
              </w:rPr>
            </w:pPr>
          </w:p>
        </w:tc>
      </w:tr>
      <w:tr>
        <w:trPr>
          <w:trHeight w:val="587"/>
        </w:trPr>
        <w:tc>
          <w:tcPr>
            <w:tcW w:w="1451" w:type="dxa"/>
            <w:vAlign w:val="center"/>
          </w:tcPr>
          <w:p>
            <w:pPr>
              <w:spacing w:before="60" w:after="60"/>
              <w:ind w:left="72"/>
              <w:rPr>
                <w:noProof/>
              </w:rPr>
            </w:pPr>
            <w:r>
              <w:rPr>
                <w:noProof/>
                <w:sz w:val="20"/>
              </w:rPr>
              <w:t>Uradniki (razredi AST)</w:t>
            </w:r>
          </w:p>
        </w:tc>
        <w:tc>
          <w:tcPr>
            <w:tcW w:w="759"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b/>
                <w:noProof/>
                <w:sz w:val="20"/>
              </w:rPr>
            </w:pPr>
          </w:p>
        </w:tc>
        <w:tc>
          <w:tcPr>
            <w:tcW w:w="720" w:type="dxa"/>
          </w:tcPr>
          <w:p>
            <w:pPr>
              <w:spacing w:before="60" w:after="60"/>
              <w:jc w:val="right"/>
              <w:rPr>
                <w:b/>
                <w:noProof/>
                <w:sz w:val="20"/>
              </w:rPr>
            </w:pPr>
          </w:p>
        </w:tc>
        <w:tc>
          <w:tcPr>
            <w:tcW w:w="840" w:type="dxa"/>
          </w:tcPr>
          <w:p>
            <w:pPr>
              <w:spacing w:before="60" w:after="60"/>
              <w:jc w:val="right"/>
              <w:rPr>
                <w:b/>
                <w:noProof/>
                <w:sz w:val="20"/>
              </w:rPr>
            </w:pPr>
          </w:p>
        </w:tc>
        <w:tc>
          <w:tcPr>
            <w:tcW w:w="2237" w:type="dxa"/>
            <w:vAlign w:val="center"/>
          </w:tcPr>
          <w:p>
            <w:pPr>
              <w:spacing w:before="60" w:after="60"/>
              <w:jc w:val="right"/>
              <w:rPr>
                <w:b/>
                <w:noProof/>
                <w:sz w:val="20"/>
              </w:rPr>
            </w:pPr>
          </w:p>
        </w:tc>
      </w:tr>
      <w:tr>
        <w:trPr>
          <w:trHeight w:val="587"/>
        </w:trPr>
        <w:tc>
          <w:tcPr>
            <w:tcW w:w="1451" w:type="dxa"/>
            <w:vAlign w:val="center"/>
          </w:tcPr>
          <w:p>
            <w:pPr>
              <w:spacing w:before="60" w:after="60"/>
              <w:ind w:left="72"/>
              <w:rPr>
                <w:noProof/>
              </w:rPr>
            </w:pPr>
            <w:r>
              <w:rPr>
                <w:noProof/>
                <w:sz w:val="20"/>
              </w:rPr>
              <w:t>Pogodbeno zaposleni uslužbenci</w:t>
            </w:r>
          </w:p>
        </w:tc>
        <w:tc>
          <w:tcPr>
            <w:tcW w:w="759" w:type="dxa"/>
          </w:tcPr>
          <w:p>
            <w:pPr>
              <w:jc w:val="right"/>
              <w:rPr>
                <w:noProof/>
                <w:sz w:val="22"/>
              </w:rPr>
            </w:pPr>
            <w:r>
              <w:rPr>
                <w:noProof/>
                <w:sz w:val="22"/>
              </w:rPr>
              <w:t>0,875</w:t>
            </w:r>
          </w:p>
        </w:tc>
        <w:tc>
          <w:tcPr>
            <w:tcW w:w="720" w:type="dxa"/>
          </w:tcPr>
          <w:p>
            <w:pPr>
              <w:jc w:val="right"/>
              <w:rPr>
                <w:noProof/>
                <w:sz w:val="22"/>
              </w:rPr>
            </w:pPr>
            <w:r>
              <w:rPr>
                <w:noProof/>
                <w:sz w:val="22"/>
              </w:rPr>
              <w:t>1,400</w:t>
            </w:r>
          </w:p>
        </w:tc>
        <w:tc>
          <w:tcPr>
            <w:tcW w:w="720" w:type="dxa"/>
          </w:tcPr>
          <w:p>
            <w:pPr>
              <w:jc w:val="right"/>
              <w:rPr>
                <w:noProof/>
                <w:sz w:val="22"/>
              </w:rPr>
            </w:pPr>
            <w:r>
              <w:rPr>
                <w:noProof/>
                <w:sz w:val="22"/>
              </w:rPr>
              <w:t>1,855</w:t>
            </w:r>
          </w:p>
        </w:tc>
        <w:tc>
          <w:tcPr>
            <w:tcW w:w="720" w:type="dxa"/>
          </w:tcPr>
          <w:p>
            <w:pPr>
              <w:jc w:val="right"/>
              <w:rPr>
                <w:noProof/>
                <w:sz w:val="22"/>
              </w:rPr>
            </w:pPr>
            <w:r>
              <w:rPr>
                <w:noProof/>
                <w:sz w:val="22"/>
              </w:rPr>
              <w:t>2,555</w:t>
            </w:r>
          </w:p>
        </w:tc>
        <w:tc>
          <w:tcPr>
            <w:tcW w:w="720" w:type="dxa"/>
          </w:tcPr>
          <w:p>
            <w:pPr>
              <w:jc w:val="right"/>
              <w:rPr>
                <w:noProof/>
                <w:sz w:val="22"/>
              </w:rPr>
            </w:pPr>
            <w:r>
              <w:rPr>
                <w:noProof/>
                <w:sz w:val="22"/>
              </w:rPr>
              <w:t>2,415</w:t>
            </w:r>
          </w:p>
        </w:tc>
        <w:tc>
          <w:tcPr>
            <w:tcW w:w="720" w:type="dxa"/>
          </w:tcPr>
          <w:p>
            <w:pPr>
              <w:jc w:val="right"/>
              <w:rPr>
                <w:noProof/>
                <w:sz w:val="22"/>
              </w:rPr>
            </w:pPr>
            <w:r>
              <w:rPr>
                <w:noProof/>
                <w:sz w:val="22"/>
              </w:rPr>
              <w:t>2,170</w:t>
            </w:r>
          </w:p>
        </w:tc>
        <w:tc>
          <w:tcPr>
            <w:tcW w:w="720" w:type="dxa"/>
          </w:tcPr>
          <w:p>
            <w:pPr>
              <w:jc w:val="right"/>
              <w:rPr>
                <w:noProof/>
                <w:sz w:val="22"/>
              </w:rPr>
            </w:pPr>
            <w:r>
              <w:rPr>
                <w:noProof/>
                <w:sz w:val="22"/>
              </w:rPr>
              <w:t>2,100</w:t>
            </w:r>
          </w:p>
        </w:tc>
        <w:tc>
          <w:tcPr>
            <w:tcW w:w="720" w:type="dxa"/>
          </w:tcPr>
          <w:p>
            <w:pPr>
              <w:jc w:val="right"/>
              <w:rPr>
                <w:noProof/>
                <w:sz w:val="22"/>
              </w:rPr>
            </w:pPr>
            <w:r>
              <w:rPr>
                <w:noProof/>
                <w:sz w:val="22"/>
              </w:rPr>
              <w:t>2,100</w:t>
            </w:r>
          </w:p>
        </w:tc>
        <w:tc>
          <w:tcPr>
            <w:tcW w:w="840" w:type="dxa"/>
          </w:tcPr>
          <w:p>
            <w:pPr>
              <w:jc w:val="right"/>
              <w:rPr>
                <w:noProof/>
                <w:sz w:val="22"/>
              </w:rPr>
            </w:pPr>
            <w:r>
              <w:rPr>
                <w:noProof/>
                <w:sz w:val="22"/>
              </w:rPr>
              <w:t>2,100</w:t>
            </w:r>
          </w:p>
        </w:tc>
        <w:tc>
          <w:tcPr>
            <w:tcW w:w="2237" w:type="dxa"/>
          </w:tcPr>
          <w:p>
            <w:pPr>
              <w:jc w:val="right"/>
              <w:rPr>
                <w:noProof/>
                <w:sz w:val="22"/>
              </w:rPr>
            </w:pPr>
            <w:r>
              <w:rPr>
                <w:noProof/>
                <w:sz w:val="22"/>
              </w:rPr>
              <w:t>17,570</w:t>
            </w:r>
          </w:p>
        </w:tc>
      </w:tr>
      <w:tr>
        <w:trPr>
          <w:trHeight w:val="587"/>
        </w:trPr>
        <w:tc>
          <w:tcPr>
            <w:tcW w:w="1451" w:type="dxa"/>
            <w:shd w:val="clear" w:color="auto" w:fill="CCCCCC"/>
            <w:vAlign w:val="center"/>
          </w:tcPr>
          <w:p>
            <w:pPr>
              <w:spacing w:before="60" w:after="60"/>
              <w:jc w:val="center"/>
              <w:rPr>
                <w:noProof/>
              </w:rPr>
            </w:pPr>
            <w:r>
              <w:rPr>
                <w:noProof/>
                <w:sz w:val="18"/>
              </w:rPr>
              <w:t xml:space="preserve">Začasni uslužbenci </w:t>
            </w:r>
          </w:p>
        </w:tc>
        <w:tc>
          <w:tcPr>
            <w:tcW w:w="759" w:type="dxa"/>
          </w:tcPr>
          <w:p>
            <w:pPr>
              <w:jc w:val="right"/>
              <w:rPr>
                <w:noProof/>
                <w:sz w:val="22"/>
              </w:rPr>
            </w:pPr>
            <w:r>
              <w:rPr>
                <w:noProof/>
                <w:sz w:val="22"/>
              </w:rPr>
              <w:t>2,001</w:t>
            </w:r>
          </w:p>
        </w:tc>
        <w:tc>
          <w:tcPr>
            <w:tcW w:w="720" w:type="dxa"/>
          </w:tcPr>
          <w:p>
            <w:pPr>
              <w:jc w:val="right"/>
              <w:rPr>
                <w:noProof/>
                <w:sz w:val="22"/>
              </w:rPr>
            </w:pPr>
            <w:r>
              <w:rPr>
                <w:noProof/>
                <w:sz w:val="22"/>
              </w:rPr>
              <w:t>3,450</w:t>
            </w:r>
          </w:p>
        </w:tc>
        <w:tc>
          <w:tcPr>
            <w:tcW w:w="720" w:type="dxa"/>
          </w:tcPr>
          <w:p>
            <w:pPr>
              <w:jc w:val="right"/>
              <w:rPr>
                <w:noProof/>
                <w:sz w:val="22"/>
              </w:rPr>
            </w:pPr>
            <w:r>
              <w:rPr>
                <w:noProof/>
                <w:sz w:val="22"/>
              </w:rPr>
              <w:t>4,347</w:t>
            </w:r>
          </w:p>
        </w:tc>
        <w:tc>
          <w:tcPr>
            <w:tcW w:w="720" w:type="dxa"/>
          </w:tcPr>
          <w:p>
            <w:pPr>
              <w:jc w:val="right"/>
              <w:rPr>
                <w:noProof/>
                <w:sz w:val="22"/>
              </w:rPr>
            </w:pPr>
            <w:r>
              <w:rPr>
                <w:noProof/>
                <w:sz w:val="22"/>
              </w:rPr>
              <w:t>4,347</w:t>
            </w:r>
          </w:p>
        </w:tc>
        <w:tc>
          <w:tcPr>
            <w:tcW w:w="720" w:type="dxa"/>
          </w:tcPr>
          <w:p>
            <w:pPr>
              <w:jc w:val="right"/>
              <w:rPr>
                <w:noProof/>
                <w:sz w:val="22"/>
              </w:rPr>
            </w:pPr>
            <w:r>
              <w:rPr>
                <w:noProof/>
                <w:sz w:val="22"/>
              </w:rPr>
              <w:t>4,209</w:t>
            </w:r>
          </w:p>
        </w:tc>
        <w:tc>
          <w:tcPr>
            <w:tcW w:w="720" w:type="dxa"/>
          </w:tcPr>
          <w:p>
            <w:pPr>
              <w:jc w:val="right"/>
              <w:rPr>
                <w:noProof/>
                <w:sz w:val="22"/>
              </w:rPr>
            </w:pPr>
            <w:r>
              <w:rPr>
                <w:noProof/>
                <w:sz w:val="22"/>
              </w:rPr>
              <w:t>3,312</w:t>
            </w:r>
          </w:p>
        </w:tc>
        <w:tc>
          <w:tcPr>
            <w:tcW w:w="720" w:type="dxa"/>
          </w:tcPr>
          <w:p>
            <w:pPr>
              <w:jc w:val="right"/>
              <w:rPr>
                <w:noProof/>
                <w:sz w:val="22"/>
              </w:rPr>
            </w:pPr>
            <w:r>
              <w:rPr>
                <w:noProof/>
                <w:sz w:val="22"/>
              </w:rPr>
              <w:t>3,036</w:t>
            </w:r>
          </w:p>
        </w:tc>
        <w:tc>
          <w:tcPr>
            <w:tcW w:w="720" w:type="dxa"/>
          </w:tcPr>
          <w:p>
            <w:pPr>
              <w:jc w:val="right"/>
              <w:rPr>
                <w:noProof/>
                <w:sz w:val="22"/>
              </w:rPr>
            </w:pPr>
            <w:r>
              <w:rPr>
                <w:noProof/>
                <w:sz w:val="22"/>
              </w:rPr>
              <w:t>3,036</w:t>
            </w:r>
          </w:p>
        </w:tc>
        <w:tc>
          <w:tcPr>
            <w:tcW w:w="840" w:type="dxa"/>
          </w:tcPr>
          <w:p>
            <w:pPr>
              <w:jc w:val="right"/>
              <w:rPr>
                <w:noProof/>
                <w:sz w:val="22"/>
              </w:rPr>
            </w:pPr>
            <w:r>
              <w:rPr>
                <w:noProof/>
                <w:sz w:val="22"/>
              </w:rPr>
              <w:t>3,036</w:t>
            </w:r>
          </w:p>
        </w:tc>
        <w:tc>
          <w:tcPr>
            <w:tcW w:w="2237" w:type="dxa"/>
          </w:tcPr>
          <w:p>
            <w:pPr>
              <w:jc w:val="right"/>
              <w:rPr>
                <w:noProof/>
                <w:sz w:val="22"/>
              </w:rPr>
            </w:pPr>
            <w:r>
              <w:rPr>
                <w:noProof/>
                <w:sz w:val="22"/>
              </w:rPr>
              <w:t>30,774</w:t>
            </w:r>
          </w:p>
        </w:tc>
      </w:tr>
      <w:tr>
        <w:trPr>
          <w:trHeight w:val="587"/>
        </w:trPr>
        <w:tc>
          <w:tcPr>
            <w:tcW w:w="1451" w:type="dxa"/>
            <w:shd w:val="clear" w:color="auto" w:fill="CCCCCC"/>
            <w:vAlign w:val="center"/>
          </w:tcPr>
          <w:p>
            <w:pPr>
              <w:spacing w:before="60" w:after="60"/>
              <w:jc w:val="center"/>
              <w:rPr>
                <w:noProof/>
              </w:rPr>
            </w:pPr>
            <w:r>
              <w:rPr>
                <w:noProof/>
                <w:sz w:val="18"/>
              </w:rPr>
              <w:t>Napoteni nacionalni strokovnjaki</w:t>
            </w:r>
          </w:p>
        </w:tc>
        <w:tc>
          <w:tcPr>
            <w:tcW w:w="759"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noProof/>
                <w:sz w:val="20"/>
              </w:rPr>
            </w:pPr>
          </w:p>
        </w:tc>
        <w:tc>
          <w:tcPr>
            <w:tcW w:w="720" w:type="dxa"/>
            <w:vAlign w:val="center"/>
          </w:tcPr>
          <w:p>
            <w:pPr>
              <w:spacing w:before="60" w:after="60"/>
              <w:jc w:val="right"/>
              <w:rPr>
                <w:b/>
                <w:noProof/>
                <w:sz w:val="20"/>
              </w:rPr>
            </w:pPr>
          </w:p>
        </w:tc>
        <w:tc>
          <w:tcPr>
            <w:tcW w:w="720" w:type="dxa"/>
          </w:tcPr>
          <w:p>
            <w:pPr>
              <w:spacing w:before="60" w:after="60"/>
              <w:jc w:val="right"/>
              <w:rPr>
                <w:b/>
                <w:noProof/>
                <w:sz w:val="20"/>
              </w:rPr>
            </w:pPr>
          </w:p>
        </w:tc>
        <w:tc>
          <w:tcPr>
            <w:tcW w:w="840" w:type="dxa"/>
          </w:tcPr>
          <w:p>
            <w:pPr>
              <w:spacing w:before="60" w:after="60"/>
              <w:jc w:val="right"/>
              <w:rPr>
                <w:b/>
                <w:noProof/>
                <w:sz w:val="20"/>
              </w:rPr>
            </w:pPr>
          </w:p>
        </w:tc>
        <w:tc>
          <w:tcPr>
            <w:tcW w:w="2237" w:type="dxa"/>
            <w:vAlign w:val="center"/>
          </w:tcPr>
          <w:p>
            <w:pPr>
              <w:spacing w:before="60" w:after="60"/>
              <w:jc w:val="right"/>
              <w:rPr>
                <w:b/>
                <w:noProof/>
                <w:sz w:val="20"/>
              </w:rPr>
            </w:pPr>
          </w:p>
        </w:tc>
      </w:tr>
    </w:tbl>
    <w:p>
      <w:pPr>
        <w:rPr>
          <w:noProof/>
          <w:sz w:val="20"/>
        </w:rPr>
      </w:pPr>
    </w:p>
    <w:tbl>
      <w:tblPr>
        <w:tblW w:w="10301" w:type="dxa"/>
        <w:tblInd w:w="-612" w:type="dxa"/>
        <w:tblLayout w:type="fixed"/>
        <w:tblLook w:val="01E0" w:firstRow="1" w:lastRow="1" w:firstColumn="1" w:lastColumn="1" w:noHBand="0" w:noVBand="0"/>
      </w:tblPr>
      <w:tblGrid>
        <w:gridCol w:w="1448"/>
        <w:gridCol w:w="764"/>
        <w:gridCol w:w="720"/>
        <w:gridCol w:w="720"/>
        <w:gridCol w:w="720"/>
        <w:gridCol w:w="720"/>
        <w:gridCol w:w="720"/>
        <w:gridCol w:w="720"/>
        <w:gridCol w:w="720"/>
        <w:gridCol w:w="840"/>
        <w:gridCol w:w="2209"/>
      </w:tblGrid>
      <w:tr>
        <w:trPr>
          <w:trHeight w:val="575"/>
        </w:trPr>
        <w:tc>
          <w:tcPr>
            <w:tcW w:w="1448" w:type="dxa"/>
            <w:tcBorders>
              <w:top w:val="single" w:sz="12" w:space="0" w:color="auto"/>
              <w:left w:val="single" w:sz="12" w:space="0" w:color="auto"/>
              <w:bottom w:val="single" w:sz="12" w:space="0" w:color="auto"/>
              <w:right w:val="single" w:sz="2" w:space="0" w:color="auto"/>
            </w:tcBorders>
            <w:vAlign w:val="center"/>
          </w:tcPr>
          <w:p>
            <w:pPr>
              <w:spacing w:before="60" w:after="60"/>
              <w:jc w:val="center"/>
              <w:rPr>
                <w:noProof/>
                <w:sz w:val="20"/>
              </w:rPr>
            </w:pPr>
            <w:r>
              <w:rPr>
                <w:b/>
                <w:noProof/>
                <w:sz w:val="20"/>
              </w:rPr>
              <w:t>SKUPAJ</w:t>
            </w:r>
          </w:p>
        </w:tc>
        <w:tc>
          <w:tcPr>
            <w:tcW w:w="764" w:type="dxa"/>
            <w:tcBorders>
              <w:top w:val="single" w:sz="12" w:space="0" w:color="auto"/>
              <w:left w:val="single" w:sz="2" w:space="0" w:color="auto"/>
              <w:bottom w:val="single" w:sz="12" w:space="0" w:color="auto"/>
              <w:right w:val="single" w:sz="2" w:space="0" w:color="auto"/>
            </w:tcBorders>
          </w:tcPr>
          <w:p>
            <w:pPr>
              <w:jc w:val="right"/>
              <w:rPr>
                <w:b/>
                <w:noProof/>
                <w:sz w:val="22"/>
              </w:rPr>
            </w:pPr>
            <w:r>
              <w:rPr>
                <w:b/>
                <w:noProof/>
                <w:sz w:val="22"/>
              </w:rPr>
              <w:t>2,876</w:t>
            </w:r>
          </w:p>
        </w:tc>
        <w:tc>
          <w:tcPr>
            <w:tcW w:w="720" w:type="dxa"/>
            <w:tcBorders>
              <w:top w:val="single" w:sz="12" w:space="0" w:color="auto"/>
              <w:left w:val="single" w:sz="2" w:space="0" w:color="auto"/>
              <w:bottom w:val="single" w:sz="12" w:space="0" w:color="auto"/>
              <w:right w:val="single" w:sz="2" w:space="0" w:color="auto"/>
            </w:tcBorders>
          </w:tcPr>
          <w:p>
            <w:pPr>
              <w:jc w:val="right"/>
              <w:rPr>
                <w:b/>
                <w:noProof/>
                <w:sz w:val="22"/>
              </w:rPr>
            </w:pPr>
            <w:r>
              <w:rPr>
                <w:b/>
                <w:noProof/>
                <w:sz w:val="22"/>
              </w:rPr>
              <w:t>4,850</w:t>
            </w:r>
          </w:p>
        </w:tc>
        <w:tc>
          <w:tcPr>
            <w:tcW w:w="720" w:type="dxa"/>
            <w:tcBorders>
              <w:top w:val="single" w:sz="12" w:space="0" w:color="auto"/>
              <w:left w:val="single" w:sz="2" w:space="0" w:color="auto"/>
              <w:bottom w:val="single" w:sz="12" w:space="0" w:color="auto"/>
              <w:right w:val="single" w:sz="2" w:space="0" w:color="auto"/>
            </w:tcBorders>
          </w:tcPr>
          <w:p>
            <w:pPr>
              <w:jc w:val="right"/>
              <w:rPr>
                <w:b/>
                <w:noProof/>
                <w:sz w:val="22"/>
              </w:rPr>
            </w:pPr>
            <w:r>
              <w:rPr>
                <w:b/>
                <w:noProof/>
                <w:sz w:val="22"/>
              </w:rPr>
              <w:t>6,202</w:t>
            </w:r>
          </w:p>
        </w:tc>
        <w:tc>
          <w:tcPr>
            <w:tcW w:w="720" w:type="dxa"/>
            <w:tcBorders>
              <w:top w:val="single" w:sz="12" w:space="0" w:color="auto"/>
              <w:left w:val="single" w:sz="2" w:space="0" w:color="auto"/>
              <w:bottom w:val="single" w:sz="12" w:space="0" w:color="auto"/>
              <w:right w:val="single" w:sz="2" w:space="0" w:color="auto"/>
            </w:tcBorders>
          </w:tcPr>
          <w:p>
            <w:pPr>
              <w:jc w:val="right"/>
              <w:rPr>
                <w:b/>
                <w:noProof/>
                <w:sz w:val="22"/>
              </w:rPr>
            </w:pPr>
            <w:r>
              <w:rPr>
                <w:b/>
                <w:noProof/>
                <w:sz w:val="22"/>
              </w:rPr>
              <w:t>6,902</w:t>
            </w:r>
          </w:p>
        </w:tc>
        <w:tc>
          <w:tcPr>
            <w:tcW w:w="720" w:type="dxa"/>
            <w:tcBorders>
              <w:top w:val="single" w:sz="12" w:space="0" w:color="auto"/>
              <w:left w:val="single" w:sz="2" w:space="0" w:color="auto"/>
              <w:bottom w:val="single" w:sz="12" w:space="0" w:color="auto"/>
              <w:right w:val="single" w:sz="2" w:space="0" w:color="auto"/>
            </w:tcBorders>
          </w:tcPr>
          <w:p>
            <w:pPr>
              <w:jc w:val="right"/>
              <w:rPr>
                <w:b/>
                <w:noProof/>
                <w:sz w:val="22"/>
              </w:rPr>
            </w:pPr>
            <w:r>
              <w:rPr>
                <w:b/>
                <w:noProof/>
                <w:sz w:val="22"/>
              </w:rPr>
              <w:t>6,624</w:t>
            </w:r>
          </w:p>
        </w:tc>
        <w:tc>
          <w:tcPr>
            <w:tcW w:w="720" w:type="dxa"/>
            <w:tcBorders>
              <w:top w:val="single" w:sz="12" w:space="0" w:color="auto"/>
              <w:left w:val="single" w:sz="2" w:space="0" w:color="auto"/>
              <w:bottom w:val="single" w:sz="12" w:space="0" w:color="auto"/>
              <w:right w:val="single" w:sz="2" w:space="0" w:color="auto"/>
            </w:tcBorders>
          </w:tcPr>
          <w:p>
            <w:pPr>
              <w:jc w:val="right"/>
              <w:rPr>
                <w:b/>
                <w:noProof/>
                <w:sz w:val="22"/>
              </w:rPr>
            </w:pPr>
            <w:r>
              <w:rPr>
                <w:b/>
                <w:noProof/>
                <w:sz w:val="22"/>
              </w:rPr>
              <w:t>5,482</w:t>
            </w:r>
          </w:p>
        </w:tc>
        <w:tc>
          <w:tcPr>
            <w:tcW w:w="720" w:type="dxa"/>
            <w:tcBorders>
              <w:top w:val="single" w:sz="12" w:space="0" w:color="auto"/>
              <w:left w:val="single" w:sz="2" w:space="0" w:color="auto"/>
              <w:bottom w:val="single" w:sz="12" w:space="0" w:color="auto"/>
              <w:right w:val="single" w:sz="2" w:space="0" w:color="auto"/>
            </w:tcBorders>
          </w:tcPr>
          <w:p>
            <w:pPr>
              <w:jc w:val="right"/>
              <w:rPr>
                <w:b/>
                <w:noProof/>
                <w:sz w:val="22"/>
              </w:rPr>
            </w:pPr>
            <w:r>
              <w:rPr>
                <w:b/>
                <w:noProof/>
                <w:sz w:val="22"/>
              </w:rPr>
              <w:t>5,136</w:t>
            </w:r>
          </w:p>
        </w:tc>
        <w:tc>
          <w:tcPr>
            <w:tcW w:w="720" w:type="dxa"/>
            <w:tcBorders>
              <w:top w:val="single" w:sz="12" w:space="0" w:color="auto"/>
              <w:left w:val="single" w:sz="2" w:space="0" w:color="auto"/>
              <w:bottom w:val="single" w:sz="12" w:space="0" w:color="auto"/>
              <w:right w:val="single" w:sz="2" w:space="0" w:color="auto"/>
            </w:tcBorders>
          </w:tcPr>
          <w:p>
            <w:pPr>
              <w:jc w:val="right"/>
              <w:rPr>
                <w:b/>
                <w:noProof/>
                <w:sz w:val="22"/>
              </w:rPr>
            </w:pPr>
            <w:r>
              <w:rPr>
                <w:b/>
                <w:noProof/>
                <w:sz w:val="22"/>
              </w:rPr>
              <w:t>5,136</w:t>
            </w:r>
          </w:p>
        </w:tc>
        <w:tc>
          <w:tcPr>
            <w:tcW w:w="840" w:type="dxa"/>
            <w:tcBorders>
              <w:top w:val="single" w:sz="12" w:space="0" w:color="auto"/>
              <w:left w:val="single" w:sz="2" w:space="0" w:color="auto"/>
              <w:bottom w:val="single" w:sz="12" w:space="0" w:color="auto"/>
              <w:right w:val="single" w:sz="2" w:space="0" w:color="auto"/>
            </w:tcBorders>
          </w:tcPr>
          <w:p>
            <w:pPr>
              <w:jc w:val="right"/>
              <w:rPr>
                <w:b/>
                <w:noProof/>
                <w:sz w:val="22"/>
              </w:rPr>
            </w:pPr>
            <w:r>
              <w:rPr>
                <w:b/>
                <w:noProof/>
                <w:sz w:val="22"/>
              </w:rPr>
              <w:t>5,136</w:t>
            </w:r>
          </w:p>
        </w:tc>
        <w:tc>
          <w:tcPr>
            <w:tcW w:w="2209" w:type="dxa"/>
            <w:tcBorders>
              <w:top w:val="single" w:sz="12" w:space="0" w:color="auto"/>
              <w:left w:val="single" w:sz="2" w:space="0" w:color="auto"/>
              <w:bottom w:val="single" w:sz="12" w:space="0" w:color="auto"/>
              <w:right w:val="single" w:sz="12" w:space="0" w:color="auto"/>
            </w:tcBorders>
          </w:tcPr>
          <w:p>
            <w:pPr>
              <w:jc w:val="right"/>
              <w:rPr>
                <w:b/>
                <w:noProof/>
                <w:sz w:val="22"/>
              </w:rPr>
            </w:pPr>
            <w:r>
              <w:rPr>
                <w:b/>
                <w:noProof/>
                <w:sz w:val="22"/>
              </w:rPr>
              <w:t>48,344</w:t>
            </w:r>
          </w:p>
        </w:tc>
      </w:tr>
    </w:tbl>
    <w:p>
      <w:pPr>
        <w:pStyle w:val="Text1"/>
        <w:ind w:left="0"/>
        <w:rPr>
          <w:noProof/>
        </w:rPr>
      </w:pPr>
    </w:p>
    <w:p>
      <w:pPr>
        <w:pStyle w:val="ListDash"/>
        <w:rPr>
          <w:noProof/>
        </w:rPr>
      </w:pPr>
      <w:r>
        <w:rPr>
          <w:noProof/>
        </w:rPr>
        <w:t>Pri potrebah po osebju se upošteva to, da štirje sestavni deli in CRRS tvorijo portfelj odvisnih projektov (tj. program). Za obvladovanje odvisnosti med projekti se ustanovi skupina za vodenje programa, ki jo sestavljajo vodje programa in projektov ter osebe z določenimi profili (pogosto imenovane arhitekti), ki morajo opredeliti skupne točke med njimi. Za uresničitev programa/projektov so potrebne tudi osebe s profili za podporo programu in projektom.</w:t>
      </w:r>
    </w:p>
    <w:p>
      <w:pPr>
        <w:pStyle w:val="ListDash"/>
        <w:rPr>
          <w:noProof/>
        </w:rPr>
      </w:pPr>
      <w:r>
        <w:rPr>
          <w:noProof/>
        </w:rPr>
        <w:t>Kadrovske potrebe po posameznih projektih so bile ocenjene po analogiji s prejšnjimi projekti (vizumski informacijski sistem) ob ločevanju faze zaključka in operativne faze projekta.</w:t>
      </w:r>
    </w:p>
    <w:p>
      <w:pPr>
        <w:pStyle w:val="ListDash"/>
        <w:rPr>
          <w:noProof/>
        </w:rPr>
      </w:pPr>
      <w:r>
        <w:rPr>
          <w:noProof/>
        </w:rPr>
        <w:t>Osebe s profili, ki jih je treba obdržati v operativni fazi, se zaposlijo kot začasni uslužbenci. Osebe s profili, ki se potrebujejo med izvedbo programa/projektov, se zaposlijo kot pogodbeni uslužbenci. Zaradi zagotavljanja pričakovane neprekinjenosti nalog in zadržanja znanja v agenciji je število delovnih mest skoraj enakomerno razdeljeno med začasne in pogodbene uslužbence.</w:t>
      </w:r>
    </w:p>
    <w:p>
      <w:pPr>
        <w:pStyle w:val="ListDash"/>
        <w:rPr>
          <w:noProof/>
        </w:rPr>
      </w:pPr>
      <w:r>
        <w:rPr>
          <w:noProof/>
        </w:rPr>
        <w:t>Predpostavlja se, da za izvedbo projekta sistema ECRIS-TCN visoke dostopnosti dodatno osebje ne bo potrebno in da bo agencija eu-LISA kadrovske potrebe projekta izpolnjevala s ponovno uporabo obstoječega osebja s projektov, ki bodo končani v tem obdobju.</w:t>
      </w:r>
    </w:p>
    <w:p>
      <w:pPr>
        <w:pStyle w:val="Text1"/>
        <w:ind w:left="0"/>
        <w:rPr>
          <w:noProof/>
        </w:rPr>
      </w:pPr>
    </w:p>
    <w:p>
      <w:pPr>
        <w:pStyle w:val="Text1"/>
        <w:ind w:left="0"/>
        <w:rPr>
          <w:noProof/>
        </w:rPr>
      </w:pPr>
      <w:r>
        <w:rPr>
          <w:noProof/>
        </w:rPr>
        <w:t>Te ocene temeljijo na naslednjem številu osebja:</w:t>
      </w:r>
    </w:p>
    <w:p>
      <w:pPr>
        <w:pStyle w:val="Text1"/>
        <w:ind w:left="0"/>
        <w:rPr>
          <w:noProof/>
        </w:rPr>
      </w:pPr>
      <w:r>
        <w:rPr>
          <w:noProof/>
        </w:rPr>
        <w:t>Za pogodbene uslužbence:</w:t>
      </w:r>
    </w:p>
    <w:p>
      <w:pPr>
        <w:pStyle w:val="Text1"/>
        <w:ind w:left="0"/>
        <w:rPr>
          <w:noProof/>
        </w:rPr>
      </w:pPr>
    </w:p>
    <w:p>
      <w:pPr>
        <w:pStyle w:val="Text1"/>
        <w:ind w:left="0"/>
        <w:rPr>
          <w:noProof/>
        </w:rPr>
      </w:pPr>
      <w:r>
        <w:rPr>
          <w:noProof/>
          <w:lang w:val="en-US" w:eastAsia="en-US" w:bidi="ar-SA"/>
        </w:rPr>
        <w:drawing>
          <wp:inline distT="0" distB="0" distL="0" distR="0">
            <wp:extent cx="5760085" cy="465051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085" cy="4650511"/>
                    </a:xfrm>
                    <a:prstGeom prst="rect">
                      <a:avLst/>
                    </a:prstGeom>
                    <a:noFill/>
                    <a:ln>
                      <a:noFill/>
                    </a:ln>
                  </pic:spPr>
                </pic:pic>
              </a:graphicData>
            </a:graphic>
          </wp:inline>
        </w:drawing>
      </w:r>
    </w:p>
    <w:p>
      <w:pPr>
        <w:spacing w:before="0" w:after="0"/>
        <w:jc w:val="left"/>
        <w:rPr>
          <w:noProof/>
        </w:rPr>
      </w:pPr>
      <w:r>
        <w:rPr>
          <w:noProof/>
        </w:rPr>
        <w:br w:type="page"/>
      </w:r>
    </w:p>
    <w:p>
      <w:pPr>
        <w:pStyle w:val="Text1"/>
        <w:ind w:left="0"/>
        <w:rPr>
          <w:noProof/>
        </w:rPr>
      </w:pPr>
    </w:p>
    <w:p>
      <w:pPr>
        <w:pStyle w:val="Text1"/>
        <w:keepNext/>
        <w:ind w:left="0"/>
        <w:rPr>
          <w:noProof/>
        </w:rPr>
      </w:pPr>
      <w:r>
        <w:rPr>
          <w:noProof/>
        </w:rPr>
        <w:t>Za začasne uslužbence:</w:t>
      </w:r>
    </w:p>
    <w:p>
      <w:pPr>
        <w:pStyle w:val="Text1"/>
        <w:ind w:left="0"/>
        <w:rPr>
          <w:noProof/>
        </w:rPr>
      </w:pPr>
    </w:p>
    <w:p>
      <w:pPr>
        <w:pStyle w:val="Text1"/>
        <w:ind w:left="0"/>
        <w:rPr>
          <w:noProof/>
        </w:rPr>
      </w:pPr>
      <w:r>
        <w:rPr>
          <w:noProof/>
          <w:lang w:val="en-US" w:eastAsia="en-US" w:bidi="ar-SA"/>
        </w:rPr>
        <w:drawing>
          <wp:inline distT="0" distB="0" distL="0" distR="0">
            <wp:extent cx="5760085" cy="5693389"/>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085" cy="5693389"/>
                    </a:xfrm>
                    <a:prstGeom prst="rect">
                      <a:avLst/>
                    </a:prstGeom>
                    <a:noFill/>
                    <a:ln>
                      <a:noFill/>
                    </a:ln>
                  </pic:spPr>
                </pic:pic>
              </a:graphicData>
            </a:graphic>
          </wp:inline>
        </w:drawing>
      </w:r>
    </w:p>
    <w:p>
      <w:pPr>
        <w:pStyle w:val="Text1"/>
        <w:ind w:left="0"/>
        <w:rPr>
          <w:noProof/>
        </w:rPr>
      </w:pPr>
    </w:p>
    <w:p>
      <w:pPr>
        <w:spacing w:before="0" w:after="0"/>
        <w:jc w:val="left"/>
        <w:rPr>
          <w:noProof/>
        </w:rPr>
      </w:pPr>
      <w:r>
        <w:rPr>
          <w:noProof/>
        </w:rPr>
        <w:br w:type="page"/>
      </w:r>
    </w:p>
    <w:p>
      <w:pPr>
        <w:pStyle w:val="Text1"/>
        <w:rPr>
          <w:noProof/>
        </w:rPr>
      </w:pPr>
    </w:p>
    <w:p>
      <w:pPr>
        <w:pStyle w:val="ManualHeading3"/>
        <w:rPr>
          <w:bCs/>
          <w:noProof/>
          <w:szCs w:val="24"/>
        </w:rPr>
      </w:pPr>
      <w:r>
        <w:t>3.2.4.</w:t>
      </w:r>
      <w:r>
        <w:tab/>
      </w:r>
      <w:r>
        <w:rPr>
          <w:noProof/>
        </w:rPr>
        <w:t>Ocenjene posledice za odobritve za upravne zadeve</w:t>
      </w:r>
      <w:bookmarkEnd w:id="294"/>
    </w:p>
    <w:p>
      <w:pPr>
        <w:pStyle w:val="ManualHeading4"/>
        <w:rPr>
          <w:noProof/>
        </w:rPr>
      </w:pPr>
      <w:r>
        <w:t>3.2.4.1.</w:t>
      </w:r>
      <w:r>
        <w:tab/>
      </w:r>
      <w:r>
        <w:rPr>
          <w:noProof/>
        </w:rPr>
        <w:t>GD HOME: Povzetek</w:t>
      </w:r>
    </w:p>
    <w:p>
      <w:pPr>
        <w:pStyle w:val="ListDash1"/>
        <w:rPr>
          <w:noProof/>
        </w:rPr>
      </w:pPr>
      <w:r>
        <w:rPr>
          <w:noProof/>
        </w:rPr>
        <w:sym w:font="Wingdings" w:char="F0A8"/>
      </w:r>
      <w:r>
        <w:rPr>
          <w:noProof/>
        </w:rPr>
        <w:tab/>
        <w:t xml:space="preserve">Za predlog/pobudo niso potrebne odobritve za upravne zadeve. </w:t>
      </w:r>
    </w:p>
    <w:p>
      <w:pPr>
        <w:pStyle w:val="ListDash1"/>
        <w:rPr>
          <w:noProof/>
        </w:rPr>
      </w:pPr>
      <w:r>
        <w:rPr>
          <w:noProof/>
        </w:rPr>
        <w:sym w:font="Wingdings" w:char="F078"/>
      </w:r>
      <w:r>
        <w:rPr>
          <w:noProof/>
        </w:rPr>
        <w:tab/>
        <w:t>Za predlog/pobudo so potrebne odobritve za upravne zadeve, kot je pojasnjeno v nadaljevanju:</w:t>
      </w:r>
    </w:p>
    <w:p>
      <w:pPr>
        <w:keepNext/>
        <w:rPr>
          <w:noProof/>
          <w:sz w:val="20"/>
        </w:rPr>
      </w:pPr>
      <w:r>
        <w:rPr>
          <w:noProof/>
          <w:sz w:val="20"/>
        </w:rPr>
        <w:t>v mio. EUR (na tri decimalna mesta natančno)</w:t>
      </w:r>
    </w:p>
    <w:p>
      <w:pPr>
        <w:keepNext/>
        <w:rPr>
          <w:noProof/>
          <w:sz w:val="20"/>
        </w:rPr>
      </w:pPr>
    </w:p>
    <w:tbl>
      <w:tblPr>
        <w:tblW w:w="10359"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813"/>
        <w:gridCol w:w="769"/>
        <w:gridCol w:w="769"/>
        <w:gridCol w:w="735"/>
        <w:gridCol w:w="720"/>
        <w:gridCol w:w="720"/>
        <w:gridCol w:w="720"/>
        <w:gridCol w:w="840"/>
        <w:gridCol w:w="720"/>
        <w:gridCol w:w="840"/>
        <w:gridCol w:w="1713"/>
      </w:tblGrid>
      <w:tr>
        <w:trPr>
          <w:trHeight w:val="607"/>
        </w:trPr>
        <w:tc>
          <w:tcPr>
            <w:tcW w:w="1813" w:type="dxa"/>
          </w:tcPr>
          <w:p>
            <w:pPr>
              <w:keepNext/>
              <w:spacing w:before="60" w:after="60" w:line="200" w:lineRule="exact"/>
              <w:rPr>
                <w:noProof/>
                <w:sz w:val="16"/>
                <w:szCs w:val="16"/>
              </w:rPr>
            </w:pPr>
          </w:p>
        </w:tc>
        <w:tc>
          <w:tcPr>
            <w:tcW w:w="769" w:type="dxa"/>
            <w:vAlign w:val="center"/>
          </w:tcPr>
          <w:p>
            <w:pPr>
              <w:keepNext/>
              <w:spacing w:before="60" w:after="60" w:line="200" w:lineRule="exact"/>
              <w:jc w:val="center"/>
              <w:rPr>
                <w:noProof/>
                <w:sz w:val="16"/>
                <w:szCs w:val="16"/>
              </w:rPr>
            </w:pPr>
            <w:r>
              <w:rPr>
                <w:noProof/>
                <w:sz w:val="16"/>
              </w:rPr>
              <w:t>Leto</w:t>
            </w:r>
            <w:r>
              <w:rPr>
                <w:noProof/>
                <w:sz w:val="22"/>
              </w:rPr>
              <w:br/>
            </w:r>
            <w:r>
              <w:rPr>
                <w:b/>
                <w:noProof/>
                <w:sz w:val="16"/>
              </w:rPr>
              <w:t>2019</w:t>
            </w:r>
          </w:p>
        </w:tc>
        <w:tc>
          <w:tcPr>
            <w:tcW w:w="769" w:type="dxa"/>
            <w:vAlign w:val="center"/>
          </w:tcPr>
          <w:p>
            <w:pPr>
              <w:keepNext/>
              <w:spacing w:before="60" w:after="60" w:line="200" w:lineRule="exact"/>
              <w:jc w:val="center"/>
              <w:rPr>
                <w:noProof/>
                <w:sz w:val="16"/>
                <w:szCs w:val="16"/>
              </w:rPr>
            </w:pPr>
            <w:r>
              <w:rPr>
                <w:noProof/>
                <w:sz w:val="16"/>
              </w:rPr>
              <w:t>Leto</w:t>
            </w:r>
            <w:r>
              <w:rPr>
                <w:noProof/>
                <w:sz w:val="22"/>
              </w:rPr>
              <w:br/>
            </w:r>
            <w:r>
              <w:rPr>
                <w:b/>
                <w:noProof/>
                <w:sz w:val="16"/>
              </w:rPr>
              <w:t>2020</w:t>
            </w:r>
          </w:p>
        </w:tc>
        <w:tc>
          <w:tcPr>
            <w:tcW w:w="735" w:type="dxa"/>
            <w:vAlign w:val="center"/>
          </w:tcPr>
          <w:p>
            <w:pPr>
              <w:keepNext/>
              <w:spacing w:before="60" w:after="60" w:line="200" w:lineRule="exact"/>
              <w:jc w:val="center"/>
              <w:rPr>
                <w:noProof/>
                <w:sz w:val="16"/>
                <w:szCs w:val="16"/>
              </w:rPr>
            </w:pPr>
            <w:r>
              <w:rPr>
                <w:noProof/>
                <w:sz w:val="16"/>
              </w:rPr>
              <w:t>Leto</w:t>
            </w:r>
            <w:r>
              <w:rPr>
                <w:noProof/>
                <w:sz w:val="22"/>
              </w:rPr>
              <w:br/>
            </w:r>
            <w:r>
              <w:rPr>
                <w:b/>
                <w:noProof/>
                <w:sz w:val="16"/>
              </w:rPr>
              <w:t>2021</w:t>
            </w:r>
          </w:p>
        </w:tc>
        <w:tc>
          <w:tcPr>
            <w:tcW w:w="720" w:type="dxa"/>
            <w:vAlign w:val="center"/>
          </w:tcPr>
          <w:p>
            <w:pPr>
              <w:keepNext/>
              <w:spacing w:before="60" w:after="60" w:line="200" w:lineRule="exact"/>
              <w:jc w:val="center"/>
              <w:rPr>
                <w:noProof/>
                <w:sz w:val="16"/>
                <w:szCs w:val="16"/>
              </w:rPr>
            </w:pPr>
            <w:r>
              <w:rPr>
                <w:noProof/>
                <w:sz w:val="16"/>
              </w:rPr>
              <w:t>Leto</w:t>
            </w:r>
            <w:r>
              <w:rPr>
                <w:noProof/>
                <w:sz w:val="22"/>
              </w:rPr>
              <w:br/>
            </w:r>
            <w:r>
              <w:rPr>
                <w:b/>
                <w:noProof/>
                <w:sz w:val="16"/>
              </w:rPr>
              <w:t>2022</w:t>
            </w:r>
          </w:p>
        </w:tc>
        <w:tc>
          <w:tcPr>
            <w:tcW w:w="720" w:type="dxa"/>
            <w:vAlign w:val="center"/>
          </w:tcPr>
          <w:p>
            <w:pPr>
              <w:keepNext/>
              <w:spacing w:line="200" w:lineRule="exact"/>
              <w:jc w:val="center"/>
              <w:rPr>
                <w:b/>
                <w:noProof/>
                <w:sz w:val="16"/>
                <w:szCs w:val="16"/>
              </w:rPr>
            </w:pPr>
            <w:r>
              <w:rPr>
                <w:noProof/>
                <w:sz w:val="16"/>
              </w:rPr>
              <w:t>Leto</w:t>
            </w:r>
            <w:r>
              <w:rPr>
                <w:noProof/>
                <w:sz w:val="22"/>
              </w:rPr>
              <w:br/>
            </w:r>
            <w:r>
              <w:rPr>
                <w:b/>
                <w:noProof/>
                <w:sz w:val="16"/>
              </w:rPr>
              <w:t>2023</w:t>
            </w:r>
          </w:p>
        </w:tc>
        <w:tc>
          <w:tcPr>
            <w:tcW w:w="720" w:type="dxa"/>
            <w:vAlign w:val="center"/>
          </w:tcPr>
          <w:p>
            <w:pPr>
              <w:keepNext/>
              <w:spacing w:line="200" w:lineRule="exact"/>
              <w:jc w:val="center"/>
              <w:rPr>
                <w:b/>
                <w:noProof/>
                <w:sz w:val="16"/>
                <w:szCs w:val="16"/>
              </w:rPr>
            </w:pPr>
            <w:r>
              <w:rPr>
                <w:noProof/>
                <w:sz w:val="16"/>
              </w:rPr>
              <w:t>Leto</w:t>
            </w:r>
            <w:r>
              <w:rPr>
                <w:noProof/>
                <w:sz w:val="22"/>
              </w:rPr>
              <w:br/>
            </w:r>
            <w:r>
              <w:rPr>
                <w:b/>
                <w:noProof/>
                <w:sz w:val="16"/>
              </w:rPr>
              <w:t>2024</w:t>
            </w:r>
          </w:p>
        </w:tc>
        <w:tc>
          <w:tcPr>
            <w:tcW w:w="840" w:type="dxa"/>
            <w:vAlign w:val="center"/>
          </w:tcPr>
          <w:p>
            <w:pPr>
              <w:keepNext/>
              <w:spacing w:line="200" w:lineRule="exact"/>
              <w:jc w:val="center"/>
              <w:rPr>
                <w:b/>
                <w:noProof/>
                <w:sz w:val="16"/>
                <w:szCs w:val="16"/>
              </w:rPr>
            </w:pPr>
            <w:r>
              <w:rPr>
                <w:noProof/>
                <w:sz w:val="16"/>
              </w:rPr>
              <w:t>Leto</w:t>
            </w:r>
            <w:r>
              <w:rPr>
                <w:noProof/>
                <w:sz w:val="22"/>
              </w:rPr>
              <w:br/>
            </w:r>
            <w:r>
              <w:rPr>
                <w:b/>
                <w:noProof/>
                <w:sz w:val="16"/>
              </w:rPr>
              <w:t>2025</w:t>
            </w:r>
          </w:p>
        </w:tc>
        <w:tc>
          <w:tcPr>
            <w:tcW w:w="720" w:type="dxa"/>
            <w:vAlign w:val="center"/>
          </w:tcPr>
          <w:p>
            <w:pPr>
              <w:keepNext/>
              <w:spacing w:before="60" w:after="60" w:line="200" w:lineRule="exact"/>
              <w:jc w:val="center"/>
              <w:rPr>
                <w:b/>
                <w:noProof/>
                <w:sz w:val="16"/>
              </w:rPr>
            </w:pPr>
            <w:r>
              <w:rPr>
                <w:noProof/>
                <w:sz w:val="16"/>
              </w:rPr>
              <w:t>Leto</w:t>
            </w:r>
            <w:r>
              <w:rPr>
                <w:noProof/>
                <w:sz w:val="22"/>
              </w:rPr>
              <w:br/>
            </w:r>
            <w:r>
              <w:rPr>
                <w:b/>
                <w:noProof/>
                <w:sz w:val="16"/>
              </w:rPr>
              <w:t>2026</w:t>
            </w:r>
          </w:p>
        </w:tc>
        <w:tc>
          <w:tcPr>
            <w:tcW w:w="840" w:type="dxa"/>
            <w:vAlign w:val="center"/>
          </w:tcPr>
          <w:p>
            <w:pPr>
              <w:keepNext/>
              <w:spacing w:before="60" w:after="60" w:line="200" w:lineRule="exact"/>
              <w:jc w:val="center"/>
              <w:rPr>
                <w:b/>
                <w:noProof/>
                <w:sz w:val="16"/>
              </w:rPr>
            </w:pPr>
            <w:r>
              <w:rPr>
                <w:noProof/>
                <w:sz w:val="16"/>
              </w:rPr>
              <w:t>Leto</w:t>
            </w:r>
            <w:r>
              <w:rPr>
                <w:noProof/>
                <w:sz w:val="22"/>
              </w:rPr>
              <w:br/>
            </w:r>
            <w:r>
              <w:rPr>
                <w:b/>
                <w:noProof/>
                <w:sz w:val="16"/>
              </w:rPr>
              <w:t>2027</w:t>
            </w:r>
          </w:p>
        </w:tc>
        <w:tc>
          <w:tcPr>
            <w:tcW w:w="1713" w:type="dxa"/>
            <w:vAlign w:val="center"/>
          </w:tcPr>
          <w:p>
            <w:pPr>
              <w:keepNext/>
              <w:spacing w:before="60" w:after="60" w:line="200" w:lineRule="exact"/>
              <w:jc w:val="center"/>
              <w:rPr>
                <w:b/>
                <w:noProof/>
                <w:sz w:val="16"/>
                <w:szCs w:val="16"/>
              </w:rPr>
            </w:pPr>
            <w:r>
              <w:rPr>
                <w:b/>
                <w:noProof/>
                <w:sz w:val="16"/>
              </w:rPr>
              <w:t>SKUPAJ</w:t>
            </w:r>
          </w:p>
        </w:tc>
      </w:tr>
    </w:tbl>
    <w:p>
      <w:pPr>
        <w:spacing w:line="200" w:lineRule="exact"/>
        <w:rPr>
          <w:noProof/>
          <w:sz w:val="16"/>
          <w:szCs w:val="16"/>
        </w:rPr>
      </w:pPr>
    </w:p>
    <w:tbl>
      <w:tblPr>
        <w:tblW w:w="10369"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801"/>
        <w:gridCol w:w="764"/>
        <w:gridCol w:w="764"/>
        <w:gridCol w:w="762"/>
        <w:gridCol w:w="720"/>
        <w:gridCol w:w="701"/>
        <w:gridCol w:w="764"/>
        <w:gridCol w:w="764"/>
        <w:gridCol w:w="764"/>
        <w:gridCol w:w="873"/>
        <w:gridCol w:w="1692"/>
      </w:tblGrid>
      <w:tr>
        <w:trPr>
          <w:trHeight w:val="585"/>
        </w:trPr>
        <w:tc>
          <w:tcPr>
            <w:tcW w:w="1801" w:type="dxa"/>
            <w:shd w:val="clear" w:color="auto" w:fill="CCCCCC"/>
            <w:vAlign w:val="center"/>
          </w:tcPr>
          <w:p>
            <w:pPr>
              <w:spacing w:before="60" w:after="60" w:line="200" w:lineRule="exact"/>
              <w:jc w:val="center"/>
              <w:rPr>
                <w:b/>
                <w:noProof/>
                <w:sz w:val="16"/>
                <w:szCs w:val="16"/>
              </w:rPr>
            </w:pPr>
            <w:r>
              <w:rPr>
                <w:b/>
                <w:noProof/>
                <w:sz w:val="16"/>
              </w:rPr>
              <w:t>RAZDELEK 5</w:t>
            </w:r>
            <w:r>
              <w:rPr>
                <w:noProof/>
                <w:sz w:val="22"/>
              </w:rPr>
              <w:br/>
            </w:r>
            <w:r>
              <w:rPr>
                <w:b/>
                <w:noProof/>
                <w:sz w:val="16"/>
              </w:rPr>
              <w:t>večletnega finančnega okvira</w:t>
            </w:r>
          </w:p>
        </w:tc>
        <w:tc>
          <w:tcPr>
            <w:tcW w:w="764" w:type="dxa"/>
            <w:vAlign w:val="center"/>
          </w:tcPr>
          <w:p>
            <w:pPr>
              <w:spacing w:before="60" w:after="60" w:line="200" w:lineRule="exact"/>
              <w:jc w:val="right"/>
              <w:rPr>
                <w:noProof/>
                <w:sz w:val="16"/>
                <w:szCs w:val="16"/>
              </w:rPr>
            </w:pPr>
          </w:p>
        </w:tc>
        <w:tc>
          <w:tcPr>
            <w:tcW w:w="764" w:type="dxa"/>
            <w:vAlign w:val="center"/>
          </w:tcPr>
          <w:p>
            <w:pPr>
              <w:spacing w:before="60" w:after="60" w:line="200" w:lineRule="exact"/>
              <w:jc w:val="right"/>
              <w:rPr>
                <w:noProof/>
                <w:sz w:val="16"/>
                <w:szCs w:val="16"/>
              </w:rPr>
            </w:pPr>
          </w:p>
        </w:tc>
        <w:tc>
          <w:tcPr>
            <w:tcW w:w="762" w:type="dxa"/>
            <w:vAlign w:val="center"/>
          </w:tcPr>
          <w:p>
            <w:pPr>
              <w:spacing w:before="60" w:after="60" w:line="200" w:lineRule="exact"/>
              <w:jc w:val="right"/>
              <w:rPr>
                <w:noProof/>
                <w:sz w:val="16"/>
                <w:szCs w:val="16"/>
              </w:rPr>
            </w:pPr>
          </w:p>
        </w:tc>
        <w:tc>
          <w:tcPr>
            <w:tcW w:w="720" w:type="dxa"/>
            <w:vAlign w:val="center"/>
          </w:tcPr>
          <w:p>
            <w:pPr>
              <w:spacing w:before="60" w:after="60" w:line="200" w:lineRule="exact"/>
              <w:jc w:val="right"/>
              <w:rPr>
                <w:noProof/>
                <w:sz w:val="16"/>
                <w:szCs w:val="16"/>
              </w:rPr>
            </w:pPr>
          </w:p>
        </w:tc>
        <w:tc>
          <w:tcPr>
            <w:tcW w:w="701" w:type="dxa"/>
            <w:vAlign w:val="center"/>
          </w:tcPr>
          <w:p>
            <w:pPr>
              <w:spacing w:before="60" w:after="60" w:line="200" w:lineRule="exact"/>
              <w:jc w:val="right"/>
              <w:rPr>
                <w:noProof/>
                <w:sz w:val="16"/>
                <w:szCs w:val="16"/>
              </w:rPr>
            </w:pPr>
          </w:p>
        </w:tc>
        <w:tc>
          <w:tcPr>
            <w:tcW w:w="764" w:type="dxa"/>
            <w:vAlign w:val="center"/>
          </w:tcPr>
          <w:p>
            <w:pPr>
              <w:spacing w:before="60" w:after="60" w:line="200" w:lineRule="exact"/>
              <w:jc w:val="right"/>
              <w:rPr>
                <w:noProof/>
                <w:sz w:val="16"/>
                <w:szCs w:val="16"/>
              </w:rPr>
            </w:pPr>
          </w:p>
        </w:tc>
        <w:tc>
          <w:tcPr>
            <w:tcW w:w="764" w:type="dxa"/>
            <w:vAlign w:val="center"/>
          </w:tcPr>
          <w:p>
            <w:pPr>
              <w:spacing w:before="60" w:after="60" w:line="200" w:lineRule="exact"/>
              <w:jc w:val="right"/>
              <w:rPr>
                <w:b/>
                <w:noProof/>
                <w:sz w:val="16"/>
                <w:szCs w:val="16"/>
              </w:rPr>
            </w:pPr>
          </w:p>
        </w:tc>
        <w:tc>
          <w:tcPr>
            <w:tcW w:w="764" w:type="dxa"/>
            <w:vAlign w:val="center"/>
          </w:tcPr>
          <w:p>
            <w:pPr>
              <w:spacing w:before="60" w:after="60" w:line="200" w:lineRule="exact"/>
              <w:jc w:val="center"/>
              <w:rPr>
                <w:b/>
                <w:noProof/>
                <w:sz w:val="16"/>
                <w:szCs w:val="16"/>
              </w:rPr>
            </w:pPr>
          </w:p>
        </w:tc>
        <w:tc>
          <w:tcPr>
            <w:tcW w:w="873" w:type="dxa"/>
            <w:vAlign w:val="center"/>
          </w:tcPr>
          <w:p>
            <w:pPr>
              <w:spacing w:before="60" w:after="60" w:line="200" w:lineRule="exact"/>
              <w:jc w:val="right"/>
              <w:rPr>
                <w:b/>
                <w:noProof/>
                <w:sz w:val="16"/>
                <w:szCs w:val="16"/>
              </w:rPr>
            </w:pPr>
          </w:p>
        </w:tc>
        <w:tc>
          <w:tcPr>
            <w:tcW w:w="1692" w:type="dxa"/>
            <w:vAlign w:val="center"/>
          </w:tcPr>
          <w:p>
            <w:pPr>
              <w:spacing w:before="60" w:after="60" w:line="200" w:lineRule="exact"/>
              <w:jc w:val="right"/>
              <w:rPr>
                <w:b/>
                <w:noProof/>
                <w:sz w:val="16"/>
                <w:szCs w:val="16"/>
              </w:rPr>
            </w:pPr>
          </w:p>
        </w:tc>
      </w:tr>
      <w:tr>
        <w:trPr>
          <w:trHeight w:val="585"/>
        </w:trPr>
        <w:tc>
          <w:tcPr>
            <w:tcW w:w="1801" w:type="dxa"/>
            <w:vAlign w:val="center"/>
          </w:tcPr>
          <w:p>
            <w:pPr>
              <w:spacing w:before="60" w:after="60" w:line="200" w:lineRule="exact"/>
              <w:ind w:left="72"/>
              <w:jc w:val="left"/>
              <w:rPr>
                <w:noProof/>
                <w:sz w:val="16"/>
              </w:rPr>
            </w:pPr>
            <w:r>
              <w:rPr>
                <w:noProof/>
                <w:sz w:val="16"/>
              </w:rPr>
              <w:t>Človeški viri GD HOME</w:t>
            </w:r>
          </w:p>
        </w:tc>
        <w:tc>
          <w:tcPr>
            <w:tcW w:w="764" w:type="dxa"/>
          </w:tcPr>
          <w:p>
            <w:pPr>
              <w:spacing w:before="60" w:after="60" w:line="200" w:lineRule="exact"/>
              <w:jc w:val="center"/>
              <w:rPr>
                <w:noProof/>
                <w:sz w:val="20"/>
              </w:rPr>
            </w:pPr>
            <w:r>
              <w:rPr>
                <w:noProof/>
                <w:sz w:val="20"/>
              </w:rPr>
              <w:t xml:space="preserve">0,690 </w:t>
            </w:r>
          </w:p>
        </w:tc>
        <w:tc>
          <w:tcPr>
            <w:tcW w:w="764" w:type="dxa"/>
          </w:tcPr>
          <w:p>
            <w:pPr>
              <w:spacing w:before="60" w:after="60" w:line="200" w:lineRule="exact"/>
              <w:jc w:val="center"/>
              <w:rPr>
                <w:noProof/>
                <w:sz w:val="20"/>
              </w:rPr>
            </w:pPr>
            <w:r>
              <w:rPr>
                <w:noProof/>
                <w:sz w:val="20"/>
              </w:rPr>
              <w:t xml:space="preserve">0,690 </w:t>
            </w:r>
          </w:p>
        </w:tc>
        <w:tc>
          <w:tcPr>
            <w:tcW w:w="762" w:type="dxa"/>
          </w:tcPr>
          <w:p>
            <w:pPr>
              <w:spacing w:before="60" w:after="60" w:line="200" w:lineRule="exact"/>
              <w:jc w:val="center"/>
              <w:rPr>
                <w:noProof/>
                <w:sz w:val="20"/>
              </w:rPr>
            </w:pPr>
            <w:r>
              <w:rPr>
                <w:noProof/>
                <w:sz w:val="20"/>
              </w:rPr>
              <w:t xml:space="preserve">0,690 </w:t>
            </w:r>
          </w:p>
        </w:tc>
        <w:tc>
          <w:tcPr>
            <w:tcW w:w="720" w:type="dxa"/>
          </w:tcPr>
          <w:p>
            <w:pPr>
              <w:spacing w:before="60" w:after="60" w:line="200" w:lineRule="exact"/>
              <w:jc w:val="center"/>
              <w:rPr>
                <w:noProof/>
                <w:sz w:val="20"/>
              </w:rPr>
            </w:pPr>
            <w:r>
              <w:rPr>
                <w:noProof/>
                <w:sz w:val="20"/>
              </w:rPr>
              <w:t xml:space="preserve">0,690 </w:t>
            </w:r>
          </w:p>
        </w:tc>
        <w:tc>
          <w:tcPr>
            <w:tcW w:w="701" w:type="dxa"/>
          </w:tcPr>
          <w:p>
            <w:pPr>
              <w:spacing w:before="60" w:after="60" w:line="200" w:lineRule="exact"/>
              <w:jc w:val="center"/>
              <w:rPr>
                <w:noProof/>
                <w:sz w:val="20"/>
              </w:rPr>
            </w:pPr>
            <w:r>
              <w:rPr>
                <w:noProof/>
                <w:sz w:val="20"/>
              </w:rPr>
              <w:t xml:space="preserve">0,690 </w:t>
            </w:r>
          </w:p>
        </w:tc>
        <w:tc>
          <w:tcPr>
            <w:tcW w:w="764" w:type="dxa"/>
          </w:tcPr>
          <w:p>
            <w:pPr>
              <w:spacing w:before="60" w:after="60" w:line="200" w:lineRule="exact"/>
              <w:jc w:val="center"/>
              <w:rPr>
                <w:noProof/>
                <w:sz w:val="20"/>
              </w:rPr>
            </w:pPr>
            <w:r>
              <w:rPr>
                <w:noProof/>
                <w:sz w:val="20"/>
              </w:rPr>
              <w:t xml:space="preserve">0,690 </w:t>
            </w:r>
          </w:p>
        </w:tc>
        <w:tc>
          <w:tcPr>
            <w:tcW w:w="764" w:type="dxa"/>
          </w:tcPr>
          <w:p>
            <w:pPr>
              <w:spacing w:before="60" w:after="60" w:line="200" w:lineRule="exact"/>
              <w:jc w:val="center"/>
              <w:rPr>
                <w:noProof/>
                <w:sz w:val="20"/>
              </w:rPr>
            </w:pPr>
            <w:r>
              <w:rPr>
                <w:noProof/>
                <w:sz w:val="20"/>
              </w:rPr>
              <w:t xml:space="preserve">0,276 </w:t>
            </w:r>
          </w:p>
        </w:tc>
        <w:tc>
          <w:tcPr>
            <w:tcW w:w="764" w:type="dxa"/>
          </w:tcPr>
          <w:p>
            <w:pPr>
              <w:spacing w:before="60" w:after="60" w:line="200" w:lineRule="exact"/>
              <w:jc w:val="center"/>
              <w:rPr>
                <w:noProof/>
                <w:sz w:val="20"/>
              </w:rPr>
            </w:pPr>
            <w:r>
              <w:rPr>
                <w:noProof/>
                <w:sz w:val="20"/>
              </w:rPr>
              <w:t xml:space="preserve">0,276 </w:t>
            </w:r>
          </w:p>
        </w:tc>
        <w:tc>
          <w:tcPr>
            <w:tcW w:w="873" w:type="dxa"/>
          </w:tcPr>
          <w:p>
            <w:pPr>
              <w:spacing w:before="60" w:after="60" w:line="200" w:lineRule="exact"/>
              <w:jc w:val="center"/>
              <w:rPr>
                <w:noProof/>
                <w:sz w:val="20"/>
              </w:rPr>
            </w:pPr>
            <w:r>
              <w:rPr>
                <w:noProof/>
                <w:sz w:val="20"/>
              </w:rPr>
              <w:t xml:space="preserve">0,276 </w:t>
            </w:r>
          </w:p>
        </w:tc>
        <w:tc>
          <w:tcPr>
            <w:tcW w:w="1692" w:type="dxa"/>
          </w:tcPr>
          <w:p>
            <w:pPr>
              <w:spacing w:before="60" w:after="60" w:line="200" w:lineRule="exact"/>
              <w:jc w:val="center"/>
              <w:rPr>
                <w:b/>
                <w:noProof/>
                <w:sz w:val="20"/>
              </w:rPr>
            </w:pPr>
            <w:r>
              <w:rPr>
                <w:noProof/>
                <w:sz w:val="20"/>
              </w:rPr>
              <w:t xml:space="preserve">4,968 </w:t>
            </w:r>
          </w:p>
        </w:tc>
      </w:tr>
      <w:tr>
        <w:trPr>
          <w:trHeight w:val="585"/>
        </w:trPr>
        <w:tc>
          <w:tcPr>
            <w:tcW w:w="1801" w:type="dxa"/>
            <w:vAlign w:val="center"/>
          </w:tcPr>
          <w:p>
            <w:pPr>
              <w:spacing w:before="60" w:after="60" w:line="200" w:lineRule="exact"/>
              <w:ind w:left="72"/>
              <w:jc w:val="left"/>
              <w:rPr>
                <w:noProof/>
                <w:sz w:val="16"/>
                <w:szCs w:val="16"/>
              </w:rPr>
            </w:pPr>
            <w:r>
              <w:rPr>
                <w:noProof/>
                <w:sz w:val="16"/>
              </w:rPr>
              <w:t>Drugi upravni odhodki</w:t>
            </w:r>
          </w:p>
        </w:tc>
        <w:tc>
          <w:tcPr>
            <w:tcW w:w="764" w:type="dxa"/>
          </w:tcPr>
          <w:p>
            <w:pPr>
              <w:spacing w:before="60" w:after="60" w:line="200" w:lineRule="exact"/>
              <w:jc w:val="center"/>
              <w:rPr>
                <w:noProof/>
                <w:sz w:val="20"/>
                <w:szCs w:val="16"/>
              </w:rPr>
            </w:pPr>
            <w:r>
              <w:rPr>
                <w:noProof/>
                <w:sz w:val="20"/>
              </w:rPr>
              <w:t xml:space="preserve">0,323 </w:t>
            </w:r>
          </w:p>
        </w:tc>
        <w:tc>
          <w:tcPr>
            <w:tcW w:w="764" w:type="dxa"/>
          </w:tcPr>
          <w:p>
            <w:pPr>
              <w:spacing w:before="60" w:after="60" w:line="200" w:lineRule="exact"/>
              <w:jc w:val="center"/>
              <w:rPr>
                <w:noProof/>
                <w:sz w:val="20"/>
                <w:szCs w:val="16"/>
              </w:rPr>
            </w:pPr>
            <w:r>
              <w:rPr>
                <w:noProof/>
                <w:sz w:val="20"/>
              </w:rPr>
              <w:t xml:space="preserve">0,323 </w:t>
            </w:r>
          </w:p>
        </w:tc>
        <w:tc>
          <w:tcPr>
            <w:tcW w:w="762" w:type="dxa"/>
          </w:tcPr>
          <w:p>
            <w:pPr>
              <w:spacing w:before="60" w:after="60" w:line="200" w:lineRule="exact"/>
              <w:jc w:val="center"/>
              <w:rPr>
                <w:noProof/>
                <w:sz w:val="20"/>
                <w:szCs w:val="16"/>
              </w:rPr>
            </w:pPr>
            <w:r>
              <w:rPr>
                <w:noProof/>
                <w:sz w:val="20"/>
              </w:rPr>
              <w:t xml:space="preserve">0,323 </w:t>
            </w:r>
          </w:p>
        </w:tc>
        <w:tc>
          <w:tcPr>
            <w:tcW w:w="720" w:type="dxa"/>
          </w:tcPr>
          <w:p>
            <w:pPr>
              <w:spacing w:before="60" w:after="60" w:line="200" w:lineRule="exact"/>
              <w:jc w:val="center"/>
              <w:rPr>
                <w:noProof/>
                <w:sz w:val="20"/>
                <w:szCs w:val="16"/>
              </w:rPr>
            </w:pPr>
            <w:r>
              <w:rPr>
                <w:noProof/>
                <w:sz w:val="20"/>
              </w:rPr>
              <w:t xml:space="preserve">0,323 </w:t>
            </w:r>
          </w:p>
        </w:tc>
        <w:tc>
          <w:tcPr>
            <w:tcW w:w="701" w:type="dxa"/>
          </w:tcPr>
          <w:p>
            <w:pPr>
              <w:spacing w:before="60" w:after="60" w:line="200" w:lineRule="exact"/>
              <w:jc w:val="center"/>
              <w:rPr>
                <w:noProof/>
                <w:sz w:val="20"/>
                <w:szCs w:val="16"/>
              </w:rPr>
            </w:pPr>
            <w:r>
              <w:rPr>
                <w:noProof/>
                <w:sz w:val="20"/>
              </w:rPr>
              <w:t xml:space="preserve">0,323 </w:t>
            </w:r>
          </w:p>
        </w:tc>
        <w:tc>
          <w:tcPr>
            <w:tcW w:w="764" w:type="dxa"/>
          </w:tcPr>
          <w:p>
            <w:pPr>
              <w:spacing w:before="60" w:after="60" w:line="200" w:lineRule="exact"/>
              <w:jc w:val="center"/>
              <w:rPr>
                <w:noProof/>
                <w:sz w:val="20"/>
                <w:szCs w:val="16"/>
              </w:rPr>
            </w:pPr>
            <w:r>
              <w:rPr>
                <w:noProof/>
                <w:sz w:val="20"/>
              </w:rPr>
              <w:t xml:space="preserve">0,323 </w:t>
            </w:r>
          </w:p>
        </w:tc>
        <w:tc>
          <w:tcPr>
            <w:tcW w:w="764" w:type="dxa"/>
          </w:tcPr>
          <w:p>
            <w:pPr>
              <w:spacing w:before="60" w:after="60" w:line="200" w:lineRule="exact"/>
              <w:jc w:val="center"/>
              <w:rPr>
                <w:noProof/>
                <w:sz w:val="20"/>
                <w:szCs w:val="16"/>
              </w:rPr>
            </w:pPr>
            <w:r>
              <w:rPr>
                <w:noProof/>
                <w:sz w:val="20"/>
              </w:rPr>
              <w:t xml:space="preserve">0,263 </w:t>
            </w:r>
          </w:p>
        </w:tc>
        <w:tc>
          <w:tcPr>
            <w:tcW w:w="764" w:type="dxa"/>
          </w:tcPr>
          <w:p>
            <w:pPr>
              <w:spacing w:before="60" w:after="60" w:line="200" w:lineRule="exact"/>
              <w:jc w:val="center"/>
              <w:rPr>
                <w:noProof/>
                <w:sz w:val="20"/>
                <w:szCs w:val="16"/>
              </w:rPr>
            </w:pPr>
            <w:r>
              <w:rPr>
                <w:noProof/>
                <w:sz w:val="20"/>
              </w:rPr>
              <w:t xml:space="preserve">0,263 </w:t>
            </w:r>
          </w:p>
        </w:tc>
        <w:tc>
          <w:tcPr>
            <w:tcW w:w="873" w:type="dxa"/>
          </w:tcPr>
          <w:p>
            <w:pPr>
              <w:spacing w:before="60" w:after="60" w:line="200" w:lineRule="exact"/>
              <w:jc w:val="center"/>
              <w:rPr>
                <w:noProof/>
                <w:sz w:val="20"/>
                <w:szCs w:val="16"/>
              </w:rPr>
            </w:pPr>
            <w:r>
              <w:rPr>
                <w:noProof/>
                <w:sz w:val="20"/>
              </w:rPr>
              <w:t xml:space="preserve">0,263 </w:t>
            </w:r>
          </w:p>
        </w:tc>
        <w:tc>
          <w:tcPr>
            <w:tcW w:w="1692" w:type="dxa"/>
          </w:tcPr>
          <w:p>
            <w:pPr>
              <w:spacing w:before="60" w:after="60" w:line="200" w:lineRule="exact"/>
              <w:jc w:val="center"/>
              <w:rPr>
                <w:b/>
                <w:noProof/>
                <w:sz w:val="20"/>
                <w:szCs w:val="16"/>
              </w:rPr>
            </w:pPr>
            <w:r>
              <w:rPr>
                <w:noProof/>
                <w:sz w:val="20"/>
              </w:rPr>
              <w:t xml:space="preserve">2,727 </w:t>
            </w:r>
          </w:p>
        </w:tc>
      </w:tr>
      <w:tr>
        <w:trPr>
          <w:trHeight w:val="585"/>
        </w:trPr>
        <w:tc>
          <w:tcPr>
            <w:tcW w:w="1801" w:type="dxa"/>
            <w:shd w:val="clear" w:color="auto" w:fill="CCCCCC"/>
            <w:vAlign w:val="center"/>
          </w:tcPr>
          <w:p>
            <w:pPr>
              <w:spacing w:before="60" w:after="60" w:line="200" w:lineRule="exact"/>
              <w:jc w:val="center"/>
              <w:rPr>
                <w:b/>
                <w:noProof/>
                <w:sz w:val="16"/>
                <w:szCs w:val="16"/>
              </w:rPr>
            </w:pPr>
            <w:r>
              <w:rPr>
                <w:b/>
                <w:noProof/>
                <w:sz w:val="16"/>
              </w:rPr>
              <w:t>Seštevek za RAZDELEK 5</w:t>
            </w:r>
            <w:r>
              <w:rPr>
                <w:noProof/>
                <w:sz w:val="22"/>
              </w:rPr>
              <w:br/>
            </w:r>
            <w:r>
              <w:rPr>
                <w:b/>
                <w:noProof/>
                <w:sz w:val="16"/>
              </w:rPr>
              <w:t xml:space="preserve">večletnega finančnega okvira </w:t>
            </w:r>
          </w:p>
        </w:tc>
        <w:tc>
          <w:tcPr>
            <w:tcW w:w="764" w:type="dxa"/>
          </w:tcPr>
          <w:p>
            <w:pPr>
              <w:spacing w:before="60" w:after="60" w:line="200" w:lineRule="exact"/>
              <w:rPr>
                <w:noProof/>
                <w:sz w:val="20"/>
              </w:rPr>
            </w:pPr>
            <w:r>
              <w:rPr>
                <w:noProof/>
                <w:sz w:val="20"/>
              </w:rPr>
              <w:t xml:space="preserve">1,013 </w:t>
            </w:r>
          </w:p>
        </w:tc>
        <w:tc>
          <w:tcPr>
            <w:tcW w:w="764" w:type="dxa"/>
          </w:tcPr>
          <w:p>
            <w:pPr>
              <w:spacing w:before="60" w:after="60" w:line="200" w:lineRule="exact"/>
              <w:rPr>
                <w:noProof/>
                <w:sz w:val="20"/>
              </w:rPr>
            </w:pPr>
            <w:r>
              <w:rPr>
                <w:noProof/>
                <w:sz w:val="20"/>
              </w:rPr>
              <w:t xml:space="preserve">1,013 </w:t>
            </w:r>
          </w:p>
        </w:tc>
        <w:tc>
          <w:tcPr>
            <w:tcW w:w="762" w:type="dxa"/>
          </w:tcPr>
          <w:p>
            <w:pPr>
              <w:spacing w:before="60" w:after="60" w:line="200" w:lineRule="exact"/>
              <w:rPr>
                <w:noProof/>
                <w:sz w:val="20"/>
              </w:rPr>
            </w:pPr>
            <w:r>
              <w:rPr>
                <w:noProof/>
                <w:sz w:val="20"/>
              </w:rPr>
              <w:t xml:space="preserve">1,013 </w:t>
            </w:r>
          </w:p>
        </w:tc>
        <w:tc>
          <w:tcPr>
            <w:tcW w:w="720" w:type="dxa"/>
          </w:tcPr>
          <w:p>
            <w:pPr>
              <w:spacing w:before="60" w:after="60" w:line="200" w:lineRule="exact"/>
              <w:rPr>
                <w:noProof/>
                <w:sz w:val="20"/>
              </w:rPr>
            </w:pPr>
            <w:r>
              <w:rPr>
                <w:noProof/>
                <w:sz w:val="20"/>
              </w:rPr>
              <w:t xml:space="preserve">1,013 </w:t>
            </w:r>
          </w:p>
        </w:tc>
        <w:tc>
          <w:tcPr>
            <w:tcW w:w="701" w:type="dxa"/>
          </w:tcPr>
          <w:p>
            <w:pPr>
              <w:spacing w:before="60" w:after="60" w:line="200" w:lineRule="exact"/>
              <w:rPr>
                <w:noProof/>
                <w:sz w:val="20"/>
              </w:rPr>
            </w:pPr>
            <w:r>
              <w:rPr>
                <w:noProof/>
                <w:sz w:val="20"/>
              </w:rPr>
              <w:t xml:space="preserve">1,013 </w:t>
            </w:r>
          </w:p>
        </w:tc>
        <w:tc>
          <w:tcPr>
            <w:tcW w:w="764" w:type="dxa"/>
          </w:tcPr>
          <w:p>
            <w:pPr>
              <w:spacing w:before="60" w:after="60" w:line="200" w:lineRule="exact"/>
              <w:rPr>
                <w:noProof/>
                <w:sz w:val="20"/>
              </w:rPr>
            </w:pPr>
            <w:r>
              <w:rPr>
                <w:noProof/>
                <w:sz w:val="20"/>
              </w:rPr>
              <w:t xml:space="preserve">1,013 </w:t>
            </w:r>
          </w:p>
        </w:tc>
        <w:tc>
          <w:tcPr>
            <w:tcW w:w="764" w:type="dxa"/>
          </w:tcPr>
          <w:p>
            <w:pPr>
              <w:spacing w:before="60" w:after="60" w:line="200" w:lineRule="exact"/>
              <w:rPr>
                <w:noProof/>
                <w:sz w:val="20"/>
              </w:rPr>
            </w:pPr>
            <w:r>
              <w:rPr>
                <w:noProof/>
                <w:sz w:val="20"/>
              </w:rPr>
              <w:t xml:space="preserve">0,539 </w:t>
            </w:r>
          </w:p>
        </w:tc>
        <w:tc>
          <w:tcPr>
            <w:tcW w:w="764" w:type="dxa"/>
          </w:tcPr>
          <w:p>
            <w:pPr>
              <w:spacing w:before="60" w:after="60" w:line="200" w:lineRule="exact"/>
              <w:rPr>
                <w:noProof/>
                <w:sz w:val="20"/>
              </w:rPr>
            </w:pPr>
            <w:r>
              <w:rPr>
                <w:noProof/>
                <w:sz w:val="20"/>
              </w:rPr>
              <w:t xml:space="preserve">0,539 </w:t>
            </w:r>
          </w:p>
        </w:tc>
        <w:tc>
          <w:tcPr>
            <w:tcW w:w="873" w:type="dxa"/>
          </w:tcPr>
          <w:p>
            <w:pPr>
              <w:spacing w:before="60" w:after="60" w:line="200" w:lineRule="exact"/>
              <w:rPr>
                <w:noProof/>
                <w:sz w:val="20"/>
              </w:rPr>
            </w:pPr>
            <w:r>
              <w:rPr>
                <w:noProof/>
                <w:sz w:val="20"/>
              </w:rPr>
              <w:t xml:space="preserve">0,539 </w:t>
            </w:r>
          </w:p>
        </w:tc>
        <w:tc>
          <w:tcPr>
            <w:tcW w:w="1692" w:type="dxa"/>
          </w:tcPr>
          <w:p>
            <w:pPr>
              <w:spacing w:before="60" w:after="60" w:line="200" w:lineRule="exact"/>
              <w:jc w:val="center"/>
              <w:rPr>
                <w:b/>
                <w:noProof/>
                <w:sz w:val="20"/>
              </w:rPr>
            </w:pPr>
            <w:r>
              <w:rPr>
                <w:noProof/>
                <w:sz w:val="20"/>
              </w:rPr>
              <w:t xml:space="preserve">7,695 </w:t>
            </w:r>
          </w:p>
        </w:tc>
      </w:tr>
    </w:tbl>
    <w:p>
      <w:pPr>
        <w:spacing w:line="200" w:lineRule="exact"/>
        <w:rPr>
          <w:noProof/>
          <w:sz w:val="16"/>
          <w:szCs w:val="16"/>
        </w:rPr>
      </w:pPr>
    </w:p>
    <w:tbl>
      <w:tblPr>
        <w:tblW w:w="10407"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807"/>
        <w:gridCol w:w="767"/>
        <w:gridCol w:w="767"/>
        <w:gridCol w:w="747"/>
        <w:gridCol w:w="677"/>
        <w:gridCol w:w="767"/>
        <w:gridCol w:w="767"/>
        <w:gridCol w:w="767"/>
        <w:gridCol w:w="767"/>
        <w:gridCol w:w="876"/>
        <w:gridCol w:w="1698"/>
      </w:tblGrid>
      <w:tr>
        <w:trPr>
          <w:trHeight w:val="590"/>
        </w:trPr>
        <w:tc>
          <w:tcPr>
            <w:tcW w:w="1807" w:type="dxa"/>
            <w:shd w:val="clear" w:color="auto" w:fill="CCCCCC"/>
            <w:vAlign w:val="center"/>
          </w:tcPr>
          <w:p>
            <w:pPr>
              <w:spacing w:before="60" w:after="60" w:line="200" w:lineRule="exact"/>
              <w:jc w:val="center"/>
              <w:rPr>
                <w:noProof/>
                <w:sz w:val="16"/>
                <w:szCs w:val="16"/>
              </w:rPr>
            </w:pPr>
            <w:r>
              <w:rPr>
                <w:b/>
                <w:noProof/>
                <w:sz w:val="16"/>
              </w:rPr>
              <w:t>Odobritve zunaj RAZDELKA 5</w:t>
            </w:r>
            <w:r>
              <w:rPr>
                <w:rStyle w:val="FootnoteReference"/>
                <w:noProof/>
              </w:rPr>
              <w:footnoteReference w:id="109"/>
            </w:r>
            <w:r>
              <w:rPr>
                <w:noProof/>
                <w:sz w:val="22"/>
              </w:rPr>
              <w:br/>
            </w:r>
            <w:r>
              <w:rPr>
                <w:b/>
                <w:noProof/>
                <w:sz w:val="16"/>
              </w:rPr>
              <w:t xml:space="preserve">večletnega finančnega okvira </w:t>
            </w:r>
          </w:p>
          <w:p>
            <w:pPr>
              <w:spacing w:before="0" w:after="0" w:line="200" w:lineRule="exact"/>
              <w:jc w:val="center"/>
              <w:rPr>
                <w:b/>
                <w:noProof/>
                <w:sz w:val="16"/>
                <w:szCs w:val="16"/>
              </w:rPr>
            </w:pPr>
          </w:p>
        </w:tc>
        <w:tc>
          <w:tcPr>
            <w:tcW w:w="767" w:type="dxa"/>
            <w:vAlign w:val="center"/>
          </w:tcPr>
          <w:p>
            <w:pPr>
              <w:spacing w:before="60" w:after="60" w:line="200" w:lineRule="exact"/>
              <w:jc w:val="right"/>
              <w:rPr>
                <w:noProof/>
                <w:sz w:val="16"/>
                <w:szCs w:val="16"/>
              </w:rPr>
            </w:pPr>
            <w:r>
              <w:rPr>
                <w:noProof/>
                <w:sz w:val="16"/>
              </w:rPr>
              <w:t>(se ne uporablja)</w:t>
            </w:r>
          </w:p>
        </w:tc>
        <w:tc>
          <w:tcPr>
            <w:tcW w:w="767" w:type="dxa"/>
            <w:vAlign w:val="center"/>
          </w:tcPr>
          <w:p>
            <w:pPr>
              <w:spacing w:before="60" w:after="60" w:line="200" w:lineRule="exact"/>
              <w:jc w:val="right"/>
              <w:rPr>
                <w:noProof/>
                <w:sz w:val="16"/>
                <w:szCs w:val="16"/>
              </w:rPr>
            </w:pPr>
          </w:p>
        </w:tc>
        <w:tc>
          <w:tcPr>
            <w:tcW w:w="747" w:type="dxa"/>
            <w:vAlign w:val="center"/>
          </w:tcPr>
          <w:p>
            <w:pPr>
              <w:spacing w:before="60" w:after="60" w:line="200" w:lineRule="exact"/>
              <w:jc w:val="right"/>
              <w:rPr>
                <w:noProof/>
                <w:sz w:val="16"/>
                <w:szCs w:val="16"/>
              </w:rPr>
            </w:pPr>
          </w:p>
        </w:tc>
        <w:tc>
          <w:tcPr>
            <w:tcW w:w="677" w:type="dxa"/>
            <w:vAlign w:val="center"/>
          </w:tcPr>
          <w:p>
            <w:pPr>
              <w:spacing w:before="60" w:after="60" w:line="200" w:lineRule="exact"/>
              <w:jc w:val="right"/>
              <w:rPr>
                <w:noProof/>
                <w:sz w:val="16"/>
                <w:szCs w:val="16"/>
              </w:rPr>
            </w:pPr>
          </w:p>
        </w:tc>
        <w:tc>
          <w:tcPr>
            <w:tcW w:w="767" w:type="dxa"/>
            <w:vAlign w:val="center"/>
          </w:tcPr>
          <w:p>
            <w:pPr>
              <w:spacing w:before="60" w:after="60" w:line="200" w:lineRule="exact"/>
              <w:jc w:val="right"/>
              <w:rPr>
                <w:noProof/>
                <w:sz w:val="16"/>
                <w:szCs w:val="16"/>
              </w:rPr>
            </w:pPr>
          </w:p>
        </w:tc>
        <w:tc>
          <w:tcPr>
            <w:tcW w:w="767" w:type="dxa"/>
            <w:vAlign w:val="center"/>
          </w:tcPr>
          <w:p>
            <w:pPr>
              <w:spacing w:before="60" w:after="60" w:line="200" w:lineRule="exact"/>
              <w:jc w:val="right"/>
              <w:rPr>
                <w:noProof/>
                <w:sz w:val="16"/>
                <w:szCs w:val="16"/>
              </w:rPr>
            </w:pPr>
          </w:p>
        </w:tc>
        <w:tc>
          <w:tcPr>
            <w:tcW w:w="767" w:type="dxa"/>
            <w:vAlign w:val="center"/>
          </w:tcPr>
          <w:p>
            <w:pPr>
              <w:spacing w:before="60" w:after="60" w:line="200" w:lineRule="exact"/>
              <w:jc w:val="right"/>
              <w:rPr>
                <w:b/>
                <w:noProof/>
                <w:sz w:val="16"/>
                <w:szCs w:val="16"/>
              </w:rPr>
            </w:pPr>
          </w:p>
        </w:tc>
        <w:tc>
          <w:tcPr>
            <w:tcW w:w="767" w:type="dxa"/>
            <w:vAlign w:val="center"/>
          </w:tcPr>
          <w:p>
            <w:pPr>
              <w:spacing w:before="60" w:after="60" w:line="200" w:lineRule="exact"/>
              <w:jc w:val="right"/>
              <w:rPr>
                <w:b/>
                <w:noProof/>
                <w:sz w:val="16"/>
                <w:szCs w:val="16"/>
              </w:rPr>
            </w:pPr>
          </w:p>
        </w:tc>
        <w:tc>
          <w:tcPr>
            <w:tcW w:w="876" w:type="dxa"/>
            <w:vAlign w:val="center"/>
          </w:tcPr>
          <w:p>
            <w:pPr>
              <w:spacing w:before="60" w:after="60" w:line="200" w:lineRule="exact"/>
              <w:jc w:val="right"/>
              <w:rPr>
                <w:b/>
                <w:noProof/>
                <w:sz w:val="16"/>
                <w:szCs w:val="16"/>
              </w:rPr>
            </w:pPr>
          </w:p>
        </w:tc>
        <w:tc>
          <w:tcPr>
            <w:tcW w:w="1698" w:type="dxa"/>
            <w:vAlign w:val="center"/>
          </w:tcPr>
          <w:p>
            <w:pPr>
              <w:spacing w:before="60" w:after="60" w:line="200" w:lineRule="exact"/>
              <w:jc w:val="right"/>
              <w:rPr>
                <w:b/>
                <w:noProof/>
                <w:sz w:val="16"/>
                <w:szCs w:val="16"/>
              </w:rPr>
            </w:pPr>
          </w:p>
        </w:tc>
      </w:tr>
      <w:tr>
        <w:trPr>
          <w:trHeight w:val="590"/>
        </w:trPr>
        <w:tc>
          <w:tcPr>
            <w:tcW w:w="1807" w:type="dxa"/>
            <w:vAlign w:val="center"/>
          </w:tcPr>
          <w:p>
            <w:pPr>
              <w:spacing w:before="60" w:after="60" w:line="200" w:lineRule="exact"/>
              <w:ind w:left="72"/>
              <w:jc w:val="left"/>
              <w:rPr>
                <w:noProof/>
                <w:sz w:val="16"/>
                <w:szCs w:val="16"/>
              </w:rPr>
            </w:pPr>
            <w:r>
              <w:rPr>
                <w:noProof/>
                <w:sz w:val="16"/>
              </w:rPr>
              <w:t xml:space="preserve">Človeški viri </w:t>
            </w:r>
          </w:p>
        </w:tc>
        <w:tc>
          <w:tcPr>
            <w:tcW w:w="767" w:type="dxa"/>
            <w:vAlign w:val="center"/>
          </w:tcPr>
          <w:p>
            <w:pPr>
              <w:spacing w:before="60" w:after="60" w:line="200" w:lineRule="exact"/>
              <w:jc w:val="right"/>
              <w:rPr>
                <w:noProof/>
                <w:sz w:val="16"/>
                <w:szCs w:val="16"/>
              </w:rPr>
            </w:pPr>
          </w:p>
        </w:tc>
        <w:tc>
          <w:tcPr>
            <w:tcW w:w="767" w:type="dxa"/>
            <w:vAlign w:val="center"/>
          </w:tcPr>
          <w:p>
            <w:pPr>
              <w:spacing w:before="60" w:after="60" w:line="200" w:lineRule="exact"/>
              <w:jc w:val="right"/>
              <w:rPr>
                <w:noProof/>
                <w:sz w:val="16"/>
                <w:szCs w:val="16"/>
              </w:rPr>
            </w:pPr>
          </w:p>
        </w:tc>
        <w:tc>
          <w:tcPr>
            <w:tcW w:w="747" w:type="dxa"/>
            <w:vAlign w:val="center"/>
          </w:tcPr>
          <w:p>
            <w:pPr>
              <w:spacing w:before="60" w:after="60" w:line="200" w:lineRule="exact"/>
              <w:jc w:val="right"/>
              <w:rPr>
                <w:noProof/>
                <w:sz w:val="16"/>
                <w:szCs w:val="16"/>
              </w:rPr>
            </w:pPr>
          </w:p>
        </w:tc>
        <w:tc>
          <w:tcPr>
            <w:tcW w:w="677" w:type="dxa"/>
            <w:vAlign w:val="center"/>
          </w:tcPr>
          <w:p>
            <w:pPr>
              <w:spacing w:before="60" w:after="60" w:line="200" w:lineRule="exact"/>
              <w:jc w:val="right"/>
              <w:rPr>
                <w:noProof/>
                <w:sz w:val="16"/>
                <w:szCs w:val="16"/>
              </w:rPr>
            </w:pPr>
          </w:p>
        </w:tc>
        <w:tc>
          <w:tcPr>
            <w:tcW w:w="767" w:type="dxa"/>
            <w:vAlign w:val="center"/>
          </w:tcPr>
          <w:p>
            <w:pPr>
              <w:spacing w:before="60" w:after="60" w:line="200" w:lineRule="exact"/>
              <w:jc w:val="right"/>
              <w:rPr>
                <w:noProof/>
                <w:sz w:val="16"/>
                <w:szCs w:val="16"/>
              </w:rPr>
            </w:pPr>
          </w:p>
        </w:tc>
        <w:tc>
          <w:tcPr>
            <w:tcW w:w="767" w:type="dxa"/>
            <w:vAlign w:val="center"/>
          </w:tcPr>
          <w:p>
            <w:pPr>
              <w:spacing w:before="60" w:after="60" w:line="200" w:lineRule="exact"/>
              <w:jc w:val="right"/>
              <w:rPr>
                <w:noProof/>
                <w:sz w:val="16"/>
                <w:szCs w:val="16"/>
              </w:rPr>
            </w:pPr>
          </w:p>
        </w:tc>
        <w:tc>
          <w:tcPr>
            <w:tcW w:w="767" w:type="dxa"/>
            <w:vAlign w:val="center"/>
          </w:tcPr>
          <w:p>
            <w:pPr>
              <w:spacing w:before="60" w:after="60" w:line="200" w:lineRule="exact"/>
              <w:jc w:val="right"/>
              <w:rPr>
                <w:b/>
                <w:noProof/>
                <w:sz w:val="16"/>
                <w:szCs w:val="16"/>
              </w:rPr>
            </w:pPr>
          </w:p>
        </w:tc>
        <w:tc>
          <w:tcPr>
            <w:tcW w:w="767" w:type="dxa"/>
            <w:vAlign w:val="center"/>
          </w:tcPr>
          <w:p>
            <w:pPr>
              <w:spacing w:before="60" w:after="60" w:line="200" w:lineRule="exact"/>
              <w:jc w:val="right"/>
              <w:rPr>
                <w:b/>
                <w:noProof/>
                <w:sz w:val="16"/>
                <w:szCs w:val="16"/>
              </w:rPr>
            </w:pPr>
          </w:p>
        </w:tc>
        <w:tc>
          <w:tcPr>
            <w:tcW w:w="876" w:type="dxa"/>
          </w:tcPr>
          <w:p>
            <w:pPr>
              <w:spacing w:before="60" w:after="60" w:line="200" w:lineRule="exact"/>
              <w:jc w:val="right"/>
              <w:rPr>
                <w:b/>
                <w:noProof/>
                <w:sz w:val="16"/>
                <w:szCs w:val="16"/>
              </w:rPr>
            </w:pPr>
          </w:p>
        </w:tc>
        <w:tc>
          <w:tcPr>
            <w:tcW w:w="1698" w:type="dxa"/>
          </w:tcPr>
          <w:p>
            <w:pPr>
              <w:spacing w:before="60" w:after="60" w:line="200" w:lineRule="exact"/>
              <w:jc w:val="right"/>
              <w:rPr>
                <w:b/>
                <w:noProof/>
                <w:sz w:val="16"/>
                <w:szCs w:val="16"/>
              </w:rPr>
            </w:pPr>
          </w:p>
        </w:tc>
      </w:tr>
      <w:tr>
        <w:trPr>
          <w:trHeight w:val="590"/>
        </w:trPr>
        <w:tc>
          <w:tcPr>
            <w:tcW w:w="1807" w:type="dxa"/>
            <w:vAlign w:val="center"/>
          </w:tcPr>
          <w:p>
            <w:pPr>
              <w:spacing w:before="60" w:after="60" w:line="200" w:lineRule="exact"/>
              <w:ind w:left="72"/>
              <w:jc w:val="left"/>
              <w:rPr>
                <w:noProof/>
                <w:sz w:val="16"/>
                <w:szCs w:val="16"/>
              </w:rPr>
            </w:pPr>
            <w:r>
              <w:rPr>
                <w:noProof/>
                <w:sz w:val="16"/>
              </w:rPr>
              <w:t>Drugi</w:t>
            </w:r>
            <w:r>
              <w:rPr>
                <w:noProof/>
                <w:sz w:val="22"/>
              </w:rPr>
              <w:br/>
            </w:r>
            <w:r>
              <w:rPr>
                <w:noProof/>
                <w:sz w:val="16"/>
              </w:rPr>
              <w:t>upravni odhodki</w:t>
            </w:r>
          </w:p>
        </w:tc>
        <w:tc>
          <w:tcPr>
            <w:tcW w:w="767" w:type="dxa"/>
            <w:vAlign w:val="center"/>
          </w:tcPr>
          <w:p>
            <w:pPr>
              <w:spacing w:before="60" w:after="60" w:line="200" w:lineRule="exact"/>
              <w:jc w:val="right"/>
              <w:rPr>
                <w:noProof/>
                <w:sz w:val="16"/>
                <w:szCs w:val="16"/>
              </w:rPr>
            </w:pPr>
          </w:p>
        </w:tc>
        <w:tc>
          <w:tcPr>
            <w:tcW w:w="767" w:type="dxa"/>
            <w:vAlign w:val="center"/>
          </w:tcPr>
          <w:p>
            <w:pPr>
              <w:spacing w:before="60" w:after="60" w:line="200" w:lineRule="exact"/>
              <w:jc w:val="right"/>
              <w:rPr>
                <w:noProof/>
                <w:sz w:val="16"/>
                <w:szCs w:val="16"/>
              </w:rPr>
            </w:pPr>
          </w:p>
        </w:tc>
        <w:tc>
          <w:tcPr>
            <w:tcW w:w="747" w:type="dxa"/>
            <w:vAlign w:val="center"/>
          </w:tcPr>
          <w:p>
            <w:pPr>
              <w:spacing w:before="60" w:after="60" w:line="200" w:lineRule="exact"/>
              <w:jc w:val="right"/>
              <w:rPr>
                <w:noProof/>
                <w:sz w:val="16"/>
                <w:szCs w:val="16"/>
              </w:rPr>
            </w:pPr>
          </w:p>
        </w:tc>
        <w:tc>
          <w:tcPr>
            <w:tcW w:w="677" w:type="dxa"/>
            <w:vAlign w:val="center"/>
          </w:tcPr>
          <w:p>
            <w:pPr>
              <w:spacing w:before="60" w:after="60" w:line="200" w:lineRule="exact"/>
              <w:jc w:val="right"/>
              <w:rPr>
                <w:noProof/>
                <w:sz w:val="16"/>
                <w:szCs w:val="16"/>
              </w:rPr>
            </w:pPr>
          </w:p>
        </w:tc>
        <w:tc>
          <w:tcPr>
            <w:tcW w:w="767" w:type="dxa"/>
            <w:vAlign w:val="center"/>
          </w:tcPr>
          <w:p>
            <w:pPr>
              <w:spacing w:before="60" w:after="60" w:line="200" w:lineRule="exact"/>
              <w:jc w:val="right"/>
              <w:rPr>
                <w:noProof/>
                <w:sz w:val="16"/>
                <w:szCs w:val="16"/>
              </w:rPr>
            </w:pPr>
          </w:p>
        </w:tc>
        <w:tc>
          <w:tcPr>
            <w:tcW w:w="767" w:type="dxa"/>
            <w:vAlign w:val="center"/>
          </w:tcPr>
          <w:p>
            <w:pPr>
              <w:spacing w:before="60" w:after="60" w:line="200" w:lineRule="exact"/>
              <w:jc w:val="right"/>
              <w:rPr>
                <w:noProof/>
                <w:sz w:val="16"/>
                <w:szCs w:val="16"/>
              </w:rPr>
            </w:pPr>
          </w:p>
        </w:tc>
        <w:tc>
          <w:tcPr>
            <w:tcW w:w="767" w:type="dxa"/>
            <w:vAlign w:val="center"/>
          </w:tcPr>
          <w:p>
            <w:pPr>
              <w:spacing w:before="60" w:after="60" w:line="200" w:lineRule="exact"/>
              <w:jc w:val="right"/>
              <w:rPr>
                <w:b/>
                <w:noProof/>
                <w:sz w:val="16"/>
                <w:szCs w:val="16"/>
              </w:rPr>
            </w:pPr>
          </w:p>
        </w:tc>
        <w:tc>
          <w:tcPr>
            <w:tcW w:w="767" w:type="dxa"/>
            <w:vAlign w:val="center"/>
          </w:tcPr>
          <w:p>
            <w:pPr>
              <w:spacing w:before="60" w:after="60" w:line="200" w:lineRule="exact"/>
              <w:jc w:val="right"/>
              <w:rPr>
                <w:b/>
                <w:noProof/>
                <w:sz w:val="16"/>
                <w:szCs w:val="16"/>
              </w:rPr>
            </w:pPr>
          </w:p>
        </w:tc>
        <w:tc>
          <w:tcPr>
            <w:tcW w:w="876" w:type="dxa"/>
          </w:tcPr>
          <w:p>
            <w:pPr>
              <w:spacing w:before="60" w:after="60" w:line="200" w:lineRule="exact"/>
              <w:jc w:val="right"/>
              <w:rPr>
                <w:b/>
                <w:noProof/>
                <w:sz w:val="16"/>
                <w:szCs w:val="16"/>
              </w:rPr>
            </w:pPr>
          </w:p>
        </w:tc>
        <w:tc>
          <w:tcPr>
            <w:tcW w:w="1698" w:type="dxa"/>
          </w:tcPr>
          <w:p>
            <w:pPr>
              <w:spacing w:before="60" w:after="60" w:line="200" w:lineRule="exact"/>
              <w:jc w:val="right"/>
              <w:rPr>
                <w:b/>
                <w:noProof/>
                <w:sz w:val="16"/>
                <w:szCs w:val="16"/>
              </w:rPr>
            </w:pPr>
          </w:p>
        </w:tc>
      </w:tr>
      <w:tr>
        <w:trPr>
          <w:trHeight w:val="590"/>
        </w:trPr>
        <w:tc>
          <w:tcPr>
            <w:tcW w:w="1807" w:type="dxa"/>
            <w:shd w:val="clear" w:color="auto" w:fill="CCCCCC"/>
            <w:vAlign w:val="center"/>
          </w:tcPr>
          <w:p>
            <w:pPr>
              <w:spacing w:before="60" w:after="60" w:line="200" w:lineRule="exact"/>
              <w:jc w:val="center"/>
              <w:rPr>
                <w:b/>
                <w:noProof/>
                <w:sz w:val="16"/>
                <w:szCs w:val="16"/>
              </w:rPr>
            </w:pPr>
            <w:r>
              <w:rPr>
                <w:b/>
                <w:noProof/>
                <w:sz w:val="16"/>
              </w:rPr>
              <w:t>Seštevek za odobritve</w:t>
            </w:r>
            <w:r>
              <w:rPr>
                <w:noProof/>
                <w:sz w:val="22"/>
              </w:rPr>
              <w:br/>
            </w:r>
            <w:r>
              <w:rPr>
                <w:b/>
                <w:noProof/>
                <w:sz w:val="16"/>
              </w:rPr>
              <w:t>zunaj RAZDELKA 5</w:t>
            </w:r>
            <w:r>
              <w:rPr>
                <w:noProof/>
                <w:sz w:val="22"/>
              </w:rPr>
              <w:br/>
            </w:r>
            <w:r>
              <w:rPr>
                <w:b/>
                <w:noProof/>
                <w:sz w:val="16"/>
              </w:rPr>
              <w:t xml:space="preserve">večletnega finančnega okvira </w:t>
            </w:r>
          </w:p>
        </w:tc>
        <w:tc>
          <w:tcPr>
            <w:tcW w:w="767" w:type="dxa"/>
            <w:vAlign w:val="center"/>
          </w:tcPr>
          <w:p>
            <w:pPr>
              <w:spacing w:before="60" w:after="60" w:line="200" w:lineRule="exact"/>
              <w:jc w:val="right"/>
              <w:rPr>
                <w:noProof/>
                <w:sz w:val="16"/>
                <w:szCs w:val="16"/>
              </w:rPr>
            </w:pPr>
          </w:p>
        </w:tc>
        <w:tc>
          <w:tcPr>
            <w:tcW w:w="767" w:type="dxa"/>
            <w:vAlign w:val="center"/>
          </w:tcPr>
          <w:p>
            <w:pPr>
              <w:spacing w:before="60" w:after="60" w:line="200" w:lineRule="exact"/>
              <w:jc w:val="right"/>
              <w:rPr>
                <w:noProof/>
                <w:sz w:val="16"/>
                <w:szCs w:val="16"/>
              </w:rPr>
            </w:pPr>
          </w:p>
        </w:tc>
        <w:tc>
          <w:tcPr>
            <w:tcW w:w="747" w:type="dxa"/>
            <w:vAlign w:val="center"/>
          </w:tcPr>
          <w:p>
            <w:pPr>
              <w:spacing w:before="60" w:after="60" w:line="200" w:lineRule="exact"/>
              <w:jc w:val="right"/>
              <w:rPr>
                <w:noProof/>
                <w:sz w:val="16"/>
                <w:szCs w:val="16"/>
              </w:rPr>
            </w:pPr>
          </w:p>
        </w:tc>
        <w:tc>
          <w:tcPr>
            <w:tcW w:w="677" w:type="dxa"/>
            <w:vAlign w:val="center"/>
          </w:tcPr>
          <w:p>
            <w:pPr>
              <w:spacing w:before="60" w:after="60" w:line="200" w:lineRule="exact"/>
              <w:jc w:val="right"/>
              <w:rPr>
                <w:noProof/>
                <w:sz w:val="16"/>
                <w:szCs w:val="16"/>
              </w:rPr>
            </w:pPr>
          </w:p>
        </w:tc>
        <w:tc>
          <w:tcPr>
            <w:tcW w:w="767" w:type="dxa"/>
            <w:vAlign w:val="center"/>
          </w:tcPr>
          <w:p>
            <w:pPr>
              <w:spacing w:before="60" w:after="60" w:line="200" w:lineRule="exact"/>
              <w:jc w:val="right"/>
              <w:rPr>
                <w:noProof/>
                <w:sz w:val="16"/>
                <w:szCs w:val="16"/>
              </w:rPr>
            </w:pPr>
          </w:p>
        </w:tc>
        <w:tc>
          <w:tcPr>
            <w:tcW w:w="767" w:type="dxa"/>
            <w:vAlign w:val="center"/>
          </w:tcPr>
          <w:p>
            <w:pPr>
              <w:spacing w:before="60" w:after="60" w:line="200" w:lineRule="exact"/>
              <w:jc w:val="right"/>
              <w:rPr>
                <w:noProof/>
                <w:sz w:val="16"/>
                <w:szCs w:val="16"/>
              </w:rPr>
            </w:pPr>
          </w:p>
        </w:tc>
        <w:tc>
          <w:tcPr>
            <w:tcW w:w="767" w:type="dxa"/>
            <w:vAlign w:val="center"/>
          </w:tcPr>
          <w:p>
            <w:pPr>
              <w:spacing w:before="60" w:after="60" w:line="200" w:lineRule="exact"/>
              <w:jc w:val="right"/>
              <w:rPr>
                <w:b/>
                <w:noProof/>
                <w:sz w:val="16"/>
                <w:szCs w:val="16"/>
              </w:rPr>
            </w:pPr>
          </w:p>
        </w:tc>
        <w:tc>
          <w:tcPr>
            <w:tcW w:w="767" w:type="dxa"/>
            <w:vAlign w:val="center"/>
          </w:tcPr>
          <w:p>
            <w:pPr>
              <w:spacing w:before="60" w:after="60" w:line="200" w:lineRule="exact"/>
              <w:jc w:val="right"/>
              <w:rPr>
                <w:b/>
                <w:noProof/>
                <w:sz w:val="16"/>
                <w:szCs w:val="16"/>
              </w:rPr>
            </w:pPr>
          </w:p>
        </w:tc>
        <w:tc>
          <w:tcPr>
            <w:tcW w:w="876" w:type="dxa"/>
            <w:vAlign w:val="center"/>
          </w:tcPr>
          <w:p>
            <w:pPr>
              <w:spacing w:before="60" w:after="60" w:line="200" w:lineRule="exact"/>
              <w:jc w:val="right"/>
              <w:rPr>
                <w:b/>
                <w:noProof/>
                <w:sz w:val="16"/>
                <w:szCs w:val="16"/>
              </w:rPr>
            </w:pPr>
          </w:p>
        </w:tc>
        <w:tc>
          <w:tcPr>
            <w:tcW w:w="1698" w:type="dxa"/>
          </w:tcPr>
          <w:p>
            <w:pPr>
              <w:spacing w:before="60" w:after="60" w:line="200" w:lineRule="exact"/>
              <w:jc w:val="right"/>
              <w:rPr>
                <w:b/>
                <w:noProof/>
                <w:sz w:val="16"/>
                <w:szCs w:val="16"/>
              </w:rPr>
            </w:pPr>
          </w:p>
        </w:tc>
      </w:tr>
    </w:tbl>
    <w:p>
      <w:pPr>
        <w:spacing w:line="200" w:lineRule="exact"/>
        <w:rPr>
          <w:noProof/>
          <w:sz w:val="16"/>
          <w:szCs w:val="16"/>
        </w:rPr>
      </w:pPr>
    </w:p>
    <w:tbl>
      <w:tblPr>
        <w:tblW w:w="10438" w:type="dxa"/>
        <w:tblInd w:w="-612" w:type="dxa"/>
        <w:tblLayout w:type="fixed"/>
        <w:tblLook w:val="01E0" w:firstRow="1" w:lastRow="1" w:firstColumn="1" w:lastColumn="1" w:noHBand="0" w:noVBand="0"/>
      </w:tblPr>
      <w:tblGrid>
        <w:gridCol w:w="1813"/>
        <w:gridCol w:w="769"/>
        <w:gridCol w:w="769"/>
        <w:gridCol w:w="735"/>
        <w:gridCol w:w="693"/>
        <w:gridCol w:w="769"/>
        <w:gridCol w:w="769"/>
        <w:gridCol w:w="769"/>
        <w:gridCol w:w="769"/>
        <w:gridCol w:w="879"/>
        <w:gridCol w:w="1704"/>
      </w:tblGrid>
      <w:tr>
        <w:trPr>
          <w:trHeight w:val="562"/>
        </w:trPr>
        <w:tc>
          <w:tcPr>
            <w:tcW w:w="1813"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noProof/>
                <w:sz w:val="16"/>
                <w:szCs w:val="16"/>
              </w:rPr>
            </w:pPr>
            <w:r>
              <w:rPr>
                <w:b/>
                <w:noProof/>
                <w:sz w:val="16"/>
              </w:rPr>
              <w:t>SKUPAJ</w:t>
            </w:r>
          </w:p>
        </w:tc>
        <w:tc>
          <w:tcPr>
            <w:tcW w:w="769" w:type="dxa"/>
            <w:tcBorders>
              <w:top w:val="single" w:sz="12" w:space="0" w:color="auto"/>
              <w:left w:val="single" w:sz="2" w:space="0" w:color="auto"/>
              <w:bottom w:val="single" w:sz="12" w:space="0" w:color="auto"/>
              <w:right w:val="single" w:sz="2" w:space="0" w:color="auto"/>
            </w:tcBorders>
          </w:tcPr>
          <w:p>
            <w:pPr>
              <w:spacing w:before="60" w:after="60" w:line="200" w:lineRule="exact"/>
              <w:jc w:val="center"/>
              <w:rPr>
                <w:b/>
                <w:noProof/>
                <w:sz w:val="20"/>
              </w:rPr>
            </w:pPr>
            <w:r>
              <w:rPr>
                <w:b/>
                <w:noProof/>
                <w:sz w:val="20"/>
              </w:rPr>
              <w:t xml:space="preserve">1,013 </w:t>
            </w:r>
          </w:p>
        </w:tc>
        <w:tc>
          <w:tcPr>
            <w:tcW w:w="769" w:type="dxa"/>
            <w:tcBorders>
              <w:top w:val="single" w:sz="12" w:space="0" w:color="auto"/>
              <w:left w:val="single" w:sz="2" w:space="0" w:color="auto"/>
              <w:bottom w:val="single" w:sz="12" w:space="0" w:color="auto"/>
              <w:right w:val="single" w:sz="2" w:space="0" w:color="auto"/>
            </w:tcBorders>
          </w:tcPr>
          <w:p>
            <w:pPr>
              <w:spacing w:before="60" w:after="60" w:line="200" w:lineRule="exact"/>
              <w:jc w:val="center"/>
              <w:rPr>
                <w:b/>
                <w:noProof/>
                <w:sz w:val="20"/>
              </w:rPr>
            </w:pPr>
            <w:r>
              <w:rPr>
                <w:b/>
                <w:noProof/>
                <w:sz w:val="20"/>
              </w:rPr>
              <w:t xml:space="preserve">1,013 </w:t>
            </w:r>
          </w:p>
        </w:tc>
        <w:tc>
          <w:tcPr>
            <w:tcW w:w="735" w:type="dxa"/>
            <w:tcBorders>
              <w:top w:val="single" w:sz="12" w:space="0" w:color="auto"/>
              <w:left w:val="single" w:sz="2" w:space="0" w:color="auto"/>
              <w:bottom w:val="single" w:sz="12" w:space="0" w:color="auto"/>
              <w:right w:val="single" w:sz="2" w:space="0" w:color="auto"/>
            </w:tcBorders>
          </w:tcPr>
          <w:p>
            <w:pPr>
              <w:spacing w:before="60" w:after="60" w:line="200" w:lineRule="exact"/>
              <w:jc w:val="center"/>
              <w:rPr>
                <w:b/>
                <w:noProof/>
                <w:sz w:val="20"/>
              </w:rPr>
            </w:pPr>
            <w:r>
              <w:rPr>
                <w:b/>
                <w:noProof/>
                <w:sz w:val="20"/>
              </w:rPr>
              <w:t xml:space="preserve">1,013 </w:t>
            </w:r>
          </w:p>
        </w:tc>
        <w:tc>
          <w:tcPr>
            <w:tcW w:w="693" w:type="dxa"/>
            <w:tcBorders>
              <w:top w:val="single" w:sz="12" w:space="0" w:color="auto"/>
              <w:left w:val="single" w:sz="2" w:space="0" w:color="auto"/>
              <w:bottom w:val="single" w:sz="12" w:space="0" w:color="auto"/>
              <w:right w:val="single" w:sz="2" w:space="0" w:color="auto"/>
            </w:tcBorders>
          </w:tcPr>
          <w:p>
            <w:pPr>
              <w:spacing w:before="60" w:after="60" w:line="200" w:lineRule="exact"/>
              <w:jc w:val="center"/>
              <w:rPr>
                <w:b/>
                <w:noProof/>
                <w:sz w:val="20"/>
              </w:rPr>
            </w:pPr>
            <w:r>
              <w:rPr>
                <w:b/>
                <w:noProof/>
                <w:sz w:val="20"/>
              </w:rPr>
              <w:t xml:space="preserve">1,013 </w:t>
            </w:r>
          </w:p>
        </w:tc>
        <w:tc>
          <w:tcPr>
            <w:tcW w:w="769" w:type="dxa"/>
            <w:tcBorders>
              <w:top w:val="single" w:sz="12" w:space="0" w:color="auto"/>
              <w:left w:val="single" w:sz="2" w:space="0" w:color="auto"/>
              <w:bottom w:val="single" w:sz="12" w:space="0" w:color="auto"/>
              <w:right w:val="single" w:sz="2" w:space="0" w:color="auto"/>
            </w:tcBorders>
          </w:tcPr>
          <w:p>
            <w:pPr>
              <w:spacing w:before="60" w:after="60" w:line="200" w:lineRule="exact"/>
              <w:jc w:val="center"/>
              <w:rPr>
                <w:b/>
                <w:noProof/>
                <w:sz w:val="20"/>
              </w:rPr>
            </w:pPr>
            <w:r>
              <w:rPr>
                <w:b/>
                <w:noProof/>
                <w:sz w:val="20"/>
              </w:rPr>
              <w:t xml:space="preserve">1,013 </w:t>
            </w:r>
          </w:p>
        </w:tc>
        <w:tc>
          <w:tcPr>
            <w:tcW w:w="769" w:type="dxa"/>
            <w:tcBorders>
              <w:top w:val="single" w:sz="12" w:space="0" w:color="auto"/>
              <w:left w:val="single" w:sz="2" w:space="0" w:color="auto"/>
              <w:bottom w:val="single" w:sz="12" w:space="0" w:color="auto"/>
              <w:right w:val="single" w:sz="2" w:space="0" w:color="auto"/>
            </w:tcBorders>
          </w:tcPr>
          <w:p>
            <w:pPr>
              <w:spacing w:before="60" w:after="60" w:line="200" w:lineRule="exact"/>
              <w:jc w:val="center"/>
              <w:rPr>
                <w:b/>
                <w:noProof/>
                <w:sz w:val="20"/>
              </w:rPr>
            </w:pPr>
            <w:r>
              <w:rPr>
                <w:b/>
                <w:noProof/>
                <w:sz w:val="20"/>
              </w:rPr>
              <w:t xml:space="preserve">1,013 </w:t>
            </w:r>
          </w:p>
        </w:tc>
        <w:tc>
          <w:tcPr>
            <w:tcW w:w="769" w:type="dxa"/>
            <w:tcBorders>
              <w:top w:val="single" w:sz="12" w:space="0" w:color="auto"/>
              <w:left w:val="single" w:sz="2" w:space="0" w:color="auto"/>
              <w:bottom w:val="single" w:sz="12" w:space="0" w:color="auto"/>
              <w:right w:val="single" w:sz="2" w:space="0" w:color="auto"/>
            </w:tcBorders>
          </w:tcPr>
          <w:p>
            <w:pPr>
              <w:spacing w:before="60" w:after="60" w:line="200" w:lineRule="exact"/>
              <w:jc w:val="center"/>
              <w:rPr>
                <w:b/>
                <w:noProof/>
                <w:sz w:val="20"/>
              </w:rPr>
            </w:pPr>
            <w:r>
              <w:rPr>
                <w:b/>
                <w:noProof/>
                <w:sz w:val="20"/>
              </w:rPr>
              <w:t xml:space="preserve">0,539 </w:t>
            </w:r>
          </w:p>
        </w:tc>
        <w:tc>
          <w:tcPr>
            <w:tcW w:w="769" w:type="dxa"/>
            <w:tcBorders>
              <w:top w:val="single" w:sz="12" w:space="0" w:color="auto"/>
              <w:left w:val="single" w:sz="2" w:space="0" w:color="auto"/>
              <w:bottom w:val="single" w:sz="12" w:space="0" w:color="auto"/>
              <w:right w:val="single" w:sz="12" w:space="0" w:color="auto"/>
            </w:tcBorders>
          </w:tcPr>
          <w:p>
            <w:pPr>
              <w:spacing w:before="60" w:after="60" w:line="200" w:lineRule="exact"/>
              <w:jc w:val="center"/>
              <w:rPr>
                <w:b/>
                <w:noProof/>
                <w:sz w:val="20"/>
              </w:rPr>
            </w:pPr>
            <w:r>
              <w:rPr>
                <w:b/>
                <w:noProof/>
                <w:sz w:val="20"/>
              </w:rPr>
              <w:t xml:space="preserve">0,539 </w:t>
            </w:r>
          </w:p>
        </w:tc>
        <w:tc>
          <w:tcPr>
            <w:tcW w:w="879" w:type="dxa"/>
            <w:tcBorders>
              <w:top w:val="single" w:sz="12" w:space="0" w:color="auto"/>
              <w:left w:val="single" w:sz="2" w:space="0" w:color="auto"/>
              <w:bottom w:val="single" w:sz="12" w:space="0" w:color="auto"/>
              <w:right w:val="single" w:sz="12" w:space="0" w:color="auto"/>
            </w:tcBorders>
          </w:tcPr>
          <w:p>
            <w:pPr>
              <w:spacing w:before="60" w:after="60" w:line="200" w:lineRule="exact"/>
              <w:jc w:val="center"/>
              <w:rPr>
                <w:b/>
                <w:noProof/>
                <w:sz w:val="20"/>
              </w:rPr>
            </w:pPr>
            <w:r>
              <w:rPr>
                <w:b/>
                <w:noProof/>
                <w:sz w:val="20"/>
              </w:rPr>
              <w:t xml:space="preserve">0,539 </w:t>
            </w:r>
          </w:p>
        </w:tc>
        <w:tc>
          <w:tcPr>
            <w:tcW w:w="1704" w:type="dxa"/>
            <w:tcBorders>
              <w:top w:val="single" w:sz="12" w:space="0" w:color="auto"/>
              <w:left w:val="single" w:sz="2" w:space="0" w:color="auto"/>
              <w:bottom w:val="single" w:sz="12" w:space="0" w:color="auto"/>
              <w:right w:val="single" w:sz="12" w:space="0" w:color="auto"/>
            </w:tcBorders>
          </w:tcPr>
          <w:p>
            <w:pPr>
              <w:spacing w:before="60" w:after="60" w:line="200" w:lineRule="exact"/>
              <w:jc w:val="center"/>
              <w:rPr>
                <w:b/>
                <w:noProof/>
                <w:sz w:val="20"/>
              </w:rPr>
            </w:pPr>
            <w:r>
              <w:rPr>
                <w:b/>
                <w:noProof/>
                <w:sz w:val="20"/>
              </w:rPr>
              <w:t xml:space="preserve">7,695 </w:t>
            </w:r>
          </w:p>
        </w:tc>
      </w:tr>
    </w:tbl>
    <w:p>
      <w:pPr>
        <w:rPr>
          <w:noProof/>
          <w:sz w:val="20"/>
        </w:rPr>
      </w:pPr>
    </w:p>
    <w:p>
      <w:pPr>
        <w:rPr>
          <w:noProof/>
          <w:sz w:val="20"/>
        </w:rPr>
      </w:pPr>
    </w:p>
    <w:p>
      <w:pPr>
        <w:rPr>
          <w:noProof/>
          <w:sz w:val="18"/>
        </w:rPr>
        <w:sectPr>
          <w:headerReference w:type="default" r:id="rId28"/>
          <w:footerReference w:type="default" r:id="rId29"/>
          <w:headerReference w:type="first" r:id="rId30"/>
          <w:footerReference w:type="first" r:id="rId31"/>
          <w:pgSz w:w="11907" w:h="16840"/>
          <w:pgMar w:top="1134" w:right="1418" w:bottom="1134" w:left="1418" w:header="709" w:footer="709" w:gutter="0"/>
          <w:cols w:space="708"/>
          <w:docGrid w:linePitch="360"/>
        </w:sectPr>
      </w:pPr>
      <w:r>
        <w:rPr>
          <w:noProof/>
          <w:sz w:val="18"/>
        </w:rPr>
        <w:t>.</w:t>
      </w:r>
    </w:p>
    <w:p>
      <w:pPr>
        <w:pStyle w:val="ManualHeading4"/>
        <w:rPr>
          <w:bCs/>
          <w:noProof/>
          <w:szCs w:val="24"/>
        </w:rPr>
      </w:pPr>
      <w:r>
        <w:t>3.2.4.2.</w:t>
      </w:r>
      <w:r>
        <w:tab/>
      </w:r>
      <w:r>
        <w:rPr>
          <w:noProof/>
        </w:rPr>
        <w:t>Ocenjene potrebe po človeških virih</w:t>
      </w:r>
    </w:p>
    <w:p>
      <w:pPr>
        <w:pStyle w:val="ListDash1"/>
        <w:rPr>
          <w:noProof/>
        </w:rPr>
      </w:pPr>
      <w:r>
        <w:rPr>
          <w:noProof/>
        </w:rPr>
        <w:sym w:font="Wingdings" w:char="F0A8"/>
      </w:r>
      <w:r>
        <w:rPr>
          <w:noProof/>
        </w:rPr>
        <w:tab/>
        <w:t xml:space="preserve">Za predlog/pobudo niso potrebni človeški viri. </w:t>
      </w:r>
    </w:p>
    <w:p>
      <w:pPr>
        <w:pStyle w:val="ListDash1"/>
        <w:rPr>
          <w:noProof/>
        </w:rPr>
      </w:pPr>
      <w:r>
        <w:rPr>
          <w:noProof/>
        </w:rPr>
        <w:sym w:font="Wingdings" w:char="F078"/>
      </w:r>
      <w:r>
        <w:rPr>
          <w:noProof/>
        </w:rPr>
        <w:tab/>
        <w:t>Za predlog/pobudo so potrebni človeški viri, kot je pojasnjeno v nadaljevanju:</w:t>
      </w:r>
    </w:p>
    <w:p>
      <w:pPr>
        <w:spacing w:after="60"/>
        <w:jc w:val="right"/>
        <w:rPr>
          <w:i/>
          <w:noProof/>
          <w:sz w:val="20"/>
        </w:rPr>
      </w:pPr>
      <w:r>
        <w:rPr>
          <w:i/>
          <w:noProof/>
          <w:sz w:val="20"/>
        </w:rPr>
        <w:t>ocena, izražena v ekvivalentu polnega delovnega časa</w:t>
      </w:r>
    </w:p>
    <w:tbl>
      <w:tblPr>
        <w:tblW w:w="4914"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593"/>
        <w:gridCol w:w="29"/>
        <w:gridCol w:w="677"/>
        <w:gridCol w:w="1320"/>
        <w:gridCol w:w="621"/>
        <w:gridCol w:w="622"/>
        <w:gridCol w:w="599"/>
        <w:gridCol w:w="615"/>
        <w:gridCol w:w="597"/>
        <w:gridCol w:w="599"/>
        <w:gridCol w:w="599"/>
        <w:gridCol w:w="602"/>
        <w:gridCol w:w="778"/>
        <w:gridCol w:w="876"/>
      </w:tblGrid>
      <w:tr>
        <w:trPr>
          <w:trHeight w:val="289"/>
          <w:jc w:val="center"/>
        </w:trPr>
        <w:tc>
          <w:tcPr>
            <w:tcW w:w="1435" w:type="pct"/>
            <w:gridSpan w:val="4"/>
            <w:tcBorders>
              <w:left w:val="single" w:sz="6" w:space="0" w:color="auto"/>
            </w:tcBorders>
            <w:shd w:val="clear" w:color="auto" w:fill="auto"/>
          </w:tcPr>
          <w:p>
            <w:pPr>
              <w:spacing w:before="40" w:after="40"/>
              <w:rPr>
                <w:i/>
                <w:noProof/>
                <w:sz w:val="16"/>
                <w:szCs w:val="16"/>
              </w:rPr>
            </w:pPr>
          </w:p>
        </w:tc>
        <w:tc>
          <w:tcPr>
            <w:tcW w:w="340" w:type="pct"/>
            <w:vAlign w:val="center"/>
          </w:tcPr>
          <w:p>
            <w:pPr>
              <w:spacing w:before="20" w:after="20"/>
              <w:jc w:val="center"/>
              <w:rPr>
                <w:noProof/>
                <w:sz w:val="16"/>
                <w:szCs w:val="16"/>
              </w:rPr>
            </w:pPr>
            <w:r>
              <w:rPr>
                <w:noProof/>
                <w:sz w:val="16"/>
              </w:rPr>
              <w:t>Leto</w:t>
            </w:r>
            <w:r>
              <w:rPr>
                <w:noProof/>
                <w:sz w:val="22"/>
              </w:rPr>
              <w:br/>
            </w:r>
            <w:r>
              <w:rPr>
                <w:b/>
                <w:noProof/>
                <w:sz w:val="16"/>
              </w:rPr>
              <w:t>2019</w:t>
            </w:r>
          </w:p>
        </w:tc>
        <w:tc>
          <w:tcPr>
            <w:tcW w:w="341" w:type="pct"/>
            <w:shd w:val="clear" w:color="auto" w:fill="auto"/>
            <w:vAlign w:val="center"/>
          </w:tcPr>
          <w:p>
            <w:pPr>
              <w:spacing w:before="20" w:after="20"/>
              <w:jc w:val="center"/>
              <w:rPr>
                <w:noProof/>
                <w:sz w:val="16"/>
                <w:szCs w:val="16"/>
              </w:rPr>
            </w:pPr>
            <w:r>
              <w:rPr>
                <w:noProof/>
                <w:sz w:val="16"/>
              </w:rPr>
              <w:t>Leto</w:t>
            </w:r>
            <w:r>
              <w:rPr>
                <w:noProof/>
                <w:sz w:val="22"/>
              </w:rPr>
              <w:br/>
            </w:r>
            <w:r>
              <w:rPr>
                <w:b/>
                <w:noProof/>
                <w:sz w:val="16"/>
              </w:rPr>
              <w:t>2020</w:t>
            </w:r>
          </w:p>
        </w:tc>
        <w:tc>
          <w:tcPr>
            <w:tcW w:w="328" w:type="pct"/>
            <w:shd w:val="clear" w:color="auto" w:fill="auto"/>
            <w:vAlign w:val="center"/>
          </w:tcPr>
          <w:p>
            <w:pPr>
              <w:spacing w:before="20" w:after="20"/>
              <w:jc w:val="center"/>
              <w:rPr>
                <w:b/>
                <w:noProof/>
                <w:sz w:val="16"/>
                <w:szCs w:val="16"/>
              </w:rPr>
            </w:pPr>
            <w:r>
              <w:rPr>
                <w:noProof/>
                <w:sz w:val="16"/>
              </w:rPr>
              <w:t>Leto</w:t>
            </w:r>
            <w:r>
              <w:rPr>
                <w:noProof/>
                <w:sz w:val="16"/>
                <w:szCs w:val="16"/>
              </w:rPr>
              <w:br/>
            </w:r>
            <w:r>
              <w:rPr>
                <w:b/>
                <w:noProof/>
                <w:sz w:val="16"/>
              </w:rPr>
              <w:t>2021</w:t>
            </w:r>
          </w:p>
        </w:tc>
        <w:tc>
          <w:tcPr>
            <w:tcW w:w="337" w:type="pct"/>
            <w:shd w:val="clear" w:color="auto" w:fill="auto"/>
            <w:vAlign w:val="center"/>
          </w:tcPr>
          <w:p>
            <w:pPr>
              <w:spacing w:before="20" w:after="20"/>
              <w:jc w:val="center"/>
              <w:rPr>
                <w:b/>
                <w:noProof/>
                <w:sz w:val="16"/>
                <w:szCs w:val="16"/>
              </w:rPr>
            </w:pPr>
            <w:r>
              <w:rPr>
                <w:noProof/>
                <w:sz w:val="16"/>
              </w:rPr>
              <w:t>Leto</w:t>
            </w:r>
            <w:r>
              <w:rPr>
                <w:b/>
                <w:noProof/>
                <w:sz w:val="16"/>
                <w:szCs w:val="16"/>
              </w:rPr>
              <w:br/>
            </w:r>
            <w:r>
              <w:rPr>
                <w:b/>
                <w:noProof/>
                <w:sz w:val="16"/>
              </w:rPr>
              <w:t>2022</w:t>
            </w:r>
          </w:p>
        </w:tc>
        <w:tc>
          <w:tcPr>
            <w:tcW w:w="327" w:type="pct"/>
            <w:shd w:val="clear" w:color="auto" w:fill="auto"/>
            <w:vAlign w:val="center"/>
          </w:tcPr>
          <w:p>
            <w:pPr>
              <w:jc w:val="center"/>
              <w:rPr>
                <w:b/>
                <w:noProof/>
                <w:sz w:val="16"/>
                <w:szCs w:val="16"/>
              </w:rPr>
            </w:pPr>
            <w:r>
              <w:rPr>
                <w:noProof/>
                <w:sz w:val="16"/>
              </w:rPr>
              <w:t>Leto</w:t>
            </w:r>
            <w:r>
              <w:rPr>
                <w:b/>
                <w:noProof/>
                <w:sz w:val="16"/>
                <w:szCs w:val="16"/>
              </w:rPr>
              <w:br/>
            </w:r>
            <w:r>
              <w:rPr>
                <w:b/>
                <w:noProof/>
                <w:sz w:val="16"/>
              </w:rPr>
              <w:t>2023</w:t>
            </w:r>
          </w:p>
        </w:tc>
        <w:tc>
          <w:tcPr>
            <w:tcW w:w="328" w:type="pct"/>
            <w:shd w:val="clear" w:color="auto" w:fill="auto"/>
            <w:vAlign w:val="center"/>
          </w:tcPr>
          <w:p>
            <w:pPr>
              <w:jc w:val="center"/>
              <w:rPr>
                <w:b/>
                <w:noProof/>
                <w:sz w:val="16"/>
                <w:szCs w:val="16"/>
              </w:rPr>
            </w:pPr>
            <w:r>
              <w:rPr>
                <w:noProof/>
                <w:sz w:val="16"/>
              </w:rPr>
              <w:t>Leto</w:t>
            </w:r>
            <w:r>
              <w:rPr>
                <w:b/>
                <w:noProof/>
                <w:sz w:val="16"/>
                <w:szCs w:val="16"/>
              </w:rPr>
              <w:br/>
            </w:r>
            <w:r>
              <w:rPr>
                <w:b/>
                <w:noProof/>
                <w:sz w:val="16"/>
              </w:rPr>
              <w:t>2024</w:t>
            </w:r>
          </w:p>
        </w:tc>
        <w:tc>
          <w:tcPr>
            <w:tcW w:w="328" w:type="pct"/>
            <w:shd w:val="clear" w:color="auto" w:fill="auto"/>
            <w:vAlign w:val="center"/>
          </w:tcPr>
          <w:p>
            <w:pPr>
              <w:jc w:val="center"/>
              <w:rPr>
                <w:b/>
                <w:noProof/>
                <w:sz w:val="16"/>
                <w:szCs w:val="16"/>
              </w:rPr>
            </w:pPr>
            <w:r>
              <w:rPr>
                <w:noProof/>
                <w:sz w:val="16"/>
              </w:rPr>
              <w:t>Leto</w:t>
            </w:r>
            <w:r>
              <w:rPr>
                <w:b/>
                <w:noProof/>
                <w:sz w:val="16"/>
                <w:szCs w:val="16"/>
              </w:rPr>
              <w:br/>
            </w:r>
            <w:r>
              <w:rPr>
                <w:b/>
                <w:noProof/>
                <w:sz w:val="16"/>
              </w:rPr>
              <w:t>2025</w:t>
            </w:r>
          </w:p>
        </w:tc>
        <w:tc>
          <w:tcPr>
            <w:tcW w:w="330" w:type="pct"/>
            <w:tcBorders>
              <w:right w:val="nil"/>
            </w:tcBorders>
            <w:shd w:val="clear" w:color="auto" w:fill="auto"/>
          </w:tcPr>
          <w:p>
            <w:pPr>
              <w:jc w:val="center"/>
              <w:rPr>
                <w:noProof/>
                <w:sz w:val="16"/>
                <w:szCs w:val="16"/>
              </w:rPr>
            </w:pPr>
            <w:r>
              <w:rPr>
                <w:noProof/>
                <w:sz w:val="16"/>
              </w:rPr>
              <w:t>Leto</w:t>
            </w:r>
            <w:r>
              <w:rPr>
                <w:b/>
                <w:noProof/>
                <w:sz w:val="16"/>
                <w:szCs w:val="16"/>
              </w:rPr>
              <w:br/>
            </w:r>
            <w:r>
              <w:rPr>
                <w:b/>
                <w:noProof/>
                <w:sz w:val="16"/>
              </w:rPr>
              <w:t>2026</w:t>
            </w:r>
          </w:p>
        </w:tc>
        <w:tc>
          <w:tcPr>
            <w:tcW w:w="426" w:type="pct"/>
            <w:tcBorders>
              <w:right w:val="nil"/>
            </w:tcBorders>
          </w:tcPr>
          <w:p>
            <w:pPr>
              <w:jc w:val="center"/>
              <w:rPr>
                <w:noProof/>
                <w:sz w:val="16"/>
                <w:szCs w:val="16"/>
              </w:rPr>
            </w:pPr>
            <w:r>
              <w:rPr>
                <w:noProof/>
                <w:sz w:val="16"/>
              </w:rPr>
              <w:t>Leto</w:t>
            </w:r>
            <w:r>
              <w:rPr>
                <w:b/>
                <w:noProof/>
                <w:sz w:val="16"/>
                <w:szCs w:val="16"/>
              </w:rPr>
              <w:br/>
            </w:r>
            <w:r>
              <w:rPr>
                <w:b/>
                <w:noProof/>
                <w:sz w:val="16"/>
              </w:rPr>
              <w:t>2027</w:t>
            </w:r>
          </w:p>
        </w:tc>
        <w:tc>
          <w:tcPr>
            <w:tcW w:w="480" w:type="pct"/>
            <w:tcBorders>
              <w:right w:val="single" w:sz="6" w:space="0" w:color="auto"/>
            </w:tcBorders>
          </w:tcPr>
          <w:p>
            <w:pPr>
              <w:jc w:val="center"/>
              <w:rPr>
                <w:b/>
                <w:noProof/>
                <w:sz w:val="16"/>
                <w:szCs w:val="16"/>
              </w:rPr>
            </w:pPr>
            <w:r>
              <w:rPr>
                <w:b/>
                <w:noProof/>
                <w:sz w:val="16"/>
              </w:rPr>
              <w:t>SKUPAJ</w:t>
            </w:r>
          </w:p>
        </w:tc>
      </w:tr>
      <w:tr>
        <w:trPr>
          <w:trHeight w:val="289"/>
          <w:jc w:val="center"/>
        </w:trPr>
        <w:tc>
          <w:tcPr>
            <w:tcW w:w="341" w:type="pct"/>
            <w:gridSpan w:val="2"/>
            <w:tcBorders>
              <w:left w:val="single" w:sz="6" w:space="0" w:color="auto"/>
            </w:tcBorders>
          </w:tcPr>
          <w:p>
            <w:pPr>
              <w:spacing w:before="20" w:after="20"/>
              <w:rPr>
                <w:b/>
                <w:noProof/>
                <w:sz w:val="16"/>
              </w:rPr>
            </w:pPr>
          </w:p>
        </w:tc>
        <w:tc>
          <w:tcPr>
            <w:tcW w:w="4179" w:type="pct"/>
            <w:gridSpan w:val="11"/>
            <w:tcBorders>
              <w:left w:val="single" w:sz="6" w:space="0" w:color="auto"/>
            </w:tcBorders>
            <w:shd w:val="clear" w:color="auto" w:fill="auto"/>
          </w:tcPr>
          <w:p>
            <w:pPr>
              <w:jc w:val="left"/>
              <w:rPr>
                <w:noProof/>
                <w:sz w:val="16"/>
                <w:szCs w:val="16"/>
              </w:rPr>
            </w:pPr>
            <w:r>
              <w:rPr>
                <w:b/>
                <w:noProof/>
                <w:sz w:val="16"/>
              </w:rPr>
              <w:sym w:font="Wingdings" w:char="F09F"/>
            </w:r>
            <w:r>
              <w:rPr>
                <w:b/>
                <w:noProof/>
                <w:sz w:val="16"/>
              </w:rPr>
              <w:t>Delovna mesta v skladu s kadrovskim načrtom (uradniki in začasni uslužbenci)</w:t>
            </w:r>
          </w:p>
        </w:tc>
        <w:tc>
          <w:tcPr>
            <w:tcW w:w="480" w:type="pct"/>
            <w:tcBorders>
              <w:right w:val="single" w:sz="6" w:space="0" w:color="auto"/>
            </w:tcBorders>
          </w:tcPr>
          <w:p>
            <w:pPr>
              <w:jc w:val="center"/>
              <w:rPr>
                <w:noProof/>
                <w:sz w:val="16"/>
                <w:szCs w:val="16"/>
              </w:rPr>
            </w:pPr>
          </w:p>
        </w:tc>
      </w:tr>
      <w:tr>
        <w:trPr>
          <w:trHeight w:val="289"/>
          <w:jc w:val="center"/>
        </w:trPr>
        <w:tc>
          <w:tcPr>
            <w:tcW w:w="1435" w:type="pct"/>
            <w:gridSpan w:val="4"/>
            <w:tcBorders>
              <w:left w:val="single" w:sz="6" w:space="0" w:color="auto"/>
            </w:tcBorders>
            <w:shd w:val="clear" w:color="auto" w:fill="auto"/>
            <w:vAlign w:val="center"/>
          </w:tcPr>
          <w:p>
            <w:pPr>
              <w:spacing w:beforeLines="20" w:before="48" w:afterLines="20" w:after="48"/>
              <w:ind w:left="134"/>
              <w:jc w:val="left"/>
              <w:rPr>
                <w:b/>
                <w:noProof/>
                <w:sz w:val="16"/>
                <w:szCs w:val="16"/>
              </w:rPr>
            </w:pPr>
            <w:r>
              <w:rPr>
                <w:noProof/>
                <w:sz w:val="16"/>
              </w:rPr>
              <w:t>18 01 01 01 (sedež in predstavništva Komisije) GD HOME</w:t>
            </w:r>
          </w:p>
        </w:tc>
        <w:tc>
          <w:tcPr>
            <w:tcW w:w="340" w:type="pct"/>
          </w:tcPr>
          <w:p>
            <w:pPr>
              <w:spacing w:beforeLines="20" w:before="48" w:afterLines="20" w:after="48"/>
              <w:jc w:val="center"/>
              <w:rPr>
                <w:noProof/>
                <w:sz w:val="22"/>
              </w:rPr>
            </w:pPr>
            <w:r>
              <w:rPr>
                <w:noProof/>
                <w:sz w:val="22"/>
              </w:rPr>
              <w:t xml:space="preserve">5,0 </w:t>
            </w:r>
          </w:p>
        </w:tc>
        <w:tc>
          <w:tcPr>
            <w:tcW w:w="341" w:type="pct"/>
            <w:shd w:val="clear" w:color="auto" w:fill="auto"/>
          </w:tcPr>
          <w:p>
            <w:pPr>
              <w:spacing w:beforeLines="20" w:before="48" w:afterLines="20" w:after="48"/>
              <w:jc w:val="center"/>
              <w:rPr>
                <w:noProof/>
                <w:sz w:val="22"/>
              </w:rPr>
            </w:pPr>
            <w:r>
              <w:rPr>
                <w:noProof/>
                <w:sz w:val="22"/>
              </w:rPr>
              <w:t xml:space="preserve">5,0 </w:t>
            </w:r>
          </w:p>
        </w:tc>
        <w:tc>
          <w:tcPr>
            <w:tcW w:w="328" w:type="pct"/>
            <w:shd w:val="clear" w:color="auto" w:fill="auto"/>
          </w:tcPr>
          <w:p>
            <w:pPr>
              <w:spacing w:beforeLines="20" w:before="48" w:afterLines="20" w:after="48"/>
              <w:jc w:val="center"/>
              <w:rPr>
                <w:noProof/>
                <w:sz w:val="22"/>
              </w:rPr>
            </w:pPr>
            <w:r>
              <w:rPr>
                <w:noProof/>
                <w:sz w:val="22"/>
              </w:rPr>
              <w:t xml:space="preserve">5,0 </w:t>
            </w:r>
          </w:p>
        </w:tc>
        <w:tc>
          <w:tcPr>
            <w:tcW w:w="337" w:type="pct"/>
            <w:shd w:val="clear" w:color="auto" w:fill="auto"/>
          </w:tcPr>
          <w:p>
            <w:pPr>
              <w:spacing w:beforeLines="20" w:before="48" w:afterLines="20" w:after="48"/>
              <w:jc w:val="center"/>
              <w:rPr>
                <w:noProof/>
                <w:sz w:val="22"/>
              </w:rPr>
            </w:pPr>
            <w:r>
              <w:rPr>
                <w:noProof/>
                <w:sz w:val="22"/>
              </w:rPr>
              <w:t xml:space="preserve">5,0 </w:t>
            </w:r>
          </w:p>
        </w:tc>
        <w:tc>
          <w:tcPr>
            <w:tcW w:w="327" w:type="pct"/>
            <w:shd w:val="clear" w:color="auto" w:fill="auto"/>
          </w:tcPr>
          <w:p>
            <w:pPr>
              <w:spacing w:beforeLines="20" w:before="48" w:afterLines="20" w:after="48"/>
              <w:jc w:val="center"/>
              <w:rPr>
                <w:noProof/>
                <w:sz w:val="22"/>
              </w:rPr>
            </w:pPr>
            <w:r>
              <w:rPr>
                <w:noProof/>
                <w:sz w:val="22"/>
              </w:rPr>
              <w:t xml:space="preserve">5,0 </w:t>
            </w:r>
          </w:p>
        </w:tc>
        <w:tc>
          <w:tcPr>
            <w:tcW w:w="328" w:type="pct"/>
            <w:shd w:val="clear" w:color="auto" w:fill="auto"/>
          </w:tcPr>
          <w:p>
            <w:pPr>
              <w:spacing w:beforeLines="20" w:before="48" w:afterLines="20" w:after="48"/>
              <w:jc w:val="center"/>
              <w:rPr>
                <w:noProof/>
                <w:sz w:val="22"/>
              </w:rPr>
            </w:pPr>
            <w:r>
              <w:rPr>
                <w:noProof/>
                <w:sz w:val="22"/>
              </w:rPr>
              <w:t xml:space="preserve">5,0 </w:t>
            </w:r>
          </w:p>
        </w:tc>
        <w:tc>
          <w:tcPr>
            <w:tcW w:w="328" w:type="pct"/>
            <w:shd w:val="clear" w:color="auto" w:fill="auto"/>
          </w:tcPr>
          <w:p>
            <w:pPr>
              <w:spacing w:beforeLines="20" w:before="48" w:afterLines="20" w:after="48"/>
              <w:jc w:val="center"/>
              <w:rPr>
                <w:noProof/>
                <w:sz w:val="22"/>
              </w:rPr>
            </w:pPr>
            <w:r>
              <w:rPr>
                <w:noProof/>
                <w:sz w:val="22"/>
              </w:rPr>
              <w:t xml:space="preserve">2,0 </w:t>
            </w:r>
          </w:p>
        </w:tc>
        <w:tc>
          <w:tcPr>
            <w:tcW w:w="330" w:type="pct"/>
            <w:tcBorders>
              <w:right w:val="nil"/>
            </w:tcBorders>
            <w:shd w:val="clear" w:color="auto" w:fill="auto"/>
          </w:tcPr>
          <w:p>
            <w:pPr>
              <w:spacing w:beforeLines="20" w:before="48" w:afterLines="20" w:after="48"/>
              <w:jc w:val="center"/>
              <w:rPr>
                <w:noProof/>
                <w:sz w:val="22"/>
              </w:rPr>
            </w:pPr>
            <w:r>
              <w:rPr>
                <w:noProof/>
                <w:sz w:val="22"/>
              </w:rPr>
              <w:t xml:space="preserve">2,0 </w:t>
            </w:r>
          </w:p>
        </w:tc>
        <w:tc>
          <w:tcPr>
            <w:tcW w:w="426" w:type="pct"/>
            <w:tcBorders>
              <w:right w:val="nil"/>
            </w:tcBorders>
          </w:tcPr>
          <w:p>
            <w:pPr>
              <w:spacing w:beforeLines="20" w:before="48" w:afterLines="20" w:after="48"/>
              <w:jc w:val="center"/>
              <w:rPr>
                <w:noProof/>
                <w:sz w:val="22"/>
              </w:rPr>
            </w:pPr>
            <w:r>
              <w:rPr>
                <w:noProof/>
                <w:sz w:val="22"/>
              </w:rPr>
              <w:t xml:space="preserve">2,0 </w:t>
            </w:r>
          </w:p>
        </w:tc>
        <w:tc>
          <w:tcPr>
            <w:tcW w:w="480" w:type="pct"/>
            <w:tcBorders>
              <w:right w:val="single" w:sz="6" w:space="0" w:color="auto"/>
            </w:tcBorders>
          </w:tcPr>
          <w:p>
            <w:pPr>
              <w:spacing w:beforeLines="20" w:before="48" w:afterLines="20" w:after="48"/>
              <w:jc w:val="center"/>
              <w:rPr>
                <w:noProof/>
                <w:sz w:val="22"/>
              </w:rPr>
            </w:pPr>
            <w:r>
              <w:rPr>
                <w:noProof/>
                <w:sz w:val="22"/>
              </w:rPr>
              <w:t xml:space="preserve">36,0 </w:t>
            </w:r>
          </w:p>
        </w:tc>
      </w:tr>
      <w:tr>
        <w:trPr>
          <w:trHeight w:val="289"/>
          <w:jc w:val="center"/>
        </w:trPr>
        <w:tc>
          <w:tcPr>
            <w:tcW w:w="1435" w:type="pct"/>
            <w:gridSpan w:val="4"/>
            <w:tcBorders>
              <w:left w:val="single" w:sz="6" w:space="0" w:color="auto"/>
            </w:tcBorders>
            <w:shd w:val="clear" w:color="auto" w:fill="auto"/>
            <w:vAlign w:val="center"/>
          </w:tcPr>
          <w:p>
            <w:pPr>
              <w:spacing w:beforeLines="20" w:before="48" w:afterLines="20" w:after="48"/>
              <w:ind w:left="134"/>
              <w:jc w:val="left"/>
              <w:rPr>
                <w:noProof/>
                <w:sz w:val="16"/>
                <w:szCs w:val="16"/>
              </w:rPr>
            </w:pPr>
            <w:r>
              <w:rPr>
                <w:noProof/>
                <w:sz w:val="16"/>
              </w:rPr>
              <w:t>XX 01 01 02 (delegacije)</w:t>
            </w:r>
          </w:p>
        </w:tc>
        <w:tc>
          <w:tcPr>
            <w:tcW w:w="340" w:type="pct"/>
          </w:tcPr>
          <w:p>
            <w:pPr>
              <w:spacing w:beforeLines="20" w:before="48" w:afterLines="20" w:after="48"/>
              <w:jc w:val="center"/>
              <w:rPr>
                <w:noProof/>
                <w:sz w:val="16"/>
                <w:szCs w:val="16"/>
              </w:rPr>
            </w:pPr>
          </w:p>
        </w:tc>
        <w:tc>
          <w:tcPr>
            <w:tcW w:w="341" w:type="pct"/>
            <w:shd w:val="clear" w:color="auto" w:fill="auto"/>
            <w:vAlign w:val="center"/>
          </w:tcPr>
          <w:p>
            <w:pPr>
              <w:spacing w:beforeLines="20" w:before="48" w:afterLines="20" w:after="48"/>
              <w:jc w:val="center"/>
              <w:rPr>
                <w:noProof/>
                <w:sz w:val="16"/>
                <w:szCs w:val="16"/>
              </w:rPr>
            </w:pPr>
          </w:p>
        </w:tc>
        <w:tc>
          <w:tcPr>
            <w:tcW w:w="328" w:type="pct"/>
            <w:shd w:val="clear" w:color="auto" w:fill="auto"/>
            <w:vAlign w:val="center"/>
          </w:tcPr>
          <w:p>
            <w:pPr>
              <w:spacing w:beforeLines="20" w:before="48" w:afterLines="20" w:after="48"/>
              <w:jc w:val="center"/>
              <w:rPr>
                <w:noProof/>
                <w:sz w:val="16"/>
                <w:szCs w:val="16"/>
              </w:rPr>
            </w:pPr>
          </w:p>
        </w:tc>
        <w:tc>
          <w:tcPr>
            <w:tcW w:w="337" w:type="pct"/>
            <w:shd w:val="clear" w:color="auto" w:fill="auto"/>
            <w:vAlign w:val="center"/>
          </w:tcPr>
          <w:p>
            <w:pPr>
              <w:spacing w:beforeLines="20" w:before="48" w:afterLines="20" w:after="48"/>
              <w:jc w:val="center"/>
              <w:rPr>
                <w:noProof/>
                <w:sz w:val="16"/>
                <w:szCs w:val="16"/>
              </w:rPr>
            </w:pPr>
          </w:p>
        </w:tc>
        <w:tc>
          <w:tcPr>
            <w:tcW w:w="327" w:type="pct"/>
            <w:shd w:val="clear" w:color="auto" w:fill="auto"/>
            <w:vAlign w:val="center"/>
          </w:tcPr>
          <w:p>
            <w:pPr>
              <w:spacing w:beforeLines="20" w:before="48" w:afterLines="20" w:after="48"/>
              <w:jc w:val="center"/>
              <w:rPr>
                <w:noProof/>
                <w:sz w:val="16"/>
                <w:szCs w:val="16"/>
              </w:rPr>
            </w:pPr>
          </w:p>
        </w:tc>
        <w:tc>
          <w:tcPr>
            <w:tcW w:w="328" w:type="pct"/>
            <w:shd w:val="clear" w:color="auto" w:fill="auto"/>
            <w:vAlign w:val="center"/>
          </w:tcPr>
          <w:p>
            <w:pPr>
              <w:spacing w:beforeLines="20" w:before="48" w:afterLines="20" w:after="48"/>
              <w:jc w:val="center"/>
              <w:rPr>
                <w:noProof/>
                <w:sz w:val="16"/>
                <w:szCs w:val="16"/>
              </w:rPr>
            </w:pPr>
          </w:p>
        </w:tc>
        <w:tc>
          <w:tcPr>
            <w:tcW w:w="328" w:type="pct"/>
            <w:shd w:val="clear" w:color="auto" w:fill="auto"/>
            <w:vAlign w:val="center"/>
          </w:tcPr>
          <w:p>
            <w:pPr>
              <w:spacing w:beforeLines="20" w:before="48" w:afterLines="20" w:after="48"/>
              <w:jc w:val="center"/>
              <w:rPr>
                <w:noProof/>
                <w:sz w:val="16"/>
                <w:szCs w:val="16"/>
              </w:rPr>
            </w:pPr>
          </w:p>
        </w:tc>
        <w:tc>
          <w:tcPr>
            <w:tcW w:w="330" w:type="pct"/>
            <w:tcBorders>
              <w:right w:val="nil"/>
            </w:tcBorders>
            <w:shd w:val="clear" w:color="auto" w:fill="auto"/>
            <w:vAlign w:val="center"/>
          </w:tcPr>
          <w:p>
            <w:pPr>
              <w:spacing w:beforeLines="20" w:before="48" w:afterLines="20" w:after="48"/>
              <w:jc w:val="center"/>
              <w:rPr>
                <w:noProof/>
                <w:sz w:val="16"/>
                <w:szCs w:val="16"/>
              </w:rPr>
            </w:pPr>
          </w:p>
        </w:tc>
        <w:tc>
          <w:tcPr>
            <w:tcW w:w="426" w:type="pct"/>
            <w:tcBorders>
              <w:right w:val="nil"/>
            </w:tcBorders>
          </w:tcPr>
          <w:p>
            <w:pPr>
              <w:spacing w:beforeLines="20" w:before="48" w:afterLines="20" w:after="48"/>
              <w:jc w:val="center"/>
              <w:rPr>
                <w:noProof/>
                <w:sz w:val="16"/>
                <w:szCs w:val="16"/>
              </w:rPr>
            </w:pPr>
          </w:p>
        </w:tc>
        <w:tc>
          <w:tcPr>
            <w:tcW w:w="480" w:type="pct"/>
            <w:tcBorders>
              <w:right w:val="single" w:sz="6" w:space="0" w:color="auto"/>
            </w:tcBorders>
          </w:tcPr>
          <w:p>
            <w:pPr>
              <w:spacing w:beforeLines="20" w:before="48" w:afterLines="20" w:after="48"/>
              <w:jc w:val="center"/>
              <w:rPr>
                <w:noProof/>
                <w:sz w:val="16"/>
                <w:szCs w:val="16"/>
              </w:rPr>
            </w:pPr>
          </w:p>
        </w:tc>
      </w:tr>
      <w:tr>
        <w:trPr>
          <w:trHeight w:val="289"/>
          <w:jc w:val="center"/>
        </w:trPr>
        <w:tc>
          <w:tcPr>
            <w:tcW w:w="1435" w:type="pct"/>
            <w:gridSpan w:val="4"/>
            <w:tcBorders>
              <w:left w:val="single" w:sz="6" w:space="0" w:color="auto"/>
            </w:tcBorders>
            <w:shd w:val="clear" w:color="auto" w:fill="auto"/>
            <w:vAlign w:val="center"/>
          </w:tcPr>
          <w:p>
            <w:pPr>
              <w:spacing w:beforeLines="20" w:before="48" w:afterLines="20" w:after="48"/>
              <w:ind w:left="134"/>
              <w:jc w:val="left"/>
              <w:rPr>
                <w:noProof/>
                <w:sz w:val="16"/>
                <w:szCs w:val="16"/>
              </w:rPr>
            </w:pPr>
            <w:r>
              <w:rPr>
                <w:noProof/>
                <w:sz w:val="16"/>
              </w:rPr>
              <w:t>XX 01 05 01 (posredne raziskave)</w:t>
            </w:r>
          </w:p>
        </w:tc>
        <w:tc>
          <w:tcPr>
            <w:tcW w:w="340" w:type="pct"/>
          </w:tcPr>
          <w:p>
            <w:pPr>
              <w:spacing w:beforeLines="20" w:before="48" w:afterLines="20" w:after="48"/>
              <w:jc w:val="center"/>
              <w:rPr>
                <w:noProof/>
                <w:sz w:val="16"/>
                <w:szCs w:val="16"/>
              </w:rPr>
            </w:pPr>
          </w:p>
        </w:tc>
        <w:tc>
          <w:tcPr>
            <w:tcW w:w="341" w:type="pct"/>
            <w:shd w:val="clear" w:color="auto" w:fill="auto"/>
            <w:vAlign w:val="center"/>
          </w:tcPr>
          <w:p>
            <w:pPr>
              <w:spacing w:beforeLines="20" w:before="48" w:afterLines="20" w:after="48"/>
              <w:jc w:val="center"/>
              <w:rPr>
                <w:noProof/>
                <w:sz w:val="16"/>
                <w:szCs w:val="16"/>
              </w:rPr>
            </w:pPr>
          </w:p>
        </w:tc>
        <w:tc>
          <w:tcPr>
            <w:tcW w:w="328" w:type="pct"/>
            <w:shd w:val="clear" w:color="auto" w:fill="auto"/>
            <w:vAlign w:val="center"/>
          </w:tcPr>
          <w:p>
            <w:pPr>
              <w:spacing w:beforeLines="20" w:before="48" w:afterLines="20" w:after="48"/>
              <w:jc w:val="center"/>
              <w:rPr>
                <w:noProof/>
                <w:sz w:val="16"/>
                <w:szCs w:val="16"/>
              </w:rPr>
            </w:pPr>
          </w:p>
        </w:tc>
        <w:tc>
          <w:tcPr>
            <w:tcW w:w="337" w:type="pct"/>
            <w:shd w:val="clear" w:color="auto" w:fill="auto"/>
            <w:vAlign w:val="center"/>
          </w:tcPr>
          <w:p>
            <w:pPr>
              <w:spacing w:beforeLines="20" w:before="48" w:afterLines="20" w:after="48"/>
              <w:jc w:val="center"/>
              <w:rPr>
                <w:noProof/>
                <w:sz w:val="16"/>
                <w:szCs w:val="16"/>
              </w:rPr>
            </w:pPr>
          </w:p>
        </w:tc>
        <w:tc>
          <w:tcPr>
            <w:tcW w:w="327" w:type="pct"/>
            <w:shd w:val="clear" w:color="auto" w:fill="auto"/>
            <w:vAlign w:val="center"/>
          </w:tcPr>
          <w:p>
            <w:pPr>
              <w:spacing w:beforeLines="20" w:before="48" w:afterLines="20" w:after="48"/>
              <w:jc w:val="center"/>
              <w:rPr>
                <w:noProof/>
                <w:sz w:val="16"/>
                <w:szCs w:val="16"/>
              </w:rPr>
            </w:pPr>
          </w:p>
        </w:tc>
        <w:tc>
          <w:tcPr>
            <w:tcW w:w="328" w:type="pct"/>
            <w:shd w:val="clear" w:color="auto" w:fill="auto"/>
            <w:vAlign w:val="center"/>
          </w:tcPr>
          <w:p>
            <w:pPr>
              <w:spacing w:beforeLines="20" w:before="48" w:afterLines="20" w:after="48"/>
              <w:jc w:val="center"/>
              <w:rPr>
                <w:noProof/>
                <w:sz w:val="16"/>
                <w:szCs w:val="16"/>
              </w:rPr>
            </w:pPr>
          </w:p>
        </w:tc>
        <w:tc>
          <w:tcPr>
            <w:tcW w:w="328" w:type="pct"/>
            <w:shd w:val="clear" w:color="auto" w:fill="auto"/>
            <w:vAlign w:val="center"/>
          </w:tcPr>
          <w:p>
            <w:pPr>
              <w:spacing w:beforeLines="20" w:before="48" w:afterLines="20" w:after="48"/>
              <w:jc w:val="center"/>
              <w:rPr>
                <w:noProof/>
                <w:sz w:val="16"/>
                <w:szCs w:val="16"/>
              </w:rPr>
            </w:pPr>
          </w:p>
        </w:tc>
        <w:tc>
          <w:tcPr>
            <w:tcW w:w="330" w:type="pct"/>
            <w:tcBorders>
              <w:right w:val="nil"/>
            </w:tcBorders>
            <w:shd w:val="clear" w:color="auto" w:fill="auto"/>
            <w:vAlign w:val="center"/>
          </w:tcPr>
          <w:p>
            <w:pPr>
              <w:spacing w:beforeLines="20" w:before="48" w:afterLines="20" w:after="48"/>
              <w:jc w:val="center"/>
              <w:rPr>
                <w:noProof/>
                <w:sz w:val="16"/>
                <w:szCs w:val="16"/>
              </w:rPr>
            </w:pPr>
          </w:p>
        </w:tc>
        <w:tc>
          <w:tcPr>
            <w:tcW w:w="426" w:type="pct"/>
            <w:tcBorders>
              <w:right w:val="nil"/>
            </w:tcBorders>
          </w:tcPr>
          <w:p>
            <w:pPr>
              <w:spacing w:beforeLines="20" w:before="48" w:afterLines="20" w:after="48"/>
              <w:jc w:val="center"/>
              <w:rPr>
                <w:noProof/>
                <w:sz w:val="16"/>
                <w:szCs w:val="16"/>
              </w:rPr>
            </w:pPr>
          </w:p>
        </w:tc>
        <w:tc>
          <w:tcPr>
            <w:tcW w:w="480" w:type="pct"/>
            <w:tcBorders>
              <w:right w:val="single" w:sz="6" w:space="0" w:color="auto"/>
            </w:tcBorders>
          </w:tcPr>
          <w:p>
            <w:pPr>
              <w:spacing w:beforeLines="20" w:before="48" w:afterLines="20" w:after="48"/>
              <w:jc w:val="center"/>
              <w:rPr>
                <w:noProof/>
                <w:sz w:val="16"/>
                <w:szCs w:val="16"/>
              </w:rPr>
            </w:pPr>
          </w:p>
        </w:tc>
      </w:tr>
      <w:tr>
        <w:trPr>
          <w:trHeight w:val="289"/>
          <w:jc w:val="center"/>
        </w:trPr>
        <w:tc>
          <w:tcPr>
            <w:tcW w:w="1435" w:type="pct"/>
            <w:gridSpan w:val="4"/>
            <w:tcBorders>
              <w:left w:val="single" w:sz="6" w:space="0" w:color="auto"/>
            </w:tcBorders>
            <w:shd w:val="clear" w:color="auto" w:fill="auto"/>
            <w:vAlign w:val="center"/>
          </w:tcPr>
          <w:p>
            <w:pPr>
              <w:spacing w:beforeLines="20" w:before="48" w:afterLines="20" w:after="48"/>
              <w:ind w:left="134"/>
              <w:jc w:val="left"/>
              <w:rPr>
                <w:noProof/>
                <w:sz w:val="16"/>
                <w:szCs w:val="16"/>
              </w:rPr>
            </w:pPr>
            <w:r>
              <w:rPr>
                <w:noProof/>
                <w:sz w:val="16"/>
              </w:rPr>
              <w:t>10 01 05 01 (neposredne raziskave)</w:t>
            </w:r>
          </w:p>
        </w:tc>
        <w:tc>
          <w:tcPr>
            <w:tcW w:w="340" w:type="pct"/>
            <w:vAlign w:val="center"/>
          </w:tcPr>
          <w:p>
            <w:pPr>
              <w:spacing w:beforeLines="20" w:before="48" w:afterLines="20" w:after="48"/>
              <w:jc w:val="center"/>
              <w:rPr>
                <w:noProof/>
                <w:sz w:val="16"/>
                <w:szCs w:val="16"/>
              </w:rPr>
            </w:pPr>
          </w:p>
        </w:tc>
        <w:tc>
          <w:tcPr>
            <w:tcW w:w="341" w:type="pct"/>
            <w:shd w:val="clear" w:color="auto" w:fill="auto"/>
            <w:vAlign w:val="center"/>
          </w:tcPr>
          <w:p>
            <w:pPr>
              <w:spacing w:beforeLines="20" w:before="48" w:afterLines="20" w:after="48"/>
              <w:jc w:val="center"/>
              <w:rPr>
                <w:noProof/>
                <w:sz w:val="16"/>
                <w:szCs w:val="16"/>
              </w:rPr>
            </w:pPr>
          </w:p>
        </w:tc>
        <w:tc>
          <w:tcPr>
            <w:tcW w:w="328" w:type="pct"/>
            <w:shd w:val="clear" w:color="auto" w:fill="auto"/>
            <w:vAlign w:val="center"/>
          </w:tcPr>
          <w:p>
            <w:pPr>
              <w:spacing w:beforeLines="20" w:before="48" w:afterLines="20" w:after="48"/>
              <w:jc w:val="center"/>
              <w:rPr>
                <w:noProof/>
                <w:sz w:val="16"/>
                <w:szCs w:val="16"/>
              </w:rPr>
            </w:pPr>
          </w:p>
        </w:tc>
        <w:tc>
          <w:tcPr>
            <w:tcW w:w="337" w:type="pct"/>
            <w:shd w:val="clear" w:color="auto" w:fill="auto"/>
            <w:vAlign w:val="center"/>
          </w:tcPr>
          <w:p>
            <w:pPr>
              <w:spacing w:beforeLines="20" w:before="48" w:afterLines="20" w:after="48"/>
              <w:jc w:val="center"/>
              <w:rPr>
                <w:noProof/>
                <w:sz w:val="16"/>
                <w:szCs w:val="16"/>
              </w:rPr>
            </w:pPr>
          </w:p>
        </w:tc>
        <w:tc>
          <w:tcPr>
            <w:tcW w:w="327" w:type="pct"/>
            <w:shd w:val="clear" w:color="auto" w:fill="auto"/>
            <w:vAlign w:val="center"/>
          </w:tcPr>
          <w:p>
            <w:pPr>
              <w:spacing w:beforeLines="20" w:before="48" w:afterLines="20" w:after="48"/>
              <w:jc w:val="center"/>
              <w:rPr>
                <w:noProof/>
                <w:sz w:val="16"/>
                <w:szCs w:val="16"/>
              </w:rPr>
            </w:pPr>
          </w:p>
        </w:tc>
        <w:tc>
          <w:tcPr>
            <w:tcW w:w="328" w:type="pct"/>
            <w:shd w:val="clear" w:color="auto" w:fill="auto"/>
            <w:vAlign w:val="center"/>
          </w:tcPr>
          <w:p>
            <w:pPr>
              <w:spacing w:beforeLines="20" w:before="48" w:afterLines="20" w:after="48"/>
              <w:jc w:val="center"/>
              <w:rPr>
                <w:noProof/>
                <w:sz w:val="16"/>
                <w:szCs w:val="16"/>
              </w:rPr>
            </w:pPr>
          </w:p>
        </w:tc>
        <w:tc>
          <w:tcPr>
            <w:tcW w:w="328" w:type="pct"/>
            <w:shd w:val="clear" w:color="auto" w:fill="auto"/>
            <w:vAlign w:val="center"/>
          </w:tcPr>
          <w:p>
            <w:pPr>
              <w:spacing w:beforeLines="20" w:before="48" w:afterLines="20" w:after="48"/>
              <w:jc w:val="center"/>
              <w:rPr>
                <w:noProof/>
                <w:sz w:val="16"/>
                <w:szCs w:val="16"/>
              </w:rPr>
            </w:pPr>
          </w:p>
        </w:tc>
        <w:tc>
          <w:tcPr>
            <w:tcW w:w="330" w:type="pct"/>
            <w:tcBorders>
              <w:right w:val="nil"/>
            </w:tcBorders>
            <w:shd w:val="clear" w:color="auto" w:fill="auto"/>
            <w:vAlign w:val="center"/>
          </w:tcPr>
          <w:p>
            <w:pPr>
              <w:spacing w:beforeLines="20" w:before="48" w:afterLines="20" w:after="48"/>
              <w:jc w:val="center"/>
              <w:rPr>
                <w:noProof/>
                <w:sz w:val="16"/>
                <w:szCs w:val="16"/>
              </w:rPr>
            </w:pPr>
          </w:p>
        </w:tc>
        <w:tc>
          <w:tcPr>
            <w:tcW w:w="426" w:type="pct"/>
            <w:tcBorders>
              <w:right w:val="nil"/>
            </w:tcBorders>
          </w:tcPr>
          <w:p>
            <w:pPr>
              <w:spacing w:beforeLines="20" w:before="48" w:afterLines="20" w:after="48"/>
              <w:jc w:val="center"/>
              <w:rPr>
                <w:noProof/>
                <w:sz w:val="16"/>
                <w:szCs w:val="16"/>
              </w:rPr>
            </w:pPr>
          </w:p>
        </w:tc>
        <w:tc>
          <w:tcPr>
            <w:tcW w:w="480" w:type="pct"/>
            <w:tcBorders>
              <w:right w:val="single" w:sz="6" w:space="0" w:color="auto"/>
            </w:tcBorders>
          </w:tcPr>
          <w:p>
            <w:pPr>
              <w:spacing w:beforeLines="20" w:before="48" w:afterLines="20" w:after="48"/>
              <w:jc w:val="center"/>
              <w:rPr>
                <w:noProof/>
                <w:sz w:val="16"/>
                <w:szCs w:val="16"/>
              </w:rPr>
            </w:pPr>
          </w:p>
        </w:tc>
      </w:tr>
      <w:tr>
        <w:trPr>
          <w:trHeight w:val="289"/>
          <w:jc w:val="center"/>
        </w:trPr>
        <w:tc>
          <w:tcPr>
            <w:tcW w:w="325" w:type="pct"/>
            <w:tcBorders>
              <w:left w:val="single" w:sz="6" w:space="0" w:color="auto"/>
            </w:tcBorders>
            <w:shd w:val="clear" w:color="auto" w:fill="auto"/>
            <w:vAlign w:val="center"/>
          </w:tcPr>
          <w:p>
            <w:pPr>
              <w:spacing w:beforeLines="20" w:before="48" w:afterLines="20" w:after="48"/>
              <w:ind w:left="134"/>
              <w:jc w:val="left"/>
              <w:rPr>
                <w:noProof/>
                <w:sz w:val="16"/>
              </w:rPr>
            </w:pPr>
          </w:p>
        </w:tc>
        <w:tc>
          <w:tcPr>
            <w:tcW w:w="4195" w:type="pct"/>
            <w:gridSpan w:val="12"/>
            <w:tcBorders>
              <w:left w:val="single" w:sz="6" w:space="0" w:color="auto"/>
            </w:tcBorders>
            <w:shd w:val="clear" w:color="auto" w:fill="auto"/>
            <w:vAlign w:val="center"/>
          </w:tcPr>
          <w:p>
            <w:pPr>
              <w:spacing w:beforeLines="20" w:before="48" w:afterLines="20" w:after="48"/>
              <w:jc w:val="left"/>
              <w:rPr>
                <w:noProof/>
                <w:sz w:val="16"/>
                <w:szCs w:val="16"/>
              </w:rPr>
            </w:pPr>
            <w:r>
              <w:rPr>
                <w:b/>
                <w:noProof/>
                <w:sz w:val="16"/>
              </w:rPr>
              <w:sym w:font="Wingdings" w:char="F09F"/>
            </w:r>
            <w:r>
              <w:rPr>
                <w:b/>
                <w:noProof/>
                <w:sz w:val="16"/>
              </w:rPr>
              <w:t>Zunanji sodelavci (v ekvivalentu polnega delovnega časa: EPDČ)</w:t>
            </w:r>
            <w:r>
              <w:rPr>
                <w:rStyle w:val="FootnoteReference"/>
                <w:noProof/>
              </w:rPr>
              <w:footnoteReference w:id="110"/>
            </w:r>
          </w:p>
        </w:tc>
        <w:tc>
          <w:tcPr>
            <w:tcW w:w="480" w:type="pct"/>
            <w:tcBorders>
              <w:right w:val="single" w:sz="6" w:space="0" w:color="auto"/>
            </w:tcBorders>
          </w:tcPr>
          <w:p>
            <w:pPr>
              <w:spacing w:beforeLines="20" w:before="48" w:afterLines="20" w:after="48"/>
              <w:jc w:val="center"/>
              <w:rPr>
                <w:noProof/>
                <w:sz w:val="16"/>
                <w:szCs w:val="16"/>
              </w:rPr>
            </w:pPr>
          </w:p>
        </w:tc>
      </w:tr>
      <w:tr>
        <w:trPr>
          <w:trHeight w:val="289"/>
          <w:jc w:val="center"/>
        </w:trPr>
        <w:tc>
          <w:tcPr>
            <w:tcW w:w="1435" w:type="pct"/>
            <w:gridSpan w:val="4"/>
            <w:tcBorders>
              <w:left w:val="single" w:sz="6" w:space="0" w:color="auto"/>
            </w:tcBorders>
            <w:shd w:val="clear" w:color="auto" w:fill="auto"/>
            <w:vAlign w:val="center"/>
          </w:tcPr>
          <w:p>
            <w:pPr>
              <w:spacing w:beforeLines="20" w:before="48" w:afterLines="20" w:after="48"/>
              <w:ind w:left="136"/>
              <w:jc w:val="left"/>
              <w:rPr>
                <w:noProof/>
                <w:sz w:val="16"/>
                <w:szCs w:val="16"/>
              </w:rPr>
            </w:pPr>
            <w:r>
              <w:rPr>
                <w:noProof/>
                <w:sz w:val="16"/>
              </w:rPr>
              <w:t xml:space="preserve">XX 01 02 02 (PU, LU, NNS, ZU in MSD na delegacijah) </w:t>
            </w:r>
          </w:p>
        </w:tc>
        <w:tc>
          <w:tcPr>
            <w:tcW w:w="340" w:type="pct"/>
            <w:vAlign w:val="center"/>
          </w:tcPr>
          <w:p>
            <w:pPr>
              <w:spacing w:beforeLines="20" w:before="48" w:afterLines="20" w:after="48"/>
              <w:jc w:val="center"/>
              <w:rPr>
                <w:noProof/>
                <w:sz w:val="16"/>
                <w:szCs w:val="16"/>
              </w:rPr>
            </w:pPr>
          </w:p>
        </w:tc>
        <w:tc>
          <w:tcPr>
            <w:tcW w:w="341" w:type="pct"/>
            <w:shd w:val="clear" w:color="auto" w:fill="auto"/>
            <w:vAlign w:val="center"/>
          </w:tcPr>
          <w:p>
            <w:pPr>
              <w:spacing w:beforeLines="20" w:before="48" w:afterLines="20" w:after="48"/>
              <w:jc w:val="center"/>
              <w:rPr>
                <w:noProof/>
                <w:sz w:val="16"/>
                <w:szCs w:val="16"/>
              </w:rPr>
            </w:pPr>
          </w:p>
        </w:tc>
        <w:tc>
          <w:tcPr>
            <w:tcW w:w="328" w:type="pct"/>
            <w:shd w:val="clear" w:color="auto" w:fill="auto"/>
            <w:vAlign w:val="center"/>
          </w:tcPr>
          <w:p>
            <w:pPr>
              <w:spacing w:beforeLines="20" w:before="48" w:afterLines="20" w:after="48"/>
              <w:jc w:val="center"/>
              <w:rPr>
                <w:noProof/>
                <w:sz w:val="16"/>
                <w:szCs w:val="16"/>
              </w:rPr>
            </w:pPr>
          </w:p>
        </w:tc>
        <w:tc>
          <w:tcPr>
            <w:tcW w:w="337" w:type="pct"/>
            <w:shd w:val="clear" w:color="auto" w:fill="auto"/>
            <w:vAlign w:val="center"/>
          </w:tcPr>
          <w:p>
            <w:pPr>
              <w:spacing w:beforeLines="20" w:before="48" w:afterLines="20" w:after="48"/>
              <w:jc w:val="center"/>
              <w:rPr>
                <w:noProof/>
                <w:sz w:val="16"/>
                <w:szCs w:val="16"/>
              </w:rPr>
            </w:pPr>
          </w:p>
        </w:tc>
        <w:tc>
          <w:tcPr>
            <w:tcW w:w="327" w:type="pct"/>
            <w:shd w:val="clear" w:color="auto" w:fill="auto"/>
            <w:vAlign w:val="center"/>
          </w:tcPr>
          <w:p>
            <w:pPr>
              <w:spacing w:beforeLines="20" w:before="48" w:afterLines="20" w:after="48"/>
              <w:jc w:val="center"/>
              <w:rPr>
                <w:noProof/>
                <w:sz w:val="16"/>
                <w:szCs w:val="16"/>
              </w:rPr>
            </w:pPr>
          </w:p>
        </w:tc>
        <w:tc>
          <w:tcPr>
            <w:tcW w:w="328" w:type="pct"/>
            <w:tcBorders>
              <w:right w:val="nil"/>
            </w:tcBorders>
            <w:shd w:val="clear" w:color="auto" w:fill="auto"/>
            <w:vAlign w:val="center"/>
          </w:tcPr>
          <w:p>
            <w:pPr>
              <w:spacing w:beforeLines="20" w:before="48" w:afterLines="20" w:after="48"/>
              <w:jc w:val="center"/>
              <w:rPr>
                <w:noProof/>
                <w:sz w:val="16"/>
                <w:szCs w:val="16"/>
              </w:rPr>
            </w:pPr>
          </w:p>
        </w:tc>
        <w:tc>
          <w:tcPr>
            <w:tcW w:w="328" w:type="pct"/>
            <w:tcBorders>
              <w:right w:val="nil"/>
            </w:tcBorders>
            <w:shd w:val="clear" w:color="auto" w:fill="auto"/>
            <w:vAlign w:val="center"/>
          </w:tcPr>
          <w:p>
            <w:pPr>
              <w:spacing w:beforeLines="20" w:before="48" w:afterLines="20" w:after="48"/>
              <w:jc w:val="center"/>
              <w:rPr>
                <w:noProof/>
                <w:sz w:val="16"/>
                <w:szCs w:val="16"/>
              </w:rPr>
            </w:pPr>
          </w:p>
        </w:tc>
        <w:tc>
          <w:tcPr>
            <w:tcW w:w="330" w:type="pct"/>
            <w:tcBorders>
              <w:right w:val="nil"/>
            </w:tcBorders>
            <w:shd w:val="clear" w:color="auto" w:fill="auto"/>
            <w:vAlign w:val="center"/>
          </w:tcPr>
          <w:p>
            <w:pPr>
              <w:spacing w:beforeLines="20" w:before="48" w:afterLines="20" w:after="48"/>
              <w:jc w:val="center"/>
              <w:rPr>
                <w:noProof/>
                <w:sz w:val="16"/>
                <w:szCs w:val="16"/>
              </w:rPr>
            </w:pPr>
          </w:p>
        </w:tc>
        <w:tc>
          <w:tcPr>
            <w:tcW w:w="426" w:type="pct"/>
            <w:tcBorders>
              <w:right w:val="nil"/>
            </w:tcBorders>
            <w:vAlign w:val="center"/>
          </w:tcPr>
          <w:p>
            <w:pPr>
              <w:spacing w:beforeLines="20" w:before="48" w:afterLines="20" w:after="48"/>
              <w:jc w:val="center"/>
              <w:rPr>
                <w:noProof/>
                <w:sz w:val="16"/>
                <w:szCs w:val="16"/>
              </w:rPr>
            </w:pPr>
          </w:p>
        </w:tc>
        <w:tc>
          <w:tcPr>
            <w:tcW w:w="480" w:type="pct"/>
            <w:tcBorders>
              <w:right w:val="single" w:sz="6" w:space="0" w:color="auto"/>
            </w:tcBorders>
            <w:vAlign w:val="center"/>
          </w:tcPr>
          <w:p>
            <w:pPr>
              <w:spacing w:beforeLines="20" w:before="48" w:afterLines="20" w:after="48"/>
              <w:jc w:val="center"/>
              <w:rPr>
                <w:noProof/>
                <w:sz w:val="16"/>
                <w:szCs w:val="16"/>
              </w:rPr>
            </w:pPr>
          </w:p>
        </w:tc>
      </w:tr>
      <w:tr>
        <w:trPr>
          <w:trHeight w:val="289"/>
          <w:jc w:val="center"/>
        </w:trPr>
        <w:tc>
          <w:tcPr>
            <w:tcW w:w="712" w:type="pct"/>
            <w:gridSpan w:val="3"/>
            <w:vMerge w:val="restart"/>
            <w:tcBorders>
              <w:left w:val="single" w:sz="6" w:space="0" w:color="auto"/>
            </w:tcBorders>
            <w:shd w:val="clear" w:color="auto" w:fill="auto"/>
            <w:vAlign w:val="center"/>
          </w:tcPr>
          <w:p>
            <w:pPr>
              <w:spacing w:beforeLines="20" w:before="48" w:afterLines="20" w:after="48"/>
              <w:ind w:left="136"/>
              <w:jc w:val="left"/>
              <w:rPr>
                <w:b/>
                <w:noProof/>
                <w:sz w:val="16"/>
                <w:szCs w:val="16"/>
              </w:rPr>
            </w:pPr>
            <w:r>
              <w:rPr>
                <w:b/>
                <w:noProof/>
                <w:sz w:val="16"/>
              </w:rPr>
              <w:t>XX</w:t>
            </w:r>
            <w:r>
              <w:rPr>
                <w:noProof/>
                <w:sz w:val="16"/>
              </w:rPr>
              <w:t xml:space="preserve"> 01 04 </w:t>
            </w:r>
            <w:r>
              <w:rPr>
                <w:b/>
                <w:noProof/>
                <w:sz w:val="16"/>
              </w:rPr>
              <w:t>yy</w:t>
            </w:r>
            <w:r>
              <w:rPr>
                <w:b/>
                <w:i/>
                <w:noProof/>
                <w:sz w:val="16"/>
              </w:rPr>
              <w:t xml:space="preserve"> </w:t>
            </w:r>
            <w:r>
              <w:rPr>
                <w:rStyle w:val="FootnoteReference"/>
                <w:noProof/>
              </w:rPr>
              <w:footnoteReference w:id="111"/>
            </w:r>
          </w:p>
          <w:p>
            <w:pPr>
              <w:spacing w:beforeLines="20" w:before="48" w:afterLines="20" w:after="48"/>
              <w:ind w:left="136"/>
              <w:jc w:val="left"/>
              <w:rPr>
                <w:b/>
                <w:noProof/>
                <w:sz w:val="16"/>
                <w:szCs w:val="16"/>
              </w:rPr>
            </w:pPr>
          </w:p>
        </w:tc>
        <w:tc>
          <w:tcPr>
            <w:tcW w:w="723" w:type="pct"/>
            <w:shd w:val="clear" w:color="auto" w:fill="auto"/>
            <w:vAlign w:val="center"/>
          </w:tcPr>
          <w:p>
            <w:pPr>
              <w:spacing w:beforeLines="20" w:before="48" w:afterLines="20" w:after="48"/>
              <w:ind w:left="136"/>
              <w:jc w:val="left"/>
              <w:rPr>
                <w:b/>
                <w:noProof/>
                <w:sz w:val="16"/>
                <w:szCs w:val="16"/>
              </w:rPr>
            </w:pPr>
            <w:r>
              <w:rPr>
                <w:noProof/>
                <w:sz w:val="16"/>
              </w:rPr>
              <w:t>– na sedežu</w:t>
            </w:r>
          </w:p>
          <w:p>
            <w:pPr>
              <w:spacing w:beforeLines="20" w:before="48" w:afterLines="20" w:after="48"/>
              <w:ind w:left="136"/>
              <w:jc w:val="left"/>
              <w:rPr>
                <w:b/>
                <w:noProof/>
                <w:sz w:val="16"/>
                <w:szCs w:val="16"/>
              </w:rPr>
            </w:pPr>
          </w:p>
        </w:tc>
        <w:tc>
          <w:tcPr>
            <w:tcW w:w="340" w:type="pct"/>
            <w:vAlign w:val="center"/>
          </w:tcPr>
          <w:p>
            <w:pPr>
              <w:spacing w:beforeLines="20" w:before="48" w:afterLines="20" w:after="48"/>
              <w:jc w:val="center"/>
              <w:rPr>
                <w:noProof/>
                <w:sz w:val="16"/>
                <w:szCs w:val="16"/>
              </w:rPr>
            </w:pPr>
          </w:p>
        </w:tc>
        <w:tc>
          <w:tcPr>
            <w:tcW w:w="341" w:type="pct"/>
            <w:shd w:val="clear" w:color="auto" w:fill="auto"/>
            <w:vAlign w:val="center"/>
          </w:tcPr>
          <w:p>
            <w:pPr>
              <w:spacing w:beforeLines="20" w:before="48" w:afterLines="20" w:after="48"/>
              <w:jc w:val="center"/>
              <w:rPr>
                <w:noProof/>
                <w:sz w:val="16"/>
                <w:szCs w:val="16"/>
              </w:rPr>
            </w:pPr>
          </w:p>
        </w:tc>
        <w:tc>
          <w:tcPr>
            <w:tcW w:w="328" w:type="pct"/>
            <w:shd w:val="clear" w:color="auto" w:fill="auto"/>
            <w:vAlign w:val="center"/>
          </w:tcPr>
          <w:p>
            <w:pPr>
              <w:spacing w:beforeLines="20" w:before="48" w:afterLines="20" w:after="48"/>
              <w:jc w:val="center"/>
              <w:rPr>
                <w:noProof/>
                <w:sz w:val="16"/>
                <w:szCs w:val="16"/>
              </w:rPr>
            </w:pPr>
          </w:p>
        </w:tc>
        <w:tc>
          <w:tcPr>
            <w:tcW w:w="337" w:type="pct"/>
            <w:shd w:val="clear" w:color="auto" w:fill="auto"/>
            <w:vAlign w:val="center"/>
          </w:tcPr>
          <w:p>
            <w:pPr>
              <w:spacing w:beforeLines="20" w:before="48" w:afterLines="20" w:after="48"/>
              <w:jc w:val="center"/>
              <w:rPr>
                <w:noProof/>
                <w:sz w:val="16"/>
                <w:szCs w:val="16"/>
              </w:rPr>
            </w:pPr>
          </w:p>
        </w:tc>
        <w:tc>
          <w:tcPr>
            <w:tcW w:w="327" w:type="pct"/>
            <w:shd w:val="clear" w:color="auto" w:fill="auto"/>
            <w:vAlign w:val="center"/>
          </w:tcPr>
          <w:p>
            <w:pPr>
              <w:spacing w:beforeLines="20" w:before="48" w:afterLines="20" w:after="48"/>
              <w:jc w:val="center"/>
              <w:rPr>
                <w:noProof/>
                <w:sz w:val="16"/>
                <w:szCs w:val="16"/>
              </w:rPr>
            </w:pPr>
          </w:p>
        </w:tc>
        <w:tc>
          <w:tcPr>
            <w:tcW w:w="328" w:type="pct"/>
            <w:tcBorders>
              <w:right w:val="nil"/>
            </w:tcBorders>
            <w:shd w:val="clear" w:color="auto" w:fill="auto"/>
            <w:vAlign w:val="center"/>
          </w:tcPr>
          <w:p>
            <w:pPr>
              <w:spacing w:beforeLines="20" w:before="48" w:afterLines="20" w:after="48"/>
              <w:jc w:val="center"/>
              <w:rPr>
                <w:noProof/>
                <w:sz w:val="16"/>
                <w:szCs w:val="16"/>
              </w:rPr>
            </w:pPr>
          </w:p>
        </w:tc>
        <w:tc>
          <w:tcPr>
            <w:tcW w:w="328" w:type="pct"/>
            <w:tcBorders>
              <w:right w:val="nil"/>
            </w:tcBorders>
            <w:shd w:val="clear" w:color="auto" w:fill="auto"/>
            <w:vAlign w:val="center"/>
          </w:tcPr>
          <w:p>
            <w:pPr>
              <w:spacing w:beforeLines="20" w:before="48" w:afterLines="20" w:after="48"/>
              <w:jc w:val="center"/>
              <w:rPr>
                <w:noProof/>
                <w:sz w:val="16"/>
                <w:szCs w:val="16"/>
              </w:rPr>
            </w:pPr>
          </w:p>
        </w:tc>
        <w:tc>
          <w:tcPr>
            <w:tcW w:w="330" w:type="pct"/>
            <w:tcBorders>
              <w:right w:val="nil"/>
            </w:tcBorders>
            <w:shd w:val="clear" w:color="auto" w:fill="auto"/>
            <w:vAlign w:val="center"/>
          </w:tcPr>
          <w:p>
            <w:pPr>
              <w:spacing w:beforeLines="20" w:before="48" w:afterLines="20" w:after="48"/>
              <w:jc w:val="center"/>
              <w:rPr>
                <w:noProof/>
                <w:sz w:val="16"/>
                <w:szCs w:val="16"/>
              </w:rPr>
            </w:pPr>
          </w:p>
        </w:tc>
        <w:tc>
          <w:tcPr>
            <w:tcW w:w="426" w:type="pct"/>
            <w:tcBorders>
              <w:right w:val="nil"/>
            </w:tcBorders>
            <w:vAlign w:val="center"/>
          </w:tcPr>
          <w:p>
            <w:pPr>
              <w:spacing w:beforeLines="20" w:before="48" w:afterLines="20" w:after="48"/>
              <w:jc w:val="center"/>
              <w:rPr>
                <w:noProof/>
                <w:sz w:val="16"/>
                <w:szCs w:val="16"/>
              </w:rPr>
            </w:pPr>
          </w:p>
        </w:tc>
        <w:tc>
          <w:tcPr>
            <w:tcW w:w="480" w:type="pct"/>
            <w:tcBorders>
              <w:right w:val="single" w:sz="6" w:space="0" w:color="auto"/>
            </w:tcBorders>
            <w:vAlign w:val="center"/>
          </w:tcPr>
          <w:p>
            <w:pPr>
              <w:spacing w:beforeLines="20" w:before="48" w:afterLines="20" w:after="48"/>
              <w:jc w:val="center"/>
              <w:rPr>
                <w:noProof/>
                <w:sz w:val="16"/>
                <w:szCs w:val="16"/>
              </w:rPr>
            </w:pPr>
          </w:p>
        </w:tc>
      </w:tr>
      <w:tr>
        <w:trPr>
          <w:trHeight w:val="289"/>
          <w:jc w:val="center"/>
        </w:trPr>
        <w:tc>
          <w:tcPr>
            <w:tcW w:w="712" w:type="pct"/>
            <w:gridSpan w:val="3"/>
            <w:vMerge/>
            <w:tcBorders>
              <w:left w:val="single" w:sz="6" w:space="0" w:color="auto"/>
            </w:tcBorders>
            <w:shd w:val="clear" w:color="auto" w:fill="auto"/>
            <w:vAlign w:val="center"/>
          </w:tcPr>
          <w:p>
            <w:pPr>
              <w:numPr>
                <w:ilvl w:val="0"/>
                <w:numId w:val="4"/>
              </w:numPr>
              <w:tabs>
                <w:tab w:val="clear" w:pos="709"/>
              </w:tabs>
              <w:spacing w:beforeLines="20" w:before="48" w:afterLines="20" w:after="48"/>
              <w:ind w:left="136" w:firstLine="0"/>
              <w:jc w:val="left"/>
              <w:rPr>
                <w:b/>
                <w:noProof/>
                <w:sz w:val="16"/>
                <w:szCs w:val="16"/>
              </w:rPr>
            </w:pPr>
          </w:p>
        </w:tc>
        <w:tc>
          <w:tcPr>
            <w:tcW w:w="723" w:type="pct"/>
            <w:shd w:val="clear" w:color="auto" w:fill="auto"/>
            <w:vAlign w:val="center"/>
          </w:tcPr>
          <w:p>
            <w:pPr>
              <w:spacing w:beforeLines="20" w:before="48" w:afterLines="20" w:after="48"/>
              <w:ind w:left="136"/>
              <w:jc w:val="left"/>
              <w:rPr>
                <w:b/>
                <w:noProof/>
                <w:sz w:val="16"/>
                <w:szCs w:val="16"/>
              </w:rPr>
            </w:pPr>
            <w:r>
              <w:rPr>
                <w:noProof/>
                <w:sz w:val="16"/>
              </w:rPr>
              <w:t xml:space="preserve">– na delegacijah </w:t>
            </w:r>
          </w:p>
        </w:tc>
        <w:tc>
          <w:tcPr>
            <w:tcW w:w="340" w:type="pct"/>
            <w:vAlign w:val="center"/>
          </w:tcPr>
          <w:p>
            <w:pPr>
              <w:spacing w:beforeLines="20" w:before="48" w:afterLines="20" w:after="48"/>
              <w:jc w:val="center"/>
              <w:rPr>
                <w:noProof/>
                <w:sz w:val="16"/>
                <w:szCs w:val="16"/>
              </w:rPr>
            </w:pPr>
          </w:p>
        </w:tc>
        <w:tc>
          <w:tcPr>
            <w:tcW w:w="341" w:type="pct"/>
            <w:shd w:val="clear" w:color="auto" w:fill="auto"/>
            <w:vAlign w:val="center"/>
          </w:tcPr>
          <w:p>
            <w:pPr>
              <w:spacing w:beforeLines="20" w:before="48" w:afterLines="20" w:after="48"/>
              <w:jc w:val="center"/>
              <w:rPr>
                <w:noProof/>
                <w:sz w:val="16"/>
                <w:szCs w:val="16"/>
              </w:rPr>
            </w:pPr>
          </w:p>
        </w:tc>
        <w:tc>
          <w:tcPr>
            <w:tcW w:w="328" w:type="pct"/>
            <w:shd w:val="clear" w:color="auto" w:fill="auto"/>
            <w:vAlign w:val="center"/>
          </w:tcPr>
          <w:p>
            <w:pPr>
              <w:spacing w:beforeLines="20" w:before="48" w:afterLines="20" w:after="48"/>
              <w:jc w:val="center"/>
              <w:rPr>
                <w:noProof/>
                <w:sz w:val="16"/>
                <w:szCs w:val="16"/>
              </w:rPr>
            </w:pPr>
          </w:p>
        </w:tc>
        <w:tc>
          <w:tcPr>
            <w:tcW w:w="337" w:type="pct"/>
            <w:shd w:val="clear" w:color="auto" w:fill="auto"/>
            <w:vAlign w:val="center"/>
          </w:tcPr>
          <w:p>
            <w:pPr>
              <w:spacing w:beforeLines="20" w:before="48" w:afterLines="20" w:after="48"/>
              <w:jc w:val="center"/>
              <w:rPr>
                <w:noProof/>
                <w:sz w:val="16"/>
                <w:szCs w:val="16"/>
              </w:rPr>
            </w:pPr>
          </w:p>
        </w:tc>
        <w:tc>
          <w:tcPr>
            <w:tcW w:w="327" w:type="pct"/>
            <w:shd w:val="clear" w:color="auto" w:fill="auto"/>
            <w:vAlign w:val="center"/>
          </w:tcPr>
          <w:p>
            <w:pPr>
              <w:spacing w:beforeLines="20" w:before="48" w:afterLines="20" w:after="48"/>
              <w:jc w:val="center"/>
              <w:rPr>
                <w:noProof/>
                <w:sz w:val="16"/>
                <w:szCs w:val="16"/>
              </w:rPr>
            </w:pPr>
          </w:p>
        </w:tc>
        <w:tc>
          <w:tcPr>
            <w:tcW w:w="328" w:type="pct"/>
            <w:tcBorders>
              <w:right w:val="nil"/>
            </w:tcBorders>
            <w:shd w:val="clear" w:color="auto" w:fill="auto"/>
            <w:vAlign w:val="center"/>
          </w:tcPr>
          <w:p>
            <w:pPr>
              <w:spacing w:beforeLines="20" w:before="48" w:afterLines="20" w:after="48"/>
              <w:jc w:val="center"/>
              <w:rPr>
                <w:noProof/>
                <w:sz w:val="16"/>
                <w:szCs w:val="16"/>
              </w:rPr>
            </w:pPr>
          </w:p>
        </w:tc>
        <w:tc>
          <w:tcPr>
            <w:tcW w:w="328" w:type="pct"/>
            <w:tcBorders>
              <w:right w:val="nil"/>
            </w:tcBorders>
            <w:shd w:val="clear" w:color="auto" w:fill="auto"/>
            <w:vAlign w:val="center"/>
          </w:tcPr>
          <w:p>
            <w:pPr>
              <w:spacing w:beforeLines="20" w:before="48" w:afterLines="20" w:after="48"/>
              <w:jc w:val="center"/>
              <w:rPr>
                <w:noProof/>
                <w:sz w:val="16"/>
                <w:szCs w:val="16"/>
              </w:rPr>
            </w:pPr>
          </w:p>
        </w:tc>
        <w:tc>
          <w:tcPr>
            <w:tcW w:w="330" w:type="pct"/>
            <w:tcBorders>
              <w:right w:val="nil"/>
            </w:tcBorders>
            <w:shd w:val="clear" w:color="auto" w:fill="auto"/>
            <w:vAlign w:val="center"/>
          </w:tcPr>
          <w:p>
            <w:pPr>
              <w:spacing w:beforeLines="20" w:before="48" w:afterLines="20" w:after="48"/>
              <w:jc w:val="center"/>
              <w:rPr>
                <w:noProof/>
                <w:sz w:val="16"/>
                <w:szCs w:val="16"/>
              </w:rPr>
            </w:pPr>
          </w:p>
        </w:tc>
        <w:tc>
          <w:tcPr>
            <w:tcW w:w="426" w:type="pct"/>
            <w:tcBorders>
              <w:right w:val="nil"/>
            </w:tcBorders>
            <w:vAlign w:val="center"/>
          </w:tcPr>
          <w:p>
            <w:pPr>
              <w:spacing w:beforeLines="20" w:before="48" w:afterLines="20" w:after="48"/>
              <w:jc w:val="center"/>
              <w:rPr>
                <w:noProof/>
                <w:sz w:val="16"/>
                <w:szCs w:val="16"/>
              </w:rPr>
            </w:pPr>
          </w:p>
        </w:tc>
        <w:tc>
          <w:tcPr>
            <w:tcW w:w="480" w:type="pct"/>
            <w:tcBorders>
              <w:right w:val="single" w:sz="6" w:space="0" w:color="auto"/>
            </w:tcBorders>
            <w:vAlign w:val="center"/>
          </w:tcPr>
          <w:p>
            <w:pPr>
              <w:spacing w:beforeLines="20" w:before="48" w:afterLines="20" w:after="48"/>
              <w:jc w:val="center"/>
              <w:rPr>
                <w:noProof/>
                <w:sz w:val="16"/>
                <w:szCs w:val="16"/>
              </w:rPr>
            </w:pPr>
          </w:p>
        </w:tc>
      </w:tr>
      <w:tr>
        <w:trPr>
          <w:trHeight w:val="289"/>
          <w:jc w:val="center"/>
        </w:trPr>
        <w:tc>
          <w:tcPr>
            <w:tcW w:w="1435" w:type="pct"/>
            <w:gridSpan w:val="4"/>
            <w:tcBorders>
              <w:left w:val="single" w:sz="6" w:space="0" w:color="auto"/>
            </w:tcBorders>
            <w:shd w:val="clear" w:color="auto" w:fill="auto"/>
            <w:vAlign w:val="center"/>
          </w:tcPr>
          <w:p>
            <w:pPr>
              <w:spacing w:beforeLines="20" w:before="48" w:afterLines="20" w:after="48"/>
              <w:ind w:left="136"/>
              <w:jc w:val="left"/>
              <w:rPr>
                <w:noProof/>
                <w:sz w:val="16"/>
                <w:szCs w:val="16"/>
              </w:rPr>
            </w:pPr>
            <w:r>
              <w:rPr>
                <w:b/>
                <w:noProof/>
                <w:sz w:val="16"/>
              </w:rPr>
              <w:t>XX</w:t>
            </w:r>
            <w:r>
              <w:rPr>
                <w:noProof/>
                <w:sz w:val="16"/>
              </w:rPr>
              <w:t> 01 05 02 (PU, NNS, ZU za posredne raziskave)</w:t>
            </w:r>
          </w:p>
        </w:tc>
        <w:tc>
          <w:tcPr>
            <w:tcW w:w="340" w:type="pct"/>
          </w:tcPr>
          <w:p>
            <w:pPr>
              <w:spacing w:beforeLines="20" w:before="48" w:afterLines="20" w:after="48"/>
              <w:jc w:val="center"/>
              <w:rPr>
                <w:noProof/>
                <w:sz w:val="16"/>
                <w:szCs w:val="16"/>
              </w:rPr>
            </w:pPr>
          </w:p>
        </w:tc>
        <w:tc>
          <w:tcPr>
            <w:tcW w:w="341" w:type="pct"/>
            <w:shd w:val="clear" w:color="auto" w:fill="auto"/>
            <w:vAlign w:val="center"/>
          </w:tcPr>
          <w:p>
            <w:pPr>
              <w:spacing w:beforeLines="20" w:before="48" w:afterLines="20" w:after="48"/>
              <w:jc w:val="center"/>
              <w:rPr>
                <w:noProof/>
                <w:sz w:val="16"/>
                <w:szCs w:val="16"/>
              </w:rPr>
            </w:pPr>
          </w:p>
        </w:tc>
        <w:tc>
          <w:tcPr>
            <w:tcW w:w="328" w:type="pct"/>
            <w:shd w:val="clear" w:color="auto" w:fill="auto"/>
            <w:vAlign w:val="center"/>
          </w:tcPr>
          <w:p>
            <w:pPr>
              <w:spacing w:beforeLines="20" w:before="48" w:afterLines="20" w:after="48"/>
              <w:jc w:val="center"/>
              <w:rPr>
                <w:noProof/>
                <w:sz w:val="16"/>
                <w:szCs w:val="16"/>
              </w:rPr>
            </w:pPr>
          </w:p>
        </w:tc>
        <w:tc>
          <w:tcPr>
            <w:tcW w:w="337" w:type="pct"/>
            <w:shd w:val="clear" w:color="auto" w:fill="auto"/>
            <w:vAlign w:val="center"/>
          </w:tcPr>
          <w:p>
            <w:pPr>
              <w:spacing w:beforeLines="20" w:before="48" w:afterLines="20" w:after="48"/>
              <w:jc w:val="center"/>
              <w:rPr>
                <w:noProof/>
                <w:sz w:val="16"/>
                <w:szCs w:val="16"/>
              </w:rPr>
            </w:pPr>
          </w:p>
        </w:tc>
        <w:tc>
          <w:tcPr>
            <w:tcW w:w="327" w:type="pct"/>
            <w:shd w:val="clear" w:color="auto" w:fill="auto"/>
            <w:vAlign w:val="center"/>
          </w:tcPr>
          <w:p>
            <w:pPr>
              <w:spacing w:beforeLines="20" w:before="48" w:afterLines="20" w:after="48"/>
              <w:jc w:val="center"/>
              <w:rPr>
                <w:noProof/>
                <w:sz w:val="16"/>
                <w:szCs w:val="16"/>
              </w:rPr>
            </w:pPr>
          </w:p>
        </w:tc>
        <w:tc>
          <w:tcPr>
            <w:tcW w:w="328" w:type="pct"/>
            <w:tcBorders>
              <w:right w:val="nil"/>
            </w:tcBorders>
            <w:shd w:val="clear" w:color="auto" w:fill="auto"/>
            <w:vAlign w:val="center"/>
          </w:tcPr>
          <w:p>
            <w:pPr>
              <w:spacing w:beforeLines="20" w:before="48" w:afterLines="20" w:after="48"/>
              <w:jc w:val="center"/>
              <w:rPr>
                <w:noProof/>
                <w:sz w:val="16"/>
                <w:szCs w:val="16"/>
              </w:rPr>
            </w:pPr>
          </w:p>
        </w:tc>
        <w:tc>
          <w:tcPr>
            <w:tcW w:w="328" w:type="pct"/>
            <w:tcBorders>
              <w:right w:val="nil"/>
            </w:tcBorders>
            <w:shd w:val="clear" w:color="auto" w:fill="auto"/>
            <w:vAlign w:val="center"/>
          </w:tcPr>
          <w:p>
            <w:pPr>
              <w:spacing w:beforeLines="20" w:before="48" w:afterLines="20" w:after="48"/>
              <w:jc w:val="center"/>
              <w:rPr>
                <w:noProof/>
                <w:sz w:val="16"/>
                <w:szCs w:val="16"/>
              </w:rPr>
            </w:pPr>
          </w:p>
        </w:tc>
        <w:tc>
          <w:tcPr>
            <w:tcW w:w="330" w:type="pct"/>
            <w:tcBorders>
              <w:right w:val="nil"/>
            </w:tcBorders>
            <w:shd w:val="clear" w:color="auto" w:fill="auto"/>
            <w:vAlign w:val="center"/>
          </w:tcPr>
          <w:p>
            <w:pPr>
              <w:spacing w:beforeLines="20" w:before="48" w:afterLines="20" w:after="48"/>
              <w:jc w:val="center"/>
              <w:rPr>
                <w:noProof/>
                <w:sz w:val="16"/>
                <w:szCs w:val="16"/>
              </w:rPr>
            </w:pPr>
          </w:p>
        </w:tc>
        <w:tc>
          <w:tcPr>
            <w:tcW w:w="426" w:type="pct"/>
            <w:tcBorders>
              <w:right w:val="nil"/>
            </w:tcBorders>
            <w:vAlign w:val="center"/>
          </w:tcPr>
          <w:p>
            <w:pPr>
              <w:spacing w:beforeLines="20" w:before="48" w:afterLines="20" w:after="48"/>
              <w:jc w:val="center"/>
              <w:rPr>
                <w:noProof/>
                <w:sz w:val="16"/>
                <w:szCs w:val="16"/>
              </w:rPr>
            </w:pPr>
          </w:p>
        </w:tc>
        <w:tc>
          <w:tcPr>
            <w:tcW w:w="480" w:type="pct"/>
            <w:tcBorders>
              <w:right w:val="single" w:sz="6" w:space="0" w:color="auto"/>
            </w:tcBorders>
            <w:vAlign w:val="center"/>
          </w:tcPr>
          <w:p>
            <w:pPr>
              <w:spacing w:beforeLines="20" w:before="48" w:afterLines="20" w:after="48"/>
              <w:jc w:val="center"/>
              <w:rPr>
                <w:noProof/>
                <w:sz w:val="16"/>
                <w:szCs w:val="16"/>
              </w:rPr>
            </w:pPr>
          </w:p>
        </w:tc>
      </w:tr>
      <w:tr>
        <w:trPr>
          <w:trHeight w:val="289"/>
          <w:jc w:val="center"/>
        </w:trPr>
        <w:tc>
          <w:tcPr>
            <w:tcW w:w="1435" w:type="pct"/>
            <w:gridSpan w:val="4"/>
            <w:tcBorders>
              <w:left w:val="single" w:sz="6" w:space="0" w:color="auto"/>
            </w:tcBorders>
            <w:shd w:val="clear" w:color="auto" w:fill="auto"/>
            <w:vAlign w:val="center"/>
          </w:tcPr>
          <w:p>
            <w:pPr>
              <w:spacing w:beforeLines="20" w:before="48" w:afterLines="20" w:after="48"/>
              <w:ind w:left="136"/>
              <w:jc w:val="left"/>
              <w:rPr>
                <w:noProof/>
                <w:sz w:val="16"/>
                <w:szCs w:val="16"/>
              </w:rPr>
            </w:pPr>
            <w:r>
              <w:rPr>
                <w:noProof/>
                <w:sz w:val="16"/>
              </w:rPr>
              <w:t>10 01 05 02 (PU, NNS, ZU za neposredne raziskave)</w:t>
            </w:r>
          </w:p>
        </w:tc>
        <w:tc>
          <w:tcPr>
            <w:tcW w:w="340" w:type="pct"/>
          </w:tcPr>
          <w:p>
            <w:pPr>
              <w:spacing w:beforeLines="20" w:before="48" w:afterLines="20" w:after="48"/>
              <w:jc w:val="center"/>
              <w:rPr>
                <w:noProof/>
                <w:sz w:val="16"/>
                <w:szCs w:val="16"/>
              </w:rPr>
            </w:pPr>
          </w:p>
        </w:tc>
        <w:tc>
          <w:tcPr>
            <w:tcW w:w="341" w:type="pct"/>
            <w:shd w:val="clear" w:color="auto" w:fill="auto"/>
            <w:vAlign w:val="center"/>
          </w:tcPr>
          <w:p>
            <w:pPr>
              <w:spacing w:beforeLines="20" w:before="48" w:afterLines="20" w:after="48"/>
              <w:jc w:val="center"/>
              <w:rPr>
                <w:noProof/>
                <w:sz w:val="16"/>
                <w:szCs w:val="16"/>
              </w:rPr>
            </w:pPr>
          </w:p>
        </w:tc>
        <w:tc>
          <w:tcPr>
            <w:tcW w:w="328" w:type="pct"/>
            <w:shd w:val="clear" w:color="auto" w:fill="auto"/>
            <w:vAlign w:val="center"/>
          </w:tcPr>
          <w:p>
            <w:pPr>
              <w:spacing w:beforeLines="20" w:before="48" w:afterLines="20" w:after="48"/>
              <w:jc w:val="center"/>
              <w:rPr>
                <w:noProof/>
                <w:sz w:val="16"/>
                <w:szCs w:val="16"/>
              </w:rPr>
            </w:pPr>
          </w:p>
        </w:tc>
        <w:tc>
          <w:tcPr>
            <w:tcW w:w="337" w:type="pct"/>
            <w:shd w:val="clear" w:color="auto" w:fill="auto"/>
            <w:vAlign w:val="center"/>
          </w:tcPr>
          <w:p>
            <w:pPr>
              <w:spacing w:beforeLines="20" w:before="48" w:afterLines="20" w:after="48"/>
              <w:jc w:val="center"/>
              <w:rPr>
                <w:noProof/>
                <w:sz w:val="16"/>
                <w:szCs w:val="16"/>
              </w:rPr>
            </w:pPr>
          </w:p>
        </w:tc>
        <w:tc>
          <w:tcPr>
            <w:tcW w:w="327" w:type="pct"/>
            <w:shd w:val="clear" w:color="auto" w:fill="auto"/>
            <w:vAlign w:val="center"/>
          </w:tcPr>
          <w:p>
            <w:pPr>
              <w:spacing w:beforeLines="20" w:before="48" w:afterLines="20" w:after="48"/>
              <w:jc w:val="center"/>
              <w:rPr>
                <w:noProof/>
                <w:sz w:val="16"/>
                <w:szCs w:val="16"/>
              </w:rPr>
            </w:pPr>
          </w:p>
        </w:tc>
        <w:tc>
          <w:tcPr>
            <w:tcW w:w="328" w:type="pct"/>
            <w:tcBorders>
              <w:right w:val="nil"/>
            </w:tcBorders>
            <w:shd w:val="clear" w:color="auto" w:fill="auto"/>
            <w:vAlign w:val="center"/>
          </w:tcPr>
          <w:p>
            <w:pPr>
              <w:spacing w:beforeLines="20" w:before="48" w:afterLines="20" w:after="48"/>
              <w:jc w:val="center"/>
              <w:rPr>
                <w:noProof/>
                <w:sz w:val="16"/>
                <w:szCs w:val="16"/>
              </w:rPr>
            </w:pPr>
          </w:p>
        </w:tc>
        <w:tc>
          <w:tcPr>
            <w:tcW w:w="328" w:type="pct"/>
            <w:tcBorders>
              <w:right w:val="nil"/>
            </w:tcBorders>
            <w:shd w:val="clear" w:color="auto" w:fill="auto"/>
            <w:vAlign w:val="center"/>
          </w:tcPr>
          <w:p>
            <w:pPr>
              <w:spacing w:beforeLines="20" w:before="48" w:afterLines="20" w:after="48"/>
              <w:jc w:val="center"/>
              <w:rPr>
                <w:noProof/>
                <w:sz w:val="16"/>
                <w:szCs w:val="16"/>
              </w:rPr>
            </w:pPr>
          </w:p>
        </w:tc>
        <w:tc>
          <w:tcPr>
            <w:tcW w:w="330" w:type="pct"/>
            <w:tcBorders>
              <w:right w:val="nil"/>
            </w:tcBorders>
            <w:shd w:val="clear" w:color="auto" w:fill="auto"/>
            <w:vAlign w:val="center"/>
          </w:tcPr>
          <w:p>
            <w:pPr>
              <w:spacing w:beforeLines="20" w:before="48" w:afterLines="20" w:after="48"/>
              <w:jc w:val="center"/>
              <w:rPr>
                <w:noProof/>
                <w:sz w:val="16"/>
                <w:szCs w:val="16"/>
              </w:rPr>
            </w:pPr>
          </w:p>
        </w:tc>
        <w:tc>
          <w:tcPr>
            <w:tcW w:w="426" w:type="pct"/>
            <w:tcBorders>
              <w:right w:val="nil"/>
            </w:tcBorders>
            <w:vAlign w:val="center"/>
          </w:tcPr>
          <w:p>
            <w:pPr>
              <w:spacing w:beforeLines="20" w:before="48" w:afterLines="20" w:after="48"/>
              <w:jc w:val="center"/>
              <w:rPr>
                <w:noProof/>
                <w:sz w:val="16"/>
                <w:szCs w:val="16"/>
              </w:rPr>
            </w:pPr>
          </w:p>
        </w:tc>
        <w:tc>
          <w:tcPr>
            <w:tcW w:w="480" w:type="pct"/>
            <w:tcBorders>
              <w:right w:val="single" w:sz="6" w:space="0" w:color="auto"/>
            </w:tcBorders>
            <w:vAlign w:val="center"/>
          </w:tcPr>
          <w:p>
            <w:pPr>
              <w:spacing w:beforeLines="20" w:before="48" w:afterLines="20" w:after="48"/>
              <w:jc w:val="center"/>
              <w:rPr>
                <w:noProof/>
                <w:sz w:val="16"/>
                <w:szCs w:val="16"/>
              </w:rPr>
            </w:pPr>
          </w:p>
        </w:tc>
      </w:tr>
      <w:tr>
        <w:trPr>
          <w:trHeight w:val="289"/>
          <w:jc w:val="center"/>
        </w:trPr>
        <w:tc>
          <w:tcPr>
            <w:tcW w:w="1435" w:type="pct"/>
            <w:gridSpan w:val="4"/>
            <w:tcBorders>
              <w:left w:val="single" w:sz="6" w:space="0" w:color="auto"/>
              <w:bottom w:val="double" w:sz="4" w:space="0" w:color="auto"/>
            </w:tcBorders>
            <w:shd w:val="clear" w:color="auto" w:fill="auto"/>
            <w:vAlign w:val="center"/>
          </w:tcPr>
          <w:p>
            <w:pPr>
              <w:spacing w:beforeLines="20" w:before="48" w:afterLines="20" w:after="48"/>
              <w:ind w:left="134"/>
              <w:jc w:val="left"/>
              <w:rPr>
                <w:noProof/>
                <w:sz w:val="16"/>
                <w:szCs w:val="16"/>
              </w:rPr>
            </w:pPr>
            <w:r>
              <w:rPr>
                <w:noProof/>
                <w:sz w:val="16"/>
              </w:rPr>
              <w:t>Druge proračunske vrstice (navedite)</w:t>
            </w:r>
          </w:p>
        </w:tc>
        <w:tc>
          <w:tcPr>
            <w:tcW w:w="340" w:type="pct"/>
            <w:tcBorders>
              <w:bottom w:val="double" w:sz="4" w:space="0" w:color="auto"/>
            </w:tcBorders>
          </w:tcPr>
          <w:p>
            <w:pPr>
              <w:spacing w:beforeLines="20" w:before="48" w:afterLines="20" w:after="48"/>
              <w:jc w:val="center"/>
              <w:rPr>
                <w:noProof/>
                <w:sz w:val="16"/>
                <w:szCs w:val="16"/>
              </w:rPr>
            </w:pPr>
          </w:p>
        </w:tc>
        <w:tc>
          <w:tcPr>
            <w:tcW w:w="341"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328"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337"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327"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328" w:type="pct"/>
            <w:tcBorders>
              <w:bottom w:val="double" w:sz="4" w:space="0" w:color="auto"/>
              <w:right w:val="nil"/>
            </w:tcBorders>
            <w:shd w:val="clear" w:color="auto" w:fill="auto"/>
            <w:vAlign w:val="center"/>
          </w:tcPr>
          <w:p>
            <w:pPr>
              <w:spacing w:beforeLines="20" w:before="48" w:afterLines="20" w:after="48"/>
              <w:jc w:val="center"/>
              <w:rPr>
                <w:noProof/>
                <w:sz w:val="16"/>
                <w:szCs w:val="16"/>
              </w:rPr>
            </w:pPr>
          </w:p>
        </w:tc>
        <w:tc>
          <w:tcPr>
            <w:tcW w:w="328" w:type="pct"/>
            <w:tcBorders>
              <w:bottom w:val="double" w:sz="4" w:space="0" w:color="auto"/>
              <w:right w:val="nil"/>
            </w:tcBorders>
            <w:shd w:val="clear" w:color="auto" w:fill="auto"/>
            <w:vAlign w:val="center"/>
          </w:tcPr>
          <w:p>
            <w:pPr>
              <w:spacing w:beforeLines="20" w:before="48" w:afterLines="20" w:after="48"/>
              <w:jc w:val="center"/>
              <w:rPr>
                <w:noProof/>
                <w:sz w:val="16"/>
                <w:szCs w:val="16"/>
              </w:rPr>
            </w:pPr>
          </w:p>
        </w:tc>
        <w:tc>
          <w:tcPr>
            <w:tcW w:w="330" w:type="pct"/>
            <w:tcBorders>
              <w:bottom w:val="double" w:sz="4" w:space="0" w:color="auto"/>
              <w:right w:val="nil"/>
            </w:tcBorders>
            <w:shd w:val="clear" w:color="auto" w:fill="auto"/>
            <w:vAlign w:val="center"/>
          </w:tcPr>
          <w:p>
            <w:pPr>
              <w:spacing w:beforeLines="20" w:before="48" w:afterLines="20" w:after="48"/>
              <w:jc w:val="center"/>
              <w:rPr>
                <w:noProof/>
                <w:sz w:val="16"/>
                <w:szCs w:val="16"/>
              </w:rPr>
            </w:pPr>
          </w:p>
        </w:tc>
        <w:tc>
          <w:tcPr>
            <w:tcW w:w="426" w:type="pct"/>
            <w:tcBorders>
              <w:bottom w:val="double" w:sz="4" w:space="0" w:color="auto"/>
              <w:right w:val="nil"/>
            </w:tcBorders>
          </w:tcPr>
          <w:p>
            <w:pPr>
              <w:spacing w:beforeLines="20" w:before="48" w:afterLines="20" w:after="48"/>
              <w:jc w:val="center"/>
              <w:rPr>
                <w:noProof/>
                <w:sz w:val="16"/>
                <w:szCs w:val="16"/>
              </w:rPr>
            </w:pPr>
          </w:p>
        </w:tc>
        <w:tc>
          <w:tcPr>
            <w:tcW w:w="480" w:type="pct"/>
            <w:tcBorders>
              <w:bottom w:val="double" w:sz="4" w:space="0" w:color="auto"/>
              <w:right w:val="single" w:sz="6" w:space="0" w:color="auto"/>
            </w:tcBorders>
          </w:tcPr>
          <w:p>
            <w:pPr>
              <w:spacing w:beforeLines="20" w:before="48" w:afterLines="20" w:after="48"/>
              <w:jc w:val="center"/>
              <w:rPr>
                <w:noProof/>
                <w:sz w:val="16"/>
                <w:szCs w:val="16"/>
              </w:rPr>
            </w:pPr>
          </w:p>
        </w:tc>
      </w:tr>
      <w:tr>
        <w:trPr>
          <w:trHeight w:val="289"/>
          <w:jc w:val="center"/>
        </w:trPr>
        <w:tc>
          <w:tcPr>
            <w:tcW w:w="1435" w:type="pct"/>
            <w:gridSpan w:val="4"/>
            <w:tcBorders>
              <w:top w:val="double" w:sz="4" w:space="0" w:color="auto"/>
              <w:left w:val="single" w:sz="6" w:space="0" w:color="auto"/>
            </w:tcBorders>
            <w:shd w:val="clear" w:color="auto" w:fill="auto"/>
            <w:vAlign w:val="center"/>
          </w:tcPr>
          <w:p>
            <w:pPr>
              <w:spacing w:beforeLines="20" w:before="48" w:afterLines="20" w:after="48"/>
              <w:ind w:left="136"/>
              <w:jc w:val="left"/>
              <w:rPr>
                <w:noProof/>
                <w:sz w:val="16"/>
                <w:szCs w:val="16"/>
              </w:rPr>
            </w:pPr>
            <w:r>
              <w:rPr>
                <w:b/>
                <w:noProof/>
                <w:sz w:val="16"/>
              </w:rPr>
              <w:t>SKUPAJ</w:t>
            </w:r>
          </w:p>
        </w:tc>
        <w:tc>
          <w:tcPr>
            <w:tcW w:w="340" w:type="pct"/>
            <w:tcBorders>
              <w:top w:val="double" w:sz="4" w:space="0" w:color="auto"/>
            </w:tcBorders>
          </w:tcPr>
          <w:p>
            <w:pPr>
              <w:spacing w:beforeLines="20" w:before="48" w:afterLines="20" w:after="48"/>
              <w:jc w:val="center"/>
              <w:rPr>
                <w:b/>
                <w:noProof/>
                <w:sz w:val="22"/>
              </w:rPr>
            </w:pPr>
            <w:r>
              <w:rPr>
                <w:b/>
                <w:noProof/>
                <w:sz w:val="22"/>
              </w:rPr>
              <w:t xml:space="preserve">5,0 </w:t>
            </w:r>
          </w:p>
        </w:tc>
        <w:tc>
          <w:tcPr>
            <w:tcW w:w="341" w:type="pct"/>
            <w:tcBorders>
              <w:top w:val="double" w:sz="4" w:space="0" w:color="auto"/>
            </w:tcBorders>
            <w:shd w:val="clear" w:color="auto" w:fill="auto"/>
          </w:tcPr>
          <w:p>
            <w:pPr>
              <w:spacing w:beforeLines="20" w:before="48" w:afterLines="20" w:after="48"/>
              <w:jc w:val="center"/>
              <w:rPr>
                <w:b/>
                <w:noProof/>
                <w:sz w:val="22"/>
              </w:rPr>
            </w:pPr>
            <w:r>
              <w:rPr>
                <w:b/>
                <w:noProof/>
                <w:sz w:val="22"/>
              </w:rPr>
              <w:t xml:space="preserve">5,0 </w:t>
            </w:r>
          </w:p>
        </w:tc>
        <w:tc>
          <w:tcPr>
            <w:tcW w:w="328" w:type="pct"/>
            <w:tcBorders>
              <w:top w:val="double" w:sz="4" w:space="0" w:color="auto"/>
            </w:tcBorders>
            <w:shd w:val="clear" w:color="auto" w:fill="auto"/>
          </w:tcPr>
          <w:p>
            <w:pPr>
              <w:spacing w:beforeLines="20" w:before="48" w:afterLines="20" w:after="48"/>
              <w:jc w:val="center"/>
              <w:rPr>
                <w:b/>
                <w:noProof/>
                <w:sz w:val="22"/>
              </w:rPr>
            </w:pPr>
            <w:r>
              <w:rPr>
                <w:b/>
                <w:noProof/>
                <w:sz w:val="22"/>
              </w:rPr>
              <w:t xml:space="preserve">5,0 </w:t>
            </w:r>
          </w:p>
        </w:tc>
        <w:tc>
          <w:tcPr>
            <w:tcW w:w="337" w:type="pct"/>
            <w:tcBorders>
              <w:top w:val="double" w:sz="4" w:space="0" w:color="auto"/>
            </w:tcBorders>
            <w:shd w:val="clear" w:color="auto" w:fill="auto"/>
          </w:tcPr>
          <w:p>
            <w:pPr>
              <w:spacing w:beforeLines="20" w:before="48" w:afterLines="20" w:after="48"/>
              <w:jc w:val="center"/>
              <w:rPr>
                <w:b/>
                <w:noProof/>
                <w:sz w:val="22"/>
              </w:rPr>
            </w:pPr>
            <w:r>
              <w:rPr>
                <w:b/>
                <w:noProof/>
                <w:sz w:val="22"/>
              </w:rPr>
              <w:t xml:space="preserve">5,0 </w:t>
            </w:r>
          </w:p>
        </w:tc>
        <w:tc>
          <w:tcPr>
            <w:tcW w:w="327" w:type="pct"/>
            <w:tcBorders>
              <w:top w:val="double" w:sz="4" w:space="0" w:color="auto"/>
            </w:tcBorders>
            <w:shd w:val="clear" w:color="auto" w:fill="auto"/>
          </w:tcPr>
          <w:p>
            <w:pPr>
              <w:spacing w:beforeLines="20" w:before="48" w:afterLines="20" w:after="48"/>
              <w:jc w:val="center"/>
              <w:rPr>
                <w:b/>
                <w:noProof/>
                <w:sz w:val="22"/>
              </w:rPr>
            </w:pPr>
            <w:r>
              <w:rPr>
                <w:b/>
                <w:noProof/>
                <w:sz w:val="22"/>
              </w:rPr>
              <w:t xml:space="preserve">5,0 </w:t>
            </w:r>
          </w:p>
        </w:tc>
        <w:tc>
          <w:tcPr>
            <w:tcW w:w="328" w:type="pct"/>
            <w:tcBorders>
              <w:top w:val="double" w:sz="4" w:space="0" w:color="auto"/>
              <w:right w:val="nil"/>
            </w:tcBorders>
            <w:shd w:val="clear" w:color="auto" w:fill="auto"/>
          </w:tcPr>
          <w:p>
            <w:pPr>
              <w:spacing w:beforeLines="20" w:before="48" w:afterLines="20" w:after="48"/>
              <w:jc w:val="center"/>
              <w:rPr>
                <w:b/>
                <w:noProof/>
                <w:sz w:val="22"/>
              </w:rPr>
            </w:pPr>
            <w:r>
              <w:rPr>
                <w:b/>
                <w:noProof/>
                <w:sz w:val="22"/>
              </w:rPr>
              <w:t xml:space="preserve">5,0 </w:t>
            </w:r>
          </w:p>
        </w:tc>
        <w:tc>
          <w:tcPr>
            <w:tcW w:w="328" w:type="pct"/>
            <w:tcBorders>
              <w:top w:val="double" w:sz="4" w:space="0" w:color="auto"/>
              <w:right w:val="nil"/>
            </w:tcBorders>
            <w:shd w:val="clear" w:color="auto" w:fill="auto"/>
          </w:tcPr>
          <w:p>
            <w:pPr>
              <w:spacing w:beforeLines="20" w:before="48" w:afterLines="20" w:after="48"/>
              <w:jc w:val="center"/>
              <w:rPr>
                <w:b/>
                <w:noProof/>
                <w:sz w:val="22"/>
              </w:rPr>
            </w:pPr>
            <w:r>
              <w:rPr>
                <w:b/>
                <w:noProof/>
                <w:sz w:val="22"/>
              </w:rPr>
              <w:t xml:space="preserve">2,0 </w:t>
            </w:r>
          </w:p>
        </w:tc>
        <w:tc>
          <w:tcPr>
            <w:tcW w:w="330" w:type="pct"/>
            <w:tcBorders>
              <w:top w:val="double" w:sz="4" w:space="0" w:color="auto"/>
              <w:right w:val="nil"/>
            </w:tcBorders>
            <w:shd w:val="clear" w:color="auto" w:fill="auto"/>
          </w:tcPr>
          <w:p>
            <w:pPr>
              <w:spacing w:beforeLines="20" w:before="48" w:afterLines="20" w:after="48"/>
              <w:jc w:val="center"/>
              <w:rPr>
                <w:b/>
                <w:noProof/>
                <w:sz w:val="22"/>
              </w:rPr>
            </w:pPr>
            <w:r>
              <w:rPr>
                <w:b/>
                <w:noProof/>
                <w:sz w:val="22"/>
              </w:rPr>
              <w:t xml:space="preserve">2,0 </w:t>
            </w:r>
          </w:p>
        </w:tc>
        <w:tc>
          <w:tcPr>
            <w:tcW w:w="426" w:type="pct"/>
            <w:tcBorders>
              <w:top w:val="double" w:sz="4" w:space="0" w:color="auto"/>
              <w:right w:val="nil"/>
            </w:tcBorders>
          </w:tcPr>
          <w:p>
            <w:pPr>
              <w:spacing w:beforeLines="20" w:before="48" w:afterLines="20" w:after="48"/>
              <w:jc w:val="center"/>
              <w:rPr>
                <w:b/>
                <w:noProof/>
                <w:sz w:val="22"/>
              </w:rPr>
            </w:pPr>
            <w:r>
              <w:rPr>
                <w:b/>
                <w:noProof/>
                <w:sz w:val="22"/>
              </w:rPr>
              <w:t xml:space="preserve">2,0 </w:t>
            </w:r>
          </w:p>
        </w:tc>
        <w:tc>
          <w:tcPr>
            <w:tcW w:w="480" w:type="pct"/>
            <w:tcBorders>
              <w:top w:val="double" w:sz="4" w:space="0" w:color="auto"/>
              <w:right w:val="single" w:sz="6" w:space="0" w:color="auto"/>
            </w:tcBorders>
          </w:tcPr>
          <w:p>
            <w:pPr>
              <w:spacing w:beforeLines="20" w:before="48" w:afterLines="20" w:after="48"/>
              <w:jc w:val="center"/>
              <w:rPr>
                <w:b/>
                <w:noProof/>
                <w:sz w:val="22"/>
              </w:rPr>
            </w:pPr>
            <w:r>
              <w:rPr>
                <w:b/>
                <w:noProof/>
                <w:sz w:val="22"/>
              </w:rPr>
              <w:t xml:space="preserve">36,0 </w:t>
            </w:r>
          </w:p>
        </w:tc>
      </w:tr>
    </w:tbl>
    <w:p>
      <w:pPr>
        <w:spacing w:before="60" w:after="60"/>
        <w:ind w:left="851"/>
        <w:rPr>
          <w:noProof/>
          <w:sz w:val="18"/>
          <w:szCs w:val="18"/>
        </w:rPr>
      </w:pPr>
      <w:r>
        <w:rPr>
          <w:b/>
          <w:noProof/>
          <w:sz w:val="18"/>
        </w:rPr>
        <w:t>18</w:t>
      </w:r>
      <w:r>
        <w:rPr>
          <w:noProof/>
          <w:sz w:val="18"/>
        </w:rPr>
        <w:t xml:space="preserve"> je zadevno področje ali naslov.</w:t>
      </w:r>
    </w:p>
    <w:p>
      <w:pPr>
        <w:ind w:left="850"/>
        <w:rPr>
          <w:noProof/>
          <w:sz w:val="18"/>
          <w:szCs w:val="18"/>
        </w:rPr>
      </w:pPr>
      <w:r>
        <w:rPr>
          <w:noProof/>
          <w:sz w:val="22"/>
        </w:rPr>
        <w:t>Potrebe po človeških virih se krijejo z osebjem GD, ki je že dodeljeno za upravljanje ukrepa in/ali je bilo prerazporejeno znotraj GD, po potrebi skupaj z dodatnimi viri, ki se lahko pristojnemu GD dodelijo v okviru postopka letne dodelitve virov glede na proračunske omejitve.</w:t>
      </w:r>
    </w:p>
    <w:p>
      <w:pPr>
        <w:rPr>
          <w:noProof/>
          <w:sz w:val="20"/>
        </w:rPr>
      </w:pPr>
      <w:r>
        <w:rPr>
          <w:noProof/>
          <w:sz w:val="20"/>
        </w:rPr>
        <w:t>Opis nalog:</w:t>
      </w:r>
    </w:p>
    <w:p>
      <w:pPr>
        <w:rPr>
          <w:noProof/>
          <w:sz w:val="20"/>
        </w:rPr>
      </w:pPr>
      <w:r>
        <w:rPr>
          <w:b/>
          <w:noProof/>
          <w:sz w:val="20"/>
        </w:rPr>
        <w:t>Spremljanje projektov in nadaljnje ukrepanje</w:t>
      </w:r>
      <w:r>
        <w:rPr>
          <w:noProof/>
          <w:sz w:val="20"/>
        </w:rPr>
        <w:t>. Trije uradniki za naloge nadaljnjega ukrepanja. Osebje opravlja naloge Komisije pri uresničitvi programa: preverjanje skladnosti z zakonodajnim predlogom, odpravljanje težav s skladnostjo, priprava poročil Evropskemu parlamentu in Svetu, ocena napredka držav članic. Ker program predstavlja dodatno dejavnost glede na obstoječo delovno obremenitev, bo potrebno dodatno osebje. To povečanje števila osebja je časovno omejeno in zajema le obdobje razvoja.</w:t>
      </w:r>
    </w:p>
    <w:p>
      <w:pPr>
        <w:rPr>
          <w:b/>
          <w:noProof/>
          <w:sz w:val="20"/>
        </w:rPr>
      </w:pPr>
      <w:r>
        <w:rPr>
          <w:b/>
          <w:noProof/>
          <w:sz w:val="20"/>
        </w:rPr>
        <w:t>Upravljanje univerzalnega formata sporočil (UMF)</w:t>
      </w:r>
    </w:p>
    <w:p>
      <w:pPr>
        <w:rPr>
          <w:noProof/>
          <w:sz w:val="20"/>
        </w:rPr>
      </w:pPr>
      <w:r>
        <w:rPr>
          <w:noProof/>
          <w:sz w:val="20"/>
        </w:rPr>
        <w:t>Komisija bo standard UMF upravljala vsakodnevno. Za to sta potrebna dva uradnika: ena oseba kot strokovnjak s področja kazenskega pregona in ena oseba z dobrim poznavanjem poslovnega modeliranja ter znanjem s področja IKT.</w:t>
      </w:r>
    </w:p>
    <w:p>
      <w:pPr>
        <w:rPr>
          <w:noProof/>
          <w:sz w:val="20"/>
        </w:rPr>
      </w:pPr>
      <w:r>
        <w:rPr>
          <w:noProof/>
          <w:sz w:val="20"/>
        </w:rPr>
        <w:t>Z univerzalnim formatom sporočil (UMF) se vzpostavi standard za strukturirano čezmejno izmenjavo informacij med informacijskimi sistemi, organi in/ali organizacijami na področju pravosodja in notranjih zadev. UMF opredeljuje skupno besedišče in logične strukture za pogosto izmenjane informacije, da se omogoči dosledno in semantično enakovredno ustvarjanje in branje izmenjanih vsebin, s čimer se olajša interoperabilnost.</w:t>
      </w:r>
    </w:p>
    <w:p>
      <w:pPr>
        <w:rPr>
          <w:noProof/>
          <w:sz w:val="20"/>
        </w:rPr>
      </w:pPr>
      <w:r>
        <w:rPr>
          <w:noProof/>
          <w:sz w:val="20"/>
        </w:rPr>
        <w:t>Za zagotovitev enotnih pogojev izvajanja univerzalnega formata sporočil se predlaga, naj se na Komisijo prenesejo izvedbena pooblastila. Ta pooblastila naj bi se po predlogu izvajala v skladu z Uredbo (EU) št. 182/2011 Evropskega parlamenta in Sveta z dne 16. februarja 2011 o določitvi pravil in splošnih načel, na podlagi katerih države članice nadzirajo izvajanje izvedbenih pooblastil Komisije.</w:t>
      </w:r>
    </w:p>
    <w:p>
      <w:pPr>
        <w:rPr>
          <w:noProof/>
          <w:sz w:val="20"/>
        </w:rPr>
      </w:pPr>
    </w:p>
    <w:p>
      <w:pPr>
        <w:rPr>
          <w:noProof/>
          <w:sz w:val="20"/>
        </w:rPr>
      </w:pPr>
    </w:p>
    <w:p>
      <w:pPr>
        <w:rPr>
          <w:noProof/>
        </w:rPr>
        <w:sectPr>
          <w:pgSz w:w="11907" w:h="16840"/>
          <w:pgMar w:top="1134" w:right="1418" w:bottom="1134" w:left="1418" w:header="709" w:footer="709" w:gutter="0"/>
          <w:cols w:space="708"/>
          <w:docGrid w:linePitch="360"/>
        </w:sectPr>
      </w:pPr>
    </w:p>
    <w:p>
      <w:pPr>
        <w:pStyle w:val="ManualHeading3"/>
        <w:rPr>
          <w:bCs/>
          <w:noProof/>
          <w:szCs w:val="24"/>
        </w:rPr>
      </w:pPr>
      <w:bookmarkStart w:id="295" w:name="_Toc498514179"/>
      <w:r>
        <w:t>3.2.5.</w:t>
      </w:r>
      <w:r>
        <w:tab/>
      </w:r>
      <w:r>
        <w:rPr>
          <w:noProof/>
        </w:rPr>
        <w:t>Skladnost z veljavnim večletnim finančnim okvirom</w:t>
      </w:r>
      <w:bookmarkEnd w:id="295"/>
      <w:r>
        <w:rPr>
          <w:noProof/>
        </w:rPr>
        <w:t xml:space="preserve"> </w:t>
      </w:r>
    </w:p>
    <w:p>
      <w:pPr>
        <w:pStyle w:val="ListDash1"/>
        <w:rPr>
          <w:noProof/>
        </w:rPr>
      </w:pPr>
      <w:r>
        <w:rPr>
          <w:noProof/>
        </w:rPr>
        <w:sym w:font="Wingdings" w:char="F0A8"/>
      </w:r>
      <w:r>
        <w:rPr>
          <w:noProof/>
        </w:rPr>
        <w:tab/>
        <w:t>Predlog/pobuda je v skladu z veljavnim večletnim finančnim okvirom.</w:t>
      </w:r>
    </w:p>
    <w:p>
      <w:pPr>
        <w:pStyle w:val="ListDash1"/>
        <w:rPr>
          <w:noProof/>
        </w:rPr>
      </w:pPr>
      <w:r>
        <w:rPr>
          <w:noProof/>
        </w:rPr>
        <w:sym w:font="Wingdings" w:char="F078"/>
      </w:r>
      <w:r>
        <w:rPr>
          <w:noProof/>
        </w:rPr>
        <w:tab/>
        <w:t>Za predlog/pobudo je potrebna sprememba zadevnega razdelka večletnega finančnega okvira.</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Pojasnite zahtevano spremembo ter navedite zadevne proračunske vrstice in ustrezne zneske.</w:t>
      </w:r>
    </w:p>
    <w:p>
      <w:pPr>
        <w:pStyle w:val="Text1"/>
        <w:pBdr>
          <w:top w:val="single" w:sz="4" w:space="1" w:color="auto"/>
          <w:left w:val="single" w:sz="4" w:space="4" w:color="auto"/>
          <w:bottom w:val="single" w:sz="4" w:space="1" w:color="auto"/>
          <w:right w:val="single" w:sz="4" w:space="4" w:color="auto"/>
        </w:pBdr>
        <w:rPr>
          <w:noProof/>
        </w:rPr>
      </w:pPr>
      <w:r>
        <w:rPr>
          <w:noProof/>
        </w:rPr>
        <w:t>Finančni instrument, v katerega je vključen proračun za izvajanje pobude o interoperabilnosti, je Uredba o Skladu za notranjo varnost (meje in vizumi).</w:t>
      </w:r>
    </w:p>
    <w:p>
      <w:pPr>
        <w:pStyle w:val="Text1"/>
        <w:pBdr>
          <w:top w:val="single" w:sz="4" w:space="1" w:color="auto"/>
          <w:left w:val="single" w:sz="4" w:space="4" w:color="auto"/>
          <w:bottom w:val="single" w:sz="4" w:space="1" w:color="auto"/>
          <w:right w:val="single" w:sz="4" w:space="4" w:color="auto"/>
        </w:pBdr>
        <w:rPr>
          <w:noProof/>
        </w:rPr>
      </w:pPr>
      <w:r>
        <w:rPr>
          <w:noProof/>
        </w:rPr>
        <w:t xml:space="preserve">V členu 5(b) uredbe je določeno, da se 791 milijonov EUR uporabi za program za razvoj informacijskih sistemov na podlagi obstoječih in/ali novih informacijskih sistemov za podporo upravljanja migracijskih tokov prek zunanjih meja, če bodo sprejeti ustrezni zakonodajni akti Unije in v skladu s pogoji iz člena 15. Od teh 791 milijonov EUR je 480,2 milijona EUR rezerviranih za razvoj SVI, 210 milijonov EUR za sistem ETIAS in 67,9 milijona EUR za spremembo SIS II. Preostanek (32,9 milijona EUR) se prerazporedi prek mehanizmov ISF-B. </w:t>
      </w:r>
      <w:r>
        <w:rPr>
          <w:b/>
          <w:noProof/>
        </w:rPr>
        <w:t>Ta predlog zahteva 32,1 milijona EUR za trenutno obdobje večletnega finančnega okvira, kar se ujema s preostalimi proračunskimi sredstvi.</w:t>
      </w:r>
    </w:p>
    <w:p>
      <w:pPr>
        <w:rPr>
          <w:noProof/>
        </w:rPr>
      </w:pPr>
      <w:r>
        <w:rPr>
          <w:noProof/>
        </w:rPr>
        <w:t>Sklep v zgornjem okvirju glede potrebnega zneska v višini 32,1 milijona EUR izhaja iz naslednjega izračuna:</w:t>
      </w:r>
    </w:p>
    <w:p>
      <w:pPr>
        <w:rPr>
          <w:noProof/>
        </w:rPr>
      </w:pPr>
      <w:r>
        <w:rPr>
          <w:noProof/>
          <w:lang w:val="en-US" w:eastAsia="en-US" w:bidi="ar-SA"/>
        </w:rPr>
        <w:drawing>
          <wp:inline distT="0" distB="0" distL="0" distR="0">
            <wp:extent cx="5756564" cy="77533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60085" cy="7758093"/>
                    </a:xfrm>
                    <a:prstGeom prst="rect">
                      <a:avLst/>
                    </a:prstGeom>
                    <a:noFill/>
                    <a:ln>
                      <a:noFill/>
                    </a:ln>
                  </pic:spPr>
                </pic:pic>
              </a:graphicData>
            </a:graphic>
          </wp:inline>
        </w:drawing>
      </w:r>
    </w:p>
    <w:p>
      <w:pPr>
        <w:rPr>
          <w:noProof/>
        </w:rPr>
      </w:pPr>
    </w:p>
    <w:p>
      <w:pPr>
        <w:pStyle w:val="ListDash1"/>
        <w:rPr>
          <w:noProof/>
        </w:rPr>
      </w:pPr>
      <w:r>
        <w:rPr>
          <w:noProof/>
        </w:rPr>
        <w:sym w:font="Wingdings" w:char="F0A8"/>
      </w:r>
      <w:r>
        <w:rPr>
          <w:noProof/>
        </w:rPr>
        <w:tab/>
        <w:t>Za predlog/pobudo je potrebna uporaba instrumenta prilagodljivosti ali sprememba večletnega finančnega okvira.</w:t>
      </w:r>
    </w:p>
    <w:p>
      <w:pPr>
        <w:pStyle w:val="ManualHeading3"/>
        <w:rPr>
          <w:bCs/>
          <w:noProof/>
          <w:szCs w:val="24"/>
        </w:rPr>
      </w:pPr>
      <w:bookmarkStart w:id="296" w:name="_Toc498514180"/>
      <w:r>
        <w:t>3.2.6.</w:t>
      </w:r>
      <w:r>
        <w:tab/>
      </w:r>
      <w:r>
        <w:rPr>
          <w:noProof/>
        </w:rPr>
        <w:t>Udeležba tretjih oseb pri financiranju</w:t>
      </w:r>
      <w:bookmarkEnd w:id="296"/>
      <w:r>
        <w:rPr>
          <w:noProof/>
        </w:rPr>
        <w:t xml:space="preserve"> </w:t>
      </w:r>
    </w:p>
    <w:p>
      <w:pPr>
        <w:pStyle w:val="ListDash1"/>
        <w:rPr>
          <w:noProof/>
        </w:rPr>
      </w:pPr>
      <w:r>
        <w:rPr>
          <w:noProof/>
        </w:rPr>
        <w:t xml:space="preserve">V predlogu/pobudi </w:t>
      </w:r>
      <w:r>
        <w:rPr>
          <w:b/>
          <w:noProof/>
        </w:rPr>
        <w:t>ni</w:t>
      </w:r>
      <w:r>
        <w:rPr>
          <w:noProof/>
        </w:rPr>
        <w:t xml:space="preserve"> načrtovano sofinanciranje tretjih oseb. </w:t>
      </w:r>
    </w:p>
    <w:p>
      <w:pPr>
        <w:pStyle w:val="ManualHeading2"/>
        <w:rPr>
          <w:bCs/>
          <w:noProof/>
          <w:szCs w:val="24"/>
        </w:rPr>
      </w:pPr>
      <w:r>
        <w:rPr>
          <w:noProof/>
        </w:rPr>
        <w:br w:type="page"/>
      </w:r>
      <w:bookmarkStart w:id="297" w:name="_Toc498514181"/>
      <w:r>
        <w:t>3.3.</w:t>
      </w:r>
      <w:r>
        <w:tab/>
      </w:r>
      <w:r>
        <w:rPr>
          <w:noProof/>
        </w:rPr>
        <w:t>Ocenjene posledice za prihodke</w:t>
      </w:r>
      <w:bookmarkEnd w:id="297"/>
      <w:r>
        <w:rPr>
          <w:noProof/>
        </w:rPr>
        <w:t xml:space="preserve"> </w:t>
      </w:r>
    </w:p>
    <w:p>
      <w:pPr>
        <w:pStyle w:val="ListDash1"/>
        <w:rPr>
          <w:noProof/>
        </w:rPr>
      </w:pPr>
      <w:r>
        <w:rPr>
          <w:noProof/>
        </w:rPr>
        <w:sym w:font="Wingdings" w:char="F0A8"/>
      </w:r>
      <w:r>
        <w:rPr>
          <w:noProof/>
        </w:rPr>
        <w:tab/>
        <w:t>Predlog/pobuda nima finančnih posledic za prihodke.</w:t>
      </w:r>
    </w:p>
    <w:p>
      <w:pPr>
        <w:pStyle w:val="ListDash1"/>
        <w:rPr>
          <w:noProof/>
        </w:rPr>
      </w:pPr>
      <w:r>
        <w:rPr>
          <w:noProof/>
        </w:rPr>
        <w:sym w:font="Wingdings" w:char="F078"/>
      </w:r>
      <w:r>
        <w:rPr>
          <w:noProof/>
        </w:rPr>
        <w:tab/>
        <w:t>Predlog/pobuda ima finančne posledice, kot je pojasnjeno v nadaljevanju:</w:t>
      </w:r>
    </w:p>
    <w:p>
      <w:pPr>
        <w:pStyle w:val="ListNumberLevel3"/>
        <w:rPr>
          <w:noProof/>
        </w:rPr>
      </w:pPr>
      <w:r>
        <w:rPr>
          <w:noProof/>
        </w:rPr>
        <w:sym w:font="Wingdings" w:char="F0A8"/>
      </w:r>
      <w:r>
        <w:rPr>
          <w:noProof/>
        </w:rPr>
        <w:tab/>
        <w:t xml:space="preserve">za lastna sredstva, </w:t>
      </w:r>
    </w:p>
    <w:p>
      <w:pPr>
        <w:pStyle w:val="ListNumberLevel3"/>
        <w:rPr>
          <w:noProof/>
        </w:rPr>
      </w:pPr>
      <w:r>
        <w:rPr>
          <w:noProof/>
        </w:rPr>
        <w:sym w:font="Wingdings" w:char="F078"/>
      </w:r>
      <w:r>
        <w:rPr>
          <w:noProof/>
        </w:rPr>
        <w:tab/>
        <w:t xml:space="preserve">za razne prihodke. </w:t>
      </w:r>
    </w:p>
    <w:p>
      <w:pPr>
        <w:jc w:val="right"/>
        <w:rPr>
          <w:i/>
          <w:noProof/>
          <w:sz w:val="20"/>
        </w:rPr>
      </w:pPr>
      <w:r>
        <w:rPr>
          <w:noProof/>
        </w:rPr>
        <w:t>v mio. EUR (na tri decimalna mesta natančno)</w:t>
      </w:r>
    </w:p>
    <w:tbl>
      <w:tblPr>
        <w:tblW w:w="94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29"/>
        <w:gridCol w:w="708"/>
        <w:gridCol w:w="746"/>
        <w:gridCol w:w="947"/>
        <w:gridCol w:w="709"/>
        <w:gridCol w:w="714"/>
        <w:gridCol w:w="850"/>
        <w:gridCol w:w="851"/>
        <w:gridCol w:w="746"/>
        <w:gridCol w:w="746"/>
      </w:tblGrid>
      <w:tr>
        <w:trPr>
          <w:gridAfter w:val="6"/>
          <w:wAfter w:w="4616" w:type="dxa"/>
          <w:trHeight w:val="388"/>
        </w:trPr>
        <w:tc>
          <w:tcPr>
            <w:tcW w:w="1276" w:type="dxa"/>
            <w:vMerge w:val="restart"/>
            <w:vAlign w:val="center"/>
          </w:tcPr>
          <w:p>
            <w:pPr>
              <w:spacing w:before="40" w:after="40"/>
              <w:rPr>
                <w:noProof/>
                <w:sz w:val="18"/>
              </w:rPr>
            </w:pPr>
            <w:r>
              <w:rPr>
                <w:noProof/>
                <w:sz w:val="18"/>
              </w:rPr>
              <w:t>Prihodkovna proračunska vrstica</w:t>
            </w:r>
          </w:p>
        </w:tc>
        <w:tc>
          <w:tcPr>
            <w:tcW w:w="1129" w:type="dxa"/>
            <w:vMerge w:val="restart"/>
            <w:vAlign w:val="center"/>
          </w:tcPr>
          <w:p>
            <w:pPr>
              <w:jc w:val="center"/>
              <w:rPr>
                <w:noProof/>
                <w:sz w:val="18"/>
              </w:rPr>
            </w:pPr>
            <w:r>
              <w:rPr>
                <w:noProof/>
                <w:sz w:val="18"/>
              </w:rPr>
              <w:t>Odobritve na voljo za tekoče proračunsko leto</w:t>
            </w:r>
          </w:p>
        </w:tc>
        <w:tc>
          <w:tcPr>
            <w:tcW w:w="2401" w:type="dxa"/>
            <w:gridSpan w:val="3"/>
          </w:tcPr>
          <w:p>
            <w:pPr>
              <w:jc w:val="center"/>
              <w:rPr>
                <w:noProof/>
                <w:sz w:val="18"/>
              </w:rPr>
            </w:pPr>
            <w:r>
              <w:rPr>
                <w:noProof/>
                <w:sz w:val="18"/>
              </w:rPr>
              <w:t>Posledice predloga/pobude</w:t>
            </w:r>
            <w:r>
              <w:rPr>
                <w:rStyle w:val="FootnoteReference"/>
                <w:noProof/>
                <w:sz w:val="18"/>
              </w:rPr>
              <w:footnoteReference w:id="112"/>
            </w:r>
          </w:p>
        </w:tc>
      </w:tr>
      <w:tr>
        <w:trPr>
          <w:trHeight w:val="2204"/>
        </w:trPr>
        <w:tc>
          <w:tcPr>
            <w:tcW w:w="1276" w:type="dxa"/>
            <w:vMerge/>
            <w:vAlign w:val="center"/>
          </w:tcPr>
          <w:p>
            <w:pPr>
              <w:spacing w:before="40" w:after="40"/>
              <w:jc w:val="center"/>
              <w:rPr>
                <w:noProof/>
                <w:sz w:val="18"/>
              </w:rPr>
            </w:pPr>
          </w:p>
        </w:tc>
        <w:tc>
          <w:tcPr>
            <w:tcW w:w="1129" w:type="dxa"/>
            <w:vMerge/>
            <w:vAlign w:val="center"/>
          </w:tcPr>
          <w:p>
            <w:pPr>
              <w:spacing w:beforeLines="40" w:before="96" w:afterLines="40" w:after="96"/>
              <w:jc w:val="center"/>
              <w:rPr>
                <w:i/>
                <w:noProof/>
                <w:sz w:val="18"/>
              </w:rPr>
            </w:pPr>
          </w:p>
        </w:tc>
        <w:tc>
          <w:tcPr>
            <w:tcW w:w="708" w:type="dxa"/>
            <w:vAlign w:val="center"/>
          </w:tcPr>
          <w:p>
            <w:pPr>
              <w:jc w:val="center"/>
              <w:rPr>
                <w:noProof/>
                <w:sz w:val="18"/>
              </w:rPr>
            </w:pPr>
            <w:r>
              <w:rPr>
                <w:noProof/>
                <w:sz w:val="18"/>
              </w:rPr>
              <w:t>Leto</w:t>
            </w:r>
            <w:r>
              <w:rPr>
                <w:noProof/>
                <w:sz w:val="22"/>
              </w:rPr>
              <w:br/>
            </w:r>
            <w:r>
              <w:rPr>
                <w:b/>
                <w:noProof/>
                <w:sz w:val="18"/>
              </w:rPr>
              <w:t>2019</w:t>
            </w:r>
          </w:p>
        </w:tc>
        <w:tc>
          <w:tcPr>
            <w:tcW w:w="746" w:type="dxa"/>
            <w:vAlign w:val="center"/>
          </w:tcPr>
          <w:p>
            <w:pPr>
              <w:jc w:val="center"/>
              <w:rPr>
                <w:noProof/>
                <w:sz w:val="18"/>
              </w:rPr>
            </w:pPr>
            <w:r>
              <w:rPr>
                <w:noProof/>
                <w:sz w:val="18"/>
              </w:rPr>
              <w:t>Leto</w:t>
            </w:r>
            <w:r>
              <w:rPr>
                <w:noProof/>
                <w:sz w:val="22"/>
              </w:rPr>
              <w:br/>
            </w:r>
            <w:r>
              <w:rPr>
                <w:b/>
                <w:noProof/>
                <w:sz w:val="18"/>
              </w:rPr>
              <w:t>2020</w:t>
            </w:r>
          </w:p>
        </w:tc>
        <w:tc>
          <w:tcPr>
            <w:tcW w:w="947" w:type="dxa"/>
            <w:vAlign w:val="center"/>
          </w:tcPr>
          <w:p>
            <w:pPr>
              <w:jc w:val="center"/>
              <w:rPr>
                <w:noProof/>
                <w:sz w:val="18"/>
              </w:rPr>
            </w:pPr>
            <w:r>
              <w:rPr>
                <w:noProof/>
                <w:sz w:val="18"/>
              </w:rPr>
              <w:t>Leto</w:t>
            </w:r>
            <w:r>
              <w:rPr>
                <w:noProof/>
                <w:sz w:val="22"/>
              </w:rPr>
              <w:br/>
            </w:r>
            <w:r>
              <w:rPr>
                <w:b/>
                <w:noProof/>
                <w:sz w:val="18"/>
              </w:rPr>
              <w:t>2021</w:t>
            </w:r>
          </w:p>
        </w:tc>
        <w:tc>
          <w:tcPr>
            <w:tcW w:w="709" w:type="dxa"/>
            <w:vAlign w:val="center"/>
          </w:tcPr>
          <w:p>
            <w:pPr>
              <w:jc w:val="center"/>
              <w:rPr>
                <w:noProof/>
                <w:sz w:val="18"/>
              </w:rPr>
            </w:pPr>
            <w:r>
              <w:rPr>
                <w:noProof/>
                <w:sz w:val="18"/>
              </w:rPr>
              <w:t>Leto</w:t>
            </w:r>
            <w:r>
              <w:rPr>
                <w:noProof/>
                <w:sz w:val="22"/>
              </w:rPr>
              <w:br/>
            </w:r>
            <w:r>
              <w:rPr>
                <w:b/>
                <w:noProof/>
                <w:sz w:val="18"/>
              </w:rPr>
              <w:t>2022</w:t>
            </w:r>
          </w:p>
        </w:tc>
        <w:tc>
          <w:tcPr>
            <w:tcW w:w="714" w:type="dxa"/>
            <w:vAlign w:val="center"/>
          </w:tcPr>
          <w:p>
            <w:pPr>
              <w:jc w:val="center"/>
              <w:rPr>
                <w:b/>
                <w:noProof/>
                <w:sz w:val="18"/>
              </w:rPr>
            </w:pPr>
            <w:r>
              <w:rPr>
                <w:noProof/>
                <w:sz w:val="18"/>
              </w:rPr>
              <w:t>Leto</w:t>
            </w:r>
            <w:r>
              <w:rPr>
                <w:noProof/>
                <w:sz w:val="22"/>
              </w:rPr>
              <w:br/>
            </w:r>
            <w:r>
              <w:rPr>
                <w:b/>
                <w:noProof/>
                <w:sz w:val="18"/>
              </w:rPr>
              <w:t>2023</w:t>
            </w:r>
          </w:p>
        </w:tc>
        <w:tc>
          <w:tcPr>
            <w:tcW w:w="850" w:type="dxa"/>
            <w:vAlign w:val="center"/>
          </w:tcPr>
          <w:p>
            <w:pPr>
              <w:jc w:val="center"/>
              <w:rPr>
                <w:noProof/>
                <w:sz w:val="18"/>
              </w:rPr>
            </w:pPr>
            <w:r>
              <w:rPr>
                <w:noProof/>
                <w:sz w:val="18"/>
              </w:rPr>
              <w:t>Leto</w:t>
            </w:r>
            <w:r>
              <w:rPr>
                <w:noProof/>
                <w:sz w:val="18"/>
              </w:rPr>
              <w:br/>
              <w:t xml:space="preserve"> </w:t>
            </w:r>
            <w:r>
              <w:rPr>
                <w:b/>
                <w:noProof/>
                <w:sz w:val="18"/>
              </w:rPr>
              <w:t>2024</w:t>
            </w:r>
          </w:p>
        </w:tc>
        <w:tc>
          <w:tcPr>
            <w:tcW w:w="851" w:type="dxa"/>
            <w:vAlign w:val="center"/>
          </w:tcPr>
          <w:p>
            <w:pPr>
              <w:jc w:val="center"/>
              <w:rPr>
                <w:noProof/>
                <w:sz w:val="18"/>
              </w:rPr>
            </w:pPr>
            <w:r>
              <w:rPr>
                <w:noProof/>
                <w:sz w:val="18"/>
              </w:rPr>
              <w:t>Leto</w:t>
            </w:r>
            <w:r>
              <w:rPr>
                <w:noProof/>
                <w:sz w:val="18"/>
              </w:rPr>
              <w:br/>
            </w:r>
            <w:r>
              <w:rPr>
                <w:b/>
                <w:noProof/>
                <w:sz w:val="18"/>
              </w:rPr>
              <w:t>2025</w:t>
            </w:r>
          </w:p>
        </w:tc>
        <w:tc>
          <w:tcPr>
            <w:tcW w:w="746" w:type="dxa"/>
            <w:vAlign w:val="center"/>
          </w:tcPr>
          <w:p>
            <w:pPr>
              <w:jc w:val="center"/>
              <w:rPr>
                <w:b/>
                <w:noProof/>
                <w:sz w:val="18"/>
              </w:rPr>
            </w:pPr>
            <w:r>
              <w:rPr>
                <w:noProof/>
                <w:sz w:val="18"/>
              </w:rPr>
              <w:t>Leto</w:t>
            </w:r>
            <w:r>
              <w:rPr>
                <w:noProof/>
                <w:sz w:val="18"/>
              </w:rPr>
              <w:br/>
            </w:r>
            <w:r>
              <w:rPr>
                <w:b/>
                <w:noProof/>
                <w:sz w:val="18"/>
              </w:rPr>
              <w:t>2026</w:t>
            </w:r>
          </w:p>
        </w:tc>
        <w:tc>
          <w:tcPr>
            <w:tcW w:w="746" w:type="dxa"/>
            <w:vAlign w:val="center"/>
          </w:tcPr>
          <w:p>
            <w:pPr>
              <w:jc w:val="center"/>
              <w:rPr>
                <w:noProof/>
                <w:sz w:val="18"/>
              </w:rPr>
            </w:pPr>
            <w:r>
              <w:rPr>
                <w:noProof/>
                <w:sz w:val="18"/>
              </w:rPr>
              <w:t>Leto</w:t>
            </w:r>
            <w:r>
              <w:rPr>
                <w:noProof/>
                <w:sz w:val="18"/>
              </w:rPr>
              <w:br/>
            </w:r>
            <w:r>
              <w:rPr>
                <w:b/>
                <w:noProof/>
                <w:sz w:val="18"/>
              </w:rPr>
              <w:t>2027</w:t>
            </w:r>
          </w:p>
        </w:tc>
      </w:tr>
      <w:tr>
        <w:trPr>
          <w:trHeight w:val="2204"/>
        </w:trPr>
        <w:tc>
          <w:tcPr>
            <w:tcW w:w="1276" w:type="dxa"/>
            <w:vAlign w:val="center"/>
          </w:tcPr>
          <w:p>
            <w:pPr>
              <w:spacing w:before="40" w:after="40"/>
              <w:rPr>
                <w:noProof/>
                <w:sz w:val="18"/>
              </w:rPr>
            </w:pPr>
            <w:r>
              <w:rPr>
                <w:noProof/>
                <w:sz w:val="18"/>
              </w:rPr>
              <w:t xml:space="preserve">Člen </w:t>
            </w:r>
          </w:p>
          <w:p>
            <w:pPr>
              <w:spacing w:before="40" w:after="40"/>
              <w:rPr>
                <w:noProof/>
                <w:sz w:val="18"/>
              </w:rPr>
            </w:pPr>
            <w:r>
              <w:rPr>
                <w:noProof/>
                <w:sz w:val="18"/>
              </w:rPr>
              <w:t>6313</w:t>
            </w:r>
          </w:p>
          <w:p>
            <w:pPr>
              <w:spacing w:before="40" w:after="40"/>
              <w:rPr>
                <w:noProof/>
                <w:sz w:val="18"/>
              </w:rPr>
            </w:pPr>
          </w:p>
          <w:p>
            <w:pPr>
              <w:spacing w:before="40" w:after="40"/>
              <w:rPr>
                <w:noProof/>
                <w:sz w:val="18"/>
              </w:rPr>
            </w:pPr>
            <w:r>
              <w:rPr>
                <w:noProof/>
                <w:sz w:val="18"/>
              </w:rPr>
              <w:t>–</w:t>
            </w:r>
          </w:p>
          <w:p>
            <w:pPr>
              <w:spacing w:before="40" w:after="40"/>
              <w:rPr>
                <w:noProof/>
                <w:sz w:val="18"/>
              </w:rPr>
            </w:pPr>
          </w:p>
          <w:p>
            <w:pPr>
              <w:spacing w:before="40" w:after="40"/>
              <w:jc w:val="center"/>
              <w:rPr>
                <w:noProof/>
                <w:sz w:val="18"/>
              </w:rPr>
            </w:pPr>
            <w:r>
              <w:rPr>
                <w:noProof/>
                <w:sz w:val="18"/>
              </w:rPr>
              <w:t>prispevek pridruženih schengenskih držav (CH, NO, LI, IS)………….</w:t>
            </w:r>
          </w:p>
        </w:tc>
        <w:tc>
          <w:tcPr>
            <w:tcW w:w="1129" w:type="dxa"/>
            <w:vAlign w:val="center"/>
          </w:tcPr>
          <w:p>
            <w:pPr>
              <w:spacing w:beforeLines="40" w:before="96" w:afterLines="40" w:after="96"/>
              <w:jc w:val="center"/>
              <w:rPr>
                <w:i/>
                <w:noProof/>
                <w:sz w:val="18"/>
              </w:rPr>
            </w:pPr>
          </w:p>
        </w:tc>
        <w:tc>
          <w:tcPr>
            <w:tcW w:w="708" w:type="dxa"/>
            <w:vAlign w:val="center"/>
          </w:tcPr>
          <w:p>
            <w:pPr>
              <w:jc w:val="center"/>
              <w:rPr>
                <w:noProof/>
              </w:rPr>
            </w:pPr>
            <w:r>
              <w:rPr>
                <w:noProof/>
              </w:rPr>
              <w:t>pm</w:t>
            </w:r>
          </w:p>
        </w:tc>
        <w:tc>
          <w:tcPr>
            <w:tcW w:w="746" w:type="dxa"/>
            <w:vAlign w:val="center"/>
          </w:tcPr>
          <w:p>
            <w:pPr>
              <w:jc w:val="center"/>
              <w:rPr>
                <w:noProof/>
              </w:rPr>
            </w:pPr>
            <w:r>
              <w:rPr>
                <w:noProof/>
              </w:rPr>
              <w:t>pm</w:t>
            </w:r>
          </w:p>
        </w:tc>
        <w:tc>
          <w:tcPr>
            <w:tcW w:w="947" w:type="dxa"/>
            <w:vAlign w:val="center"/>
          </w:tcPr>
          <w:p>
            <w:pPr>
              <w:jc w:val="center"/>
              <w:rPr>
                <w:noProof/>
              </w:rPr>
            </w:pPr>
            <w:r>
              <w:rPr>
                <w:noProof/>
              </w:rPr>
              <w:t>pm</w:t>
            </w:r>
          </w:p>
        </w:tc>
        <w:tc>
          <w:tcPr>
            <w:tcW w:w="709" w:type="dxa"/>
            <w:vAlign w:val="center"/>
          </w:tcPr>
          <w:p>
            <w:pPr>
              <w:jc w:val="center"/>
              <w:rPr>
                <w:noProof/>
              </w:rPr>
            </w:pPr>
            <w:r>
              <w:rPr>
                <w:noProof/>
              </w:rPr>
              <w:t>pm</w:t>
            </w:r>
          </w:p>
        </w:tc>
        <w:tc>
          <w:tcPr>
            <w:tcW w:w="714" w:type="dxa"/>
            <w:vAlign w:val="center"/>
          </w:tcPr>
          <w:p>
            <w:pPr>
              <w:jc w:val="center"/>
              <w:rPr>
                <w:noProof/>
              </w:rPr>
            </w:pPr>
            <w:r>
              <w:rPr>
                <w:noProof/>
              </w:rPr>
              <w:t>pm</w:t>
            </w:r>
          </w:p>
        </w:tc>
        <w:tc>
          <w:tcPr>
            <w:tcW w:w="850" w:type="dxa"/>
            <w:vAlign w:val="center"/>
          </w:tcPr>
          <w:p>
            <w:pPr>
              <w:jc w:val="center"/>
              <w:rPr>
                <w:noProof/>
              </w:rPr>
            </w:pPr>
            <w:r>
              <w:rPr>
                <w:noProof/>
              </w:rPr>
              <w:t>pm</w:t>
            </w:r>
          </w:p>
        </w:tc>
        <w:tc>
          <w:tcPr>
            <w:tcW w:w="851" w:type="dxa"/>
            <w:vAlign w:val="center"/>
          </w:tcPr>
          <w:p>
            <w:pPr>
              <w:jc w:val="center"/>
              <w:rPr>
                <w:noProof/>
              </w:rPr>
            </w:pPr>
            <w:r>
              <w:rPr>
                <w:noProof/>
              </w:rPr>
              <w:t>pm</w:t>
            </w:r>
          </w:p>
        </w:tc>
        <w:tc>
          <w:tcPr>
            <w:tcW w:w="746" w:type="dxa"/>
            <w:vAlign w:val="center"/>
          </w:tcPr>
          <w:p>
            <w:pPr>
              <w:jc w:val="center"/>
              <w:rPr>
                <w:noProof/>
              </w:rPr>
            </w:pPr>
            <w:r>
              <w:rPr>
                <w:noProof/>
              </w:rPr>
              <w:t>pm</w:t>
            </w:r>
          </w:p>
        </w:tc>
        <w:tc>
          <w:tcPr>
            <w:tcW w:w="746" w:type="dxa"/>
            <w:vAlign w:val="center"/>
          </w:tcPr>
          <w:p>
            <w:pPr>
              <w:jc w:val="center"/>
              <w:rPr>
                <w:noProof/>
              </w:rPr>
            </w:pPr>
            <w:r>
              <w:rPr>
                <w:noProof/>
              </w:rPr>
              <w:t>pm</w:t>
            </w:r>
          </w:p>
        </w:tc>
      </w:tr>
    </w:tbl>
    <w:p>
      <w:pPr>
        <w:pStyle w:val="Text1"/>
        <w:rPr>
          <w:noProof/>
          <w:sz w:val="20"/>
        </w:rPr>
      </w:pPr>
      <w:r>
        <w:rPr>
          <w:noProof/>
          <w:sz w:val="20"/>
        </w:rPr>
        <w:t>Za razne namenske prejemke navedite zadevne odhodkovne proračunske vrstice.</w:t>
      </w:r>
    </w:p>
    <w:p>
      <w:pPr>
        <w:pStyle w:val="Text1"/>
        <w:pBdr>
          <w:top w:val="single" w:sz="4" w:space="1" w:color="auto"/>
          <w:left w:val="single" w:sz="4" w:space="4" w:color="auto"/>
          <w:bottom w:val="single" w:sz="4" w:space="1" w:color="auto"/>
          <w:right w:val="single" w:sz="4" w:space="4" w:color="auto"/>
        </w:pBdr>
        <w:rPr>
          <w:noProof/>
        </w:rPr>
      </w:pPr>
      <w:r>
        <w:rPr>
          <w:noProof/>
        </w:rPr>
        <w:t>18.02.07</w:t>
      </w:r>
    </w:p>
    <w:p>
      <w:pPr>
        <w:pStyle w:val="Text1"/>
        <w:rPr>
          <w:noProof/>
          <w:sz w:val="20"/>
        </w:rPr>
      </w:pPr>
      <w:r>
        <w:rPr>
          <w:noProof/>
          <w:sz w:val="20"/>
        </w:rPr>
        <w:t>Navedite metodo za izračun posledic za prihodke.</w:t>
      </w:r>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rPr>
      </w:pPr>
      <w:r>
        <w:rPr>
          <w:noProof/>
        </w:rPr>
        <w:t>Proračun vključuje prispevek držav, ki so se pridružile izvajanju, uporabi in razvoju schengenskega pravnega reda in ukrepov, povezanih s sistemom Eurodac, kot je določeno v ustreznih sporazumih.</w:t>
      </w:r>
    </w:p>
    <w:p>
      <w:pPr>
        <w:pStyle w:val="Text1"/>
        <w:pBdr>
          <w:top w:val="single" w:sz="4" w:space="1" w:color="auto"/>
          <w:left w:val="single" w:sz="4" w:space="4" w:color="auto"/>
          <w:bottom w:val="single" w:sz="4" w:space="1" w:color="auto"/>
          <w:right w:val="single" w:sz="4" w:space="4" w:color="auto"/>
        </w:pBdr>
        <w:rPr>
          <w:noProof/>
        </w:rPr>
      </w:pPr>
    </w:p>
    <w:p>
      <w:pPr>
        <w:rPr>
          <w:noProof/>
        </w:rPr>
      </w:pPr>
    </w:p>
    <w:p>
      <w:pPr>
        <w:pStyle w:val="ManualHeading1"/>
        <w:rPr>
          <w:noProof/>
        </w:rPr>
      </w:pPr>
    </w:p>
    <w:sect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SL</w:t>
    </w:r>
    <w:r>
      <w:rPr>
        <w:rFonts w:ascii="Arial" w:hAnsi="Arial" w:cs="Arial"/>
        <w:b/>
        <w:sz w:val="48"/>
      </w:rPr>
      <w:tab/>
    </w:r>
    <w:r>
      <w:rPr>
        <w:rFonts w:ascii="Arial" w:hAnsi="Arial" w:cs="Arial"/>
        <w:b/>
        <w:sz w:val="48"/>
      </w:rPr>
      <w:tab/>
    </w:r>
    <w:r>
      <w:tab/>
    </w:r>
    <w:r>
      <w:rPr>
        <w:rFonts w:ascii="Arial" w:hAnsi="Arial" w:cs="Arial"/>
        <w:b/>
        <w:sz w:val="48"/>
      </w:rPr>
      <w:t>SL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SL</w:t>
    </w:r>
    <w:r>
      <w:rPr>
        <w:rFonts w:ascii="Arial" w:hAnsi="Arial" w:cs="Arial"/>
        <w:b/>
        <w:sz w:val="48"/>
      </w:rPr>
      <w:tab/>
    </w:r>
    <w:r>
      <w:fldChar w:fldCharType="begin"/>
    </w:r>
    <w:r>
      <w:instrText xml:space="preserve"> PAGE  \* MERGEFORMAT </w:instrText>
    </w:r>
    <w:r>
      <w:fldChar w:fldCharType="separate"/>
    </w:r>
    <w:r>
      <w:rPr>
        <w:noProof/>
      </w:rPr>
      <w:t>74</w:t>
    </w:r>
    <w:r>
      <w:fldChar w:fldCharType="end"/>
    </w:r>
    <w:r>
      <w:tab/>
    </w:r>
    <w:r>
      <w:tab/>
    </w:r>
    <w:r>
      <w:rPr>
        <w:rFonts w:ascii="Arial" w:hAnsi="Arial" w:cs="Arial"/>
        <w:b/>
        <w:sz w:val="48"/>
      </w:rPr>
      <w:t>SL</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SL</w:t>
    </w:r>
    <w:r>
      <w:rPr>
        <w:rFonts w:ascii="Arial" w:hAnsi="Arial" w:cs="Arial"/>
        <w:b/>
        <w:sz w:val="48"/>
      </w:rPr>
      <w:tab/>
    </w:r>
    <w:r>
      <w:fldChar w:fldCharType="begin"/>
    </w:r>
    <w:r>
      <w:instrText xml:space="preserve"> PAGE  \* MERGEFORMAT </w:instrText>
    </w:r>
    <w:r>
      <w:fldChar w:fldCharType="separate"/>
    </w:r>
    <w:r>
      <w:rPr>
        <w:noProof/>
      </w:rPr>
      <w:t>105</w:t>
    </w:r>
    <w:r>
      <w:fldChar w:fldCharType="end"/>
    </w:r>
    <w:r>
      <w:tab/>
    </w:r>
    <w:r>
      <w:tab/>
    </w:r>
    <w:r>
      <w:rPr>
        <w:rFonts w:ascii="Arial" w:hAnsi="Arial" w:cs="Arial"/>
        <w:b/>
        <w:sz w:val="48"/>
      </w:rPr>
      <w:t>SL</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SL</w:t>
    </w:r>
    <w:r>
      <w:rPr>
        <w:rFonts w:ascii="Arial" w:hAnsi="Arial" w:cs="Arial"/>
        <w:b/>
        <w:sz w:val="48"/>
      </w:rPr>
      <w:tab/>
    </w:r>
    <w:r>
      <w:fldChar w:fldCharType="begin"/>
    </w:r>
    <w:r>
      <w:instrText xml:space="preserve"> PAGE  \* MERGEFORMAT </w:instrText>
    </w:r>
    <w:r>
      <w:fldChar w:fldCharType="separate"/>
    </w:r>
    <w:r>
      <w:rPr>
        <w:noProof/>
      </w:rPr>
      <w:t>127</w:t>
    </w:r>
    <w:r>
      <w:fldChar w:fldCharType="end"/>
    </w:r>
    <w:r>
      <w:tab/>
    </w:r>
    <w:r>
      <w:tab/>
    </w:r>
    <w:r>
      <w:rPr>
        <w:rFonts w:ascii="Arial" w:hAnsi="Arial" w:cs="Arial"/>
        <w:b/>
        <w:sz w:val="48"/>
      </w:rPr>
      <w:t>SL</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ind w:left="284" w:hanging="284"/>
      </w:pPr>
      <w:r>
        <w:rPr>
          <w:rStyle w:val="FootnoteReference"/>
        </w:rPr>
        <w:footnoteRef/>
      </w:r>
      <w:r>
        <w:tab/>
        <w:t>COM(2016) 205 z dne 6. aprila 2016.</w:t>
      </w:r>
    </w:p>
  </w:footnote>
  <w:footnote w:id="2">
    <w:p>
      <w:pPr>
        <w:pStyle w:val="FootnoteText"/>
        <w:ind w:left="284" w:hanging="284"/>
      </w:pPr>
      <w:r>
        <w:rPr>
          <w:rStyle w:val="FootnoteReference"/>
        </w:rPr>
        <w:footnoteRef/>
      </w:r>
      <w:r>
        <w:tab/>
        <w:t>(1) Neoptimalna funkcionalnost nekaterih obstoječih informacijskih sistemov; (2) informacijske vrzeli v arhitekturi za upravljanje podatkov na ravni EU; (3) zapleteno okolje različno upravljanih informacijskih sistemov ter (4) razdrobljena arhitektura upravljanja podatkov za meje in varnost, pri kateri se informacije hranijo ločeno v nepovezanih sistemih, kar lahko privede do pomanjkljivosti.</w:t>
      </w:r>
    </w:p>
  </w:footnote>
  <w:footnote w:id="3">
    <w:p>
      <w:pPr>
        <w:autoSpaceDE w:val="0"/>
        <w:autoSpaceDN w:val="0"/>
        <w:spacing w:before="0" w:after="0"/>
        <w:ind w:left="284" w:hanging="284"/>
        <w:rPr>
          <w:sz w:val="20"/>
        </w:rPr>
      </w:pPr>
      <w:r>
        <w:rPr>
          <w:rStyle w:val="FootnoteReference"/>
        </w:rPr>
        <w:footnoteRef/>
      </w:r>
      <w:r>
        <w:tab/>
      </w:r>
      <w:r>
        <w:rPr>
          <w:sz w:val="20"/>
        </w:rPr>
        <w:t>Načrt z dne 6. junija 2016 za boljšo izmenjavo in upravljanje informacij, vključno z interoperabilnostnimi rešitvami, na področju pravosodja in notranjih zadev – 9368/1/16 REV 1.</w:t>
      </w:r>
    </w:p>
  </w:footnote>
  <w:footnote w:id="4">
    <w:p>
      <w:pPr>
        <w:pStyle w:val="FootnoteText"/>
        <w:ind w:left="284" w:hanging="284"/>
      </w:pPr>
      <w:r>
        <w:rPr>
          <w:rStyle w:val="FootnoteReference"/>
        </w:rPr>
        <w:footnoteRef/>
      </w:r>
      <w:r>
        <w:tab/>
        <w:t>Resolucija Evropskega parlamenta z dne 6. julija 2016 o strateških prednostnih nalogah v delovnem programu Komisije za leto 2017 (</w:t>
      </w:r>
      <w:hyperlink r:id="rId1">
        <w:r>
          <w:rPr>
            <w:rStyle w:val="Hyperlink"/>
          </w:rPr>
          <w:t>2016/2773(RSP)</w:t>
        </w:r>
      </w:hyperlink>
      <w:r>
        <w:t>).</w:t>
      </w:r>
    </w:p>
  </w:footnote>
  <w:footnote w:id="5">
    <w:p>
      <w:pPr>
        <w:pStyle w:val="FootnoteText"/>
        <w:ind w:left="284" w:hanging="284"/>
      </w:pPr>
      <w:r>
        <w:rPr>
          <w:rStyle w:val="FootnoteReference"/>
        </w:rPr>
        <w:footnoteRef/>
      </w:r>
      <w:r>
        <w:tab/>
        <w:t xml:space="preserve">Govor o stanju v Uniji 2016 z dne 14. septembra 2016, </w:t>
      </w:r>
      <w:hyperlink r:id="rId2">
        <w:r>
          <w:rPr>
            <w:rStyle w:val="Hyperlink"/>
          </w:rPr>
          <w:t>https://ec.europa.eu/commission/state-union-2016_sl</w:t>
        </w:r>
      </w:hyperlink>
      <w:r>
        <w:t>.</w:t>
      </w:r>
    </w:p>
  </w:footnote>
  <w:footnote w:id="6">
    <w:p>
      <w:pPr>
        <w:pStyle w:val="FootnoteText"/>
        <w:ind w:left="284" w:hanging="284"/>
      </w:pPr>
      <w:r>
        <w:rPr>
          <w:rStyle w:val="FootnoteReference"/>
        </w:rPr>
        <w:footnoteRef/>
      </w:r>
      <w:r>
        <w:tab/>
        <w:t xml:space="preserve">Sklepi Evropskega sveta z dne 15. decembra 2016, </w:t>
      </w:r>
      <w:hyperlink r:id="rId3">
        <w:r>
          <w:rPr>
            <w:rStyle w:val="Hyperlink"/>
          </w:rPr>
          <w:t>http://www.consilium.europa.eu/en/meetings/european-council/2016/12/20161215-euco-conclusions-final_pdf/</w:t>
        </w:r>
      </w:hyperlink>
      <w:r>
        <w:t>.</w:t>
      </w:r>
    </w:p>
  </w:footnote>
  <w:footnote w:id="7">
    <w:p>
      <w:pPr>
        <w:pStyle w:val="Default"/>
        <w:ind w:left="284" w:hanging="284"/>
        <w:rPr>
          <w:sz w:val="20"/>
        </w:rPr>
      </w:pPr>
      <w:r>
        <w:rPr>
          <w:rStyle w:val="FootnoteReference"/>
        </w:rPr>
        <w:footnoteRef/>
      </w:r>
      <w:r>
        <w:tab/>
      </w:r>
      <w:r>
        <w:rPr>
          <w:color w:val="auto"/>
          <w:sz w:val="20"/>
        </w:rPr>
        <w:t>Sklep Komisije z dne 17. junija 2016 o ustanovitvi strokovne skupine na visoki ravni za informacijske sisteme in interoperabilnost – 2016/C 257/03.</w:t>
      </w:r>
    </w:p>
  </w:footnote>
  <w:footnote w:id="8">
    <w:p>
      <w:pPr>
        <w:pStyle w:val="FootnoteText"/>
        <w:ind w:left="284" w:hanging="284"/>
      </w:pPr>
      <w:r>
        <w:rPr>
          <w:rStyle w:val="FootnoteReference"/>
        </w:rPr>
        <w:footnoteRef/>
      </w:r>
      <w:r>
        <w:tab/>
      </w:r>
      <w:hyperlink r:id="rId4">
        <w:r>
          <w:rPr>
            <w:rStyle w:val="Hyperlink"/>
          </w:rPr>
          <w:t>http://ec.europa.eu/transparency/regexpert/index.cfm?do=groupDetail.groupDetailDoc&amp;id=32600&amp;no=1</w:t>
        </w:r>
      </w:hyperlink>
      <w:r>
        <w:t>.</w:t>
      </w:r>
    </w:p>
  </w:footnote>
  <w:footnote w:id="9">
    <w:p>
      <w:pPr>
        <w:pStyle w:val="FootnoteText"/>
        <w:ind w:left="284" w:hanging="284"/>
        <w:rPr>
          <w:rStyle w:val="FootnoteReference"/>
          <w:vertAlign w:val="baseline"/>
        </w:rPr>
      </w:pPr>
      <w:r>
        <w:rPr>
          <w:rStyle w:val="FootnoteReference"/>
        </w:rPr>
        <w:footnoteRef/>
      </w:r>
      <w:r>
        <w:tab/>
      </w:r>
      <w:r>
        <w:rPr>
          <w:rStyle w:val="FootnoteReference"/>
          <w:vertAlign w:val="baseline"/>
        </w:rPr>
        <w:t>COM(2017) 261 final.</w:t>
      </w:r>
    </w:p>
  </w:footnote>
  <w:footnote w:id="10">
    <w:p>
      <w:pPr>
        <w:pStyle w:val="FootnoteText"/>
        <w:tabs>
          <w:tab w:val="left" w:pos="120"/>
        </w:tabs>
        <w:ind w:left="284" w:hanging="284"/>
      </w:pPr>
      <w:r>
        <w:rPr>
          <w:rStyle w:val="FootnoteReference"/>
        </w:rPr>
        <w:footnoteRef/>
      </w:r>
      <w:r>
        <w:tab/>
        <w:t>Nov koncept vgrajene zasebnosti, ki omejuje dostop do vseh podatkov tako, da omogoča le oznake zadetek/ni zadetka, kar kaže na obstoj (ali neobstoj) podatkov.</w:t>
      </w:r>
    </w:p>
  </w:footnote>
  <w:footnote w:id="11">
    <w:p>
      <w:pPr>
        <w:pStyle w:val="FootnoteText"/>
        <w:tabs>
          <w:tab w:val="left" w:pos="120"/>
        </w:tabs>
        <w:ind w:left="284" w:hanging="284"/>
      </w:pPr>
      <w:r>
        <w:rPr>
          <w:rStyle w:val="FootnoteReference"/>
        </w:rPr>
        <w:footnoteRef/>
      </w:r>
      <w:r>
        <w:tab/>
      </w:r>
      <w:hyperlink r:id="rId5">
        <w:r>
          <w:rPr>
            <w:rStyle w:val="Hyperlink"/>
          </w:rPr>
          <w:t>Sklepi Evropskega sveta</w:t>
        </w:r>
      </w:hyperlink>
      <w:r>
        <w:t xml:space="preserve"> z dne 22. in 23. junija 2017.</w:t>
      </w:r>
    </w:p>
  </w:footnote>
  <w:footnote w:id="12">
    <w:p>
      <w:pPr>
        <w:pStyle w:val="FootnoteText"/>
        <w:tabs>
          <w:tab w:val="left" w:pos="120"/>
        </w:tabs>
        <w:ind w:left="284" w:hanging="284"/>
      </w:pPr>
      <w:r>
        <w:rPr>
          <w:rStyle w:val="FootnoteReference"/>
        </w:rPr>
        <w:footnoteRef/>
      </w:r>
      <w:r>
        <w:tab/>
      </w:r>
      <w:hyperlink r:id="rId6">
        <w:r>
          <w:rPr>
            <w:rStyle w:val="Hyperlink"/>
          </w:rPr>
          <w:t>Izid 3546. seje Sveta za pravosodje in notranje zadeve z dne 8. in 9. junija 2017, 10136/17.</w:t>
        </w:r>
      </w:hyperlink>
    </w:p>
  </w:footnote>
  <w:footnote w:id="13">
    <w:p>
      <w:pPr>
        <w:pStyle w:val="FootnoteText"/>
        <w:tabs>
          <w:tab w:val="left" w:pos="120"/>
        </w:tabs>
        <w:ind w:left="284" w:hanging="284"/>
      </w:pPr>
      <w:r>
        <w:rPr>
          <w:rStyle w:val="FootnoteReference"/>
        </w:rPr>
        <w:footnoteRef/>
      </w:r>
      <w:r>
        <w:tab/>
      </w:r>
      <w:r>
        <w:rPr>
          <w:color w:val="000000"/>
        </w:rPr>
        <w:t>Odbor stalnih predstavnikov pri Svetu (Coreper) se je ob podelitvi mandata predsedstvu Sveta za začetek medinstitucionalnih pogajanj o sistemu vstopa/izstopa EU 2. marca 2017 dogovoril o osnutku izjave Sveta, v katerem je Komisijo pozval, da predlaga celovit okvir za dostop organov kazenskega pregona do različnih podatkovnih zbirk na področju pravosodja in notranjih zadev, da bi se zagotovila večja poenostavitev, doslednost, učinkovitost in osredotočenost na operativne potrebe (povzetek zapisnika 7177/17, 21. 3. 2017).</w:t>
      </w:r>
    </w:p>
  </w:footnote>
  <w:footnote w:id="14">
    <w:p>
      <w:pPr>
        <w:pStyle w:val="FootnoteText"/>
        <w:tabs>
          <w:tab w:val="left" w:pos="120"/>
        </w:tabs>
        <w:ind w:left="284" w:hanging="284"/>
      </w:pPr>
      <w:r>
        <w:rPr>
          <w:rStyle w:val="FootnoteReference"/>
        </w:rPr>
        <w:footnoteRef/>
      </w:r>
      <w:r>
        <w:tab/>
        <w:t>COM(2017) 650 final.</w:t>
      </w:r>
    </w:p>
  </w:footnote>
  <w:footnote w:id="15">
    <w:p>
      <w:pPr>
        <w:pStyle w:val="FootnoteText"/>
        <w:ind w:left="284" w:hanging="284"/>
      </w:pPr>
      <w:r>
        <w:rPr>
          <w:rStyle w:val="FootnoteReference"/>
        </w:rPr>
        <w:footnoteRef/>
      </w:r>
      <w:r>
        <w:tab/>
        <w:t>COM(2017) 570 final.</w:t>
      </w:r>
    </w:p>
  </w:footnote>
  <w:footnote w:id="16">
    <w:p>
      <w:pPr>
        <w:pStyle w:val="FootnoteText"/>
        <w:ind w:left="284" w:hanging="284"/>
      </w:pPr>
      <w:r>
        <w:rPr>
          <w:rStyle w:val="FootnoteReference"/>
        </w:rPr>
        <w:footnoteRef/>
      </w:r>
      <w:r>
        <w:tab/>
        <w:t>COM(2015) 185 final.</w:t>
      </w:r>
    </w:p>
  </w:footnote>
  <w:footnote w:id="17">
    <w:p>
      <w:pPr>
        <w:pStyle w:val="FootnoteText"/>
        <w:ind w:left="284" w:hanging="284"/>
      </w:pPr>
      <w:r>
        <w:rPr>
          <w:rStyle w:val="FootnoteReference"/>
        </w:rPr>
        <w:footnoteRef/>
      </w:r>
      <w:r>
        <w:tab/>
        <w:t>COM(2016) 230 final.</w:t>
      </w:r>
    </w:p>
  </w:footnote>
  <w:footnote w:id="18">
    <w:p>
      <w:pPr>
        <w:pStyle w:val="FootnoteText"/>
        <w:ind w:left="284" w:hanging="284"/>
      </w:pPr>
      <w:r>
        <w:rPr>
          <w:rStyle w:val="FootnoteReference"/>
        </w:rPr>
        <w:footnoteRef/>
      </w:r>
      <w:r>
        <w:tab/>
        <w:t>Komisija je v osnutkih uredb o SIS iz decembra 2016 predlagala, da se to razširi tudi na odločbe o vrnitvi in poizvedovalne kontrole.</w:t>
      </w:r>
    </w:p>
  </w:footnote>
  <w:footnote w:id="19">
    <w:p>
      <w:pPr>
        <w:pStyle w:val="FootnoteText"/>
        <w:ind w:left="284" w:hanging="284"/>
      </w:pPr>
      <w:r>
        <w:rPr>
          <w:rStyle w:val="FootnoteReference"/>
        </w:rPr>
        <w:footnoteRef/>
      </w:r>
      <w:r>
        <w:tab/>
      </w:r>
      <w:hyperlink r:id="rId7">
        <w:r>
          <w:rPr>
            <w:rStyle w:val="Hyperlink"/>
          </w:rPr>
          <w:t>http://eur-lex.europa.eu/legal-content/EN/TXT/?qid=1508936184412&amp;uri=CELEX:32008D06 15</w:t>
        </w:r>
      </w:hyperlink>
      <w:r>
        <w:t>.</w:t>
      </w:r>
    </w:p>
  </w:footnote>
  <w:footnote w:id="20">
    <w:p>
      <w:pPr>
        <w:pStyle w:val="FootnoteText"/>
        <w:ind w:left="284" w:hanging="284"/>
      </w:pPr>
      <w:r>
        <w:rPr>
          <w:rStyle w:val="FootnoteReference"/>
        </w:rPr>
        <w:footnoteRef/>
      </w:r>
      <w:r>
        <w:tab/>
      </w:r>
      <w:hyperlink r:id="rId8">
        <w:r>
          <w:rPr>
            <w:rStyle w:val="Hyperlink"/>
          </w:rPr>
          <w:t>http://eur-lex.europa.eu/legal-content/EN/TXT/?qid=1508936384641&amp;uri=CELEX:32016L06 81</w:t>
        </w:r>
      </w:hyperlink>
      <w:r>
        <w:t>.</w:t>
      </w:r>
    </w:p>
  </w:footnote>
  <w:footnote w:id="21">
    <w:p>
      <w:pPr>
        <w:pStyle w:val="FootnoteText"/>
        <w:ind w:left="284" w:hanging="284"/>
      </w:pPr>
      <w:r>
        <w:rPr>
          <w:rStyle w:val="FootnoteReference"/>
        </w:rPr>
        <w:footnoteRef/>
      </w:r>
      <w:r>
        <w:tab/>
        <w:t>Direktiva Sveta 2004/82/ES z dne 29. aprila 2004 o dolžnosti prevoznikov, da posredujejo podatke o potnikih.</w:t>
      </w:r>
    </w:p>
  </w:footnote>
  <w:footnote w:id="22">
    <w:p>
      <w:pPr>
        <w:pStyle w:val="FootnoteText"/>
        <w:ind w:left="284" w:hanging="284"/>
      </w:pPr>
      <w:r>
        <w:rPr>
          <w:rStyle w:val="FootnoteReference"/>
        </w:rPr>
        <w:footnoteRef/>
      </w:r>
      <w:r>
        <w:tab/>
        <w:t>Podobno je glede carinskih sistemov Svet v svojih sklepih iz junija 2017 pozval Komisijo, da izvede študijo izvedljivosti, da bi tako dodatno proučila tehnične, operativne in pravne vidike interoperabilnosti varnostnih sistemov upravljanja meja s carinskimi sistemi, ter da svoje ugotovitve predloži za razpravo v Svetu do konca leta 2018.</w:t>
      </w:r>
    </w:p>
  </w:footnote>
  <w:footnote w:id="23">
    <w:p>
      <w:pPr>
        <w:pStyle w:val="FootnoteText"/>
        <w:ind w:left="284" w:hanging="284"/>
      </w:pPr>
      <w:r>
        <w:rPr>
          <w:rStyle w:val="FootnoteReference"/>
        </w:rPr>
        <w:footnoteRef/>
      </w:r>
      <w:r>
        <w:tab/>
        <w:t>Ti biometrični iskalniki se strokovno imenujejo tudi sistemi za avtomatizirano identifikacijo prstnih odtisov ali sistemi za avtomatizirano identifikacijo biometričnih podatkov.</w:t>
      </w:r>
    </w:p>
  </w:footnote>
  <w:footnote w:id="24">
    <w:p>
      <w:pPr>
        <w:pStyle w:val="FootnoteText"/>
        <w:ind w:left="284" w:hanging="284"/>
      </w:pPr>
      <w:r>
        <w:rPr>
          <w:rStyle w:val="FootnoteReference"/>
        </w:rPr>
        <w:footnoteRef/>
      </w:r>
      <w:r>
        <w:tab/>
        <w:t>Biografski podatki, ki jih je mogoče najti na potovalnem dokumentu, vključujejo priimek, ime, spol, datum rojstva in številko potovalnega dokumenta. Ne vključujejo naslovov, nekdanjih imen, biometričnih podatkov itd.</w:t>
      </w:r>
    </w:p>
  </w:footnote>
  <w:footnote w:id="25">
    <w:p>
      <w:pPr>
        <w:pStyle w:val="FootnoteText"/>
        <w:ind w:left="284" w:hanging="284"/>
      </w:pPr>
      <w:r>
        <w:rPr>
          <w:rStyle w:val="FootnoteReference"/>
        </w:rPr>
        <w:footnoteRef/>
      </w:r>
      <w:r>
        <w:tab/>
        <w:t>COM(2016) 883 final.</w:t>
      </w:r>
    </w:p>
  </w:footnote>
  <w:footnote w:id="26">
    <w:p>
      <w:pPr>
        <w:pStyle w:val="FootnoteText"/>
        <w:ind w:left="284" w:hanging="284"/>
        <w:rPr>
          <w:lang w:val="pt-PT"/>
        </w:rPr>
      </w:pPr>
      <w:r>
        <w:rPr>
          <w:rStyle w:val="FootnoteReference"/>
        </w:rPr>
        <w:footnoteRef/>
      </w:r>
      <w:r>
        <w:tab/>
        <w:t>COM(2016) 272 final.</w:t>
      </w:r>
    </w:p>
  </w:footnote>
  <w:footnote w:id="27">
    <w:p>
      <w:pPr>
        <w:pStyle w:val="FootnoteText"/>
        <w:ind w:left="284" w:hanging="284"/>
        <w:rPr>
          <w:lang w:val="pt-PT"/>
        </w:rPr>
      </w:pPr>
      <w:r>
        <w:rPr>
          <w:rStyle w:val="FootnoteReference"/>
        </w:rPr>
        <w:footnoteRef/>
      </w:r>
      <w:r>
        <w:tab/>
        <w:t>COM(2016) 194 final.</w:t>
      </w:r>
    </w:p>
  </w:footnote>
  <w:footnote w:id="28">
    <w:p>
      <w:pPr>
        <w:pStyle w:val="FootnoteText"/>
        <w:ind w:left="284" w:hanging="284"/>
        <w:rPr>
          <w:lang w:val="pt-PT"/>
        </w:rPr>
      </w:pPr>
      <w:r>
        <w:rPr>
          <w:rStyle w:val="FootnoteReference"/>
        </w:rPr>
        <w:footnoteRef/>
      </w:r>
      <w:r>
        <w:tab/>
        <w:t>COM(2016) 731 final.</w:t>
      </w:r>
    </w:p>
  </w:footnote>
  <w:footnote w:id="29">
    <w:p>
      <w:pPr>
        <w:pStyle w:val="FootnoteText"/>
        <w:ind w:left="284" w:hanging="284"/>
        <w:rPr>
          <w:lang w:val="pt-PT"/>
        </w:rPr>
      </w:pPr>
      <w:r>
        <w:rPr>
          <w:rStyle w:val="FootnoteReference"/>
        </w:rPr>
        <w:footnoteRef/>
      </w:r>
      <w:r>
        <w:tab/>
        <w:t>COM(2017) 344 final.</w:t>
      </w:r>
    </w:p>
  </w:footnote>
  <w:footnote w:id="30">
    <w:p>
      <w:pPr>
        <w:pStyle w:val="FootnoteText"/>
        <w:ind w:left="284" w:hanging="284"/>
        <w:rPr>
          <w:lang w:val="pt-PT"/>
        </w:rPr>
      </w:pPr>
      <w:r>
        <w:rPr>
          <w:rStyle w:val="FootnoteReference"/>
        </w:rPr>
        <w:footnoteRef/>
      </w:r>
      <w:r>
        <w:tab/>
        <w:t>COM(2017) 570 final.</w:t>
      </w:r>
    </w:p>
  </w:footnote>
  <w:footnote w:id="31">
    <w:p>
      <w:pPr>
        <w:pStyle w:val="FootnoteText"/>
        <w:ind w:left="284" w:hanging="284"/>
      </w:pPr>
      <w:r>
        <w:rPr>
          <w:rStyle w:val="FootnoteReference"/>
        </w:rPr>
        <w:footnoteRef/>
      </w:r>
      <w:r>
        <w:tab/>
        <w:t>COM(2015) 185 final.</w:t>
      </w:r>
    </w:p>
  </w:footnote>
  <w:footnote w:id="32">
    <w:p>
      <w:pPr>
        <w:pStyle w:val="FootnoteText"/>
        <w:ind w:left="284" w:hanging="284"/>
      </w:pPr>
      <w:r>
        <w:rPr>
          <w:rStyle w:val="FootnoteReference"/>
        </w:rPr>
        <w:footnoteRef/>
      </w:r>
      <w:r>
        <w:tab/>
        <w:t>COM(2016) 230 final.</w:t>
      </w:r>
    </w:p>
  </w:footnote>
  <w:footnote w:id="33">
    <w:p>
      <w:pPr>
        <w:pStyle w:val="FootnoteText"/>
        <w:ind w:left="284" w:hanging="284"/>
      </w:pPr>
      <w:r>
        <w:rPr>
          <w:rStyle w:val="FootnoteReference"/>
        </w:rPr>
        <w:footnoteRef/>
      </w:r>
      <w:r>
        <w:tab/>
        <w:t>Več podrobnosti je v zbirnem poročilu, ki je priloženo oceni učinka.</w:t>
      </w:r>
    </w:p>
  </w:footnote>
  <w:footnote w:id="34">
    <w:p>
      <w:pPr>
        <w:spacing w:before="0" w:after="0"/>
        <w:ind w:left="284" w:hanging="284"/>
      </w:pPr>
      <w:r>
        <w:rPr>
          <w:rStyle w:val="FootnoteReference"/>
        </w:rPr>
        <w:footnoteRef/>
      </w:r>
      <w:r>
        <w:tab/>
      </w:r>
      <w:r>
        <w:rPr>
          <w:sz w:val="20"/>
        </w:rPr>
        <w:t>V poročilu o odnosu Evropejcev do varnosti so analizirani rezultati posebne javnomnenjske raziskave Eurobarometer (464b) o splošni ozaveščenosti, izkušnjah in predstavah državljanov glede varnosti. Raziskava je potekala od 13. do 26. junija 2017 v 28 državah članicah, izvedla pa jo je politična in družbena mreža družbe TNS. Anketiranih je bilo 28 093 državljanov EU iz različnih družbenih in demografskih kategorij.</w:t>
      </w:r>
    </w:p>
  </w:footnote>
  <w:footnote w:id="35">
    <w:p>
      <w:pPr>
        <w:pStyle w:val="FootnoteText"/>
        <w:ind w:left="284" w:hanging="284"/>
      </w:pPr>
      <w:r>
        <w:rPr>
          <w:rStyle w:val="FootnoteReference"/>
        </w:rPr>
        <w:footnoteRef/>
      </w:r>
      <w:r>
        <w:tab/>
        <w:t>Sklep Komisije z dne 17. junija 2016 o ustanovitvi strokovne skupine na visoki ravni za informacijske sisteme in interoperabilnost – 2016/C 257/03.</w:t>
      </w:r>
    </w:p>
  </w:footnote>
  <w:footnote w:id="36">
    <w:p>
      <w:pPr>
        <w:pStyle w:val="FootnoteText"/>
        <w:ind w:left="284" w:hanging="284"/>
      </w:pPr>
      <w:r>
        <w:rPr>
          <w:rStyle w:val="FootnoteReference"/>
        </w:rPr>
        <w:footnoteRef/>
      </w:r>
      <w:r>
        <w:tab/>
      </w:r>
      <w:hyperlink r:id="rId9">
        <w:r>
          <w:rPr>
            <w:rStyle w:val="Hyperlink"/>
          </w:rPr>
          <w:t>http://ec.europa.eu/transparency/regexpert/index.cfm?do=groupDetail.groupDetailDoc&amp;id=32600&amp;no=1</w:t>
        </w:r>
      </w:hyperlink>
      <w:r>
        <w:t>.</w:t>
      </w:r>
    </w:p>
  </w:footnote>
  <w:footnote w:id="37">
    <w:p>
      <w:pPr>
        <w:pStyle w:val="FootnoteText"/>
        <w:ind w:left="284" w:hanging="284"/>
      </w:pPr>
      <w:r>
        <w:rPr>
          <w:rStyle w:val="FootnoteReference"/>
        </w:rPr>
        <w:footnoteRef/>
      </w:r>
      <w:r>
        <w:tab/>
        <w:t xml:space="preserve">Raziskava Agencije EU za temeljne pravice v okviru pilotnega projekta agencije eu-LISA o pametnih mejah – mnenja in izkušnje potnikov glede pametnih meja, poročilo Agencije EU za temeljne pravice: </w:t>
      </w:r>
      <w:hyperlink r:id="rId10">
        <w:r>
          <w:rPr>
            <w:rStyle w:val="Hyperlink"/>
          </w:rPr>
          <w:t>http://ec.europa.eu/dgs/home-affairs/what-we-do/policies/borders-and-visas/smart-borders/docs/smart_borders_pilot_-_technical_report_annexes_en.pdf</w:t>
        </w:r>
      </w:hyperlink>
      <w:r>
        <w:t>.</w:t>
      </w:r>
    </w:p>
  </w:footnote>
  <w:footnote w:id="38">
    <w:p>
      <w:pPr>
        <w:pStyle w:val="FootnoteText"/>
        <w:ind w:left="284" w:hanging="284"/>
      </w:pPr>
      <w:r>
        <w:rPr>
          <w:rStyle w:val="FootnoteReference"/>
        </w:rPr>
        <w:footnoteRef/>
      </w:r>
      <w:r>
        <w:tab/>
        <w:t>Evropsko sodišče za človekove pravice, Osman proti Združenemu kraljestvu, št. 87/1997/871/1083, 28. oktober 1998, točka 116.</w:t>
      </w:r>
    </w:p>
  </w:footnote>
  <w:footnote w:id="39">
    <w:p>
      <w:pPr>
        <w:pStyle w:val="FootnoteText"/>
        <w:ind w:left="284" w:hanging="284"/>
      </w:pPr>
      <w:r>
        <w:rPr>
          <w:rStyle w:val="FootnoteReference"/>
        </w:rPr>
        <w:footnoteRef/>
      </w:r>
      <w:r>
        <w:tab/>
        <w:t>Sodba Sodišča EU z dne 9. novembra 2010 v združenih zadevah C-92/09 in C-93/09, Volker und Markus Schecke in Eifert, ZOdl. 2010, str. I-0000.</w:t>
      </w:r>
    </w:p>
  </w:footnote>
  <w:footnote w:id="40">
    <w:p>
      <w:pPr>
        <w:pStyle w:val="FootnoteText"/>
        <w:ind w:left="284" w:hanging="284"/>
      </w:pPr>
      <w:r>
        <w:rPr>
          <w:rStyle w:val="FootnoteReference"/>
        </w:rPr>
        <w:footnoteRef/>
      </w:r>
      <w:r>
        <w:tab/>
        <w:t>V skladu s členom 52(1) Listine se lahko omejitve uresničevanja pravice do varstva podatkov uvedejo samo, če so predpisane z zakonom, spoštujejo bistveno vsebino pravice in svoboščin ter so ob upoštevanju načela sorazmernosti potrebne in dejansko ustrezajo ciljem splošnega interesa, ki jih priznava Evropska unija, ali če so potrebne zaradi zaščite pravic in svoboščin drugih.</w:t>
      </w:r>
    </w:p>
  </w:footnote>
  <w:footnote w:id="41">
    <w:p>
      <w:pPr>
        <w:pStyle w:val="FootnoteText"/>
        <w:ind w:left="284" w:hanging="284"/>
      </w:pPr>
      <w:r>
        <w:rPr>
          <w:rStyle w:val="FootnoteReference"/>
        </w:rPr>
        <w:footnoteRef/>
      </w:r>
      <w:r>
        <w:tab/>
        <w:t>Uredba (EU) 2016/679 Evropskega parlamenta in Sveta z dne 27. aprila 2016 o varstvu posameznikov pri obdelavi osebnih podatkov in o prostem pretoku takih podatkov ter o razveljavitvi Direktive 95/46/ES (Splošna uredba o varstvu podatkov).</w:t>
      </w:r>
    </w:p>
  </w:footnote>
  <w:footnote w:id="42">
    <w:p>
      <w:pPr>
        <w:pStyle w:val="FootnoteText"/>
        <w:ind w:left="284" w:hanging="284"/>
      </w:pPr>
      <w:r>
        <w:rPr>
          <w:rStyle w:val="FootnoteReference"/>
        </w:rPr>
        <w:footnoteRef/>
      </w:r>
      <w:r>
        <w:tab/>
        <w:t>Trenutna zmogljivost Europola za obdelavo informacij ni v skladu z znatnim obsegom (povprečno 100 000 poizvedb na dan) in krajšim odzivnim časom, ki ju bo zahteval sistem ETIAS.</w:t>
      </w:r>
    </w:p>
  </w:footnote>
  <w:footnote w:id="43">
    <w:p>
      <w:pPr>
        <w:pStyle w:val="FootnoteText"/>
        <w:ind w:left="284" w:hanging="284"/>
      </w:pPr>
      <w:r>
        <w:rPr>
          <w:rStyle w:val="FootnoteReference"/>
        </w:rPr>
        <w:footnoteRef/>
      </w:r>
      <w:r>
        <w:tab/>
        <w:t>UL C, , str. .</w:t>
      </w:r>
    </w:p>
  </w:footnote>
  <w:footnote w:id="44">
    <w:p>
      <w:pPr>
        <w:pStyle w:val="FootnoteText"/>
        <w:ind w:left="284" w:hanging="284"/>
      </w:pPr>
      <w:r>
        <w:rPr>
          <w:rStyle w:val="FootnoteReference"/>
        </w:rPr>
        <w:footnoteRef/>
      </w:r>
      <w:r>
        <w:tab/>
      </w:r>
    </w:p>
  </w:footnote>
  <w:footnote w:id="45">
    <w:p>
      <w:pPr>
        <w:pStyle w:val="FootnoteText"/>
        <w:ind w:left="284" w:hanging="284"/>
      </w:pPr>
      <w:r>
        <w:rPr>
          <w:rStyle w:val="FootnoteReference"/>
        </w:rPr>
        <w:footnoteRef/>
      </w:r>
      <w:r>
        <w:tab/>
        <w:t>COM(2016) 205 z dne 6. aprila 2016.</w:t>
      </w:r>
    </w:p>
  </w:footnote>
  <w:footnote w:id="46">
    <w:p>
      <w:pPr>
        <w:pStyle w:val="FootnoteText"/>
        <w:ind w:left="284" w:hanging="284"/>
      </w:pPr>
      <w:r>
        <w:rPr>
          <w:rStyle w:val="FootnoteReference"/>
        </w:rPr>
        <w:footnoteRef/>
      </w:r>
      <w:r>
        <w:tab/>
        <w:t>Načrt z dne 6. junija 2016 za boljšo izmenjavo in upravljanje informacij, vključno z interoperabilnostnimi rešitvami, na področju pravosodja in notranjih zadev – 9368/1/16 REV 1.</w:t>
      </w:r>
    </w:p>
  </w:footnote>
  <w:footnote w:id="47">
    <w:p>
      <w:pPr>
        <w:pStyle w:val="FootnoteText"/>
        <w:ind w:left="284" w:hanging="284"/>
      </w:pPr>
      <w:r>
        <w:rPr>
          <w:rStyle w:val="FootnoteReference"/>
        </w:rPr>
        <w:footnoteRef/>
      </w:r>
      <w:r>
        <w:tab/>
        <w:t>Resolucija Evropskega parlamenta z dne 6. julija 2016 o strateških prednostnih nalogah v delovnem programu Komisije za leto 2017 (</w:t>
      </w:r>
      <w:hyperlink r:id="rId11">
        <w:r>
          <w:rPr>
            <w:rStyle w:val="Hyperlink"/>
          </w:rPr>
          <w:t>2016/2773(RSP)</w:t>
        </w:r>
      </w:hyperlink>
      <w:r>
        <w:t>).</w:t>
      </w:r>
    </w:p>
  </w:footnote>
  <w:footnote w:id="48">
    <w:p>
      <w:pPr>
        <w:pStyle w:val="FootnoteText"/>
        <w:ind w:left="284" w:hanging="284"/>
      </w:pPr>
      <w:r>
        <w:rPr>
          <w:rStyle w:val="FootnoteReference"/>
        </w:rPr>
        <w:footnoteRef/>
      </w:r>
      <w:r>
        <w:tab/>
      </w:r>
      <w:hyperlink r:id="rId12">
        <w:r>
          <w:rPr>
            <w:rStyle w:val="Hyperlink"/>
          </w:rPr>
          <w:t>http://www.consilium.europa.eu/sl/press/press-releases/2016/12/15/euco-conclusions-final/</w:t>
        </w:r>
      </w:hyperlink>
      <w:r>
        <w:t>.</w:t>
      </w:r>
    </w:p>
  </w:footnote>
  <w:footnote w:id="49">
    <w:p>
      <w:pPr>
        <w:pStyle w:val="FootnoteText"/>
        <w:ind w:left="284" w:hanging="284"/>
        <w:jc w:val="left"/>
      </w:pPr>
      <w:r>
        <w:rPr>
          <w:rStyle w:val="FootnoteReference"/>
        </w:rPr>
        <w:footnoteRef/>
      </w:r>
      <w:r>
        <w:tab/>
      </w:r>
      <w:hyperlink r:id="rId13">
        <w:r>
          <w:rPr>
            <w:rStyle w:val="Hyperlink"/>
            <w:spacing w:val="-20"/>
          </w:rPr>
          <w:t>http://ec.europa.eu/transparency/regexpert/index.cfm?do=groupDetail.groupDetailDoc&amp;id=32600&amp;no=1</w:t>
        </w:r>
      </w:hyperlink>
      <w:r>
        <w:t>.</w:t>
      </w:r>
    </w:p>
  </w:footnote>
  <w:footnote w:id="50">
    <w:p>
      <w:pPr>
        <w:pStyle w:val="FootnoteText"/>
        <w:ind w:left="284" w:hanging="284"/>
        <w:rPr>
          <w:lang w:val="pl-PL"/>
        </w:rPr>
      </w:pPr>
      <w:r>
        <w:rPr>
          <w:rStyle w:val="FootnoteReference"/>
        </w:rPr>
        <w:footnoteRef/>
      </w:r>
      <w:r>
        <w:tab/>
        <w:t>COM(2017) 261 final z dne 16. maja 2017.</w:t>
      </w:r>
    </w:p>
  </w:footnote>
  <w:footnote w:id="51">
    <w:p>
      <w:pPr>
        <w:pStyle w:val="FootnoteText"/>
        <w:ind w:left="284" w:hanging="284"/>
        <w:rPr>
          <w:lang w:val="pl-PL"/>
        </w:rPr>
      </w:pPr>
      <w:r>
        <w:rPr>
          <w:rStyle w:val="FootnoteReference"/>
        </w:rPr>
        <w:footnoteRef/>
      </w:r>
      <w:r>
        <w:tab/>
      </w:r>
      <w:hyperlink r:id="rId14">
        <w:r>
          <w:rPr>
            <w:rStyle w:val="Hyperlink"/>
          </w:rPr>
          <w:t>http://www.consilium.europa.eu/media/22186/st10136en17-vf.pdf</w:t>
        </w:r>
      </w:hyperlink>
      <w:r>
        <w:t>.</w:t>
      </w:r>
    </w:p>
  </w:footnote>
  <w:footnote w:id="52">
    <w:p>
      <w:pPr>
        <w:pStyle w:val="FootnoteText"/>
        <w:ind w:left="284" w:hanging="284"/>
      </w:pPr>
      <w:r>
        <w:rPr>
          <w:rStyle w:val="FootnoteReference"/>
        </w:rPr>
        <w:footnoteRef/>
      </w:r>
      <w:r>
        <w:tab/>
      </w:r>
      <w:hyperlink r:id="rId15">
        <w:r>
          <w:rPr>
            <w:rStyle w:val="Hyperlink"/>
          </w:rPr>
          <w:t>Sklepi Evropskega sveta</w:t>
        </w:r>
      </w:hyperlink>
      <w:r>
        <w:t xml:space="preserve"> z dne 22. in 23. junija 2017.</w:t>
      </w:r>
    </w:p>
  </w:footnote>
  <w:footnote w:id="53">
    <w:p>
      <w:pPr>
        <w:pStyle w:val="FootnoteText"/>
        <w:ind w:left="284" w:hanging="284"/>
      </w:pPr>
      <w:r>
        <w:rPr>
          <w:rStyle w:val="FootnoteReference"/>
        </w:rPr>
        <w:footnoteRef/>
      </w:r>
      <w:r>
        <w:tab/>
        <w:t>Uredba (EU) 2016/679 Evropskega parlamenta in Sveta z dne 27. aprila 2016 o varstvu posameznikov pri obdelavi osebnih podatkov in o prostem pretoku takih podatkov ter o razveljavitvi Direktive 95/46/ES (Splošna uredba o varstvu podatkov) (UL L 119, 4.5.2016, str. 1).</w:t>
      </w:r>
    </w:p>
  </w:footnote>
  <w:footnote w:id="54">
    <w:p>
      <w:pPr>
        <w:pStyle w:val="FootnoteText"/>
        <w:ind w:left="284" w:hanging="284"/>
      </w:pPr>
      <w:r>
        <w:rPr>
          <w:rStyle w:val="FootnoteReference"/>
        </w:rPr>
        <w:footnoteRef/>
      </w:r>
      <w:r>
        <w:tab/>
        <w:t>Direktiva (EU) 2016/680 Evropskega parlamenta in Sveta z dne 27. aprila 2016 o varstvu posameznikov pri obdelavi osebnih podatkov, ki jih pristojni organi obdelujejo za namene preprečevanja, preiskovanja, odkrivanja ali pregona kaznivih dejanj ali izvrševanja kazenskih sankcij, in o prostem pretoku takih podatkov ter o razveljavitvi Okvirnega sklepa Sveta 2008/977/PNZ (UL L 119, 4.5.2016, str. 89).</w:t>
      </w:r>
    </w:p>
  </w:footnote>
  <w:footnote w:id="55">
    <w:p>
      <w:pPr>
        <w:pStyle w:val="FootnoteText"/>
        <w:ind w:left="284" w:hanging="284"/>
      </w:pPr>
      <w:r>
        <w:rPr>
          <w:rStyle w:val="FootnoteReference"/>
        </w:rPr>
        <w:footnoteRef/>
      </w:r>
      <w:r>
        <w:tab/>
        <w:t>Skupno stališče Sveta 2005/69/PNZ z dne 24. januarja 2005 o izmenjavi določenih podatkov z Interpolom (UL L 27, 29.1.2005, str. 61).</w:t>
      </w:r>
    </w:p>
  </w:footnote>
  <w:footnote w:id="56">
    <w:p>
      <w:pPr>
        <w:pStyle w:val="FootnoteText"/>
        <w:ind w:left="284" w:hanging="284"/>
      </w:pPr>
      <w:r>
        <w:rPr>
          <w:rStyle w:val="FootnoteReference"/>
        </w:rPr>
        <w:footnoteRef/>
      </w:r>
      <w:r>
        <w:tab/>
        <w:t>Sklep Sveta 2007/533/PNZ z dne 12. junija 2007 o vzpostavitvi, delovanju in uporabi druge generacije schengenskega informacijskega sistema (SIS II) (UL L 205, 7.8.2007, str. 63).</w:t>
      </w:r>
    </w:p>
  </w:footnote>
  <w:footnote w:id="57">
    <w:p>
      <w:pPr>
        <w:pStyle w:val="FootnoteText"/>
        <w:ind w:left="284" w:hanging="284"/>
        <w:rPr>
          <w:rStyle w:val="FootnoteReference"/>
          <w:vertAlign w:val="baseline"/>
        </w:rPr>
      </w:pPr>
      <w:r>
        <w:rPr>
          <w:rStyle w:val="FootnoteReference"/>
        </w:rPr>
        <w:footnoteRef/>
      </w:r>
      <w:r>
        <w:tab/>
      </w:r>
      <w:r>
        <w:rPr>
          <w:rStyle w:val="FootnoteReference"/>
          <w:vertAlign w:val="baseline"/>
        </w:rPr>
        <w:t>Uredba (EU) 2017/2226 Evropskega parlamenta in Sveta z dne 30. novembra 2017 o vzpostavitvi sistema vstopa/izstopa (SVI) za evidentiranje podatkov o vstopu in izstopu ter podatkov o zavrnitvi vstopa državljanov tretjih držav pri prehajanju zunanjih meja držav članic in določitvi pogojev za dostop do SVI zaradi preprečevanja, odkrivanja in preiskovanja kaznivih dejanj ter o spremembi Konvencije o izvajanju Schengenskega sporazuma in uredb (ES) št. 767/2008 ter (EU) št. 1077/2011 (uredba o SVI) (UL L 327, 9.12.2017, str. 20).</w:t>
      </w:r>
    </w:p>
  </w:footnote>
  <w:footnote w:id="58">
    <w:p>
      <w:pPr>
        <w:pStyle w:val="FootnoteText"/>
        <w:ind w:left="284" w:hanging="284"/>
      </w:pPr>
      <w:r>
        <w:rPr>
          <w:rStyle w:val="FootnoteReference"/>
        </w:rPr>
        <w:footnoteRef/>
      </w:r>
      <w:r>
        <w:tab/>
        <w:t>Uredba (ES) št. 767/2008 Evropskega parlamenta in Sveta z dne 9. julija 2008 o vizumskem informacijskem sistemu (VIS) in izmenjavi podatkov med državami članicami o vizumih za kratkoročno prebivanje (Uredba VIS) (UL L 218, 13.8.2008, str. 60).</w:t>
      </w:r>
    </w:p>
  </w:footnote>
  <w:footnote w:id="59">
    <w:p>
      <w:pPr>
        <w:pStyle w:val="FootnoteText"/>
        <w:ind w:left="284" w:hanging="284"/>
      </w:pPr>
      <w:r>
        <w:rPr>
          <w:rStyle w:val="FootnoteReference"/>
        </w:rPr>
        <w:footnoteRef/>
      </w:r>
      <w:r>
        <w:tab/>
        <w:t xml:space="preserve">Uredba (ES) št. 45/2001 Evropskega parlamenta in Sveta z dne 18. decembra 2000 o varstvu posameznikov pri obdelavi osebnih podatkov v institucijah in organih Skupnosti in o prostem pretoku takih podatkov (UL L 8, 12.1.2001, str. 1). </w:t>
      </w:r>
    </w:p>
  </w:footnote>
  <w:footnote w:id="60">
    <w:p>
      <w:pPr>
        <w:pStyle w:val="FootnoteText"/>
        <w:ind w:left="284" w:hanging="284"/>
      </w:pPr>
      <w:r>
        <w:rPr>
          <w:rStyle w:val="FootnoteReference"/>
        </w:rPr>
        <w:footnoteRef/>
      </w:r>
      <w:r>
        <w:tab/>
        <w:t>Uredba (EU) 2016/399 Evropskega parlamenta in Sveta z dne 9. marca 2016 o Zakoniku Unije o pravilih, ki urejajo gibanje oseb prek meja (UL L 77, 23.3.2016, str. 1).</w:t>
      </w:r>
    </w:p>
  </w:footnote>
  <w:footnote w:id="61">
    <w:p>
      <w:pPr>
        <w:pStyle w:val="FootnoteText"/>
        <w:ind w:left="284" w:hanging="284"/>
      </w:pPr>
      <w:r>
        <w:rPr>
          <w:rStyle w:val="FootnoteReference"/>
        </w:rPr>
        <w:footnoteRef/>
      </w:r>
      <w:r>
        <w:tab/>
        <w:t>Uredba (EU) št. 515/2014 Evropskega parlamenta in Sveta z dne 16. aprila 2014 o vzpostavitvi instrumenta za finančno podporo na področju zunanjih meja in vizumov v okviru Sklada za notranjo varnost in o razveljavitvi Odločbe št. 574/2007/ES (UL L 150, 20.5.2014, str. 143).</w:t>
      </w:r>
    </w:p>
  </w:footnote>
  <w:footnote w:id="62">
    <w:p>
      <w:pPr>
        <w:pStyle w:val="FootnoteText"/>
        <w:ind w:left="284" w:hanging="284"/>
      </w:pPr>
      <w:r>
        <w:rPr>
          <w:rStyle w:val="FootnoteReference"/>
        </w:rPr>
        <w:footnoteRef/>
      </w:r>
      <w:r>
        <w:tab/>
      </w:r>
      <w:hyperlink r:id="rId16">
        <w:r>
          <w:rPr>
            <w:rStyle w:val="Hyperlink"/>
          </w:rPr>
          <w:t>http://eur-lex.europa.eu/legal-content/SL/TXT/?uri=CELEX:32016Q0512(01)</w:t>
        </w:r>
      </w:hyperlink>
      <w:r>
        <w:t>.</w:t>
      </w:r>
    </w:p>
  </w:footnote>
  <w:footnote w:id="63">
    <w:p>
      <w:pPr>
        <w:pStyle w:val="FootnoteText"/>
        <w:ind w:left="284" w:hanging="284"/>
      </w:pPr>
      <w:r>
        <w:rPr>
          <w:rStyle w:val="FootnoteReference"/>
        </w:rPr>
        <w:footnoteRef/>
      </w:r>
      <w:r>
        <w:tab/>
        <w:t>Uredba (EU) št. 182/2011 Evropskega parlamenta in Sveta z dne 16. februarja 2011 o določitvi splošnih pravil in načel, na podlagi katerih države članice nadzirajo izvajanje izvedbenih pooblastil Komisije (UL L 55, 28.2.2011, str. 13).</w:t>
      </w:r>
    </w:p>
  </w:footnote>
  <w:footnote w:id="64">
    <w:p>
      <w:pPr>
        <w:pStyle w:val="FootnoteText"/>
        <w:ind w:left="284" w:hanging="284"/>
      </w:pPr>
      <w:r>
        <w:rPr>
          <w:rStyle w:val="FootnoteReference"/>
        </w:rPr>
        <w:footnoteRef/>
      </w:r>
      <w:r>
        <w:tab/>
        <w:t>Sklep Sveta 2000/365/ES z dne 29. maja 2000 o prošnji Združenega kraljestva Velike Britanije in Severne Irske za sodelovanje pri izvajanju nekaterih določb schengenskega pravnega reda (UL L 131, 1.6.2000, str. 43).</w:t>
      </w:r>
    </w:p>
  </w:footnote>
  <w:footnote w:id="65">
    <w:p>
      <w:pPr>
        <w:pStyle w:val="FootnoteText"/>
        <w:ind w:left="284" w:hanging="284"/>
      </w:pPr>
      <w:r>
        <w:rPr>
          <w:rStyle w:val="FootnoteReference"/>
        </w:rPr>
        <w:footnoteRef/>
      </w:r>
      <w:r>
        <w:tab/>
        <w:t>Sklep Sveta 2002/192/ES z dne 28. februarja 2002 o prošnji Irske, da sodeluje pri izvajanju nekaterih določb schengenskega pravnega reda (UL L 64, 7.3.2002, str. 20).</w:t>
      </w:r>
    </w:p>
  </w:footnote>
  <w:footnote w:id="66">
    <w:p>
      <w:pPr>
        <w:pStyle w:val="FootnoteText"/>
        <w:ind w:left="284" w:hanging="284"/>
        <w:rPr>
          <w:lang w:val="pl-PL"/>
        </w:rPr>
      </w:pPr>
      <w:r>
        <w:rPr>
          <w:rStyle w:val="FootnoteReference"/>
        </w:rPr>
        <w:footnoteRef/>
      </w:r>
      <w:r>
        <w:tab/>
        <w:t>UL L 176, 10.7.1999, str. 36.</w:t>
      </w:r>
      <w:r>
        <w:rPr>
          <w:sz w:val="23"/>
        </w:rPr>
        <w:t xml:space="preserve"> </w:t>
      </w:r>
    </w:p>
  </w:footnote>
  <w:footnote w:id="67">
    <w:p>
      <w:pPr>
        <w:pStyle w:val="FootnoteText"/>
        <w:ind w:left="284" w:hanging="284"/>
        <w:rPr>
          <w:lang w:val="pl-PL"/>
        </w:rPr>
      </w:pPr>
      <w:r>
        <w:rPr>
          <w:rStyle w:val="FootnoteReference"/>
        </w:rPr>
        <w:footnoteRef/>
      </w:r>
      <w:r>
        <w:tab/>
        <w:t>UL L 176, 10.7.1999, str. 31.</w:t>
      </w:r>
      <w:r>
        <w:rPr>
          <w:sz w:val="23"/>
        </w:rPr>
        <w:t xml:space="preserve"> </w:t>
      </w:r>
    </w:p>
  </w:footnote>
  <w:footnote w:id="68">
    <w:p>
      <w:pPr>
        <w:pStyle w:val="FootnoteText"/>
        <w:ind w:left="284" w:hanging="284"/>
        <w:rPr>
          <w:lang w:val="pl-PL"/>
        </w:rPr>
      </w:pPr>
      <w:r>
        <w:rPr>
          <w:rStyle w:val="FootnoteReference"/>
        </w:rPr>
        <w:footnoteRef/>
      </w:r>
      <w:r>
        <w:tab/>
        <w:t>UL L 53, 27.2.2008, str. 52.</w:t>
      </w:r>
      <w:r>
        <w:rPr>
          <w:sz w:val="23"/>
        </w:rPr>
        <w:t xml:space="preserve"> </w:t>
      </w:r>
    </w:p>
  </w:footnote>
  <w:footnote w:id="69">
    <w:p>
      <w:pPr>
        <w:pStyle w:val="FootnoteText"/>
        <w:ind w:left="284" w:hanging="284"/>
        <w:rPr>
          <w:lang w:val="pl-PL"/>
        </w:rPr>
      </w:pPr>
      <w:r>
        <w:rPr>
          <w:rStyle w:val="FootnoteReference"/>
        </w:rPr>
        <w:footnoteRef/>
      </w:r>
      <w:r>
        <w:tab/>
        <w:t>UL L 53, 27.2.2008, str. 1.</w:t>
      </w:r>
      <w:r>
        <w:rPr>
          <w:sz w:val="23"/>
        </w:rPr>
        <w:t xml:space="preserve"> </w:t>
      </w:r>
    </w:p>
  </w:footnote>
  <w:footnote w:id="70">
    <w:p>
      <w:pPr>
        <w:pStyle w:val="FootnoteText"/>
        <w:ind w:left="284" w:hanging="284"/>
        <w:rPr>
          <w:lang w:val="pl-PL"/>
        </w:rPr>
      </w:pPr>
      <w:r>
        <w:rPr>
          <w:rStyle w:val="FootnoteReference"/>
        </w:rPr>
        <w:footnoteRef/>
      </w:r>
      <w:r>
        <w:tab/>
        <w:t>UL L 160, 18.6.2011, str. 21.</w:t>
      </w:r>
      <w:r>
        <w:rPr>
          <w:sz w:val="23"/>
        </w:rPr>
        <w:t xml:space="preserve"> </w:t>
      </w:r>
    </w:p>
  </w:footnote>
  <w:footnote w:id="71">
    <w:p>
      <w:pPr>
        <w:pStyle w:val="FootnoteText"/>
        <w:ind w:left="284" w:hanging="284"/>
        <w:rPr>
          <w:lang w:val="pl-PL"/>
        </w:rPr>
      </w:pPr>
      <w:r>
        <w:rPr>
          <w:rStyle w:val="FootnoteReference"/>
        </w:rPr>
        <w:footnoteRef/>
      </w:r>
      <w:r>
        <w:tab/>
        <w:t>UL L 160, 18.6.2011, str. 19.</w:t>
      </w:r>
      <w:r>
        <w:rPr>
          <w:sz w:val="23"/>
        </w:rPr>
        <w:t xml:space="preserve"> </w:t>
      </w:r>
    </w:p>
  </w:footnote>
  <w:footnote w:id="72">
    <w:p>
      <w:pPr>
        <w:pStyle w:val="FootnoteText"/>
        <w:ind w:left="284" w:hanging="284"/>
      </w:pPr>
      <w:r>
        <w:rPr>
          <w:rStyle w:val="FootnoteReference"/>
        </w:rPr>
        <w:footnoteRef/>
      </w:r>
      <w:r>
        <w:tab/>
        <w:t>Sklep Sveta 2010/365/EU z dne 29. junija 2010 o uporabi določb schengenskega pravnega reda, ki se navezujejo na schengenski informacijski sistem, v Republiki Bolgariji in Romuniji (UL L 166, 1.7.2010, str. 17).</w:t>
      </w:r>
    </w:p>
  </w:footnote>
  <w:footnote w:id="73">
    <w:p>
      <w:pPr>
        <w:pStyle w:val="FootnoteText"/>
        <w:ind w:left="284" w:hanging="284"/>
      </w:pPr>
      <w:r>
        <w:rPr>
          <w:rStyle w:val="FootnoteReference"/>
        </w:rPr>
        <w:footnoteRef/>
      </w:r>
      <w:r>
        <w:tab/>
        <w:t>Sklep Sveta (EU) 2017/1908 z dne 12. oktobra 2017 o izvajanju nekaterih določb schengenskega pravnega reda, ki se nanašajo na vizumski informacijski sistem, v Republiki Bolgariji in Romuniji (UL L 269, 19.10.2017, str. 39).</w:t>
      </w:r>
    </w:p>
  </w:footnote>
  <w:footnote w:id="74">
    <w:p>
      <w:pPr>
        <w:pStyle w:val="FootnoteText"/>
        <w:ind w:left="284" w:hanging="284"/>
      </w:pPr>
      <w:r>
        <w:rPr>
          <w:rStyle w:val="FootnoteReference"/>
        </w:rPr>
        <w:footnoteRef/>
      </w:r>
      <w:r>
        <w:tab/>
        <w:t>Sklep Sveta (EU) 2017/733 z dne 25. aprila 2017 o uporabi določb schengenskega pravnega reda v zvezi s schengenskim informacijskim sistemom v Republiki Hrvaški (UL L 108, 26.4.2017, str. 31).</w:t>
      </w:r>
    </w:p>
  </w:footnote>
  <w:footnote w:id="75">
    <w:p>
      <w:pPr>
        <w:pStyle w:val="FootnoteText"/>
        <w:ind w:left="284" w:hanging="284"/>
      </w:pPr>
      <w:r>
        <w:rPr>
          <w:rStyle w:val="FootnoteReference"/>
        </w:rPr>
        <w:footnoteRef/>
      </w:r>
      <w:r>
        <w:tab/>
        <w:t>Uredba Sveta (ES) št. 168/2007 z dne 15. februarja 2007 o ustanovitvi Agencije Evropske unije za temeljne pravice (UL L 53, 22.2.2007, str. 1).</w:t>
      </w:r>
    </w:p>
  </w:footnote>
  <w:footnote w:id="76">
    <w:p>
      <w:pPr>
        <w:pStyle w:val="FootnoteText"/>
        <w:ind w:left="284" w:hanging="284"/>
        <w:rPr>
          <w:sz w:val="14"/>
        </w:rPr>
      </w:pPr>
      <w:r>
        <w:rPr>
          <w:rStyle w:val="FootnoteReference"/>
        </w:rPr>
        <w:footnoteRef/>
      </w:r>
      <w:r>
        <w:tab/>
      </w:r>
      <w:r>
        <w:rPr>
          <w:sz w:val="18"/>
        </w:rPr>
        <w:t>Uredba (EU) 2016/1624 Evropskega parlamenta in Sveta z dne 14. septembra 2016 o evropski mejni in obalni straži ter spremembi Uredbe (EU) 2016/399 Evropskega parlamenta in Sveta ter razveljavitvi Uredbe (ES) št. 863/2007 Evropskega parlamenta in Sveta, Uredbe Sveta (ES) št. 2007/2004 in Odločbe Sveta 2005/267/ES (UL L 251, 16.9.2016, str. 1).</w:t>
      </w:r>
    </w:p>
  </w:footnote>
  <w:footnote w:id="77">
    <w:p>
      <w:pPr>
        <w:pStyle w:val="FootnoteText"/>
        <w:ind w:left="284" w:hanging="284"/>
      </w:pPr>
      <w:r>
        <w:rPr>
          <w:rStyle w:val="FootnoteReference"/>
        </w:rPr>
        <w:footnoteRef/>
      </w:r>
      <w:r>
        <w:tab/>
        <w:t>Uredba Sveta (ES) št. 168/2007 z dne 15. februarja 2007 o ustanovitvi Agencije Evropske unije za temeljne pravice (UL L 53, 22.2.2007, str. 1).</w:t>
      </w:r>
    </w:p>
  </w:footnote>
  <w:footnote w:id="78">
    <w:p>
      <w:pPr>
        <w:pStyle w:val="FootnoteText"/>
        <w:ind w:left="284" w:hanging="284"/>
        <w:rPr>
          <w:szCs w:val="24"/>
        </w:rPr>
      </w:pPr>
      <w:r>
        <w:rPr>
          <w:rStyle w:val="FootnoteReference"/>
        </w:rPr>
        <w:footnoteRef/>
      </w:r>
      <w:r>
        <w:tab/>
        <w:t>Po členu 54(2)(a) oz. (b) finančne uredbe.</w:t>
      </w:r>
    </w:p>
  </w:footnote>
  <w:footnote w:id="79">
    <w:p>
      <w:pPr>
        <w:pStyle w:val="FootnoteText"/>
        <w:ind w:left="284" w:hanging="284"/>
      </w:pPr>
      <w:r>
        <w:rPr>
          <w:rStyle w:val="FootnoteReference"/>
        </w:rPr>
        <w:footnoteRef/>
      </w:r>
      <w:r>
        <w:tab/>
        <w:t>COM(2016) 194 z dne 6. aprila 2016.</w:t>
      </w:r>
    </w:p>
  </w:footnote>
  <w:footnote w:id="80">
    <w:p>
      <w:pPr>
        <w:pStyle w:val="FootnoteText"/>
        <w:ind w:left="284" w:hanging="284"/>
      </w:pPr>
      <w:r>
        <w:rPr>
          <w:rStyle w:val="FootnoteReference"/>
        </w:rPr>
        <w:footnoteRef/>
      </w:r>
      <w:r>
        <w:tab/>
        <w:t>COM(2016) 731 z dne 16. novembra 2016.</w:t>
      </w:r>
    </w:p>
  </w:footnote>
  <w:footnote w:id="81">
    <w:p>
      <w:pPr>
        <w:pStyle w:val="FootnoteText"/>
        <w:ind w:left="284" w:hanging="284"/>
      </w:pPr>
      <w:r>
        <w:rPr>
          <w:rStyle w:val="FootnoteReference"/>
        </w:rPr>
        <w:footnoteRef/>
      </w:r>
      <w:r>
        <w:tab/>
        <w:t>COM(2017) 344 z dne 29. junija 2017.</w:t>
      </w:r>
    </w:p>
  </w:footnote>
  <w:footnote w:id="82">
    <w:p>
      <w:pPr>
        <w:pStyle w:val="FootnoteText"/>
        <w:ind w:left="284" w:hanging="284"/>
      </w:pPr>
      <w:r>
        <w:rPr>
          <w:rStyle w:val="FootnoteReference"/>
        </w:rPr>
        <w:footnoteRef/>
      </w:r>
      <w:r>
        <w:tab/>
        <w:t>COM(2016) 205 z dne 6. aprila 2016.</w:t>
      </w:r>
    </w:p>
  </w:footnote>
  <w:footnote w:id="83">
    <w:p>
      <w:pPr>
        <w:pStyle w:val="FootnoteText"/>
        <w:ind w:left="284" w:hanging="284"/>
        <w:jc w:val="left"/>
        <w:rPr>
          <w:szCs w:val="24"/>
        </w:rPr>
      </w:pPr>
      <w:r>
        <w:rPr>
          <w:rStyle w:val="FootnoteReference"/>
        </w:rPr>
        <w:footnoteRef/>
      </w:r>
      <w:r>
        <w:tab/>
        <w:t xml:space="preserve">Pojasnila o načinih upravljanja in sklici na finančno uredbo so na voljo na spletišču BudgWeb: </w:t>
      </w:r>
      <w:hyperlink r:id="rId17">
        <w:r>
          <w:rPr>
            <w:rStyle w:val="Hyperlink"/>
          </w:rPr>
          <w:t>https://myintracomm.ec.europa.eu/budgweb/EN/man/budgmanag/Pages/budgmanag.aspx</w:t>
        </w:r>
      </w:hyperlink>
      <w:r>
        <w:rPr>
          <w:rStyle w:val="Hyperlink"/>
        </w:rPr>
        <w:t>.</w:t>
      </w:r>
      <w:r>
        <w:t xml:space="preserve"> </w:t>
      </w:r>
    </w:p>
  </w:footnote>
  <w:footnote w:id="84">
    <w:p>
      <w:pPr>
        <w:pStyle w:val="FootnoteText"/>
        <w:ind w:left="284" w:hanging="284"/>
        <w:rPr>
          <w:szCs w:val="24"/>
        </w:rPr>
      </w:pPr>
      <w:r>
        <w:rPr>
          <w:rStyle w:val="FootnoteReference"/>
        </w:rPr>
        <w:footnoteRef/>
      </w:r>
      <w:r>
        <w:tab/>
        <w:t>Dif. = diferencirana sredstva / nedif. = nediferencirana sredstva.</w:t>
      </w:r>
    </w:p>
  </w:footnote>
  <w:footnote w:id="85">
    <w:p>
      <w:pPr>
        <w:pStyle w:val="FootnoteText"/>
        <w:ind w:left="284" w:hanging="284"/>
        <w:rPr>
          <w:szCs w:val="24"/>
        </w:rPr>
      </w:pPr>
      <w:r>
        <w:rPr>
          <w:rStyle w:val="FootnoteReference"/>
        </w:rPr>
        <w:footnoteRef/>
      </w:r>
      <w:r>
        <w:tab/>
        <w:t xml:space="preserve">Efta: Evropsko združenje za prosto trgovino. </w:t>
      </w:r>
    </w:p>
  </w:footnote>
  <w:footnote w:id="86">
    <w:p>
      <w:pPr>
        <w:pStyle w:val="FootnoteText"/>
        <w:ind w:left="284" w:hanging="284"/>
        <w:rPr>
          <w:szCs w:val="24"/>
        </w:rPr>
      </w:pPr>
      <w:r>
        <w:rPr>
          <w:rStyle w:val="FootnoteReference"/>
        </w:rPr>
        <w:footnoteRef/>
      </w:r>
      <w:r>
        <w:tab/>
        <w:t>Države kandidatke in po potrebi potencialne države kandidatke z Zahodnega Balkana.</w:t>
      </w:r>
    </w:p>
  </w:footnote>
  <w:footnote w:id="87">
    <w:p>
      <w:pPr>
        <w:pStyle w:val="FootnoteText"/>
        <w:ind w:left="284" w:hanging="284"/>
        <w:rPr>
          <w:szCs w:val="24"/>
        </w:rPr>
      </w:pPr>
      <w:r>
        <w:rPr>
          <w:rStyle w:val="FootnoteReference"/>
        </w:rPr>
        <w:footnoteRef/>
      </w:r>
      <w:r>
        <w:tab/>
        <w:t>Tehnična in/ali upravna pomoč ter odhodki za podporo izvajanja programov in/ali ukrepov EU (prej vrstice BA), posredne raziskave, neposredne raziskave.</w:t>
      </w:r>
    </w:p>
  </w:footnote>
  <w:footnote w:id="88">
    <w:p>
      <w:pPr>
        <w:pStyle w:val="FootnoteText"/>
        <w:ind w:left="284" w:hanging="284"/>
      </w:pPr>
      <w:r>
        <w:rPr>
          <w:rStyle w:val="FootnoteReference"/>
        </w:rPr>
        <w:footnoteRef/>
      </w:r>
      <w:r>
        <w:tab/>
        <w:t>COM 2017/0145 (COD), Predlog uredbe Evropskega parlamenta in Sveta o Evropski agenciji za operativno upravljanje obsežnih informacijskih sistemov s področja svobode, varnosti in pravice, o spremembi Uredbe (ES) št. 1987/2006 in Sklepa Sveta 2007/533/PNZ ter o razveljavitvi Uredbe (EU) št. 1077/2011.</w:t>
      </w:r>
    </w:p>
  </w:footnote>
  <w:footnote w:id="89">
    <w:p>
      <w:pPr>
        <w:pStyle w:val="FootnoteText"/>
        <w:ind w:left="284" w:hanging="284"/>
        <w:rPr>
          <w:szCs w:val="24"/>
        </w:rPr>
      </w:pPr>
      <w:r>
        <w:rPr>
          <w:rStyle w:val="FootnoteReference"/>
        </w:rPr>
        <w:footnoteRef/>
      </w:r>
      <w:r>
        <w:tab/>
        <w:t>Realizacije so dobavljeni proizvodi in opravljene storitve (npr. število financiranih izmenjav študentov, število kilometrov novozgrajenih cest…).</w:t>
      </w:r>
    </w:p>
  </w:footnote>
  <w:footnote w:id="90">
    <w:p>
      <w:pPr>
        <w:pStyle w:val="FootnoteText"/>
        <w:ind w:left="284" w:hanging="284"/>
        <w:rPr>
          <w:szCs w:val="24"/>
        </w:rPr>
      </w:pPr>
      <w:r>
        <w:rPr>
          <w:rStyle w:val="FootnoteReference"/>
        </w:rPr>
        <w:footnoteRef/>
      </w:r>
      <w:r>
        <w:tab/>
        <w:t xml:space="preserve">Kakor je opisan v točki 1.4.2. „Specifični cilji…“. </w:t>
      </w:r>
    </w:p>
  </w:footnote>
  <w:footnote w:id="91">
    <w:p>
      <w:pPr>
        <w:pStyle w:val="FootnoteText"/>
        <w:ind w:left="284" w:hanging="284"/>
        <w:rPr>
          <w:szCs w:val="24"/>
        </w:rPr>
      </w:pPr>
      <w:r>
        <w:rPr>
          <w:rStyle w:val="FootnoteReference"/>
        </w:rPr>
        <w:footnoteRef/>
      </w:r>
      <w:r>
        <w:tab/>
        <w:t>Realizacije so dobavljeni proizvodi in opravljene storitve (npr. število financiranih izmenjav študentov, število kilometrov novozgrajenih cest…).</w:t>
      </w:r>
    </w:p>
  </w:footnote>
  <w:footnote w:id="92">
    <w:p>
      <w:pPr>
        <w:pStyle w:val="FootnoteText"/>
        <w:ind w:left="284" w:hanging="284"/>
        <w:rPr>
          <w:szCs w:val="24"/>
        </w:rPr>
      </w:pPr>
      <w:r>
        <w:rPr>
          <w:rStyle w:val="FootnoteReference"/>
        </w:rPr>
        <w:footnoteRef/>
      </w:r>
      <w:r>
        <w:tab/>
        <w:t xml:space="preserve">Kakor je opisan v točki 1.4.2. „Specifični cilji…“. </w:t>
      </w:r>
    </w:p>
  </w:footnote>
  <w:footnote w:id="93">
    <w:p>
      <w:pPr>
        <w:pStyle w:val="FootnoteText"/>
        <w:ind w:left="284" w:hanging="284"/>
        <w:rPr>
          <w:szCs w:val="24"/>
        </w:rPr>
      </w:pPr>
      <w:r>
        <w:rPr>
          <w:rStyle w:val="FootnoteReference"/>
        </w:rPr>
        <w:footnoteRef/>
      </w:r>
      <w:r>
        <w:tab/>
        <w:t>Realizacije so dobavljeni proizvodi in opravljene storitve (npr. število financiranih izmenjav študentov, število kilometrov novozgrajenih cest…).</w:t>
      </w:r>
    </w:p>
  </w:footnote>
  <w:footnote w:id="94">
    <w:p>
      <w:pPr>
        <w:pStyle w:val="FootnoteText"/>
        <w:ind w:left="284" w:hanging="284"/>
        <w:rPr>
          <w:szCs w:val="24"/>
        </w:rPr>
      </w:pPr>
      <w:r>
        <w:rPr>
          <w:rStyle w:val="FootnoteReference"/>
        </w:rPr>
        <w:footnoteRef/>
      </w:r>
      <w:r>
        <w:tab/>
        <w:t xml:space="preserve">Kakor je opisan v točki 1.4.2. „Specifični cilji…“. </w:t>
      </w:r>
    </w:p>
  </w:footnote>
  <w:footnote w:id="95">
    <w:p>
      <w:pPr>
        <w:pStyle w:val="FootnoteText"/>
        <w:ind w:left="284" w:hanging="284"/>
        <w:rPr>
          <w:szCs w:val="24"/>
        </w:rPr>
      </w:pPr>
      <w:r>
        <w:rPr>
          <w:rStyle w:val="FootnoteReference"/>
        </w:rPr>
        <w:footnoteRef/>
      </w:r>
      <w:r>
        <w:tab/>
        <w:t>Realizacije so dobavljeni proizvodi in opravljene storitve (npr. število financiranih izmenjav študentov, število kilometrov novozgrajenih cest…).</w:t>
      </w:r>
    </w:p>
  </w:footnote>
  <w:footnote w:id="96">
    <w:p>
      <w:pPr>
        <w:pStyle w:val="FootnoteText"/>
        <w:ind w:left="284" w:hanging="284"/>
        <w:rPr>
          <w:szCs w:val="24"/>
        </w:rPr>
      </w:pPr>
      <w:r>
        <w:rPr>
          <w:rStyle w:val="FootnoteReference"/>
        </w:rPr>
        <w:footnoteRef/>
      </w:r>
      <w:r>
        <w:tab/>
        <w:t xml:space="preserve">Kakor je opisan v točki 1.4.2. „Specifični cilji…“. </w:t>
      </w:r>
    </w:p>
  </w:footnote>
  <w:footnote w:id="97">
    <w:p>
      <w:pPr>
        <w:pStyle w:val="FootnoteText"/>
        <w:ind w:left="284" w:hanging="284"/>
        <w:rPr>
          <w:szCs w:val="24"/>
        </w:rPr>
      </w:pPr>
      <w:r>
        <w:rPr>
          <w:rStyle w:val="FootnoteReference"/>
        </w:rPr>
        <w:footnoteRef/>
      </w:r>
      <w:r>
        <w:tab/>
        <w:t>Realizacije so dobavljeni proizvodi in opravljene storitve (npr. število financiranih izmenjav študentov, število kilometrov novozgrajenih cest…).</w:t>
      </w:r>
    </w:p>
  </w:footnote>
  <w:footnote w:id="98">
    <w:p>
      <w:pPr>
        <w:pStyle w:val="FootnoteText"/>
        <w:ind w:left="284" w:hanging="284"/>
        <w:rPr>
          <w:szCs w:val="24"/>
        </w:rPr>
      </w:pPr>
      <w:r>
        <w:rPr>
          <w:rStyle w:val="FootnoteReference"/>
        </w:rPr>
        <w:footnoteRef/>
      </w:r>
      <w:r>
        <w:tab/>
        <w:t>Realizacije so dobavljeni proizvodi in opravljene storitve (npr. število financiranih izmenjav študentov, število kilometrov novozgrajenih cest…).</w:t>
      </w:r>
    </w:p>
  </w:footnote>
  <w:footnote w:id="99">
    <w:p>
      <w:pPr>
        <w:pStyle w:val="FootnoteText"/>
        <w:ind w:left="284" w:hanging="284"/>
        <w:rPr>
          <w:szCs w:val="24"/>
        </w:rPr>
      </w:pPr>
      <w:r>
        <w:rPr>
          <w:rStyle w:val="FootnoteReference"/>
        </w:rPr>
        <w:footnoteRef/>
      </w:r>
      <w:r>
        <w:tab/>
        <w:t xml:space="preserve">Kakor je opisan v točki 1.4.2. „Specifični cilji…“. </w:t>
      </w:r>
    </w:p>
  </w:footnote>
  <w:footnote w:id="100">
    <w:p>
      <w:pPr>
        <w:pStyle w:val="FootnoteText"/>
        <w:ind w:left="284" w:hanging="284"/>
        <w:rPr>
          <w:szCs w:val="24"/>
        </w:rPr>
      </w:pPr>
      <w:r>
        <w:rPr>
          <w:rStyle w:val="FootnoteReference"/>
        </w:rPr>
        <w:footnoteRef/>
      </w:r>
      <w:r>
        <w:tab/>
        <w:t>Realizacije so dobavljeni proizvodi in opravljene storitve (npr. število financiranih izmenjav študentov, število kilometrov novozgrajenih cest…).</w:t>
      </w:r>
    </w:p>
  </w:footnote>
  <w:footnote w:id="101">
    <w:p>
      <w:pPr>
        <w:pStyle w:val="FootnoteText"/>
        <w:ind w:left="284" w:hanging="284"/>
        <w:rPr>
          <w:szCs w:val="24"/>
        </w:rPr>
      </w:pPr>
      <w:r>
        <w:rPr>
          <w:rStyle w:val="FootnoteReference"/>
        </w:rPr>
        <w:footnoteRef/>
      </w:r>
      <w:r>
        <w:tab/>
        <w:t xml:space="preserve">Kakor je opisan v točki 1.4.2. „Specifični cilji…“. </w:t>
      </w:r>
    </w:p>
  </w:footnote>
  <w:footnote w:id="102">
    <w:p>
      <w:pPr>
        <w:pStyle w:val="FootnoteText"/>
        <w:ind w:left="284" w:hanging="284"/>
        <w:rPr>
          <w:szCs w:val="24"/>
        </w:rPr>
      </w:pPr>
      <w:r>
        <w:rPr>
          <w:rStyle w:val="FootnoteReference"/>
        </w:rPr>
        <w:footnoteRef/>
      </w:r>
      <w:r>
        <w:tab/>
        <w:t>Realizacije so dobavljeni proizvodi in opravljene storitve (npr. število financiranih izmenjav študentov, število kilometrov novozgrajenih cest…).</w:t>
      </w:r>
    </w:p>
  </w:footnote>
  <w:footnote w:id="103">
    <w:p>
      <w:pPr>
        <w:pStyle w:val="FootnoteText"/>
        <w:ind w:left="284" w:hanging="284"/>
        <w:rPr>
          <w:szCs w:val="24"/>
        </w:rPr>
      </w:pPr>
      <w:r>
        <w:rPr>
          <w:rStyle w:val="FootnoteReference"/>
        </w:rPr>
        <w:footnoteRef/>
      </w:r>
      <w:r>
        <w:tab/>
        <w:t xml:space="preserve">Kakor je opisan v točki 1.4.2. „Specifični cilji…“. </w:t>
      </w:r>
    </w:p>
  </w:footnote>
  <w:footnote w:id="104">
    <w:p>
      <w:pPr>
        <w:pStyle w:val="FootnoteText"/>
        <w:ind w:left="284" w:hanging="284"/>
        <w:rPr>
          <w:szCs w:val="24"/>
        </w:rPr>
      </w:pPr>
      <w:r>
        <w:rPr>
          <w:rStyle w:val="FootnoteReference"/>
        </w:rPr>
        <w:footnoteRef/>
      </w:r>
      <w:r>
        <w:tab/>
        <w:t>Realizacije so dobavljeni proizvodi in opravljene storitve (npr. število financiranih izmenjav študentov, število kilometrov novozgrajenih cest…).</w:t>
      </w:r>
    </w:p>
  </w:footnote>
  <w:footnote w:id="105">
    <w:p>
      <w:pPr>
        <w:pStyle w:val="FootnoteText"/>
        <w:ind w:left="284" w:hanging="284"/>
        <w:rPr>
          <w:szCs w:val="24"/>
        </w:rPr>
      </w:pPr>
      <w:r>
        <w:rPr>
          <w:rStyle w:val="FootnoteReference"/>
        </w:rPr>
        <w:footnoteRef/>
      </w:r>
      <w:r>
        <w:tab/>
        <w:t>Realizacije so dobavljeni proizvodi in opravljene storitve (npr. število financiranih izmenjav študentov, število kilometrov novozgrajenih cest…).</w:t>
      </w:r>
    </w:p>
  </w:footnote>
  <w:footnote w:id="106">
    <w:p>
      <w:pPr>
        <w:pStyle w:val="FootnoteText"/>
        <w:ind w:left="284" w:hanging="284"/>
        <w:rPr>
          <w:szCs w:val="24"/>
        </w:rPr>
      </w:pPr>
      <w:r>
        <w:rPr>
          <w:rStyle w:val="FootnoteReference"/>
        </w:rPr>
        <w:footnoteRef/>
      </w:r>
      <w:r>
        <w:tab/>
        <w:t xml:space="preserve">Kakor je opisan v točki 1.4.2. „Specifični cilji…“. </w:t>
      </w:r>
    </w:p>
  </w:footnote>
  <w:footnote w:id="107">
    <w:p>
      <w:pPr>
        <w:pStyle w:val="FootnoteText"/>
        <w:ind w:left="284" w:hanging="284"/>
        <w:rPr>
          <w:szCs w:val="24"/>
        </w:rPr>
      </w:pPr>
      <w:r>
        <w:rPr>
          <w:rStyle w:val="FootnoteReference"/>
        </w:rPr>
        <w:footnoteRef/>
      </w:r>
      <w:r>
        <w:tab/>
        <w:t>Realizacije so dobavljeni proizvodi in opravljene storitve (npr. število financiranih izmenjav študentov, število kilometrov novozgrajenih cest…).</w:t>
      </w:r>
    </w:p>
  </w:footnote>
  <w:footnote w:id="108">
    <w:p>
      <w:pPr>
        <w:pStyle w:val="FootnoteText"/>
        <w:ind w:left="284" w:hanging="284"/>
      </w:pPr>
      <w:r>
        <w:rPr>
          <w:rStyle w:val="FootnoteReference"/>
        </w:rPr>
        <w:footnoteRef/>
      </w:r>
      <w:r>
        <w:tab/>
        <w:t>Podatki za osebje za leto 2020 in poznejša leta so okvirni in treba bo proučiti, ali morda presegajo napovedi glede osebja evropske mejne in obalne straže iz COM(2015) 671.</w:t>
      </w:r>
    </w:p>
  </w:footnote>
  <w:footnote w:id="109">
    <w:p>
      <w:pPr>
        <w:pStyle w:val="FootnoteText"/>
        <w:ind w:left="284" w:hanging="284"/>
        <w:rPr>
          <w:szCs w:val="24"/>
        </w:rPr>
      </w:pPr>
      <w:r>
        <w:rPr>
          <w:rStyle w:val="FootnoteReference"/>
        </w:rPr>
        <w:footnoteRef/>
      </w:r>
      <w:r>
        <w:tab/>
        <w:t>Tehnična in/ali upravna pomoč ter odhodki za podporo izvajanja programov in/ali ukrepov EU (prej vrstice BA), posredne raziskave, neposredne raziskave.</w:t>
      </w:r>
    </w:p>
  </w:footnote>
  <w:footnote w:id="110">
    <w:p>
      <w:pPr>
        <w:pStyle w:val="FootnoteText"/>
        <w:ind w:left="284" w:hanging="284"/>
        <w:rPr>
          <w:szCs w:val="24"/>
        </w:rPr>
      </w:pPr>
      <w:r>
        <w:rPr>
          <w:rStyle w:val="FootnoteReference"/>
        </w:rPr>
        <w:footnoteRef/>
      </w:r>
      <w:r>
        <w:tab/>
        <w:t xml:space="preserve">PU = pogodbeni uslužbenec; LU = lokalni uslužbenec; NNS = napoteni nacionalni strokovnjak; ZU = začasni uslužbenec; MSD = mladi strokovnjak na delegaciji. </w:t>
      </w:r>
    </w:p>
  </w:footnote>
  <w:footnote w:id="111">
    <w:p>
      <w:pPr>
        <w:pStyle w:val="FootnoteText"/>
        <w:ind w:left="284" w:hanging="284"/>
        <w:rPr>
          <w:szCs w:val="24"/>
        </w:rPr>
      </w:pPr>
      <w:r>
        <w:rPr>
          <w:rStyle w:val="FootnoteReference"/>
        </w:rPr>
        <w:footnoteRef/>
      </w:r>
      <w:r>
        <w:tab/>
        <w:t>Dodatna zgornja meja za zunanje sodelavce v okviru odobritev za poslovanje (prej vrstice BA).</w:t>
      </w:r>
    </w:p>
  </w:footnote>
  <w:footnote w:id="112">
    <w:p>
      <w:pPr>
        <w:pStyle w:val="FootnoteText"/>
        <w:ind w:left="284" w:hanging="284"/>
        <w:rPr>
          <w:szCs w:val="24"/>
        </w:rPr>
      </w:pPr>
      <w:r>
        <w:rPr>
          <w:rStyle w:val="FootnoteReference"/>
        </w:rPr>
        <w:footnoteRef/>
      </w:r>
      <w:r>
        <w:tab/>
        <w:t>Pri tradicionalnih lastnih sredstvih (carine, prelevmani na sladkor) se navedejo neto zneski, tj. bruto zneski po odbitku 25 % stroškov pobiranja.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AA4A7B4A"/>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CA3A878E"/>
    <w:lvl w:ilvl="0">
      <w:start w:val="1"/>
      <w:numFmt w:val="decimal"/>
      <w:pStyle w:val="ListNumber3"/>
      <w:lvlText w:val="%1."/>
      <w:lvlJc w:val="left"/>
      <w:pPr>
        <w:tabs>
          <w:tab w:val="num" w:pos="926"/>
        </w:tabs>
        <w:ind w:left="926" w:hanging="360"/>
      </w:pPr>
    </w:lvl>
  </w:abstractNum>
  <w:abstractNum w:abstractNumId="2">
    <w:nsid w:val="FFFFFF7F"/>
    <w:multiLevelType w:val="singleLevel"/>
    <w:tmpl w:val="7DB6267C"/>
    <w:lvl w:ilvl="0">
      <w:start w:val="1"/>
      <w:numFmt w:val="decimal"/>
      <w:pStyle w:val="ListNumber2"/>
      <w:lvlText w:val="%1."/>
      <w:lvlJc w:val="left"/>
      <w:pPr>
        <w:tabs>
          <w:tab w:val="num" w:pos="643"/>
        </w:tabs>
        <w:ind w:left="643" w:hanging="360"/>
      </w:pPr>
    </w:lvl>
  </w:abstractNum>
  <w:abstractNum w:abstractNumId="3">
    <w:nsid w:val="FFFFFF81"/>
    <w:multiLevelType w:val="singleLevel"/>
    <w:tmpl w:val="C854D83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1592E8B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801416E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7">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r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2">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16"/>
  </w:num>
  <w:num w:numId="3">
    <w:abstractNumId w:val="15"/>
  </w:num>
  <w:num w:numId="4">
    <w:abstractNumId w:val="24"/>
  </w:num>
  <w:num w:numId="5">
    <w:abstractNumId w:val="21"/>
  </w:num>
  <w:num w:numId="6">
    <w:abstractNumId w:val="5"/>
  </w:num>
  <w:num w:numId="7">
    <w:abstractNumId w:val="4"/>
  </w:num>
  <w:num w:numId="8">
    <w:abstractNumId w:val="3"/>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25"/>
    <w:lvlOverride w:ilvl="0">
      <w:startOverride w:val="1"/>
    </w:lvlOverride>
  </w:num>
  <w:num w:numId="10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2"/>
  </w:num>
  <w:num w:numId="103">
    <w:abstractNumId w:val="1"/>
  </w:num>
  <w:num w:numId="104">
    <w:abstractNumId w:val="0"/>
  </w:num>
  <w:num w:numId="1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4"/>
    <w:lvlOverride w:ilvl="0">
      <w:startOverride w:val="1"/>
    </w:lvlOverride>
  </w:num>
  <w:num w:numId="1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1"/>
  </w:num>
  <w:num w:numId="1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20"/>
  </w:num>
  <w:num w:numId="114">
    <w:abstractNumId w:val="12"/>
  </w:num>
  <w:num w:numId="115">
    <w:abstractNumId w:val="23"/>
  </w:num>
  <w:num w:numId="116">
    <w:abstractNumId w:val="10"/>
  </w:num>
  <w:num w:numId="117">
    <w:abstractNumId w:val="13"/>
  </w:num>
  <w:num w:numId="118">
    <w:abstractNumId w:val="8"/>
  </w:num>
  <w:num w:numId="119">
    <w:abstractNumId w:val="22"/>
  </w:num>
  <w:num w:numId="120">
    <w:abstractNumId w:val="7"/>
  </w:num>
  <w:num w:numId="121">
    <w:abstractNumId w:val="14"/>
  </w:num>
  <w:num w:numId="122">
    <w:abstractNumId w:val="18"/>
  </w:num>
  <w:num w:numId="123">
    <w:abstractNumId w:val="19"/>
  </w:num>
  <w:num w:numId="124">
    <w:abstractNumId w:val="9"/>
  </w:num>
  <w:num w:numId="125">
    <w:abstractNumId w:val="17"/>
  </w:num>
  <w:num w:numId="126">
    <w:abstractNumId w:val="25"/>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hideSpellingErrors/>
  <w:hideGrammaticalErrors/>
  <w:attachedTemplate r:id="rId1"/>
  <w:revisionView w:markup="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2-16 15:50:29"/>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14"/>
    <w:docVar w:name="DQCResult_ModifiedMarkers" w:val="0;0"/>
    <w:docVar w:name="DQCResult_ModifiedNumbering" w:val="0;0"/>
    <w:docVar w:name="DQCResult_Objects" w:val="0;0"/>
    <w:docVar w:name="DQCResult_Sections" w:val="0;0"/>
    <w:docVar w:name="DQCResult_StructureCheck" w:val="0;0"/>
    <w:docVar w:name="DQCResult_SuperfluousWhitespace" w:val="0;113"/>
    <w:docVar w:name="DQCResult_UnknownFonts" w:val="0;0"/>
    <w:docVar w:name="DQCResult_UnknownStyles" w:val="0;10"/>
    <w:docVar w:name="DQCStatus" w:val="Green"/>
    <w:docVar w:name="DQCVersion" w:val="3"/>
    <w:docVar w:name="DQCWithWarnings" w:val="0"/>
    <w:docVar w:name="LW_CORRIGENDUM" w:val="&lt;UNUSED&gt;"/>
    <w:docVar w:name="LW_COVERPAGE_EXISTS" w:val="True"/>
    <w:docVar w:name="LW_COVERPAGE_GUID" w:val="A6614423-2AB5-48EC-870A-503AF9B95A2A"/>
    <w:docVar w:name="LW_COVERPAGE_TYPE" w:val="1"/>
    <w:docVar w:name="LW_CROSSREFERENCE" w:val="{SWD(2017) 473 final}_x000b_{SWD(2017) 474 final}"/>
    <w:docVar w:name="LW_DocType" w:val="COM"/>
    <w:docVar w:name="LW_EMISSION" w:val="12.12.2017"/>
    <w:docVar w:name="LW_EMISSION_ISODATE" w:val="2017-12-12"/>
    <w:docVar w:name="LW_EMISSION_LOCATION" w:val="STR"/>
    <w:docVar w:name="LW_EMISSION_PREFIX" w:val="Strasbourg, "/>
    <w:docVar w:name="LW_EMISSION_SUFFIX" w:val="&lt;EMPTY&gt;"/>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SL"/>
    <w:docVar w:name="LW_LEVEL_OF_SENSITIVITY" w:val="Standard treatment"/>
    <w:docVar w:name="LW_NOM.INST" w:val="EVROPSKA KOMISIJA"/>
    <w:docVar w:name="LW_NOM.INST_JOINTDOC" w:val="&lt;EMPTY&gt;"/>
    <w:docVar w:name="LW_PART_NBR" w:val="1"/>
    <w:docVar w:name="LW_PART_NBR_TOTAL" w:val="1"/>
    <w:docVar w:name="LW_REF.II.NEW.CP" w:val="COD"/>
    <w:docVar w:name="LW_REF.II.NEW.CP_NUMBER" w:val="0351"/>
    <w:docVar w:name="LW_REF.II.NEW.CP_YEAR" w:val="2017"/>
    <w:docVar w:name="LW_REF.INST.NEW" w:val="COM"/>
    <w:docVar w:name="LW_REF.INST.NEW_ADOPTED" w:val="final"/>
    <w:docVar w:name="LW_REF.INST.NEW_TEXT" w:val="(2017) 79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edlog"/>
    <w:docVar w:name="LW_SUPERTITRE" w:val="&lt;UNUSED&gt;"/>
    <w:docVar w:name="LW_TITRE.OBJ.CP" w:val="o vzpostavitvi okvira za interoperabilnost informacijskih sistemov EU (meje in vizumi) ter spremembi Odlo\u269?be Sveta 2004/512/ES, Uredbe (ES) \u353?t. 767/2008, Sklepa Sveta 2008/633/PNZ, Uredbe (EU) 2016/399 in Uredbe (EU) 2017/2226"/>
    <w:docVar w:name="LW_TYPE.DOC.CP" w:val="UREDBA EVROPSKEGA PARLAMENTA IN SVETA"/>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sl-SI" w:bidi="sl-SI"/>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table of figures" w:uiPriority="0"/>
    <w:lsdException w:name="footnote reference"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1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uiPriority w:val="99"/>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unhideWhenUsed/>
    <w:pPr>
      <w:numPr>
        <w:numId w:val="6"/>
      </w:numPr>
      <w:contextualSpacing/>
    </w:pPr>
  </w:style>
  <w:style w:type="paragraph" w:styleId="ListBullet3">
    <w:name w:val="List Bullet 3"/>
    <w:basedOn w:val="Normal"/>
    <w:unhideWhenUsed/>
    <w:pPr>
      <w:numPr>
        <w:numId w:val="7"/>
      </w:numPr>
      <w:contextualSpacing/>
    </w:pPr>
  </w:style>
  <w:style w:type="paragraph" w:styleId="ListBullet4">
    <w:name w:val="List Bullet 4"/>
    <w:basedOn w:val="Normal"/>
    <w:unhideWhenUsed/>
    <w:pPr>
      <w:numPr>
        <w:numId w:val="8"/>
      </w:numPr>
      <w:contextualSpacing/>
    </w:pPr>
  </w:style>
  <w:style w:type="paragraph" w:customStyle="1" w:styleId="Sous-titreobjet">
    <w:name w:val="Sous-titre objet"/>
    <w:basedOn w:val="Normal"/>
    <w:pPr>
      <w:widowControl w:val="0"/>
      <w:adjustRightInd w:val="0"/>
      <w:spacing w:before="0" w:after="0"/>
      <w:jc w:val="center"/>
      <w:textAlignment w:val="baseline"/>
    </w:pPr>
    <w:rPr>
      <w:rFonts w:eastAsia="Times New Roman"/>
      <w:b/>
      <w:szCs w:val="20"/>
    </w:rPr>
  </w:style>
  <w:style w:type="paragraph" w:customStyle="1" w:styleId="Sous-titreobjetPagedecouverture">
    <w:name w:val="Sous-titre objet (Page de couverture)"/>
    <w:basedOn w:val="Sous-titreobjet"/>
  </w:style>
  <w:style w:type="character" w:styleId="Emphasis">
    <w:name w:val="Emphasis"/>
    <w:basedOn w:val="DefaultParagraphFont"/>
    <w:qFormat/>
    <w:rPr>
      <w:i/>
      <w:iCs/>
    </w:rPr>
  </w:style>
  <w:style w:type="paragraph" w:styleId="ListParagraph">
    <w:name w:val="List Paragraph"/>
    <w:basedOn w:val="Normal"/>
    <w:uiPriority w:val="34"/>
    <w:qFormat/>
    <w:pPr>
      <w:widowControl w:val="0"/>
      <w:adjustRightInd w:val="0"/>
      <w:ind w:left="720"/>
      <w:contextualSpacing/>
      <w:textAlignment w:val="baseline"/>
    </w:pPr>
    <w:rPr>
      <w:rFonts w:eastAsia="Times New Roman"/>
      <w:szCs w:val="20"/>
    </w:rPr>
  </w:style>
  <w:style w:type="paragraph" w:styleId="BalloonText">
    <w:name w:val="Balloon Text"/>
    <w:basedOn w:val="Normal"/>
    <w:link w:val="BalloonTextChar"/>
    <w:unhideWhenUsed/>
    <w:pPr>
      <w:widowControl w:val="0"/>
      <w:adjustRightInd w:val="0"/>
      <w:spacing w:before="0" w:after="0"/>
      <w:textAlignment w:val="baseline"/>
    </w:pPr>
    <w:rPr>
      <w:rFonts w:ascii="Tahoma" w:eastAsia="Times New Roman" w:hAnsi="Tahoma" w:cs="Tahoma"/>
      <w:sz w:val="16"/>
      <w:szCs w:val="16"/>
    </w:rPr>
  </w:style>
  <w:style w:type="character" w:customStyle="1" w:styleId="BalloonTextChar">
    <w:name w:val="Balloon Text Char"/>
    <w:basedOn w:val="DefaultParagraphFont"/>
    <w:link w:val="BalloonText"/>
    <w:rPr>
      <w:rFonts w:ascii="Tahoma" w:eastAsia="Times New Roman" w:hAnsi="Tahoma" w:cs="Tahoma"/>
      <w:sz w:val="16"/>
      <w:szCs w:val="16"/>
      <w:lang w:val="sl-SI" w:eastAsia="sl-SI"/>
    </w:rPr>
  </w:style>
  <w:style w:type="character" w:customStyle="1" w:styleId="DeltaViewInsertion">
    <w:name w:val="DeltaView Insertion"/>
    <w:uiPriority w:val="99"/>
    <w:rPr>
      <w:b/>
      <w:bCs w:val="0"/>
      <w:i/>
      <w:iCs w:val="0"/>
      <w:color w:val="000000"/>
    </w:rPr>
  </w:style>
  <w:style w:type="character" w:customStyle="1" w:styleId="DeltaViewDeletion">
    <w:name w:val="DeltaView Deletion"/>
    <w:uiPriority w:val="99"/>
    <w:rPr>
      <w:strike/>
      <w:color w:val="000000"/>
    </w:rPr>
  </w:style>
  <w:style w:type="character" w:styleId="CommentReference">
    <w:name w:val="annotation reference"/>
    <w:basedOn w:val="DefaultParagraphFont"/>
    <w:uiPriority w:val="99"/>
    <w:rPr>
      <w:sz w:val="18"/>
    </w:rPr>
  </w:style>
  <w:style w:type="paragraph" w:styleId="CommentText">
    <w:name w:val="annotation text"/>
    <w:basedOn w:val="Normal"/>
    <w:link w:val="CommentTextChar"/>
    <w:uiPriority w:val="99"/>
    <w:pPr>
      <w:widowControl w:val="0"/>
      <w:autoSpaceDE w:val="0"/>
      <w:autoSpaceDN w:val="0"/>
      <w:adjustRightInd w:val="0"/>
      <w:spacing w:before="0" w:after="0" w:line="320" w:lineRule="atLeast"/>
      <w:jc w:val="left"/>
      <w:textAlignment w:val="baseline"/>
    </w:pPr>
    <w:rPr>
      <w:rFonts w:ascii="Arial" w:eastAsia="Times New Roman" w:hAnsi="Arial" w:cs="Arial"/>
      <w:sz w:val="22"/>
      <w:szCs w:val="20"/>
    </w:rPr>
  </w:style>
  <w:style w:type="character" w:customStyle="1" w:styleId="CommentTextChar">
    <w:name w:val="Comment Text Char"/>
    <w:basedOn w:val="DefaultParagraphFont"/>
    <w:link w:val="CommentText"/>
    <w:uiPriority w:val="99"/>
    <w:rPr>
      <w:rFonts w:ascii="Arial" w:eastAsia="Times New Roman" w:hAnsi="Arial" w:cs="Arial"/>
      <w:szCs w:val="20"/>
      <w:lang w:val="sl-SI" w:eastAsia="sl-SI"/>
    </w:rPr>
  </w:style>
  <w:style w:type="paragraph" w:customStyle="1" w:styleId="Default">
    <w:name w:val="Default"/>
    <w:pPr>
      <w:widowControl w:val="0"/>
      <w:autoSpaceDE w:val="0"/>
      <w:autoSpaceDN w:val="0"/>
      <w:adjustRightInd w:val="0"/>
      <w:spacing w:after="0" w:line="240" w:lineRule="auto"/>
      <w:jc w:val="both"/>
      <w:textAlignment w:val="baseline"/>
    </w:pPr>
    <w:rPr>
      <w:rFonts w:ascii="Times New Roman" w:eastAsia="Times New Roman" w:hAnsi="Times New Roman" w:cs="Times New Roman"/>
      <w:color w:val="000000"/>
      <w:sz w:val="24"/>
      <w:szCs w:val="24"/>
    </w:rPr>
  </w:style>
  <w:style w:type="paragraph" w:customStyle="1" w:styleId="Normal1">
    <w:name w:val="Normal1"/>
    <w:basedOn w:val="Normal"/>
    <w:pPr>
      <w:widowControl w:val="0"/>
      <w:adjustRightInd w:val="0"/>
      <w:spacing w:before="100" w:beforeAutospacing="1" w:after="100" w:afterAutospacing="1"/>
      <w:jc w:val="left"/>
      <w:textAlignment w:val="baseline"/>
    </w:pPr>
    <w:rPr>
      <w:rFonts w:eastAsia="Times New Roman"/>
      <w:szCs w:val="24"/>
    </w:rPr>
  </w:style>
  <w:style w:type="paragraph" w:customStyle="1" w:styleId="Numroamendement">
    <w:name w:val="Numéro amendement"/>
    <w:basedOn w:val="Normal"/>
    <w:next w:val="Normal"/>
    <w:pPr>
      <w:widowControl w:val="0"/>
      <w:adjustRightInd w:val="0"/>
      <w:spacing w:before="0" w:after="0"/>
      <w:jc w:val="center"/>
      <w:textAlignment w:val="baseline"/>
    </w:pPr>
    <w:rPr>
      <w:rFonts w:eastAsia="Times New Roman"/>
      <w:snapToGrid w:val="0"/>
      <w:szCs w:val="20"/>
    </w:rPr>
  </w:style>
  <w:style w:type="character" w:customStyle="1" w:styleId="st">
    <w:name w:val="st"/>
    <w:basedOn w:val="DefaultParagraphFont"/>
  </w:style>
  <w:style w:type="paragraph" w:styleId="CommentSubject">
    <w:name w:val="annotation subject"/>
    <w:basedOn w:val="CommentText"/>
    <w:next w:val="CommentText"/>
    <w:link w:val="CommentSubjectChar"/>
    <w:unhideWhenUsed/>
    <w:pPr>
      <w:autoSpaceDE/>
      <w:autoSpaceDN/>
      <w:adjustRightInd/>
      <w:spacing w:before="120" w:after="120" w:line="240" w:lineRule="auto"/>
      <w:jc w:val="both"/>
    </w:pPr>
    <w:rPr>
      <w:rFonts w:ascii="Times New Roman" w:eastAsiaTheme="minorHAnsi" w:hAnsi="Times New Roman" w:cs="Times New Roman"/>
      <w:b/>
      <w:bCs/>
      <w:sz w:val="20"/>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sl-SI" w:eastAsia="sl-SI"/>
    </w:rPr>
  </w:style>
  <w:style w:type="paragraph" w:styleId="Revision">
    <w:name w:val="Revision"/>
    <w:hidden/>
    <w:uiPriority w:val="99"/>
    <w:semiHidden/>
    <w:pPr>
      <w:widowControl w:val="0"/>
      <w:adjustRightInd w:val="0"/>
      <w:spacing w:after="0" w:line="240" w:lineRule="auto"/>
      <w:jc w:val="both"/>
      <w:textAlignment w:val="baseline"/>
    </w:pPr>
    <w:rPr>
      <w:rFonts w:ascii="Times New Roman" w:eastAsia="Times New Roman" w:hAnsi="Times New Roman" w:cs="Times New Roman"/>
      <w:sz w:val="24"/>
      <w:szCs w:val="20"/>
    </w:rPr>
  </w:style>
  <w:style w:type="character" w:customStyle="1" w:styleId="italic1">
    <w:name w:val="italic1"/>
    <w:rPr>
      <w:i/>
      <w:iCs/>
    </w:rPr>
  </w:style>
  <w:style w:type="character" w:styleId="FollowedHyperlink">
    <w:name w:val="FollowedHyperlink"/>
    <w:basedOn w:val="DefaultParagraphFont"/>
    <w:unhideWhenUsed/>
    <w:rPr>
      <w:color w:val="800080" w:themeColor="followedHyperlink"/>
      <w:u w:val="single"/>
    </w:rPr>
  </w:style>
  <w:style w:type="paragraph" w:styleId="BodyText">
    <w:name w:val="Body Text"/>
    <w:basedOn w:val="Normal"/>
    <w:link w:val="BodyTextChar"/>
    <w:uiPriority w:val="99"/>
    <w:pPr>
      <w:spacing w:before="0"/>
    </w:pPr>
    <w:rPr>
      <w:rFonts w:eastAsia="Times New Roman"/>
      <w:szCs w:val="20"/>
    </w:rPr>
  </w:style>
  <w:style w:type="character" w:customStyle="1" w:styleId="BodyTextChar">
    <w:name w:val="Body Text Char"/>
    <w:basedOn w:val="DefaultParagraphFont"/>
    <w:link w:val="BodyText"/>
    <w:uiPriority w:val="99"/>
    <w:rPr>
      <w:rFonts w:ascii="Times New Roman" w:eastAsia="Times New Roman" w:hAnsi="Times New Roman" w:cs="Times New Roman"/>
      <w:sz w:val="24"/>
      <w:szCs w:val="20"/>
      <w:lang w:val="sl-SI"/>
    </w:rPr>
  </w:style>
  <w:style w:type="paragraph" w:styleId="Caption">
    <w:name w:val="caption"/>
    <w:basedOn w:val="Normal"/>
    <w:next w:val="Normal"/>
    <w:unhideWhenUsed/>
    <w:qFormat/>
    <w:pPr>
      <w:spacing w:before="0" w:after="200"/>
    </w:pPr>
    <w:rPr>
      <w:b/>
      <w:bCs/>
      <w:color w:val="4F81BD" w:themeColor="accent1"/>
      <w:sz w:val="18"/>
      <w:szCs w:val="18"/>
    </w:rPr>
  </w:style>
  <w:style w:type="paragraph" w:styleId="TableofFigures">
    <w:name w:val="table of figures"/>
    <w:basedOn w:val="Normal"/>
    <w:next w:val="Normal"/>
    <w:unhideWhenUsed/>
    <w:pPr>
      <w:spacing w:after="0"/>
    </w:pPr>
  </w:style>
  <w:style w:type="paragraph" w:styleId="ListNumber2">
    <w:name w:val="List Number 2"/>
    <w:basedOn w:val="Normal"/>
    <w:unhideWhenUsed/>
    <w:pPr>
      <w:numPr>
        <w:numId w:val="102"/>
      </w:numPr>
      <w:contextualSpacing/>
    </w:pPr>
  </w:style>
  <w:style w:type="paragraph" w:styleId="ListNumber3">
    <w:name w:val="List Number 3"/>
    <w:basedOn w:val="Normal"/>
    <w:unhideWhenUsed/>
    <w:pPr>
      <w:numPr>
        <w:numId w:val="103"/>
      </w:numPr>
      <w:contextualSpacing/>
    </w:pPr>
  </w:style>
  <w:style w:type="paragraph" w:styleId="ListNumber4">
    <w:name w:val="List Number 4"/>
    <w:basedOn w:val="Normal"/>
    <w:unhideWhenUsed/>
    <w:pPr>
      <w:numPr>
        <w:numId w:val="104"/>
      </w:numPr>
      <w:contextualSpacing/>
    </w:pPr>
  </w:style>
  <w:style w:type="paragraph" w:customStyle="1" w:styleId="ListDash">
    <w:name w:val="List Dash"/>
    <w:basedOn w:val="Normal"/>
    <w:pPr>
      <w:numPr>
        <w:numId w:val="109"/>
      </w:numPr>
    </w:pPr>
    <w:rPr>
      <w:rFonts w:eastAsia="Times New Roman"/>
    </w:rPr>
  </w:style>
  <w:style w:type="table" w:styleId="TableGrid">
    <w:name w:val="Table Grid"/>
    <w:basedOn w:val="TableNormal"/>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pPr>
      <w:spacing w:before="0" w:after="0"/>
    </w:pPr>
    <w:rPr>
      <w:rFonts w:eastAsia="Times New Roman"/>
      <w:sz w:val="20"/>
      <w:szCs w:val="20"/>
    </w:rPr>
  </w:style>
  <w:style w:type="character" w:customStyle="1" w:styleId="EndnoteTextChar">
    <w:name w:val="Endnote Text Char"/>
    <w:basedOn w:val="DefaultParagraphFont"/>
    <w:link w:val="EndnoteText"/>
    <w:rPr>
      <w:rFonts w:ascii="Times New Roman" w:eastAsia="Times New Roman" w:hAnsi="Times New Roman" w:cs="Times New Roman"/>
      <w:sz w:val="20"/>
      <w:szCs w:val="20"/>
      <w:lang w:val="sl-SI" w:eastAsia="sl-SI"/>
    </w:rPr>
  </w:style>
  <w:style w:type="character" w:styleId="EndnoteReference">
    <w:name w:val="endnote reference"/>
    <w:basedOn w:val="DefaultParagraphFont"/>
    <w:rPr>
      <w:vertAlign w:val="superscript"/>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3"/>
      </w:numPr>
    </w:pPr>
  </w:style>
  <w:style w:type="paragraph" w:customStyle="1" w:styleId="Tiret1">
    <w:name w:val="Tiret 1"/>
    <w:basedOn w:val="Point1"/>
    <w:pPr>
      <w:numPr>
        <w:numId w:val="114"/>
      </w:numPr>
    </w:pPr>
  </w:style>
  <w:style w:type="paragraph" w:customStyle="1" w:styleId="Tiret2">
    <w:name w:val="Tiret 2"/>
    <w:basedOn w:val="Point2"/>
    <w:pPr>
      <w:numPr>
        <w:numId w:val="115"/>
      </w:numPr>
    </w:pPr>
  </w:style>
  <w:style w:type="paragraph" w:customStyle="1" w:styleId="Tiret3">
    <w:name w:val="Tiret 3"/>
    <w:basedOn w:val="Point3"/>
    <w:pPr>
      <w:numPr>
        <w:numId w:val="116"/>
      </w:numPr>
    </w:pPr>
  </w:style>
  <w:style w:type="paragraph" w:customStyle="1" w:styleId="Tiret4">
    <w:name w:val="Tiret 4"/>
    <w:basedOn w:val="Point4"/>
    <w:pPr>
      <w:numPr>
        <w:numId w:val="1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18"/>
      </w:numPr>
    </w:pPr>
  </w:style>
  <w:style w:type="paragraph" w:customStyle="1" w:styleId="NumPar2">
    <w:name w:val="NumPar 2"/>
    <w:basedOn w:val="Normal"/>
    <w:next w:val="Text1"/>
    <w:pPr>
      <w:numPr>
        <w:ilvl w:val="1"/>
        <w:numId w:val="118"/>
      </w:numPr>
    </w:pPr>
  </w:style>
  <w:style w:type="paragraph" w:customStyle="1" w:styleId="NumPar3">
    <w:name w:val="NumPar 3"/>
    <w:basedOn w:val="Normal"/>
    <w:next w:val="Text1"/>
    <w:pPr>
      <w:numPr>
        <w:ilvl w:val="2"/>
        <w:numId w:val="118"/>
      </w:numPr>
    </w:pPr>
  </w:style>
  <w:style w:type="paragraph" w:customStyle="1" w:styleId="NumPar4">
    <w:name w:val="NumPar 4"/>
    <w:basedOn w:val="Normal"/>
    <w:next w:val="Text1"/>
    <w:pPr>
      <w:numPr>
        <w:ilvl w:val="3"/>
        <w:numId w:val="1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20"/>
      </w:numPr>
    </w:pPr>
  </w:style>
  <w:style w:type="paragraph" w:customStyle="1" w:styleId="Point1number">
    <w:name w:val="Point 1 (number)"/>
    <w:basedOn w:val="Normal"/>
    <w:pPr>
      <w:numPr>
        <w:ilvl w:val="2"/>
        <w:numId w:val="120"/>
      </w:numPr>
    </w:pPr>
  </w:style>
  <w:style w:type="paragraph" w:customStyle="1" w:styleId="Point2number">
    <w:name w:val="Point 2 (number)"/>
    <w:basedOn w:val="Normal"/>
    <w:pPr>
      <w:numPr>
        <w:ilvl w:val="4"/>
        <w:numId w:val="120"/>
      </w:numPr>
    </w:pPr>
  </w:style>
  <w:style w:type="paragraph" w:customStyle="1" w:styleId="Point3number">
    <w:name w:val="Point 3 (number)"/>
    <w:basedOn w:val="Normal"/>
    <w:pPr>
      <w:numPr>
        <w:ilvl w:val="6"/>
        <w:numId w:val="120"/>
      </w:numPr>
    </w:pPr>
  </w:style>
  <w:style w:type="paragraph" w:customStyle="1" w:styleId="Point0letter">
    <w:name w:val="Point 0 (letter)"/>
    <w:basedOn w:val="Normal"/>
    <w:pPr>
      <w:numPr>
        <w:ilvl w:val="1"/>
        <w:numId w:val="120"/>
      </w:numPr>
    </w:pPr>
  </w:style>
  <w:style w:type="paragraph" w:customStyle="1" w:styleId="Point1letter">
    <w:name w:val="Point 1 (letter)"/>
    <w:basedOn w:val="Normal"/>
    <w:pPr>
      <w:numPr>
        <w:ilvl w:val="3"/>
        <w:numId w:val="120"/>
      </w:numPr>
    </w:pPr>
  </w:style>
  <w:style w:type="paragraph" w:customStyle="1" w:styleId="Point2letter">
    <w:name w:val="Point 2 (letter)"/>
    <w:basedOn w:val="Normal"/>
    <w:pPr>
      <w:numPr>
        <w:ilvl w:val="5"/>
        <w:numId w:val="120"/>
      </w:numPr>
    </w:pPr>
  </w:style>
  <w:style w:type="paragraph" w:customStyle="1" w:styleId="Point3letter">
    <w:name w:val="Point 3 (letter)"/>
    <w:basedOn w:val="Normal"/>
    <w:pPr>
      <w:numPr>
        <w:ilvl w:val="7"/>
        <w:numId w:val="120"/>
      </w:numPr>
    </w:pPr>
  </w:style>
  <w:style w:type="paragraph" w:customStyle="1" w:styleId="Point4letter">
    <w:name w:val="Point 4 (letter)"/>
    <w:basedOn w:val="Normal"/>
    <w:pPr>
      <w:numPr>
        <w:ilvl w:val="8"/>
        <w:numId w:val="120"/>
      </w:numPr>
    </w:pPr>
  </w:style>
  <w:style w:type="paragraph" w:customStyle="1" w:styleId="Bullet0">
    <w:name w:val="Bullet 0"/>
    <w:basedOn w:val="Normal"/>
    <w:pPr>
      <w:numPr>
        <w:numId w:val="121"/>
      </w:numPr>
    </w:pPr>
  </w:style>
  <w:style w:type="paragraph" w:customStyle="1" w:styleId="Bullet1">
    <w:name w:val="Bullet 1"/>
    <w:basedOn w:val="Normal"/>
    <w:pPr>
      <w:numPr>
        <w:numId w:val="122"/>
      </w:numPr>
    </w:pPr>
  </w:style>
  <w:style w:type="paragraph" w:customStyle="1" w:styleId="Bullet2">
    <w:name w:val="Bullet 2"/>
    <w:basedOn w:val="Normal"/>
    <w:pPr>
      <w:numPr>
        <w:numId w:val="123"/>
      </w:numPr>
    </w:pPr>
  </w:style>
  <w:style w:type="paragraph" w:customStyle="1" w:styleId="Bullet3">
    <w:name w:val="Bullet 3"/>
    <w:basedOn w:val="Normal"/>
    <w:pPr>
      <w:numPr>
        <w:numId w:val="124"/>
      </w:numPr>
    </w:pPr>
  </w:style>
  <w:style w:type="paragraph" w:customStyle="1" w:styleId="Bullet4">
    <w:name w:val="Bullet 4"/>
    <w:basedOn w:val="Normal"/>
    <w:pPr>
      <w:numPr>
        <w:numId w:val="1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sl-SI" w:bidi="sl-SI"/>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table of figures" w:uiPriority="0"/>
    <w:lsdException w:name="footnote reference"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1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uiPriority w:val="99"/>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unhideWhenUsed/>
    <w:pPr>
      <w:numPr>
        <w:numId w:val="6"/>
      </w:numPr>
      <w:contextualSpacing/>
    </w:pPr>
  </w:style>
  <w:style w:type="paragraph" w:styleId="ListBullet3">
    <w:name w:val="List Bullet 3"/>
    <w:basedOn w:val="Normal"/>
    <w:unhideWhenUsed/>
    <w:pPr>
      <w:numPr>
        <w:numId w:val="7"/>
      </w:numPr>
      <w:contextualSpacing/>
    </w:pPr>
  </w:style>
  <w:style w:type="paragraph" w:styleId="ListBullet4">
    <w:name w:val="List Bullet 4"/>
    <w:basedOn w:val="Normal"/>
    <w:unhideWhenUsed/>
    <w:pPr>
      <w:numPr>
        <w:numId w:val="8"/>
      </w:numPr>
      <w:contextualSpacing/>
    </w:pPr>
  </w:style>
  <w:style w:type="paragraph" w:customStyle="1" w:styleId="Sous-titreobjet">
    <w:name w:val="Sous-titre objet"/>
    <w:basedOn w:val="Normal"/>
    <w:pPr>
      <w:widowControl w:val="0"/>
      <w:adjustRightInd w:val="0"/>
      <w:spacing w:before="0" w:after="0"/>
      <w:jc w:val="center"/>
      <w:textAlignment w:val="baseline"/>
    </w:pPr>
    <w:rPr>
      <w:rFonts w:eastAsia="Times New Roman"/>
      <w:b/>
      <w:szCs w:val="20"/>
    </w:rPr>
  </w:style>
  <w:style w:type="paragraph" w:customStyle="1" w:styleId="Sous-titreobjetPagedecouverture">
    <w:name w:val="Sous-titre objet (Page de couverture)"/>
    <w:basedOn w:val="Sous-titreobjet"/>
  </w:style>
  <w:style w:type="character" w:styleId="Emphasis">
    <w:name w:val="Emphasis"/>
    <w:basedOn w:val="DefaultParagraphFont"/>
    <w:qFormat/>
    <w:rPr>
      <w:i/>
      <w:iCs/>
    </w:rPr>
  </w:style>
  <w:style w:type="paragraph" w:styleId="ListParagraph">
    <w:name w:val="List Paragraph"/>
    <w:basedOn w:val="Normal"/>
    <w:uiPriority w:val="34"/>
    <w:qFormat/>
    <w:pPr>
      <w:widowControl w:val="0"/>
      <w:adjustRightInd w:val="0"/>
      <w:ind w:left="720"/>
      <w:contextualSpacing/>
      <w:textAlignment w:val="baseline"/>
    </w:pPr>
    <w:rPr>
      <w:rFonts w:eastAsia="Times New Roman"/>
      <w:szCs w:val="20"/>
    </w:rPr>
  </w:style>
  <w:style w:type="paragraph" w:styleId="BalloonText">
    <w:name w:val="Balloon Text"/>
    <w:basedOn w:val="Normal"/>
    <w:link w:val="BalloonTextChar"/>
    <w:unhideWhenUsed/>
    <w:pPr>
      <w:widowControl w:val="0"/>
      <w:adjustRightInd w:val="0"/>
      <w:spacing w:before="0" w:after="0"/>
      <w:textAlignment w:val="baseline"/>
    </w:pPr>
    <w:rPr>
      <w:rFonts w:ascii="Tahoma" w:eastAsia="Times New Roman" w:hAnsi="Tahoma" w:cs="Tahoma"/>
      <w:sz w:val="16"/>
      <w:szCs w:val="16"/>
    </w:rPr>
  </w:style>
  <w:style w:type="character" w:customStyle="1" w:styleId="BalloonTextChar">
    <w:name w:val="Balloon Text Char"/>
    <w:basedOn w:val="DefaultParagraphFont"/>
    <w:link w:val="BalloonText"/>
    <w:rPr>
      <w:rFonts w:ascii="Tahoma" w:eastAsia="Times New Roman" w:hAnsi="Tahoma" w:cs="Tahoma"/>
      <w:sz w:val="16"/>
      <w:szCs w:val="16"/>
      <w:lang w:val="sl-SI" w:eastAsia="sl-SI"/>
    </w:rPr>
  </w:style>
  <w:style w:type="character" w:customStyle="1" w:styleId="DeltaViewInsertion">
    <w:name w:val="DeltaView Insertion"/>
    <w:uiPriority w:val="99"/>
    <w:rPr>
      <w:b/>
      <w:bCs w:val="0"/>
      <w:i/>
      <w:iCs w:val="0"/>
      <w:color w:val="000000"/>
    </w:rPr>
  </w:style>
  <w:style w:type="character" w:customStyle="1" w:styleId="DeltaViewDeletion">
    <w:name w:val="DeltaView Deletion"/>
    <w:uiPriority w:val="99"/>
    <w:rPr>
      <w:strike/>
      <w:color w:val="000000"/>
    </w:rPr>
  </w:style>
  <w:style w:type="character" w:styleId="CommentReference">
    <w:name w:val="annotation reference"/>
    <w:basedOn w:val="DefaultParagraphFont"/>
    <w:uiPriority w:val="99"/>
    <w:rPr>
      <w:sz w:val="18"/>
    </w:rPr>
  </w:style>
  <w:style w:type="paragraph" w:styleId="CommentText">
    <w:name w:val="annotation text"/>
    <w:basedOn w:val="Normal"/>
    <w:link w:val="CommentTextChar"/>
    <w:uiPriority w:val="99"/>
    <w:pPr>
      <w:widowControl w:val="0"/>
      <w:autoSpaceDE w:val="0"/>
      <w:autoSpaceDN w:val="0"/>
      <w:adjustRightInd w:val="0"/>
      <w:spacing w:before="0" w:after="0" w:line="320" w:lineRule="atLeast"/>
      <w:jc w:val="left"/>
      <w:textAlignment w:val="baseline"/>
    </w:pPr>
    <w:rPr>
      <w:rFonts w:ascii="Arial" w:eastAsia="Times New Roman" w:hAnsi="Arial" w:cs="Arial"/>
      <w:sz w:val="22"/>
      <w:szCs w:val="20"/>
    </w:rPr>
  </w:style>
  <w:style w:type="character" w:customStyle="1" w:styleId="CommentTextChar">
    <w:name w:val="Comment Text Char"/>
    <w:basedOn w:val="DefaultParagraphFont"/>
    <w:link w:val="CommentText"/>
    <w:uiPriority w:val="99"/>
    <w:rPr>
      <w:rFonts w:ascii="Arial" w:eastAsia="Times New Roman" w:hAnsi="Arial" w:cs="Arial"/>
      <w:szCs w:val="20"/>
      <w:lang w:val="sl-SI" w:eastAsia="sl-SI"/>
    </w:rPr>
  </w:style>
  <w:style w:type="paragraph" w:customStyle="1" w:styleId="Default">
    <w:name w:val="Default"/>
    <w:pPr>
      <w:widowControl w:val="0"/>
      <w:autoSpaceDE w:val="0"/>
      <w:autoSpaceDN w:val="0"/>
      <w:adjustRightInd w:val="0"/>
      <w:spacing w:after="0" w:line="240" w:lineRule="auto"/>
      <w:jc w:val="both"/>
      <w:textAlignment w:val="baseline"/>
    </w:pPr>
    <w:rPr>
      <w:rFonts w:ascii="Times New Roman" w:eastAsia="Times New Roman" w:hAnsi="Times New Roman" w:cs="Times New Roman"/>
      <w:color w:val="000000"/>
      <w:sz w:val="24"/>
      <w:szCs w:val="24"/>
    </w:rPr>
  </w:style>
  <w:style w:type="paragraph" w:customStyle="1" w:styleId="Normal1">
    <w:name w:val="Normal1"/>
    <w:basedOn w:val="Normal"/>
    <w:pPr>
      <w:widowControl w:val="0"/>
      <w:adjustRightInd w:val="0"/>
      <w:spacing w:before="100" w:beforeAutospacing="1" w:after="100" w:afterAutospacing="1"/>
      <w:jc w:val="left"/>
      <w:textAlignment w:val="baseline"/>
    </w:pPr>
    <w:rPr>
      <w:rFonts w:eastAsia="Times New Roman"/>
      <w:szCs w:val="24"/>
    </w:rPr>
  </w:style>
  <w:style w:type="paragraph" w:customStyle="1" w:styleId="Numroamendement">
    <w:name w:val="Numéro amendement"/>
    <w:basedOn w:val="Normal"/>
    <w:next w:val="Normal"/>
    <w:pPr>
      <w:widowControl w:val="0"/>
      <w:adjustRightInd w:val="0"/>
      <w:spacing w:before="0" w:after="0"/>
      <w:jc w:val="center"/>
      <w:textAlignment w:val="baseline"/>
    </w:pPr>
    <w:rPr>
      <w:rFonts w:eastAsia="Times New Roman"/>
      <w:snapToGrid w:val="0"/>
      <w:szCs w:val="20"/>
    </w:rPr>
  </w:style>
  <w:style w:type="character" w:customStyle="1" w:styleId="st">
    <w:name w:val="st"/>
    <w:basedOn w:val="DefaultParagraphFont"/>
  </w:style>
  <w:style w:type="paragraph" w:styleId="CommentSubject">
    <w:name w:val="annotation subject"/>
    <w:basedOn w:val="CommentText"/>
    <w:next w:val="CommentText"/>
    <w:link w:val="CommentSubjectChar"/>
    <w:unhideWhenUsed/>
    <w:pPr>
      <w:autoSpaceDE/>
      <w:autoSpaceDN/>
      <w:adjustRightInd/>
      <w:spacing w:before="120" w:after="120" w:line="240" w:lineRule="auto"/>
      <w:jc w:val="both"/>
    </w:pPr>
    <w:rPr>
      <w:rFonts w:ascii="Times New Roman" w:eastAsiaTheme="minorHAnsi" w:hAnsi="Times New Roman" w:cs="Times New Roman"/>
      <w:b/>
      <w:bCs/>
      <w:sz w:val="20"/>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sl-SI" w:eastAsia="sl-SI"/>
    </w:rPr>
  </w:style>
  <w:style w:type="paragraph" w:styleId="Revision">
    <w:name w:val="Revision"/>
    <w:hidden/>
    <w:uiPriority w:val="99"/>
    <w:semiHidden/>
    <w:pPr>
      <w:widowControl w:val="0"/>
      <w:adjustRightInd w:val="0"/>
      <w:spacing w:after="0" w:line="240" w:lineRule="auto"/>
      <w:jc w:val="both"/>
      <w:textAlignment w:val="baseline"/>
    </w:pPr>
    <w:rPr>
      <w:rFonts w:ascii="Times New Roman" w:eastAsia="Times New Roman" w:hAnsi="Times New Roman" w:cs="Times New Roman"/>
      <w:sz w:val="24"/>
      <w:szCs w:val="20"/>
    </w:rPr>
  </w:style>
  <w:style w:type="character" w:customStyle="1" w:styleId="italic1">
    <w:name w:val="italic1"/>
    <w:rPr>
      <w:i/>
      <w:iCs/>
    </w:rPr>
  </w:style>
  <w:style w:type="character" w:styleId="FollowedHyperlink">
    <w:name w:val="FollowedHyperlink"/>
    <w:basedOn w:val="DefaultParagraphFont"/>
    <w:unhideWhenUsed/>
    <w:rPr>
      <w:color w:val="800080" w:themeColor="followedHyperlink"/>
      <w:u w:val="single"/>
    </w:rPr>
  </w:style>
  <w:style w:type="paragraph" w:styleId="BodyText">
    <w:name w:val="Body Text"/>
    <w:basedOn w:val="Normal"/>
    <w:link w:val="BodyTextChar"/>
    <w:uiPriority w:val="99"/>
    <w:pPr>
      <w:spacing w:before="0"/>
    </w:pPr>
    <w:rPr>
      <w:rFonts w:eastAsia="Times New Roman"/>
      <w:szCs w:val="20"/>
    </w:rPr>
  </w:style>
  <w:style w:type="character" w:customStyle="1" w:styleId="BodyTextChar">
    <w:name w:val="Body Text Char"/>
    <w:basedOn w:val="DefaultParagraphFont"/>
    <w:link w:val="BodyText"/>
    <w:uiPriority w:val="99"/>
    <w:rPr>
      <w:rFonts w:ascii="Times New Roman" w:eastAsia="Times New Roman" w:hAnsi="Times New Roman" w:cs="Times New Roman"/>
      <w:sz w:val="24"/>
      <w:szCs w:val="20"/>
      <w:lang w:val="sl-SI"/>
    </w:rPr>
  </w:style>
  <w:style w:type="paragraph" w:styleId="Caption">
    <w:name w:val="caption"/>
    <w:basedOn w:val="Normal"/>
    <w:next w:val="Normal"/>
    <w:unhideWhenUsed/>
    <w:qFormat/>
    <w:pPr>
      <w:spacing w:before="0" w:after="200"/>
    </w:pPr>
    <w:rPr>
      <w:b/>
      <w:bCs/>
      <w:color w:val="4F81BD" w:themeColor="accent1"/>
      <w:sz w:val="18"/>
      <w:szCs w:val="18"/>
    </w:rPr>
  </w:style>
  <w:style w:type="paragraph" w:styleId="TableofFigures">
    <w:name w:val="table of figures"/>
    <w:basedOn w:val="Normal"/>
    <w:next w:val="Normal"/>
    <w:unhideWhenUsed/>
    <w:pPr>
      <w:spacing w:after="0"/>
    </w:pPr>
  </w:style>
  <w:style w:type="paragraph" w:styleId="ListNumber2">
    <w:name w:val="List Number 2"/>
    <w:basedOn w:val="Normal"/>
    <w:unhideWhenUsed/>
    <w:pPr>
      <w:numPr>
        <w:numId w:val="102"/>
      </w:numPr>
      <w:contextualSpacing/>
    </w:pPr>
  </w:style>
  <w:style w:type="paragraph" w:styleId="ListNumber3">
    <w:name w:val="List Number 3"/>
    <w:basedOn w:val="Normal"/>
    <w:unhideWhenUsed/>
    <w:pPr>
      <w:numPr>
        <w:numId w:val="103"/>
      </w:numPr>
      <w:contextualSpacing/>
    </w:pPr>
  </w:style>
  <w:style w:type="paragraph" w:styleId="ListNumber4">
    <w:name w:val="List Number 4"/>
    <w:basedOn w:val="Normal"/>
    <w:unhideWhenUsed/>
    <w:pPr>
      <w:numPr>
        <w:numId w:val="104"/>
      </w:numPr>
      <w:contextualSpacing/>
    </w:pPr>
  </w:style>
  <w:style w:type="paragraph" w:customStyle="1" w:styleId="ListDash">
    <w:name w:val="List Dash"/>
    <w:basedOn w:val="Normal"/>
    <w:pPr>
      <w:numPr>
        <w:numId w:val="109"/>
      </w:numPr>
    </w:pPr>
    <w:rPr>
      <w:rFonts w:eastAsia="Times New Roman"/>
    </w:rPr>
  </w:style>
  <w:style w:type="table" w:styleId="TableGrid">
    <w:name w:val="Table Grid"/>
    <w:basedOn w:val="TableNormal"/>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pPr>
      <w:spacing w:before="0" w:after="0"/>
    </w:pPr>
    <w:rPr>
      <w:rFonts w:eastAsia="Times New Roman"/>
      <w:sz w:val="20"/>
      <w:szCs w:val="20"/>
    </w:rPr>
  </w:style>
  <w:style w:type="character" w:customStyle="1" w:styleId="EndnoteTextChar">
    <w:name w:val="Endnote Text Char"/>
    <w:basedOn w:val="DefaultParagraphFont"/>
    <w:link w:val="EndnoteText"/>
    <w:rPr>
      <w:rFonts w:ascii="Times New Roman" w:eastAsia="Times New Roman" w:hAnsi="Times New Roman" w:cs="Times New Roman"/>
      <w:sz w:val="20"/>
      <w:szCs w:val="20"/>
      <w:lang w:val="sl-SI" w:eastAsia="sl-SI"/>
    </w:rPr>
  </w:style>
  <w:style w:type="character" w:styleId="EndnoteReference">
    <w:name w:val="endnote reference"/>
    <w:basedOn w:val="DefaultParagraphFont"/>
    <w:rPr>
      <w:vertAlign w:val="superscript"/>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3"/>
      </w:numPr>
    </w:pPr>
  </w:style>
  <w:style w:type="paragraph" w:customStyle="1" w:styleId="Tiret1">
    <w:name w:val="Tiret 1"/>
    <w:basedOn w:val="Point1"/>
    <w:pPr>
      <w:numPr>
        <w:numId w:val="114"/>
      </w:numPr>
    </w:pPr>
  </w:style>
  <w:style w:type="paragraph" w:customStyle="1" w:styleId="Tiret2">
    <w:name w:val="Tiret 2"/>
    <w:basedOn w:val="Point2"/>
    <w:pPr>
      <w:numPr>
        <w:numId w:val="115"/>
      </w:numPr>
    </w:pPr>
  </w:style>
  <w:style w:type="paragraph" w:customStyle="1" w:styleId="Tiret3">
    <w:name w:val="Tiret 3"/>
    <w:basedOn w:val="Point3"/>
    <w:pPr>
      <w:numPr>
        <w:numId w:val="116"/>
      </w:numPr>
    </w:pPr>
  </w:style>
  <w:style w:type="paragraph" w:customStyle="1" w:styleId="Tiret4">
    <w:name w:val="Tiret 4"/>
    <w:basedOn w:val="Point4"/>
    <w:pPr>
      <w:numPr>
        <w:numId w:val="1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18"/>
      </w:numPr>
    </w:pPr>
  </w:style>
  <w:style w:type="paragraph" w:customStyle="1" w:styleId="NumPar2">
    <w:name w:val="NumPar 2"/>
    <w:basedOn w:val="Normal"/>
    <w:next w:val="Text1"/>
    <w:pPr>
      <w:numPr>
        <w:ilvl w:val="1"/>
        <w:numId w:val="118"/>
      </w:numPr>
    </w:pPr>
  </w:style>
  <w:style w:type="paragraph" w:customStyle="1" w:styleId="NumPar3">
    <w:name w:val="NumPar 3"/>
    <w:basedOn w:val="Normal"/>
    <w:next w:val="Text1"/>
    <w:pPr>
      <w:numPr>
        <w:ilvl w:val="2"/>
        <w:numId w:val="118"/>
      </w:numPr>
    </w:pPr>
  </w:style>
  <w:style w:type="paragraph" w:customStyle="1" w:styleId="NumPar4">
    <w:name w:val="NumPar 4"/>
    <w:basedOn w:val="Normal"/>
    <w:next w:val="Text1"/>
    <w:pPr>
      <w:numPr>
        <w:ilvl w:val="3"/>
        <w:numId w:val="1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20"/>
      </w:numPr>
    </w:pPr>
  </w:style>
  <w:style w:type="paragraph" w:customStyle="1" w:styleId="Point1number">
    <w:name w:val="Point 1 (number)"/>
    <w:basedOn w:val="Normal"/>
    <w:pPr>
      <w:numPr>
        <w:ilvl w:val="2"/>
        <w:numId w:val="120"/>
      </w:numPr>
    </w:pPr>
  </w:style>
  <w:style w:type="paragraph" w:customStyle="1" w:styleId="Point2number">
    <w:name w:val="Point 2 (number)"/>
    <w:basedOn w:val="Normal"/>
    <w:pPr>
      <w:numPr>
        <w:ilvl w:val="4"/>
        <w:numId w:val="120"/>
      </w:numPr>
    </w:pPr>
  </w:style>
  <w:style w:type="paragraph" w:customStyle="1" w:styleId="Point3number">
    <w:name w:val="Point 3 (number)"/>
    <w:basedOn w:val="Normal"/>
    <w:pPr>
      <w:numPr>
        <w:ilvl w:val="6"/>
        <w:numId w:val="120"/>
      </w:numPr>
    </w:pPr>
  </w:style>
  <w:style w:type="paragraph" w:customStyle="1" w:styleId="Point0letter">
    <w:name w:val="Point 0 (letter)"/>
    <w:basedOn w:val="Normal"/>
    <w:pPr>
      <w:numPr>
        <w:ilvl w:val="1"/>
        <w:numId w:val="120"/>
      </w:numPr>
    </w:pPr>
  </w:style>
  <w:style w:type="paragraph" w:customStyle="1" w:styleId="Point1letter">
    <w:name w:val="Point 1 (letter)"/>
    <w:basedOn w:val="Normal"/>
    <w:pPr>
      <w:numPr>
        <w:ilvl w:val="3"/>
        <w:numId w:val="120"/>
      </w:numPr>
    </w:pPr>
  </w:style>
  <w:style w:type="paragraph" w:customStyle="1" w:styleId="Point2letter">
    <w:name w:val="Point 2 (letter)"/>
    <w:basedOn w:val="Normal"/>
    <w:pPr>
      <w:numPr>
        <w:ilvl w:val="5"/>
        <w:numId w:val="120"/>
      </w:numPr>
    </w:pPr>
  </w:style>
  <w:style w:type="paragraph" w:customStyle="1" w:styleId="Point3letter">
    <w:name w:val="Point 3 (letter)"/>
    <w:basedOn w:val="Normal"/>
    <w:pPr>
      <w:numPr>
        <w:ilvl w:val="7"/>
        <w:numId w:val="120"/>
      </w:numPr>
    </w:pPr>
  </w:style>
  <w:style w:type="paragraph" w:customStyle="1" w:styleId="Point4letter">
    <w:name w:val="Point 4 (letter)"/>
    <w:basedOn w:val="Normal"/>
    <w:pPr>
      <w:numPr>
        <w:ilvl w:val="8"/>
        <w:numId w:val="120"/>
      </w:numPr>
    </w:pPr>
  </w:style>
  <w:style w:type="paragraph" w:customStyle="1" w:styleId="Bullet0">
    <w:name w:val="Bullet 0"/>
    <w:basedOn w:val="Normal"/>
    <w:pPr>
      <w:numPr>
        <w:numId w:val="121"/>
      </w:numPr>
    </w:pPr>
  </w:style>
  <w:style w:type="paragraph" w:customStyle="1" w:styleId="Bullet1">
    <w:name w:val="Bullet 1"/>
    <w:basedOn w:val="Normal"/>
    <w:pPr>
      <w:numPr>
        <w:numId w:val="122"/>
      </w:numPr>
    </w:pPr>
  </w:style>
  <w:style w:type="paragraph" w:customStyle="1" w:styleId="Bullet2">
    <w:name w:val="Bullet 2"/>
    <w:basedOn w:val="Normal"/>
    <w:pPr>
      <w:numPr>
        <w:numId w:val="123"/>
      </w:numPr>
    </w:pPr>
  </w:style>
  <w:style w:type="paragraph" w:customStyle="1" w:styleId="Bullet3">
    <w:name w:val="Bullet 3"/>
    <w:basedOn w:val="Normal"/>
    <w:pPr>
      <w:numPr>
        <w:numId w:val="124"/>
      </w:numPr>
    </w:pPr>
  </w:style>
  <w:style w:type="paragraph" w:customStyle="1" w:styleId="Bullet4">
    <w:name w:val="Bullet 4"/>
    <w:basedOn w:val="Normal"/>
    <w:pPr>
      <w:numPr>
        <w:numId w:val="1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777220">
      <w:bodyDiv w:val="1"/>
      <w:marLeft w:val="0"/>
      <w:marRight w:val="0"/>
      <w:marTop w:val="0"/>
      <w:marBottom w:val="0"/>
      <w:divBdr>
        <w:top w:val="none" w:sz="0" w:space="0" w:color="auto"/>
        <w:left w:val="none" w:sz="0" w:space="0" w:color="auto"/>
        <w:bottom w:val="none" w:sz="0" w:space="0" w:color="auto"/>
        <w:right w:val="none" w:sz="0" w:space="0" w:color="auto"/>
      </w:divBdr>
    </w:div>
    <w:div w:id="1031489561">
      <w:bodyDiv w:val="1"/>
      <w:marLeft w:val="0"/>
      <w:marRight w:val="0"/>
      <w:marTop w:val="0"/>
      <w:marBottom w:val="0"/>
      <w:divBdr>
        <w:top w:val="none" w:sz="0" w:space="0" w:color="auto"/>
        <w:left w:val="none" w:sz="0" w:space="0" w:color="auto"/>
        <w:bottom w:val="none" w:sz="0" w:space="0" w:color="auto"/>
        <w:right w:val="none" w:sz="0" w:space="0" w:color="auto"/>
      </w:divBdr>
    </w:div>
    <w:div w:id="1364015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image" Target="media/image5.emf"/><Relationship Id="rId3" Type="http://schemas.openxmlformats.org/officeDocument/2006/relationships/styles" Target="styles.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image" Target="media/image4.em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www.cc.cec/budg/leg/internal/leg-070_internal_en.html" TargetMode="Externa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7.emf"/><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5.xml"/><Relationship Id="rId28" Type="http://schemas.openxmlformats.org/officeDocument/2006/relationships/header" Target="header6.xml"/><Relationship Id="rId10" Type="http://schemas.openxmlformats.org/officeDocument/2006/relationships/header" Target="header1.xml"/><Relationship Id="rId19" Type="http://schemas.openxmlformats.org/officeDocument/2006/relationships/image" Target="media/image3.emf"/><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image" Target="media/image6.emf"/><Relationship Id="rId30" Type="http://schemas.openxmlformats.org/officeDocument/2006/relationships/header" Target="header7.xml"/></Relationships>
</file>

<file path=word/_rels/footnotes.xml.rels><?xml version='1.0' encoding='UTF-8' standalone='yes'?>
<Relationships xmlns="http://schemas.openxmlformats.org/package/2006/relationships"><Relationship Id="rId8" Type="http://schemas.openxmlformats.org/officeDocument/2006/relationships/hyperlink" Target="http://eur-lex.europa.eu/legal-content/EN/TXT/?qid=1508936384641&amp;uri=CELEX:32016L0681" TargetMode="External"/><Relationship Id="rId13" Type="http://schemas.openxmlformats.org/officeDocument/2006/relationships/hyperlink" Target="http://ec.europa.eu/transparency/regexpert/index.cfm?do=groupDetail.groupDetailDoc&amp;id=32600&amp;no=1" TargetMode="External"/><Relationship Id="rId3" Type="http://schemas.openxmlformats.org/officeDocument/2006/relationships/hyperlink" Target="http://www.consilium.europa.eu/en/meetings/european-council/2016/12/20161215-euco-conclusions-final_pdf/" TargetMode="External"/><Relationship Id="rId7" Type="http://schemas.openxmlformats.org/officeDocument/2006/relationships/hyperlink" Target="http://eur-lex.europa.eu/legal-content/EN/TXT/?qid=1508936184412&amp;uri=CELEX:32008D0615" TargetMode="External"/><Relationship Id="rId12" Type="http://schemas.openxmlformats.org/officeDocument/2006/relationships/hyperlink" Target="http://www.consilium.europa.eu/sl/press/press-releases/2016/12/15/euco-conclusions-final/" TargetMode="External"/><Relationship Id="rId17" Type="http://schemas.openxmlformats.org/officeDocument/2006/relationships/hyperlink" Target="https://myintracomm.ec.europa.eu/budgweb/FR/man/budgmanag/Pages/budgmanag.aspx" TargetMode="External"/><Relationship Id="rId2" Type="http://schemas.openxmlformats.org/officeDocument/2006/relationships/hyperlink" Target="https://ec.europa.eu/commission/state-union-2016_sl" TargetMode="External"/><Relationship Id="rId16" Type="http://schemas.openxmlformats.org/officeDocument/2006/relationships/hyperlink" Target="http://eur-lex.europa.eu/legal-content/SL/TXT/?uri=CELEX:32016Q0512(01)" TargetMode="External"/><Relationship Id="rId1" Type="http://schemas.openxmlformats.org/officeDocument/2006/relationships/hyperlink" Target="http://www.europarl.europa.eu/oeil/popups/ficheprocedure.do?lang=en&amp;reference=2016/2773(RSP)" TargetMode="External"/><Relationship Id="rId6" Type="http://schemas.openxmlformats.org/officeDocument/2006/relationships/hyperlink" Target="http://www.consilium.europa.eu/media/22186/st10136en17-vf.pdf" TargetMode="External"/><Relationship Id="rId11" Type="http://schemas.openxmlformats.org/officeDocument/2006/relationships/hyperlink" Target="http://www.europarl.europa.eu/oeil/popups/ficheprocedure.do?lang=en&amp;reference=2016/2773(RSP)" TargetMode="External"/><Relationship Id="rId5" Type="http://schemas.openxmlformats.org/officeDocument/2006/relationships/hyperlink" Target="http://www.consilium.europa.eu/media/23980/22-23-euco-final-conclusions-sl.pdf" TargetMode="External"/><Relationship Id="rId15" Type="http://schemas.openxmlformats.org/officeDocument/2006/relationships/hyperlink" Target="http://www.consilium.europa.eu/media/23980/22-23-euco-final-conclusions-sl.pdf" TargetMode="External"/><Relationship Id="rId10" Type="http://schemas.openxmlformats.org/officeDocument/2006/relationships/hyperlink" Target="http://ec.europa.eu/dgs/home-affairs/what-we-do/policies/borders-and-visas/smart-borders/docs/smart_borders_pilot_-_technical_report_annexes_en.pdf" TargetMode="External"/><Relationship Id="rId4" Type="http://schemas.openxmlformats.org/officeDocument/2006/relationships/hyperlink" Target="http://ec.europa.eu/transparency/regexpert/index.cfm?do=groupDetail.groupDetailDoc&amp;id=32600&amp;no=1" TargetMode="External"/><Relationship Id="rId9" Type="http://schemas.openxmlformats.org/officeDocument/2006/relationships/hyperlink" Target="http://ec.europa.eu/transparency/regexpert/index.cfm?do=groupDetail.groupDetailDoc&amp;id=32600&amp;no=1" TargetMode="External"/><Relationship Id="rId14" Type="http://schemas.openxmlformats.org/officeDocument/2006/relationships/hyperlink" Target="http://www.consilium.europa.eu/media/22186/st10136en17-vf.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178034-DC44-4937-BC38-0CC2FA4E3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128</Pages>
  <Words>41485</Words>
  <Characters>243518</Characters>
  <Application>Microsoft Office Word</Application>
  <DocSecurity>0</DocSecurity>
  <Lines>7609</Lines>
  <Paragraphs>3750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281253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19</cp:revision>
  <cp:lastPrinted>2017-12-07T18:02:00Z</cp:lastPrinted>
  <dcterms:created xsi:type="dcterms:W3CDTF">2018-02-13T14:53:00Z</dcterms:created>
  <dcterms:modified xsi:type="dcterms:W3CDTF">2018-02-16T14:50:00Z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