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1A51" w:rsidRDefault="004F76EE" w:rsidP="004F76EE">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FE5EFD5C-E366-402D-8E96-2A9D3E6DF5E4" style="width:450.75pt;height:307.5pt">
            <v:imagedata r:id="rId9" o:title=""/>
          </v:shape>
        </w:pict>
      </w:r>
    </w:p>
    <w:bookmarkEnd w:id="0"/>
    <w:p w:rsidR="004A1A51" w:rsidRDefault="004A1A51">
      <w:pPr>
        <w:spacing w:after="120" w:line="240" w:lineRule="auto"/>
        <w:jc w:val="both"/>
        <w:rPr>
          <w:noProof/>
        </w:rPr>
        <w:sectPr w:rsidR="004A1A51" w:rsidSect="004F76EE">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0"/>
          <w:cols w:space="720"/>
          <w:docGrid w:linePitch="299"/>
        </w:sectPr>
      </w:pPr>
    </w:p>
    <w:p w:rsidR="004A1A51" w:rsidRDefault="004F76EE">
      <w:pPr>
        <w:spacing w:before="120" w:after="240" w:line="240" w:lineRule="auto"/>
        <w:jc w:val="both"/>
        <w:rPr>
          <w:rFonts w:ascii="Times New Roman" w:hAnsi="Times New Roman"/>
          <w:b/>
          <w:noProof/>
          <w:sz w:val="24"/>
          <w:szCs w:val="24"/>
        </w:rPr>
      </w:pPr>
      <w:r>
        <w:rPr>
          <w:rFonts w:ascii="Times New Roman" w:hAnsi="Times New Roman"/>
          <w:b/>
          <w:noProof/>
          <w:sz w:val="24"/>
        </w:rPr>
        <w:lastRenderedPageBreak/>
        <w:t>1.</w:t>
      </w:r>
      <w:r>
        <w:rPr>
          <w:noProof/>
        </w:rPr>
        <w:tab/>
      </w:r>
      <w:r>
        <w:rPr>
          <w:rFonts w:ascii="Times New Roman" w:hAnsi="Times New Roman"/>
          <w:b/>
          <w:noProof/>
          <w:sz w:val="24"/>
        </w:rPr>
        <w:t xml:space="preserve">UVOD </w:t>
      </w:r>
    </w:p>
    <w:p w:rsidR="004A1A51" w:rsidRDefault="004F76EE">
      <w:pPr>
        <w:autoSpaceDE w:val="0"/>
        <w:autoSpaceDN w:val="0"/>
        <w:adjustRightInd w:val="0"/>
        <w:spacing w:before="120" w:after="120" w:line="240" w:lineRule="auto"/>
        <w:jc w:val="both"/>
        <w:rPr>
          <w:rFonts w:ascii="Times New Roman" w:hAnsi="Times New Roman"/>
          <w:noProof/>
          <w:sz w:val="24"/>
          <w:szCs w:val="24"/>
        </w:rPr>
      </w:pPr>
      <w:r>
        <w:rPr>
          <w:rFonts w:ascii="Times New Roman" w:hAnsi="Times New Roman"/>
          <w:noProof/>
          <w:sz w:val="24"/>
        </w:rPr>
        <w:t>Mehanizem za sodelovanje in preverjanje (v nadaljnjem besedilu: MeSP) je bil uveden ob pristopu Romunije k Evropski uniji leta 2007</w:t>
      </w:r>
      <w:r>
        <w:rPr>
          <w:rFonts w:ascii="Times New Roman" w:hAnsi="Times New Roman"/>
          <w:noProof/>
          <w:sz w:val="24"/>
          <w:vertAlign w:val="superscript"/>
        </w:rPr>
        <w:footnoteReference w:id="1"/>
      </w:r>
      <w:r>
        <w:rPr>
          <w:rFonts w:ascii="Times New Roman" w:hAnsi="Times New Roman"/>
          <w:noProof/>
          <w:sz w:val="24"/>
          <w:vertAlign w:val="superscript"/>
        </w:rPr>
        <w:t xml:space="preserve"> </w:t>
      </w:r>
      <w:r>
        <w:rPr>
          <w:rFonts w:ascii="Times New Roman" w:hAnsi="Times New Roman"/>
          <w:noProof/>
          <w:sz w:val="24"/>
        </w:rPr>
        <w:t>za odpravo</w:t>
      </w:r>
      <w:r>
        <w:rPr>
          <w:rFonts w:ascii="Times New Roman" w:hAnsi="Times New Roman"/>
          <w:noProof/>
          <w:sz w:val="24"/>
        </w:rPr>
        <w:t xml:space="preserve"> pomanjkljivosti na področjih reforme pravosodja in boja proti korupciji. Od takrat se v poročilih MeSP navajajo specifična priporočila, ki dajejo usmeritve v podporo prizadevanjem romunskih organov, z njimi pa se spremlja tudi njihov napredek. Kot je poud</w:t>
      </w:r>
      <w:r>
        <w:rPr>
          <w:rFonts w:ascii="Times New Roman" w:hAnsi="Times New Roman"/>
          <w:noProof/>
          <w:sz w:val="24"/>
        </w:rPr>
        <w:t>aril Svet</w:t>
      </w:r>
      <w:r>
        <w:rPr>
          <w:rStyle w:val="FootnoteReference"/>
          <w:rFonts w:ascii="Times New Roman" w:hAnsi="Times New Roman"/>
          <w:noProof/>
          <w:sz w:val="24"/>
        </w:rPr>
        <w:footnoteReference w:id="2"/>
      </w:r>
      <w:r>
        <w:rPr>
          <w:rFonts w:ascii="Times New Roman" w:hAnsi="Times New Roman"/>
          <w:noProof/>
          <w:sz w:val="24"/>
        </w:rPr>
        <w:t>, se bo MeSP prenehal izvajati, ko bodo zadovoljivo izpolnjena vsa štiri merila, ki veljajo za Romunijo.</w:t>
      </w:r>
    </w:p>
    <w:p w:rsidR="004A1A51" w:rsidRDefault="004F76EE">
      <w:pPr>
        <w:autoSpaceDE w:val="0"/>
        <w:autoSpaceDN w:val="0"/>
        <w:adjustRightInd w:val="0"/>
        <w:spacing w:before="120" w:after="120" w:line="240" w:lineRule="auto"/>
        <w:jc w:val="both"/>
        <w:rPr>
          <w:rFonts w:ascii="Times New Roman" w:hAnsi="Times New Roman"/>
          <w:noProof/>
          <w:sz w:val="24"/>
          <w:szCs w:val="24"/>
        </w:rPr>
      </w:pPr>
      <w:r>
        <w:rPr>
          <w:rFonts w:ascii="Times New Roman" w:hAnsi="Times New Roman"/>
          <w:noProof/>
          <w:sz w:val="24"/>
        </w:rPr>
        <w:t>V poročilu MeSP iz januarja 2017</w:t>
      </w:r>
      <w:r>
        <w:rPr>
          <w:rStyle w:val="FootnoteReference"/>
          <w:rFonts w:ascii="Times New Roman" w:hAnsi="Times New Roman"/>
          <w:noProof/>
          <w:sz w:val="24"/>
        </w:rPr>
        <w:footnoteReference w:id="3"/>
      </w:r>
      <w:r>
        <w:rPr>
          <w:rFonts w:ascii="Times New Roman" w:hAnsi="Times New Roman"/>
          <w:noProof/>
          <w:sz w:val="24"/>
        </w:rPr>
        <w:t xml:space="preserve"> je Komisija pregledala dosežke, opredelila nerešene izzive ter določila ključne preostale korake, potrebne </w:t>
      </w:r>
      <w:r>
        <w:rPr>
          <w:rFonts w:ascii="Times New Roman" w:hAnsi="Times New Roman"/>
          <w:noProof/>
          <w:sz w:val="24"/>
        </w:rPr>
        <w:t>za dosego ciljev MeSP. V ta namen je Komisija pripravila dvanajst ključnih priporočil, na podlagi katerih se bo, če bodo izpolnjena, postopek MeSP zaključil. V poročilu je bilo poudarjeno, da bo hitrost procesa odvisna od tega, kako hitro bo Romunija sposo</w:t>
      </w:r>
      <w:r>
        <w:rPr>
          <w:rFonts w:ascii="Times New Roman" w:hAnsi="Times New Roman"/>
          <w:noProof/>
          <w:sz w:val="24"/>
        </w:rPr>
        <w:t>bna ta priporočila nepovratno izpolniti, ter tudi, ali se bo uspela izogniti negativnim korakom, ki bi postavljali pod vprašaj napredek, dosežen v preteklih desetih letih.</w:t>
      </w:r>
    </w:p>
    <w:p w:rsidR="004A1A51" w:rsidRDefault="004F76EE">
      <w:pPr>
        <w:spacing w:before="120" w:after="120" w:line="240" w:lineRule="auto"/>
        <w:jc w:val="both"/>
        <w:rPr>
          <w:rFonts w:ascii="Times New Roman" w:hAnsi="Times New Roman"/>
          <w:noProof/>
          <w:sz w:val="24"/>
          <w:szCs w:val="24"/>
        </w:rPr>
      </w:pPr>
      <w:r>
        <w:rPr>
          <w:rFonts w:ascii="Times New Roman" w:hAnsi="Times New Roman"/>
          <w:noProof/>
          <w:sz w:val="24"/>
        </w:rPr>
        <w:t>Zato v tej fazi procesa MeSP to poročilo predstavlja napredek, dosežen pri izpolnjev</w:t>
      </w:r>
      <w:r>
        <w:rPr>
          <w:rFonts w:ascii="Times New Roman" w:hAnsi="Times New Roman"/>
          <w:noProof/>
          <w:sz w:val="24"/>
        </w:rPr>
        <w:t xml:space="preserve">anju priporočil iz poročila iz januarja 2017. To poročilo je tako kot v prejšnjih letih rezultat temeljite analize, ki jo je Komisija izvedla na podlagi tesnega sodelovanja z romunskimi institucijami, pri tem pa je upoštevala tudi prispevke civilne družbe </w:t>
      </w:r>
      <w:r>
        <w:rPr>
          <w:rFonts w:ascii="Times New Roman" w:hAnsi="Times New Roman"/>
          <w:noProof/>
          <w:sz w:val="24"/>
        </w:rPr>
        <w:t>in drugih zainteresiranih strani, vključno z drugimi državami članicami.</w:t>
      </w:r>
    </w:p>
    <w:p w:rsidR="004A1A51" w:rsidRDefault="004F76EE">
      <w:pPr>
        <w:spacing w:before="120" w:after="120" w:line="240" w:lineRule="auto"/>
        <w:jc w:val="both"/>
        <w:rPr>
          <w:rFonts w:ascii="Times New Roman" w:hAnsi="Times New Roman"/>
          <w:noProof/>
          <w:sz w:val="24"/>
          <w:szCs w:val="24"/>
        </w:rPr>
      </w:pPr>
      <w:r>
        <w:rPr>
          <w:rFonts w:ascii="Times New Roman" w:hAnsi="Times New Roman"/>
          <w:noProof/>
          <w:sz w:val="24"/>
        </w:rPr>
        <w:t>Predsednik Jean-Claude Juncker je v svojem govoru o stanju v Uniji septembra 2017 poudaril pomen pravne države in neodvisnosti sodstva</w:t>
      </w:r>
      <w:r>
        <w:rPr>
          <w:rStyle w:val="FootnoteReference"/>
          <w:rFonts w:ascii="Times New Roman" w:hAnsi="Times New Roman"/>
          <w:noProof/>
          <w:sz w:val="24"/>
        </w:rPr>
        <w:footnoteReference w:id="4"/>
      </w:r>
      <w:r>
        <w:rPr>
          <w:noProof/>
        </w:rPr>
        <w:t>,</w:t>
      </w:r>
      <w:r>
        <w:rPr>
          <w:rFonts w:ascii="Times New Roman" w:hAnsi="Times New Roman"/>
          <w:noProof/>
        </w:rPr>
        <w:t xml:space="preserve"> </w:t>
      </w:r>
      <w:r>
        <w:rPr>
          <w:rFonts w:ascii="Times New Roman" w:hAnsi="Times New Roman"/>
          <w:noProof/>
          <w:sz w:val="24"/>
        </w:rPr>
        <w:t>kar morajo spoštovati vse države članice EU, n</w:t>
      </w:r>
      <w:r>
        <w:rPr>
          <w:rFonts w:ascii="Times New Roman" w:hAnsi="Times New Roman"/>
          <w:noProof/>
          <w:sz w:val="24"/>
        </w:rPr>
        <w:t xml:space="preserve">e le tisti, ki sta vključeni v MeSP. Zaradi tega je še pomembneje, da se prepreči ozračje konfrontacij med različnimi vejami države, ki bi imelo škodljive posledice za neodvisnost sodstva, kar je problem, ki je bil opažen v poročilu iz januarja 2017 in ki </w:t>
      </w:r>
      <w:r>
        <w:rPr>
          <w:rFonts w:ascii="Times New Roman" w:hAnsi="Times New Roman"/>
          <w:noProof/>
          <w:sz w:val="24"/>
        </w:rPr>
        <w:t>v referenčnem obdobju tega poročila ni bil odpravljen.</w:t>
      </w:r>
    </w:p>
    <w:p w:rsidR="004A1A51" w:rsidRDefault="004F76EE">
      <w:pPr>
        <w:spacing w:before="120" w:after="120" w:line="240" w:lineRule="auto"/>
        <w:jc w:val="both"/>
        <w:rPr>
          <w:rFonts w:ascii="Times New Roman" w:hAnsi="Times New Roman"/>
          <w:noProof/>
          <w:sz w:val="24"/>
          <w:szCs w:val="24"/>
        </w:rPr>
      </w:pPr>
      <w:r>
        <w:rPr>
          <w:rFonts w:ascii="Times New Roman" w:hAnsi="Times New Roman"/>
          <w:noProof/>
          <w:sz w:val="24"/>
        </w:rPr>
        <w:t xml:space="preserve">Komisija na podlagi svoje analize napredka v Romuniji v celotnem procesu MeSP od leta 2007 in na podlagi napredka, doseženega od objave poročila iz januarja 2017, še vedno meni, da bo Romunija z </w:t>
      </w:r>
      <w:r>
        <w:rPr>
          <w:rFonts w:ascii="Times New Roman" w:hAnsi="Times New Roman"/>
          <w:noProof/>
          <w:sz w:val="24"/>
        </w:rPr>
        <w:t>lojalnim sodelovanjem med državnimi institucijami, odločno politično usmeritvijo, ki bo utrjevala že doseženi napredek, in spoštovanjem neodvisnosti sodstva sposobna izpolniti preostala neizpolnjena priporočila MeSP v bližnji prihodnosti.</w:t>
      </w:r>
    </w:p>
    <w:p w:rsidR="004A1A51" w:rsidRDefault="004F76EE">
      <w:pPr>
        <w:spacing w:before="120" w:after="120" w:line="240" w:lineRule="auto"/>
        <w:jc w:val="both"/>
        <w:rPr>
          <w:rFonts w:ascii="Times New Roman" w:hAnsi="Times New Roman"/>
          <w:noProof/>
          <w:sz w:val="24"/>
          <w:szCs w:val="24"/>
        </w:rPr>
      </w:pPr>
      <w:r>
        <w:rPr>
          <w:rFonts w:ascii="Times New Roman" w:hAnsi="Times New Roman"/>
          <w:noProof/>
          <w:sz w:val="24"/>
        </w:rPr>
        <w:t>Komisija namerava</w:t>
      </w:r>
      <w:r>
        <w:rPr>
          <w:rFonts w:ascii="Times New Roman" w:hAnsi="Times New Roman"/>
          <w:noProof/>
          <w:sz w:val="24"/>
        </w:rPr>
        <w:t xml:space="preserve"> napredek oceniti proti koncu leta 2018 in je pripravljena zagotoviti dodatno pomoč, da bi Romuniji pomagala izvesti neizpolnjena priporočila, da se okrepi nepovratnost napredka, s čimer bi se mehanizem zaključil.</w:t>
      </w:r>
    </w:p>
    <w:p w:rsidR="004A1A51" w:rsidRDefault="004F76EE">
      <w:pPr>
        <w:keepNext/>
        <w:spacing w:before="360" w:after="240" w:line="240" w:lineRule="auto"/>
        <w:ind w:left="567" w:hanging="567"/>
        <w:jc w:val="both"/>
        <w:rPr>
          <w:rFonts w:ascii="Times New Roman" w:hAnsi="Times New Roman"/>
          <w:b/>
          <w:noProof/>
          <w:sz w:val="24"/>
          <w:szCs w:val="24"/>
        </w:rPr>
      </w:pPr>
      <w:r>
        <w:rPr>
          <w:rFonts w:ascii="Times New Roman" w:hAnsi="Times New Roman"/>
          <w:b/>
          <w:noProof/>
          <w:sz w:val="24"/>
        </w:rPr>
        <w:t xml:space="preserve">2. </w:t>
      </w:r>
      <w:r>
        <w:rPr>
          <w:noProof/>
        </w:rPr>
        <w:tab/>
      </w:r>
      <w:r>
        <w:rPr>
          <w:rFonts w:ascii="Times New Roman" w:hAnsi="Times New Roman"/>
          <w:b/>
          <w:noProof/>
          <w:sz w:val="24"/>
        </w:rPr>
        <w:t>SPLOŠNO STANJE</w:t>
      </w:r>
    </w:p>
    <w:p w:rsidR="004A1A51" w:rsidRDefault="004F76EE">
      <w:pPr>
        <w:spacing w:before="120" w:after="120" w:line="240" w:lineRule="auto"/>
        <w:jc w:val="both"/>
        <w:rPr>
          <w:rFonts w:ascii="Times New Roman" w:hAnsi="Times New Roman"/>
          <w:noProof/>
          <w:sz w:val="24"/>
          <w:szCs w:val="24"/>
        </w:rPr>
      </w:pPr>
      <w:r>
        <w:rPr>
          <w:rFonts w:ascii="Times New Roman" w:hAnsi="Times New Roman"/>
          <w:noProof/>
          <w:sz w:val="24"/>
        </w:rPr>
        <w:t>Poročilo iz januarja 2017, ki je ocenjevalo dosežke v desetletnem obdobju, je pokazalo, da je Romunija dosegla velik napredek pri izpolnjevanju meril MeSP. Vzpostavljenih je bilo več ključnih institucij in sprejete veliko pomembne zakonodaje. Ni manjkalo v</w:t>
      </w:r>
      <w:r>
        <w:rPr>
          <w:rFonts w:ascii="Times New Roman" w:hAnsi="Times New Roman"/>
          <w:noProof/>
          <w:sz w:val="24"/>
        </w:rPr>
        <w:t xml:space="preserve">eliko do dokončanja reform kazenskih in civilnih zakonikov. Poročilo je potrdilo, da se je romunski pravosodni sistem temeljito reformiral in da je sodstvo večkrat dokazalo svojo strokovnost, </w:t>
      </w:r>
      <w:r>
        <w:rPr>
          <w:rFonts w:ascii="Times New Roman" w:hAnsi="Times New Roman"/>
          <w:noProof/>
          <w:sz w:val="24"/>
        </w:rPr>
        <w:lastRenderedPageBreak/>
        <w:t>neodvisnost in odgovornost. Ugotovljeno je bilo tudi, da je bilo</w:t>
      </w:r>
      <w:r>
        <w:rPr>
          <w:rFonts w:ascii="Times New Roman" w:hAnsi="Times New Roman"/>
          <w:noProof/>
          <w:sz w:val="24"/>
        </w:rPr>
        <w:t xml:space="preserve"> sprejetih več notranjih zaščitnih ukrepov, ki preprečujejo nenaden preobrat napredka. Dvanajst ključnih priporočil iz poročila iz januarja 2017 je bilo oblikovanih, da bi se odpravile preostale ugotovljene pomanjkljivosti. Večina jih je osredotočena na pr</w:t>
      </w:r>
      <w:r>
        <w:rPr>
          <w:rFonts w:ascii="Times New Roman" w:hAnsi="Times New Roman"/>
          <w:noProof/>
          <w:sz w:val="24"/>
        </w:rPr>
        <w:t>istojnosti in odgovornost, ki se zahtevajo od romunskih organov, ter na notranje zaščitne ukrepe, potrebne za zagotovitev nepovratnosti rezultatov.</w:t>
      </w:r>
    </w:p>
    <w:p w:rsidR="004A1A51" w:rsidRDefault="004F76EE">
      <w:pPr>
        <w:spacing w:before="120" w:after="120" w:line="240" w:lineRule="auto"/>
        <w:jc w:val="both"/>
        <w:rPr>
          <w:rFonts w:ascii="Times New Roman" w:hAnsi="Times New Roman"/>
          <w:noProof/>
          <w:sz w:val="24"/>
          <w:szCs w:val="24"/>
        </w:rPr>
      </w:pPr>
      <w:r>
        <w:rPr>
          <w:rFonts w:ascii="Times New Roman" w:hAnsi="Times New Roman"/>
          <w:noProof/>
          <w:sz w:val="24"/>
        </w:rPr>
        <w:t>Romunska vlada je pozdravila ta pristop in večkrat potrdila svojo zavezanost k izpolnjevanju priporočil MeSP</w:t>
      </w:r>
      <w:r>
        <w:rPr>
          <w:rFonts w:ascii="Times New Roman" w:hAnsi="Times New Roman"/>
          <w:noProof/>
          <w:sz w:val="24"/>
        </w:rPr>
        <w:t xml:space="preserve">. V parlamentu sta tako parlamentarna večina kot tudi opozicija pokazali pripravljenost na konstruktiven dialog in se pozitivno odzvali na nekatera priporočila. </w:t>
      </w:r>
    </w:p>
    <w:p w:rsidR="004A1A51" w:rsidRDefault="004F76EE">
      <w:pPr>
        <w:spacing w:before="120" w:after="120" w:line="240" w:lineRule="auto"/>
        <w:jc w:val="both"/>
        <w:rPr>
          <w:rFonts w:ascii="Times New Roman" w:hAnsi="Times New Roman"/>
          <w:noProof/>
          <w:sz w:val="24"/>
          <w:szCs w:val="24"/>
        </w:rPr>
      </w:pPr>
      <w:r>
        <w:rPr>
          <w:rFonts w:ascii="Times New Roman" w:hAnsi="Times New Roman"/>
          <w:noProof/>
          <w:sz w:val="24"/>
        </w:rPr>
        <w:t xml:space="preserve">Vendar so kljub zavezi vlade, da si bo prizadevala za čimprejšnji zaključek MeSP, na napredek </w:t>
      </w:r>
      <w:r>
        <w:rPr>
          <w:rFonts w:ascii="Times New Roman" w:hAnsi="Times New Roman"/>
          <w:noProof/>
          <w:sz w:val="24"/>
        </w:rPr>
        <w:t xml:space="preserve">pri izpolnjevanju priporočil MeSP iz januarja 2017 vplivale politične razmere. Romunija je v devetih mesecih od poročila iz januarja 2017 zamenjala dve vladi, zaradi vse večjih napetosti med vejami državnih oblasti (parlament, vlada in sodstvo) pa je bilo </w:t>
      </w:r>
      <w:r>
        <w:rPr>
          <w:rFonts w:ascii="Times New Roman" w:hAnsi="Times New Roman"/>
          <w:noProof/>
          <w:sz w:val="24"/>
        </w:rPr>
        <w:t>sodelovanje med njimi vse težje.</w:t>
      </w:r>
    </w:p>
    <w:p w:rsidR="004A1A51" w:rsidRDefault="004F76EE">
      <w:pPr>
        <w:spacing w:before="120" w:after="120" w:line="240" w:lineRule="auto"/>
        <w:jc w:val="both"/>
        <w:rPr>
          <w:rFonts w:ascii="Times New Roman" w:hAnsi="Times New Roman"/>
          <w:noProof/>
          <w:sz w:val="24"/>
          <w:szCs w:val="24"/>
        </w:rPr>
      </w:pPr>
      <w:r>
        <w:rPr>
          <w:rFonts w:ascii="Times New Roman" w:hAnsi="Times New Roman"/>
          <w:noProof/>
          <w:sz w:val="24"/>
        </w:rPr>
        <w:t>Poleg tega so pozitivni napredek in nadaljnje dobre rezultate pravosodnih institucij v boju proti korupciji v veliki meri zamajali dogodki, kot sta bila sprejetje izrednega odloka vlade o dekriminalizaciji nekaterih kaznivi</w:t>
      </w:r>
      <w:r>
        <w:rPr>
          <w:rFonts w:ascii="Times New Roman" w:hAnsi="Times New Roman"/>
          <w:noProof/>
          <w:sz w:val="24"/>
        </w:rPr>
        <w:t>h dejanj korupcije, kot je zloraba uradnega položaja, s strani prejšnje vlade in predloga zakona o pomilostitvi</w:t>
      </w:r>
      <w:r>
        <w:rPr>
          <w:rStyle w:val="FootnoteReference"/>
          <w:rFonts w:ascii="Times New Roman" w:hAnsi="Times New Roman"/>
          <w:noProof/>
          <w:sz w:val="24"/>
        </w:rPr>
        <w:footnoteReference w:id="5"/>
      </w:r>
      <w:r>
        <w:rPr>
          <w:rFonts w:ascii="Times New Roman" w:hAnsi="Times New Roman"/>
          <w:noProof/>
          <w:sz w:val="24"/>
        </w:rPr>
        <w:t xml:space="preserve"> januarja 2017</w:t>
      </w:r>
      <w:r>
        <w:rPr>
          <w:noProof/>
        </w:rPr>
        <w:t>.</w:t>
      </w:r>
      <w:r>
        <w:rPr>
          <w:rFonts w:ascii="Times New Roman" w:hAnsi="Times New Roman"/>
          <w:noProof/>
          <w:sz w:val="24"/>
        </w:rPr>
        <w:t xml:space="preserve"> Z močno razširjenimi protesti po vsej Romuniji je bilo izraženo nasprotovanje tem ukrepom. Čeprav sta vlada in parlament izredni</w:t>
      </w:r>
      <w:r>
        <w:rPr>
          <w:rFonts w:ascii="Times New Roman" w:hAnsi="Times New Roman"/>
          <w:noProof/>
          <w:sz w:val="24"/>
        </w:rPr>
        <w:t xml:space="preserve"> odlok razveljavila, so ti dogodki v javnost zasejali dvome. </w:t>
      </w:r>
    </w:p>
    <w:p w:rsidR="004A1A51" w:rsidRDefault="004F76EE">
      <w:pPr>
        <w:spacing w:before="120" w:after="120" w:line="240" w:lineRule="auto"/>
        <w:jc w:val="both"/>
        <w:rPr>
          <w:rFonts w:ascii="Times New Roman" w:hAnsi="Times New Roman"/>
          <w:noProof/>
          <w:sz w:val="24"/>
          <w:szCs w:val="24"/>
        </w:rPr>
      </w:pPr>
      <w:r>
        <w:rPr>
          <w:rFonts w:ascii="Times New Roman" w:hAnsi="Times New Roman"/>
          <w:noProof/>
          <w:sz w:val="24"/>
        </w:rPr>
        <w:t>Polemika se je vnela tudi ob razpravi o predlaganih spremembah pravosodne zakonodaje, ki poteka od konca avgusta. Vrhovni sodni svet je pri posvetovanju dvakrat zavrnil predloge zakonodaje zarad</w:t>
      </w:r>
      <w:r>
        <w:rPr>
          <w:rFonts w:ascii="Times New Roman" w:hAnsi="Times New Roman"/>
          <w:noProof/>
          <w:sz w:val="24"/>
        </w:rPr>
        <w:t>i vprašanj, kot je neodvisnost sodstva</w:t>
      </w:r>
      <w:r>
        <w:rPr>
          <w:rStyle w:val="FootnoteReference"/>
          <w:rFonts w:ascii="Times New Roman" w:hAnsi="Times New Roman"/>
          <w:noProof/>
          <w:sz w:val="24"/>
        </w:rPr>
        <w:footnoteReference w:id="6"/>
      </w:r>
      <w:r>
        <w:rPr>
          <w:noProof/>
        </w:rPr>
        <w:t>.</w:t>
      </w:r>
      <w:r>
        <w:rPr>
          <w:rFonts w:ascii="Times New Roman" w:hAnsi="Times New Roman"/>
          <w:noProof/>
          <w:sz w:val="24"/>
        </w:rPr>
        <w:t xml:space="preserve"> Pomisleke o tem je izrazil predsednik Romunije, pojavili pa so se tudi v civilni družbi. Pripravljena je bila tudi peticija, v kateri je bilo zahtevano, da se spoštuje mnenje vrhovnega sodnega sveta, ki jo je podpis</w:t>
      </w:r>
      <w:r>
        <w:rPr>
          <w:rFonts w:ascii="Times New Roman" w:hAnsi="Times New Roman"/>
          <w:noProof/>
          <w:sz w:val="24"/>
        </w:rPr>
        <w:t>ala večina romunskih sodnikov. Trije pravosodni zakoni iz leta 2004 urejajo status sodnikov in tožilcev ter organizacijo in delovanje sodišč, tožilstev in samega vrhovnega sodnega sveta. Neposredno vplivajo na neodvisnost sodstva in pravosodni sistem na sp</w:t>
      </w:r>
      <w:r>
        <w:rPr>
          <w:rFonts w:ascii="Times New Roman" w:hAnsi="Times New Roman"/>
          <w:noProof/>
          <w:sz w:val="24"/>
        </w:rPr>
        <w:t>lošno, trenutno veljavni zakoni pa so bili pomemben element pozitivne ocene Komisije iz januarja. Nekatere od predlaganih sprememb so zajemale vprašanja, kot so vloga pravosodne inšpekcije, osebna odgovornost sodnikov, pa tudi imenovanje višjih tožilcev. T</w:t>
      </w:r>
      <w:r>
        <w:rPr>
          <w:rFonts w:ascii="Times New Roman" w:hAnsi="Times New Roman"/>
          <w:noProof/>
          <w:sz w:val="24"/>
        </w:rPr>
        <w:t>o so vprašanja, ki se dotikajo neodvisnosti sodstva in pri katerih so spremembe sprožile pomisleke o tem, ali bi bilo treba ponovno preučiti oceno glede napredka na področju neodvisnosti pravosodnega sistema iz poročila iz januarja 2017. Močna negativna re</w:t>
      </w:r>
      <w:r>
        <w:rPr>
          <w:rFonts w:ascii="Times New Roman" w:hAnsi="Times New Roman"/>
          <w:noProof/>
          <w:sz w:val="24"/>
        </w:rPr>
        <w:t>akcija sodstva in delov civilne družbe je izhajala predvsem iz vprašanja neodvisnosti sodstva.</w:t>
      </w:r>
    </w:p>
    <w:p w:rsidR="004A1A51" w:rsidRDefault="004F76EE">
      <w:pPr>
        <w:spacing w:before="120" w:after="120" w:line="240" w:lineRule="auto"/>
        <w:jc w:val="both"/>
        <w:rPr>
          <w:rFonts w:ascii="Times New Roman" w:hAnsi="Times New Roman"/>
          <w:noProof/>
          <w:sz w:val="24"/>
          <w:szCs w:val="24"/>
        </w:rPr>
      </w:pPr>
      <w:r>
        <w:rPr>
          <w:rFonts w:ascii="Times New Roman" w:hAnsi="Times New Roman"/>
          <w:noProof/>
          <w:sz w:val="24"/>
        </w:rPr>
        <w:t>Sposobnost vlade in parlamenta, da zagotovita odprt, pregleden in konstruktiven zakonodajni proces na področju pravosodne zakonodaje, bo ključnega pomena. Splošn</w:t>
      </w:r>
      <w:r>
        <w:rPr>
          <w:rFonts w:ascii="Times New Roman" w:hAnsi="Times New Roman"/>
          <w:noProof/>
          <w:sz w:val="24"/>
        </w:rPr>
        <w:t>o gledano je proces, v katerem se spoštuje neodvisnost sodstva in ustrezno upošteva njegovo mnenje</w:t>
      </w:r>
      <w:r>
        <w:rPr>
          <w:rStyle w:val="FootnoteReference"/>
          <w:rFonts w:ascii="Times New Roman" w:hAnsi="Times New Roman"/>
          <w:noProof/>
          <w:sz w:val="24"/>
        </w:rPr>
        <w:footnoteReference w:id="7"/>
      </w:r>
      <w:r>
        <w:rPr>
          <w:rFonts w:ascii="Times New Roman" w:hAnsi="Times New Roman"/>
          <w:noProof/>
          <w:sz w:val="24"/>
        </w:rPr>
        <w:t>, pri čemer se izhaja tudi iz mnenja Beneške komisije, predpogoj za trajnost reforme in pomemben element pri izpolnjevanju meril MeSP.</w:t>
      </w:r>
    </w:p>
    <w:p w:rsidR="004A1A51" w:rsidRDefault="004F76EE">
      <w:pPr>
        <w:spacing w:before="120" w:after="120" w:line="240" w:lineRule="auto"/>
        <w:jc w:val="both"/>
        <w:rPr>
          <w:rFonts w:ascii="Times New Roman" w:hAnsi="Times New Roman"/>
          <w:noProof/>
          <w:sz w:val="24"/>
          <w:szCs w:val="24"/>
        </w:rPr>
      </w:pPr>
      <w:r>
        <w:rPr>
          <w:rFonts w:ascii="Times New Roman" w:hAnsi="Times New Roman"/>
          <w:noProof/>
          <w:sz w:val="24"/>
        </w:rPr>
        <w:lastRenderedPageBreak/>
        <w:t>Kritika sodstva in sod</w:t>
      </w:r>
      <w:r>
        <w:rPr>
          <w:rFonts w:ascii="Times New Roman" w:hAnsi="Times New Roman"/>
          <w:noProof/>
          <w:sz w:val="24"/>
        </w:rPr>
        <w:t>nih odločb je še vedno problematičen del javne razprave</w:t>
      </w:r>
      <w:r>
        <w:rPr>
          <w:rStyle w:val="FootnoteReference"/>
          <w:rFonts w:ascii="Times New Roman" w:hAnsi="Times New Roman"/>
          <w:noProof/>
          <w:sz w:val="24"/>
        </w:rPr>
        <w:footnoteReference w:id="8"/>
      </w:r>
      <w:r>
        <w:rPr>
          <w:noProof/>
        </w:rPr>
        <w:t>.</w:t>
      </w:r>
      <w:r>
        <w:rPr>
          <w:rFonts w:ascii="Times New Roman" w:hAnsi="Times New Roman"/>
          <w:noProof/>
          <w:sz w:val="24"/>
        </w:rPr>
        <w:t xml:space="preserve"> To je v nasprotju s pozitivnimi ugotovitvami Komisije o vlogi sodnikov pri izvajanju reform</w:t>
      </w:r>
      <w:r>
        <w:rPr>
          <w:rStyle w:val="FootnoteReference"/>
          <w:rFonts w:ascii="Times New Roman" w:hAnsi="Times New Roman"/>
          <w:noProof/>
          <w:sz w:val="24"/>
        </w:rPr>
        <w:footnoteReference w:id="9"/>
      </w:r>
      <w:r>
        <w:rPr>
          <w:rFonts w:ascii="Times New Roman" w:hAnsi="Times New Roman"/>
          <w:noProof/>
          <w:sz w:val="24"/>
        </w:rPr>
        <w:t>, ki jih je podprl Svet</w:t>
      </w:r>
      <w:r>
        <w:rPr>
          <w:rStyle w:val="FootnoteReference"/>
          <w:rFonts w:ascii="Times New Roman" w:hAnsi="Times New Roman"/>
          <w:noProof/>
          <w:sz w:val="24"/>
        </w:rPr>
        <w:footnoteReference w:id="10"/>
      </w:r>
      <w:r>
        <w:rPr>
          <w:rFonts w:ascii="Times New Roman" w:hAnsi="Times New Roman"/>
          <w:noProof/>
          <w:sz w:val="24"/>
        </w:rPr>
        <w:t>, in s potrebo po spoštovanju neodvisnosti sodstva. Sprejemanje in spoštovanje pra</w:t>
      </w:r>
      <w:r>
        <w:rPr>
          <w:rFonts w:ascii="Times New Roman" w:hAnsi="Times New Roman"/>
          <w:noProof/>
          <w:sz w:val="24"/>
        </w:rPr>
        <w:t>vnomočnih sodb ter zagotavljanje, da lahko sodniki neovirano opravljajo svoje službene obveznosti, so bistvenega pomena, tudi za izpolnitev pogoja, določenega v januarskem poročilu.</w:t>
      </w:r>
    </w:p>
    <w:p w:rsidR="004A1A51" w:rsidRDefault="004F76EE">
      <w:pPr>
        <w:keepNext/>
        <w:spacing w:before="360" w:after="240" w:line="240" w:lineRule="auto"/>
        <w:ind w:left="567" w:hanging="567"/>
        <w:jc w:val="both"/>
        <w:rPr>
          <w:rFonts w:ascii="Times New Roman" w:hAnsi="Times New Roman"/>
          <w:b/>
          <w:noProof/>
          <w:sz w:val="24"/>
          <w:szCs w:val="24"/>
        </w:rPr>
      </w:pPr>
      <w:r>
        <w:rPr>
          <w:rFonts w:ascii="Times New Roman" w:hAnsi="Times New Roman"/>
          <w:b/>
          <w:noProof/>
          <w:sz w:val="24"/>
        </w:rPr>
        <w:t>3.</w:t>
      </w:r>
      <w:r>
        <w:rPr>
          <w:noProof/>
        </w:rPr>
        <w:tab/>
      </w:r>
      <w:r>
        <w:rPr>
          <w:rFonts w:ascii="Times New Roman" w:hAnsi="Times New Roman"/>
          <w:b/>
          <w:noProof/>
          <w:sz w:val="24"/>
        </w:rPr>
        <w:t>OCENA NAPREDKA PRI IZPOLNJEVANJU MERIL MeSP NA PODLAGI PRIPOROČIL IZ PO</w:t>
      </w:r>
      <w:r>
        <w:rPr>
          <w:rFonts w:ascii="Times New Roman" w:hAnsi="Times New Roman"/>
          <w:b/>
          <w:noProof/>
          <w:sz w:val="24"/>
        </w:rPr>
        <w:t xml:space="preserve">ROČILA MeSP IZ JANUARJA 2017 </w:t>
      </w:r>
    </w:p>
    <w:p w:rsidR="004A1A51" w:rsidRDefault="004F76EE">
      <w:pPr>
        <w:keepNext/>
        <w:spacing w:before="120" w:after="120" w:line="240" w:lineRule="auto"/>
        <w:jc w:val="both"/>
        <w:rPr>
          <w:rFonts w:ascii="Times New Roman" w:hAnsi="Times New Roman"/>
          <w:b/>
          <w:noProof/>
          <w:sz w:val="24"/>
          <w:szCs w:val="24"/>
        </w:rPr>
      </w:pPr>
      <w:r>
        <w:rPr>
          <w:rFonts w:ascii="Times New Roman" w:hAnsi="Times New Roman"/>
          <w:b/>
          <w:noProof/>
          <w:sz w:val="24"/>
        </w:rPr>
        <w:t xml:space="preserve">3.1 </w:t>
      </w:r>
      <w:r>
        <w:rPr>
          <w:noProof/>
        </w:rPr>
        <w:tab/>
      </w:r>
      <w:r>
        <w:rPr>
          <w:rFonts w:ascii="Times New Roman" w:hAnsi="Times New Roman"/>
          <w:b/>
          <w:noProof/>
          <w:sz w:val="24"/>
        </w:rPr>
        <w:t>Prvo merilo: Neodvisnost sodstva in reforma pravosodja</w:t>
      </w:r>
    </w:p>
    <w:p w:rsidR="004A1A51" w:rsidRDefault="004F76EE">
      <w:pPr>
        <w:keepNext/>
        <w:spacing w:before="120" w:after="120" w:line="240" w:lineRule="auto"/>
        <w:jc w:val="both"/>
        <w:rPr>
          <w:rFonts w:ascii="Times New Roman" w:hAnsi="Times New Roman"/>
          <w:b/>
          <w:i/>
          <w:noProof/>
          <w:sz w:val="24"/>
          <w:szCs w:val="24"/>
        </w:rPr>
      </w:pPr>
      <w:r>
        <w:rPr>
          <w:rFonts w:ascii="Times New Roman" w:hAnsi="Times New Roman"/>
          <w:b/>
          <w:i/>
          <w:noProof/>
          <w:sz w:val="24"/>
        </w:rPr>
        <w:t>3.1.1</w:t>
      </w:r>
      <w:r>
        <w:rPr>
          <w:noProof/>
        </w:rPr>
        <w:tab/>
      </w:r>
      <w:r>
        <w:rPr>
          <w:rFonts w:ascii="Times New Roman" w:hAnsi="Times New Roman"/>
          <w:b/>
          <w:i/>
          <w:noProof/>
          <w:sz w:val="24"/>
        </w:rPr>
        <w:t>Neodvisnost sodstva</w:t>
      </w:r>
    </w:p>
    <w:p w:rsidR="004A1A51" w:rsidRDefault="004F76EE">
      <w:pPr>
        <w:pBdr>
          <w:top w:val="single" w:sz="4" w:space="1" w:color="auto"/>
          <w:left w:val="single" w:sz="4" w:space="4" w:color="auto"/>
          <w:bottom w:val="single" w:sz="4" w:space="1" w:color="auto"/>
          <w:right w:val="single" w:sz="4" w:space="4" w:color="auto"/>
        </w:pBdr>
        <w:spacing w:before="120" w:after="120" w:line="240" w:lineRule="auto"/>
        <w:jc w:val="both"/>
        <w:rPr>
          <w:rFonts w:ascii="Times New Roman" w:hAnsi="Times New Roman"/>
          <w:i/>
          <w:noProof/>
          <w:sz w:val="24"/>
          <w:szCs w:val="24"/>
        </w:rPr>
      </w:pPr>
      <w:r>
        <w:rPr>
          <w:rFonts w:ascii="Times New Roman" w:hAnsi="Times New Roman"/>
          <w:b/>
          <w:i/>
          <w:noProof/>
          <w:sz w:val="24"/>
        </w:rPr>
        <w:t>Priporočilo 1:</w:t>
      </w:r>
      <w:r>
        <w:rPr>
          <w:rFonts w:ascii="Times New Roman" w:hAnsi="Times New Roman"/>
          <w:i/>
          <w:noProof/>
          <w:sz w:val="24"/>
        </w:rPr>
        <w:t xml:space="preserve"> vzpostaviti robusten in neodvisen sistem imenovanja tožilcev na najvišje položaje na podlagi jasnih in preglednih meril ter o</w:t>
      </w:r>
      <w:r>
        <w:rPr>
          <w:rFonts w:ascii="Times New Roman" w:hAnsi="Times New Roman"/>
          <w:i/>
          <w:noProof/>
          <w:sz w:val="24"/>
        </w:rPr>
        <w:t xml:space="preserve">b podpori Beneške komisije. </w:t>
      </w:r>
    </w:p>
    <w:p w:rsidR="004A1A51" w:rsidRDefault="004F76EE">
      <w:pPr>
        <w:pBdr>
          <w:top w:val="single" w:sz="4" w:space="1" w:color="auto"/>
          <w:left w:val="single" w:sz="4" w:space="4" w:color="auto"/>
          <w:bottom w:val="single" w:sz="4" w:space="1" w:color="auto"/>
          <w:right w:val="single" w:sz="4" w:space="4" w:color="auto"/>
        </w:pBdr>
        <w:spacing w:before="120" w:after="120" w:line="240" w:lineRule="auto"/>
        <w:jc w:val="both"/>
        <w:rPr>
          <w:rFonts w:ascii="Times New Roman" w:hAnsi="Times New Roman"/>
          <w:i/>
          <w:noProof/>
          <w:sz w:val="24"/>
          <w:szCs w:val="24"/>
        </w:rPr>
      </w:pPr>
      <w:r>
        <w:rPr>
          <w:rFonts w:ascii="Times New Roman" w:hAnsi="Times New Roman"/>
          <w:b/>
          <w:i/>
          <w:noProof/>
          <w:sz w:val="24"/>
        </w:rPr>
        <w:t>Priporočilo 2</w:t>
      </w:r>
      <w:r>
        <w:rPr>
          <w:rFonts w:ascii="Times New Roman" w:hAnsi="Times New Roman"/>
          <w:i/>
          <w:noProof/>
          <w:sz w:val="24"/>
        </w:rPr>
        <w:t xml:space="preserve">: zagotoviti, da kodeks ravnanja poslancev, ki ga v tem trenutku pripravljajo v parlamentu, vsebuje jasne določbe o vzajemnem spoštovanju med institucijami in o tem, da bi morali poslanci in parlamentarni postopki </w:t>
      </w:r>
      <w:r>
        <w:rPr>
          <w:rFonts w:ascii="Times New Roman" w:hAnsi="Times New Roman"/>
          <w:i/>
          <w:noProof/>
          <w:sz w:val="24"/>
        </w:rPr>
        <w:t>upoštevati neodvisnost sodstva. Podoben kodeks ravnanja bi lahko bil sprejet za ministre.</w:t>
      </w:r>
    </w:p>
    <w:p w:rsidR="004A1A51" w:rsidRDefault="004F76EE">
      <w:pPr>
        <w:keepNext/>
        <w:spacing w:before="120" w:after="120" w:line="240" w:lineRule="auto"/>
        <w:jc w:val="both"/>
        <w:rPr>
          <w:rFonts w:ascii="Times New Roman" w:hAnsi="Times New Roman"/>
          <w:i/>
          <w:noProof/>
          <w:sz w:val="24"/>
          <w:szCs w:val="24"/>
        </w:rPr>
      </w:pPr>
      <w:r>
        <w:rPr>
          <w:rFonts w:ascii="Times New Roman" w:hAnsi="Times New Roman"/>
          <w:i/>
          <w:noProof/>
          <w:sz w:val="24"/>
        </w:rPr>
        <w:t>Imenovanja</w:t>
      </w:r>
    </w:p>
    <w:p w:rsidR="004A1A51" w:rsidRDefault="004F76EE">
      <w:pPr>
        <w:spacing w:before="120" w:after="120" w:line="240" w:lineRule="auto"/>
        <w:jc w:val="both"/>
        <w:rPr>
          <w:rFonts w:ascii="Times New Roman" w:hAnsi="Times New Roman"/>
          <w:noProof/>
          <w:sz w:val="24"/>
          <w:szCs w:val="24"/>
        </w:rPr>
      </w:pPr>
      <w:r>
        <w:rPr>
          <w:rFonts w:ascii="Times New Roman" w:hAnsi="Times New Roman"/>
          <w:noProof/>
          <w:sz w:val="24"/>
        </w:rPr>
        <w:t>Januarja je Komisija</w:t>
      </w:r>
      <w:r>
        <w:rPr>
          <w:rFonts w:ascii="Times New Roman" w:hAnsi="Times New Roman"/>
          <w:b/>
          <w:noProof/>
          <w:sz w:val="24"/>
        </w:rPr>
        <w:t xml:space="preserve"> </w:t>
      </w:r>
      <w:r>
        <w:rPr>
          <w:rFonts w:ascii="Times New Roman" w:hAnsi="Times New Roman"/>
          <w:noProof/>
          <w:sz w:val="24"/>
        </w:rPr>
        <w:t>potrdila svoje priporočilo,</w:t>
      </w:r>
      <w:r>
        <w:rPr>
          <w:rFonts w:ascii="Times New Roman" w:hAnsi="Times New Roman"/>
          <w:b/>
          <w:noProof/>
          <w:sz w:val="24"/>
        </w:rPr>
        <w:t xml:space="preserve"> </w:t>
      </w:r>
      <w:r>
        <w:rPr>
          <w:rFonts w:ascii="Times New Roman" w:hAnsi="Times New Roman"/>
          <w:noProof/>
          <w:sz w:val="24"/>
        </w:rPr>
        <w:t>da bi bilo treba uvesti pregleden sistem imenovanja državnih tožilcev na najvišjih položajih, ki bi temeljil na dosežkih in bi vseboval dovolj zaščitnih ukrepov, ki bi preprečevali politizacijo postopka. Postopek imenovanja državnih tožilcev na najvišjih p</w:t>
      </w:r>
      <w:r>
        <w:rPr>
          <w:rFonts w:ascii="Times New Roman" w:hAnsi="Times New Roman"/>
          <w:noProof/>
          <w:sz w:val="24"/>
        </w:rPr>
        <w:t xml:space="preserve">oložajih je bil ključen del razprave o predlaganih spremembah pravosodne zakonodaje, ki poteka od avgusta. Zajet je bil v prvem negativnem mnenju vrhovnega sodnega sveta iz septembra, potem pa je bil še dodatno spremenjen v trenutnem predlogu.  </w:t>
      </w:r>
    </w:p>
    <w:p w:rsidR="004A1A51" w:rsidRDefault="004F76EE">
      <w:pPr>
        <w:spacing w:before="120" w:after="120" w:line="240" w:lineRule="auto"/>
        <w:jc w:val="both"/>
        <w:rPr>
          <w:rFonts w:ascii="Times New Roman" w:hAnsi="Times New Roman"/>
          <w:noProof/>
          <w:sz w:val="24"/>
          <w:szCs w:val="24"/>
        </w:rPr>
      </w:pPr>
      <w:r>
        <w:rPr>
          <w:rFonts w:ascii="Times New Roman" w:hAnsi="Times New Roman"/>
          <w:noProof/>
          <w:sz w:val="24"/>
        </w:rPr>
        <w:t>Beneška ko</w:t>
      </w:r>
      <w:r>
        <w:rPr>
          <w:rFonts w:ascii="Times New Roman" w:hAnsi="Times New Roman"/>
          <w:noProof/>
          <w:sz w:val="24"/>
        </w:rPr>
        <w:t>misija je priznala, da obstajajo različni modeli imenovanja na položaj vrhovnega državnega tožilca (ali na podobna najvišja tožilska delovna mesta). Vendar je poudarila potrebo po ustreznem ravnotežju, „da se med drugim pridobi zaupanje javnosti in zagotov</w:t>
      </w:r>
      <w:r>
        <w:rPr>
          <w:rFonts w:ascii="Times New Roman" w:hAnsi="Times New Roman"/>
          <w:noProof/>
          <w:sz w:val="24"/>
        </w:rPr>
        <w:t>i ugled v pravosodju in pravni stroki“.</w:t>
      </w:r>
      <w:r>
        <w:rPr>
          <w:rStyle w:val="FootnoteReference"/>
          <w:rFonts w:ascii="Times New Roman" w:hAnsi="Times New Roman"/>
          <w:noProof/>
          <w:sz w:val="24"/>
        </w:rPr>
        <w:footnoteReference w:id="11"/>
      </w:r>
      <w:r>
        <w:rPr>
          <w:rFonts w:ascii="Times New Roman" w:hAnsi="Times New Roman"/>
          <w:noProof/>
          <w:sz w:val="24"/>
        </w:rPr>
        <w:t xml:space="preserve"> Tukaj sta bila v razpravo vključeni vloga predsednika in stopnja diskrecije ministra za pravosodje pri izbiri kandidatov,</w:t>
      </w:r>
      <w:r>
        <w:rPr>
          <w:noProof/>
        </w:rPr>
        <w:t xml:space="preserve"> </w:t>
      </w:r>
      <w:r>
        <w:rPr>
          <w:rFonts w:ascii="Times New Roman" w:hAnsi="Times New Roman"/>
          <w:noProof/>
          <w:sz w:val="24"/>
        </w:rPr>
        <w:t>pa tudi obseg, v katerem bi isti postopek imenovanja in razrešitve veljal na nižjih upravljav</w:t>
      </w:r>
      <w:r>
        <w:rPr>
          <w:rFonts w:ascii="Times New Roman" w:hAnsi="Times New Roman"/>
          <w:noProof/>
          <w:sz w:val="24"/>
        </w:rPr>
        <w:t xml:space="preserve">skih ravneh v okviru tožilstva. </w:t>
      </w:r>
    </w:p>
    <w:p w:rsidR="004A1A51" w:rsidRDefault="004F76EE">
      <w:pPr>
        <w:spacing w:before="120" w:after="120" w:line="240" w:lineRule="auto"/>
        <w:jc w:val="both"/>
        <w:rPr>
          <w:rFonts w:ascii="Times New Roman" w:eastAsia="SimSun" w:hAnsi="Times New Roman"/>
          <w:noProof/>
          <w:sz w:val="24"/>
          <w:szCs w:val="24"/>
        </w:rPr>
      </w:pPr>
      <w:r>
        <w:rPr>
          <w:rFonts w:ascii="Times New Roman" w:hAnsi="Times New Roman"/>
          <w:noProof/>
          <w:sz w:val="24"/>
        </w:rPr>
        <w:t>V priporočilu iz januarja je bilo izpostavljeno, da se je treba opreti na podporo Beneške komisije, ki bi prispevala k zaključku te dolgotrajne razprave</w:t>
      </w:r>
      <w:r>
        <w:rPr>
          <w:rStyle w:val="FootnoteReference"/>
          <w:rFonts w:ascii="Times New Roman" w:hAnsi="Times New Roman"/>
          <w:noProof/>
          <w:sz w:val="24"/>
        </w:rPr>
        <w:footnoteReference w:id="12"/>
      </w:r>
      <w:r>
        <w:rPr>
          <w:noProof/>
        </w:rPr>
        <w:t>.</w:t>
      </w:r>
      <w:r>
        <w:rPr>
          <w:rFonts w:ascii="Times New Roman" w:hAnsi="Times New Roman"/>
          <w:noProof/>
          <w:sz w:val="24"/>
        </w:rPr>
        <w:t xml:space="preserve"> . Priporočilo še vedno zahteva, da se Romunija posvetuje z Beneško komisijo.</w:t>
      </w:r>
    </w:p>
    <w:p w:rsidR="004A1A51" w:rsidRDefault="004F76EE">
      <w:pPr>
        <w:spacing w:before="120" w:after="120" w:line="240" w:lineRule="auto"/>
        <w:jc w:val="both"/>
        <w:rPr>
          <w:rFonts w:ascii="Times New Roman" w:hAnsi="Times New Roman"/>
          <w:noProof/>
          <w:sz w:val="24"/>
          <w:szCs w:val="24"/>
        </w:rPr>
      </w:pPr>
      <w:r>
        <w:rPr>
          <w:rFonts w:ascii="Times New Roman" w:hAnsi="Times New Roman"/>
          <w:noProof/>
          <w:sz w:val="24"/>
        </w:rPr>
        <w:t>Za izpolnitev tega priporočila bo treba tudi sprejeti ustrezne zaščitne ukrepe v smislu preglednosti, neodvisnosti ter sistema nadzora in ravnotežja, tudi če bi dokončna odločite</w:t>
      </w:r>
      <w:r>
        <w:rPr>
          <w:rFonts w:ascii="Times New Roman" w:hAnsi="Times New Roman"/>
          <w:noProof/>
          <w:sz w:val="24"/>
        </w:rPr>
        <w:t>v o imenovanju še vedno vključevala politično raven.</w:t>
      </w:r>
    </w:p>
    <w:p w:rsidR="004A1A51" w:rsidRDefault="004F76EE">
      <w:pPr>
        <w:keepNext/>
        <w:spacing w:before="120" w:after="120" w:line="240" w:lineRule="auto"/>
        <w:jc w:val="both"/>
        <w:rPr>
          <w:rFonts w:ascii="Times New Roman" w:hAnsi="Times New Roman"/>
          <w:noProof/>
          <w:sz w:val="24"/>
          <w:szCs w:val="24"/>
        </w:rPr>
      </w:pPr>
      <w:r>
        <w:rPr>
          <w:rFonts w:ascii="Times New Roman" w:hAnsi="Times New Roman"/>
          <w:i/>
          <w:noProof/>
          <w:sz w:val="24"/>
        </w:rPr>
        <w:t>Kodeksi ravnanja</w:t>
      </w:r>
    </w:p>
    <w:p w:rsidR="004A1A51" w:rsidRDefault="004F76EE">
      <w:pPr>
        <w:spacing w:before="120" w:after="120" w:line="240" w:lineRule="auto"/>
        <w:jc w:val="both"/>
        <w:rPr>
          <w:rFonts w:ascii="Times New Roman" w:hAnsi="Times New Roman"/>
          <w:noProof/>
          <w:sz w:val="24"/>
          <w:szCs w:val="24"/>
        </w:rPr>
      </w:pPr>
      <w:r>
        <w:rPr>
          <w:rFonts w:ascii="Times New Roman" w:hAnsi="Times New Roman"/>
          <w:noProof/>
          <w:sz w:val="24"/>
        </w:rPr>
        <w:t>Kritika pravosodnega sistema in sodnikov v medijih je bila od zadnjega poročila MeSP še posebej ostra. To potrjuje utemeljenost priporočil, na podlagi katerih bi bilo treba zagotoviti, d</w:t>
      </w:r>
      <w:r>
        <w:rPr>
          <w:rFonts w:ascii="Times New Roman" w:hAnsi="Times New Roman"/>
          <w:noProof/>
          <w:sz w:val="24"/>
        </w:rPr>
        <w:t>a se sprejmejo ukrepi za odvračanje od vedenja, s katerim se vzbujajo dvomi o neodvisnosti sodstva in veljavnosti sodnih odločb. Nepravilnosti so se poskušale odpraviti prek vrhovnega sodnega sveta in prek posameznih sodnikov, ki so vložili lastne tožbe pr</w:t>
      </w:r>
      <w:r>
        <w:rPr>
          <w:rFonts w:ascii="Times New Roman" w:hAnsi="Times New Roman"/>
          <w:noProof/>
          <w:sz w:val="24"/>
        </w:rPr>
        <w:t>ed sodišči. Vendar si je priporočilo Komisije prizadevalo doseči institucionalno priznanje problema ter sprejetje sklepa, da se sprejmejo ukrepi za njegovo rešitev. Iz tega je izhajalo priporočilo za sprejetje parlamentarnega kodeksa ravnanja, ki bi vključ</w:t>
      </w:r>
      <w:r>
        <w:rPr>
          <w:rFonts w:ascii="Times New Roman" w:hAnsi="Times New Roman"/>
          <w:noProof/>
          <w:sz w:val="24"/>
        </w:rPr>
        <w:t>eval določbe o spoštovanju neodvisnosti sodstva.</w:t>
      </w:r>
    </w:p>
    <w:p w:rsidR="004A1A51" w:rsidRDefault="004F76EE">
      <w:pPr>
        <w:spacing w:before="120" w:after="120" w:line="240" w:lineRule="auto"/>
        <w:jc w:val="both"/>
        <w:rPr>
          <w:rFonts w:ascii="Times New Roman" w:hAnsi="Times New Roman"/>
          <w:noProof/>
          <w:sz w:val="24"/>
          <w:szCs w:val="24"/>
        </w:rPr>
      </w:pPr>
      <w:r>
        <w:rPr>
          <w:rFonts w:ascii="Times New Roman" w:hAnsi="Times New Roman"/>
          <w:noProof/>
          <w:sz w:val="24"/>
        </w:rPr>
        <w:t>Parlament je kodeks ravnanja sprejel 11. oktobra 2017. Vključitev splošne določbe o spoštovanju delitve oblasti je pozitiven korak. Čeprav ni bilo udejanjeno priporočilo Komisije, naj se določba izrecno nana</w:t>
      </w:r>
      <w:r>
        <w:rPr>
          <w:rFonts w:ascii="Times New Roman" w:hAnsi="Times New Roman"/>
          <w:noProof/>
          <w:sz w:val="24"/>
        </w:rPr>
        <w:t>ša na neodvisnost sodstva, bi se lahko pri izvajanju kodeksa enak učinek dosegel na različne načine. Naslednji korak bo zato preučitev praktičnega učinka kodeksa v smislu opredelitev, katera dejanja bi prestopala meje, ki jih ta določa, in kateri ukrepi se</w:t>
      </w:r>
      <w:r>
        <w:rPr>
          <w:rFonts w:ascii="Times New Roman" w:hAnsi="Times New Roman"/>
          <w:noProof/>
          <w:sz w:val="24"/>
        </w:rPr>
        <w:t xml:space="preserve"> sprejmejo, če se te meje prestopijo. Koristno bi bilo, če bi se na primer skupaj s kodeksom ravnanja pripravili smernice, primeri in ukrepi ozaveščanja o tem, kako ravnati v konkretnih situacijah</w:t>
      </w:r>
      <w:r>
        <w:rPr>
          <w:rFonts w:ascii="Times New Roman" w:hAnsi="Times New Roman"/>
          <w:noProof/>
          <w:sz w:val="24"/>
          <w:vertAlign w:val="superscript"/>
        </w:rPr>
        <w:footnoteReference w:id="13"/>
      </w:r>
      <w:r>
        <w:rPr>
          <w:rFonts w:ascii="Times New Roman" w:hAnsi="Times New Roman"/>
          <w:noProof/>
          <w:sz w:val="24"/>
        </w:rPr>
        <w:t>, ki bi pripomogli k temu, da bi kodeks postal učinkovito o</w:t>
      </w:r>
      <w:r>
        <w:rPr>
          <w:rFonts w:ascii="Times New Roman" w:hAnsi="Times New Roman"/>
          <w:noProof/>
          <w:sz w:val="24"/>
        </w:rPr>
        <w:t>rodje pri zmanjševanju javne kritike sodnikov in povečevanju ugleda pravosodja in sodnih odločb. Tako se na primer lahko pričakuje, da kadar koli vrhovni sodni svet obsodi izjavo posameznega poslanca, v kateri ta kritizira sodnika ali pravosodni sistem, pa</w:t>
      </w:r>
      <w:r>
        <w:rPr>
          <w:rFonts w:ascii="Times New Roman" w:hAnsi="Times New Roman"/>
          <w:noProof/>
          <w:sz w:val="24"/>
        </w:rPr>
        <w:t xml:space="preserve">rlament sprejme jasne nadaljnje ukrepe, da bi presodil, ali je bil kodeks kršen. </w:t>
      </w:r>
    </w:p>
    <w:p w:rsidR="004A1A51" w:rsidRDefault="004F76EE">
      <w:pPr>
        <w:spacing w:before="120" w:after="120" w:line="240" w:lineRule="auto"/>
        <w:jc w:val="both"/>
        <w:rPr>
          <w:rFonts w:ascii="Times New Roman" w:hAnsi="Times New Roman"/>
          <w:noProof/>
          <w:sz w:val="24"/>
          <w:szCs w:val="24"/>
        </w:rPr>
      </w:pPr>
      <w:r>
        <w:rPr>
          <w:rFonts w:ascii="Times New Roman" w:hAnsi="Times New Roman"/>
          <w:noProof/>
          <w:sz w:val="24"/>
        </w:rPr>
        <w:t>V poročilu iz januarja je bilo tudi predlagano, da bi lahko bilo koristno, če bi vlada sprejela kodeks ravnanja za ministre. Julija 2017 je novo imenovana vlada sprejela mini</w:t>
      </w:r>
      <w:r>
        <w:rPr>
          <w:rFonts w:ascii="Times New Roman" w:hAnsi="Times New Roman"/>
          <w:noProof/>
          <w:sz w:val="24"/>
        </w:rPr>
        <w:t>strski kodeks ravnanja, ki vključuje podobno določbo o spoštovanju delitve oblasti.</w:t>
      </w:r>
    </w:p>
    <w:p w:rsidR="004A1A51" w:rsidRDefault="004F76EE">
      <w:pPr>
        <w:spacing w:after="0" w:line="240" w:lineRule="auto"/>
        <w:jc w:val="both"/>
        <w:rPr>
          <w:rFonts w:ascii="Times New Roman" w:hAnsi="Times New Roman"/>
          <w:noProof/>
          <w:sz w:val="24"/>
          <w:szCs w:val="24"/>
        </w:rPr>
      </w:pPr>
      <w:r>
        <w:rPr>
          <w:rFonts w:ascii="Times New Roman" w:hAnsi="Times New Roman"/>
          <w:noProof/>
          <w:sz w:val="24"/>
        </w:rPr>
        <w:t>Izvajanje kodeksa ravnanja v praksi v smislu reakcij na kritike pravosodja s strani poslancev in vlade je zato tudi pomembno.</w:t>
      </w:r>
    </w:p>
    <w:p w:rsidR="004A1A51" w:rsidRPr="004F76EE" w:rsidRDefault="004F76EE">
      <w:pPr>
        <w:keepNext/>
        <w:spacing w:before="240" w:after="120" w:line="240" w:lineRule="auto"/>
        <w:jc w:val="both"/>
        <w:rPr>
          <w:rFonts w:ascii="Times New Roman" w:hAnsi="Times New Roman"/>
          <w:b/>
          <w:i/>
          <w:noProof/>
          <w:sz w:val="24"/>
          <w:szCs w:val="24"/>
        </w:rPr>
      </w:pPr>
      <w:bookmarkStart w:id="1" w:name="_GoBack"/>
      <w:r w:rsidRPr="004F76EE">
        <w:rPr>
          <w:rFonts w:ascii="Times New Roman" w:hAnsi="Times New Roman"/>
          <w:b/>
          <w:i/>
          <w:noProof/>
          <w:sz w:val="24"/>
        </w:rPr>
        <w:t xml:space="preserve">3.1.2 </w:t>
      </w:r>
      <w:r w:rsidRPr="004F76EE">
        <w:rPr>
          <w:i/>
          <w:noProof/>
        </w:rPr>
        <w:tab/>
      </w:r>
      <w:r w:rsidRPr="004F76EE">
        <w:rPr>
          <w:rFonts w:ascii="Times New Roman" w:hAnsi="Times New Roman"/>
          <w:b/>
          <w:i/>
          <w:noProof/>
          <w:sz w:val="24"/>
        </w:rPr>
        <w:t>Reforma pravosodja</w:t>
      </w:r>
    </w:p>
    <w:bookmarkEnd w:id="1"/>
    <w:p w:rsidR="004A1A51" w:rsidRDefault="004F76EE">
      <w:pPr>
        <w:pBdr>
          <w:top w:val="single" w:sz="4" w:space="1" w:color="auto"/>
          <w:left w:val="single" w:sz="4" w:space="4" w:color="auto"/>
          <w:bottom w:val="single" w:sz="4" w:space="1" w:color="auto"/>
          <w:right w:val="single" w:sz="4" w:space="4" w:color="auto"/>
        </w:pBdr>
        <w:spacing w:before="120" w:after="120" w:line="240" w:lineRule="auto"/>
        <w:jc w:val="both"/>
        <w:rPr>
          <w:rFonts w:ascii="Times New Roman" w:hAnsi="Times New Roman"/>
          <w:i/>
          <w:noProof/>
          <w:sz w:val="24"/>
          <w:szCs w:val="24"/>
        </w:rPr>
      </w:pPr>
      <w:r>
        <w:rPr>
          <w:rFonts w:ascii="Times New Roman" w:hAnsi="Times New Roman"/>
          <w:b/>
          <w:i/>
          <w:noProof/>
          <w:sz w:val="24"/>
        </w:rPr>
        <w:t>Priporočilo 3</w:t>
      </w:r>
      <w:r>
        <w:rPr>
          <w:rFonts w:ascii="Times New Roman" w:hAnsi="Times New Roman"/>
          <w:i/>
          <w:noProof/>
          <w:sz w:val="24"/>
        </w:rPr>
        <w:t>: treba</w:t>
      </w:r>
      <w:r>
        <w:rPr>
          <w:rFonts w:ascii="Times New Roman" w:hAnsi="Times New Roman"/>
          <w:i/>
          <w:noProof/>
          <w:sz w:val="24"/>
        </w:rPr>
        <w:t xml:space="preserve"> bi bilo zaključiti trenutno fazo reforme romunskih kazenskih zakonikov, pri čemer bi moral parlament po posvetovanju s pravosodnimi organi uresničiti svoje načrte glede sprejetja sprememb, ki jih je predstavila vlada v letu 2016. Minister za pravosodje, v</w:t>
      </w:r>
      <w:r>
        <w:rPr>
          <w:rFonts w:ascii="Times New Roman" w:hAnsi="Times New Roman"/>
          <w:i/>
          <w:noProof/>
          <w:sz w:val="24"/>
        </w:rPr>
        <w:t>rhovni sodni svet</w:t>
      </w:r>
      <w:r>
        <w:rPr>
          <w:rFonts w:ascii="Times New Roman" w:eastAsiaTheme="minorHAnsi" w:hAnsi="Times New Roman"/>
          <w:noProof/>
          <w:sz w:val="24"/>
        </w:rPr>
        <w:t xml:space="preserve"> </w:t>
      </w:r>
      <w:r>
        <w:rPr>
          <w:rFonts w:ascii="Times New Roman" w:hAnsi="Times New Roman"/>
          <w:i/>
          <w:noProof/>
          <w:sz w:val="24"/>
        </w:rPr>
        <w:t>in vrhovno kasacijsko sodišče bi morali dokončno oblikovati akcijski načrt, da bi se zagotovilo spoštovanje novega roka za izvedbo preostalih določb zakonika o civilnem postopku.</w:t>
      </w:r>
    </w:p>
    <w:p w:rsidR="004A1A51" w:rsidRDefault="004F76EE">
      <w:pPr>
        <w:pBdr>
          <w:top w:val="single" w:sz="4" w:space="1" w:color="auto"/>
          <w:left w:val="single" w:sz="4" w:space="4" w:color="auto"/>
          <w:bottom w:val="single" w:sz="4" w:space="1" w:color="auto"/>
          <w:right w:val="single" w:sz="4" w:space="4" w:color="auto"/>
        </w:pBdr>
        <w:spacing w:before="120" w:after="120" w:line="240" w:lineRule="auto"/>
        <w:jc w:val="both"/>
        <w:rPr>
          <w:rFonts w:ascii="Times New Roman" w:hAnsi="Times New Roman"/>
          <w:i/>
          <w:noProof/>
          <w:sz w:val="24"/>
          <w:szCs w:val="24"/>
        </w:rPr>
      </w:pPr>
      <w:r>
        <w:rPr>
          <w:rFonts w:ascii="Times New Roman" w:hAnsi="Times New Roman"/>
          <w:b/>
          <w:i/>
          <w:noProof/>
          <w:sz w:val="24"/>
        </w:rPr>
        <w:t>Priporočilo 4</w:t>
      </w:r>
      <w:r>
        <w:rPr>
          <w:rFonts w:ascii="Times New Roman" w:hAnsi="Times New Roman"/>
          <w:i/>
          <w:noProof/>
          <w:sz w:val="24"/>
        </w:rPr>
        <w:t xml:space="preserve">: da bi se dodatno izboljšali preglednost in </w:t>
      </w:r>
      <w:r>
        <w:rPr>
          <w:rFonts w:ascii="Times New Roman" w:hAnsi="Times New Roman"/>
          <w:i/>
          <w:noProof/>
          <w:sz w:val="24"/>
        </w:rPr>
        <w:t xml:space="preserve">predvidljivost zakonodajnega postopka ter se okrepili notranji zaščitni ukrepi za zagotovitev nepovratnosti, bi morala vlada in parlament zagotoviti popolno preglednost in ustrezno upoštevati posvetovanja z zadevnimi organi in zainteresiranimi stranmi pri </w:t>
      </w:r>
      <w:r>
        <w:rPr>
          <w:rFonts w:ascii="Times New Roman" w:hAnsi="Times New Roman"/>
          <w:i/>
          <w:noProof/>
          <w:sz w:val="24"/>
        </w:rPr>
        <w:t>odločanju in zakonodajni dejavnosti na področju kazenskega zakonika in zakonika o kazenskem postopku, protikorupcijske zakonodaje, zakonodaje o integriteti (nezdružljivosti opravljanja funkcij, navzkrižja interesov in neupravičeno premoženje), zakonodaje o</w:t>
      </w:r>
      <w:r>
        <w:rPr>
          <w:rFonts w:ascii="Times New Roman" w:hAnsi="Times New Roman"/>
          <w:i/>
          <w:noProof/>
          <w:sz w:val="24"/>
        </w:rPr>
        <w:t xml:space="preserve"> pravosodju (zakonodaja, ki se nanaša na organizacijo pravosodnega sistema) ter civilnega zakonika in zakonika o civilnem postopku, pri čemer je lahko vzor preglednost odločanja, ki jo je uvedla vlada v letu 2016.</w:t>
      </w:r>
    </w:p>
    <w:p w:rsidR="004A1A51" w:rsidRDefault="004F76EE">
      <w:pPr>
        <w:keepNext/>
        <w:spacing w:before="120" w:after="120" w:line="240" w:lineRule="auto"/>
        <w:jc w:val="both"/>
        <w:rPr>
          <w:rFonts w:ascii="Times New Roman" w:hAnsi="Times New Roman"/>
          <w:i/>
          <w:noProof/>
          <w:sz w:val="24"/>
          <w:szCs w:val="24"/>
        </w:rPr>
      </w:pPr>
      <w:r>
        <w:rPr>
          <w:rFonts w:ascii="Times New Roman" w:hAnsi="Times New Roman"/>
          <w:i/>
          <w:noProof/>
          <w:sz w:val="24"/>
        </w:rPr>
        <w:t>Novi zakoniki</w:t>
      </w:r>
    </w:p>
    <w:p w:rsidR="004A1A51" w:rsidRDefault="004F76EE">
      <w:pPr>
        <w:spacing w:before="120" w:after="120" w:line="240" w:lineRule="auto"/>
        <w:jc w:val="both"/>
        <w:rPr>
          <w:rFonts w:ascii="Times New Roman" w:eastAsia="Times New Roman" w:hAnsi="Times New Roman"/>
          <w:noProof/>
          <w:sz w:val="24"/>
          <w:szCs w:val="24"/>
        </w:rPr>
      </w:pPr>
      <w:r>
        <w:rPr>
          <w:rFonts w:ascii="Times New Roman" w:hAnsi="Times New Roman"/>
          <w:noProof/>
          <w:sz w:val="24"/>
        </w:rPr>
        <w:t>V letu 2017 je prišlo do več</w:t>
      </w:r>
      <w:r>
        <w:rPr>
          <w:rFonts w:ascii="Times New Roman" w:hAnsi="Times New Roman"/>
          <w:noProof/>
          <w:sz w:val="24"/>
        </w:rPr>
        <w:t xml:space="preserve"> sprememb v zvezi z kazenskim zakonikom in zakonikom o kazenskem postopku. Čeprav so nekatere od teh sprememb skladne s cilji, na katerih temeljijo priporočila Komisije, so druge otežile dosego cilja zagotavljanja večje varnosti in stabilnosti pri reformi </w:t>
      </w:r>
      <w:r>
        <w:rPr>
          <w:rFonts w:ascii="Times New Roman" w:hAnsi="Times New Roman"/>
          <w:noProof/>
          <w:sz w:val="24"/>
        </w:rPr>
        <w:t>zakonikov. Opozoriti je treba, da se veliko razprav v zvezi s kazenskimi zakoniki osredotoča na določbe, ki zadevajo kazniva dejanja korupcije na visoki ravni.</w:t>
      </w:r>
    </w:p>
    <w:p w:rsidR="004A1A51" w:rsidRDefault="004F76EE">
      <w:pPr>
        <w:spacing w:before="120" w:after="120" w:line="240" w:lineRule="auto"/>
        <w:jc w:val="both"/>
        <w:rPr>
          <w:rFonts w:ascii="Times New Roman" w:eastAsia="Times New Roman" w:hAnsi="Times New Roman"/>
          <w:noProof/>
          <w:sz w:val="24"/>
          <w:szCs w:val="24"/>
        </w:rPr>
      </w:pPr>
      <w:r>
        <w:rPr>
          <w:rFonts w:ascii="Times New Roman" w:eastAsiaTheme="minorHAnsi" w:hAnsi="Times New Roman"/>
          <w:noProof/>
          <w:sz w:val="24"/>
        </w:rPr>
        <w:t>Priporočilo glede zaključka trenutne faze reforme romunskih kazenskih zakonikov še ni izpolnjeno</w:t>
      </w:r>
      <w:r>
        <w:rPr>
          <w:rFonts w:ascii="Times New Roman" w:eastAsiaTheme="minorHAnsi" w:hAnsi="Times New Roman"/>
          <w:noProof/>
          <w:sz w:val="24"/>
        </w:rPr>
        <w:t>. Parlament doslej ni sprejel še nobenega predloga sprememb, ki jih je predlagala vlada leta 2016 in so bili pripravljeni na podlagi obsežnih posvetovanj s pravosodnimi organi</w:t>
      </w:r>
      <w:r>
        <w:rPr>
          <w:rFonts w:ascii="Times New Roman" w:eastAsiaTheme="minorHAnsi" w:hAnsi="Times New Roman"/>
          <w:noProof/>
          <w:sz w:val="24"/>
          <w:vertAlign w:val="superscript"/>
        </w:rPr>
        <w:footnoteReference w:id="14"/>
      </w:r>
      <w:r>
        <w:rPr>
          <w:rFonts w:ascii="Times New Roman" w:eastAsiaTheme="minorHAnsi" w:hAnsi="Times New Roman"/>
          <w:noProof/>
          <w:sz w:val="24"/>
        </w:rPr>
        <w:t xml:space="preserve">. Vendar je parlament sprejel druge spremembe kazenskega zakonika, zlasti tiste </w:t>
      </w:r>
      <w:r>
        <w:rPr>
          <w:rFonts w:ascii="Times New Roman" w:eastAsiaTheme="minorHAnsi" w:hAnsi="Times New Roman"/>
          <w:noProof/>
          <w:sz w:val="24"/>
        </w:rPr>
        <w:t>z učinkom dekriminalizacije navzkrižja interesov</w:t>
      </w:r>
      <w:r>
        <w:rPr>
          <w:rStyle w:val="FootnoteReference"/>
          <w:rFonts w:ascii="Times New Roman" w:eastAsiaTheme="minorHAnsi" w:hAnsi="Times New Roman"/>
          <w:noProof/>
          <w:sz w:val="24"/>
        </w:rPr>
        <w:footnoteReference w:id="15"/>
      </w:r>
      <w:r>
        <w:rPr>
          <w:noProof/>
        </w:rPr>
        <w:t>.</w:t>
      </w:r>
    </w:p>
    <w:p w:rsidR="004A1A51" w:rsidRDefault="004F76EE">
      <w:pPr>
        <w:spacing w:before="120" w:after="120" w:line="240" w:lineRule="auto"/>
        <w:jc w:val="both"/>
        <w:rPr>
          <w:rFonts w:ascii="Times New Roman" w:hAnsi="Times New Roman"/>
          <w:noProof/>
          <w:sz w:val="24"/>
          <w:szCs w:val="24"/>
        </w:rPr>
      </w:pPr>
      <w:r>
        <w:rPr>
          <w:rFonts w:ascii="Times New Roman" w:hAnsi="Times New Roman"/>
          <w:noProof/>
          <w:sz w:val="24"/>
        </w:rPr>
        <w:t>Zaradi hitrih zaporednih odločitev ustavnega sodišča, s katerimi so bile določbe zakonikov razglašene za neustavne, je bilo zagotavljanje stabilnosti še bolj ogroženo. Ministrstvo za pravosodje je začelo t</w:t>
      </w:r>
      <w:r>
        <w:rPr>
          <w:rFonts w:ascii="Times New Roman" w:hAnsi="Times New Roman"/>
          <w:noProof/>
          <w:sz w:val="24"/>
        </w:rPr>
        <w:t>o vprašanje reševati s posvetovanji s pravosodnimi organi, pravnimi strokovnjaki in civilno družbo, vlada pa je nakazala svojo namero, da bo sprejela ustrezne spremembe. Vendar nobena od teh predlaganih sprememb še ni bila uzakonjena in take zamude lahko p</w:t>
      </w:r>
      <w:r>
        <w:rPr>
          <w:rFonts w:ascii="Times New Roman" w:hAnsi="Times New Roman"/>
          <w:noProof/>
          <w:sz w:val="24"/>
        </w:rPr>
        <w:t>rivedejo do različnih razlag. Hitro in dosledno odzivanje na potrebo po prilagoditvi zakonodaje, da bi se upoštevale sodbe ustavnega sodišča, bi moralo biti pomembna prednostna naloga, kar pa ne bi smelo vplivati na kakovost priprave zakonodajnih sprememb.</w:t>
      </w:r>
      <w:r>
        <w:rPr>
          <w:rFonts w:ascii="Times New Roman" w:hAnsi="Times New Roman"/>
          <w:noProof/>
          <w:sz w:val="24"/>
        </w:rPr>
        <w:t xml:space="preserve"> Vlada je izrazila svojo namero, da bo odločbe ustavnega sodišča udejanjila v novem sklopu sprememb. </w:t>
      </w:r>
    </w:p>
    <w:p w:rsidR="004A1A51" w:rsidRDefault="004F76EE">
      <w:pPr>
        <w:spacing w:before="120" w:after="120" w:line="240" w:lineRule="auto"/>
        <w:jc w:val="both"/>
        <w:rPr>
          <w:rFonts w:ascii="Times New Roman" w:hAnsi="Times New Roman"/>
          <w:noProof/>
          <w:sz w:val="24"/>
          <w:szCs w:val="24"/>
        </w:rPr>
      </w:pPr>
      <w:r>
        <w:rPr>
          <w:rFonts w:ascii="Times New Roman" w:hAnsi="Times New Roman"/>
          <w:noProof/>
          <w:sz w:val="24"/>
        </w:rPr>
        <w:t>Priporočilo zajema tudi dokončanje reforme zakonika o civilnem postopku. Decembra 2016 je bil določen nov rok za začetek uporabe preostalih določb tega za</w:t>
      </w:r>
      <w:r>
        <w:rPr>
          <w:rFonts w:ascii="Times New Roman" w:hAnsi="Times New Roman"/>
          <w:noProof/>
          <w:sz w:val="24"/>
        </w:rPr>
        <w:t>konika, tj. januar 2019. Razprave med ministrom za pravosodje, vrhovnim sodnim svetom in vrhovnim kasacijskim sodiščem so v teku. Izvedeni so bili prvi koraki za zagotovitev potrebne infrastrukture za nove posvetovalne senate, minister za pravosodje pa dok</w:t>
      </w:r>
      <w:r>
        <w:rPr>
          <w:rFonts w:ascii="Times New Roman" w:hAnsi="Times New Roman"/>
          <w:noProof/>
          <w:sz w:val="24"/>
        </w:rPr>
        <w:t>ončuje načrt za njihovo sprejetje s strani vlade. Odločbe ustavnega sodišča ogrožajo tudi stabilnost civilnih zakonikov. Zlasti nedavna sodba ustavnega sodišča o pragu, ki je bil prej določen za omejevanje možnosti pritožbe na drugi stopnji, bi lahko prine</w:t>
      </w:r>
      <w:r>
        <w:rPr>
          <w:rFonts w:ascii="Times New Roman" w:hAnsi="Times New Roman"/>
          <w:noProof/>
          <w:sz w:val="24"/>
        </w:rPr>
        <w:t>sla veliko dodatnih zadev, ki jih bo moralo obravnavati vrhovno kasacijsko sodišče</w:t>
      </w:r>
      <w:r>
        <w:rPr>
          <w:rStyle w:val="FootnoteReference"/>
          <w:rFonts w:ascii="Times New Roman" w:hAnsi="Times New Roman"/>
          <w:noProof/>
          <w:sz w:val="24"/>
        </w:rPr>
        <w:footnoteReference w:id="16"/>
      </w:r>
      <w:r>
        <w:rPr>
          <w:noProof/>
        </w:rPr>
        <w:t>.</w:t>
      </w:r>
      <w:r>
        <w:rPr>
          <w:rFonts w:ascii="Times New Roman" w:hAnsi="Times New Roman"/>
          <w:noProof/>
          <w:sz w:val="24"/>
        </w:rPr>
        <w:t xml:space="preserve"> Minister za pravosodje si prizadeva ublažiti vpliv na delovno obremenitev vrhovnega kasacijskega sodišča, pri čemer naj bi več primerov obravnavala nižja sodišča. Vrhovno </w:t>
      </w:r>
      <w:r>
        <w:rPr>
          <w:rFonts w:ascii="Times New Roman" w:hAnsi="Times New Roman"/>
          <w:noProof/>
          <w:sz w:val="24"/>
        </w:rPr>
        <w:t>kasacijsko sodišče se že zdaj srečuje z zelo veliko delovno obremenitvijo in v poročilu iz januarja je bil poudarjen pomen njegovega dela na področju razlage prava</w:t>
      </w:r>
      <w:r>
        <w:rPr>
          <w:rStyle w:val="FootnoteReference"/>
          <w:rFonts w:ascii="Times New Roman" w:hAnsi="Times New Roman"/>
          <w:noProof/>
          <w:sz w:val="24"/>
        </w:rPr>
        <w:footnoteReference w:id="17"/>
      </w:r>
      <w:r>
        <w:rPr>
          <w:noProof/>
        </w:rPr>
        <w:t>.</w:t>
      </w:r>
    </w:p>
    <w:p w:rsidR="004A1A51" w:rsidRDefault="004F76EE">
      <w:pPr>
        <w:spacing w:before="120" w:after="120" w:line="240" w:lineRule="auto"/>
        <w:jc w:val="both"/>
        <w:rPr>
          <w:rFonts w:ascii="Times New Roman" w:hAnsi="Times New Roman"/>
          <w:noProof/>
          <w:sz w:val="24"/>
          <w:szCs w:val="24"/>
        </w:rPr>
      </w:pPr>
      <w:r>
        <w:rPr>
          <w:rFonts w:ascii="Times New Roman" w:hAnsi="Times New Roman"/>
          <w:i/>
          <w:noProof/>
          <w:sz w:val="24"/>
        </w:rPr>
        <w:t>Preglednost in predvidljivost zakonodajnega postopka pri zakonodaji na področju reforme pr</w:t>
      </w:r>
      <w:r>
        <w:rPr>
          <w:rFonts w:ascii="Times New Roman" w:hAnsi="Times New Roman"/>
          <w:i/>
          <w:noProof/>
          <w:sz w:val="24"/>
        </w:rPr>
        <w:t>avosodja in boja proti korupciji</w:t>
      </w:r>
    </w:p>
    <w:p w:rsidR="004A1A51" w:rsidRDefault="004F76EE">
      <w:pPr>
        <w:spacing w:before="120" w:after="120" w:line="240" w:lineRule="auto"/>
        <w:jc w:val="both"/>
        <w:rPr>
          <w:rFonts w:ascii="Times New Roman" w:hAnsi="Times New Roman"/>
          <w:noProof/>
          <w:sz w:val="24"/>
          <w:szCs w:val="24"/>
        </w:rPr>
      </w:pPr>
      <w:r>
        <w:rPr>
          <w:rFonts w:ascii="Times New Roman" w:hAnsi="Times New Roman"/>
          <w:noProof/>
          <w:sz w:val="24"/>
        </w:rPr>
        <w:t xml:space="preserve">V obdobju od poročila iz januarja je prišlo do vrste primerov, ki vzbujajo pomisleke glede preglednosti in predvidljivosti zakonodajnega postopka, začetega s strani vlade ali parlamenta. Parlament je sprejel več ukrepov in </w:t>
      </w:r>
      <w:r>
        <w:rPr>
          <w:rFonts w:ascii="Times New Roman" w:hAnsi="Times New Roman"/>
          <w:noProof/>
          <w:sz w:val="24"/>
        </w:rPr>
        <w:t>sprememb, pri katerih je bilo le malo ali sploh nobene priložnosti za posvetovanje in javno razpravo</w:t>
      </w:r>
      <w:r>
        <w:rPr>
          <w:rFonts w:ascii="Times New Roman" w:hAnsi="Times New Roman"/>
          <w:noProof/>
          <w:sz w:val="24"/>
          <w:vertAlign w:val="superscript"/>
        </w:rPr>
        <w:footnoteReference w:id="18"/>
      </w:r>
      <w:r>
        <w:rPr>
          <w:rFonts w:ascii="Times New Roman" w:hAnsi="Times New Roman"/>
          <w:noProof/>
          <w:sz w:val="24"/>
        </w:rPr>
        <w:t xml:space="preserve">. Predloženi so bili tudi drugi problematični in neusklajeni predlogi in, čeprav jih veliko od njih ne napreduje v parlamentarnem postopku, že dejstvo, da </w:t>
      </w:r>
      <w:r>
        <w:rPr>
          <w:rFonts w:ascii="Times New Roman" w:hAnsi="Times New Roman"/>
          <w:noProof/>
          <w:sz w:val="24"/>
        </w:rPr>
        <w:t xml:space="preserve">ostajajo na dnevnem redu parlamenta, vzbuja precejšnjo raven negotovosti. Med njimi so denimo zakon o pomilostitvi ali o zakon o odgovornosti sodnikov. </w:t>
      </w:r>
    </w:p>
    <w:p w:rsidR="004A1A51" w:rsidRDefault="004F76EE">
      <w:pPr>
        <w:spacing w:before="120" w:after="120" w:line="240" w:lineRule="auto"/>
        <w:jc w:val="both"/>
        <w:rPr>
          <w:rFonts w:ascii="Times New Roman" w:hAnsi="Times New Roman"/>
          <w:noProof/>
          <w:sz w:val="24"/>
          <w:szCs w:val="24"/>
        </w:rPr>
      </w:pPr>
      <w:r>
        <w:rPr>
          <w:rFonts w:ascii="Times New Roman" w:hAnsi="Times New Roman"/>
          <w:noProof/>
          <w:sz w:val="24"/>
        </w:rPr>
        <w:t>Pomembno vlogo ima tudi civilna družba, ki poudarja morebitne posledice, ki bi jih to lahko imelo za re</w:t>
      </w:r>
      <w:r>
        <w:rPr>
          <w:rFonts w:ascii="Times New Roman" w:hAnsi="Times New Roman"/>
          <w:noProof/>
          <w:sz w:val="24"/>
        </w:rPr>
        <w:t>formo pravosodja in boj proti korupciji. Trenutne polemike v zvezi s pravosodno zakonodajo bodo pomemben preizkus, v kakšnem obsegu se lahko izrazijo pravni interesi zainteresiranih strani s področja pravosodja in drugih področij ter se zadostno upoštevajo</w:t>
      </w:r>
      <w:r>
        <w:rPr>
          <w:rFonts w:ascii="Times New Roman" w:hAnsi="Times New Roman"/>
          <w:noProof/>
          <w:sz w:val="24"/>
        </w:rPr>
        <w:t xml:space="preserve"> pri končnih odločitvah. </w:t>
      </w:r>
    </w:p>
    <w:p w:rsidR="004A1A51" w:rsidRDefault="004F76EE">
      <w:pPr>
        <w:spacing w:before="120" w:after="120" w:line="240" w:lineRule="auto"/>
        <w:jc w:val="both"/>
        <w:rPr>
          <w:rFonts w:ascii="Times New Roman" w:hAnsi="Times New Roman"/>
          <w:noProof/>
          <w:sz w:val="24"/>
          <w:szCs w:val="24"/>
        </w:rPr>
      </w:pPr>
      <w:r>
        <w:rPr>
          <w:rFonts w:ascii="Times New Roman" w:hAnsi="Times New Roman"/>
          <w:noProof/>
          <w:sz w:val="24"/>
        </w:rPr>
        <w:t>Pobudo, namenjeno izboljšanju teh razmer, je pripravil predsednik odbora senata za pravne zadeve, ki je ministra za pravosodje in vrhovni sodni svet povabil k vzpostavitvi stalnega dialoga med državnimi institucijami o spremembah kazenskih zakonikov in dru</w:t>
      </w:r>
      <w:r>
        <w:rPr>
          <w:rFonts w:ascii="Times New Roman" w:hAnsi="Times New Roman"/>
          <w:noProof/>
          <w:sz w:val="24"/>
        </w:rPr>
        <w:t>ge pomembne zakonodaje. Njen cilj je bil oblikovati predvidljiv postopek sprejemanja sprememb, omogočanje razprave in javnega posvetovanja. Parlament je to zamisel prevzel in je na začetku oktobra ustanovil poseben parlamentarni odbor o sistematizaciji, po</w:t>
      </w:r>
      <w:r>
        <w:rPr>
          <w:rFonts w:ascii="Times New Roman" w:hAnsi="Times New Roman"/>
          <w:noProof/>
          <w:sz w:val="24"/>
        </w:rPr>
        <w:t xml:space="preserve">enotenju in zagotavljanju zakonodajne stabilnosti v pravosodju. </w:t>
      </w:r>
    </w:p>
    <w:p w:rsidR="004A1A51" w:rsidRDefault="004F76EE">
      <w:pPr>
        <w:spacing w:before="120" w:after="120" w:line="240" w:lineRule="auto"/>
        <w:jc w:val="both"/>
        <w:rPr>
          <w:rFonts w:ascii="Times New Roman" w:eastAsiaTheme="minorHAnsi" w:hAnsi="Times New Roman"/>
          <w:noProof/>
          <w:sz w:val="24"/>
          <w:szCs w:val="24"/>
        </w:rPr>
      </w:pPr>
      <w:r>
        <w:rPr>
          <w:rFonts w:ascii="Times New Roman" w:hAnsi="Times New Roman"/>
          <w:noProof/>
          <w:sz w:val="24"/>
        </w:rPr>
        <w:t>Če bo ta odbor želel doseči izpolnitev priporočila 4, bo moral dokazati svojo sposobnost, da vzpostavi zaupanje med parlamentom, vlado in pravosodjem ter omogoči konstruktivno sodelovanje v z</w:t>
      </w:r>
      <w:r>
        <w:rPr>
          <w:rFonts w:ascii="Times New Roman" w:hAnsi="Times New Roman"/>
          <w:noProof/>
          <w:sz w:val="24"/>
        </w:rPr>
        <w:t>vezi s ključno zakonodajo. Ta odbor ima priložnost, da odpravi negotovost v zvezi z zakoniki in priporočilom 3, in sicer s soglasnim sprejetjem sprememb, s katerimi se ohranja napredek reform teh štirih zakonikov. Odbor bi lahko tudi prispeval k vzpostavit</w:t>
      </w:r>
      <w:r>
        <w:rPr>
          <w:rFonts w:ascii="Times New Roman" w:hAnsi="Times New Roman"/>
          <w:noProof/>
          <w:sz w:val="24"/>
        </w:rPr>
        <w:t>vi usklajenega procesa za zagotovitev pravne varnosti po sprejetju odločb ustavnega sodišča.</w:t>
      </w:r>
    </w:p>
    <w:p w:rsidR="004A1A51" w:rsidRDefault="004A1A51">
      <w:pPr>
        <w:spacing w:after="120" w:line="240" w:lineRule="auto"/>
        <w:jc w:val="both"/>
        <w:rPr>
          <w:rFonts w:ascii="Times New Roman" w:hAnsi="Times New Roman"/>
          <w:noProof/>
          <w:sz w:val="24"/>
          <w:szCs w:val="24"/>
        </w:rPr>
      </w:pPr>
    </w:p>
    <w:p w:rsidR="004A1A51" w:rsidRDefault="004F76EE">
      <w:pPr>
        <w:pBdr>
          <w:top w:val="single" w:sz="4" w:space="1" w:color="auto"/>
          <w:left w:val="single" w:sz="4" w:space="4" w:color="auto"/>
          <w:bottom w:val="single" w:sz="4" w:space="1" w:color="auto"/>
          <w:right w:val="single" w:sz="4" w:space="4" w:color="auto"/>
        </w:pBdr>
        <w:spacing w:before="120" w:after="120" w:line="240" w:lineRule="auto"/>
        <w:jc w:val="both"/>
        <w:rPr>
          <w:rFonts w:ascii="Times New Roman" w:hAnsi="Times New Roman"/>
          <w:i/>
          <w:noProof/>
          <w:sz w:val="24"/>
          <w:szCs w:val="24"/>
        </w:rPr>
      </w:pPr>
      <w:r>
        <w:rPr>
          <w:rFonts w:ascii="Times New Roman" w:hAnsi="Times New Roman"/>
          <w:b/>
          <w:i/>
          <w:noProof/>
          <w:sz w:val="24"/>
        </w:rPr>
        <w:t>Priporočilo 5:</w:t>
      </w:r>
      <w:r>
        <w:rPr>
          <w:rFonts w:ascii="Times New Roman" w:hAnsi="Times New Roman"/>
          <w:i/>
          <w:noProof/>
          <w:sz w:val="24"/>
        </w:rPr>
        <w:t xml:space="preserve"> vlada bi morala vzpostaviti ustrezen akcijski načrt za rešitev vprašanja izvrševanja sodnih odločb in izvajanja sodne prakse sodišč s strani javne uprave, vključno z mehanizmom za zagotavljanje točnih statističnih informacij, da se omogoči spremljanje v p</w:t>
      </w:r>
      <w:r>
        <w:rPr>
          <w:rFonts w:ascii="Times New Roman" w:hAnsi="Times New Roman"/>
          <w:i/>
          <w:noProof/>
          <w:sz w:val="24"/>
        </w:rPr>
        <w:t>rihodnosti. Razviti bi morala tudi sistem notranjega spremljanja, ki bi vključeval vrhovni sodni svet in Računsko sodišče, da se zagotovi pravilno izvajanje akcijskega načrta.</w:t>
      </w:r>
    </w:p>
    <w:p w:rsidR="004A1A51" w:rsidRDefault="004F76EE">
      <w:pPr>
        <w:pBdr>
          <w:top w:val="single" w:sz="4" w:space="1" w:color="auto"/>
          <w:left w:val="single" w:sz="4" w:space="4" w:color="auto"/>
          <w:bottom w:val="single" w:sz="4" w:space="1" w:color="auto"/>
          <w:right w:val="single" w:sz="4" w:space="4" w:color="auto"/>
        </w:pBdr>
        <w:spacing w:before="120" w:after="120" w:line="240" w:lineRule="auto"/>
        <w:jc w:val="both"/>
        <w:rPr>
          <w:rFonts w:ascii="Times New Roman" w:hAnsi="Times New Roman"/>
          <w:i/>
          <w:noProof/>
          <w:sz w:val="24"/>
          <w:szCs w:val="24"/>
        </w:rPr>
      </w:pPr>
      <w:r>
        <w:rPr>
          <w:rFonts w:ascii="Times New Roman" w:hAnsi="Times New Roman"/>
          <w:b/>
          <w:i/>
          <w:noProof/>
          <w:sz w:val="24"/>
        </w:rPr>
        <w:t>Priporočilo 6:</w:t>
      </w:r>
      <w:r>
        <w:rPr>
          <w:rFonts w:ascii="Times New Roman" w:hAnsi="Times New Roman"/>
          <w:i/>
          <w:noProof/>
          <w:sz w:val="24"/>
        </w:rPr>
        <w:t xml:space="preserve"> strateška pravosodna uprava, tj. minister za pravosodje, vrhovni </w:t>
      </w:r>
      <w:r>
        <w:rPr>
          <w:rFonts w:ascii="Times New Roman" w:hAnsi="Times New Roman"/>
          <w:i/>
          <w:noProof/>
          <w:sz w:val="24"/>
        </w:rPr>
        <w:t>sodni svet, vrhovno kasacijsko sodišče in vrhovni državni tožilec, bi morala zagotoviti izvajanje akcijskega načrta, kakor je bil sprejet, ter uvesti redno skupno javno poročanje o njegovem izvajanju, vključno z rešitvami vprašanj pomanjkanja sodnih uradni</w:t>
      </w:r>
      <w:r>
        <w:rPr>
          <w:rFonts w:ascii="Times New Roman" w:hAnsi="Times New Roman"/>
          <w:i/>
          <w:noProof/>
          <w:sz w:val="24"/>
        </w:rPr>
        <w:t>kov, pretirane delovne obremenitve in zamud pri obrazložitvi odločb.</w:t>
      </w:r>
    </w:p>
    <w:p w:rsidR="004A1A51" w:rsidRDefault="004F76EE">
      <w:pPr>
        <w:keepNext/>
        <w:spacing w:before="120" w:after="120" w:line="240" w:lineRule="auto"/>
        <w:jc w:val="both"/>
        <w:rPr>
          <w:rFonts w:ascii="Times New Roman" w:hAnsi="Times New Roman"/>
          <w:i/>
          <w:noProof/>
          <w:sz w:val="24"/>
          <w:szCs w:val="24"/>
        </w:rPr>
      </w:pPr>
      <w:r>
        <w:rPr>
          <w:rFonts w:ascii="Times New Roman" w:hAnsi="Times New Roman"/>
          <w:i/>
          <w:noProof/>
          <w:sz w:val="24"/>
        </w:rPr>
        <w:t>Spoštovanje sodnih odločb</w:t>
      </w:r>
    </w:p>
    <w:p w:rsidR="004A1A51" w:rsidRDefault="004F76EE">
      <w:pPr>
        <w:spacing w:before="120" w:after="120" w:line="240" w:lineRule="auto"/>
        <w:jc w:val="both"/>
        <w:rPr>
          <w:rFonts w:ascii="Times New Roman" w:hAnsi="Times New Roman"/>
          <w:noProof/>
          <w:sz w:val="24"/>
          <w:szCs w:val="24"/>
        </w:rPr>
      </w:pPr>
      <w:r>
        <w:rPr>
          <w:rFonts w:ascii="Times New Roman" w:hAnsi="Times New Roman"/>
          <w:noProof/>
          <w:sz w:val="24"/>
        </w:rPr>
        <w:t>To priporočilo zadeva izvrševanje odločb zoper državo, pri čemer mora javna institucija na podlagi sodne odločbe plačati znesek denarja ali izvesti določen ukrep</w:t>
      </w:r>
      <w:r>
        <w:rPr>
          <w:rFonts w:ascii="Times New Roman" w:hAnsi="Times New Roman"/>
          <w:noProof/>
          <w:sz w:val="24"/>
        </w:rPr>
        <w:t>. Minister za pravosodje priznava, da je učinkovito izvrševanje vseh sodnih odločb zoper državo bistvenega pomena.</w:t>
      </w:r>
    </w:p>
    <w:p w:rsidR="004A1A51" w:rsidRDefault="004F76EE">
      <w:pPr>
        <w:spacing w:before="120" w:after="120" w:line="240" w:lineRule="auto"/>
        <w:jc w:val="both"/>
        <w:rPr>
          <w:rFonts w:ascii="Times New Roman" w:hAnsi="Times New Roman"/>
          <w:noProof/>
          <w:sz w:val="24"/>
          <w:szCs w:val="24"/>
        </w:rPr>
      </w:pPr>
      <w:r>
        <w:rPr>
          <w:rFonts w:ascii="Times New Roman" w:hAnsi="Times New Roman"/>
          <w:noProof/>
          <w:sz w:val="24"/>
        </w:rPr>
        <w:t>Konec avgusta je Romunija posodobila svoj akcijski načrt iz leta 2016, ki ga je pripravila za Svet Evrope z namenom odprave strukturnih težav</w:t>
      </w:r>
      <w:r>
        <w:rPr>
          <w:rFonts w:ascii="Times New Roman" w:hAnsi="Times New Roman"/>
          <w:noProof/>
          <w:sz w:val="24"/>
        </w:rPr>
        <w:t xml:space="preserve"> v zvezi z neizvrševanjem sodnih odločb zoper državo, ki jih je opredelilo Evropsko sodišče za človekove pravice</w:t>
      </w:r>
      <w:r>
        <w:rPr>
          <w:rStyle w:val="FootnoteReference"/>
          <w:rFonts w:ascii="Times New Roman" w:hAnsi="Times New Roman"/>
          <w:noProof/>
          <w:sz w:val="24"/>
        </w:rPr>
        <w:footnoteReference w:id="19"/>
      </w:r>
      <w:r>
        <w:rPr>
          <w:noProof/>
        </w:rPr>
        <w:t>.</w:t>
      </w:r>
    </w:p>
    <w:p w:rsidR="004A1A51" w:rsidRDefault="004F76EE">
      <w:pPr>
        <w:spacing w:before="120" w:after="120" w:line="240" w:lineRule="auto"/>
        <w:jc w:val="both"/>
        <w:rPr>
          <w:rFonts w:ascii="Times New Roman" w:hAnsi="Times New Roman"/>
          <w:noProof/>
          <w:sz w:val="24"/>
          <w:szCs w:val="24"/>
        </w:rPr>
      </w:pPr>
      <w:r>
        <w:rPr>
          <w:rFonts w:ascii="Times New Roman" w:hAnsi="Times New Roman"/>
          <w:noProof/>
          <w:sz w:val="24"/>
        </w:rPr>
        <w:t>Z izvedbo tega akcijskega načrta bi se v veliki meri izpolnilo priporočilo 5. Za oceno obsega napredka pri izvajanju tega priporočila bi mora</w:t>
      </w:r>
      <w:r>
        <w:rPr>
          <w:rFonts w:ascii="Times New Roman" w:hAnsi="Times New Roman"/>
          <w:noProof/>
          <w:sz w:val="24"/>
        </w:rPr>
        <w:t>la Komisija prejeti opis konkretnih rešitev in podroben časovni načrt za odpravo opredeljenih težav.</w:t>
      </w:r>
    </w:p>
    <w:p w:rsidR="004A1A51" w:rsidRDefault="004F76EE">
      <w:pPr>
        <w:spacing w:before="120" w:after="120" w:line="240" w:lineRule="auto"/>
        <w:jc w:val="both"/>
        <w:rPr>
          <w:rFonts w:ascii="Times New Roman" w:hAnsi="Times New Roman"/>
          <w:noProof/>
          <w:sz w:val="24"/>
          <w:szCs w:val="24"/>
        </w:rPr>
      </w:pPr>
      <w:r>
        <w:rPr>
          <w:rFonts w:ascii="Times New Roman" w:hAnsi="Times New Roman"/>
          <w:noProof/>
          <w:sz w:val="24"/>
        </w:rPr>
        <w:t>Drugi ukrep, potreben za izpolnitev tega priporočila, je oblikovanje postopkov znotraj javne uprave, ki bodo zagotovili, da bodo javne uprave dosledno upor</w:t>
      </w:r>
      <w:r>
        <w:rPr>
          <w:rFonts w:ascii="Times New Roman" w:hAnsi="Times New Roman"/>
          <w:noProof/>
          <w:sz w:val="24"/>
        </w:rPr>
        <w:t>abljale rešitve, ki jih opredelijo sodišča v podobnih primerih, v katerih se sprejme končna odločba v pritožbenem postopku ali razlagalna odločba vrhovnega kasacijskega sodišča. S takšnim postopkom bi se zmanjšalo tveganje, da bi pred sodišča prihajale pon</w:t>
      </w:r>
      <w:r>
        <w:rPr>
          <w:rFonts w:ascii="Times New Roman" w:hAnsi="Times New Roman"/>
          <w:noProof/>
          <w:sz w:val="24"/>
        </w:rPr>
        <w:t>avljajoče se zadeve, hkrati pa bi se povečalo zaupanje državljanov in podjetij v odločbe javnih uprav.</w:t>
      </w:r>
    </w:p>
    <w:p w:rsidR="004A1A51" w:rsidRDefault="004F76EE">
      <w:pPr>
        <w:keepNext/>
        <w:spacing w:before="120" w:after="120" w:line="240" w:lineRule="auto"/>
        <w:jc w:val="both"/>
        <w:rPr>
          <w:rFonts w:ascii="Times New Roman" w:eastAsia="Times New Roman" w:hAnsi="Times New Roman"/>
          <w:i/>
          <w:noProof/>
          <w:sz w:val="24"/>
          <w:szCs w:val="24"/>
        </w:rPr>
      </w:pPr>
      <w:r>
        <w:rPr>
          <w:rFonts w:ascii="Times New Roman" w:hAnsi="Times New Roman"/>
          <w:i/>
          <w:noProof/>
          <w:sz w:val="24"/>
        </w:rPr>
        <w:t>Strukturne reforme pravosodnega sistema</w:t>
      </w:r>
    </w:p>
    <w:p w:rsidR="004A1A51" w:rsidRDefault="004F76EE">
      <w:pPr>
        <w:spacing w:before="120" w:after="120" w:line="240" w:lineRule="auto"/>
        <w:jc w:val="both"/>
        <w:rPr>
          <w:rFonts w:ascii="Times New Roman" w:hAnsi="Times New Roman"/>
          <w:noProof/>
          <w:sz w:val="24"/>
          <w:szCs w:val="24"/>
        </w:rPr>
      </w:pPr>
      <w:r>
        <w:rPr>
          <w:rFonts w:ascii="Times New Roman" w:hAnsi="Times New Roman"/>
          <w:noProof/>
          <w:sz w:val="24"/>
        </w:rPr>
        <w:t>Sestanek pravosodnega strateškega upravnega sveta, ki je bil na začetku leta preložen, je potekal junija in septe</w:t>
      </w:r>
      <w:r>
        <w:rPr>
          <w:rFonts w:ascii="Times New Roman" w:hAnsi="Times New Roman"/>
          <w:noProof/>
          <w:sz w:val="24"/>
        </w:rPr>
        <w:t>mbra 2017. Na zadnjem sestanku je bilo opredeljeno splošno spremljanje izvajanja akcijskega načrta o strategiji za razvoj pravosodja za obdobje 2015–2020 s četrtletnimi poročili. Posamezne pravosodne institucije poročajo, da akcijski načrt izvajajo, minist</w:t>
      </w:r>
      <w:r>
        <w:rPr>
          <w:rFonts w:ascii="Times New Roman" w:hAnsi="Times New Roman"/>
          <w:noProof/>
          <w:sz w:val="24"/>
        </w:rPr>
        <w:t xml:space="preserve">rstvo za pravosodje pa je bilo uspešno pri kandidiranju za strukturna sredstva EU za financiranje akcijskega načrta. Te korake bi bilo treba jasno spremljati in svet redno uporabljati kot dejanski usklajevalni organ za spodbujanje dialoga in sodelovanja o </w:t>
      </w:r>
      <w:r>
        <w:rPr>
          <w:rFonts w:ascii="Times New Roman" w:hAnsi="Times New Roman"/>
          <w:noProof/>
          <w:sz w:val="24"/>
        </w:rPr>
        <w:t>skupnih vprašanjih, ki vplivajo na delovanje pravosodnega sistema.</w:t>
      </w:r>
    </w:p>
    <w:p w:rsidR="004A1A51" w:rsidRDefault="004A1A51">
      <w:pPr>
        <w:spacing w:after="120" w:line="240" w:lineRule="auto"/>
        <w:jc w:val="both"/>
        <w:rPr>
          <w:rFonts w:ascii="Times New Roman" w:hAnsi="Times New Roman"/>
          <w:noProof/>
          <w:sz w:val="24"/>
          <w:szCs w:val="24"/>
        </w:rPr>
      </w:pPr>
    </w:p>
    <w:p w:rsidR="004A1A51" w:rsidRDefault="004F76EE">
      <w:pPr>
        <w:pBdr>
          <w:top w:val="single" w:sz="4" w:space="1" w:color="auto"/>
          <w:left w:val="single" w:sz="4" w:space="4" w:color="auto"/>
          <w:bottom w:val="single" w:sz="4" w:space="1" w:color="auto"/>
          <w:right w:val="single" w:sz="4" w:space="4" w:color="auto"/>
        </w:pBdr>
        <w:spacing w:before="120" w:after="120" w:line="240" w:lineRule="auto"/>
        <w:jc w:val="both"/>
        <w:rPr>
          <w:rFonts w:ascii="Times New Roman" w:hAnsi="Times New Roman"/>
          <w:i/>
          <w:noProof/>
          <w:sz w:val="24"/>
          <w:szCs w:val="24"/>
        </w:rPr>
      </w:pPr>
      <w:r>
        <w:rPr>
          <w:rFonts w:ascii="Times New Roman" w:hAnsi="Times New Roman"/>
          <w:b/>
          <w:i/>
          <w:noProof/>
          <w:sz w:val="24"/>
        </w:rPr>
        <w:t>Priporočilo 7</w:t>
      </w:r>
      <w:r>
        <w:rPr>
          <w:rFonts w:ascii="Times New Roman" w:hAnsi="Times New Roman"/>
          <w:i/>
          <w:noProof/>
          <w:sz w:val="24"/>
        </w:rPr>
        <w:t>: nov vrhovni sodni svet</w:t>
      </w:r>
      <w:r>
        <w:rPr>
          <w:rFonts w:ascii="Times New Roman" w:eastAsiaTheme="minorHAnsi" w:hAnsi="Times New Roman"/>
          <w:noProof/>
          <w:sz w:val="24"/>
        </w:rPr>
        <w:t xml:space="preserve"> </w:t>
      </w:r>
      <w:r>
        <w:rPr>
          <w:rFonts w:ascii="Times New Roman" w:hAnsi="Times New Roman"/>
          <w:i/>
          <w:noProof/>
          <w:sz w:val="24"/>
        </w:rPr>
        <w:t>bi moral pripraviti skupen program za svoj mandat, vključno z ukrepi za spodbujanje preglednosti in odgovornosti. Vključevati bi moral strategijo o oz</w:t>
      </w:r>
      <w:r>
        <w:rPr>
          <w:rFonts w:ascii="Times New Roman" w:hAnsi="Times New Roman"/>
          <w:i/>
          <w:noProof/>
          <w:sz w:val="24"/>
        </w:rPr>
        <w:t>aveščanju in redne odprte sestanke s skupščinami sodnikov in tožilcev na vseh ravneh ter s civilno družbo in strokovnimi organizacijami, poleg tega pa pripravljati letna poročila, o katerih bi se razpravljalo na generalnih skupščinah sodnikov in tožilcev.</w:t>
      </w:r>
    </w:p>
    <w:p w:rsidR="004A1A51" w:rsidRDefault="004F76EE">
      <w:pPr>
        <w:pStyle w:val="PlainText"/>
        <w:keepNext/>
        <w:spacing w:before="120" w:after="120"/>
        <w:jc w:val="both"/>
        <w:rPr>
          <w:rFonts w:ascii="Times New Roman" w:hAnsi="Times New Roman"/>
          <w:i/>
          <w:noProof/>
          <w:sz w:val="24"/>
          <w:szCs w:val="24"/>
        </w:rPr>
      </w:pPr>
      <w:r>
        <w:rPr>
          <w:rFonts w:ascii="Times New Roman" w:hAnsi="Times New Roman"/>
          <w:i/>
          <w:noProof/>
          <w:sz w:val="24"/>
        </w:rPr>
        <w:t>Preglednost in odgovornost vrhovnega sodnega sveta</w:t>
      </w:r>
      <w:r>
        <w:rPr>
          <w:rFonts w:ascii="Times New Roman" w:eastAsiaTheme="minorHAnsi" w:hAnsi="Times New Roman"/>
          <w:noProof/>
          <w:sz w:val="24"/>
        </w:rPr>
        <w:t xml:space="preserve"> </w:t>
      </w:r>
    </w:p>
    <w:p w:rsidR="004A1A51" w:rsidRDefault="004F76EE">
      <w:pPr>
        <w:spacing w:before="120" w:after="120" w:line="240" w:lineRule="auto"/>
        <w:jc w:val="both"/>
        <w:rPr>
          <w:rFonts w:ascii="Times New Roman" w:eastAsia="SimSun" w:hAnsi="Times New Roman"/>
          <w:noProof/>
          <w:sz w:val="24"/>
          <w:szCs w:val="24"/>
        </w:rPr>
      </w:pPr>
      <w:r>
        <w:rPr>
          <w:rFonts w:ascii="Times New Roman" w:hAnsi="Times New Roman"/>
          <w:noProof/>
          <w:sz w:val="24"/>
        </w:rPr>
        <w:t>Novi svet je začel delovati 6. januarja 2017</w:t>
      </w:r>
      <w:r>
        <w:rPr>
          <w:rFonts w:ascii="Times New Roman" w:hAnsi="Times New Roman"/>
          <w:noProof/>
          <w:sz w:val="24"/>
          <w:vertAlign w:val="superscript"/>
        </w:rPr>
        <w:footnoteReference w:id="20"/>
      </w:r>
      <w:r>
        <w:rPr>
          <w:rFonts w:ascii="Times New Roman" w:hAnsi="Times New Roman"/>
          <w:noProof/>
          <w:sz w:val="24"/>
        </w:rPr>
        <w:t>. Soočiti se je moral s težkimi okoliščinami. Vendar je z negativnimi mnenji o izvršilnem odloku februarja in nato še enkrat o spremembah pravosodne zakonodaje</w:t>
      </w:r>
      <w:r>
        <w:rPr>
          <w:rFonts w:ascii="Times New Roman" w:hAnsi="Times New Roman"/>
          <w:noProof/>
          <w:sz w:val="24"/>
        </w:rPr>
        <w:t xml:space="preserve"> septembra in novembra pokazal, da je pripravljen sprejemati težke odločitve. Svet je moral tudi zaščititi neodvisnost in ugled sodnikov, zlasti tožilcev, in rešiti zaplet v zvezi s ponavljajočimi se disciplinskimi ali upravljavskimi pritožbami ostalih drž</w:t>
      </w:r>
      <w:r>
        <w:rPr>
          <w:rFonts w:ascii="Times New Roman" w:hAnsi="Times New Roman"/>
          <w:noProof/>
          <w:sz w:val="24"/>
        </w:rPr>
        <w:t xml:space="preserve">avnih oblasti glede istih sodnikov. Zato se lahko za svet šteje, da je izpolnil svoje naloge ter pokazal moč in odpornost institucije. </w:t>
      </w:r>
    </w:p>
    <w:p w:rsidR="004A1A51" w:rsidRDefault="004F76EE">
      <w:pPr>
        <w:spacing w:before="120" w:after="120" w:line="240" w:lineRule="auto"/>
        <w:jc w:val="both"/>
        <w:rPr>
          <w:rFonts w:ascii="Times New Roman" w:eastAsiaTheme="minorHAnsi" w:hAnsi="Times New Roman"/>
          <w:noProof/>
          <w:sz w:val="24"/>
          <w:szCs w:val="24"/>
        </w:rPr>
      </w:pPr>
      <w:r>
        <w:rPr>
          <w:rFonts w:ascii="Times New Roman" w:hAnsi="Times New Roman"/>
          <w:noProof/>
          <w:sz w:val="24"/>
        </w:rPr>
        <w:t>V skladu s priporočilom je vrhovni sodni svet konec februarja 2017 določil svoje prednostne naloge za trenutni mandat (2</w:t>
      </w:r>
      <w:r>
        <w:rPr>
          <w:rFonts w:ascii="Times New Roman" w:hAnsi="Times New Roman"/>
          <w:noProof/>
          <w:sz w:val="24"/>
        </w:rPr>
        <w:t>017–2022). Te pomenijo prvo izhodišče za spodbujanje odgovornosti institucije. Svet je sprejel ukrepe za spodbujanje preglednosti in odprtosti, kot sta novo spletišče in neposredna udeležba predstavnikov sodišč, poklicnih združenj sodnikov ali nevladnih or</w:t>
      </w:r>
      <w:r>
        <w:rPr>
          <w:rFonts w:ascii="Times New Roman" w:hAnsi="Times New Roman"/>
          <w:noProof/>
          <w:sz w:val="24"/>
        </w:rPr>
        <w:t xml:space="preserve">ganizacij na njegovih sestankih. Organiziral je tudi posvetovanja s sodišči in tožilstvi, ki so v teku in so se izkazala za pomemben kanal komunikacije in posvetovanja. Poleg tega pripravlja skupen program in strategijo, ki bosta zajemala področja, kot so </w:t>
      </w:r>
      <w:r>
        <w:rPr>
          <w:rFonts w:ascii="Times New Roman" w:hAnsi="Times New Roman"/>
          <w:noProof/>
          <w:sz w:val="24"/>
        </w:rPr>
        <w:t>ozaveščanje, ukrepi za izboljšanje javne podobe sodstva, odnosi z množičnimi mediji ter sodelovanje z vlado in parlamentom.</w:t>
      </w:r>
    </w:p>
    <w:p w:rsidR="004A1A51" w:rsidRDefault="004F76EE">
      <w:pPr>
        <w:spacing w:before="120" w:after="120" w:line="240" w:lineRule="auto"/>
        <w:jc w:val="both"/>
        <w:rPr>
          <w:rFonts w:ascii="Times New Roman" w:eastAsia="SimSun" w:hAnsi="Times New Roman"/>
          <w:noProof/>
          <w:sz w:val="24"/>
          <w:szCs w:val="24"/>
        </w:rPr>
      </w:pPr>
      <w:r>
        <w:rPr>
          <w:rFonts w:ascii="Times New Roman" w:eastAsiaTheme="minorHAnsi" w:hAnsi="Times New Roman"/>
          <w:noProof/>
          <w:sz w:val="24"/>
        </w:rPr>
        <w:t>Svet bi moral še naprej utrjevati svoje delo v zvezi z dosledno in učinkovito zaščito ugleda pravosodja ter prispevati h konstruktivnemu in preglednemu dialogu z vlado in parlamentom. Svet bi moral prav tako spodbujati nadaljnjo krepitev sodelovanja med pr</w:t>
      </w:r>
      <w:r>
        <w:rPr>
          <w:rFonts w:ascii="Times New Roman" w:eastAsiaTheme="minorHAnsi" w:hAnsi="Times New Roman"/>
          <w:noProof/>
          <w:sz w:val="24"/>
        </w:rPr>
        <w:t xml:space="preserve">avosodnimi institucijami glede ključnih odprtih vprašanj, vključno z delovanjem pravosodne inšpekcije. </w:t>
      </w:r>
    </w:p>
    <w:p w:rsidR="004A1A51" w:rsidRDefault="004A1A51">
      <w:pPr>
        <w:spacing w:before="120" w:after="120" w:line="240" w:lineRule="auto"/>
        <w:jc w:val="both"/>
        <w:rPr>
          <w:rFonts w:ascii="Times New Roman" w:hAnsi="Times New Roman"/>
          <w:i/>
          <w:noProof/>
          <w:sz w:val="24"/>
          <w:szCs w:val="24"/>
        </w:rPr>
      </w:pPr>
    </w:p>
    <w:p w:rsidR="004A1A51" w:rsidRDefault="004F76EE">
      <w:pPr>
        <w:spacing w:before="120" w:after="120" w:line="240" w:lineRule="auto"/>
        <w:jc w:val="both"/>
        <w:rPr>
          <w:rFonts w:ascii="Times New Roman" w:hAnsi="Times New Roman"/>
          <w:i/>
          <w:noProof/>
          <w:sz w:val="24"/>
          <w:szCs w:val="24"/>
        </w:rPr>
      </w:pPr>
      <w:r>
        <w:rPr>
          <w:rFonts w:ascii="Times New Roman" w:hAnsi="Times New Roman"/>
          <w:i/>
          <w:noProof/>
          <w:sz w:val="24"/>
        </w:rPr>
        <w:t>Komisija na podlagi analize priporočil 1 do 7 meni, da so potrebna dodatna prizadevanja za izpolnitev prvega merila. Prišlo je do več pozitivnih premikov, zlasti je treba omeniti kodekse ravnanja, civilna zakonika, korake, narejene pri izvajanju strategije</w:t>
      </w:r>
      <w:r>
        <w:rPr>
          <w:rFonts w:ascii="Times New Roman" w:hAnsi="Times New Roman"/>
          <w:i/>
          <w:noProof/>
          <w:sz w:val="24"/>
        </w:rPr>
        <w:t xml:space="preserve"> za razvoj pravosodja, ter dejavnosti novega vrhovnega sodnega sveta. Vendar so napredek zavirale politične razmere in zakonodajni predlogi, ki bi lahko negativno vplivali na reforme. Analiza priporočil kaže na več pobud in procesov, z izvedbo katerih bi s</w:t>
      </w:r>
      <w:r>
        <w:rPr>
          <w:rFonts w:ascii="Times New Roman" w:hAnsi="Times New Roman"/>
          <w:i/>
          <w:noProof/>
          <w:sz w:val="24"/>
        </w:rPr>
        <w:t xml:space="preserve">e Romuniji odprle obetavne možnosti za hiter nadaljnji napredek v okviru prvega merila. </w:t>
      </w:r>
    </w:p>
    <w:p w:rsidR="004A1A51" w:rsidRDefault="004A1A51">
      <w:pPr>
        <w:keepNext/>
        <w:spacing w:before="240" w:after="120" w:line="240" w:lineRule="auto"/>
        <w:jc w:val="both"/>
        <w:rPr>
          <w:rFonts w:ascii="Times New Roman" w:hAnsi="Times New Roman"/>
          <w:b/>
          <w:noProof/>
          <w:sz w:val="24"/>
          <w:szCs w:val="24"/>
        </w:rPr>
      </w:pPr>
    </w:p>
    <w:p w:rsidR="004A1A51" w:rsidRDefault="004F76EE">
      <w:pPr>
        <w:keepNext/>
        <w:spacing w:before="240" w:after="120" w:line="240" w:lineRule="auto"/>
        <w:jc w:val="both"/>
        <w:rPr>
          <w:rFonts w:ascii="Times New Roman" w:hAnsi="Times New Roman"/>
          <w:b/>
          <w:noProof/>
          <w:sz w:val="24"/>
          <w:szCs w:val="24"/>
        </w:rPr>
      </w:pPr>
      <w:r>
        <w:rPr>
          <w:rFonts w:ascii="Times New Roman" w:hAnsi="Times New Roman"/>
          <w:b/>
          <w:noProof/>
          <w:sz w:val="24"/>
        </w:rPr>
        <w:t xml:space="preserve">3.2 </w:t>
      </w:r>
      <w:r>
        <w:rPr>
          <w:noProof/>
        </w:rPr>
        <w:tab/>
      </w:r>
      <w:r>
        <w:rPr>
          <w:rFonts w:ascii="Times New Roman" w:hAnsi="Times New Roman"/>
          <w:b/>
          <w:noProof/>
          <w:sz w:val="24"/>
        </w:rPr>
        <w:t>Drugo merilo: Okvir za integriteto in nacionalna služba za integriteto</w:t>
      </w:r>
    </w:p>
    <w:p w:rsidR="004A1A51" w:rsidRDefault="004F76EE">
      <w:pPr>
        <w:pBdr>
          <w:top w:val="single" w:sz="4" w:space="1" w:color="auto"/>
          <w:left w:val="single" w:sz="4" w:space="4" w:color="auto"/>
          <w:bottom w:val="single" w:sz="4" w:space="1" w:color="auto"/>
          <w:right w:val="single" w:sz="4" w:space="4" w:color="auto"/>
        </w:pBdr>
        <w:spacing w:before="120" w:after="120" w:line="240" w:lineRule="auto"/>
        <w:jc w:val="both"/>
        <w:rPr>
          <w:rFonts w:ascii="Times New Roman" w:hAnsi="Times New Roman"/>
          <w:i/>
          <w:noProof/>
          <w:sz w:val="24"/>
          <w:szCs w:val="24"/>
        </w:rPr>
      </w:pPr>
      <w:r>
        <w:rPr>
          <w:rFonts w:ascii="Times New Roman" w:hAnsi="Times New Roman"/>
          <w:b/>
          <w:i/>
          <w:noProof/>
          <w:sz w:val="24"/>
        </w:rPr>
        <w:t>Priporočilo 8:</w:t>
      </w:r>
      <w:r>
        <w:rPr>
          <w:rFonts w:ascii="Times New Roman" w:hAnsi="Times New Roman"/>
          <w:i/>
          <w:noProof/>
          <w:sz w:val="24"/>
        </w:rPr>
        <w:t xml:space="preserve"> zagotoviti začetek delovanja sistema PREVENT. Nacionalna služba za integrit</w:t>
      </w:r>
      <w:r>
        <w:rPr>
          <w:rFonts w:ascii="Times New Roman" w:hAnsi="Times New Roman"/>
          <w:i/>
          <w:noProof/>
          <w:sz w:val="24"/>
        </w:rPr>
        <w:t>eto in nacionalna agencija za javno naročanje bi morali uvesti poročanje o predhodnih preverjanjih postopkov javnega naročanja in sprejetih nadaljnjih ukrepih na njihovi podlagi, vključno z naknadnimi preverjanji, pa tudi o primerih odkritih navzkrižij int</w:t>
      </w:r>
      <w:r>
        <w:rPr>
          <w:rFonts w:ascii="Times New Roman" w:hAnsi="Times New Roman"/>
          <w:i/>
          <w:noProof/>
          <w:sz w:val="24"/>
        </w:rPr>
        <w:t>eresov ali korupcije, poleg tega pa bi morali organizirati javne razprave, v okviru katerih bi bili vlada, lokalni organi, pravosodje in civilna družba vabljeni, da se odzovejo na poročila.</w:t>
      </w:r>
    </w:p>
    <w:p w:rsidR="004A1A51" w:rsidRDefault="004F76EE">
      <w:pPr>
        <w:pBdr>
          <w:top w:val="single" w:sz="4" w:space="1" w:color="auto"/>
          <w:left w:val="single" w:sz="4" w:space="4" w:color="auto"/>
          <w:bottom w:val="single" w:sz="4" w:space="1" w:color="auto"/>
          <w:right w:val="single" w:sz="4" w:space="4" w:color="auto"/>
        </w:pBdr>
        <w:spacing w:before="120" w:after="120" w:line="240" w:lineRule="auto"/>
        <w:jc w:val="both"/>
        <w:rPr>
          <w:rFonts w:ascii="Times New Roman" w:hAnsi="Times New Roman"/>
          <w:i/>
          <w:noProof/>
          <w:sz w:val="24"/>
          <w:szCs w:val="24"/>
        </w:rPr>
      </w:pPr>
      <w:r>
        <w:rPr>
          <w:rFonts w:ascii="Times New Roman" w:hAnsi="Times New Roman"/>
          <w:b/>
          <w:i/>
          <w:noProof/>
          <w:sz w:val="24"/>
        </w:rPr>
        <w:t>Priporočilo 9</w:t>
      </w:r>
      <w:r>
        <w:rPr>
          <w:rFonts w:ascii="Times New Roman" w:hAnsi="Times New Roman"/>
          <w:i/>
          <w:noProof/>
          <w:sz w:val="24"/>
        </w:rPr>
        <w:t>: parlament bi moral pregledno odločati glede nadaljn</w:t>
      </w:r>
      <w:r>
        <w:rPr>
          <w:rFonts w:ascii="Times New Roman" w:hAnsi="Times New Roman"/>
          <w:i/>
          <w:noProof/>
          <w:sz w:val="24"/>
        </w:rPr>
        <w:t>jega ukrepanja na podlagi pravnomočnih in nepovratnih odločb o nezdružljivosti opravljanja funkcije, navzkrižjih interesov in neupravičenem premoženju, sprejetih zoper njegove člane.</w:t>
      </w:r>
    </w:p>
    <w:p w:rsidR="004A1A51" w:rsidRDefault="004F76EE">
      <w:pPr>
        <w:spacing w:after="120" w:line="240" w:lineRule="auto"/>
        <w:jc w:val="both"/>
        <w:rPr>
          <w:rFonts w:ascii="Times New Roman" w:hAnsi="Times New Roman"/>
          <w:noProof/>
          <w:sz w:val="24"/>
          <w:szCs w:val="24"/>
        </w:rPr>
      </w:pPr>
      <w:r>
        <w:rPr>
          <w:rFonts w:ascii="Times New Roman" w:hAnsi="Times New Roman"/>
          <w:noProof/>
          <w:sz w:val="24"/>
        </w:rPr>
        <w:t>Cilj sistema PREVENT je preprečevanje navzkrižij interesov v postopkih ja</w:t>
      </w:r>
      <w:r>
        <w:rPr>
          <w:rFonts w:ascii="Times New Roman" w:hAnsi="Times New Roman"/>
          <w:noProof/>
          <w:sz w:val="24"/>
        </w:rPr>
        <w:t>vnega naročanja z vzpostavitvijo mehanizma predhodnega preverjanja, ki naročnikom omogoča, da te situacije razrešijo še pred oddajo javnega naročila. Sistem</w:t>
      </w:r>
      <w:r>
        <w:rPr>
          <w:rFonts w:ascii="Times New Roman" w:hAnsi="Times New Roman"/>
          <w:noProof/>
          <w:sz w:val="24"/>
          <w:vertAlign w:val="superscript"/>
        </w:rPr>
        <w:t xml:space="preserve"> </w:t>
      </w:r>
      <w:r>
        <w:rPr>
          <w:rFonts w:ascii="Times New Roman" w:hAnsi="Times New Roman"/>
          <w:noProof/>
          <w:sz w:val="24"/>
        </w:rPr>
        <w:t>je začel delovati konec junija. Nastal je na podlagi tesnega sodelovanja med nacionalno službo za i</w:t>
      </w:r>
      <w:r>
        <w:rPr>
          <w:rFonts w:ascii="Times New Roman" w:hAnsi="Times New Roman"/>
          <w:noProof/>
          <w:sz w:val="24"/>
        </w:rPr>
        <w:t xml:space="preserve">ntegriteto, agencijo za javno naročanje, agencijo za digitalno agendo in vlado. Za sabo ima štiri mesece delovanja in prinaša prve rezultate. </w:t>
      </w:r>
    </w:p>
    <w:p w:rsidR="004A1A51" w:rsidRDefault="004F76EE">
      <w:pPr>
        <w:spacing w:before="240" w:after="120" w:line="240" w:lineRule="auto"/>
        <w:jc w:val="both"/>
        <w:rPr>
          <w:rFonts w:ascii="Times New Roman" w:hAnsi="Times New Roman"/>
          <w:noProof/>
          <w:sz w:val="24"/>
          <w:szCs w:val="24"/>
        </w:rPr>
      </w:pPr>
      <w:r>
        <w:rPr>
          <w:rFonts w:ascii="Times New Roman" w:hAnsi="Times New Roman"/>
          <w:noProof/>
          <w:sz w:val="24"/>
        </w:rPr>
        <w:t>V več zaporednih poročilih MeSP so bile poudarjene zamude in nedoslednosti pri uporabi sankcij za poslance, pri k</w:t>
      </w:r>
      <w:r>
        <w:rPr>
          <w:rFonts w:ascii="Times New Roman" w:hAnsi="Times New Roman"/>
          <w:noProof/>
          <w:sz w:val="24"/>
        </w:rPr>
        <w:t>aterih je bilo s pravnomočno sodno odločbo na podlagi poročila nacionalne službe za integriteto ugotovljeno, da je njihovo opravljanje funkcije nezdružljivo ali da so v navzkrižju interesov. Zato je Komisija priporočila, da bi parlament moral pregledno odl</w:t>
      </w:r>
      <w:r>
        <w:rPr>
          <w:rFonts w:ascii="Times New Roman" w:hAnsi="Times New Roman"/>
          <w:noProof/>
          <w:sz w:val="24"/>
        </w:rPr>
        <w:t>očati glede nadaljnjega ukrepanja na podlagi pravnomočnih in nepovratnih odločb o nezdružljivosti opravljanja funkcije, navzkrižjih interesov in neupravičenem premoženju, sprejetih zoper njegove člane. Komisija je prejela informacije o postopkih, ki se upo</w:t>
      </w:r>
      <w:r>
        <w:rPr>
          <w:rFonts w:ascii="Times New Roman" w:hAnsi="Times New Roman"/>
          <w:noProof/>
          <w:sz w:val="24"/>
        </w:rPr>
        <w:t xml:space="preserve">rabljajo, in o publiciteti, ki so je bile deležne parlamentarne razprave, ni pa še prejela informacij o tem, ali so potekale razprave in bile sprejete odločitve v zvezi z nerešenimi zadevami. Čeprav se zdi, da so pravila in postopki v parlamentu za uvedbo </w:t>
      </w:r>
      <w:r>
        <w:rPr>
          <w:rFonts w:ascii="Times New Roman" w:hAnsi="Times New Roman"/>
          <w:noProof/>
          <w:sz w:val="24"/>
        </w:rPr>
        <w:t>sankcij jasni, nacionalna služba za integriteto poroča, da v treh primerih poslancev, v katerih so bile v letu 2017 sprejete pravnomočne sodne odločbe v zadevah zvezi z integriteto, te sodne odločbe še vedno niso bile izvršene. Ni jasno, ali za parlament v</w:t>
      </w:r>
      <w:r>
        <w:rPr>
          <w:rFonts w:ascii="Times New Roman" w:hAnsi="Times New Roman"/>
          <w:noProof/>
          <w:sz w:val="24"/>
        </w:rPr>
        <w:t xml:space="preserve">eljajo roki za izvedbo sankcij. Poleg tega je bil tudi v treh primerih poslancev njihov mandat po volitvah konec leta 2016 potrjen, kljub temu da zanje na podlagi pravnomočne sodne odločbe velja triletna prepoved opravljanja izvoljive funkcije. Nacionalna </w:t>
      </w:r>
      <w:r>
        <w:rPr>
          <w:rFonts w:ascii="Times New Roman" w:hAnsi="Times New Roman"/>
          <w:noProof/>
          <w:sz w:val="24"/>
        </w:rPr>
        <w:t>služba za integriteto je o tem parlament obvestila februarja 2017, vendar ta še ni sprejel ukrepov za rešitev teh treh primerov.</w:t>
      </w:r>
    </w:p>
    <w:p w:rsidR="004A1A51" w:rsidRDefault="004F76EE">
      <w:pPr>
        <w:spacing w:before="240" w:after="120" w:line="240" w:lineRule="auto"/>
        <w:jc w:val="both"/>
        <w:rPr>
          <w:rFonts w:ascii="Times New Roman" w:hAnsi="Times New Roman"/>
          <w:noProof/>
          <w:sz w:val="24"/>
          <w:szCs w:val="24"/>
        </w:rPr>
      </w:pPr>
      <w:r>
        <w:rPr>
          <w:rFonts w:ascii="Times New Roman" w:hAnsi="Times New Roman"/>
          <w:noProof/>
          <w:sz w:val="24"/>
        </w:rPr>
        <w:t xml:space="preserve">Konkretni koraki, na podlagi katerih bi se v praksi uresničila preglednost, predlagana v priporočilu, bi na primer bili, da bi </w:t>
      </w:r>
      <w:r>
        <w:rPr>
          <w:rFonts w:ascii="Times New Roman" w:hAnsi="Times New Roman"/>
          <w:noProof/>
          <w:sz w:val="24"/>
        </w:rPr>
        <w:t>predsednik zadevnega doma parlamenta javno potrdil prejem pravnomočne sodne odločbe (ali poročila nacionalne službe za integriteto, ki ni bilo izpodbijano pred sodiščem); napovedal, kdaj bo odločitev sprejeta; in po zaključku postopka odločanja o tem obves</w:t>
      </w:r>
      <w:r>
        <w:rPr>
          <w:rFonts w:ascii="Times New Roman" w:hAnsi="Times New Roman"/>
          <w:noProof/>
          <w:sz w:val="24"/>
        </w:rPr>
        <w:t>til javnost in nacionalno službo za integriteto. Ukrepanje parlamenta v teh šestih primerih bi omogočilo hiter pozitiven napredek v zvezi s tem priporočilom.</w:t>
      </w:r>
    </w:p>
    <w:p w:rsidR="004A1A51" w:rsidRDefault="004F76EE">
      <w:pPr>
        <w:spacing w:before="240" w:after="120" w:line="240" w:lineRule="auto"/>
        <w:jc w:val="both"/>
        <w:rPr>
          <w:rFonts w:ascii="Times New Roman" w:hAnsi="Times New Roman"/>
          <w:noProof/>
          <w:sz w:val="24"/>
          <w:szCs w:val="24"/>
        </w:rPr>
      </w:pPr>
      <w:r>
        <w:rPr>
          <w:rFonts w:ascii="Times New Roman" w:hAnsi="Times New Roman"/>
          <w:i/>
          <w:noProof/>
          <w:sz w:val="24"/>
        </w:rPr>
        <w:t>Komisija na podlagi analize priporočil 8 in 9 meni, da je Romunija na splošno v zvezi z drugim mer</w:t>
      </w:r>
      <w:r>
        <w:rPr>
          <w:rFonts w:ascii="Times New Roman" w:hAnsi="Times New Roman"/>
          <w:i/>
          <w:noProof/>
          <w:sz w:val="24"/>
        </w:rPr>
        <w:t xml:space="preserve">ilom precej napredovala. Priporočilo 8 je izvedeno zadovoljivo. Hitra odločitev o vseh nerešenih primerih poslancev, v zvezi s katerimi so bile sprejete pravnomočne sodne odločbe v zadevah zvezi z integriteto, bi omogočila hiter pozitiven napredek v zvezi </w:t>
      </w:r>
      <w:r>
        <w:rPr>
          <w:rFonts w:ascii="Times New Roman" w:hAnsi="Times New Roman"/>
          <w:i/>
          <w:noProof/>
          <w:sz w:val="24"/>
        </w:rPr>
        <w:t>z drugim merilom.</w:t>
      </w:r>
    </w:p>
    <w:p w:rsidR="004A1A51" w:rsidRDefault="004F76EE">
      <w:pPr>
        <w:keepNext/>
        <w:spacing w:before="240" w:after="120" w:line="240" w:lineRule="auto"/>
        <w:jc w:val="both"/>
        <w:rPr>
          <w:rFonts w:ascii="Times New Roman" w:hAnsi="Times New Roman"/>
          <w:b/>
          <w:noProof/>
          <w:sz w:val="24"/>
          <w:szCs w:val="24"/>
        </w:rPr>
      </w:pPr>
      <w:r>
        <w:rPr>
          <w:rFonts w:ascii="Times New Roman" w:hAnsi="Times New Roman"/>
          <w:b/>
          <w:noProof/>
          <w:sz w:val="24"/>
        </w:rPr>
        <w:t xml:space="preserve">3.3 </w:t>
      </w:r>
      <w:r>
        <w:rPr>
          <w:noProof/>
        </w:rPr>
        <w:tab/>
      </w:r>
      <w:r>
        <w:rPr>
          <w:rFonts w:ascii="Times New Roman" w:hAnsi="Times New Roman"/>
          <w:b/>
          <w:noProof/>
          <w:sz w:val="24"/>
        </w:rPr>
        <w:t>Tretje merilo: Odpravljanje velike korupcije</w:t>
      </w:r>
    </w:p>
    <w:p w:rsidR="004A1A51" w:rsidRDefault="004F76EE">
      <w:pPr>
        <w:keepNext/>
        <w:pBdr>
          <w:top w:val="single" w:sz="4" w:space="1" w:color="auto"/>
          <w:left w:val="single" w:sz="4" w:space="4" w:color="auto"/>
          <w:bottom w:val="single" w:sz="4" w:space="1" w:color="auto"/>
          <w:right w:val="single" w:sz="4" w:space="4" w:color="auto"/>
        </w:pBdr>
        <w:spacing w:before="240" w:after="120" w:line="240" w:lineRule="auto"/>
        <w:jc w:val="both"/>
        <w:rPr>
          <w:rFonts w:ascii="Times New Roman" w:eastAsia="SimSun" w:hAnsi="Times New Roman"/>
          <w:i/>
          <w:noProof/>
          <w:sz w:val="24"/>
          <w:szCs w:val="24"/>
        </w:rPr>
      </w:pPr>
      <w:r>
        <w:rPr>
          <w:rFonts w:ascii="Times New Roman" w:hAnsi="Times New Roman"/>
          <w:b/>
          <w:i/>
          <w:noProof/>
          <w:sz w:val="24"/>
        </w:rPr>
        <w:t>Priporočilo 10:</w:t>
      </w:r>
      <w:r>
        <w:rPr>
          <w:rFonts w:ascii="Times New Roman" w:hAnsi="Times New Roman"/>
          <w:i/>
          <w:noProof/>
          <w:sz w:val="24"/>
        </w:rPr>
        <w:t xml:space="preserve"> določiti objektivna merila za sprejetje in utemeljevanje odločitev o odvzemu imunitete poslancem, s čimer bi se pripomoglo k zagotovitvi, da se imuniteta ne bi uporabljala </w:t>
      </w:r>
      <w:r>
        <w:rPr>
          <w:rFonts w:ascii="Times New Roman" w:hAnsi="Times New Roman"/>
          <w:i/>
          <w:noProof/>
          <w:sz w:val="24"/>
        </w:rPr>
        <w:t>za izogibanje preiskovanju in pregonu kaznivih dejanj korupcije. Vlada bi lahko razmislila tudi o spremembi zakonodaje, da bi se imuniteta ministrov omejila na čas opravljanja njihovega mandata. Pri sprejemanju teh korakov lahko pomagata Beneška komisija i</w:t>
      </w:r>
      <w:r>
        <w:rPr>
          <w:rFonts w:ascii="Times New Roman" w:hAnsi="Times New Roman"/>
          <w:i/>
          <w:noProof/>
          <w:sz w:val="24"/>
        </w:rPr>
        <w:t>n skupina GRECO</w:t>
      </w:r>
      <w:r>
        <w:rPr>
          <w:rFonts w:ascii="Times New Roman" w:hAnsi="Times New Roman"/>
          <w:i/>
          <w:noProof/>
          <w:sz w:val="24"/>
          <w:vertAlign w:val="superscript"/>
        </w:rPr>
        <w:footnoteReference w:id="21"/>
      </w:r>
      <w:r>
        <w:rPr>
          <w:rFonts w:ascii="Times New Roman" w:hAnsi="Times New Roman"/>
          <w:i/>
          <w:noProof/>
          <w:sz w:val="24"/>
        </w:rPr>
        <w:t>. Parlament bi moral vzpostaviti sistem za redno poročanje o odločitvah obeh svojih domov o zahtevah za odvzem imunitete in bi lahko organiziral javno razpravo, v okviru katere bi se lahko odzvala vrhovni sodni svet in civilna družba.</w:t>
      </w:r>
    </w:p>
    <w:p w:rsidR="004A1A51" w:rsidRDefault="004F76EE">
      <w:pPr>
        <w:spacing w:before="120" w:after="120" w:line="240" w:lineRule="auto"/>
        <w:jc w:val="both"/>
        <w:rPr>
          <w:rFonts w:ascii="Times New Roman" w:eastAsia="SimSun" w:hAnsi="Times New Roman"/>
          <w:noProof/>
          <w:sz w:val="24"/>
          <w:szCs w:val="24"/>
        </w:rPr>
      </w:pPr>
      <w:r>
        <w:rPr>
          <w:rFonts w:ascii="Times New Roman" w:hAnsi="Times New Roman"/>
          <w:noProof/>
          <w:sz w:val="24"/>
        </w:rPr>
        <w:t>Priporočilo 10 se nanaša na odgovornost parlamenta pri njegovih odločitvah o zahtevah tožilstva, da se odobrijo preventivni ukrepi, kot so preiskave ali prijetja, in o zahtevah za odobritev preiskave poslancev, če opravljajo ali so opravljali ministrsko fu</w:t>
      </w:r>
      <w:r>
        <w:rPr>
          <w:rFonts w:ascii="Times New Roman" w:hAnsi="Times New Roman"/>
          <w:noProof/>
          <w:sz w:val="24"/>
        </w:rPr>
        <w:t>nkcijo (v nadaljnjem besedilu: odvzem imunitete). V prejšnjih poročilih MeSP je bilo poudarjeno, da so takšne odločitve v javnosti dajale vtis, da poskušajo omejevati ali preprečevati preiskovanje in pregon kaznivih dejanj korupcije. Zato je opredelitev me</w:t>
      </w:r>
      <w:r>
        <w:rPr>
          <w:rFonts w:ascii="Times New Roman" w:hAnsi="Times New Roman"/>
          <w:noProof/>
          <w:sz w:val="24"/>
        </w:rPr>
        <w:t>ril za odločanje o takšnih zahtevah tožilstva eden od načinov, na katerega se lahko pokaže, da so odločitve sprejete na objektivni podlagi</w:t>
      </w:r>
      <w:r>
        <w:rPr>
          <w:rFonts w:ascii="Times New Roman" w:hAnsi="Times New Roman"/>
          <w:noProof/>
          <w:sz w:val="24"/>
          <w:vertAlign w:val="superscript"/>
        </w:rPr>
        <w:footnoteReference w:id="22"/>
      </w:r>
      <w:r>
        <w:rPr>
          <w:rFonts w:ascii="Times New Roman" w:hAnsi="Times New Roman"/>
          <w:noProof/>
          <w:sz w:val="24"/>
        </w:rPr>
        <w:t xml:space="preserve">. </w:t>
      </w:r>
    </w:p>
    <w:p w:rsidR="004A1A51" w:rsidRDefault="004F76EE">
      <w:pPr>
        <w:spacing w:before="120" w:after="120" w:line="240" w:lineRule="auto"/>
        <w:jc w:val="both"/>
        <w:rPr>
          <w:rFonts w:ascii="Times New Roman" w:hAnsi="Times New Roman"/>
          <w:noProof/>
          <w:sz w:val="24"/>
          <w:szCs w:val="24"/>
        </w:rPr>
      </w:pPr>
      <w:r>
        <w:rPr>
          <w:rFonts w:ascii="Times New Roman" w:hAnsi="Times New Roman"/>
          <w:noProof/>
          <w:sz w:val="24"/>
        </w:rPr>
        <w:t>Nedavne tri zahteve za odvzem imunitete poslancev so bile zavrnjene. Poslanska zbornica je začela pred plenarnim g</w:t>
      </w:r>
      <w:r>
        <w:rPr>
          <w:rFonts w:ascii="Times New Roman" w:hAnsi="Times New Roman"/>
          <w:noProof/>
          <w:sz w:val="24"/>
        </w:rPr>
        <w:t xml:space="preserve">lasovanjem objavljati argumente odbora za pravne zadeve za zavrnitev zahteve ali soglasje z njo, s čimer je želela izboljšati preglednost. V dveh primerih je bil argument za zavrnitev zahteve, na katerega se je skliceval odbor za pravne zadeve, da dejanja </w:t>
      </w:r>
      <w:r>
        <w:rPr>
          <w:rFonts w:ascii="Times New Roman" w:hAnsi="Times New Roman"/>
          <w:noProof/>
          <w:sz w:val="24"/>
        </w:rPr>
        <w:t>nimajo pravne podlage, čeprav so opozicijske stranke to trditev izpodbijale z utemeljitvijo, da lahko samo sodniki presodijo, ali je oseba storila kaznivo dejanje. Komisija pozdravlja dejstvo, da se preučuje potreba po večji preglednosti pri nadaljnjih ukr</w:t>
      </w:r>
      <w:r>
        <w:rPr>
          <w:rFonts w:ascii="Times New Roman" w:hAnsi="Times New Roman"/>
          <w:noProof/>
          <w:sz w:val="24"/>
        </w:rPr>
        <w:t>epih</w:t>
      </w:r>
      <w:r>
        <w:rPr>
          <w:noProof/>
        </w:rPr>
        <w:t xml:space="preserve"> </w:t>
      </w:r>
      <w:r>
        <w:rPr>
          <w:rFonts w:ascii="Times New Roman" w:hAnsi="Times New Roman"/>
          <w:noProof/>
          <w:sz w:val="24"/>
        </w:rPr>
        <w:t>na podlagi zahtev tožilstva, vendar meni, da so za izpolnitev priporočila 10 potrebna nadaljnja prizadevanja. Ponovno poudarja svoj nasvet, da se za pomoč</w:t>
      </w:r>
      <w:r>
        <w:rPr>
          <w:rFonts w:ascii="Times New Roman" w:hAnsi="Times New Roman"/>
          <w:b/>
          <w:noProof/>
          <w:sz w:val="24"/>
        </w:rPr>
        <w:t xml:space="preserve"> </w:t>
      </w:r>
      <w:r>
        <w:rPr>
          <w:rFonts w:ascii="Times New Roman" w:hAnsi="Times New Roman"/>
          <w:noProof/>
          <w:sz w:val="24"/>
        </w:rPr>
        <w:t>zaprosita Beneška komisija in skupina GRECO, ki lahko zagotovita dragoceno strokovno znanje in i</w:t>
      </w:r>
      <w:r>
        <w:rPr>
          <w:rFonts w:ascii="Times New Roman" w:hAnsi="Times New Roman"/>
          <w:noProof/>
          <w:sz w:val="24"/>
        </w:rPr>
        <w:t xml:space="preserve">zkušnje o praksah na tem področju. </w:t>
      </w:r>
    </w:p>
    <w:p w:rsidR="004A1A51" w:rsidRDefault="004F76EE">
      <w:pPr>
        <w:spacing w:before="120" w:after="120" w:line="240" w:lineRule="auto"/>
        <w:jc w:val="both"/>
        <w:rPr>
          <w:rFonts w:ascii="Times New Roman" w:hAnsi="Times New Roman"/>
          <w:noProof/>
          <w:sz w:val="24"/>
          <w:szCs w:val="24"/>
        </w:rPr>
      </w:pPr>
      <w:r>
        <w:rPr>
          <w:rFonts w:ascii="Times New Roman" w:hAnsi="Times New Roman"/>
          <w:noProof/>
          <w:sz w:val="24"/>
        </w:rPr>
        <w:t>Komisija je v poročilu iz januarja jasno navedla, da bi slabenje ali zmanjševanje področja uporabe korupcije kot kaznivega dejanja ali večja nasprotovanja neodvisnosti in učinkovitosti protikorupcijskega urada javnega tožilstva pomenila korak nazaj pri izp</w:t>
      </w:r>
      <w:r>
        <w:rPr>
          <w:rFonts w:ascii="Times New Roman" w:hAnsi="Times New Roman"/>
          <w:noProof/>
          <w:sz w:val="24"/>
        </w:rPr>
        <w:t xml:space="preserve">olnjevanju priporočila. </w:t>
      </w:r>
    </w:p>
    <w:p w:rsidR="004A1A51" w:rsidRDefault="004F76EE">
      <w:pPr>
        <w:spacing w:before="120" w:after="120" w:line="240" w:lineRule="auto"/>
        <w:jc w:val="both"/>
        <w:rPr>
          <w:rFonts w:ascii="Times New Roman" w:hAnsi="Times New Roman"/>
          <w:i/>
          <w:noProof/>
          <w:sz w:val="24"/>
          <w:szCs w:val="24"/>
        </w:rPr>
      </w:pPr>
      <w:r>
        <w:rPr>
          <w:rFonts w:ascii="Times New Roman" w:hAnsi="Times New Roman"/>
          <w:i/>
          <w:noProof/>
          <w:sz w:val="24"/>
        </w:rPr>
        <w:t>Komisija meni, da so za izpolnitev priporočila 10 potrebna nadaljnja prizadevanja. Napredek v zvezi s tretjim merilom je na splošno ocenjen pozitivno, ta ocena pa temelji na predpostavki, da bo neodvisni nacionalni protikorupcijski</w:t>
      </w:r>
      <w:r>
        <w:rPr>
          <w:rFonts w:ascii="Times New Roman" w:hAnsi="Times New Roman"/>
          <w:i/>
          <w:noProof/>
          <w:sz w:val="24"/>
        </w:rPr>
        <w:t xml:space="preserve"> direktorat lahko izvajal svoje dejavnosti z vsemi orodji, ki jih ima na voljo, in še naprej dosegal enake rezultate. V prejšnjih poročilih je bilo dejstvo, da je nacionalni protikorupcijski direktorat pod hudim pritiskom še naprej dosegal enake rezultate,</w:t>
      </w:r>
      <w:r>
        <w:rPr>
          <w:rFonts w:ascii="Times New Roman" w:hAnsi="Times New Roman"/>
          <w:i/>
          <w:noProof/>
          <w:sz w:val="24"/>
        </w:rPr>
        <w:t xml:space="preserve"> sprejeto kot znak trajnosti. Zato je Komisija v okviru tretjega merila navedla eno samo priporočilo. Če bi ta pritisk začel škoditi boju proti korupciji, bo Komisija morda prisiljena to ugotovitev ponovno preučiti.</w:t>
      </w:r>
    </w:p>
    <w:p w:rsidR="004A1A51" w:rsidRDefault="004A1A51">
      <w:pPr>
        <w:keepNext/>
        <w:spacing w:before="240" w:after="120" w:line="240" w:lineRule="auto"/>
        <w:jc w:val="both"/>
        <w:rPr>
          <w:rFonts w:ascii="Times New Roman" w:hAnsi="Times New Roman"/>
          <w:b/>
          <w:noProof/>
          <w:sz w:val="24"/>
          <w:szCs w:val="24"/>
        </w:rPr>
      </w:pPr>
    </w:p>
    <w:p w:rsidR="004A1A51" w:rsidRDefault="004F76EE">
      <w:pPr>
        <w:keepNext/>
        <w:spacing w:before="240" w:after="120" w:line="240" w:lineRule="auto"/>
        <w:jc w:val="both"/>
        <w:rPr>
          <w:rFonts w:ascii="Times New Roman" w:hAnsi="Times New Roman"/>
          <w:b/>
          <w:noProof/>
          <w:sz w:val="24"/>
          <w:szCs w:val="24"/>
        </w:rPr>
      </w:pPr>
      <w:r>
        <w:rPr>
          <w:rFonts w:ascii="Times New Roman" w:hAnsi="Times New Roman"/>
          <w:b/>
          <w:noProof/>
          <w:sz w:val="24"/>
        </w:rPr>
        <w:t>3.4</w:t>
      </w:r>
      <w:r>
        <w:rPr>
          <w:noProof/>
        </w:rPr>
        <w:tab/>
      </w:r>
      <w:r>
        <w:rPr>
          <w:rFonts w:ascii="Times New Roman" w:hAnsi="Times New Roman"/>
          <w:b/>
          <w:noProof/>
          <w:sz w:val="24"/>
        </w:rPr>
        <w:t>Četrto merilo: Odpravljanje korupci</w:t>
      </w:r>
      <w:r>
        <w:rPr>
          <w:rFonts w:ascii="Times New Roman" w:hAnsi="Times New Roman"/>
          <w:b/>
          <w:noProof/>
          <w:sz w:val="24"/>
        </w:rPr>
        <w:t>je na vseh ravneh</w:t>
      </w:r>
    </w:p>
    <w:p w:rsidR="004A1A51" w:rsidRDefault="004F76EE">
      <w:pPr>
        <w:keepNext/>
        <w:pBdr>
          <w:top w:val="single" w:sz="4" w:space="1" w:color="auto"/>
          <w:left w:val="single" w:sz="4" w:space="4" w:color="auto"/>
          <w:bottom w:val="single" w:sz="4" w:space="1" w:color="auto"/>
          <w:right w:val="single" w:sz="4" w:space="4" w:color="auto"/>
        </w:pBdr>
        <w:spacing w:before="240" w:after="120" w:line="240" w:lineRule="auto"/>
        <w:jc w:val="both"/>
        <w:rPr>
          <w:rFonts w:ascii="Times New Roman" w:eastAsia="SimSun" w:hAnsi="Times New Roman"/>
          <w:i/>
          <w:noProof/>
          <w:sz w:val="24"/>
          <w:szCs w:val="24"/>
        </w:rPr>
      </w:pPr>
      <w:r>
        <w:rPr>
          <w:rFonts w:ascii="Times New Roman" w:hAnsi="Times New Roman"/>
          <w:b/>
          <w:i/>
          <w:noProof/>
          <w:sz w:val="24"/>
        </w:rPr>
        <w:t xml:space="preserve">Priporočilo 11: </w:t>
      </w:r>
      <w:r>
        <w:rPr>
          <w:rFonts w:ascii="Times New Roman" w:hAnsi="Times New Roman"/>
          <w:i/>
          <w:noProof/>
          <w:sz w:val="24"/>
        </w:rPr>
        <w:t>nadaljevati izvajanje nacionalne protikorupcijske strategije, še naprej upoštevati roke, ki jih je vlada postavila avgusta 2016. Minister za pravosodje bi moral vzpostaviti sistem poročanja o učinkovitem izvajanju nacional</w:t>
      </w:r>
      <w:r>
        <w:rPr>
          <w:rFonts w:ascii="Times New Roman" w:hAnsi="Times New Roman"/>
          <w:i/>
          <w:noProof/>
          <w:sz w:val="24"/>
        </w:rPr>
        <w:t>ne protikorupcijske strategije (vključno s statističnimi informacijami o incidentih, povezanih z integriteto, v javni upravi, podrobnostmi disciplinskih postopkov ter sankcijami in informacijami o strukturnih ukrepih, ki se izvajajo na ranljivih področjih)</w:t>
      </w:r>
      <w:r>
        <w:rPr>
          <w:rFonts w:ascii="Times New Roman" w:hAnsi="Times New Roman"/>
          <w:i/>
          <w:noProof/>
          <w:sz w:val="24"/>
        </w:rPr>
        <w:t>.</w:t>
      </w:r>
    </w:p>
    <w:p w:rsidR="004A1A51" w:rsidRDefault="004F76EE">
      <w:pPr>
        <w:keepNext/>
        <w:pBdr>
          <w:top w:val="single" w:sz="4" w:space="1" w:color="auto"/>
          <w:left w:val="single" w:sz="4" w:space="4" w:color="auto"/>
          <w:bottom w:val="single" w:sz="4" w:space="1" w:color="auto"/>
          <w:right w:val="single" w:sz="4" w:space="4" w:color="auto"/>
        </w:pBdr>
        <w:spacing w:before="240" w:after="120" w:line="240" w:lineRule="auto"/>
        <w:jc w:val="both"/>
        <w:rPr>
          <w:rFonts w:ascii="Times New Roman" w:hAnsi="Times New Roman"/>
          <w:b/>
          <w:i/>
          <w:noProof/>
          <w:sz w:val="24"/>
          <w:szCs w:val="24"/>
        </w:rPr>
      </w:pPr>
      <w:r>
        <w:rPr>
          <w:rFonts w:ascii="Times New Roman" w:hAnsi="Times New Roman"/>
          <w:b/>
          <w:i/>
          <w:noProof/>
          <w:sz w:val="24"/>
        </w:rPr>
        <w:t xml:space="preserve">Priporočilo 12: </w:t>
      </w:r>
      <w:r>
        <w:rPr>
          <w:rFonts w:ascii="Times New Roman" w:hAnsi="Times New Roman"/>
          <w:i/>
          <w:noProof/>
          <w:sz w:val="24"/>
        </w:rPr>
        <w:t>zagotoviti, da bo nacionalna agencija za upravljanje zaseženega premoženja delovala v celoti in učinkovito, tako da lahko izda prvo letno poročilo z zanesljivimi statističnimi informacijami o odvzemu sredstev, pridobljenih s kaznivim deja</w:t>
      </w:r>
      <w:r>
        <w:rPr>
          <w:rFonts w:ascii="Times New Roman" w:hAnsi="Times New Roman"/>
          <w:i/>
          <w:noProof/>
          <w:sz w:val="24"/>
        </w:rPr>
        <w:t>njem. Agencija bi morala vzpostaviti sistem za redno poročanje o razvoju upravne zmogljivosti ter rezultatih odvzema in upravljanja sredstev, pridobljenih s kaznivim dejanjem.</w:t>
      </w:r>
      <w:r>
        <w:rPr>
          <w:rFonts w:ascii="Times New Roman" w:hAnsi="Times New Roman"/>
          <w:b/>
          <w:i/>
          <w:noProof/>
          <w:sz w:val="24"/>
        </w:rPr>
        <w:t xml:space="preserve"> </w:t>
      </w:r>
    </w:p>
    <w:p w:rsidR="004A1A51" w:rsidRDefault="004F76EE">
      <w:pPr>
        <w:keepNext/>
        <w:spacing w:before="120" w:after="120" w:line="240" w:lineRule="auto"/>
        <w:jc w:val="both"/>
        <w:rPr>
          <w:rFonts w:ascii="Times New Roman" w:hAnsi="Times New Roman"/>
          <w:i/>
          <w:noProof/>
          <w:sz w:val="24"/>
          <w:szCs w:val="24"/>
        </w:rPr>
      </w:pPr>
      <w:r>
        <w:rPr>
          <w:rFonts w:ascii="Times New Roman" w:hAnsi="Times New Roman"/>
          <w:i/>
          <w:noProof/>
          <w:sz w:val="24"/>
        </w:rPr>
        <w:t>Nacionalna protikorupcijska strategija</w:t>
      </w:r>
    </w:p>
    <w:p w:rsidR="004A1A51" w:rsidRDefault="004F76EE">
      <w:pPr>
        <w:spacing w:before="120" w:after="120" w:line="240" w:lineRule="auto"/>
        <w:jc w:val="both"/>
        <w:rPr>
          <w:rFonts w:ascii="Times New Roman" w:hAnsi="Times New Roman"/>
          <w:noProof/>
          <w:sz w:val="24"/>
          <w:szCs w:val="24"/>
        </w:rPr>
      </w:pPr>
      <w:r>
        <w:rPr>
          <w:rFonts w:ascii="Times New Roman" w:hAnsi="Times New Roman"/>
          <w:noProof/>
          <w:sz w:val="24"/>
        </w:rPr>
        <w:t>Nacionalna protikorupcijska strategija z</w:t>
      </w:r>
      <w:r>
        <w:rPr>
          <w:rFonts w:ascii="Times New Roman" w:hAnsi="Times New Roman"/>
          <w:noProof/>
          <w:sz w:val="24"/>
        </w:rPr>
        <w:t>a obdobje 2016–2020, ki jo je avgusta 2016 predstavila vlada, lahko postane učinkovita politika preprečevanja korupcije, če se bo pravilno izvajala in bodo sprejeti nadaljnji ukrepi na njeni podlagi na terenu. Strategija zajema osrednje in lokalne javne in</w:t>
      </w:r>
      <w:r>
        <w:rPr>
          <w:rFonts w:ascii="Times New Roman" w:hAnsi="Times New Roman"/>
          <w:noProof/>
          <w:sz w:val="24"/>
        </w:rPr>
        <w:t>stitucije. Kar zadeva tehnično raven, si je tehnični sekretariat strategije v okviru ministrstva za pravosodje prizadeval, da bi se strategija začela izvajati. Pozitivno je, da se je veliko javnih institucij odločilo za sodelovanje pri protikorupcijski str</w:t>
      </w:r>
      <w:r>
        <w:rPr>
          <w:rFonts w:ascii="Times New Roman" w:hAnsi="Times New Roman"/>
          <w:noProof/>
          <w:sz w:val="24"/>
        </w:rPr>
        <w:t xml:space="preserve">ategiji. Velik del leta je bil namenjen pripravi načrtov za zagotavljanje integritete znotraj vsake javne institucije in vzpostavitvi prvega cikla spremljanja z medsebojnimi strokovnimi pregledi. Druge institucije, kot sta nacionalna služba za integriteto </w:t>
      </w:r>
      <w:r>
        <w:rPr>
          <w:rFonts w:ascii="Times New Roman" w:hAnsi="Times New Roman"/>
          <w:noProof/>
          <w:sz w:val="24"/>
        </w:rPr>
        <w:t>in pravosodna policijska enota za boj proti korupciji pri ministrstvu za notranje zadeve, prav tako sodelujejo pri oblikovanju preventivnih ukrepov</w:t>
      </w:r>
      <w:r>
        <w:rPr>
          <w:rStyle w:val="FootnoteReference"/>
          <w:rFonts w:ascii="Times New Roman" w:hAnsi="Times New Roman"/>
          <w:noProof/>
          <w:sz w:val="24"/>
        </w:rPr>
        <w:footnoteReference w:id="23"/>
      </w:r>
      <w:r>
        <w:rPr>
          <w:noProof/>
        </w:rPr>
        <w:t>.</w:t>
      </w:r>
      <w:r>
        <w:rPr>
          <w:rFonts w:ascii="Times New Roman" w:hAnsi="Times New Roman"/>
          <w:noProof/>
          <w:sz w:val="24"/>
        </w:rPr>
        <w:t xml:space="preserve"> Strategija bo prejela tudi podporo iz sredstev EU. Prvo poročanje o izvajanju ukrepov bo potekalo v začetku leta 2018 in v njegovem okviru bo podan celovit pregled napredka.</w:t>
      </w:r>
    </w:p>
    <w:p w:rsidR="004A1A51" w:rsidRDefault="004F76EE">
      <w:pPr>
        <w:spacing w:before="120" w:after="120" w:line="240" w:lineRule="auto"/>
        <w:jc w:val="both"/>
        <w:rPr>
          <w:rFonts w:ascii="Times New Roman" w:hAnsi="Times New Roman"/>
          <w:noProof/>
          <w:sz w:val="24"/>
          <w:szCs w:val="24"/>
        </w:rPr>
      </w:pPr>
      <w:r>
        <w:rPr>
          <w:rFonts w:ascii="Times New Roman" w:hAnsi="Times New Roman"/>
          <w:noProof/>
          <w:sz w:val="24"/>
        </w:rPr>
        <w:t>Ker se je protikorupcijska strategija začela izvajati na tehnični ravni, bi jo mo</w:t>
      </w:r>
      <w:r>
        <w:rPr>
          <w:rFonts w:ascii="Times New Roman" w:hAnsi="Times New Roman"/>
          <w:noProof/>
          <w:sz w:val="24"/>
        </w:rPr>
        <w:t>rale zdaj vlada in lokalne oblasti vidno podpreti, da se dokaže napredek, podobno kot se je dogajalo pri izvajanju prvotne strategije ter pri prizadevanjih za širjenje dobrih praks in spodbujanje javnih organov, da boju proti korupciji namenijo več sredste</w:t>
      </w:r>
      <w:r>
        <w:rPr>
          <w:rFonts w:ascii="Times New Roman" w:hAnsi="Times New Roman"/>
          <w:noProof/>
          <w:sz w:val="24"/>
        </w:rPr>
        <w:t>v in pozornosti. Ministri, pristojni za osrednjo in javno upravo, ter ministri v ključnih sektorjih, kot sta izobraževanje ali zdravstvo, bi lahko imeli posebej pomembno vlogo. Junija je minister za pravosodje oba domova parlamenta povabil k podpisu skupne</w:t>
      </w:r>
      <w:r>
        <w:rPr>
          <w:rFonts w:ascii="Times New Roman" w:hAnsi="Times New Roman"/>
          <w:noProof/>
          <w:sz w:val="24"/>
        </w:rPr>
        <w:t xml:space="preserve"> izjave v podporo nacionalni protikorupcijski strategiji za obdobje 2016–2020. To se še ni uresničilo. Na splošno bi bilo treba s političnega vidika prednostno obravnavati preprečevanje korupcije, zlasti s sprejetjem potrebnih ukrepov, da se polno podpre i</w:t>
      </w:r>
      <w:r>
        <w:rPr>
          <w:rFonts w:ascii="Times New Roman" w:hAnsi="Times New Roman"/>
          <w:noProof/>
          <w:sz w:val="24"/>
        </w:rPr>
        <w:t>zvajanje nacionalne protikorupcijske strategije na osrednji in lokalni ravni, pri tem pa zagotoviti stabilnost zadevnega pravnega okvira in ohraniti pozitivne rezultate državnega tožilstva.</w:t>
      </w:r>
    </w:p>
    <w:p w:rsidR="004A1A51" w:rsidRDefault="004F76EE">
      <w:pPr>
        <w:spacing w:before="120" w:after="120" w:line="240" w:lineRule="auto"/>
        <w:jc w:val="both"/>
        <w:rPr>
          <w:rFonts w:ascii="Times New Roman" w:eastAsia="Times New Roman" w:hAnsi="Times New Roman"/>
          <w:i/>
          <w:noProof/>
          <w:sz w:val="24"/>
          <w:szCs w:val="24"/>
        </w:rPr>
      </w:pPr>
      <w:r>
        <w:rPr>
          <w:rFonts w:ascii="Times New Roman" w:hAnsi="Times New Roman"/>
          <w:i/>
          <w:noProof/>
          <w:sz w:val="24"/>
        </w:rPr>
        <w:t>Nacionalna agencija za upravljanje zaseženega premoženja</w:t>
      </w:r>
    </w:p>
    <w:p w:rsidR="004A1A51" w:rsidRDefault="004F76EE">
      <w:pPr>
        <w:spacing w:before="120" w:after="120" w:line="240" w:lineRule="auto"/>
        <w:jc w:val="both"/>
        <w:rPr>
          <w:rFonts w:ascii="Times New Roman" w:hAnsi="Times New Roman"/>
          <w:noProof/>
          <w:sz w:val="24"/>
          <w:szCs w:val="24"/>
        </w:rPr>
      </w:pPr>
      <w:r>
        <w:rPr>
          <w:rFonts w:ascii="Times New Roman" w:hAnsi="Times New Roman"/>
          <w:noProof/>
          <w:sz w:val="24"/>
        </w:rPr>
        <w:t>Nacionaln</w:t>
      </w:r>
      <w:r>
        <w:rPr>
          <w:rFonts w:ascii="Times New Roman" w:hAnsi="Times New Roman"/>
          <w:noProof/>
          <w:sz w:val="24"/>
        </w:rPr>
        <w:t>a agencija za upravljanje zaseženega premoženja zdaj deluje v celoti. Agencija je februarja 2017 objavila svoje prvo letno poročilo in s pomočjo davčne uprave ji je uspelo določiti skupne vsote denarja, pridobljenega iz prodaje zaseženih sredstev v letu 20</w:t>
      </w:r>
      <w:r>
        <w:rPr>
          <w:rFonts w:ascii="Times New Roman" w:hAnsi="Times New Roman"/>
          <w:noProof/>
          <w:sz w:val="24"/>
        </w:rPr>
        <w:t xml:space="preserve">16 (približno 5 milijonov EUR), del katerih je treba prerazporediti in jih nameniti za ponovno uporabo v socialne in javne namene. Prvi razpis za zbiranje predlogov bo objavljen v letu 2018. </w:t>
      </w:r>
    </w:p>
    <w:p w:rsidR="004A1A51" w:rsidRDefault="004F76EE">
      <w:pPr>
        <w:spacing w:before="120" w:after="120" w:line="240" w:lineRule="auto"/>
        <w:jc w:val="both"/>
        <w:rPr>
          <w:rFonts w:ascii="Times New Roman" w:hAnsi="Times New Roman"/>
          <w:noProof/>
          <w:sz w:val="24"/>
          <w:szCs w:val="24"/>
        </w:rPr>
      </w:pPr>
      <w:r>
        <w:rPr>
          <w:rFonts w:ascii="Times New Roman" w:hAnsi="Times New Roman"/>
          <w:noProof/>
          <w:sz w:val="24"/>
        </w:rPr>
        <w:t>V poročilu iz januarja 2017 je bilo poudarjeno, da naj bi agenci</w:t>
      </w:r>
      <w:r>
        <w:rPr>
          <w:rFonts w:ascii="Times New Roman" w:hAnsi="Times New Roman"/>
          <w:noProof/>
          <w:sz w:val="24"/>
        </w:rPr>
        <w:t>ja sčasoma prispevala k povečanju deleža dejansko izterjanih sredstev. To delo že poteka, saj se zbirajo podatki vseh sodišč in začenja izvajati projekt za spremljanje vseh relevantnih sodnih odločb v zvezi z odvzemom sredstev, pridobljenih s kaznivim deja</w:t>
      </w:r>
      <w:r>
        <w:rPr>
          <w:rFonts w:ascii="Times New Roman" w:hAnsi="Times New Roman"/>
          <w:noProof/>
          <w:sz w:val="24"/>
        </w:rPr>
        <w:t>njem, ki so povezane s podatkovno zbirko davčne uprave o izvršbah. Ta projekt bi se moral zaključiti do konca leta 2018 in omogočiti boljši pregled stanja, tako da se lahko sprejmejo ustrezni ukrepi in se na njihovi podlagi poveča delež dejansko izterjanih</w:t>
      </w:r>
      <w:r>
        <w:rPr>
          <w:rFonts w:ascii="Times New Roman" w:hAnsi="Times New Roman"/>
          <w:noProof/>
          <w:sz w:val="24"/>
        </w:rPr>
        <w:t xml:space="preserve"> sredstev. </w:t>
      </w:r>
    </w:p>
    <w:p w:rsidR="004A1A51" w:rsidRDefault="004F76EE">
      <w:pPr>
        <w:spacing w:before="120" w:after="120" w:line="240" w:lineRule="auto"/>
        <w:jc w:val="both"/>
        <w:rPr>
          <w:rFonts w:ascii="Times New Roman" w:hAnsi="Times New Roman"/>
          <w:noProof/>
          <w:sz w:val="24"/>
          <w:szCs w:val="24"/>
        </w:rPr>
      </w:pPr>
      <w:r>
        <w:rPr>
          <w:rFonts w:ascii="Times New Roman" w:hAnsi="Times New Roman"/>
          <w:noProof/>
          <w:sz w:val="24"/>
        </w:rPr>
        <w:t>Naslednje letno poročilo nacionalne agencije za upravljanje zaseženega premoženja, ki naj bi bilo pripravljeno v letu 2018, bi moralo jasno poročati o doseženih rezultatih agencije v letu 2017.</w:t>
      </w:r>
    </w:p>
    <w:p w:rsidR="004A1A51" w:rsidRDefault="004F76EE">
      <w:pPr>
        <w:spacing w:before="120" w:after="120" w:line="240" w:lineRule="auto"/>
        <w:jc w:val="both"/>
        <w:rPr>
          <w:rFonts w:ascii="Times New Roman" w:hAnsi="Times New Roman"/>
          <w:i/>
          <w:noProof/>
          <w:sz w:val="24"/>
          <w:szCs w:val="24"/>
        </w:rPr>
      </w:pPr>
      <w:r>
        <w:rPr>
          <w:rFonts w:ascii="Times New Roman" w:hAnsi="Times New Roman"/>
          <w:i/>
          <w:noProof/>
          <w:sz w:val="24"/>
        </w:rPr>
        <w:t>Komisija meni, da so še vedno potrebna dodatna pri</w:t>
      </w:r>
      <w:r>
        <w:rPr>
          <w:rFonts w:ascii="Times New Roman" w:hAnsi="Times New Roman"/>
          <w:i/>
          <w:noProof/>
          <w:sz w:val="24"/>
        </w:rPr>
        <w:t>zadevanja, da bi se izpolnilo četrto merilo. Komisija meni, da bi bilo treba s političnega vidika še bolj prednostno obravnavati preprečevanje korupcije in podporo izvajanju nacionalne protikorupcijske strategije, poleg tega pa so za izpolnitev priporočila</w:t>
      </w:r>
      <w:r>
        <w:rPr>
          <w:rFonts w:ascii="Times New Roman" w:hAnsi="Times New Roman"/>
          <w:i/>
          <w:noProof/>
          <w:sz w:val="24"/>
        </w:rPr>
        <w:t xml:space="preserve"> 11 potrebni še konkretni znaki, da se preprečevanje korupcije ukoreninja. Kar zadeva priporočilo 12, bi Komisiji potrditev dobrih operativnih rezultatov omogočila sprejetje ugotovitve, da je to priporočilo izpolnjeno.</w:t>
      </w:r>
    </w:p>
    <w:p w:rsidR="004A1A51" w:rsidRDefault="004A1A51">
      <w:pPr>
        <w:spacing w:before="120" w:after="120" w:line="240" w:lineRule="auto"/>
        <w:jc w:val="both"/>
        <w:rPr>
          <w:rFonts w:ascii="Times New Roman" w:hAnsi="Times New Roman"/>
          <w:noProof/>
          <w:sz w:val="24"/>
          <w:szCs w:val="24"/>
        </w:rPr>
      </w:pPr>
    </w:p>
    <w:p w:rsidR="004A1A51" w:rsidRDefault="004F76EE">
      <w:pPr>
        <w:keepNext/>
        <w:spacing w:before="120" w:after="120" w:line="240" w:lineRule="auto"/>
        <w:jc w:val="both"/>
        <w:rPr>
          <w:rFonts w:ascii="Times New Roman" w:hAnsi="Times New Roman"/>
          <w:b/>
          <w:noProof/>
          <w:sz w:val="24"/>
          <w:szCs w:val="24"/>
        </w:rPr>
      </w:pPr>
      <w:r>
        <w:rPr>
          <w:rFonts w:ascii="Times New Roman" w:hAnsi="Times New Roman"/>
          <w:b/>
          <w:noProof/>
          <w:sz w:val="24"/>
        </w:rPr>
        <w:t xml:space="preserve">4. ZAKLJUČEK </w:t>
      </w:r>
    </w:p>
    <w:p w:rsidR="004A1A51" w:rsidRDefault="004F76EE">
      <w:pPr>
        <w:spacing w:line="240" w:lineRule="auto"/>
        <w:jc w:val="both"/>
        <w:rPr>
          <w:rFonts w:ascii="Times New Roman" w:hAnsi="Times New Roman"/>
          <w:noProof/>
          <w:sz w:val="24"/>
          <w:szCs w:val="24"/>
        </w:rPr>
      </w:pPr>
      <w:r>
        <w:rPr>
          <w:rFonts w:ascii="Times New Roman" w:hAnsi="Times New Roman"/>
          <w:noProof/>
          <w:sz w:val="24"/>
        </w:rPr>
        <w:t>V devetmesečnem obdobj</w:t>
      </w:r>
      <w:r>
        <w:rPr>
          <w:rFonts w:ascii="Times New Roman" w:hAnsi="Times New Roman"/>
          <w:noProof/>
          <w:sz w:val="24"/>
        </w:rPr>
        <w:t xml:space="preserve">u od priprave poročila iz januarja 2017, ki določa ključna priporočila za izpolnitev vseh meril MeSP, je bil napredek dosežen v zvezi z več priporočili, zlasti v zvezi s priporočilom 8, ki je bilo zadovoljivo izpolnjeno, in priporočili 2, 7 in 12, katerih </w:t>
      </w:r>
      <w:r>
        <w:rPr>
          <w:rFonts w:ascii="Times New Roman" w:hAnsi="Times New Roman"/>
          <w:noProof/>
          <w:sz w:val="24"/>
        </w:rPr>
        <w:t>izpolnitev je odvisna od izvedbe ukrepov v praksi. Čeprav je Romunija pri izpolnjevanju nekaterih priporočil dobro napredovala, se je splošni zagon izvajanja reform v letu 2017 izgubil, kar upočasnjuje izpolnjevanje preostalih priporočil, obstajajo pa tudi</w:t>
      </w:r>
      <w:r>
        <w:rPr>
          <w:rFonts w:ascii="Times New Roman" w:hAnsi="Times New Roman"/>
          <w:noProof/>
          <w:sz w:val="24"/>
        </w:rPr>
        <w:t xml:space="preserve"> tveganja, da se bodo ponovno odprla vprašanja, ki so se v poročilu iz januarja 2017 štela za izpolnjena. Nasprotovanja in postavljanje pod vprašaj neodvisnosti sodstva so prav tako stalen razlog za zaskrbljenost.</w:t>
      </w:r>
    </w:p>
    <w:p w:rsidR="004A1A51" w:rsidRDefault="004F76EE">
      <w:pPr>
        <w:spacing w:line="240" w:lineRule="auto"/>
        <w:jc w:val="both"/>
        <w:rPr>
          <w:rFonts w:ascii="Times New Roman" w:hAnsi="Times New Roman"/>
          <w:noProof/>
          <w:sz w:val="24"/>
          <w:szCs w:val="24"/>
        </w:rPr>
      </w:pPr>
      <w:r>
        <w:rPr>
          <w:rFonts w:ascii="Times New Roman" w:hAnsi="Times New Roman"/>
          <w:noProof/>
          <w:sz w:val="24"/>
        </w:rPr>
        <w:t>Čeprav je pri nekaterih merilih zaradi nap</w:t>
      </w:r>
      <w:r>
        <w:rPr>
          <w:rFonts w:ascii="Times New Roman" w:hAnsi="Times New Roman"/>
          <w:noProof/>
          <w:sz w:val="24"/>
        </w:rPr>
        <w:t>redka njihova izpolnitev manj oddaljena, Komisija na tej podlagi še ne more sprejeti sklepa, da je katero koli od meril na tej stopnji zadovoljivo izpolnjeno.</w:t>
      </w:r>
      <w:r>
        <w:rPr>
          <w:noProof/>
        </w:rPr>
        <w:t xml:space="preserve"> </w:t>
      </w:r>
      <w:r>
        <w:rPr>
          <w:rFonts w:ascii="Times New Roman" w:hAnsi="Times New Roman"/>
          <w:noProof/>
          <w:sz w:val="24"/>
        </w:rPr>
        <w:t>Komisija še vedno meni, da bo Romunija z lojalnim sodelovanjem med državnimi institucijami, polit</w:t>
      </w:r>
      <w:r>
        <w:rPr>
          <w:rFonts w:ascii="Times New Roman" w:hAnsi="Times New Roman"/>
          <w:noProof/>
          <w:sz w:val="24"/>
        </w:rPr>
        <w:t xml:space="preserve">ično usmeritvijo, ki utrjuje pretekle dosežke, in s spoštovanjem neodvisnosti sodstva lahko izpolnila preostala neizpolnjena priporočila MeSP v bližnji prihodnosti. </w:t>
      </w:r>
    </w:p>
    <w:p w:rsidR="004A1A51" w:rsidRDefault="004F76EE">
      <w:pPr>
        <w:spacing w:line="240" w:lineRule="auto"/>
        <w:jc w:val="both"/>
        <w:rPr>
          <w:rFonts w:ascii="Times New Roman" w:hAnsi="Times New Roman"/>
          <w:noProof/>
          <w:sz w:val="24"/>
          <w:szCs w:val="24"/>
        </w:rPr>
      </w:pPr>
      <w:r>
        <w:rPr>
          <w:rFonts w:ascii="Times New Roman" w:hAnsi="Times New Roman"/>
          <w:noProof/>
          <w:sz w:val="24"/>
        </w:rPr>
        <w:t xml:space="preserve">Komisija poziva Romunijo, naj izvede potrebne ukrepe in izpolni vsa priporočila, napredek </w:t>
      </w:r>
      <w:r>
        <w:rPr>
          <w:rFonts w:ascii="Times New Roman" w:hAnsi="Times New Roman"/>
          <w:noProof/>
          <w:sz w:val="24"/>
        </w:rPr>
        <w:t>pa bo spet ocenila proti koncu leta 2018.</w:t>
      </w:r>
    </w:p>
    <w:sectPr w:rsidR="004A1A51">
      <w:headerReference w:type="even" r:id="rId16"/>
      <w:headerReference w:type="default" r:id="rId17"/>
      <w:footerReference w:type="even" r:id="rId18"/>
      <w:footerReference w:type="default" r:id="rId19"/>
      <w:headerReference w:type="first" r:id="rId20"/>
      <w:footerReference w:type="first" r:id="rId21"/>
      <w:pgSz w:w="11906" w:h="16838"/>
      <w:pgMar w:top="1417" w:right="1417" w:bottom="1417" w:left="1417" w:header="708" w:footer="708"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A1A51" w:rsidRDefault="004F76EE">
      <w:pPr>
        <w:spacing w:after="0" w:line="240" w:lineRule="auto"/>
      </w:pPr>
      <w:r>
        <w:separator/>
      </w:r>
    </w:p>
  </w:endnote>
  <w:endnote w:type="continuationSeparator" w:id="0">
    <w:p w:rsidR="004A1A51" w:rsidRDefault="004F76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76EE" w:rsidRPr="004F76EE" w:rsidRDefault="004F76EE" w:rsidP="004F76E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76EE" w:rsidRPr="004F76EE" w:rsidRDefault="004F76EE" w:rsidP="004F76EE">
    <w:pPr>
      <w:pStyle w:val="FooterCoverPage"/>
      <w:rPr>
        <w:rFonts w:ascii="Arial" w:hAnsi="Arial" w:cs="Arial"/>
        <w:b/>
        <w:sz w:val="48"/>
      </w:rPr>
    </w:pPr>
    <w:r w:rsidRPr="004F76EE">
      <w:rPr>
        <w:rFonts w:ascii="Arial" w:hAnsi="Arial" w:cs="Arial"/>
        <w:b/>
        <w:sz w:val="48"/>
      </w:rPr>
      <w:t>SL</w:t>
    </w:r>
    <w:r w:rsidRPr="004F76EE">
      <w:rPr>
        <w:rFonts w:ascii="Arial" w:hAnsi="Arial" w:cs="Arial"/>
        <w:b/>
        <w:sz w:val="48"/>
      </w:rPr>
      <w:tab/>
    </w:r>
    <w:r w:rsidRPr="004F76EE">
      <w:rPr>
        <w:rFonts w:ascii="Arial" w:hAnsi="Arial" w:cs="Arial"/>
        <w:b/>
        <w:sz w:val="48"/>
      </w:rPr>
      <w:tab/>
    </w:r>
    <w:r w:rsidRPr="004F76EE">
      <w:tab/>
    </w:r>
    <w:r w:rsidRPr="004F76EE">
      <w:rPr>
        <w:rFonts w:ascii="Arial" w:hAnsi="Arial" w:cs="Arial"/>
        <w:b/>
        <w:sz w:val="48"/>
      </w:rPr>
      <w:t>SL</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76EE" w:rsidRPr="004F76EE" w:rsidRDefault="004F76EE" w:rsidP="004F76EE">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1A51" w:rsidRDefault="004A1A51">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1A51" w:rsidRDefault="004F76EE">
    <w:pPr>
      <w:pStyle w:val="Footer"/>
      <w:jc w:val="center"/>
    </w:pPr>
    <w:r>
      <w:fldChar w:fldCharType="begin"/>
    </w:r>
    <w:r>
      <w:instrText xml:space="preserve"> PAGE   \* MERGEFORMAT </w:instrText>
    </w:r>
    <w:r>
      <w:fldChar w:fldCharType="separate"/>
    </w:r>
    <w:r>
      <w:rPr>
        <w:noProof/>
      </w:rPr>
      <w:t>12</w:t>
    </w:r>
    <w:r>
      <w:rPr>
        <w:noProof/>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1A51" w:rsidRDefault="004A1A5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A1A51" w:rsidRDefault="004F76EE">
      <w:pPr>
        <w:spacing w:after="0" w:line="240" w:lineRule="auto"/>
      </w:pPr>
      <w:r>
        <w:separator/>
      </w:r>
    </w:p>
  </w:footnote>
  <w:footnote w:type="continuationSeparator" w:id="0">
    <w:p w:rsidR="004A1A51" w:rsidRDefault="004F76EE">
      <w:pPr>
        <w:spacing w:after="0" w:line="240" w:lineRule="auto"/>
      </w:pPr>
      <w:r>
        <w:continuationSeparator/>
      </w:r>
    </w:p>
  </w:footnote>
  <w:footnote w:id="1">
    <w:p w:rsidR="004A1A51" w:rsidRDefault="004F76EE">
      <w:pPr>
        <w:pStyle w:val="FootnoteText"/>
        <w:spacing w:after="0" w:line="240" w:lineRule="auto"/>
        <w:ind w:left="284" w:hanging="284"/>
        <w:contextualSpacing/>
        <w:jc w:val="both"/>
        <w:rPr>
          <w:rFonts w:ascii="Times New Roman" w:hAnsi="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Sklepi Sveta ministrov z dne 17. oktobra 2006 (13339/06); Odločba Komisije z dne 13. decembra 2006 o vzpostavitvi mehanizma za sodelovanje in preverjanje napredka Romunije pr</w:t>
      </w:r>
      <w:r>
        <w:rPr>
          <w:rFonts w:ascii="Times New Roman" w:hAnsi="Times New Roman"/>
        </w:rPr>
        <w:t>i izpolnjevanju posebej določenih meril na področjih reforme pravosodja in boja proti korupciji (C(2006) 6569 final).</w:t>
      </w:r>
    </w:p>
  </w:footnote>
  <w:footnote w:id="2">
    <w:p w:rsidR="004A1A51" w:rsidRDefault="004F76EE">
      <w:pPr>
        <w:pStyle w:val="FootnoteText"/>
        <w:spacing w:after="0" w:line="240" w:lineRule="auto"/>
        <w:ind w:left="284" w:hanging="284"/>
        <w:jc w:val="both"/>
        <w:rPr>
          <w:rFonts w:ascii="Times New Roman" w:hAnsi="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Sklepi Sveta o MeSP.</w:t>
      </w:r>
    </w:p>
  </w:footnote>
  <w:footnote w:id="3">
    <w:p w:rsidR="004A1A51" w:rsidRDefault="004F76EE">
      <w:pPr>
        <w:pStyle w:val="FootnoteText"/>
        <w:spacing w:after="0" w:line="240" w:lineRule="auto"/>
        <w:ind w:left="284" w:hanging="284"/>
        <w:contextualSpacing/>
        <w:jc w:val="both"/>
        <w:rPr>
          <w:rFonts w:ascii="Times New Roman" w:hAnsi="Times New Roman"/>
          <w:lang w:val="pt-PT"/>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COM(2017) 44.</w:t>
      </w:r>
    </w:p>
  </w:footnote>
  <w:footnote w:id="4">
    <w:p w:rsidR="004A1A51" w:rsidRDefault="004F76EE">
      <w:pPr>
        <w:pStyle w:val="FootnoteText"/>
        <w:spacing w:after="0" w:line="240" w:lineRule="auto"/>
        <w:ind w:left="284" w:hanging="284"/>
        <w:contextualSpacing/>
        <w:jc w:val="both"/>
        <w:rPr>
          <w:rFonts w:ascii="Times New Roman" w:hAnsi="Times New Roman"/>
          <w:lang w:val="pt-PT"/>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http://europa.eu/rapid/press-release_SPEECH-17-3165_sl.htm.</w:t>
      </w:r>
    </w:p>
  </w:footnote>
  <w:footnote w:id="5">
    <w:p w:rsidR="004A1A51" w:rsidRDefault="004F76EE">
      <w:pPr>
        <w:pStyle w:val="FootnoteText"/>
        <w:spacing w:after="0" w:line="240" w:lineRule="auto"/>
        <w:ind w:left="284" w:hanging="284"/>
        <w:jc w:val="both"/>
        <w:rPr>
          <w:rFonts w:ascii="Times New Roman" w:hAnsi="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 xml:space="preserve">Izredni odlok št. 13/2017 o </w:t>
      </w:r>
      <w:r>
        <w:rPr>
          <w:rFonts w:ascii="Times New Roman" w:hAnsi="Times New Roman"/>
        </w:rPr>
        <w:t>spremembi kazenskega zakonika in zakonika o kazenskem postopku.</w:t>
      </w:r>
    </w:p>
  </w:footnote>
  <w:footnote w:id="6">
    <w:p w:rsidR="004A1A51" w:rsidRDefault="004F76EE">
      <w:pPr>
        <w:pStyle w:val="FootnoteText"/>
        <w:spacing w:after="0" w:line="240" w:lineRule="auto"/>
        <w:ind w:left="284" w:hanging="284"/>
        <w:jc w:val="both"/>
      </w:pPr>
      <w:r>
        <w:rPr>
          <w:rStyle w:val="FootnoteReference"/>
        </w:rPr>
        <w:footnoteRef/>
      </w:r>
      <w:r>
        <w:t xml:space="preserve"> </w:t>
      </w:r>
      <w:r>
        <w:tab/>
      </w:r>
      <w:r>
        <w:rPr>
          <w:rFonts w:ascii="Times New Roman" w:hAnsi="Times New Roman"/>
        </w:rPr>
        <w:t>Vrhovni sodni svet je 9. novembra podal drugo negativno mnenje o predlogih s področja pravosodne zakonodaje, ki so trenutno na dnevnem redu v parlamentu, čeprav ta odločba še ni bila obrazl</w:t>
      </w:r>
      <w:r>
        <w:rPr>
          <w:rFonts w:ascii="Times New Roman" w:hAnsi="Times New Roman"/>
        </w:rPr>
        <w:t>ožena.</w:t>
      </w:r>
    </w:p>
  </w:footnote>
  <w:footnote w:id="7">
    <w:p w:rsidR="004A1A51" w:rsidRDefault="004F76EE">
      <w:pPr>
        <w:pStyle w:val="FootnoteText"/>
        <w:spacing w:after="0" w:line="240" w:lineRule="auto"/>
        <w:ind w:left="284" w:hanging="284"/>
        <w:contextualSpacing/>
        <w:jc w:val="both"/>
        <w:rPr>
          <w:rFonts w:ascii="Times New Roman" w:hAnsi="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 xml:space="preserve">Posvetovalni svet evropskih sodnikov (CCJE) Sveta Evrope je v prejšnjih mnenjih priporočal, da „bi se bilo treba s sodstvom posvetovati, hkrati pa bi moralo biti to tudi dejavno pri pripravi kakršne koli zakonodaje, ki se nanaša na njegov status </w:t>
      </w:r>
      <w:r>
        <w:rPr>
          <w:rFonts w:ascii="Times New Roman" w:hAnsi="Times New Roman"/>
        </w:rPr>
        <w:t>in delovanje pravosodnega sistema“. „Položaj sodstva in njegov odnos z drugimi vejami državnih oblasti v sodobni demokraciji,“ Mnenje št. 18 (2015).</w:t>
      </w:r>
    </w:p>
  </w:footnote>
  <w:footnote w:id="8">
    <w:p w:rsidR="004A1A51" w:rsidRDefault="004F76EE">
      <w:pPr>
        <w:pStyle w:val="FootnoteText"/>
        <w:spacing w:after="0" w:line="240" w:lineRule="auto"/>
        <w:ind w:left="284" w:hanging="284"/>
        <w:jc w:val="both"/>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 xml:space="preserve">Na primer javne izjave organov, da celoten pravosodni sistem ne deluje ali da je treba spet vzpostaviti </w:t>
      </w:r>
      <w:r>
        <w:rPr>
          <w:rFonts w:ascii="Times New Roman" w:hAnsi="Times New Roman"/>
        </w:rPr>
        <w:t>„normalno stanje“.</w:t>
      </w:r>
    </w:p>
  </w:footnote>
  <w:footnote w:id="9">
    <w:p w:rsidR="004A1A51" w:rsidRDefault="004F76EE">
      <w:pPr>
        <w:pStyle w:val="FootnoteText"/>
        <w:spacing w:after="0" w:line="240" w:lineRule="auto"/>
        <w:ind w:left="284" w:hanging="284"/>
        <w:contextualSpacing/>
        <w:jc w:val="both"/>
        <w:rPr>
          <w:rFonts w:ascii="Times New Roman" w:hAnsi="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 xml:space="preserve">Poročilo MeSP iz januarja 2017 (COM(2017) 44 final). </w:t>
      </w:r>
    </w:p>
  </w:footnote>
  <w:footnote w:id="10">
    <w:p w:rsidR="004A1A51" w:rsidRDefault="004F76EE">
      <w:pPr>
        <w:pStyle w:val="FootnoteText"/>
        <w:spacing w:after="0" w:line="240" w:lineRule="auto"/>
        <w:ind w:left="284" w:hanging="284"/>
        <w:contextualSpacing/>
        <w:jc w:val="both"/>
        <w:rPr>
          <w:rFonts w:ascii="Times New Roman" w:hAnsi="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Sklepi Sveta o MeSP, marec 2017 http://data.consilium.europa.eu/doc/document/ST-7048-2017-INIT/sl/pdf.</w:t>
      </w:r>
    </w:p>
  </w:footnote>
  <w:footnote w:id="11">
    <w:p w:rsidR="004A1A51" w:rsidRDefault="004F76EE">
      <w:pPr>
        <w:pStyle w:val="FootnoteText"/>
        <w:spacing w:after="0" w:line="240" w:lineRule="auto"/>
        <w:ind w:left="284" w:hanging="284"/>
        <w:jc w:val="both"/>
        <w:rPr>
          <w:rFonts w:ascii="Times New Roman" w:hAnsi="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Poročilo o evropskih standardih v zvezi z neodvisnostjo pravosodnega si</w:t>
      </w:r>
      <w:r>
        <w:rPr>
          <w:rFonts w:ascii="Times New Roman" w:hAnsi="Times New Roman"/>
        </w:rPr>
        <w:t>stema – del II: državno tožilstvo, CDL-AD(2010)040.</w:t>
      </w:r>
    </w:p>
  </w:footnote>
  <w:footnote w:id="12">
    <w:p w:rsidR="004A1A51" w:rsidRDefault="004F76EE">
      <w:pPr>
        <w:pStyle w:val="FootnoteText"/>
        <w:spacing w:after="0" w:line="240" w:lineRule="auto"/>
        <w:ind w:left="284" w:hanging="284"/>
        <w:rPr>
          <w:rFonts w:ascii="Times New Roman" w:hAnsi="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 xml:space="preserve">Beneška komisija je oblikovala seznam evropskih standardov: </w:t>
      </w:r>
      <w:hyperlink r:id="rId1">
        <w:r>
          <w:rPr>
            <w:rStyle w:val="Hyperlink"/>
            <w:rFonts w:ascii="Times New Roman" w:hAnsi="Times New Roman"/>
          </w:rPr>
          <w:t>http://www.venice.coe.int/webforms/documents/default.aspx?pdffile=CDL-AD(2010)040-e.</w:t>
        </w:r>
      </w:hyperlink>
      <w:r>
        <w:rPr>
          <w:rFonts w:ascii="Times New Roman" w:hAnsi="Times New Roman"/>
        </w:rPr>
        <w:t xml:space="preserve"> </w:t>
      </w:r>
    </w:p>
  </w:footnote>
  <w:footnote w:id="13">
    <w:p w:rsidR="004A1A51" w:rsidRDefault="004F76EE">
      <w:pPr>
        <w:pStyle w:val="FootnoteText"/>
        <w:spacing w:after="0" w:line="240" w:lineRule="auto"/>
        <w:ind w:left="284" w:hanging="284"/>
        <w:contextualSpacing/>
        <w:jc w:val="both"/>
        <w:rPr>
          <w:rFonts w:ascii="Times New Roman" w:hAnsi="Times New Roman"/>
        </w:rPr>
      </w:pPr>
      <w:r>
        <w:rPr>
          <w:rStyle w:val="FootnoteReference"/>
          <w:rFonts w:ascii="Times New Roman" w:hAnsi="Times New Roman"/>
        </w:rPr>
        <w:footnoteRef/>
      </w:r>
      <w:r>
        <w:rPr>
          <w:rFonts w:ascii="Times New Roman" w:hAnsi="Times New Roman"/>
        </w:rPr>
        <w:t xml:space="preserve"> </w:t>
      </w:r>
      <w:r>
        <w:tab/>
      </w:r>
      <w:r>
        <w:rPr>
          <w:rFonts w:ascii="Times New Roman" w:eastAsiaTheme="minorHAnsi" w:hAnsi="Times New Roman"/>
        </w:rPr>
        <w:t xml:space="preserve">Podobna analiza je bila izvedena v okviru četrte ocene Skupine držav proti korupciji (GRECO) </w:t>
      </w:r>
      <w:hyperlink r:id="rId2">
        <w:r>
          <w:rPr>
            <w:rFonts w:ascii="Times New Roman" w:eastAsiaTheme="minorHAnsi" w:hAnsi="Times New Roman"/>
            <w:color w:val="0000FF"/>
            <w:u w:val="single"/>
          </w:rPr>
          <w:t>http://www.coe.int/t/dghl/monitoring/greco/evaluations/round4/Eval%20IV/GrecoEval4%282015%294_Romania_EN.pdf.</w:t>
        </w:r>
      </w:hyperlink>
    </w:p>
  </w:footnote>
  <w:footnote w:id="14">
    <w:p w:rsidR="004A1A51" w:rsidRDefault="004F76EE">
      <w:pPr>
        <w:pStyle w:val="FootnoteText"/>
        <w:spacing w:after="0" w:line="240" w:lineRule="auto"/>
        <w:ind w:left="284" w:hanging="284"/>
        <w:contextualSpacing/>
        <w:jc w:val="both"/>
        <w:rPr>
          <w:rFonts w:ascii="Times New Roman" w:hAnsi="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 xml:space="preserve">Vladna in parlamentarna poročila o napredku ne omenjajo napredka v zvezi s temi predlogi, ki </w:t>
      </w:r>
      <w:r>
        <w:rPr>
          <w:rFonts w:ascii="Times New Roman" w:hAnsi="Times New Roman"/>
        </w:rPr>
        <w:t>čakajo na obravnavo.</w:t>
      </w:r>
    </w:p>
  </w:footnote>
  <w:footnote w:id="15">
    <w:p w:rsidR="004A1A51" w:rsidRDefault="004F76EE">
      <w:pPr>
        <w:pStyle w:val="FootnoteText"/>
        <w:spacing w:after="0" w:line="240" w:lineRule="auto"/>
        <w:ind w:left="284" w:hanging="284"/>
        <w:contextualSpacing/>
        <w:jc w:val="both"/>
        <w:rPr>
          <w:rFonts w:ascii="Times New Roman" w:hAnsi="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Tri od štirih dejanj so bila dekriminalizirana. Glej tudi tehnično poročilo SWD(2017) 701. V zvezi s to spremembo ni bilo opravljeno posvetovanje s pravosodnimi organi.</w:t>
      </w:r>
    </w:p>
  </w:footnote>
  <w:footnote w:id="16">
    <w:p w:rsidR="004A1A51" w:rsidRDefault="004F76EE">
      <w:pPr>
        <w:pStyle w:val="FootnoteText"/>
        <w:spacing w:after="0" w:line="240" w:lineRule="auto"/>
        <w:ind w:left="284" w:hanging="284"/>
        <w:contextualSpacing/>
        <w:jc w:val="both"/>
        <w:rPr>
          <w:rFonts w:ascii="Times New Roman" w:hAnsi="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 xml:space="preserve">Odločba št. 369/2017, objavljena v Uradnem listu Romunije, </w:t>
      </w:r>
      <w:r>
        <w:rPr>
          <w:rFonts w:ascii="Times New Roman" w:hAnsi="Times New Roman"/>
        </w:rPr>
        <w:t>del I, št. 582 z dne 20. julija 2017.</w:t>
      </w:r>
    </w:p>
  </w:footnote>
  <w:footnote w:id="17">
    <w:p w:rsidR="004A1A51" w:rsidRDefault="004F76EE">
      <w:pPr>
        <w:pStyle w:val="FootnoteText"/>
        <w:spacing w:after="0" w:line="240" w:lineRule="auto"/>
        <w:ind w:left="284" w:hanging="284"/>
        <w:contextualSpacing/>
        <w:jc w:val="both"/>
        <w:rPr>
          <w:rFonts w:ascii="Times New Roman" w:hAnsi="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COM(2016) 41, COM(2017) 16.</w:t>
      </w:r>
    </w:p>
  </w:footnote>
  <w:footnote w:id="18">
    <w:p w:rsidR="004A1A51" w:rsidRDefault="004F76EE">
      <w:pPr>
        <w:pStyle w:val="FootnoteText"/>
        <w:spacing w:after="0" w:line="240" w:lineRule="auto"/>
        <w:ind w:left="284" w:hanging="284"/>
        <w:contextualSpacing/>
        <w:jc w:val="both"/>
        <w:rPr>
          <w:rFonts w:ascii="Times New Roman" w:hAnsi="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Med njimi so na primer sprememba ureditve nezdružljivosti opravljanja funkcije za poslance in dekriminalizacija večine navzkrižij interesov. Poleg tega obstajajo še drugi primeri zakon</w:t>
      </w:r>
      <w:r>
        <w:rPr>
          <w:rFonts w:ascii="Times New Roman" w:hAnsi="Times New Roman"/>
        </w:rPr>
        <w:t>odaje, ki je bila sprejeta brez posvetovanja in ki prav tako vpliva na pravosodni sistem in boj proti korupciji, kot na primer zakonodaja o statusu lokalnih uprav, zakon o financiranju političnih strank in predlog o omogočanju pregleda vseh sodb iz zadnjih</w:t>
      </w:r>
      <w:r>
        <w:rPr>
          <w:rFonts w:ascii="Times New Roman" w:hAnsi="Times New Roman"/>
        </w:rPr>
        <w:t xml:space="preserve"> 20 let, pri čemer je zadnji predlog nazadnje razveljavilo ustavno sodišče. </w:t>
      </w:r>
    </w:p>
  </w:footnote>
  <w:footnote w:id="19">
    <w:p w:rsidR="004A1A51" w:rsidRDefault="004F76EE">
      <w:pPr>
        <w:pStyle w:val="FootnoteText"/>
      </w:pPr>
      <w:r>
        <w:rPr>
          <w:rStyle w:val="FootnoteReference"/>
        </w:rPr>
        <w:footnoteRef/>
      </w:r>
      <w:r>
        <w:t xml:space="preserve">   </w:t>
      </w:r>
      <w:r>
        <w:rPr>
          <w:rFonts w:ascii="Times New Roman" w:hAnsi="Times New Roman"/>
        </w:rPr>
        <w:t>Tehnično poročilo SWD(2017) 701. Predlog, predložen Odboru ministrov Sveta Evrope.</w:t>
      </w:r>
    </w:p>
  </w:footnote>
  <w:footnote w:id="20">
    <w:p w:rsidR="004A1A51" w:rsidRDefault="004F76EE">
      <w:pPr>
        <w:pStyle w:val="FootnoteText"/>
        <w:spacing w:after="0" w:line="240" w:lineRule="auto"/>
        <w:ind w:left="284" w:hanging="284"/>
        <w:contextualSpacing/>
        <w:jc w:val="both"/>
        <w:rPr>
          <w:rFonts w:ascii="Times New Roman" w:hAnsi="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Po več preložitvah je senat v začetku septembra imenoval dva člana vrhovnega sodnega svet</w:t>
      </w:r>
      <w:r>
        <w:rPr>
          <w:rFonts w:ascii="Times New Roman" w:hAnsi="Times New Roman"/>
        </w:rPr>
        <w:t>a, ki zastopata civilno družbo.</w:t>
      </w:r>
    </w:p>
  </w:footnote>
  <w:footnote w:id="21">
    <w:p w:rsidR="004A1A51" w:rsidRDefault="004F76EE">
      <w:pPr>
        <w:pStyle w:val="FootnoteText"/>
        <w:spacing w:after="0" w:line="240" w:lineRule="auto"/>
        <w:ind w:left="284" w:hanging="284"/>
        <w:contextualSpacing/>
        <w:jc w:val="both"/>
        <w:rPr>
          <w:rFonts w:ascii="Times New Roman" w:hAnsi="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Skupino držav proti korupciji (v nadaljnjem besedilu: GRECO) je leta 1999 ustanovil Svet Evrope, da bi spremljala izpolnjevanje njenih protikorupcijskih standardov</w:t>
      </w:r>
      <w:r>
        <w:rPr>
          <w:rFonts w:ascii="Times New Roman" w:hAnsi="Times New Roman"/>
          <w:color w:val="444444"/>
        </w:rPr>
        <w:t>.</w:t>
      </w:r>
    </w:p>
  </w:footnote>
  <w:footnote w:id="22">
    <w:p w:rsidR="004A1A51" w:rsidRDefault="004F76EE">
      <w:pPr>
        <w:pStyle w:val="FootnoteText"/>
        <w:spacing w:after="0" w:line="240" w:lineRule="auto"/>
        <w:ind w:left="284" w:hanging="284"/>
        <w:contextualSpacing/>
        <w:jc w:val="both"/>
        <w:rPr>
          <w:rFonts w:ascii="Times New Roman" w:hAnsi="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Na podlagi smernic Beneške komisije in skupine GRECO.</w:t>
      </w:r>
    </w:p>
  </w:footnote>
  <w:footnote w:id="23">
    <w:p w:rsidR="004A1A51" w:rsidRDefault="004F76EE">
      <w:pPr>
        <w:pStyle w:val="FootnoteText"/>
        <w:spacing w:after="0" w:line="240" w:lineRule="auto"/>
        <w:ind w:left="284" w:hanging="284"/>
        <w:jc w:val="both"/>
        <w:rPr>
          <w:rFonts w:ascii="Times New Roman" w:hAnsi="Times New Roman"/>
        </w:rPr>
      </w:pPr>
      <w:r>
        <w:rPr>
          <w:rStyle w:val="FootnoteReference"/>
          <w:rFonts w:ascii="Times New Roman" w:hAnsi="Times New Roman"/>
        </w:rPr>
        <w:footnoteRef/>
      </w:r>
      <w:r>
        <w:rPr>
          <w:rFonts w:ascii="Times New Roman" w:hAnsi="Times New Roman"/>
        </w:rPr>
        <w:t xml:space="preserve">   Kakor je bilo navedeno v poročilu o napredku Romunije v okviru mehanizma za sodelovanje in preverjanje, ki ga je predložilo ministrstvo za pravosodje, september 2017.</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76EE" w:rsidRPr="004F76EE" w:rsidRDefault="004F76EE" w:rsidP="004F76E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76EE" w:rsidRPr="004F76EE" w:rsidRDefault="004F76EE" w:rsidP="004F76EE">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76EE" w:rsidRPr="004F76EE" w:rsidRDefault="004F76EE" w:rsidP="004F76EE">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1A51" w:rsidRDefault="004A1A51">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1A51" w:rsidRDefault="004A1A51">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1A51" w:rsidRDefault="004A1A5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0E3851"/>
    <w:multiLevelType w:val="hybridMultilevel"/>
    <w:tmpl w:val="690459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nsid w:val="0B0B56E7"/>
    <w:multiLevelType w:val="hybridMultilevel"/>
    <w:tmpl w:val="A98607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107692D"/>
    <w:multiLevelType w:val="hybridMultilevel"/>
    <w:tmpl w:val="DF3C9F7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nsid w:val="1CC43D57"/>
    <w:multiLevelType w:val="hybridMultilevel"/>
    <w:tmpl w:val="FAF0654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33770F83"/>
    <w:multiLevelType w:val="hybridMultilevel"/>
    <w:tmpl w:val="690A04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38A252E1"/>
    <w:multiLevelType w:val="hybridMultilevel"/>
    <w:tmpl w:val="F2622C8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4BBE03C6"/>
    <w:multiLevelType w:val="hybridMultilevel"/>
    <w:tmpl w:val="A086A1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57400B5F"/>
    <w:multiLevelType w:val="hybridMultilevel"/>
    <w:tmpl w:val="BA2A86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63A217BB"/>
    <w:multiLevelType w:val="hybridMultilevel"/>
    <w:tmpl w:val="2D6E1E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8"/>
  </w:num>
  <w:num w:numId="3">
    <w:abstractNumId w:val="0"/>
  </w:num>
  <w:num w:numId="4">
    <w:abstractNumId w:val="1"/>
  </w:num>
  <w:num w:numId="5">
    <w:abstractNumId w:val="7"/>
  </w:num>
  <w:num w:numId="6">
    <w:abstractNumId w:val="6"/>
  </w:num>
  <w:num w:numId="7">
    <w:abstractNumId w:val="4"/>
  </w:num>
  <w:num w:numId="8">
    <w:abstractNumId w:val="2"/>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FE5EFD5C-E366-402D-8E96-2A9D3E6DF5E4"/>
    <w:docVar w:name="LW_COVERPAGE_TYPE" w:val="1"/>
    <w:docVar w:name="LW_CROSSREFERENCE" w:val="{SWD(2017) 701 final}"/>
    <w:docVar w:name="LW_DocType" w:val="NORMAL"/>
    <w:docVar w:name="LW_EMISSION" w:val="15.11.2017"/>
    <w:docVar w:name="LW_EMISSION_ISODATE" w:val="2017-11-15"/>
    <w:docVar w:name="LW_EMISSION_LOCATION" w:val="BRX"/>
    <w:docVar w:name="LW_EMISSION_PREFIX" w:val="Bruselj,"/>
    <w:docVar w:name="LW_EMISSION_SUFFIX" w:val="&lt;EMPTY&gt;"/>
    <w:docVar w:name="LW_ID_DOCTYPE_NONLW" w:val="CP-006"/>
    <w:docVar w:name="LW_LANGUE" w:val="SL"/>
    <w:docVar w:name="LW_LEVEL_OF_SENSITIVITY" w:val="Standard treatment"/>
    <w:docVar w:name="LW_NOM.INST" w:val="EVROPSKA KOMISIJA"/>
    <w:docVar w:name="LW_NOM.INST_JOINTDOC" w:val="&lt;EMPTY&gt;"/>
    <w:docVar w:name="LW_PART_NBR" w:val="1"/>
    <w:docVar w:name="LW_PART_NBR_TOTAL" w:val="1"/>
    <w:docVar w:name="LW_REF.INST.NEW" w:val="COM"/>
    <w:docVar w:name="LW_REF.INST.NEW_ADOPTED" w:val="final"/>
    <w:docVar w:name="LW_REF.INST.NEW_TEXT" w:val="(2017) 751"/>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OUS.TITRE.OBJ.CP" w:val="&lt;UNUSED&gt;"/>
    <w:docVar w:name="LW_SUPERTITRE" w:val="&lt;UNUSED&gt;"/>
    <w:docVar w:name="LW_TITRE.OBJ.CP" w:val="o napredku Romunije v okviru mehanizma za sodelovanje in preverjanje"/>
    <w:docVar w:name="LW_TYPE.DOC.CP" w:val="PORO\u268?ILO KOMISIJE EVROPSKEMU PARLAMENTU IN SVETU"/>
  </w:docVars>
  <w:rsids>
    <w:rsidRoot w:val="004A1A51"/>
    <w:rsid w:val="004A1A51"/>
    <w:rsid w:val="004F76EE"/>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sl-SI" w:eastAsia="sl-SI" w:bidi="sl-SI"/>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autoSpaceDE w:val="0"/>
      <w:autoSpaceDN w:val="0"/>
      <w:adjustRightInd w:val="0"/>
    </w:pPr>
    <w:rPr>
      <w:rFonts w:ascii="Times New Roman" w:hAnsi="Times New Roman"/>
      <w:color w:val="000000"/>
      <w:sz w:val="24"/>
      <w:szCs w:val="24"/>
    </w:rPr>
  </w:style>
  <w:style w:type="paragraph" w:styleId="FootnoteText">
    <w:name w:val="footnote text"/>
    <w:basedOn w:val="Normal"/>
    <w:link w:val="FootnoteTextChar"/>
    <w:uiPriority w:val="99"/>
    <w:unhideWhenUsed/>
    <w:rPr>
      <w:sz w:val="20"/>
      <w:szCs w:val="20"/>
    </w:rPr>
  </w:style>
  <w:style w:type="character" w:customStyle="1" w:styleId="FootnoteTextChar">
    <w:name w:val="Footnote Text Char"/>
    <w:link w:val="FootnoteText"/>
    <w:uiPriority w:val="99"/>
    <w:rPr>
      <w:lang w:eastAsia="sl-SI"/>
    </w:rPr>
  </w:style>
  <w:style w:type="character" w:styleId="FootnoteReference">
    <w:name w:val="footnote reference"/>
    <w:aliases w:val="ftref,Footnotes refss,Fussnota,Footnote symbol,Footnote reference number,Times 10 Point,Exposant 3 Point,EN Footnote Reference,note TESI,Footnote Reference Superscript,Zchn Zchn,Footnote number,Footnote Reference Number,BVI fnr,o,Re"/>
    <w:uiPriority w:val="99"/>
    <w:unhideWhenUsed/>
    <w:rPr>
      <w:vertAlign w:val="superscript"/>
    </w:rPr>
  </w:style>
  <w:style w:type="paragraph" w:customStyle="1" w:styleId="Pagedecouverture">
    <w:name w:val="Page de couverture"/>
    <w:basedOn w:val="Normal"/>
    <w:next w:val="Normal"/>
    <w:pPr>
      <w:spacing w:after="0" w:line="240" w:lineRule="auto"/>
      <w:jc w:val="both"/>
    </w:pPr>
    <w:rPr>
      <w:rFonts w:ascii="Times New Roman" w:hAnsi="Times New Roman"/>
      <w:sz w:val="24"/>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link w:val="BalloonText"/>
    <w:uiPriority w:val="99"/>
    <w:semiHidden/>
    <w:rPr>
      <w:rFonts w:ascii="Tahoma" w:hAnsi="Tahoma" w:cs="Tahoma"/>
      <w:sz w:val="16"/>
      <w:szCs w:val="16"/>
      <w:lang w:eastAsia="sl-SI"/>
    </w:rPr>
  </w:style>
  <w:style w:type="character" w:customStyle="1" w:styleId="Marker">
    <w:name w:val="Marker"/>
    <w:rPr>
      <w:color w:val="0000FF"/>
      <w:shd w:val="clear" w:color="auto" w:fill="auto"/>
    </w:rPr>
  </w:style>
  <w:style w:type="paragraph" w:styleId="Header">
    <w:name w:val="header"/>
    <w:basedOn w:val="Normal"/>
    <w:link w:val="HeaderChar"/>
    <w:uiPriority w:val="99"/>
    <w:unhideWhenUsed/>
    <w:pPr>
      <w:tabs>
        <w:tab w:val="center" w:pos="4535"/>
        <w:tab w:val="right" w:pos="9071"/>
      </w:tabs>
      <w:spacing w:after="120" w:line="240" w:lineRule="auto"/>
      <w:jc w:val="both"/>
    </w:pPr>
    <w:rPr>
      <w:rFonts w:ascii="Times New Roman" w:eastAsiaTheme="minorHAnsi" w:hAnsi="Times New Roman"/>
      <w:sz w:val="24"/>
    </w:rPr>
  </w:style>
  <w:style w:type="character" w:customStyle="1" w:styleId="HeaderChar">
    <w:name w:val="Header Char"/>
    <w:basedOn w:val="DefaultParagraphFont"/>
    <w:link w:val="Header"/>
    <w:uiPriority w:val="99"/>
    <w:rPr>
      <w:rFonts w:ascii="Times New Roman" w:eastAsiaTheme="minorHAnsi" w:hAnsi="Times New Roman"/>
      <w:sz w:val="24"/>
      <w:szCs w:val="22"/>
      <w:lang w:eastAsia="sl-SI"/>
    </w:rPr>
  </w:style>
  <w:style w:type="paragraph" w:styleId="Footer">
    <w:name w:val="footer"/>
    <w:basedOn w:val="Normal"/>
    <w:link w:val="FooterChar"/>
    <w:uiPriority w:val="99"/>
    <w:unhideWhenUsed/>
    <w:pPr>
      <w:tabs>
        <w:tab w:val="center" w:pos="4535"/>
        <w:tab w:val="right" w:pos="9071"/>
        <w:tab w:val="right" w:pos="9921"/>
      </w:tabs>
      <w:spacing w:before="360" w:after="0" w:line="240" w:lineRule="auto"/>
      <w:ind w:left="-850" w:right="-850"/>
    </w:pPr>
    <w:rPr>
      <w:rFonts w:ascii="Times New Roman" w:eastAsiaTheme="minorHAnsi" w:hAnsi="Times New Roman"/>
      <w:sz w:val="24"/>
    </w:rPr>
  </w:style>
  <w:style w:type="character" w:customStyle="1" w:styleId="FooterChar">
    <w:name w:val="Footer Char"/>
    <w:basedOn w:val="DefaultParagraphFont"/>
    <w:link w:val="Footer"/>
    <w:uiPriority w:val="99"/>
    <w:rPr>
      <w:rFonts w:ascii="Times New Roman" w:eastAsiaTheme="minorHAnsi" w:hAnsi="Times New Roman"/>
      <w:sz w:val="24"/>
      <w:szCs w:val="22"/>
      <w:lang w:eastAsia="sl-SI"/>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sz w:val="24"/>
    </w:rPr>
  </w:style>
  <w:style w:type="character" w:customStyle="1" w:styleId="FooterCoverPageChar">
    <w:name w:val="Footer Cover Page Char"/>
    <w:link w:val="FooterCoverPage"/>
    <w:rPr>
      <w:rFonts w:ascii="Times New Roman" w:hAnsi="Times New Roman"/>
      <w:sz w:val="24"/>
      <w:szCs w:val="2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sz w:val="24"/>
    </w:rPr>
  </w:style>
  <w:style w:type="character" w:customStyle="1" w:styleId="HeaderCoverPageChar">
    <w:name w:val="Header Cover Page Char"/>
    <w:link w:val="HeaderCoverPage"/>
    <w:rPr>
      <w:rFonts w:ascii="Times New Roman" w:hAnsi="Times New Roman"/>
      <w:sz w:val="24"/>
      <w:szCs w:val="22"/>
    </w:rPr>
  </w:style>
  <w:style w:type="character" w:styleId="CommentReference">
    <w:name w:val="annotation reference"/>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link w:val="CommentText"/>
    <w:uiPriority w:val="99"/>
    <w:semiHidden/>
    <w:rPr>
      <w:lang w:eastAsia="sl-SI"/>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link w:val="CommentSubject"/>
    <w:uiPriority w:val="99"/>
    <w:semiHidden/>
    <w:rPr>
      <w:b/>
      <w:bCs/>
      <w:lang w:eastAsia="sl-SI"/>
    </w:rPr>
  </w:style>
  <w:style w:type="paragraph" w:styleId="PlainText">
    <w:name w:val="Plain Text"/>
    <w:basedOn w:val="Normal"/>
    <w:link w:val="PlainTextChar"/>
    <w:uiPriority w:val="99"/>
    <w:unhideWhenUsed/>
    <w:pPr>
      <w:spacing w:after="0" w:line="240" w:lineRule="auto"/>
    </w:pPr>
    <w:rPr>
      <w:rFonts w:eastAsia="SimSun"/>
      <w:szCs w:val="21"/>
    </w:rPr>
  </w:style>
  <w:style w:type="character" w:customStyle="1" w:styleId="PlainTextChar">
    <w:name w:val="Plain Text Char"/>
    <w:link w:val="PlainText"/>
    <w:uiPriority w:val="99"/>
    <w:rPr>
      <w:rFonts w:eastAsia="SimSun"/>
      <w:sz w:val="22"/>
      <w:szCs w:val="21"/>
      <w:lang w:val="sl-SI" w:eastAsia="sl-SI"/>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rPr>
      <w:rFonts w:eastAsia="SimSun"/>
    </w:rPr>
  </w:style>
  <w:style w:type="paragraph" w:styleId="Revision">
    <w:name w:val="Revision"/>
    <w:hidden/>
    <w:uiPriority w:val="99"/>
    <w:semiHidden/>
    <w:rPr>
      <w:sz w:val="22"/>
      <w:szCs w:val="22"/>
    </w:rPr>
  </w:style>
  <w:style w:type="paragraph" w:customStyle="1" w:styleId="Declassification">
    <w:name w:val="Declassification"/>
    <w:basedOn w:val="Normal"/>
    <w:next w:val="Normal"/>
    <w:pPr>
      <w:spacing w:after="0" w:line="240" w:lineRule="auto"/>
      <w:jc w:val="both"/>
    </w:pPr>
    <w:rPr>
      <w:rFonts w:ascii="Times New Roman" w:eastAsiaTheme="minorHAnsi" w:hAnsi="Times New Roman"/>
      <w:sz w:val="24"/>
    </w:rPr>
  </w:style>
  <w:style w:type="paragraph" w:customStyle="1" w:styleId="HeaderLandscape">
    <w:name w:val="HeaderLandscape"/>
    <w:basedOn w:val="Normal"/>
    <w:pPr>
      <w:tabs>
        <w:tab w:val="center" w:pos="7285"/>
        <w:tab w:val="right" w:pos="14003"/>
      </w:tabs>
      <w:spacing w:after="120" w:line="240" w:lineRule="auto"/>
      <w:jc w:val="both"/>
    </w:pPr>
    <w:rPr>
      <w:rFonts w:ascii="Times New Roman" w:eastAsiaTheme="minorHAnsi" w:hAnsi="Times New Roman"/>
      <w:sz w:val="24"/>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b/>
      <w:sz w:val="32"/>
    </w:rPr>
  </w:style>
  <w:style w:type="paragraph" w:customStyle="1" w:styleId="FooterLandscape">
    <w:name w:val="FooterLandscape"/>
    <w:basedOn w:val="Normal"/>
    <w:pPr>
      <w:tabs>
        <w:tab w:val="center" w:pos="7285"/>
        <w:tab w:val="center" w:pos="10913"/>
        <w:tab w:val="right" w:pos="15137"/>
      </w:tabs>
      <w:spacing w:before="360" w:after="0" w:line="240" w:lineRule="auto"/>
      <w:ind w:left="-567" w:right="-567"/>
    </w:pPr>
    <w:rPr>
      <w:rFonts w:ascii="Times New Roman" w:eastAsiaTheme="minorHAnsi" w:hAnsi="Times New Roman"/>
      <w:sz w:val="24"/>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b/>
      <w:sz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sl-SI" w:eastAsia="sl-SI" w:bidi="sl-SI"/>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autoSpaceDE w:val="0"/>
      <w:autoSpaceDN w:val="0"/>
      <w:adjustRightInd w:val="0"/>
    </w:pPr>
    <w:rPr>
      <w:rFonts w:ascii="Times New Roman" w:hAnsi="Times New Roman"/>
      <w:color w:val="000000"/>
      <w:sz w:val="24"/>
      <w:szCs w:val="24"/>
    </w:rPr>
  </w:style>
  <w:style w:type="paragraph" w:styleId="FootnoteText">
    <w:name w:val="footnote text"/>
    <w:basedOn w:val="Normal"/>
    <w:link w:val="FootnoteTextChar"/>
    <w:uiPriority w:val="99"/>
    <w:unhideWhenUsed/>
    <w:rPr>
      <w:sz w:val="20"/>
      <w:szCs w:val="20"/>
    </w:rPr>
  </w:style>
  <w:style w:type="character" w:customStyle="1" w:styleId="FootnoteTextChar">
    <w:name w:val="Footnote Text Char"/>
    <w:link w:val="FootnoteText"/>
    <w:uiPriority w:val="99"/>
    <w:rPr>
      <w:lang w:eastAsia="sl-SI"/>
    </w:rPr>
  </w:style>
  <w:style w:type="character" w:styleId="FootnoteReference">
    <w:name w:val="footnote reference"/>
    <w:aliases w:val="ftref,Footnotes refss,Fussnota,Footnote symbol,Footnote reference number,Times 10 Point,Exposant 3 Point,EN Footnote Reference,note TESI,Footnote Reference Superscript,Zchn Zchn,Footnote number,Footnote Reference Number,BVI fnr,o,Re"/>
    <w:uiPriority w:val="99"/>
    <w:unhideWhenUsed/>
    <w:rPr>
      <w:vertAlign w:val="superscript"/>
    </w:rPr>
  </w:style>
  <w:style w:type="paragraph" w:customStyle="1" w:styleId="Pagedecouverture">
    <w:name w:val="Page de couverture"/>
    <w:basedOn w:val="Normal"/>
    <w:next w:val="Normal"/>
    <w:pPr>
      <w:spacing w:after="0" w:line="240" w:lineRule="auto"/>
      <w:jc w:val="both"/>
    </w:pPr>
    <w:rPr>
      <w:rFonts w:ascii="Times New Roman" w:hAnsi="Times New Roman"/>
      <w:sz w:val="24"/>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link w:val="BalloonText"/>
    <w:uiPriority w:val="99"/>
    <w:semiHidden/>
    <w:rPr>
      <w:rFonts w:ascii="Tahoma" w:hAnsi="Tahoma" w:cs="Tahoma"/>
      <w:sz w:val="16"/>
      <w:szCs w:val="16"/>
      <w:lang w:eastAsia="sl-SI"/>
    </w:rPr>
  </w:style>
  <w:style w:type="character" w:customStyle="1" w:styleId="Marker">
    <w:name w:val="Marker"/>
    <w:rPr>
      <w:color w:val="0000FF"/>
      <w:shd w:val="clear" w:color="auto" w:fill="auto"/>
    </w:rPr>
  </w:style>
  <w:style w:type="paragraph" w:styleId="Header">
    <w:name w:val="header"/>
    <w:basedOn w:val="Normal"/>
    <w:link w:val="HeaderChar"/>
    <w:uiPriority w:val="99"/>
    <w:unhideWhenUsed/>
    <w:pPr>
      <w:tabs>
        <w:tab w:val="center" w:pos="4535"/>
        <w:tab w:val="right" w:pos="9071"/>
      </w:tabs>
      <w:spacing w:after="120" w:line="240" w:lineRule="auto"/>
      <w:jc w:val="both"/>
    </w:pPr>
    <w:rPr>
      <w:rFonts w:ascii="Times New Roman" w:eastAsiaTheme="minorHAnsi" w:hAnsi="Times New Roman"/>
      <w:sz w:val="24"/>
    </w:rPr>
  </w:style>
  <w:style w:type="character" w:customStyle="1" w:styleId="HeaderChar">
    <w:name w:val="Header Char"/>
    <w:basedOn w:val="DefaultParagraphFont"/>
    <w:link w:val="Header"/>
    <w:uiPriority w:val="99"/>
    <w:rPr>
      <w:rFonts w:ascii="Times New Roman" w:eastAsiaTheme="minorHAnsi" w:hAnsi="Times New Roman"/>
      <w:sz w:val="24"/>
      <w:szCs w:val="22"/>
      <w:lang w:eastAsia="sl-SI"/>
    </w:rPr>
  </w:style>
  <w:style w:type="paragraph" w:styleId="Footer">
    <w:name w:val="footer"/>
    <w:basedOn w:val="Normal"/>
    <w:link w:val="FooterChar"/>
    <w:uiPriority w:val="99"/>
    <w:unhideWhenUsed/>
    <w:pPr>
      <w:tabs>
        <w:tab w:val="center" w:pos="4535"/>
        <w:tab w:val="right" w:pos="9071"/>
        <w:tab w:val="right" w:pos="9921"/>
      </w:tabs>
      <w:spacing w:before="360" w:after="0" w:line="240" w:lineRule="auto"/>
      <w:ind w:left="-850" w:right="-850"/>
    </w:pPr>
    <w:rPr>
      <w:rFonts w:ascii="Times New Roman" w:eastAsiaTheme="minorHAnsi" w:hAnsi="Times New Roman"/>
      <w:sz w:val="24"/>
    </w:rPr>
  </w:style>
  <w:style w:type="character" w:customStyle="1" w:styleId="FooterChar">
    <w:name w:val="Footer Char"/>
    <w:basedOn w:val="DefaultParagraphFont"/>
    <w:link w:val="Footer"/>
    <w:uiPriority w:val="99"/>
    <w:rPr>
      <w:rFonts w:ascii="Times New Roman" w:eastAsiaTheme="minorHAnsi" w:hAnsi="Times New Roman"/>
      <w:sz w:val="24"/>
      <w:szCs w:val="22"/>
      <w:lang w:eastAsia="sl-SI"/>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sz w:val="24"/>
    </w:rPr>
  </w:style>
  <w:style w:type="character" w:customStyle="1" w:styleId="FooterCoverPageChar">
    <w:name w:val="Footer Cover Page Char"/>
    <w:link w:val="FooterCoverPage"/>
    <w:rPr>
      <w:rFonts w:ascii="Times New Roman" w:hAnsi="Times New Roman"/>
      <w:sz w:val="24"/>
      <w:szCs w:val="2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sz w:val="24"/>
    </w:rPr>
  </w:style>
  <w:style w:type="character" w:customStyle="1" w:styleId="HeaderCoverPageChar">
    <w:name w:val="Header Cover Page Char"/>
    <w:link w:val="HeaderCoverPage"/>
    <w:rPr>
      <w:rFonts w:ascii="Times New Roman" w:hAnsi="Times New Roman"/>
      <w:sz w:val="24"/>
      <w:szCs w:val="22"/>
    </w:rPr>
  </w:style>
  <w:style w:type="character" w:styleId="CommentReference">
    <w:name w:val="annotation reference"/>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link w:val="CommentText"/>
    <w:uiPriority w:val="99"/>
    <w:semiHidden/>
    <w:rPr>
      <w:lang w:eastAsia="sl-SI"/>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link w:val="CommentSubject"/>
    <w:uiPriority w:val="99"/>
    <w:semiHidden/>
    <w:rPr>
      <w:b/>
      <w:bCs/>
      <w:lang w:eastAsia="sl-SI"/>
    </w:rPr>
  </w:style>
  <w:style w:type="paragraph" w:styleId="PlainText">
    <w:name w:val="Plain Text"/>
    <w:basedOn w:val="Normal"/>
    <w:link w:val="PlainTextChar"/>
    <w:uiPriority w:val="99"/>
    <w:unhideWhenUsed/>
    <w:pPr>
      <w:spacing w:after="0" w:line="240" w:lineRule="auto"/>
    </w:pPr>
    <w:rPr>
      <w:rFonts w:eastAsia="SimSun"/>
      <w:szCs w:val="21"/>
    </w:rPr>
  </w:style>
  <w:style w:type="character" w:customStyle="1" w:styleId="PlainTextChar">
    <w:name w:val="Plain Text Char"/>
    <w:link w:val="PlainText"/>
    <w:uiPriority w:val="99"/>
    <w:rPr>
      <w:rFonts w:eastAsia="SimSun"/>
      <w:sz w:val="22"/>
      <w:szCs w:val="21"/>
      <w:lang w:val="sl-SI" w:eastAsia="sl-SI"/>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rPr>
      <w:rFonts w:eastAsia="SimSun"/>
    </w:rPr>
  </w:style>
  <w:style w:type="paragraph" w:styleId="Revision">
    <w:name w:val="Revision"/>
    <w:hidden/>
    <w:uiPriority w:val="99"/>
    <w:semiHidden/>
    <w:rPr>
      <w:sz w:val="22"/>
      <w:szCs w:val="22"/>
    </w:rPr>
  </w:style>
  <w:style w:type="paragraph" w:customStyle="1" w:styleId="Declassification">
    <w:name w:val="Declassification"/>
    <w:basedOn w:val="Normal"/>
    <w:next w:val="Normal"/>
    <w:pPr>
      <w:spacing w:after="0" w:line="240" w:lineRule="auto"/>
      <w:jc w:val="both"/>
    </w:pPr>
    <w:rPr>
      <w:rFonts w:ascii="Times New Roman" w:eastAsiaTheme="minorHAnsi" w:hAnsi="Times New Roman"/>
      <w:sz w:val="24"/>
    </w:rPr>
  </w:style>
  <w:style w:type="paragraph" w:customStyle="1" w:styleId="HeaderLandscape">
    <w:name w:val="HeaderLandscape"/>
    <w:basedOn w:val="Normal"/>
    <w:pPr>
      <w:tabs>
        <w:tab w:val="center" w:pos="7285"/>
        <w:tab w:val="right" w:pos="14003"/>
      </w:tabs>
      <w:spacing w:after="120" w:line="240" w:lineRule="auto"/>
      <w:jc w:val="both"/>
    </w:pPr>
    <w:rPr>
      <w:rFonts w:ascii="Times New Roman" w:eastAsiaTheme="minorHAnsi" w:hAnsi="Times New Roman"/>
      <w:sz w:val="24"/>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b/>
      <w:sz w:val="32"/>
    </w:rPr>
  </w:style>
  <w:style w:type="paragraph" w:customStyle="1" w:styleId="FooterLandscape">
    <w:name w:val="FooterLandscape"/>
    <w:basedOn w:val="Normal"/>
    <w:pPr>
      <w:tabs>
        <w:tab w:val="center" w:pos="7285"/>
        <w:tab w:val="center" w:pos="10913"/>
        <w:tab w:val="right" w:pos="15137"/>
      </w:tabs>
      <w:spacing w:before="360" w:after="0" w:line="240" w:lineRule="auto"/>
      <w:ind w:left="-567" w:right="-567"/>
    </w:pPr>
    <w:rPr>
      <w:rFonts w:ascii="Times New Roman" w:eastAsiaTheme="minorHAnsi" w:hAnsi="Times New Roman"/>
      <w:sz w:val="24"/>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b/>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00960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www.coe.int/t/dghl/monitoring/greco/evaluations/round4/Eval%20IV/GrecoEval4(2015)4_Romania_EN.pdf" TargetMode="External"/><Relationship Id="rId1" Type="http://schemas.openxmlformats.org/officeDocument/2006/relationships/hyperlink" Target="http://www.venice.coe.int/webforms/documents/default.aspx?pdffile=CDL-AD(2010)040-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EBEBEB"/>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E7357B-C8EB-4971-A982-8B4C2B63C4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13</Pages>
  <Words>5262</Words>
  <Characters>31625</Characters>
  <Application>Microsoft Office Word</Application>
  <DocSecurity>0</DocSecurity>
  <Lines>458</Lines>
  <Paragraphs>100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36787</CharactersWithSpaces>
  <SharedDoc>false</SharedDoc>
  <HLinks>
    <vt:vector size="24" baseType="variant">
      <vt:variant>
        <vt:i4>3407895</vt:i4>
      </vt:variant>
      <vt:variant>
        <vt:i4>9</vt:i4>
      </vt:variant>
      <vt:variant>
        <vt:i4>0</vt:i4>
      </vt:variant>
      <vt:variant>
        <vt:i4>5</vt:i4>
      </vt:variant>
      <vt:variant>
        <vt:lpwstr>http://www.echr.coe.int/Documents/Guide_Art_6_ENG.pdf</vt:lpwstr>
      </vt:variant>
      <vt:variant>
        <vt:lpwstr/>
      </vt:variant>
      <vt:variant>
        <vt:i4>6946874</vt:i4>
      </vt:variant>
      <vt:variant>
        <vt:i4>6</vt:i4>
      </vt:variant>
      <vt:variant>
        <vt:i4>0</vt:i4>
      </vt:variant>
      <vt:variant>
        <vt:i4>5</vt:i4>
      </vt:variant>
      <vt:variant>
        <vt:lpwstr>http://ec.europa.eu/COMMFrontOffice/PublicOpinion/index.cfm/Survey/getSurveyDetail/instruments/FLASH/surveyKy/2084</vt:lpwstr>
      </vt:variant>
      <vt:variant>
        <vt:lpwstr/>
      </vt:variant>
      <vt:variant>
        <vt:i4>1441889</vt:i4>
      </vt:variant>
      <vt:variant>
        <vt:i4>3</vt:i4>
      </vt:variant>
      <vt:variant>
        <vt:i4>0</vt:i4>
      </vt:variant>
      <vt:variant>
        <vt:i4>5</vt:i4>
      </vt:variant>
      <vt:variant>
        <vt:lpwstr>https://search.coe.int/cm/Pages/result_details.aspx?ObjectId=09000016806d8adb</vt:lpwstr>
      </vt:variant>
      <vt:variant>
        <vt:lpwstr/>
      </vt:variant>
      <vt:variant>
        <vt:i4>7209018</vt:i4>
      </vt:variant>
      <vt:variant>
        <vt:i4>0</vt:i4>
      </vt:variant>
      <vt:variant>
        <vt:i4>0</vt:i4>
      </vt:variant>
      <vt:variant>
        <vt:i4>5</vt:i4>
      </vt:variant>
      <vt:variant>
        <vt:lpwstr>http://www.inscop.ro/wp-content/uploads/2016/04/INSCOP-raport-martie-2016-INCREDERE-INSTITUTII.pdf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18</cp:revision>
  <cp:lastPrinted>2017-11-13T11:27:00Z</cp:lastPrinted>
  <dcterms:created xsi:type="dcterms:W3CDTF">2017-11-13T17:48:00Z</dcterms:created>
  <dcterms:modified xsi:type="dcterms:W3CDTF">2017-11-20T12:35:00Z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DocStatus">
    <vt:lpwstr>Green</vt:lpwstr>
  </property>
  <property fmtid="{D5CDD505-2E9C-101B-9397-08002B2CF9AE}" pid="5" name="Level of sensitivity">
    <vt:lpwstr>Standard treatment</vt:lpwstr>
  </property>
  <property name="OP_sanitized" fmtid="{D5CDD505-2E9C-101B-9397-08002B2CF9AE}" pid="6">
    <vt:lpwstr>True</vt:lpwstr>
  </property>
</Properties>
</file>