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theme/themeOverride1.xml" ContentType="application/vnd.openxmlformats-officedocument.themeOverrid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u w:color="000000"/>
        </w:rPr>
      </w:pPr>
      <w:bookmarkStart w:id="0" w:name="LW_BM_COVERPAGE"/>
      <w:r>
        <w:rPr>
          <w:noProof/>
          <w:u w:color="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3C038DC973824B62BB537561180071F5" style="width:450.75pt;height:321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pPr>
        <w:jc w:val="both"/>
        <w:rPr>
          <w:rFonts w:eastAsia="Times New Roman"/>
          <w:b/>
          <w:bCs/>
          <w:noProof/>
          <w:color w:val="000000" w:themeColor="text1"/>
        </w:rPr>
      </w:pPr>
      <w:bookmarkStart w:id="1" w:name="_GoBack"/>
      <w:bookmarkEnd w:id="1"/>
    </w:p>
    <w:p>
      <w:pPr>
        <w:pStyle w:val="ListParagraph"/>
        <w:numPr>
          <w:ilvl w:val="0"/>
          <w:numId w:val="2"/>
        </w:numPr>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Uvod</w:t>
      </w:r>
    </w:p>
    <w:p>
      <w:pPr>
        <w:pStyle w:val="BodyA"/>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Evropska komisija je 10. maja 2017 izdala dokument z naslovom Razmislek o izkoriščanju globalizacije</w:t>
      </w:r>
      <w:r>
        <w:rPr>
          <w:rFonts w:ascii="Times New Roman" w:hAnsi="Times New Roman"/>
          <w:noProof/>
          <w:color w:val="000000" w:themeColor="text1"/>
          <w:sz w:val="24"/>
          <w:vertAlign w:val="superscript"/>
        </w:rPr>
        <w:footnoteReference w:id="2"/>
      </w:r>
      <w:r>
        <w:rPr>
          <w:rFonts w:ascii="Times New Roman" w:hAnsi="Times New Roman"/>
          <w:noProof/>
          <w:color w:val="000000" w:themeColor="text1"/>
          <w:sz w:val="24"/>
        </w:rPr>
        <w:t>, s katerim je odprla razpravo, kako oblikovati globalizacijo, da bi ta koristila vsem. V dokumentu je poudarjena trdna zavezanost Evropske unije (EU), da se z mednarodnim sodelovanjem vzpostavi odprta, trajnostna, pravična in na pravilih temelječa svetovna trgovinska ureditev. Vendar hkrati navaja, da EU ne bo omahovala, če bo treba sprejeti ukrepe za zaščito njenih državljanov in industrije, kadar bodo tuje države ali podjetja ravnali nepošteno ali vzbujali pomisleke v zvezi z varnostjo in javnim redom.</w:t>
      </w:r>
    </w:p>
    <w:p>
      <w:pPr>
        <w:pStyle w:val="BodyA"/>
        <w:spacing w:after="0" w:line="240" w:lineRule="auto"/>
        <w:jc w:val="both"/>
        <w:rPr>
          <w:rFonts w:ascii="Times New Roman" w:eastAsia="Times New Roman" w:hAnsi="Times New Roman" w:cs="Times New Roman"/>
          <w:noProof/>
          <w:color w:val="000000" w:themeColor="text1"/>
          <w:sz w:val="24"/>
          <w:szCs w:val="24"/>
        </w:rPr>
      </w:pPr>
    </w:p>
    <w:p>
      <w:pPr>
        <w:pStyle w:val="BodyA"/>
        <w:spacing w:after="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rPr>
        <w:t>Ta načela se v celoti uporabljajo za neposredne tuje investicije iz tretjih držav, ki so del skupne trgovinske politike EU. Neposredne tuje investicije so pomemben vir rasti, delovnih mest in inovacij. Prinesle so precejšnje koristi EU in ostalim državam po svetu. Zato želi EU ohraniti odprto naložbeno okolje. Hkrati dokument z naslovom Razmislek o izkoriščanju globalizacije priznava, da se pojavljajo vse večji pomisleki glede strateških prevzemov evropskih podjetij s ključnimi tehnologijami s strani tujih vlagateljev, zlasti podjetij v državni lasti. Zaradi teh pomislekov so se pojavili dvomi o ustreznosti sedanjega regulativnega okvira.</w:t>
      </w:r>
    </w:p>
    <w:p>
      <w:pPr>
        <w:pStyle w:val="BodyA"/>
        <w:spacing w:after="0" w:line="240" w:lineRule="auto"/>
        <w:jc w:val="both"/>
        <w:rPr>
          <w:rFonts w:ascii="Times New Roman" w:eastAsia="Times New Roman" w:hAnsi="Times New Roman" w:cs="Times New Roman"/>
          <w:noProof/>
          <w:color w:val="000000" w:themeColor="text1"/>
          <w:sz w:val="24"/>
          <w:szCs w:val="24"/>
        </w:rPr>
      </w:pPr>
    </w:p>
    <w:p>
      <w:pPr>
        <w:pStyle w:val="BodyA"/>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u w:color="FF2600"/>
        </w:rPr>
        <w:t>Evropski svet je pozdravil pobudo Komisije</w:t>
      </w:r>
      <w:r>
        <w:rPr>
          <w:rFonts w:ascii="Times New Roman" w:hAnsi="Times New Roman"/>
          <w:noProof/>
          <w:color w:val="000000" w:themeColor="text1"/>
          <w:sz w:val="24"/>
        </w:rPr>
        <w:t xml:space="preserve"> o izkoriščanju globalizacije, zlasti v zvezi z analizo naložb iz tretjih držav v strateške sektorje</w:t>
      </w:r>
      <w:r>
        <w:rPr>
          <w:rStyle w:val="FootnoteReference"/>
          <w:rFonts w:ascii="Times New Roman" w:hAnsi="Times New Roman"/>
          <w:noProof/>
          <w:color w:val="000000" w:themeColor="text1"/>
          <w:sz w:val="24"/>
          <w:u w:color="FF2600"/>
        </w:rPr>
        <w:footnoteReference w:id="3"/>
      </w:r>
      <w:r>
        <w:rPr>
          <w:noProof/>
        </w:rPr>
        <w:t>.</w:t>
      </w:r>
      <w:r>
        <w:rPr>
          <w:rFonts w:ascii="Times New Roman" w:hAnsi="Times New Roman"/>
          <w:noProof/>
          <w:color w:val="000000" w:themeColor="text1"/>
          <w:sz w:val="24"/>
          <w:u w:color="FF2600"/>
        </w:rPr>
        <w:t xml:space="preserve"> Evropski parlament je pozval Komisijo</w:t>
      </w:r>
      <w:r>
        <w:rPr>
          <w:rFonts w:ascii="Times New Roman" w:hAnsi="Times New Roman"/>
          <w:noProof/>
          <w:color w:val="000000" w:themeColor="text1"/>
          <w:sz w:val="24"/>
        </w:rPr>
        <w:t>, naj skupaj z državami članicami</w:t>
      </w:r>
      <w:r>
        <w:rPr>
          <w:rStyle w:val="FootnoteReference"/>
          <w:rFonts w:ascii="Times New Roman" w:hAnsi="Times New Roman"/>
          <w:noProof/>
          <w:color w:val="000000" w:themeColor="text1"/>
          <w:sz w:val="24"/>
        </w:rPr>
        <w:t xml:space="preserve"> </w:t>
      </w:r>
      <w:r>
        <w:rPr>
          <w:rFonts w:ascii="Times New Roman" w:hAnsi="Times New Roman"/>
          <w:noProof/>
          <w:color w:val="000000" w:themeColor="text1"/>
          <w:sz w:val="24"/>
        </w:rPr>
        <w:t>„pregleda neposredne tuje naložbe v EU iz tretjih držav v strateške industrijske panoge, infrastrukturo in ključne tehnologije prihodnosti ali druga sredstva, ki so pomembna zaradi varnosti in zaščite dostopa do njih“</w:t>
      </w:r>
      <w:r>
        <w:rPr>
          <w:rStyle w:val="FootnoteReference"/>
          <w:rFonts w:ascii="Times New Roman" w:hAnsi="Times New Roman"/>
          <w:noProof/>
          <w:color w:val="000000" w:themeColor="text1"/>
          <w:sz w:val="24"/>
        </w:rPr>
        <w:footnoteReference w:id="4"/>
      </w:r>
      <w:r>
        <w:rPr>
          <w:noProof/>
        </w:rPr>
        <w:t>.</w:t>
      </w:r>
      <w:r>
        <w:rPr>
          <w:rFonts w:ascii="Times New Roman" w:hAnsi="Times New Roman"/>
          <w:noProof/>
          <w:color w:val="000000" w:themeColor="text1"/>
          <w:sz w:val="24"/>
        </w:rPr>
        <w:t xml:space="preserve">  </w:t>
      </w:r>
    </w:p>
    <w:p>
      <w:pPr>
        <w:pStyle w:val="BodyA"/>
        <w:spacing w:after="0" w:line="240" w:lineRule="auto"/>
        <w:jc w:val="both"/>
        <w:rPr>
          <w:rFonts w:ascii="Times New Roman" w:hAnsi="Times New Roman"/>
          <w:noProof/>
          <w:color w:val="000000" w:themeColor="text1"/>
          <w:sz w:val="24"/>
          <w:szCs w:val="24"/>
          <w:u w:color="FF2600"/>
        </w:rPr>
      </w:pPr>
    </w:p>
    <w:p>
      <w:pPr>
        <w:pStyle w:val="BodyA"/>
        <w:spacing w:after="0" w:line="240" w:lineRule="auto"/>
        <w:jc w:val="both"/>
        <w:rPr>
          <w:rFonts w:ascii="Times New Roman" w:hAnsi="Times New Roman"/>
          <w:noProof/>
          <w:color w:val="000000" w:themeColor="text1"/>
          <w:sz w:val="24"/>
          <w:szCs w:val="24"/>
          <w:u w:color="FF0000"/>
        </w:rPr>
      </w:pPr>
      <w:r>
        <w:rPr>
          <w:rFonts w:ascii="Times New Roman" w:hAnsi="Times New Roman"/>
          <w:noProof/>
          <w:color w:val="000000" w:themeColor="text1"/>
          <w:sz w:val="24"/>
        </w:rPr>
        <w:t xml:space="preserve">Da bi se odpravile možne posledice čezmejnih prevzemov za varnost in javni red, ima trenutno skoraj polovica držav članic EU vzpostavljene mehanizme pregleda neposrednih tujih investicij ter si pridržujejo pravico omejiti naložbe, ki ogrožajo njihove bistvene interese. Vendar kljub očitni evropski razsežnosti neposrednih tujih investicij še vedno ni niti sistematičnega sodelovanja med državami članicami niti vseevropskega pristopa k tem vprašanjem. </w:t>
      </w:r>
    </w:p>
    <w:p>
      <w:pPr>
        <w:pStyle w:val="BodyA"/>
        <w:spacing w:after="0" w:line="240" w:lineRule="auto"/>
        <w:jc w:val="both"/>
        <w:rPr>
          <w:rFonts w:ascii="Times New Roman" w:hAnsi="Times New Roman"/>
          <w:noProof/>
          <w:color w:val="000000" w:themeColor="text1"/>
          <w:sz w:val="24"/>
          <w:szCs w:val="24"/>
        </w:rPr>
      </w:pPr>
    </w:p>
    <w:p>
      <w:pPr>
        <w:pStyle w:val="BodyA"/>
        <w:spacing w:after="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rPr>
        <w:t>To sporočilo zato državam članicam ter po potrebi Komisiji nakazuje nadaljnje konkretne korake pri pregledu nekaterih neposrednih tujih investicij v EU.</w:t>
      </w:r>
      <w:r>
        <w:rPr>
          <w:rFonts w:ascii="Times New Roman" w:hAnsi="Times New Roman"/>
          <w:noProof/>
          <w:color w:val="000000" w:themeColor="text1"/>
          <w:sz w:val="24"/>
          <w:vertAlign w:val="superscript"/>
        </w:rPr>
        <w:footnoteReference w:id="5"/>
      </w:r>
      <w:r>
        <w:rPr>
          <w:rFonts w:ascii="Times New Roman" w:hAnsi="Times New Roman"/>
          <w:noProof/>
          <w:color w:val="000000" w:themeColor="text1"/>
          <w:sz w:val="24"/>
        </w:rPr>
        <w:t xml:space="preserve"> To sporočilo je priloga predloga uredbe o vzpostavitvi okvira za pregled neposrednih tujih investicij iz tretjih držav zaradi varnosti in javnega reda v EU, mehanizma za sodelovanje med državami članicami in okvira za pregled na ravni EU.</w:t>
      </w:r>
    </w:p>
    <w:p>
      <w:pPr>
        <w:pStyle w:val="BodyA"/>
        <w:spacing w:after="0" w:line="240" w:lineRule="auto"/>
        <w:jc w:val="both"/>
        <w:rPr>
          <w:rFonts w:ascii="Times New Roman" w:eastAsia="Times New Roman" w:hAnsi="Times New Roman" w:cs="Times New Roman"/>
          <w:noProof/>
          <w:color w:val="000000" w:themeColor="text1"/>
          <w:sz w:val="24"/>
          <w:szCs w:val="24"/>
        </w:rPr>
      </w:pPr>
    </w:p>
    <w:p>
      <w:pPr>
        <w:pStyle w:val="ListParagraph"/>
        <w:numPr>
          <w:ilvl w:val="0"/>
          <w:numId w:val="2"/>
        </w:numPr>
        <w:jc w:val="both"/>
        <w:rPr>
          <w:rFonts w:ascii="Times New Roman" w:hAnsi="Times New Roman"/>
          <w:b/>
          <w:bCs/>
          <w:noProof/>
          <w:color w:val="000000" w:themeColor="text1"/>
          <w:sz w:val="24"/>
          <w:szCs w:val="24"/>
        </w:rPr>
      </w:pPr>
      <w:r>
        <w:rPr>
          <w:rFonts w:ascii="Times New Roman" w:hAnsi="Times New Roman"/>
          <w:b/>
          <w:noProof/>
          <w:color w:val="000000" w:themeColor="text1"/>
          <w:sz w:val="24"/>
        </w:rPr>
        <w:t>EU je odprta za tuje naložbe...</w:t>
      </w:r>
    </w:p>
    <w:p>
      <w:pPr>
        <w:pStyle w:val="BodyA"/>
        <w:spacing w:after="0" w:line="240" w:lineRule="auto"/>
        <w:jc w:val="both"/>
        <w:rPr>
          <w:rStyle w:val="None"/>
          <w:rFonts w:ascii="Times New Roman" w:hAnsi="Times New Roman"/>
          <w:noProof/>
          <w:color w:val="000000" w:themeColor="text1"/>
          <w:sz w:val="24"/>
          <w:szCs w:val="24"/>
        </w:rPr>
      </w:pPr>
      <w:r>
        <w:rPr>
          <w:rFonts w:ascii="Times New Roman" w:hAnsi="Times New Roman"/>
          <w:b/>
          <w:noProof/>
          <w:color w:val="000000" w:themeColor="text1"/>
          <w:sz w:val="24"/>
        </w:rPr>
        <w:t>EU ima eno izmed najbolj odprtih naložbenih ureditev na svetu</w:t>
      </w:r>
      <w:r>
        <w:rPr>
          <w:rFonts w:ascii="Times New Roman" w:hAnsi="Times New Roman"/>
          <w:noProof/>
          <w:color w:val="000000" w:themeColor="text1"/>
          <w:sz w:val="24"/>
        </w:rPr>
        <w:t>.</w:t>
      </w:r>
      <w:r>
        <w:rPr>
          <w:rFonts w:ascii="Times New Roman" w:hAnsi="Times New Roman"/>
          <w:noProof/>
          <w:color w:val="000000" w:themeColor="text1"/>
          <w:sz w:val="24"/>
          <w:vertAlign w:val="superscript"/>
        </w:rPr>
        <w:footnoteReference w:id="6"/>
      </w:r>
      <w:r>
        <w:rPr>
          <w:rStyle w:val="None"/>
          <w:rFonts w:ascii="Times New Roman" w:hAnsi="Times New Roman"/>
          <w:noProof/>
          <w:color w:val="000000" w:themeColor="text1"/>
          <w:sz w:val="24"/>
        </w:rPr>
        <w:t>Odprtost tujim naložbam je vpisana v Pogodbi EU</w:t>
      </w:r>
      <w:r>
        <w:rPr>
          <w:rStyle w:val="FootnoteReference"/>
          <w:rFonts w:ascii="Times New Roman" w:hAnsi="Times New Roman"/>
          <w:noProof/>
          <w:color w:val="000000" w:themeColor="text1"/>
          <w:sz w:val="24"/>
        </w:rPr>
        <w:footnoteReference w:id="7"/>
      </w:r>
      <w:r>
        <w:rPr>
          <w:rStyle w:val="None"/>
          <w:rFonts w:ascii="Times New Roman" w:hAnsi="Times New Roman"/>
          <w:noProof/>
          <w:color w:val="000000" w:themeColor="text1"/>
          <w:sz w:val="24"/>
        </w:rPr>
        <w:t>. EU je vodilni svetovni vir in namembni kraj neposrednih tujih investicij. Konec leta 2015 je stanje vhodnih neposrednih tujih investicij v EU znašalo več kot 5,7 bilijona EUR, v ZDA in na Kitajskem pa 5,1 oziroma 1,1 bilijona EUR. V enakem obdobju so vlagatelji iz EU imeli 6,9 bilijona EUR neposrednih tujih investicij v tretjih državah</w:t>
      </w:r>
      <w:r>
        <w:rPr>
          <w:rStyle w:val="FootnoteReference"/>
          <w:rFonts w:ascii="Times New Roman" w:hAnsi="Times New Roman"/>
          <w:noProof/>
          <w:color w:val="000000" w:themeColor="text1"/>
          <w:sz w:val="24"/>
        </w:rPr>
        <w:footnoteReference w:id="8"/>
      </w:r>
      <w:r>
        <w:rPr>
          <w:noProof/>
        </w:rPr>
        <w:t>.</w:t>
      </w:r>
      <w:r>
        <w:rPr>
          <w:rStyle w:val="None"/>
          <w:rFonts w:ascii="Times New Roman" w:hAnsi="Times New Roman"/>
          <w:noProof/>
          <w:color w:val="000000" w:themeColor="text1"/>
          <w:sz w:val="24"/>
        </w:rPr>
        <w:t xml:space="preserve"> </w:t>
      </w:r>
    </w:p>
    <w:p>
      <w:pPr>
        <w:pStyle w:val="BodyA"/>
        <w:spacing w:after="0" w:line="240" w:lineRule="auto"/>
        <w:jc w:val="both"/>
        <w:rPr>
          <w:rStyle w:val="None"/>
          <w:rFonts w:ascii="Times New Roman" w:hAnsi="Times New Roman"/>
          <w:noProof/>
          <w:color w:val="000000" w:themeColor="text1"/>
          <w:sz w:val="24"/>
          <w:szCs w:val="24"/>
        </w:rPr>
      </w:pPr>
    </w:p>
    <w:p>
      <w:pPr>
        <w:pStyle w:val="BodyA"/>
        <w:spacing w:after="0" w:line="240" w:lineRule="auto"/>
        <w:jc w:val="both"/>
        <w:rPr>
          <w:rStyle w:val="None"/>
          <w:rFonts w:ascii="open_sansregular" w:hAnsi="open_sansregular" w:cs="Helvetica"/>
          <w:noProof/>
          <w:color w:val="000000" w:themeColor="text1"/>
          <w:sz w:val="24"/>
          <w:szCs w:val="24"/>
        </w:rPr>
      </w:pPr>
      <w:r>
        <w:rPr>
          <w:rStyle w:val="None"/>
          <w:rFonts w:ascii="Times New Roman" w:hAnsi="Times New Roman"/>
          <w:noProof/>
          <w:color w:val="000000" w:themeColor="text1"/>
          <w:sz w:val="24"/>
          <w:u w:color="FF2600"/>
        </w:rPr>
        <w:t>Tokovi neposrednih tujih investicij</w:t>
      </w:r>
      <w:r>
        <w:rPr>
          <w:rStyle w:val="None"/>
          <w:rFonts w:ascii="Times New Roman" w:hAnsi="Times New Roman"/>
          <w:noProof/>
          <w:color w:val="000000" w:themeColor="text1"/>
          <w:sz w:val="24"/>
        </w:rPr>
        <w:t xml:space="preserve"> v EU so se popravili po nižjih vrednostih, zabeleženih med finančno krizo in po njej, zlasti v obdobju med letoma 2008 in 2010. Leta 2015</w:t>
      </w:r>
      <w:r>
        <w:rPr>
          <w:rFonts w:ascii="open_sansregular" w:hAnsi="open_sansregular"/>
          <w:noProof/>
          <w:color w:val="000000" w:themeColor="text1"/>
          <w:sz w:val="24"/>
        </w:rPr>
        <w:t xml:space="preserve"> so vhodne</w:t>
      </w:r>
      <w:r>
        <w:rPr>
          <w:rStyle w:val="None"/>
          <w:rFonts w:ascii="Times New Roman" w:hAnsi="Times New Roman"/>
          <w:noProof/>
          <w:color w:val="000000" w:themeColor="text1"/>
          <w:sz w:val="24"/>
          <w:u w:color="FF2600"/>
        </w:rPr>
        <w:t xml:space="preserve"> neposredne tuje investicije</w:t>
      </w:r>
      <w:r>
        <w:rPr>
          <w:rFonts w:ascii="open_sansregular" w:hAnsi="open_sansregular"/>
          <w:noProof/>
          <w:color w:val="000000" w:themeColor="text1"/>
          <w:sz w:val="24"/>
        </w:rPr>
        <w:t xml:space="preserve"> dosegle skoraj 470 milijard EUR, kar je več od najvišje ravni pred krizo, zabeležene v letu 2007</w:t>
      </w:r>
      <w:r>
        <w:rPr>
          <w:rStyle w:val="FootnoteReference"/>
          <w:rFonts w:ascii="open_sansregular" w:hAnsi="open_sansregular"/>
          <w:noProof/>
          <w:color w:val="000000" w:themeColor="text1"/>
          <w:sz w:val="24"/>
        </w:rPr>
        <w:footnoteReference w:id="9"/>
      </w:r>
      <w:r>
        <w:rPr>
          <w:noProof/>
        </w:rPr>
        <w:t>.</w:t>
      </w:r>
      <w:r>
        <w:rPr>
          <w:rFonts w:ascii="open_sansregular" w:hAnsi="open_sansregular"/>
          <w:noProof/>
          <w:color w:val="000000" w:themeColor="text1"/>
          <w:sz w:val="24"/>
        </w:rPr>
        <w:t xml:space="preserve"> </w:t>
      </w:r>
      <w:r>
        <w:rPr>
          <w:rStyle w:val="None"/>
          <w:rFonts w:ascii="Times New Roman" w:hAnsi="Times New Roman"/>
          <w:noProof/>
          <w:color w:val="000000" w:themeColor="text1"/>
          <w:sz w:val="24"/>
          <w:u w:color="FF2600"/>
        </w:rPr>
        <w:t xml:space="preserve"> Okrevanje je bilo podprto s povečanjem števila in vrednosti mednarodnih čezmejnih združitev in prevzemov, ki še vedno predstavljajo večino prilivov neposrednih tujih investicij.</w:t>
      </w:r>
    </w:p>
    <w:p>
      <w:pPr>
        <w:pStyle w:val="BodyA"/>
        <w:spacing w:after="0" w:line="240" w:lineRule="auto"/>
        <w:jc w:val="both"/>
        <w:rPr>
          <w:rStyle w:val="None"/>
          <w:rFonts w:ascii="Times New Roman" w:hAnsi="Times New Roman"/>
          <w:noProof/>
          <w:color w:val="000000" w:themeColor="text1"/>
          <w:sz w:val="24"/>
          <w:szCs w:val="24"/>
          <w:u w:color="FF2600"/>
        </w:rPr>
      </w:pPr>
    </w:p>
    <w:p>
      <w:pPr>
        <w:pStyle w:val="BodyA"/>
        <w:spacing w:line="240" w:lineRule="auto"/>
        <w:jc w:val="both"/>
        <w:rPr>
          <w:rStyle w:val="None"/>
          <w:rFonts w:ascii="Times New Roman" w:hAnsi="Times New Roman"/>
          <w:noProof/>
          <w:color w:val="000000" w:themeColor="text1"/>
          <w:sz w:val="24"/>
          <w:szCs w:val="24"/>
        </w:rPr>
      </w:pPr>
      <w:r>
        <w:rPr>
          <w:rStyle w:val="None"/>
          <w:rFonts w:ascii="Times New Roman" w:hAnsi="Times New Roman"/>
          <w:noProof/>
          <w:color w:val="000000" w:themeColor="text1"/>
          <w:sz w:val="24"/>
        </w:rPr>
        <w:t xml:space="preserve">Hkrati se pojavljajo novi naložbeni trendi v </w:t>
      </w:r>
      <w:r>
        <w:rPr>
          <w:rStyle w:val="None"/>
          <w:rFonts w:ascii="Times New Roman" w:hAnsi="Times New Roman"/>
          <w:b/>
          <w:noProof/>
          <w:color w:val="000000" w:themeColor="text1"/>
          <w:sz w:val="24"/>
        </w:rPr>
        <w:t>nekaterih</w:t>
      </w:r>
      <w:r>
        <w:rPr>
          <w:rStyle w:val="None"/>
          <w:rFonts w:ascii="Times New Roman" w:hAnsi="Times New Roman"/>
          <w:noProof/>
          <w:color w:val="000000" w:themeColor="text1"/>
          <w:sz w:val="24"/>
        </w:rPr>
        <w:t xml:space="preserve"> </w:t>
      </w:r>
      <w:r>
        <w:rPr>
          <w:rStyle w:val="None"/>
          <w:rFonts w:ascii="Times New Roman" w:hAnsi="Times New Roman"/>
          <w:b/>
          <w:noProof/>
          <w:color w:val="000000" w:themeColor="text1"/>
          <w:sz w:val="24"/>
        </w:rPr>
        <w:t>gospodarstvih v vzponu, ki imajo vse večjo vlogo kot ponudniki neposrednih tujih investicij</w:t>
      </w:r>
      <w:r>
        <w:rPr>
          <w:rStyle w:val="None"/>
          <w:rFonts w:ascii="Times New Roman" w:hAnsi="Times New Roman"/>
          <w:noProof/>
          <w:color w:val="000000" w:themeColor="text1"/>
          <w:sz w:val="24"/>
        </w:rPr>
        <w:t>. ZDA so še vedno daleč največja tuja država vlagateljica v EU, vendar je njen delež stanja neposrednih tujih investicij v EU padel z 51,3 odstotka v letu 1995 na 41,4 odstotka v letu 2015. Tudi japonski delež se je v istem obdobju zmanjšal, in sicer s 7,7 odstotka na manj kot 3 odstotke. V tem obdobju sta se bistveno povečala deleža Brazilije in Kitajske z 0,2 oziroma 0,3 odstotka v letu 1995 na 2,2 oziroma 2 odstotka v letu 2015</w:t>
      </w:r>
      <w:r>
        <w:rPr>
          <w:rStyle w:val="FootnoteReference"/>
          <w:rFonts w:ascii="Times New Roman" w:hAnsi="Times New Roman"/>
          <w:noProof/>
          <w:color w:val="000000" w:themeColor="text1"/>
          <w:sz w:val="24"/>
        </w:rPr>
        <w:footnoteReference w:id="10"/>
      </w:r>
      <w:r>
        <w:rPr>
          <w:rStyle w:val="None"/>
          <w:rFonts w:ascii="Times New Roman" w:hAnsi="Times New Roman"/>
          <w:noProof/>
          <w:color w:val="000000" w:themeColor="text1"/>
          <w:sz w:val="24"/>
        </w:rPr>
        <w:t>, kar ti državi uvršča na peto oziroma šesto mesto med tujimi vlagatelji v EU (glej diagrama v nadaljevanju).</w:t>
      </w:r>
    </w:p>
    <w:p>
      <w:pPr>
        <w:pStyle w:val="BodyA"/>
        <w:spacing w:line="240" w:lineRule="auto"/>
        <w:jc w:val="both"/>
        <w:rPr>
          <w:rStyle w:val="None"/>
          <w:rFonts w:ascii="Times New Roman" w:hAnsi="Times New Roman"/>
          <w:b/>
          <w:i/>
          <w:noProof/>
          <w:color w:val="000000" w:themeColor="text1"/>
          <w:sz w:val="24"/>
          <w:szCs w:val="24"/>
        </w:rPr>
      </w:pPr>
      <w:r>
        <w:rPr>
          <w:rStyle w:val="None"/>
          <w:rFonts w:ascii="Times New Roman" w:hAnsi="Times New Roman"/>
          <w:b/>
          <w:i/>
          <w:noProof/>
          <w:color w:val="000000" w:themeColor="text1"/>
          <w:sz w:val="24"/>
        </w:rPr>
        <w:t xml:space="preserve">Diagram 1: Sestava stanja vhodnih in izhodnih neposrednih tujih investicij (NTI) EU po mednarodnih partnerjih konec leta 2015 </w:t>
      </w:r>
    </w:p>
    <w:p>
      <w:pPr>
        <w:pStyle w:val="BodyA"/>
        <w:spacing w:line="240" w:lineRule="auto"/>
        <w:jc w:val="both"/>
        <w:rPr>
          <w:rStyle w:val="None"/>
          <w:rFonts w:ascii="Times New Roman" w:hAnsi="Times New Roman"/>
          <w:noProof/>
          <w:color w:val="000000" w:themeColor="text1"/>
          <w:sz w:val="20"/>
          <w:szCs w:val="20"/>
        </w:rPr>
      </w:pPr>
      <w:r>
        <w:rPr>
          <w:rFonts w:ascii="Times New Roman" w:hAnsi="Times New Roman"/>
          <w:noProof/>
          <w:color w:val="000000" w:themeColor="text1"/>
          <w:sz w:val="20"/>
          <w:szCs w:val="20"/>
          <w:lang w:val="en-US" w:eastAsia="en-US" w:bidi="ar-SA"/>
        </w:rPr>
        <w:drawing>
          <wp:inline distT="0" distB="0" distL="0" distR="0">
            <wp:extent cx="2895600" cy="2657475"/>
            <wp:effectExtent l="0" t="0" r="0" b="9525"/>
            <wp:docPr id="3" name="Picture 3" descr="C:\Users\puklaal\AppData\Local\Local Documents - no backup\DGT\Dossiers\SG\SG-2017-80466\Verzija 03\fdi_S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klaal\AppData\Local\Local Documents - no backup\DGT\Dossiers\SG\SG-2017-80466\Verzija 03\fdi_SL.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95600" cy="2657475"/>
                    </a:xfrm>
                    <a:prstGeom prst="rect">
                      <a:avLst/>
                    </a:prstGeom>
                    <a:noFill/>
                    <a:ln>
                      <a:noFill/>
                    </a:ln>
                  </pic:spPr>
                </pic:pic>
              </a:graphicData>
            </a:graphic>
          </wp:inline>
        </w:drawing>
      </w:r>
    </w:p>
    <w:p>
      <w:pPr>
        <w:pStyle w:val="BodyA"/>
        <w:spacing w:line="240" w:lineRule="auto"/>
        <w:jc w:val="both"/>
        <w:rPr>
          <w:rStyle w:val="None"/>
          <w:rFonts w:ascii="Times New Roman" w:hAnsi="Times New Roman"/>
          <w:noProof/>
          <w:color w:val="000000" w:themeColor="text1"/>
          <w:sz w:val="20"/>
          <w:szCs w:val="20"/>
        </w:rPr>
      </w:pPr>
      <w:r>
        <w:rPr>
          <w:rStyle w:val="None"/>
          <w:rFonts w:ascii="Times New Roman" w:hAnsi="Times New Roman"/>
          <w:noProof/>
          <w:color w:val="000000" w:themeColor="text1"/>
          <w:sz w:val="20"/>
        </w:rPr>
        <w:t>Vir: Eurostat.</w:t>
      </w:r>
    </w:p>
    <w:p>
      <w:pPr>
        <w:pStyle w:val="BodyA"/>
        <w:spacing w:line="240" w:lineRule="auto"/>
        <w:jc w:val="both"/>
        <w:rPr>
          <w:rStyle w:val="None"/>
          <w:rFonts w:ascii="Times New Roman" w:hAnsi="Times New Roman"/>
          <w:b/>
          <w:i/>
          <w:noProof/>
          <w:color w:val="000000" w:themeColor="text1"/>
          <w:sz w:val="24"/>
          <w:szCs w:val="24"/>
        </w:rPr>
      </w:pPr>
      <w:r>
        <w:rPr>
          <w:rStyle w:val="None"/>
          <w:rFonts w:ascii="Times New Roman" w:hAnsi="Times New Roman"/>
          <w:b/>
          <w:i/>
          <w:noProof/>
          <w:color w:val="000000" w:themeColor="text1"/>
          <w:sz w:val="24"/>
        </w:rPr>
        <w:t>Diagram 2: Gibanje deležev desetih največjih vlagateljev, izraženo kot stanje vhodnih neposrednih tujih investicij EU</w:t>
      </w:r>
      <w:r>
        <w:rPr>
          <w:rStyle w:val="FootnoteReference"/>
          <w:rFonts w:ascii="Times New Roman" w:hAnsi="Times New Roman"/>
          <w:b/>
          <w:i/>
          <w:noProof/>
          <w:color w:val="000000" w:themeColor="text1"/>
          <w:sz w:val="24"/>
        </w:rPr>
        <w:footnoteReference w:id="11"/>
      </w:r>
      <w:r>
        <w:rPr>
          <w:rStyle w:val="None"/>
          <w:rFonts w:ascii="Times New Roman" w:hAnsi="Times New Roman"/>
          <w:b/>
          <w:i/>
          <w:noProof/>
          <w:color w:val="000000" w:themeColor="text1"/>
          <w:sz w:val="24"/>
        </w:rPr>
        <w:t xml:space="preserve"> </w:t>
      </w:r>
    </w:p>
    <w:p>
      <w:pPr>
        <w:pStyle w:val="BodyA"/>
        <w:spacing w:line="240" w:lineRule="auto"/>
        <w:jc w:val="both"/>
        <w:rPr>
          <w:rStyle w:val="None"/>
          <w:rFonts w:ascii="Times New Roman" w:hAnsi="Times New Roman"/>
          <w:b/>
          <w:i/>
          <w:noProof/>
          <w:color w:val="000000" w:themeColor="text1"/>
          <w:sz w:val="24"/>
          <w:szCs w:val="24"/>
        </w:rPr>
      </w:pPr>
      <w:r>
        <w:rPr>
          <w:noProof/>
          <w:lang w:val="en-US" w:eastAsia="en-US" w:bidi="ar-SA"/>
        </w:rPr>
        <w:drawing>
          <wp:inline distT="0" distB="0" distL="0" distR="0">
            <wp:extent cx="5756910" cy="4526280"/>
            <wp:effectExtent l="0" t="0" r="15240" b="2667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pStyle w:val="BodyA"/>
        <w:spacing w:line="240" w:lineRule="auto"/>
        <w:jc w:val="both"/>
        <w:rPr>
          <w:rStyle w:val="None"/>
          <w:rFonts w:ascii="Times New Roman" w:hAnsi="Times New Roman"/>
          <w:i/>
          <w:noProof/>
          <w:color w:val="auto"/>
          <w:sz w:val="20"/>
          <w:szCs w:val="20"/>
        </w:rPr>
      </w:pPr>
      <w:r>
        <w:rPr>
          <w:i/>
          <w:noProof/>
          <w:color w:val="auto"/>
          <w:sz w:val="20"/>
        </w:rPr>
        <w:t xml:space="preserve">Vir: Eurostat. </w:t>
      </w:r>
    </w:p>
    <w:p>
      <w:pPr>
        <w:pStyle w:val="BodyA"/>
        <w:spacing w:after="0" w:line="240" w:lineRule="auto"/>
        <w:jc w:val="both"/>
        <w:rPr>
          <w:rStyle w:val="None"/>
          <w:rFonts w:ascii="Times New Roman" w:hAnsi="Times New Roman"/>
          <w:noProof/>
          <w:color w:val="000000" w:themeColor="text1"/>
          <w:sz w:val="24"/>
          <w:szCs w:val="24"/>
        </w:rPr>
      </w:pPr>
      <w:r>
        <w:rPr>
          <w:rStyle w:val="None"/>
          <w:rFonts w:ascii="Times New Roman" w:hAnsi="Times New Roman"/>
          <w:b/>
          <w:noProof/>
          <w:color w:val="000000" w:themeColor="text1"/>
          <w:sz w:val="24"/>
        </w:rPr>
        <w:t>EU pozdravlja tuje naložbe zaradi</w:t>
      </w:r>
      <w:r>
        <w:rPr>
          <w:rStyle w:val="None"/>
          <w:rFonts w:ascii="Times New Roman" w:hAnsi="Times New Roman"/>
          <w:b/>
          <w:noProof/>
          <w:color w:val="auto"/>
          <w:sz w:val="24"/>
        </w:rPr>
        <w:t xml:space="preserve"> znatnih koristi, ki jih prinašajo za gospodarstvo in družbo na splošno</w:t>
      </w:r>
      <w:r>
        <w:rPr>
          <w:rStyle w:val="None"/>
          <w:rFonts w:ascii="Times New Roman" w:hAnsi="Times New Roman"/>
          <w:noProof/>
          <w:color w:val="auto"/>
          <w:sz w:val="24"/>
        </w:rPr>
        <w:t>. N</w:t>
      </w:r>
      <w:r>
        <w:rPr>
          <w:rStyle w:val="None"/>
          <w:rFonts w:ascii="Times New Roman" w:hAnsi="Times New Roman"/>
          <w:noProof/>
          <w:color w:val="000000" w:themeColor="text1"/>
          <w:sz w:val="24"/>
        </w:rPr>
        <w:t>eposredne tuje investicije</w:t>
      </w:r>
      <w:r>
        <w:rPr>
          <w:rStyle w:val="None"/>
          <w:rFonts w:ascii="Times New Roman" w:hAnsi="Times New Roman"/>
          <w:noProof/>
          <w:color w:val="auto"/>
          <w:sz w:val="24"/>
        </w:rPr>
        <w:t xml:space="preserve"> so vir rasti in delovnih mest. Podjetja EU</w:t>
      </w:r>
      <w:r>
        <w:rPr>
          <w:rStyle w:val="None"/>
          <w:rFonts w:ascii="Times New Roman" w:hAnsi="Times New Roman"/>
          <w:noProof/>
          <w:color w:val="000000" w:themeColor="text1"/>
          <w:sz w:val="24"/>
        </w:rPr>
        <w:t xml:space="preserve"> povezujejo z globalnimi vrednostnimi verigami, ki so gonilo sodobnega gospodarstva. Povečujejo produktivnost in konkurenčnost naših podjetij z izboljševanjem razporejanja virov, doprinosom kapitala, tehnologij ter strokovnega znanja in izkušenj, krepitvijo konkurence, spodbujanjem inovacij in odpiranjem novih trgov za izvoz EU. Poleg tega podpirajo cilje naložbenega načrta za Evropo in drugih projektov in programov EU. Izhodne neposredne tuje investicije prinašajo podobne koristi kot vhodni tokovi, vključno z izvajanjem agende za trajnostni razvoj do leta 2030. Zaradi vseh teh razlogov bo EU še naprej podpirala liberalizacijo in zaščito naložb po svetu.</w:t>
      </w:r>
    </w:p>
    <w:p>
      <w:pPr>
        <w:pStyle w:val="BodyA"/>
        <w:spacing w:after="0" w:line="240" w:lineRule="auto"/>
        <w:jc w:val="both"/>
        <w:rPr>
          <w:rStyle w:val="None"/>
          <w:rFonts w:ascii="Times New Roman" w:hAnsi="Times New Roman"/>
          <w:noProof/>
          <w:color w:val="000000" w:themeColor="text1"/>
          <w:sz w:val="24"/>
          <w:szCs w:val="24"/>
        </w:rPr>
      </w:pPr>
    </w:p>
    <w:p>
      <w:pPr>
        <w:jc w:val="both"/>
        <w:rPr>
          <w:rStyle w:val="None"/>
          <w:noProof/>
          <w:color w:val="000000" w:themeColor="text1"/>
        </w:rPr>
      </w:pPr>
      <w:r>
        <w:rPr>
          <w:rStyle w:val="None"/>
          <w:noProof/>
          <w:color w:val="000000" w:themeColor="text1"/>
        </w:rPr>
        <w:t>Čeprav samo 0,4 odstotka podjetij EU nadzirajo vlagatelji, ki niso iz EU, so ta podjetja v povprečju veliko večja od podjetij v lasti vlagateljev iz EU. Posledično pomenijo približno 13 odstotkov celotnega prometa, 11 odstotkov dodane vrednosti in 6 odstotkov vseh delovnih mest v EU</w:t>
      </w:r>
      <w:r>
        <w:rPr>
          <w:rStyle w:val="FootnoteReference"/>
          <w:noProof/>
          <w:color w:val="000000" w:themeColor="text1"/>
        </w:rPr>
        <w:footnoteReference w:id="12"/>
      </w:r>
      <w:r>
        <w:rPr>
          <w:noProof/>
        </w:rPr>
        <w:t>.</w:t>
      </w:r>
    </w:p>
    <w:p>
      <w:pPr>
        <w:jc w:val="both"/>
        <w:rPr>
          <w:rFonts w:eastAsia="Calibri"/>
          <w:b/>
          <w:bCs/>
          <w:noProof/>
          <w:color w:val="000000" w:themeColor="text1"/>
          <w:u w:color="000000"/>
        </w:rPr>
      </w:pPr>
    </w:p>
    <w:p>
      <w:pPr>
        <w:pStyle w:val="ListParagraph"/>
        <w:numPr>
          <w:ilvl w:val="0"/>
          <w:numId w:val="2"/>
        </w:numPr>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 vendar je treba zaradi sprememb vzorcev tujih naložb poskrbeti za varnost in javni red</w:t>
      </w:r>
    </w:p>
    <w:p>
      <w:pPr>
        <w:pStyle w:val="BodyA"/>
        <w:spacing w:after="0" w:line="240" w:lineRule="auto"/>
        <w:jc w:val="both"/>
        <w:rPr>
          <w:rStyle w:val="None"/>
          <w:rFonts w:ascii="Times New Roman" w:hAnsi="Times New Roman"/>
          <w:noProof/>
          <w:color w:val="000000" w:themeColor="text1"/>
          <w:sz w:val="24"/>
          <w:szCs w:val="24"/>
        </w:rPr>
      </w:pPr>
      <w:r>
        <w:rPr>
          <w:rStyle w:val="None"/>
          <w:rFonts w:ascii="Times New Roman" w:hAnsi="Times New Roman"/>
          <w:b/>
          <w:noProof/>
          <w:color w:val="000000" w:themeColor="text1"/>
          <w:sz w:val="24"/>
        </w:rPr>
        <w:t>EU bo še naprej odprta za tuje naložbe</w:t>
      </w:r>
      <w:r>
        <w:rPr>
          <w:rStyle w:val="None"/>
          <w:rFonts w:ascii="Times New Roman" w:hAnsi="Times New Roman"/>
          <w:noProof/>
          <w:color w:val="000000" w:themeColor="text1"/>
          <w:sz w:val="24"/>
        </w:rPr>
        <w:t>. Vendar morajo to odprtost spremljati odločne in ustrezne politike, prvič, da se odprejo trgi za evropska podjetja v tretjih državah, zagotovi, da vsi spoštujejo enaka pravila, in zaščitijo naložbe EU v tretjih državah ter, drugič, da se sredstva v EU zaščitijo pred prevzemi, ki bi lahko škodovali bistvenim interesom EU ali njenih držav članic.</w:t>
      </w:r>
    </w:p>
    <w:p>
      <w:pPr>
        <w:pStyle w:val="BodyA"/>
        <w:spacing w:after="0" w:line="240" w:lineRule="auto"/>
        <w:jc w:val="both"/>
        <w:rPr>
          <w:rStyle w:val="None"/>
          <w:rFonts w:ascii="Times New Roman" w:hAnsi="Times New Roman"/>
          <w:noProof/>
          <w:color w:val="000000" w:themeColor="text1"/>
          <w:sz w:val="24"/>
          <w:szCs w:val="24"/>
        </w:rPr>
      </w:pPr>
    </w:p>
    <w:p>
      <w:pPr>
        <w:pStyle w:val="BodyA"/>
        <w:spacing w:after="0" w:line="240" w:lineRule="auto"/>
        <w:jc w:val="both"/>
        <w:rPr>
          <w:rStyle w:val="None"/>
          <w:rFonts w:ascii="Times New Roman" w:hAnsi="Times New Roman"/>
          <w:noProof/>
          <w:color w:val="000000" w:themeColor="text1"/>
          <w:sz w:val="24"/>
          <w:szCs w:val="24"/>
        </w:rPr>
      </w:pPr>
      <w:r>
        <w:rPr>
          <w:rStyle w:val="None"/>
          <w:rFonts w:ascii="Times New Roman" w:hAnsi="Times New Roman"/>
          <w:noProof/>
          <w:color w:val="000000" w:themeColor="text1"/>
          <w:sz w:val="24"/>
        </w:rPr>
        <w:t xml:space="preserve">Tuji vlagatelji se vse bolj osredotočajo na iskanje novih trgov in strateških sredstev, pri čemer imajo </w:t>
      </w:r>
      <w:r>
        <w:rPr>
          <w:rStyle w:val="None"/>
          <w:rFonts w:ascii="Times New Roman" w:hAnsi="Times New Roman"/>
          <w:b/>
          <w:noProof/>
          <w:color w:val="000000" w:themeColor="text1"/>
          <w:sz w:val="24"/>
        </w:rPr>
        <w:t>podjetja v državni lasti vse pomembnejšo vlogo v svetovnem gospodarstvu</w:t>
      </w:r>
      <w:r>
        <w:rPr>
          <w:rStyle w:val="FootnoteReference"/>
          <w:rFonts w:ascii="Times New Roman" w:hAnsi="Times New Roman"/>
          <w:noProof/>
          <w:color w:val="000000" w:themeColor="text1"/>
          <w:sz w:val="24"/>
        </w:rPr>
        <w:footnoteReference w:id="13"/>
      </w:r>
      <w:r>
        <w:rPr>
          <w:noProof/>
        </w:rPr>
        <w:t>.</w:t>
      </w:r>
      <w:r>
        <w:rPr>
          <w:rStyle w:val="None"/>
          <w:rFonts w:ascii="Times New Roman" w:hAnsi="Times New Roman"/>
          <w:noProof/>
          <w:color w:val="000000" w:themeColor="text1"/>
          <w:sz w:val="24"/>
        </w:rPr>
        <w:t xml:space="preserve"> V nekaterih gospodarstvih imajo podjetja v državni lasti znaten delež izhodnih neposrednih tujih investicij, ki so v nekaterih primerih vključene v javno znane vladne strategije</w:t>
      </w:r>
      <w:r>
        <w:rPr>
          <w:rStyle w:val="FootnoteReference"/>
          <w:rFonts w:ascii="Times New Roman" w:hAnsi="Times New Roman"/>
          <w:noProof/>
          <w:color w:val="000000" w:themeColor="text1"/>
          <w:sz w:val="24"/>
        </w:rPr>
        <w:footnoteReference w:id="14"/>
      </w:r>
      <w:r>
        <w:rPr>
          <w:noProof/>
        </w:rPr>
        <w:t>.</w:t>
      </w:r>
      <w:r>
        <w:rPr>
          <w:rStyle w:val="None"/>
          <w:rFonts w:ascii="Times New Roman" w:hAnsi="Times New Roman"/>
          <w:noProof/>
          <w:color w:val="000000" w:themeColor="text1"/>
          <w:sz w:val="24"/>
        </w:rPr>
        <w:t xml:space="preserve"> Poleg neposrednega državnega lastništva v podjetjih smo priča tudi razmeram, v katerih država z različnimi sredstvi neposredno ali posredno vpliva na določena podjetja ali v katerih država olajšuje tuje prevzeme s strani nacionalnih podjetij, zlasti z olajševanjem dostopa do financiranja z obrestnimi merami, ki so nižje od tržnih. </w:t>
      </w:r>
    </w:p>
    <w:p>
      <w:pPr>
        <w:pStyle w:val="BodyA"/>
        <w:spacing w:after="0" w:line="240" w:lineRule="auto"/>
        <w:jc w:val="both"/>
        <w:rPr>
          <w:rStyle w:val="None"/>
          <w:rFonts w:ascii="Times New Roman" w:hAnsi="Times New Roman"/>
          <w:noProof/>
          <w:color w:val="000000" w:themeColor="text1"/>
          <w:sz w:val="24"/>
          <w:szCs w:val="24"/>
        </w:rPr>
      </w:pPr>
    </w:p>
    <w:p>
      <w:pPr>
        <w:pStyle w:val="BodyA"/>
        <w:spacing w:line="240" w:lineRule="auto"/>
        <w:jc w:val="both"/>
        <w:rPr>
          <w:rStyle w:val="None"/>
          <w:rFonts w:ascii="Times New Roman" w:hAnsi="Times New Roman"/>
          <w:noProof/>
          <w:color w:val="000000" w:themeColor="text1"/>
          <w:sz w:val="24"/>
          <w:szCs w:val="24"/>
        </w:rPr>
      </w:pPr>
      <w:r>
        <w:rPr>
          <w:rStyle w:val="None"/>
          <w:rFonts w:ascii="Times New Roman" w:hAnsi="Times New Roman"/>
          <w:noProof/>
          <w:color w:val="000000" w:themeColor="text1"/>
          <w:sz w:val="24"/>
        </w:rPr>
        <w:t xml:space="preserve">Pri tem obstaja tveganje, da si lahko v posameznih primerih </w:t>
      </w:r>
      <w:r>
        <w:rPr>
          <w:rStyle w:val="None"/>
          <w:rFonts w:ascii="Times New Roman" w:hAnsi="Times New Roman"/>
          <w:b/>
          <w:noProof/>
          <w:color w:val="000000" w:themeColor="text1"/>
          <w:sz w:val="24"/>
        </w:rPr>
        <w:t>tuji vlagatelji želijo pridobiti nadzor nad evropskimi podjetji, katerih dejavnosti vplivajo na kritične tehnologije, infrastrukturo, proizvodne dejavnike ali občutljive informacije, ali želijo nanje vplivati</w:t>
      </w:r>
      <w:r>
        <w:rPr>
          <w:rStyle w:val="None"/>
          <w:rFonts w:ascii="Times New Roman" w:hAnsi="Times New Roman"/>
          <w:noProof/>
          <w:color w:val="000000" w:themeColor="text1"/>
          <w:sz w:val="24"/>
        </w:rPr>
        <w:t>. Tveganje je še zlasti, vendar ne izključno, prisotno, če so tuji vlagatelji v državni lasti ali pod državnim nadzorom, vključno z zagotavljanjem financiranja ali usmerjanjem prek drugih sredstev.</w:t>
      </w:r>
      <w:r>
        <w:rPr>
          <w:rStyle w:val="None"/>
          <w:rFonts w:ascii="Times New Roman" w:hAnsi="Times New Roman"/>
          <w:b/>
          <w:noProof/>
          <w:color w:val="000000" w:themeColor="text1"/>
          <w:sz w:val="24"/>
        </w:rPr>
        <w:t xml:space="preserve"> </w:t>
      </w:r>
      <w:r>
        <w:rPr>
          <w:rStyle w:val="None"/>
          <w:rFonts w:ascii="Times New Roman" w:hAnsi="Times New Roman"/>
          <w:noProof/>
          <w:color w:val="000000" w:themeColor="text1"/>
          <w:sz w:val="24"/>
        </w:rPr>
        <w:t xml:space="preserve">Takšni prevzemi lahko zadevnim državam omogočijo, da s temi sredstvi ne le zmanjšajo tehnološko prednost EU, ampak ogrozijo tudi njeno varnost in javni red. </w:t>
      </w:r>
    </w:p>
    <w:p>
      <w:pPr>
        <w:pStyle w:val="BodyA"/>
        <w:spacing w:line="240" w:lineRule="auto"/>
        <w:jc w:val="both"/>
        <w:rPr>
          <w:rStyle w:val="None"/>
          <w:rFonts w:ascii="Times New Roman" w:hAnsi="Times New Roman"/>
          <w:noProof/>
          <w:color w:val="000000" w:themeColor="text1"/>
          <w:sz w:val="24"/>
          <w:szCs w:val="24"/>
        </w:rPr>
      </w:pPr>
      <w:r>
        <w:rPr>
          <w:rStyle w:val="None"/>
          <w:rFonts w:ascii="Times New Roman" w:hAnsi="Times New Roman"/>
          <w:b/>
          <w:noProof/>
          <w:color w:val="000000" w:themeColor="text1"/>
          <w:sz w:val="24"/>
        </w:rPr>
        <w:t>Več ključnih mednarodnih partnerjev EU je vzpostavilo in izvaja mehanizme pregleda neposrednih tujih investicij</w:t>
      </w:r>
      <w:r>
        <w:rPr>
          <w:rStyle w:val="None"/>
          <w:rFonts w:ascii="Times New Roman" w:hAnsi="Times New Roman"/>
          <w:noProof/>
          <w:color w:val="000000" w:themeColor="text1"/>
          <w:sz w:val="24"/>
        </w:rPr>
        <w:t xml:space="preserve">, da bi odpravili tovrstne pomisleke. Med temi so Avstralija, Kanada, </w:t>
      </w:r>
      <w:r>
        <w:rPr>
          <w:rStyle w:val="None"/>
          <w:rFonts w:ascii="Times New Roman" w:hAnsi="Times New Roman"/>
          <w:noProof/>
          <w:color w:val="auto"/>
          <w:sz w:val="24"/>
        </w:rPr>
        <w:t xml:space="preserve">Kitajska, Indija, </w:t>
      </w:r>
      <w:r>
        <w:rPr>
          <w:rStyle w:val="None"/>
          <w:rFonts w:ascii="Times New Roman" w:hAnsi="Times New Roman"/>
          <w:noProof/>
          <w:color w:val="000000" w:themeColor="text1"/>
          <w:sz w:val="24"/>
        </w:rPr>
        <w:t>Japonska in Združene države Amerike.</w:t>
      </w:r>
    </w:p>
    <w:tbl>
      <w:tblPr>
        <w:tblStyle w:val="TableGrid"/>
        <w:tblW w:w="0" w:type="auto"/>
        <w:tblLook w:val="04A0" w:firstRow="1" w:lastRow="0" w:firstColumn="1" w:lastColumn="0" w:noHBand="0" w:noVBand="1"/>
      </w:tblPr>
      <w:tblGrid>
        <w:gridCol w:w="9282"/>
      </w:tblGrid>
      <w:tr>
        <w:tc>
          <w:tcPr>
            <w:tcW w:w="9282" w:type="dxa"/>
          </w:tcPr>
          <w:p>
            <w:pPr>
              <w:pStyle w:val="BodyA"/>
              <w:spacing w:line="240" w:lineRule="auto"/>
              <w:jc w:val="both"/>
              <w:rPr>
                <w:rStyle w:val="None"/>
                <w:rFonts w:ascii="Times New Roman" w:hAnsi="Times New Roman"/>
                <w:b/>
                <w:noProof/>
                <w:color w:val="000000" w:themeColor="text1"/>
                <w:sz w:val="24"/>
                <w:szCs w:val="24"/>
              </w:rPr>
            </w:pPr>
            <w:r>
              <w:rPr>
                <w:rStyle w:val="None"/>
                <w:rFonts w:ascii="Times New Roman" w:hAnsi="Times New Roman"/>
                <w:b/>
                <w:noProof/>
                <w:color w:val="000000" w:themeColor="text1"/>
                <w:sz w:val="24"/>
              </w:rPr>
              <w:t xml:space="preserve">Primeri pregledov neposrednih tujih investicij </w:t>
            </w:r>
          </w:p>
          <w:p>
            <w:pPr>
              <w:pStyle w:val="BodyA"/>
              <w:spacing w:after="0" w:line="240" w:lineRule="auto"/>
              <w:jc w:val="both"/>
              <w:rPr>
                <w:rStyle w:val="None"/>
                <w:rFonts w:ascii="Times New Roman" w:hAnsi="Times New Roman"/>
                <w:b/>
                <w:noProof/>
                <w:color w:val="000000" w:themeColor="text1"/>
                <w:sz w:val="24"/>
                <w:szCs w:val="24"/>
                <w:u w:val="single"/>
              </w:rPr>
            </w:pPr>
            <w:r>
              <w:rPr>
                <w:rStyle w:val="None"/>
                <w:rFonts w:ascii="Times New Roman" w:hAnsi="Times New Roman"/>
                <w:b/>
                <w:noProof/>
                <w:color w:val="000000" w:themeColor="text1"/>
                <w:sz w:val="24"/>
                <w:u w:val="single"/>
              </w:rPr>
              <w:t>Združene države Amerike</w:t>
            </w:r>
          </w:p>
          <w:p>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Style w:val="None"/>
                <w:rFonts w:ascii="Times New Roman" w:hAnsi="Times New Roman"/>
                <w:noProof/>
                <w:color w:val="000000" w:themeColor="text1"/>
                <w:sz w:val="24"/>
                <w:szCs w:val="24"/>
              </w:rPr>
            </w:pPr>
            <w:r>
              <w:rPr>
                <w:rStyle w:val="None"/>
                <w:rFonts w:ascii="Times New Roman" w:hAnsi="Times New Roman"/>
                <w:noProof/>
                <w:color w:val="000000" w:themeColor="text1"/>
                <w:sz w:val="24"/>
              </w:rPr>
              <w:t>Odbor za tuje naložbe v ZDA (v nadaljnjem besedilu: CFIUS) od leta 1975 spremlja in pregleduje transakcije, s katerimi bi lahko tuja oseba prišla do nadzora podjetja ZDA, da bi se opredelil učinek takšnih transakcij na nacionalno varnost. CFIUS je kot medagencijski odbor, pooblaščen za uraden pregled neposrednih tujih investicij, Zakon o tujih investicijah in nacionalni varnosti („Foreign Investment and National Security Act“) iz leta 2007 pa zahteva tudi poostren nadzor nad transakcijami, ki so pod nadzorom tujih vlad. CFIUS je med letoma 2009 in 2014 prejel 627 priglasitev predlaganih prevzemov ameriških podjetij s strani tujih podjetij, pri čemer je uradno preiskal približno 40 % teh transakcij: 47 od teh 244 preiskanih transakcij (oziroma približno 7 % pregledanih poslov) je bilo preklicanih v obdobju preiskave s strani zadevnih podjetij, ena pa je bila preklicana s sklepom predsednika po preiskavi odbora CFIUS.</w:t>
            </w:r>
          </w:p>
          <w:p>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Style w:val="None"/>
                <w:rFonts w:ascii="Times New Roman" w:hAnsi="Times New Roman"/>
                <w:i/>
                <w:noProof/>
                <w:color w:val="000000" w:themeColor="text1"/>
                <w:sz w:val="20"/>
                <w:szCs w:val="20"/>
              </w:rPr>
            </w:pPr>
            <w:r>
              <w:rPr>
                <w:rStyle w:val="None"/>
                <w:rFonts w:ascii="Times New Roman" w:hAnsi="Times New Roman"/>
                <w:i/>
                <w:noProof/>
                <w:color w:val="000000" w:themeColor="text1"/>
                <w:sz w:val="20"/>
              </w:rPr>
              <w:t xml:space="preserve">Vir: </w:t>
            </w:r>
            <w:hyperlink r:id="rId18">
              <w:r>
                <w:rPr>
                  <w:rStyle w:val="Hyperlink"/>
                  <w:rFonts w:ascii="Times New Roman" w:hAnsi="Times New Roman"/>
                  <w:i/>
                  <w:noProof/>
                  <w:sz w:val="20"/>
                </w:rPr>
                <w:t>www.treasury.gov/resource-center/international/Pages/Committee-on-Foreign-Investment-in-US.aspx.</w:t>
              </w:r>
            </w:hyperlink>
          </w:p>
          <w:p>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Style w:val="None"/>
                <w:rFonts w:ascii="Times New Roman" w:hAnsi="Times New Roman"/>
                <w:i/>
                <w:noProof/>
                <w:color w:val="000000" w:themeColor="text1"/>
                <w:sz w:val="20"/>
                <w:szCs w:val="20"/>
              </w:rPr>
            </w:pPr>
            <w:r>
              <w:rPr>
                <w:noProof/>
              </w:rPr>
              <w:fldChar w:fldCharType="begin"/>
            </w:r>
            <w:r>
              <w:rPr>
                <w:noProof/>
              </w:rPr>
              <w:instrText xml:space="preserve">www.treasury.gov/resource-center/international/Pages/Committee-on-Foreign-Investment-in-US.aspx" </w:instrText>
            </w:r>
            <w:r>
              <w:rPr>
                <w:noProof/>
              </w:rPr>
              <w:fldChar w:fldCharType="separate"/>
            </w:r>
            <w:r>
              <w:rPr>
                <w:rStyle w:val="Hyperlink"/>
                <w:rFonts w:ascii="Times New Roman" w:hAnsi="Times New Roman"/>
                <w:i/>
                <w:noProof/>
                <w:sz w:val="20"/>
                <w:szCs w:val="20"/>
                <w:u w:val="none"/>
              </w:rPr>
              <w:t>www.treasury.gov/resource-center/international/Pages/Committee-on-Foreign-Investment-in-US.aspx</w:t>
            </w:r>
            <w:r>
              <w:rPr>
                <w:rStyle w:val="Hyperlink"/>
                <w:rFonts w:ascii="Times New Roman" w:hAnsi="Times New Roman"/>
                <w:i/>
                <w:noProof/>
                <w:sz w:val="20"/>
                <w:szCs w:val="20"/>
                <w:u w:val="none"/>
              </w:rPr>
              <w:fldChar w:fldCharType="end"/>
            </w:r>
          </w:p>
          <w:p>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2340"/>
              </w:tabs>
              <w:spacing w:after="0" w:line="240" w:lineRule="auto"/>
              <w:jc w:val="both"/>
              <w:rPr>
                <w:rStyle w:val="None"/>
                <w:rFonts w:ascii="Times New Roman" w:hAnsi="Times New Roman"/>
                <w:b/>
                <w:noProof/>
                <w:color w:val="000000" w:themeColor="text1"/>
                <w:sz w:val="24"/>
                <w:szCs w:val="24"/>
                <w:u w:val="single"/>
              </w:rPr>
            </w:pPr>
            <w:r>
              <w:rPr>
                <w:rStyle w:val="None"/>
                <w:rFonts w:ascii="Times New Roman" w:hAnsi="Times New Roman"/>
                <w:b/>
                <w:noProof/>
                <w:color w:val="000000" w:themeColor="text1"/>
                <w:sz w:val="24"/>
                <w:u w:val="single"/>
              </w:rPr>
              <w:t>Avstralija</w:t>
            </w:r>
          </w:p>
          <w:p>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Style w:val="None"/>
                <w:rFonts w:ascii="Times New Roman" w:hAnsi="Times New Roman"/>
                <w:noProof/>
                <w:color w:val="000000" w:themeColor="text1"/>
                <w:sz w:val="24"/>
                <w:szCs w:val="24"/>
              </w:rPr>
            </w:pPr>
            <w:r>
              <w:rPr>
                <w:rStyle w:val="None"/>
                <w:rFonts w:ascii="Times New Roman" w:hAnsi="Times New Roman"/>
                <w:noProof/>
                <w:color w:val="000000" w:themeColor="text1"/>
                <w:sz w:val="24"/>
              </w:rPr>
              <w:t xml:space="preserve">Na podlagi Zakona o tujih prevzemih in odkupih („Foreign Acquisitions and Take-Over Act“) iz leta 1975 je treba določene predlagane tuje naložbe priglasiti, za njihovo izvršitev pa je potrebna odobritev (uradno obvestilo o nenasprotovanju). Pregled, ki ga opravi zakladnik (minister, pristojen za javnofinančne odhodke), pri čemer mu svetuje odbor za pregled tujih naložb, temelji na preskusu nacionalnega interesa. S tem v zvezi so bili kot občutljivi sektorji med drugim opredeljeni mediji, telekomunikacije, promet, industrijske panoge, povezane z obrambo, ter ekstrakcija urana in plutonija in jedrski objekti. Zahteve glede priglasitve so med drugim odvisne od sektorja, vrste in vrednosti prevzema, prostotrgovinskega sporazuma in od tega, ali gre za zasebnega ali državnega vlagatelja.  </w:t>
            </w:r>
          </w:p>
          <w:p>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Style w:val="None"/>
                <w:rFonts w:ascii="Times New Roman" w:hAnsi="Times New Roman"/>
                <w:noProof/>
                <w:color w:val="000000" w:themeColor="text1"/>
                <w:sz w:val="24"/>
                <w:szCs w:val="24"/>
              </w:rPr>
            </w:pPr>
            <w:r>
              <w:rPr>
                <w:rStyle w:val="None"/>
                <w:rFonts w:ascii="Times New Roman" w:hAnsi="Times New Roman"/>
                <w:i/>
                <w:noProof/>
                <w:color w:val="000000" w:themeColor="text1"/>
                <w:sz w:val="20"/>
              </w:rPr>
              <w:t>Vir: firb.gov.au.</w:t>
            </w:r>
          </w:p>
        </w:tc>
      </w:tr>
    </w:tbl>
    <w:p>
      <w:pPr>
        <w:rPr>
          <w:rStyle w:val="None"/>
          <w:b/>
          <w:noProof/>
          <w:color w:val="000000" w:themeColor="text1"/>
        </w:rPr>
      </w:pPr>
    </w:p>
    <w:p>
      <w:pPr>
        <w:rPr>
          <w:rStyle w:val="None"/>
          <w:b/>
          <w:noProof/>
          <w:color w:val="000000" w:themeColor="text1"/>
        </w:rPr>
      </w:pPr>
    </w:p>
    <w:p>
      <w:pPr>
        <w:pStyle w:val="ListParagraph"/>
        <w:numPr>
          <w:ilvl w:val="0"/>
          <w:numId w:val="2"/>
        </w:numPr>
        <w:jc w:val="both"/>
        <w:rPr>
          <w:rFonts w:ascii="Times New Roman" w:hAnsi="Times New Roman"/>
          <w:b/>
          <w:bCs/>
          <w:noProof/>
          <w:color w:val="000000" w:themeColor="text1"/>
          <w:sz w:val="24"/>
          <w:szCs w:val="24"/>
        </w:rPr>
      </w:pPr>
      <w:r>
        <w:rPr>
          <w:rFonts w:ascii="Times New Roman" w:hAnsi="Times New Roman"/>
          <w:b/>
          <w:noProof/>
          <w:sz w:val="24"/>
        </w:rPr>
        <w:t xml:space="preserve">Trgovinska in naložbena politika EU kot gonilo </w:t>
      </w:r>
      <w:r>
        <w:rPr>
          <w:rFonts w:ascii="Times New Roman" w:hAnsi="Times New Roman"/>
          <w:b/>
          <w:noProof/>
          <w:color w:val="000000" w:themeColor="text1"/>
          <w:sz w:val="24"/>
        </w:rPr>
        <w:t>odprte in pravične naložbene ureditve</w:t>
      </w:r>
    </w:p>
    <w:p>
      <w:pPr>
        <w:pStyle w:val="BodyA"/>
        <w:spacing w:line="240" w:lineRule="auto"/>
        <w:jc w:val="both"/>
        <w:rPr>
          <w:rStyle w:val="None"/>
          <w:rFonts w:ascii="Times New Roman" w:hAnsi="Times New Roman"/>
          <w:noProof/>
          <w:color w:val="000000" w:themeColor="text1"/>
          <w:sz w:val="24"/>
          <w:szCs w:val="24"/>
        </w:rPr>
      </w:pPr>
      <w:r>
        <w:rPr>
          <w:rStyle w:val="None"/>
          <w:rFonts w:ascii="Times New Roman" w:hAnsi="Times New Roman"/>
          <w:noProof/>
          <w:color w:val="000000" w:themeColor="text1"/>
          <w:sz w:val="24"/>
        </w:rPr>
        <w:t>Veliko držav še vedno ohranja precejšnje ovire za tuje naložbe in subjektom EU ne ponuja primerljivih naložbenih pogojev. Čeprav je bil dosežen napredek pri liberalizaciji naložb, je število novih omejevalnih ukrepov pred kratkim ponovno poraslo.</w:t>
      </w:r>
      <w:r>
        <w:rPr>
          <w:rStyle w:val="None"/>
          <w:rFonts w:ascii="Times New Roman" w:hAnsi="Times New Roman"/>
          <w:noProof/>
          <w:color w:val="000000" w:themeColor="text1"/>
          <w:sz w:val="24"/>
          <w:vertAlign w:val="superscript"/>
        </w:rPr>
        <w:footnoteReference w:id="15"/>
      </w:r>
      <w:r>
        <w:rPr>
          <w:rStyle w:val="None"/>
          <w:rFonts w:ascii="Times New Roman" w:hAnsi="Times New Roman"/>
          <w:noProof/>
          <w:color w:val="000000" w:themeColor="text1"/>
          <w:sz w:val="24"/>
        </w:rPr>
        <w:t xml:space="preserve"> </w:t>
      </w:r>
    </w:p>
    <w:p>
      <w:pPr>
        <w:pStyle w:val="BodyA"/>
        <w:spacing w:line="240" w:lineRule="auto"/>
        <w:jc w:val="both"/>
        <w:rPr>
          <w:rStyle w:val="None"/>
          <w:rFonts w:ascii="Times New Roman" w:hAnsi="Times New Roman"/>
          <w:noProof/>
          <w:color w:val="000000" w:themeColor="text1"/>
          <w:sz w:val="24"/>
          <w:szCs w:val="24"/>
        </w:rPr>
      </w:pPr>
      <w:r>
        <w:rPr>
          <w:rStyle w:val="None"/>
          <w:rFonts w:ascii="Times New Roman" w:hAnsi="Times New Roman"/>
          <w:noProof/>
          <w:color w:val="000000" w:themeColor="text1"/>
          <w:sz w:val="24"/>
        </w:rPr>
        <w:t xml:space="preserve">V primeru naložbenih pogojev je bistveno, da se zagotovijo enaki konkurenčni pogoji doma in v tretjih državah. </w:t>
      </w:r>
      <w:r>
        <w:rPr>
          <w:rStyle w:val="None"/>
          <w:rFonts w:ascii="Times New Roman" w:hAnsi="Times New Roman"/>
          <w:b/>
          <w:noProof/>
          <w:color w:val="000000" w:themeColor="text1"/>
          <w:sz w:val="24"/>
        </w:rPr>
        <w:t>Trgovinska in naložbena politika EU</w:t>
      </w:r>
      <w:r>
        <w:rPr>
          <w:rStyle w:val="None"/>
          <w:rFonts w:ascii="Times New Roman" w:hAnsi="Times New Roman"/>
          <w:b/>
          <w:noProof/>
          <w:color w:val="000000" w:themeColor="text1"/>
          <w:sz w:val="24"/>
          <w:vertAlign w:val="superscript"/>
        </w:rPr>
        <w:footnoteReference w:id="16"/>
      </w:r>
      <w:r>
        <w:rPr>
          <w:rStyle w:val="None"/>
          <w:rFonts w:ascii="Times New Roman" w:hAnsi="Times New Roman"/>
          <w:b/>
          <w:noProof/>
          <w:color w:val="000000" w:themeColor="text1"/>
          <w:sz w:val="24"/>
        </w:rPr>
        <w:t xml:space="preserve"> je najprimernejše orodje, da se doseže, da tretje države zagotovijo stopnjo odprtosti za tuje naložbe, ki je enakovredna tisti v EU,</w:t>
      </w:r>
      <w:r>
        <w:rPr>
          <w:rStyle w:val="None"/>
          <w:rFonts w:ascii="Times New Roman" w:hAnsi="Times New Roman"/>
          <w:noProof/>
          <w:color w:val="000000" w:themeColor="text1"/>
          <w:sz w:val="24"/>
        </w:rPr>
        <w:t xml:space="preserve"> ter da se vzpostavijo enaki konkurenčni pogoji za subjekte iz EU. </w:t>
      </w:r>
    </w:p>
    <w:p>
      <w:pPr>
        <w:pStyle w:val="BodyA"/>
        <w:spacing w:after="120" w:line="240" w:lineRule="auto"/>
        <w:jc w:val="both"/>
        <w:rPr>
          <w:rStyle w:val="None"/>
          <w:rFonts w:ascii="Times New Roman" w:eastAsia="Times New Roman" w:hAnsi="Times New Roman" w:cs="Times New Roman"/>
          <w:noProof/>
          <w:color w:val="000000" w:themeColor="text1"/>
          <w:sz w:val="24"/>
          <w:szCs w:val="24"/>
        </w:rPr>
      </w:pPr>
      <w:r>
        <w:rPr>
          <w:rStyle w:val="None"/>
          <w:rFonts w:ascii="Times New Roman" w:hAnsi="Times New Roman"/>
          <w:noProof/>
          <w:color w:val="000000" w:themeColor="text1"/>
          <w:sz w:val="24"/>
        </w:rPr>
        <w:t xml:space="preserve">EU si prizadeva za sklenitev </w:t>
      </w:r>
      <w:r>
        <w:rPr>
          <w:rStyle w:val="None"/>
          <w:rFonts w:ascii="Times New Roman" w:hAnsi="Times New Roman"/>
          <w:b/>
          <w:noProof/>
          <w:color w:val="000000" w:themeColor="text1"/>
          <w:sz w:val="24"/>
        </w:rPr>
        <w:t>dvostranskih ali regionalnih sporazumov, ki zajemajo zavezujoča pravila in obveznosti glede tujih naložb</w:t>
      </w:r>
      <w:r>
        <w:rPr>
          <w:rStyle w:val="None"/>
          <w:rFonts w:ascii="Times New Roman" w:hAnsi="Times New Roman"/>
          <w:noProof/>
          <w:color w:val="000000" w:themeColor="text1"/>
          <w:sz w:val="24"/>
        </w:rPr>
        <w:t>, zlasti neposrednih tujih investicij, z veliko različnimi partnerji</w:t>
      </w:r>
      <w:r>
        <w:rPr>
          <w:rStyle w:val="FootnoteReference"/>
          <w:rFonts w:ascii="Times New Roman" w:hAnsi="Times New Roman"/>
          <w:noProof/>
          <w:color w:val="000000" w:themeColor="text1"/>
          <w:sz w:val="24"/>
        </w:rPr>
        <w:footnoteReference w:id="17"/>
      </w:r>
      <w:r>
        <w:rPr>
          <w:noProof/>
        </w:rPr>
        <w:t>.</w:t>
      </w:r>
      <w:r>
        <w:rPr>
          <w:rStyle w:val="None"/>
          <w:rFonts w:ascii="Times New Roman" w:hAnsi="Times New Roman"/>
          <w:noProof/>
          <w:color w:val="000000" w:themeColor="text1"/>
          <w:sz w:val="24"/>
          <w:u w:color="FF2600"/>
        </w:rPr>
        <w:t xml:space="preserve"> Ti sporazumi zlasti zagotavljajo jasnejši pravni okvir in boljši dostop do tujih trgov za vlagatelje iz EU. Poleg tega želi Komisija v sporazume vključiti določbe o varstvu intelektualne lastnine, povečanju preglednosti in omejitvi subvencioniranja, ki znatno izkrivlja trgovino, ter discipliniranju ravnanja podjetij v državni lasti. Ključni dosežki pri zagotavljanju bolj odprtega in pravičnejšega trgovinskega in naložbenega okolja, ki temelji na pravilih, so izpostavljeni v sporočilu Komisije z naslovom „Sodobna trgovinska politika za izkoriščanje globalizacije“ ter v poročilu o izvajanju trgovinske strategije EU „Trgovina za vse“, ki sta bila sprejeta skupaj s tem sporočilom. </w:t>
      </w:r>
    </w:p>
    <w:p>
      <w:pPr>
        <w:pStyle w:val="BodyA"/>
        <w:spacing w:after="0" w:line="240" w:lineRule="auto"/>
        <w:jc w:val="both"/>
        <w:rPr>
          <w:rStyle w:val="None"/>
          <w:rFonts w:ascii="Times New Roman" w:hAnsi="Times New Roman"/>
          <w:noProof/>
          <w:color w:val="000000" w:themeColor="text1"/>
          <w:sz w:val="24"/>
          <w:szCs w:val="24"/>
          <w:u w:color="FF0000"/>
        </w:rPr>
      </w:pPr>
      <w:r>
        <w:rPr>
          <w:rStyle w:val="None"/>
          <w:rFonts w:ascii="Times New Roman" w:hAnsi="Times New Roman"/>
          <w:noProof/>
          <w:color w:val="000000" w:themeColor="text1"/>
          <w:sz w:val="24"/>
          <w:u w:color="FF2600"/>
        </w:rPr>
        <w:t>Pri tem EU pripisuje tudi izjemen pomen</w:t>
      </w:r>
      <w:r>
        <w:rPr>
          <w:rStyle w:val="None"/>
          <w:rFonts w:ascii="Times New Roman" w:hAnsi="Times New Roman"/>
          <w:b/>
          <w:noProof/>
          <w:color w:val="000000" w:themeColor="text1"/>
          <w:sz w:val="24"/>
        </w:rPr>
        <w:t xml:space="preserve"> večstranskemu sodelovanju in oblikovanju pravil</w:t>
      </w:r>
      <w:r>
        <w:rPr>
          <w:rStyle w:val="None"/>
          <w:rFonts w:ascii="Times New Roman" w:hAnsi="Times New Roman"/>
          <w:noProof/>
          <w:color w:val="000000" w:themeColor="text1"/>
          <w:sz w:val="24"/>
        </w:rPr>
        <w:t>. Splošni sporazum o trgovini s storitvami (GATS) Svetovne trgovinske organizacije vsebuje podrobna pravila o ustanavljanju tujih ponudnikov storitev, ki zajemajo dostop do trga in obveznosti glede nediskriminacije, pravila o liberalizaciji kapitalskih tokov pa so navedena v Kodeksu liberalizacije kapitalskih tokov Organizacije za gospodarsko sodelovanje in razvoj (OECD).</w:t>
      </w:r>
    </w:p>
    <w:p>
      <w:pPr>
        <w:pStyle w:val="BodyA"/>
        <w:spacing w:after="0" w:line="240" w:lineRule="auto"/>
        <w:jc w:val="both"/>
        <w:rPr>
          <w:rStyle w:val="None"/>
          <w:rFonts w:ascii="Times New Roman" w:hAnsi="Times New Roman"/>
          <w:noProof/>
          <w:color w:val="000000" w:themeColor="text1"/>
          <w:sz w:val="24"/>
          <w:szCs w:val="24"/>
          <w:u w:color="FF0000"/>
        </w:rPr>
      </w:pPr>
    </w:p>
    <w:p>
      <w:pPr>
        <w:pStyle w:val="BodyA"/>
        <w:spacing w:after="0" w:line="240" w:lineRule="auto"/>
        <w:jc w:val="both"/>
        <w:rPr>
          <w:rStyle w:val="None"/>
          <w:rFonts w:ascii="Times New Roman" w:hAnsi="Times New Roman"/>
          <w:noProof/>
          <w:color w:val="000000" w:themeColor="text1"/>
          <w:sz w:val="24"/>
          <w:szCs w:val="24"/>
          <w:u w:color="FF0000"/>
        </w:rPr>
      </w:pPr>
      <w:r>
        <w:rPr>
          <w:rFonts w:ascii="Times New Roman" w:hAnsi="Times New Roman"/>
          <w:noProof/>
          <w:color w:val="000000" w:themeColor="text1"/>
          <w:sz w:val="24"/>
          <w:u w:color="FF0000"/>
        </w:rPr>
        <w:t xml:space="preserve">Pomembno je opozoriti, da ti mednarodni trgovinski sporazumi in sporazumi o naložbah, ki so jih sklenile EU in njene države članice, določajo </w:t>
      </w:r>
      <w:r>
        <w:rPr>
          <w:rFonts w:ascii="Times New Roman" w:hAnsi="Times New Roman"/>
          <w:b/>
          <w:noProof/>
          <w:color w:val="000000" w:themeColor="text1"/>
          <w:sz w:val="24"/>
          <w:u w:color="FF0000"/>
        </w:rPr>
        <w:t>izjeme od obveznosti nacionalne obravnave in dostopa do trga in podpisnicam omogočajo, da sprejmejo ukrepe za zaščito varnostnih interesov ali javnega reda</w:t>
      </w:r>
      <w:r>
        <w:rPr>
          <w:rFonts w:ascii="Times New Roman" w:hAnsi="Times New Roman"/>
          <w:noProof/>
          <w:color w:val="000000" w:themeColor="text1"/>
          <w:sz w:val="24"/>
          <w:u w:color="FF0000"/>
        </w:rPr>
        <w:t xml:space="preserve">, pod pogojem, da ti ukrepi ne pomenijo samovoljne ali neupravičene diskriminacije ali prikrite omejitve trgovine. </w:t>
      </w:r>
    </w:p>
    <w:p>
      <w:pPr>
        <w:pStyle w:val="BodyA"/>
        <w:spacing w:after="0" w:line="240" w:lineRule="auto"/>
        <w:jc w:val="both"/>
        <w:rPr>
          <w:rStyle w:val="None"/>
          <w:rFonts w:ascii="Times New Roman" w:hAnsi="Times New Roman"/>
          <w:noProof/>
          <w:color w:val="000000" w:themeColor="text1"/>
          <w:sz w:val="24"/>
          <w:szCs w:val="24"/>
        </w:rPr>
      </w:pPr>
    </w:p>
    <w:p>
      <w:pPr>
        <w:pStyle w:val="BodyA"/>
        <w:spacing w:after="0" w:line="240" w:lineRule="auto"/>
        <w:jc w:val="both"/>
        <w:rPr>
          <w:rStyle w:val="None"/>
          <w:rFonts w:ascii="Times New Roman" w:eastAsia="Times New Roman" w:hAnsi="Times New Roman" w:cs="Times New Roman"/>
          <w:noProof/>
          <w:color w:val="000000" w:themeColor="text1"/>
          <w:sz w:val="24"/>
          <w:szCs w:val="24"/>
        </w:rPr>
      </w:pPr>
      <w:r>
        <w:rPr>
          <w:rStyle w:val="None"/>
          <w:rFonts w:ascii="Times New Roman" w:hAnsi="Times New Roman"/>
          <w:noProof/>
          <w:color w:val="000000" w:themeColor="text1"/>
          <w:sz w:val="24"/>
        </w:rPr>
        <w:t>Skupina G20 je leta 2016 sprejela Vodilna načela za globalno oblikovanje politik o naložbah</w:t>
      </w:r>
      <w:r>
        <w:rPr>
          <w:rStyle w:val="FootnoteReference"/>
          <w:rFonts w:ascii="Times New Roman" w:hAnsi="Times New Roman"/>
          <w:noProof/>
          <w:color w:val="000000" w:themeColor="text1"/>
          <w:sz w:val="24"/>
        </w:rPr>
        <w:footnoteReference w:id="18"/>
      </w:r>
      <w:r>
        <w:rPr>
          <w:rStyle w:val="None"/>
          <w:rFonts w:ascii="Times New Roman" w:hAnsi="Times New Roman"/>
          <w:noProof/>
          <w:color w:val="000000" w:themeColor="text1"/>
          <w:sz w:val="24"/>
        </w:rPr>
        <w:t xml:space="preserve">, ki pozivajo k odprtim, nediskriminatornim, preglednim in predvidljivim pogojem za naložbe. Leta 2017 so članice skupine G20 ponovno izpostavile pomen vzajemnih trgovinskih in naložbenih okvirov ter svojo zavezo, da si bodo prizadevale za vzpostavitev enakih konkurenčnih pogojev. </w:t>
      </w:r>
    </w:p>
    <w:p>
      <w:pPr>
        <w:pStyle w:val="BodyA"/>
        <w:spacing w:after="0" w:line="240" w:lineRule="auto"/>
        <w:jc w:val="both"/>
        <w:rPr>
          <w:rStyle w:val="None"/>
          <w:rFonts w:ascii="Times New Roman" w:hAnsi="Times New Roman"/>
          <w:noProof/>
          <w:color w:val="000000" w:themeColor="text1"/>
          <w:sz w:val="24"/>
          <w:szCs w:val="24"/>
          <w:u w:color="FF0000"/>
        </w:rPr>
      </w:pPr>
    </w:p>
    <w:p>
      <w:pPr>
        <w:pStyle w:val="BodyA"/>
        <w:spacing w:line="240" w:lineRule="auto"/>
        <w:jc w:val="both"/>
        <w:rPr>
          <w:rStyle w:val="None"/>
          <w:rFonts w:ascii="Times New Roman" w:hAnsi="Times New Roman"/>
          <w:noProof/>
          <w:color w:val="000000" w:themeColor="text1"/>
          <w:sz w:val="24"/>
          <w:szCs w:val="24"/>
        </w:rPr>
      </w:pPr>
      <w:r>
        <w:rPr>
          <w:rStyle w:val="None"/>
          <w:rFonts w:ascii="Times New Roman" w:hAnsi="Times New Roman"/>
          <w:noProof/>
          <w:color w:val="000000" w:themeColor="text1"/>
          <w:sz w:val="24"/>
          <w:u w:color="FF0000"/>
        </w:rPr>
        <w:t>EU si bo še naprej na dvostranski in večstranski ravni prizadevala doseči,</w:t>
      </w:r>
      <w:r>
        <w:rPr>
          <w:rStyle w:val="None"/>
          <w:rFonts w:ascii="Times New Roman" w:hAnsi="Times New Roman"/>
          <w:noProof/>
          <w:color w:val="000000" w:themeColor="text1"/>
          <w:sz w:val="24"/>
        </w:rPr>
        <w:t xml:space="preserve"> da tretje države zagotovijo stopnjo odprtosti za tuje naložbe, ki je enakovredna tisti v EU, ter vzpostavijo enake konkurenčne pogoje za subjekte iz EU. EU podpira tudi razprave o spodbujanju naložb v Svetovni trgovinski organizaciji. </w:t>
      </w:r>
    </w:p>
    <w:p>
      <w:pPr>
        <w:pStyle w:val="ListParagraph"/>
        <w:numPr>
          <w:ilvl w:val="0"/>
          <w:numId w:val="2"/>
        </w:numPr>
        <w:jc w:val="both"/>
        <w:rPr>
          <w:rFonts w:ascii="Times New Roman" w:hAnsi="Times New Roman"/>
          <w:b/>
          <w:bCs/>
          <w:noProof/>
          <w:sz w:val="24"/>
          <w:szCs w:val="24"/>
        </w:rPr>
      </w:pPr>
      <w:r>
        <w:rPr>
          <w:rFonts w:ascii="Times New Roman" w:hAnsi="Times New Roman"/>
          <w:b/>
          <w:noProof/>
          <w:sz w:val="24"/>
        </w:rPr>
        <w:t>Pregled neposrednih tujih investicij</w:t>
      </w:r>
    </w:p>
    <w:p>
      <w:pPr>
        <w:pStyle w:val="ListParagraph"/>
        <w:numPr>
          <w:ilvl w:val="1"/>
          <w:numId w:val="18"/>
        </w:numPr>
        <w:jc w:val="both"/>
        <w:rPr>
          <w:rStyle w:val="None"/>
          <w:rFonts w:ascii="Times New Roman" w:hAnsi="Times New Roman" w:cs="Times New Roman"/>
          <w:b/>
          <w:noProof/>
          <w:color w:val="000000" w:themeColor="text1"/>
          <w:sz w:val="24"/>
          <w:szCs w:val="24"/>
          <w:u w:color="FF0000"/>
        </w:rPr>
      </w:pPr>
      <w:r>
        <w:rPr>
          <w:rStyle w:val="None"/>
          <w:rFonts w:ascii="Times New Roman" w:hAnsi="Times New Roman"/>
          <w:b/>
          <w:noProof/>
          <w:color w:val="000000" w:themeColor="text1"/>
          <w:sz w:val="24"/>
          <w:u w:color="FF0000"/>
        </w:rPr>
        <w:t xml:space="preserve">Obstoječi mehanizmi pregleda v državah članicah EU </w:t>
      </w:r>
    </w:p>
    <w:p>
      <w:pPr>
        <w:jc w:val="both"/>
        <w:rPr>
          <w:rStyle w:val="None"/>
          <w:noProof/>
          <w:color w:val="000000" w:themeColor="text1"/>
          <w:u w:color="FF0000"/>
        </w:rPr>
      </w:pPr>
      <w:r>
        <w:rPr>
          <w:rStyle w:val="None"/>
          <w:b/>
          <w:noProof/>
          <w:color w:val="000000" w:themeColor="text1"/>
          <w:u w:color="FF0000"/>
        </w:rPr>
        <w:t>Skoraj polovica držav članic EU</w:t>
      </w:r>
      <w:r>
        <w:rPr>
          <w:rStyle w:val="None"/>
          <w:b/>
          <w:noProof/>
          <w:color w:val="000000" w:themeColor="text1"/>
          <w:u w:color="FF0000"/>
          <w:vertAlign w:val="superscript"/>
        </w:rPr>
        <w:t xml:space="preserve"> </w:t>
      </w:r>
      <w:r>
        <w:rPr>
          <w:rStyle w:val="None"/>
          <w:b/>
          <w:noProof/>
          <w:color w:val="000000" w:themeColor="text1"/>
          <w:u w:color="FF0000"/>
        </w:rPr>
        <w:t>ima vzpostavljene mehanizme za pregled neposrednih tujih investicij</w:t>
      </w:r>
      <w:r>
        <w:rPr>
          <w:rStyle w:val="None"/>
          <w:noProof/>
          <w:color w:val="000000" w:themeColor="text1"/>
          <w:u w:color="FF0000"/>
        </w:rPr>
        <w:t>. To so Avstrija</w:t>
      </w:r>
      <w:r>
        <w:rPr>
          <w:rStyle w:val="None"/>
          <w:noProof/>
          <w:u w:color="FF0000"/>
        </w:rPr>
        <w:t>, Danska, Nemčija, Finska, Francija, Latvija, Litva, Italija, Poljska, Portugalska, Španija in Združeno kraljestvo.</w:t>
      </w:r>
      <w:r>
        <w:rPr>
          <w:rStyle w:val="None"/>
          <w:noProof/>
          <w:color w:val="000000" w:themeColor="text1"/>
          <w:u w:color="FF0000"/>
        </w:rPr>
        <w:t xml:space="preserve">  </w:t>
      </w:r>
    </w:p>
    <w:p>
      <w:pPr>
        <w:jc w:val="both"/>
        <w:rPr>
          <w:rStyle w:val="None"/>
          <w:noProof/>
          <w:color w:val="000000" w:themeColor="text1"/>
          <w:u w:color="FF0000"/>
        </w:rPr>
      </w:pPr>
    </w:p>
    <w:p>
      <w:pPr>
        <w:jc w:val="both"/>
        <w:rPr>
          <w:rStyle w:val="None"/>
          <w:noProof/>
          <w:color w:val="000000" w:themeColor="text1"/>
          <w:u w:color="FF0000"/>
        </w:rPr>
      </w:pPr>
      <w:r>
        <w:rPr>
          <w:rStyle w:val="None"/>
          <w:b/>
          <w:noProof/>
          <w:u w:color="FF0000"/>
        </w:rPr>
        <w:t>Države članice imajo različne pristope v zvezi z</w:t>
      </w:r>
      <w:r>
        <w:rPr>
          <w:rStyle w:val="None"/>
          <w:noProof/>
          <w:u w:color="FF0000"/>
        </w:rPr>
        <w:t xml:space="preserve"> natančnim področjem uporabe </w:t>
      </w:r>
      <w:r>
        <w:rPr>
          <w:rStyle w:val="None"/>
          <w:noProof/>
          <w:color w:val="000000" w:themeColor="text1"/>
          <w:u w:color="FF0000"/>
        </w:rPr>
        <w:t xml:space="preserve">in zasnovo postopkov pregleda. </w:t>
      </w:r>
    </w:p>
    <w:p>
      <w:pPr>
        <w:pStyle w:val="BodyA"/>
        <w:spacing w:before="240" w:line="240" w:lineRule="auto"/>
        <w:jc w:val="both"/>
        <w:rPr>
          <w:rStyle w:val="None"/>
          <w:rFonts w:ascii="Times New Roman" w:eastAsia="Arial Unicode MS" w:hAnsi="Times New Roman" w:cs="Times New Roman"/>
          <w:noProof/>
          <w:color w:val="auto"/>
          <w:sz w:val="24"/>
          <w:szCs w:val="24"/>
        </w:rPr>
      </w:pPr>
      <w:r>
        <w:rPr>
          <w:rStyle w:val="None"/>
          <w:rFonts w:ascii="Times New Roman" w:hAnsi="Times New Roman"/>
          <w:noProof/>
          <w:color w:val="auto"/>
          <w:sz w:val="24"/>
        </w:rPr>
        <w:t>Kar zadeva področje uporabe, se večina obstoječih mehanizmov pregleda uporablja za naložbe iz drugih držav EU in iz tretjih držav, pri čemer se nekateri uporabljajo samo za naložbe iz tretjih držav, vendar lahko vključujejo določbe proti izogibanju za preprečevanje zlorab. V nekaterih primerih mehanizmi pregleda zajemajo naložbe v posameznih sektorjih, ki so opredeljeni kot strateški (npr. energetika, telekomunikacije, promet), v drugih pa teh omejitev ni. Naložbe, ki jih zajemajo mehanizmi pregleda, se običajno razvrščajo po kvalitativnih merilih (npr. pridobitev nadzora nad ciljnim podjetjem) in/ali kvantitativnih pragovih (tj. odstotek delnic ali glasovalnih pravic). Kar zadeva</w:t>
      </w:r>
      <w:r>
        <w:rPr>
          <w:rFonts w:ascii="Times New Roman" w:hAnsi="Times New Roman"/>
          <w:noProof/>
          <w:color w:val="auto"/>
          <w:sz w:val="24"/>
        </w:rPr>
        <w:t xml:space="preserve"> razloge za opravljanje pregledov, so nekateri mehanizmi pregleda omejeni na zaščito bistvenih interesov nacionalne varnosti, zlasti na proizvodnjo orožja, streliva, vojaške opreme, vojaškega materiala itd. in trgovino z njimi. Vendar večina mehanizmov ni omejenih samo na obrambne sektorje in je v glavnem povezana z zaščito javne varnosti in javnega reda.</w:t>
      </w:r>
    </w:p>
    <w:p>
      <w:pPr>
        <w:pStyle w:val="BodyA"/>
        <w:spacing w:before="240" w:line="240" w:lineRule="auto"/>
        <w:jc w:val="both"/>
        <w:rPr>
          <w:rStyle w:val="None"/>
          <w:rFonts w:ascii="Times New Roman" w:eastAsia="Arial Unicode MS" w:hAnsi="Times New Roman" w:cs="Times New Roman"/>
          <w:noProof/>
          <w:color w:val="auto"/>
          <w:sz w:val="24"/>
          <w:szCs w:val="24"/>
        </w:rPr>
      </w:pPr>
      <w:r>
        <w:rPr>
          <w:rStyle w:val="None"/>
          <w:rFonts w:ascii="Times New Roman" w:hAnsi="Times New Roman"/>
          <w:noProof/>
          <w:color w:val="auto"/>
          <w:sz w:val="24"/>
        </w:rPr>
        <w:t xml:space="preserve">Pri zasnovi postopkov pregleda obstajata dve glavni vrsti mehanizma: pri prvi vrsti mehanizma obstaja sistem predhodne odobritve in vlagatelji morajo naložbo priglasiti pred njeno izvedbo, pri drugi vrsti mehanizma pa so določene naknadne kontrole že zaključenih naložb, vlagatelji pa imajo možnost, da prostovoljno predložijo naložbe v pregled pred njihovo dokončno izvedbo.  </w:t>
      </w:r>
    </w:p>
    <w:p>
      <w:pPr>
        <w:pStyle w:val="BodyA"/>
        <w:spacing w:before="240" w:line="240" w:lineRule="auto"/>
        <w:jc w:val="both"/>
        <w:rPr>
          <w:noProof/>
        </w:rPr>
      </w:pPr>
      <w:r>
        <w:rPr>
          <w:rStyle w:val="None"/>
          <w:rFonts w:ascii="Times New Roman" w:hAnsi="Times New Roman"/>
          <w:noProof/>
          <w:color w:val="auto"/>
          <w:sz w:val="24"/>
        </w:rPr>
        <w:t>Nacionalni mehanizmi pregleda</w:t>
      </w:r>
      <w:r>
        <w:rPr>
          <w:rStyle w:val="None"/>
          <w:rFonts w:ascii="Times New Roman" w:hAnsi="Times New Roman"/>
          <w:noProof/>
          <w:sz w:val="24"/>
        </w:rPr>
        <w:t>pomenijo omejitev prostega pretoka kapitala ali svobode ustanavljanja, zlasti glede naložb znotraj EU</w:t>
      </w:r>
      <w:r>
        <w:rPr>
          <w:rStyle w:val="FootnoteReference"/>
          <w:rFonts w:ascii="Times New Roman" w:hAnsi="Times New Roman"/>
          <w:noProof/>
          <w:sz w:val="24"/>
        </w:rPr>
        <w:footnoteReference w:id="19"/>
      </w:r>
      <w:r>
        <w:rPr>
          <w:noProof/>
        </w:rPr>
        <w:t>.</w:t>
      </w:r>
      <w:r>
        <w:rPr>
          <w:rStyle w:val="None"/>
          <w:rFonts w:ascii="Times New Roman" w:hAnsi="Times New Roman"/>
          <w:noProof/>
          <w:sz w:val="24"/>
        </w:rPr>
        <w:t xml:space="preserve"> Vendar pa Pogodba državam članicam dovoljuje, da sprejmejo ukrepe za omejitev teh svoboščin, če so </w:t>
      </w:r>
      <w:r>
        <w:rPr>
          <w:rStyle w:val="None"/>
          <w:rFonts w:ascii="Times New Roman" w:hAnsi="Times New Roman"/>
          <w:noProof/>
          <w:color w:val="auto"/>
          <w:sz w:val="24"/>
          <w:u w:color="FF0000"/>
        </w:rPr>
        <w:t>nediskriminatorni glede na državljanstvo in se lahko</w:t>
      </w:r>
      <w:r>
        <w:rPr>
          <w:rStyle w:val="None"/>
          <w:rFonts w:ascii="Times New Roman" w:hAnsi="Times New Roman"/>
          <w:noProof/>
          <w:sz w:val="24"/>
        </w:rPr>
        <w:t xml:space="preserve"> upravičijo zlasti z razlogi javne varnosti ali javnega reda ali z drugimi nujnimi razlogi v splošnem interesu, kakor je to opredelilo Sodišče, ter upoštevajo načeli sorazmernosti in pravne varnosti. </w:t>
      </w:r>
    </w:p>
    <w:p>
      <w:pPr>
        <w:pStyle w:val="ListParagraph"/>
        <w:numPr>
          <w:ilvl w:val="1"/>
          <w:numId w:val="18"/>
        </w:numPr>
        <w:jc w:val="both"/>
        <w:rPr>
          <w:rStyle w:val="None"/>
          <w:rFonts w:ascii="Times New Roman" w:hAnsi="Times New Roman" w:cs="Times New Roman"/>
          <w:b/>
          <w:noProof/>
          <w:sz w:val="24"/>
          <w:szCs w:val="24"/>
          <w:u w:color="FF0000"/>
        </w:rPr>
      </w:pPr>
      <w:r>
        <w:rPr>
          <w:rStyle w:val="None"/>
          <w:rFonts w:ascii="Times New Roman" w:hAnsi="Times New Roman"/>
          <w:b/>
          <w:noProof/>
          <w:sz w:val="24"/>
          <w:u w:color="FF0000"/>
        </w:rPr>
        <w:t>Relevantne obstoječe politike in instrumenti na ravni EU</w:t>
      </w:r>
    </w:p>
    <w:p>
      <w:pPr>
        <w:pStyle w:val="BodyA"/>
        <w:spacing w:after="0" w:line="240" w:lineRule="auto"/>
        <w:jc w:val="both"/>
        <w:rPr>
          <w:rStyle w:val="None"/>
          <w:rFonts w:ascii="Times New Roman" w:hAnsi="Times New Roman" w:cs="Times New Roman"/>
          <w:noProof/>
          <w:color w:val="000000" w:themeColor="text1"/>
          <w:sz w:val="24"/>
          <w:szCs w:val="24"/>
        </w:rPr>
      </w:pPr>
      <w:r>
        <w:rPr>
          <w:rStyle w:val="None"/>
          <w:rFonts w:ascii="Times New Roman" w:hAnsi="Times New Roman"/>
          <w:noProof/>
          <w:color w:val="000000" w:themeColor="text1"/>
          <w:sz w:val="24"/>
        </w:rPr>
        <w:t xml:space="preserve">Veliko politik EU prispeva k zagotavljanju koristi tujih naložb, hkrati pa omejuje tveganja, povezana z njimi.  </w:t>
      </w:r>
    </w:p>
    <w:p>
      <w:pPr>
        <w:pStyle w:val="BodyA"/>
        <w:spacing w:after="0" w:line="240" w:lineRule="auto"/>
        <w:jc w:val="both"/>
        <w:rPr>
          <w:rStyle w:val="None"/>
          <w:rFonts w:ascii="Times New Roman" w:hAnsi="Times New Roman"/>
          <w:noProof/>
          <w:color w:val="000000" w:themeColor="text1"/>
          <w:sz w:val="24"/>
          <w:szCs w:val="24"/>
        </w:rPr>
      </w:pPr>
    </w:p>
    <w:p>
      <w:pPr>
        <w:pStyle w:val="BodyA"/>
        <w:spacing w:after="0" w:line="240" w:lineRule="auto"/>
        <w:jc w:val="both"/>
        <w:rPr>
          <w:rStyle w:val="None"/>
          <w:rFonts w:ascii="Times New Roman" w:hAnsi="Times New Roman"/>
          <w:bCs/>
          <w:noProof/>
          <w:color w:val="000000" w:themeColor="text1"/>
          <w:sz w:val="24"/>
          <w:szCs w:val="24"/>
        </w:rPr>
      </w:pPr>
      <w:r>
        <w:rPr>
          <w:rStyle w:val="None"/>
          <w:rFonts w:ascii="Times New Roman" w:hAnsi="Times New Roman"/>
          <w:noProof/>
          <w:color w:val="000000" w:themeColor="text1"/>
          <w:sz w:val="24"/>
        </w:rPr>
        <w:t xml:space="preserve">Najprej je treba omeniti, da je temeljna obveznost </w:t>
      </w:r>
      <w:r>
        <w:rPr>
          <w:rStyle w:val="None"/>
          <w:rFonts w:ascii="Times New Roman" w:hAnsi="Times New Roman"/>
          <w:b/>
          <w:noProof/>
          <w:color w:val="000000" w:themeColor="text1"/>
          <w:sz w:val="24"/>
        </w:rPr>
        <w:t>vseh tujih vlagateljev v EU, da ravnajo v skladu z veljavno zakonodajo EU in nacionalno zakonodajo</w:t>
      </w:r>
      <w:r>
        <w:rPr>
          <w:rStyle w:val="None"/>
          <w:rFonts w:ascii="Times New Roman" w:hAnsi="Times New Roman"/>
          <w:noProof/>
          <w:color w:val="000000" w:themeColor="text1"/>
          <w:sz w:val="24"/>
        </w:rPr>
        <w:t xml:space="preserve">. To vključuje spoštovanje </w:t>
      </w:r>
      <w:r>
        <w:rPr>
          <w:rStyle w:val="None"/>
          <w:rFonts w:ascii="Times New Roman" w:hAnsi="Times New Roman"/>
          <w:b/>
          <w:noProof/>
          <w:color w:val="000000" w:themeColor="text1"/>
          <w:sz w:val="24"/>
        </w:rPr>
        <w:t>pravil konkurence EU</w:t>
      </w:r>
      <w:r>
        <w:rPr>
          <w:rStyle w:val="None"/>
          <w:rFonts w:ascii="Times New Roman" w:hAnsi="Times New Roman"/>
          <w:noProof/>
          <w:color w:val="000000" w:themeColor="text1"/>
          <w:sz w:val="24"/>
        </w:rPr>
        <w:t>, ki zajemajo tudi nadzor nad združitvami in prevzemi. Kadar predlagana naložba, ne glede na njen izvor ali poreklo, spada na področje uporabe uredbe EU o združitvah</w:t>
      </w:r>
      <w:r>
        <w:rPr>
          <w:rStyle w:val="None"/>
          <w:noProof/>
          <w:color w:val="000000" w:themeColor="text1"/>
          <w:vertAlign w:val="superscript"/>
        </w:rPr>
        <w:footnoteReference w:id="20"/>
      </w:r>
      <w:r>
        <w:rPr>
          <w:rStyle w:val="None"/>
          <w:rFonts w:ascii="Times New Roman" w:hAnsi="Times New Roman"/>
          <w:noProof/>
          <w:color w:val="000000" w:themeColor="text1"/>
          <w:sz w:val="24"/>
        </w:rPr>
        <w:t xml:space="preserve">, je ni mogoče izvesti brez predhodnega pregleda in odobritve s strani Evropske komisije.  Cilj tega postopka je preprečiti koncentracije, ki bi bistveno ovirale učinkovito konkurenco na notranjem trgu. Ocena združljivosti priglašene koncentracije, ki se opravi na podlagi uredbe EU o združitvah, se osredotoča izključno na konkurenco in ne upošteva pomislekov glede varnosti ali javnega reda. </w:t>
      </w:r>
    </w:p>
    <w:p>
      <w:pPr>
        <w:pStyle w:val="BodyA"/>
        <w:spacing w:after="0" w:line="240" w:lineRule="auto"/>
        <w:jc w:val="both"/>
        <w:rPr>
          <w:rStyle w:val="None"/>
          <w:rFonts w:ascii="Times New Roman" w:hAnsi="Times New Roman"/>
          <w:bCs/>
          <w:noProof/>
          <w:color w:val="000000" w:themeColor="text1"/>
          <w:sz w:val="24"/>
          <w:szCs w:val="24"/>
        </w:rPr>
      </w:pPr>
    </w:p>
    <w:p>
      <w:pPr>
        <w:pStyle w:val="BodyBA"/>
        <w:spacing w:after="200"/>
        <w:jc w:val="both"/>
        <w:rPr>
          <w:rStyle w:val="None"/>
          <w:noProof/>
          <w:color w:val="000000" w:themeColor="text1"/>
        </w:rPr>
      </w:pPr>
      <w:r>
        <w:rPr>
          <w:rStyle w:val="None"/>
          <w:noProof/>
          <w:color w:val="000000" w:themeColor="text1"/>
        </w:rPr>
        <w:t xml:space="preserve">Druga relevantna pravila so zapisana v </w:t>
      </w:r>
      <w:r>
        <w:rPr>
          <w:rStyle w:val="None"/>
          <w:b/>
          <w:noProof/>
          <w:color w:val="000000" w:themeColor="text1"/>
        </w:rPr>
        <w:t xml:space="preserve">zakonodaji EU, ki obravnava varnost kritične infrastrukture in osnovnih storitev. </w:t>
      </w:r>
      <w:r>
        <w:rPr>
          <w:rStyle w:val="None"/>
          <w:noProof/>
          <w:color w:val="000000" w:themeColor="text1"/>
        </w:rPr>
        <w:t xml:space="preserve">V nekaterih primerih ta pravila obravnavajo vpliv tujega lastništva. Navedejo se lahko naslednji primeri: </w:t>
      </w:r>
    </w:p>
    <w:p>
      <w:pPr>
        <w:pStyle w:val="BodyBA"/>
        <w:numPr>
          <w:ilvl w:val="0"/>
          <w:numId w:val="15"/>
        </w:numPr>
        <w:spacing w:after="200"/>
        <w:jc w:val="both"/>
        <w:rPr>
          <w:rStyle w:val="None"/>
          <w:noProof/>
          <w:color w:val="000000" w:themeColor="text1"/>
        </w:rPr>
      </w:pPr>
      <w:r>
        <w:rPr>
          <w:rStyle w:val="None"/>
          <w:b/>
          <w:noProof/>
          <w:color w:val="000000" w:themeColor="text1"/>
        </w:rPr>
        <w:t>Več sredstev je bilo opredeljenih kot kritičnih na evropski ravni</w:t>
      </w:r>
      <w:r>
        <w:rPr>
          <w:rStyle w:val="None"/>
          <w:noProof/>
          <w:color w:val="000000" w:themeColor="text1"/>
        </w:rPr>
        <w:t>: Galileo, Copernicus, Eurocontrol, evropska prenosna omrežja električne energije in zemeljskega plina</w:t>
      </w:r>
      <w:r>
        <w:rPr>
          <w:rStyle w:val="FootnoteReference"/>
          <w:noProof/>
          <w:color w:val="000000" w:themeColor="text1"/>
        </w:rPr>
        <w:footnoteReference w:id="21"/>
      </w:r>
      <w:r>
        <w:rPr>
          <w:noProof/>
        </w:rPr>
        <w:t>.</w:t>
      </w:r>
      <w:r>
        <w:rPr>
          <w:rStyle w:val="None"/>
          <w:noProof/>
          <w:color w:val="000000" w:themeColor="text1"/>
        </w:rPr>
        <w:t xml:space="preserve"> Posebno pozornost je treba posvetiti varnosti, celovitosti in lastništvu teh infrastruktur ter potrebi po zagotovitvi njihovega neprekinjenega delovanja. Poleg tega zakonodaja EU o kibernetski varnosti</w:t>
      </w:r>
      <w:r>
        <w:rPr>
          <w:rStyle w:val="None"/>
          <w:noProof/>
          <w:color w:val="000000" w:themeColor="text1"/>
          <w:vertAlign w:val="superscript"/>
        </w:rPr>
        <w:footnoteReference w:id="22"/>
      </w:r>
      <w:r>
        <w:rPr>
          <w:rStyle w:val="None"/>
          <w:noProof/>
          <w:color w:val="000000" w:themeColor="text1"/>
        </w:rPr>
        <w:t xml:space="preserve"> določa seznam sektorjev, ki zagotavljajo osnovne storitve, v katerih je treba subjekte braniti pred kibernetskimi napadi</w:t>
      </w:r>
      <w:r>
        <w:rPr>
          <w:rStyle w:val="FootnoteReference"/>
          <w:noProof/>
          <w:color w:val="000000" w:themeColor="text1"/>
        </w:rPr>
        <w:footnoteReference w:id="23"/>
      </w:r>
      <w:r>
        <w:rPr>
          <w:noProof/>
        </w:rPr>
        <w:t>.</w:t>
      </w:r>
    </w:p>
    <w:p>
      <w:pPr>
        <w:pStyle w:val="BodyBA"/>
        <w:numPr>
          <w:ilvl w:val="0"/>
          <w:numId w:val="15"/>
        </w:numPr>
        <w:spacing w:after="200"/>
        <w:jc w:val="both"/>
        <w:rPr>
          <w:rStyle w:val="None"/>
          <w:noProof/>
          <w:color w:val="000000" w:themeColor="text1"/>
        </w:rPr>
      </w:pPr>
      <w:r>
        <w:rPr>
          <w:rStyle w:val="None"/>
          <w:noProof/>
          <w:color w:val="000000" w:themeColor="text1"/>
        </w:rPr>
        <w:t xml:space="preserve">Del zakonodaje EU </w:t>
      </w:r>
      <w:r>
        <w:rPr>
          <w:rStyle w:val="None"/>
          <w:b/>
          <w:noProof/>
          <w:color w:val="000000" w:themeColor="text1"/>
        </w:rPr>
        <w:t>neposredno obravnava vpliv tujega lastništva</w:t>
      </w:r>
      <w:r>
        <w:rPr>
          <w:rStyle w:val="None"/>
          <w:noProof/>
          <w:color w:val="000000" w:themeColor="text1"/>
        </w:rPr>
        <w:t>. Zakonodaja v zvezi s tujim nadzorom nad nekaterimi evropskimi sredstvi že obstaja v zelo specifičnih primerih, zlasti kadar EU opredeljuje merila za odobritev subjektov, ki med drugim temeljijo na nacionalnosti lastništva. Letalski prevoznik na primer ne more pridobiti licence v EU, če je 50 odstotkov ali več njegovih delnic v lasti oseb, ki niso iz EU, razen če obstaja dogovor z domačo državo tega prevoznika</w:t>
      </w:r>
      <w:r>
        <w:rPr>
          <w:rStyle w:val="None"/>
          <w:noProof/>
          <w:color w:val="000000" w:themeColor="text1"/>
          <w:vertAlign w:val="superscript"/>
        </w:rPr>
        <w:footnoteReference w:id="24"/>
      </w:r>
      <w:r>
        <w:rPr>
          <w:rStyle w:val="None"/>
          <w:noProof/>
          <w:color w:val="000000" w:themeColor="text1"/>
        </w:rPr>
        <w:t>. Podobno v skladu s pravili EU na področju energetike operater prenosnega sistema zemeljskega plina ali električne energije, ki je pod nadzorom tretje države, ne more delovati v EU, razen če je bilo v postopku certificiranja dokazano, da ne bo ogrozil zanesljive oskrbe z energijo v državi članici, v kateri bi deloval, ali v Uniji.</w:t>
      </w:r>
      <w:r>
        <w:rPr>
          <w:rStyle w:val="None"/>
          <w:noProof/>
          <w:color w:val="000000" w:themeColor="text1"/>
          <w:vertAlign w:val="superscript"/>
        </w:rPr>
        <w:footnoteReference w:id="25"/>
      </w:r>
      <w:r>
        <w:rPr>
          <w:rStyle w:val="None"/>
          <w:noProof/>
          <w:color w:val="000000" w:themeColor="text1"/>
        </w:rPr>
        <w:t>Drug primer so pravila EU za izdajo in uporabo dovoljenj za iskanje, raziskovanje in izkoriščanje ogljikovodikov</w:t>
      </w:r>
      <w:r>
        <w:rPr>
          <w:rStyle w:val="FootnoteReference"/>
          <w:noProof/>
          <w:color w:val="000000" w:themeColor="text1"/>
        </w:rPr>
        <w:footnoteReference w:id="26"/>
      </w:r>
      <w:r>
        <w:rPr>
          <w:rStyle w:val="None"/>
          <w:noProof/>
          <w:color w:val="000000" w:themeColor="text1"/>
        </w:rPr>
        <w:t xml:space="preserve">, ki določajo, da lahko države članice zaradi nacionalne varnosti zavrnejo prošnjo za dostop do in opravljanje teh dejavnosti vsakemu subjektu, ki je pod dejanskim nadzorom tretjih držav ali njihovih državljanov. </w:t>
      </w:r>
    </w:p>
    <w:p>
      <w:pPr>
        <w:pStyle w:val="BodyBA"/>
        <w:numPr>
          <w:ilvl w:val="0"/>
          <w:numId w:val="15"/>
        </w:numPr>
        <w:spacing w:after="200"/>
        <w:jc w:val="both"/>
        <w:rPr>
          <w:rStyle w:val="None"/>
          <w:noProof/>
          <w:color w:val="000000" w:themeColor="text1"/>
        </w:rPr>
      </w:pPr>
      <w:r>
        <w:rPr>
          <w:rStyle w:val="None"/>
          <w:noProof/>
          <w:color w:val="000000" w:themeColor="text1"/>
        </w:rPr>
        <w:t>V Evropski strategiji za energetsko varnost</w:t>
      </w:r>
      <w:r>
        <w:rPr>
          <w:rStyle w:val="FootnoteReference"/>
          <w:noProof/>
          <w:color w:val="000000" w:themeColor="text1"/>
          <w:u w:color="FF0000"/>
        </w:rPr>
        <w:footnoteReference w:id="27"/>
      </w:r>
      <w:r>
        <w:rPr>
          <w:rStyle w:val="None"/>
          <w:noProof/>
          <w:color w:val="000000" w:themeColor="text1"/>
        </w:rPr>
        <w:t xml:space="preserve">, ki jo je Komisija objavila leta 2014, je bil predviden začetek </w:t>
      </w:r>
      <w:r>
        <w:rPr>
          <w:rStyle w:val="None"/>
          <w:b/>
          <w:noProof/>
          <w:color w:val="000000" w:themeColor="text1"/>
          <w:u w:color="FF0000"/>
        </w:rPr>
        <w:t>širše razprave o nadzoru nad strateško infrastrukturo v energetskem sektorju s strani subjektov tretjih držav</w:t>
      </w:r>
      <w:r>
        <w:rPr>
          <w:rStyle w:val="None"/>
          <w:noProof/>
          <w:color w:val="000000" w:themeColor="text1"/>
        </w:rPr>
        <w:t>, predvsem podjetij v državni lasti, nacionalnih bank ali državnih premoženjskih skladov iz ključnih držav dobaviteljic, ki želijo prodreti na trg EU in pri katerih obstaja tveganje, da bodo ovirali raznovrstnost dobave in razvoj omrežja in infrastrukture EU. Komisija je kot prvi korak v tej smeri pripravila zakonodajna predloga v zvezi z zanesljivo oskrbo s plinom in električno energijo, v skladu s katerima bi se od držav članic zahtevalo, da ocenijo tveganja, ki jih predstavljata tuji nadzor ali lastništvo infrastrukture za prenos plina in električne energije, ter da sprejmejo ukrepe, za katere menijo, da so potrebni, in ki so predmet pregleda s strani Komisije in/ali strokovne skupine.</w:t>
      </w:r>
      <w:r>
        <w:rPr>
          <w:rStyle w:val="None"/>
          <w:noProof/>
          <w:color w:val="000000" w:themeColor="text1"/>
          <w:vertAlign w:val="superscript"/>
        </w:rPr>
        <w:footnoteReference w:id="28"/>
      </w:r>
    </w:p>
    <w:p>
      <w:pPr>
        <w:pStyle w:val="BodyBA"/>
        <w:spacing w:after="200"/>
        <w:jc w:val="both"/>
        <w:rPr>
          <w:rStyle w:val="None"/>
          <w:noProof/>
          <w:color w:val="000000" w:themeColor="text1"/>
          <w:u w:color="FF0000"/>
        </w:rPr>
      </w:pPr>
      <w:r>
        <w:rPr>
          <w:rStyle w:val="None"/>
          <w:noProof/>
          <w:color w:val="000000" w:themeColor="text1"/>
          <w:u w:color="FF0000"/>
        </w:rPr>
        <w:t>Vendar kljub tem sektorskim pobudam na ravni EU do zdaj ni bil vzpostavljen celovit pravni okvir za obravnavo tveganj za varnost in javni red, ki bi jih lahko predstavljale nekatere neposredne tuje investicije iz tretjih držav.</w:t>
      </w:r>
    </w:p>
    <w:p>
      <w:pPr>
        <w:rPr>
          <w:rStyle w:val="None"/>
          <w:b/>
          <w:bCs/>
          <w:noProof/>
          <w:color w:val="000000" w:themeColor="text1"/>
        </w:rPr>
      </w:pPr>
    </w:p>
    <w:p>
      <w:pPr>
        <w:pStyle w:val="ListParagraph"/>
        <w:numPr>
          <w:ilvl w:val="0"/>
          <w:numId w:val="2"/>
        </w:numPr>
        <w:jc w:val="both"/>
        <w:rPr>
          <w:rFonts w:ascii="Times New Roman" w:hAnsi="Times New Roman"/>
          <w:b/>
          <w:noProof/>
          <w:sz w:val="24"/>
          <w:szCs w:val="24"/>
        </w:rPr>
      </w:pPr>
      <w:r>
        <w:rPr>
          <w:rFonts w:ascii="Times New Roman" w:hAnsi="Times New Roman"/>
          <w:b/>
          <w:noProof/>
          <w:sz w:val="24"/>
        </w:rPr>
        <w:t>Vzpostavljanje okvira EU za pregled neposrednih tujih investicij zaradi varnosti ali javnega reda</w:t>
      </w:r>
    </w:p>
    <w:p>
      <w:pPr>
        <w:pStyle w:val="ListParagraph"/>
        <w:numPr>
          <w:ilvl w:val="1"/>
          <w:numId w:val="19"/>
        </w:numPr>
        <w:jc w:val="both"/>
        <w:rPr>
          <w:rStyle w:val="None"/>
          <w:rFonts w:ascii="Times New Roman" w:hAnsi="Times New Roman" w:cs="Times New Roman"/>
          <w:b/>
          <w:noProof/>
          <w:sz w:val="24"/>
          <w:szCs w:val="24"/>
          <w:u w:color="FF0000"/>
        </w:rPr>
      </w:pPr>
      <w:r>
        <w:rPr>
          <w:rStyle w:val="None"/>
          <w:rFonts w:ascii="Times New Roman" w:hAnsi="Times New Roman"/>
          <w:b/>
          <w:noProof/>
          <w:sz w:val="24"/>
          <w:u w:color="FF0000"/>
        </w:rPr>
        <w:t>Razlogi za ukrepanje</w:t>
      </w:r>
    </w:p>
    <w:p>
      <w:pPr>
        <w:pStyle w:val="BodyA"/>
        <w:spacing w:before="240" w:line="240" w:lineRule="auto"/>
        <w:jc w:val="both"/>
        <w:rPr>
          <w:rStyle w:val="None"/>
          <w:rFonts w:ascii="Times New Roman" w:hAnsi="Times New Roman" w:cs="Times New Roman"/>
          <w:noProof/>
          <w:color w:val="000000" w:themeColor="text1"/>
          <w:sz w:val="24"/>
          <w:szCs w:val="24"/>
        </w:rPr>
      </w:pPr>
      <w:r>
        <w:rPr>
          <w:rStyle w:val="None"/>
          <w:rFonts w:ascii="Times New Roman" w:hAnsi="Times New Roman"/>
          <w:b/>
          <w:noProof/>
          <w:color w:val="000000" w:themeColor="text1"/>
          <w:sz w:val="24"/>
          <w:u w:color="FF0000"/>
        </w:rPr>
        <w:t>Komisija v celoti priznava, da bi bilo treba državam članicam še naprej omogočati potrebno prožnost pri pregledovanju neposrednih tujih investicij</w:t>
      </w:r>
      <w:r>
        <w:rPr>
          <w:rStyle w:val="None"/>
          <w:rFonts w:ascii="Times New Roman" w:hAnsi="Times New Roman"/>
          <w:noProof/>
          <w:color w:val="000000" w:themeColor="text1"/>
          <w:sz w:val="24"/>
          <w:u w:color="FF0000"/>
        </w:rPr>
        <w:t>, ob upoštevanju njihovih legitimnih interesov, različnih razmer in nacionalnih okoliščin. Obenem je očitno, da imajo neposredne tuje investicije evropsko razsežnost, zaradi česar spadajo na področje uporabe skupne trgovinske politike EU</w:t>
      </w:r>
      <w:r>
        <w:rPr>
          <w:rStyle w:val="FootnoteReference"/>
          <w:rFonts w:ascii="Times New Roman" w:hAnsi="Times New Roman"/>
          <w:noProof/>
          <w:color w:val="000000" w:themeColor="text1"/>
          <w:sz w:val="24"/>
          <w:u w:color="FF0000"/>
        </w:rPr>
        <w:footnoteReference w:id="29"/>
      </w:r>
      <w:r>
        <w:rPr>
          <w:noProof/>
        </w:rPr>
        <w:t>.</w:t>
      </w:r>
      <w:r>
        <w:rPr>
          <w:rStyle w:val="None"/>
          <w:rFonts w:ascii="Times New Roman" w:hAnsi="Times New Roman"/>
          <w:noProof/>
          <w:color w:val="000000" w:themeColor="text1"/>
          <w:sz w:val="24"/>
          <w:u w:color="FF0000"/>
        </w:rPr>
        <w:t xml:space="preserve"> Na notranjem trgu podjetja iz EU vse pogosteje izkoriščajo svobodo ustanavljanja in opravljanja storitev ter prostega pretoka blaga in kapitala ter ne poslujejo samo v eni državi članici, ampak širijo svoje dejavnosti in dobavne verige na več držav članic. Tudi vlagatelji iz tretjih držav si želijo izkoristiti prednosti notranjega trga z vlaganjem v podjetja EU, kar jim omogoča precejšnjo ekonomijo obsega in dostop do notranjega trga. Poleg tega lahko neposredne tuje investicije v eni državi članici vplivajo na varnost ali javni red druge države članice ali na EU kot celoto. Takšnega čezmejnega vpliva ni mogoče vedno v celoti proučiti in oceniti v okviru nacionalnih mehanizmov. Poleg tega</w:t>
      </w:r>
      <w:r>
        <w:rPr>
          <w:rStyle w:val="None"/>
          <w:rFonts w:ascii="Times New Roman" w:hAnsi="Times New Roman"/>
          <w:noProof/>
          <w:color w:val="000000" w:themeColor="text1"/>
          <w:sz w:val="24"/>
        </w:rPr>
        <w:t xml:space="preserve"> je treba vzpostaviti okvir, ki ščiti sredstva, ki imajo pomembno evropsko razsežnost prek njihovih povezav s programi ali projekti, ki so v interesu Unije, kot je na primer evropski globalni satelitski navigacijski sistem (Galileo). </w:t>
      </w:r>
    </w:p>
    <w:p>
      <w:pPr>
        <w:pStyle w:val="BodyA"/>
        <w:spacing w:before="240" w:line="240" w:lineRule="auto"/>
        <w:jc w:val="both"/>
        <w:rPr>
          <w:rStyle w:val="None"/>
          <w:rFonts w:ascii="Times New Roman" w:hAnsi="Times New Roman"/>
          <w:noProof/>
          <w:color w:val="000000" w:themeColor="text1"/>
          <w:sz w:val="24"/>
          <w:szCs w:val="24"/>
          <w:u w:color="FF0000"/>
        </w:rPr>
      </w:pPr>
      <w:r>
        <w:rPr>
          <w:rStyle w:val="None"/>
          <w:rFonts w:ascii="Times New Roman" w:hAnsi="Times New Roman"/>
          <w:noProof/>
          <w:color w:val="000000" w:themeColor="text1"/>
          <w:sz w:val="24"/>
          <w:u w:color="FF0000"/>
        </w:rPr>
        <w:t xml:space="preserve">Komisija meni, da je </w:t>
      </w:r>
      <w:r>
        <w:rPr>
          <w:rStyle w:val="None"/>
          <w:rFonts w:ascii="Times New Roman" w:hAnsi="Times New Roman"/>
          <w:b/>
          <w:noProof/>
          <w:color w:val="000000" w:themeColor="text1"/>
          <w:sz w:val="24"/>
          <w:u w:color="FF0000"/>
        </w:rPr>
        <w:t>tesnejše sodelovanje in boljše usklajevanje med državami članicami bistvenega pomena</w:t>
      </w:r>
      <w:r>
        <w:rPr>
          <w:rStyle w:val="None"/>
          <w:rFonts w:ascii="Times New Roman" w:hAnsi="Times New Roman"/>
          <w:noProof/>
          <w:color w:val="000000" w:themeColor="text1"/>
          <w:sz w:val="24"/>
          <w:u w:color="FF0000"/>
        </w:rPr>
        <w:t xml:space="preserve">, da se oblikuje odziv na spreminjajoče se naložbeno okolje ter okrepijo sinergije med pristojnostmi EU in držav članic. </w:t>
      </w:r>
      <w:r>
        <w:rPr>
          <w:rStyle w:val="None"/>
          <w:rFonts w:ascii="Times New Roman" w:hAnsi="Times New Roman"/>
          <w:b/>
          <w:noProof/>
          <w:color w:val="000000" w:themeColor="text1"/>
          <w:sz w:val="24"/>
          <w:u w:color="FF0000"/>
        </w:rPr>
        <w:t>Komisija zato predlaga sprejetje dodatnih ukrepov v zvezi s temi naložbami iz tretjih držav, ki bi lahko vzbudile pomisleke glede varnosti in javnega reda.</w:t>
      </w:r>
    </w:p>
    <w:p>
      <w:pPr>
        <w:pStyle w:val="BodyA"/>
        <w:spacing w:before="240" w:line="240" w:lineRule="auto"/>
        <w:jc w:val="both"/>
        <w:rPr>
          <w:rStyle w:val="None"/>
          <w:rFonts w:ascii="Times New Roman" w:hAnsi="Times New Roman"/>
          <w:noProof/>
          <w:color w:val="000000" w:themeColor="text1"/>
          <w:sz w:val="24"/>
          <w:szCs w:val="24"/>
          <w:u w:color="FF0000"/>
        </w:rPr>
      </w:pPr>
      <w:r>
        <w:rPr>
          <w:rStyle w:val="None"/>
          <w:rFonts w:ascii="Times New Roman" w:hAnsi="Times New Roman"/>
          <w:noProof/>
          <w:color w:val="000000" w:themeColor="text1"/>
          <w:sz w:val="24"/>
          <w:u w:color="FF0000"/>
        </w:rPr>
        <w:t xml:space="preserve">V tem okviru so </w:t>
      </w:r>
      <w:r>
        <w:rPr>
          <w:rStyle w:val="None"/>
          <w:rFonts w:ascii="Times New Roman" w:hAnsi="Times New Roman"/>
          <w:b/>
          <w:noProof/>
          <w:color w:val="000000" w:themeColor="text1"/>
          <w:sz w:val="24"/>
          <w:u w:color="FF0000"/>
        </w:rPr>
        <w:t>posebni cilji</w:t>
      </w:r>
      <w:r>
        <w:rPr>
          <w:rStyle w:val="None"/>
          <w:rFonts w:ascii="Times New Roman" w:hAnsi="Times New Roman"/>
          <w:noProof/>
          <w:color w:val="000000" w:themeColor="text1"/>
          <w:sz w:val="24"/>
          <w:u w:color="FF0000"/>
        </w:rPr>
        <w:t>, ki jih je treba doseči, naslednji:</w:t>
      </w:r>
    </w:p>
    <w:p>
      <w:pPr>
        <w:pStyle w:val="BodyA"/>
        <w:numPr>
          <w:ilvl w:val="1"/>
          <w:numId w:val="4"/>
        </w:numPr>
        <w:spacing w:after="0" w:line="240" w:lineRule="auto"/>
        <w:jc w:val="both"/>
        <w:rPr>
          <w:rFonts w:ascii="Times New Roman" w:eastAsia="Times New Roman" w:hAnsi="Times New Roman" w:cs="Times New Roman"/>
          <w:noProof/>
          <w:color w:val="000000" w:themeColor="text1"/>
          <w:sz w:val="24"/>
          <w:szCs w:val="24"/>
        </w:rPr>
      </w:pPr>
      <w:r>
        <w:rPr>
          <w:rStyle w:val="None"/>
          <w:rFonts w:ascii="Times New Roman" w:hAnsi="Times New Roman"/>
          <w:noProof/>
          <w:color w:val="000000" w:themeColor="text1"/>
          <w:sz w:val="24"/>
          <w:u w:color="FF0000"/>
        </w:rPr>
        <w:t>vzpostavitev skladnega okvira za pregled neposrednih tujih investicij v EU zaradi varnosti ali javnega reda, ne da bi to posegalo v nacionalne pristojnosti držav članic</w:t>
      </w:r>
      <w:r>
        <w:rPr>
          <w:rFonts w:ascii="Times New Roman" w:hAnsi="Times New Roman"/>
          <w:noProof/>
          <w:color w:val="000000" w:themeColor="text1"/>
          <w:sz w:val="24"/>
        </w:rPr>
        <w:t>,</w:t>
      </w:r>
    </w:p>
    <w:p>
      <w:pPr>
        <w:pStyle w:val="BodyA"/>
        <w:numPr>
          <w:ilvl w:val="1"/>
          <w:numId w:val="4"/>
        </w:numPr>
        <w:spacing w:after="0" w:line="240" w:lineRule="auto"/>
        <w:jc w:val="both"/>
        <w:rPr>
          <w:rFonts w:ascii="Times New Roman" w:eastAsia="Times New Roman" w:hAnsi="Times New Roman" w:cs="Times New Roman"/>
          <w:noProof/>
          <w:color w:val="000000" w:themeColor="text1"/>
          <w:sz w:val="24"/>
          <w:szCs w:val="24"/>
        </w:rPr>
      </w:pPr>
      <w:r>
        <w:rPr>
          <w:rStyle w:val="None"/>
          <w:rFonts w:ascii="Times New Roman" w:hAnsi="Times New Roman"/>
          <w:noProof/>
          <w:color w:val="000000" w:themeColor="text1"/>
          <w:sz w:val="24"/>
          <w:u w:color="FF0000"/>
        </w:rPr>
        <w:t xml:space="preserve">olajšanje tesnega in sistematičnega sodelovanja med državami članicami ter med državami članicami in Komisijo pri pregledu nekaterih neposrednih tujih investicij, kadar te vzbujajo pomisleke glede varnosti ali javnega reda, vključno z intenzivnejšo </w:t>
      </w:r>
      <w:r>
        <w:rPr>
          <w:rFonts w:ascii="Times New Roman" w:hAnsi="Times New Roman"/>
          <w:noProof/>
          <w:color w:val="000000" w:themeColor="text1"/>
          <w:sz w:val="24"/>
        </w:rPr>
        <w:t>izmenjavo informacij,</w:t>
      </w:r>
    </w:p>
    <w:p>
      <w:pPr>
        <w:pStyle w:val="BodyA"/>
        <w:numPr>
          <w:ilvl w:val="1"/>
          <w:numId w:val="4"/>
        </w:numPr>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povečanje preglednosti </w:t>
      </w:r>
      <w:r>
        <w:rPr>
          <w:rStyle w:val="None"/>
          <w:rFonts w:ascii="Times New Roman" w:hAnsi="Times New Roman"/>
          <w:noProof/>
          <w:color w:val="000000" w:themeColor="text1"/>
          <w:sz w:val="24"/>
          <w:u w:color="FF0000"/>
        </w:rPr>
        <w:t>neposrednih tujih investicij</w:t>
      </w:r>
      <w:r>
        <w:rPr>
          <w:rFonts w:ascii="Times New Roman" w:hAnsi="Times New Roman"/>
          <w:noProof/>
          <w:color w:val="000000" w:themeColor="text1"/>
          <w:sz w:val="24"/>
        </w:rPr>
        <w:t>, ki bi lahko vplivale na varnost ali javni red,</w:t>
      </w:r>
    </w:p>
    <w:p>
      <w:pPr>
        <w:pStyle w:val="BodyA"/>
        <w:numPr>
          <w:ilvl w:val="1"/>
          <w:numId w:val="4"/>
        </w:numPr>
        <w:spacing w:after="0" w:line="240" w:lineRule="auto"/>
        <w:jc w:val="both"/>
        <w:rPr>
          <w:rStyle w:val="None"/>
          <w:rFonts w:ascii="Times New Roman" w:eastAsia="Times New Roman" w:hAnsi="Times New Roman" w:cs="Times New Roman"/>
          <w:noProof/>
          <w:color w:val="000000" w:themeColor="text1"/>
          <w:sz w:val="24"/>
          <w:szCs w:val="24"/>
          <w:u w:color="FF0000"/>
        </w:rPr>
      </w:pPr>
      <w:r>
        <w:rPr>
          <w:rFonts w:ascii="Times New Roman" w:hAnsi="Times New Roman"/>
          <w:noProof/>
          <w:color w:val="000000" w:themeColor="text1"/>
          <w:sz w:val="24"/>
        </w:rPr>
        <w:t xml:space="preserve">učinkovita </w:t>
      </w:r>
      <w:r>
        <w:rPr>
          <w:rStyle w:val="None"/>
          <w:rFonts w:ascii="Times New Roman" w:hAnsi="Times New Roman"/>
          <w:noProof/>
          <w:color w:val="000000" w:themeColor="text1"/>
          <w:sz w:val="24"/>
          <w:u w:color="FF0000"/>
        </w:rPr>
        <w:t>obravnava primerov neposrednih tujih investicij, ki zbujajo pomisleke glede varnosti ali javnega reda v zvezi s projekti ali programi v interesu Unije,</w:t>
      </w:r>
    </w:p>
    <w:p>
      <w:pPr>
        <w:pStyle w:val="BodyA"/>
        <w:numPr>
          <w:ilvl w:val="1"/>
          <w:numId w:val="4"/>
        </w:numPr>
        <w:spacing w:after="0" w:line="240" w:lineRule="auto"/>
        <w:jc w:val="both"/>
        <w:rPr>
          <w:rStyle w:val="None"/>
          <w:rFonts w:ascii="Times New Roman" w:eastAsia="Times New Roman" w:hAnsi="Times New Roman" w:cs="Times New Roman"/>
          <w:noProof/>
          <w:color w:val="000000" w:themeColor="text1"/>
          <w:sz w:val="24"/>
          <w:szCs w:val="24"/>
          <w:u w:color="1F487D"/>
        </w:rPr>
      </w:pPr>
      <w:r>
        <w:rPr>
          <w:rStyle w:val="None"/>
          <w:rFonts w:ascii="Times New Roman" w:hAnsi="Times New Roman"/>
          <w:noProof/>
          <w:color w:val="000000" w:themeColor="text1"/>
          <w:sz w:val="24"/>
          <w:u w:color="FF0000"/>
        </w:rPr>
        <w:t>preprečitev izogibanja nacionalnim mehanizmom pregleda neposrednih tujih investicij.</w:t>
      </w:r>
    </w:p>
    <w:p>
      <w:pPr>
        <w:pStyle w:val="BodyA"/>
        <w:spacing w:before="195" w:after="0" w:line="240" w:lineRule="auto"/>
        <w:jc w:val="both"/>
        <w:rPr>
          <w:rStyle w:val="None"/>
          <w:rFonts w:ascii="Times New Roman" w:eastAsia="Times New Roman" w:hAnsi="Times New Roman" w:cs="Times New Roman"/>
          <w:noProof/>
          <w:color w:val="000000" w:themeColor="text1"/>
          <w:sz w:val="24"/>
          <w:szCs w:val="24"/>
          <w:u w:color="FF0000"/>
        </w:rPr>
      </w:pPr>
      <w:r>
        <w:rPr>
          <w:rStyle w:val="None"/>
          <w:rFonts w:ascii="Times New Roman" w:hAnsi="Times New Roman"/>
          <w:noProof/>
          <w:color w:val="000000" w:themeColor="text1"/>
          <w:sz w:val="24"/>
          <w:u w:color="1F487D"/>
        </w:rPr>
        <w:t>Takšni ukrepi bodo sprejeti ob polnem spoštovanju obveznosti, ki izhajajo iz Pogodb EU in mednarodnih sporazumov ter sporazumov, katerih pogodbenice so EU in države članice. Če so EU ali države članice prevzele mednarodne obveznosti na področju naložb, v tem smislu področje ukrepanja že omejujejo ustrezne izjeme glede varnosti in javnega reda.</w:t>
      </w:r>
    </w:p>
    <w:p>
      <w:pPr>
        <w:pStyle w:val="BodyA"/>
        <w:spacing w:before="195" w:after="0" w:line="240" w:lineRule="auto"/>
        <w:jc w:val="both"/>
        <w:rPr>
          <w:rStyle w:val="None"/>
          <w:rFonts w:ascii="Times New Roman" w:eastAsia="Times New Roman" w:hAnsi="Times New Roman" w:cs="Times New Roman"/>
          <w:noProof/>
          <w:color w:val="000000" w:themeColor="text1"/>
          <w:sz w:val="24"/>
          <w:szCs w:val="24"/>
          <w:u w:color="FF0000"/>
        </w:rPr>
      </w:pPr>
      <w:r>
        <w:rPr>
          <w:rStyle w:val="None"/>
          <w:rFonts w:ascii="Times New Roman" w:hAnsi="Times New Roman"/>
          <w:noProof/>
          <w:color w:val="000000" w:themeColor="text1"/>
          <w:sz w:val="24"/>
          <w:u w:color="FF0000"/>
        </w:rPr>
        <w:t>Poleg tega Komisija predlaga ukrepe, ki so sorazmerni in pregledni ter pomenijo čim manjše upravno breme za vlade in vlagatelje. Poleg tega predlog zagotavlja predvidljivo in nediskriminatorno naložbeno ureditev, ki temelji na pravilih, med različnimi tretjimi državami v</w:t>
      </w:r>
      <w:r>
        <w:rPr>
          <w:rFonts w:ascii="Times New Roman" w:hAnsi="Times New Roman"/>
          <w:noProof/>
          <w:sz w:val="24"/>
        </w:rPr>
        <w:t xml:space="preserve"> skladu z </w:t>
      </w:r>
      <w:r>
        <w:rPr>
          <w:rStyle w:val="None"/>
          <w:rFonts w:ascii="Times New Roman" w:hAnsi="Times New Roman"/>
          <w:noProof/>
          <w:sz w:val="24"/>
          <w:u w:color="FF0000"/>
        </w:rPr>
        <w:t>načeli iz ustrezne sodne prakse Sodišča Evropske unije</w:t>
      </w:r>
      <w:r>
        <w:rPr>
          <w:rStyle w:val="FootnoteReference"/>
          <w:rFonts w:ascii="Times New Roman" w:hAnsi="Times New Roman"/>
          <w:noProof/>
          <w:color w:val="000000" w:themeColor="text1"/>
          <w:sz w:val="24"/>
          <w:u w:color="FF0000"/>
        </w:rPr>
        <w:footnoteReference w:id="30"/>
      </w:r>
      <w:r>
        <w:rPr>
          <w:noProof/>
        </w:rPr>
        <w:t>.</w:t>
      </w:r>
    </w:p>
    <w:p>
      <w:pPr>
        <w:jc w:val="both"/>
        <w:rPr>
          <w:b/>
          <w:noProof/>
          <w:color w:val="000000" w:themeColor="text1"/>
        </w:rPr>
      </w:pPr>
    </w:p>
    <w:p>
      <w:pPr>
        <w:pStyle w:val="ListParagraph"/>
        <w:numPr>
          <w:ilvl w:val="1"/>
          <w:numId w:val="20"/>
        </w:numPr>
        <w:jc w:val="both"/>
        <w:rPr>
          <w:rStyle w:val="None"/>
          <w:rFonts w:ascii="Times New Roman" w:hAnsi="Times New Roman" w:cs="Times New Roman"/>
          <w:b/>
          <w:noProof/>
          <w:sz w:val="24"/>
          <w:szCs w:val="24"/>
          <w:u w:color="FF0000"/>
        </w:rPr>
      </w:pPr>
      <w:r>
        <w:rPr>
          <w:rStyle w:val="None"/>
          <w:rFonts w:ascii="Times New Roman" w:hAnsi="Times New Roman"/>
          <w:b/>
          <w:noProof/>
          <w:sz w:val="24"/>
          <w:u w:color="FF0000"/>
        </w:rPr>
        <w:t xml:space="preserve"> Predlagani ukrepi</w:t>
      </w:r>
    </w:p>
    <w:p>
      <w:pPr>
        <w:pStyle w:val="ListParagraph"/>
        <w:numPr>
          <w:ilvl w:val="1"/>
          <w:numId w:val="21"/>
        </w:numPr>
        <w:ind w:left="851"/>
        <w:jc w:val="both"/>
        <w:rPr>
          <w:rStyle w:val="None"/>
          <w:rFonts w:ascii="Times New Roman" w:hAnsi="Times New Roman" w:cs="Times New Roman"/>
          <w:b/>
          <w:bCs/>
          <w:noProof/>
          <w:color w:val="000000" w:themeColor="text1"/>
          <w:sz w:val="24"/>
          <w:szCs w:val="24"/>
          <w:u w:color="FF0000"/>
        </w:rPr>
      </w:pPr>
      <w:r>
        <w:rPr>
          <w:rStyle w:val="None"/>
          <w:rFonts w:ascii="Times New Roman" w:hAnsi="Times New Roman"/>
          <w:b/>
          <w:noProof/>
          <w:color w:val="000000" w:themeColor="text1"/>
          <w:sz w:val="24"/>
          <w:u w:color="FF0000"/>
        </w:rPr>
        <w:t>Predlog uredbe</w:t>
      </w:r>
    </w:p>
    <w:p>
      <w:pPr>
        <w:pStyle w:val="BodyA"/>
        <w:spacing w:after="0" w:line="240" w:lineRule="auto"/>
        <w:jc w:val="both"/>
        <w:rPr>
          <w:rFonts w:ascii="Times New Roman" w:hAnsi="Times New Roman" w:cs="Times New Roman"/>
          <w:noProof/>
          <w:color w:val="000000" w:themeColor="text1"/>
          <w:sz w:val="24"/>
          <w:szCs w:val="24"/>
          <w:u w:color="FF0000"/>
        </w:rPr>
      </w:pPr>
      <w:r>
        <w:rPr>
          <w:rStyle w:val="None"/>
          <w:rFonts w:ascii="Times New Roman" w:hAnsi="Times New Roman"/>
          <w:noProof/>
          <w:color w:val="000000" w:themeColor="text1"/>
          <w:sz w:val="24"/>
          <w:u w:color="FF0000"/>
        </w:rPr>
        <w:t xml:space="preserve">Vzporedno s tem sporočilom Komisija glede na zgoraj navedeno in na podlagi člena 207 PDEU objavlja </w:t>
      </w:r>
      <w:r>
        <w:rPr>
          <w:rStyle w:val="None"/>
          <w:rFonts w:ascii="Times New Roman" w:hAnsi="Times New Roman"/>
          <w:b/>
          <w:noProof/>
          <w:color w:val="000000" w:themeColor="text1"/>
          <w:sz w:val="24"/>
          <w:u w:color="FF0000"/>
        </w:rPr>
        <w:t>predlog uredbe</w:t>
      </w:r>
      <w:r>
        <w:rPr>
          <w:rFonts w:ascii="Times New Roman" w:hAnsi="Times New Roman"/>
          <w:b/>
          <w:noProof/>
          <w:color w:val="000000" w:themeColor="text1"/>
          <w:sz w:val="24"/>
        </w:rPr>
        <w:t xml:space="preserve"> o vzpostavitvi okvira za pregled neposrednih tujih investicij v EU</w:t>
      </w:r>
      <w:r>
        <w:rPr>
          <w:rFonts w:ascii="Times New Roman" w:hAnsi="Times New Roman"/>
          <w:noProof/>
          <w:color w:val="000000" w:themeColor="text1"/>
          <w:sz w:val="24"/>
          <w:u w:color="FF2600"/>
        </w:rPr>
        <w:t>.</w:t>
      </w:r>
    </w:p>
    <w:p>
      <w:pPr>
        <w:pStyle w:val="BodyA"/>
        <w:spacing w:after="0" w:line="240" w:lineRule="auto"/>
        <w:jc w:val="both"/>
        <w:rPr>
          <w:rFonts w:ascii="Times New Roman" w:hAnsi="Times New Roman" w:cs="Times New Roman"/>
          <w:noProof/>
          <w:color w:val="000000" w:themeColor="text1"/>
          <w:sz w:val="24"/>
          <w:szCs w:val="24"/>
          <w:u w:color="FF0000"/>
        </w:rPr>
      </w:pPr>
    </w:p>
    <w:p>
      <w:pPr>
        <w:pStyle w:val="BodyA"/>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S tem predlogom se </w:t>
      </w:r>
      <w:r>
        <w:rPr>
          <w:rFonts w:ascii="Times New Roman" w:hAnsi="Times New Roman"/>
          <w:b/>
          <w:noProof/>
          <w:color w:val="000000" w:themeColor="text1"/>
          <w:sz w:val="24"/>
        </w:rPr>
        <w:t xml:space="preserve">vzpostavlja okvir za pregled </w:t>
      </w:r>
      <w:r>
        <w:rPr>
          <w:rStyle w:val="None"/>
          <w:rFonts w:ascii="Times New Roman" w:hAnsi="Times New Roman"/>
          <w:b/>
          <w:noProof/>
          <w:color w:val="000000" w:themeColor="text1"/>
          <w:sz w:val="24"/>
          <w:u w:color="FF0000"/>
        </w:rPr>
        <w:t>neposrednih tujih investicij</w:t>
      </w:r>
      <w:r>
        <w:rPr>
          <w:rFonts w:ascii="Times New Roman" w:hAnsi="Times New Roman"/>
          <w:b/>
          <w:noProof/>
          <w:color w:val="000000" w:themeColor="text1"/>
          <w:sz w:val="24"/>
        </w:rPr>
        <w:t xml:space="preserve"> v EU zaradi varnosti ali javnega reda</w:t>
      </w:r>
      <w:r>
        <w:rPr>
          <w:rFonts w:ascii="Times New Roman" w:hAnsi="Times New Roman"/>
          <w:noProof/>
          <w:color w:val="000000" w:themeColor="text1"/>
          <w:sz w:val="24"/>
        </w:rPr>
        <w:t xml:space="preserve">, pri čemer je v njem naveden neizčrpen seznam dejavnikov, ki se jih lahko upošteva pri presoji, ali lahko </w:t>
      </w:r>
      <w:r>
        <w:rPr>
          <w:rStyle w:val="None"/>
          <w:rFonts w:ascii="Times New Roman" w:hAnsi="Times New Roman"/>
          <w:noProof/>
          <w:color w:val="000000" w:themeColor="text1"/>
          <w:sz w:val="24"/>
          <w:u w:color="FF0000"/>
        </w:rPr>
        <w:t>neposredne tuje investicije</w:t>
      </w:r>
      <w:r>
        <w:rPr>
          <w:rFonts w:ascii="Times New Roman" w:hAnsi="Times New Roman"/>
          <w:noProof/>
          <w:color w:val="000000" w:themeColor="text1"/>
          <w:sz w:val="24"/>
        </w:rPr>
        <w:t xml:space="preserve"> vplivajo na varnost ali javni red. Določa bistvene elemente postopkovnega okvira za pregled takšnih neposrednih tujih investicij, ki ga opravijo države članice, vključno z obveznostmi glede preglednosti in obveznostjo zagotavljanja ustreznih možnosti pravnega varstva v zvezi z odločitvami, sprejetimi na podlagi teh mehanizmov pregleda. Obenem predlog še naprej zagotavlja potrebno prožnost državam članicam pri pregledu neposrednih tujih investicij in jim omogoča, da se prilagajajo spremenljivim okoliščinam in svojim specifičnim nacionalnim razmeram.</w:t>
      </w:r>
    </w:p>
    <w:p>
      <w:pPr>
        <w:pStyle w:val="BodyA"/>
        <w:spacing w:after="0" w:line="240" w:lineRule="auto"/>
        <w:jc w:val="both"/>
        <w:rPr>
          <w:rFonts w:ascii="Times New Roman" w:hAnsi="Times New Roman" w:cs="Times New Roman"/>
          <w:noProof/>
          <w:color w:val="000000" w:themeColor="text1"/>
          <w:sz w:val="24"/>
          <w:szCs w:val="24"/>
          <w:u w:color="FF0000"/>
        </w:rPr>
      </w:pPr>
    </w:p>
    <w:p>
      <w:pPr>
        <w:pStyle w:val="BodyA"/>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Osnutek uredbe določa tudi mehanizem za sodelovanje med državami članicami, zlasti v primerih, ko lahko tuje neposredne investicije v eni ali več državah članicah vplivajo na varnost ali javni red druge države članice.</w:t>
      </w:r>
    </w:p>
    <w:p>
      <w:pPr>
        <w:pStyle w:val="BodyA"/>
        <w:spacing w:after="0" w:line="240" w:lineRule="auto"/>
        <w:jc w:val="both"/>
        <w:rPr>
          <w:rFonts w:ascii="Times New Roman" w:hAnsi="Times New Roman" w:cs="Times New Roman"/>
          <w:bCs/>
          <w:noProof/>
          <w:color w:val="000000" w:themeColor="text1"/>
          <w:sz w:val="24"/>
          <w:szCs w:val="24"/>
        </w:rPr>
      </w:pPr>
      <w:r>
        <w:rPr>
          <w:rFonts w:ascii="Times New Roman" w:hAnsi="Times New Roman"/>
          <w:noProof/>
          <w:color w:val="000000" w:themeColor="text1"/>
          <w:sz w:val="24"/>
        </w:rPr>
        <w:t>Nazadnje pa osnutek uredbe Komisiji daje na voljo sredstva za pregled neposrednih tujih investicij, ki lahko vplivajo na projekte ali programe v interesu Unije zaradi varnosti in javnega reda. Predlagana uredba določa merila za opredelitev takšnih projektov ali programov, pri čemer lahko kot primere navedemo Obzorje 2020, Galileo in skupno evropsko geostacionarno navigacijsko storitev (EGNOS), Copernicus,</w:t>
      </w:r>
      <w:r>
        <w:rPr>
          <w:noProof/>
        </w:rPr>
        <w:t xml:space="preserve"> </w:t>
      </w:r>
      <w:r>
        <w:rPr>
          <w:rFonts w:ascii="Times New Roman" w:hAnsi="Times New Roman"/>
          <w:noProof/>
          <w:color w:val="000000" w:themeColor="text1"/>
          <w:sz w:val="24"/>
        </w:rPr>
        <w:t>vseevropsko prometno omrežje (TEN-T)</w:t>
      </w:r>
      <w:r>
        <w:rPr>
          <w:noProof/>
        </w:rPr>
        <w:t>,</w:t>
      </w:r>
      <w:r>
        <w:rPr>
          <w:rFonts w:ascii="Times New Roman" w:hAnsi="Times New Roman"/>
          <w:noProof/>
          <w:color w:val="000000" w:themeColor="text1"/>
          <w:sz w:val="24"/>
        </w:rPr>
        <w:t xml:space="preserve"> vseevropsko energetsko omrežje (TEN-E) in vseevropsko telekomunikacijsko omrežje. </w:t>
      </w:r>
    </w:p>
    <w:p>
      <w:pPr>
        <w:pStyle w:val="BodyA"/>
        <w:spacing w:after="0" w:line="240" w:lineRule="auto"/>
        <w:jc w:val="both"/>
        <w:rPr>
          <w:noProof/>
          <w:color w:val="000000" w:themeColor="text1"/>
        </w:rPr>
      </w:pPr>
    </w:p>
    <w:p>
      <w:pPr>
        <w:pStyle w:val="ListParagraph"/>
        <w:numPr>
          <w:ilvl w:val="1"/>
          <w:numId w:val="21"/>
        </w:numPr>
        <w:ind w:left="851"/>
        <w:jc w:val="both"/>
        <w:rPr>
          <w:rStyle w:val="None"/>
          <w:rFonts w:ascii="Times New Roman" w:hAnsi="Times New Roman" w:cs="Times New Roman"/>
          <w:b/>
          <w:bCs/>
          <w:noProof/>
          <w:color w:val="000000" w:themeColor="text1"/>
          <w:sz w:val="24"/>
          <w:szCs w:val="24"/>
          <w:u w:color="FF0000"/>
        </w:rPr>
      </w:pPr>
      <w:r>
        <w:rPr>
          <w:rStyle w:val="None"/>
          <w:rFonts w:ascii="Times New Roman" w:hAnsi="Times New Roman"/>
          <w:b/>
          <w:noProof/>
          <w:color w:val="000000" w:themeColor="text1"/>
          <w:sz w:val="24"/>
          <w:u w:color="FF0000"/>
        </w:rPr>
        <w:t>Dopolnilni ukrepi</w:t>
      </w:r>
    </w:p>
    <w:p>
      <w:pPr>
        <w:pStyle w:val="BodyA"/>
        <w:spacing w:after="0" w:line="240" w:lineRule="auto"/>
        <w:jc w:val="both"/>
        <w:rPr>
          <w:rStyle w:val="None"/>
          <w:rFonts w:ascii="Arial" w:eastAsia="Arial" w:hAnsi="Arial" w:cs="Arial"/>
          <w:noProof/>
          <w:color w:val="000000" w:themeColor="text1"/>
        </w:rPr>
      </w:pPr>
      <w:r>
        <w:rPr>
          <w:rStyle w:val="None"/>
          <w:rFonts w:ascii="Times New Roman" w:hAnsi="Times New Roman"/>
          <w:noProof/>
          <w:color w:val="000000" w:themeColor="text1"/>
          <w:sz w:val="24"/>
        </w:rPr>
        <w:t>Vzporedno s sprejetjem predloga uredbe</w:t>
      </w:r>
      <w:r>
        <w:rPr>
          <w:rFonts w:ascii="Times New Roman" w:hAnsi="Times New Roman"/>
          <w:noProof/>
          <w:color w:val="000000" w:themeColor="text1"/>
          <w:sz w:val="24"/>
        </w:rPr>
        <w:t xml:space="preserve"> o vzpostavitvi okvira za pregled neposrednih tujih investicij v EU</w:t>
      </w:r>
      <w:r>
        <w:rPr>
          <w:rStyle w:val="None"/>
          <w:rFonts w:ascii="Times New Roman" w:hAnsi="Times New Roman"/>
          <w:noProof/>
          <w:color w:val="000000" w:themeColor="text1"/>
          <w:sz w:val="24"/>
        </w:rPr>
        <w:t xml:space="preserve">, ki se sprejme po rednem zakonodajnem postopku, bo Komisija </w:t>
      </w:r>
      <w:r>
        <w:rPr>
          <w:rStyle w:val="None"/>
          <w:rFonts w:ascii="Times New Roman" w:hAnsi="Times New Roman"/>
          <w:b/>
          <w:noProof/>
          <w:color w:val="000000" w:themeColor="text1"/>
          <w:sz w:val="24"/>
        </w:rPr>
        <w:t>takoj sprejela naslednja ukrepa:</w:t>
      </w:r>
    </w:p>
    <w:p>
      <w:pPr>
        <w:pStyle w:val="ListParagraph"/>
        <w:spacing w:after="0" w:line="240" w:lineRule="auto"/>
        <w:ind w:left="0"/>
        <w:rPr>
          <w:rStyle w:val="None"/>
          <w:rFonts w:ascii="Times New Roman" w:eastAsia="Times New Roman" w:hAnsi="Times New Roman" w:cs="Times New Roman"/>
          <w:noProof/>
          <w:color w:val="000000" w:themeColor="text1"/>
          <w:sz w:val="24"/>
          <w:szCs w:val="24"/>
        </w:rPr>
      </w:pPr>
    </w:p>
    <w:p>
      <w:pPr>
        <w:pStyle w:val="BodyA"/>
        <w:numPr>
          <w:ilvl w:val="1"/>
          <w:numId w:val="6"/>
        </w:numPr>
        <w:spacing w:after="0" w:line="240" w:lineRule="auto"/>
        <w:jc w:val="both"/>
        <w:rPr>
          <w:rStyle w:val="None"/>
          <w:rFonts w:ascii="Times New Roman" w:eastAsia="Times New Roman" w:hAnsi="Times New Roman" w:cs="Times New Roman"/>
          <w:noProof/>
          <w:color w:val="000000" w:themeColor="text1"/>
          <w:sz w:val="24"/>
          <w:szCs w:val="24"/>
        </w:rPr>
      </w:pPr>
      <w:r>
        <w:rPr>
          <w:rStyle w:val="None"/>
          <w:rFonts w:ascii="Times New Roman" w:hAnsi="Times New Roman"/>
          <w:noProof/>
          <w:color w:val="000000" w:themeColor="text1"/>
          <w:sz w:val="24"/>
        </w:rPr>
        <w:t xml:space="preserve">Do konca leta 2018 bo izvedla dodatno </w:t>
      </w:r>
      <w:r>
        <w:rPr>
          <w:rStyle w:val="None"/>
          <w:rFonts w:ascii="Times New Roman" w:hAnsi="Times New Roman"/>
          <w:b/>
          <w:noProof/>
          <w:color w:val="000000" w:themeColor="text1"/>
          <w:sz w:val="24"/>
        </w:rPr>
        <w:t>poglobljeno analizo</w:t>
      </w:r>
      <w:r>
        <w:rPr>
          <w:rStyle w:val="None"/>
          <w:rFonts w:ascii="Times New Roman" w:hAnsi="Times New Roman"/>
          <w:noProof/>
          <w:color w:val="000000" w:themeColor="text1"/>
          <w:sz w:val="24"/>
        </w:rPr>
        <w:t xml:space="preserve"> </w:t>
      </w:r>
      <w:r>
        <w:rPr>
          <w:rStyle w:val="None"/>
          <w:rFonts w:ascii="Times New Roman" w:hAnsi="Times New Roman"/>
          <w:b/>
          <w:noProof/>
          <w:color w:val="000000" w:themeColor="text1"/>
          <w:sz w:val="24"/>
        </w:rPr>
        <w:t>tokov neposrednih tujih investicij v EU</w:t>
      </w:r>
      <w:r>
        <w:rPr>
          <w:rStyle w:val="None"/>
          <w:rFonts w:ascii="Times New Roman" w:hAnsi="Times New Roman"/>
          <w:noProof/>
          <w:color w:val="000000" w:themeColor="text1"/>
          <w:sz w:val="24"/>
        </w:rPr>
        <w:t>, zlasti na področju strateških sektorjev (npr. energetika, vesolje, promet) ali sredstev (tehnologije in proizvodni dejavniki, povezani s strateškimi sektorji, kritične infrastrukture v različnih sektorjih, občutljivi podatki), ki bi lahko vzbudili pomisleke na področjih varnosti, javnega reda in/ali nadzora kritičnih sredstev, zlasti kadar je vlagatelj v lasti ali pod nadzorom tretje države ali kadar prejema znatne državne subvencije. To bo vključevalo zbiranje podatkov v sodelovanju z državami članicami na najbolj razčlenjeni ravni, ki je mogoča, analizo trendov in oceno učinka, med drugim s študijami primerov. Po potrebi bo analiza vključevala dodatno študijo za opredelitev kritičnih sredstev. Ocenjena bo tudi vloga državne pomoči pri olajševanju prevzemov.</w:t>
      </w:r>
    </w:p>
    <w:p>
      <w:pPr>
        <w:pStyle w:val="BodyA"/>
        <w:spacing w:after="0" w:line="240" w:lineRule="auto"/>
        <w:ind w:left="536"/>
        <w:jc w:val="both"/>
        <w:rPr>
          <w:rStyle w:val="None"/>
          <w:rFonts w:ascii="Times New Roman" w:eastAsia="Times New Roman" w:hAnsi="Times New Roman" w:cs="Times New Roman"/>
          <w:b/>
          <w:bCs/>
          <w:noProof/>
          <w:color w:val="000000" w:themeColor="text1"/>
          <w:sz w:val="24"/>
          <w:szCs w:val="24"/>
          <w:u w:color="FF2600"/>
        </w:rPr>
      </w:pPr>
    </w:p>
    <w:p>
      <w:pPr>
        <w:pStyle w:val="BodyA"/>
        <w:numPr>
          <w:ilvl w:val="1"/>
          <w:numId w:val="6"/>
        </w:numPr>
        <w:spacing w:after="0" w:line="240" w:lineRule="auto"/>
        <w:jc w:val="both"/>
        <w:rPr>
          <w:rStyle w:val="None"/>
          <w:rFonts w:ascii="Times New Roman" w:hAnsi="Times New Roman"/>
          <w:noProof/>
          <w:color w:val="000000" w:themeColor="text1"/>
          <w:sz w:val="24"/>
          <w:szCs w:val="24"/>
        </w:rPr>
      </w:pPr>
      <w:r>
        <w:rPr>
          <w:rStyle w:val="None"/>
          <w:rFonts w:ascii="Times New Roman" w:hAnsi="Times New Roman"/>
          <w:noProof/>
          <w:color w:val="000000" w:themeColor="text1"/>
          <w:sz w:val="24"/>
        </w:rPr>
        <w:t xml:space="preserve">Ustanovila bo </w:t>
      </w:r>
      <w:r>
        <w:rPr>
          <w:rStyle w:val="None"/>
          <w:rFonts w:ascii="Times New Roman" w:hAnsi="Times New Roman"/>
          <w:b/>
          <w:noProof/>
          <w:color w:val="000000" w:themeColor="text1"/>
          <w:sz w:val="24"/>
        </w:rPr>
        <w:t>skupino za usklajevanje</w:t>
      </w:r>
      <w:r>
        <w:rPr>
          <w:rStyle w:val="None"/>
          <w:rFonts w:ascii="Times New Roman" w:hAnsi="Times New Roman"/>
          <w:noProof/>
          <w:color w:val="000000" w:themeColor="text1"/>
          <w:sz w:val="24"/>
        </w:rPr>
        <w:t>, ki se bo ukvarjala z vhodnimi neposrednimi tujimi investicijami, vključno z vsemi vprašanji, ki spadajo na področje uporabe predlagane uredbe. Skupini bo predsedovala Komisija, sestavljena pa bo iz predstavnikov držav članic. Dejavna bi bila lahko zlasti na naslednjih področjih:</w:t>
      </w:r>
    </w:p>
    <w:p>
      <w:pPr>
        <w:pStyle w:val="BodyA"/>
        <w:numPr>
          <w:ilvl w:val="2"/>
          <w:numId w:val="4"/>
        </w:numPr>
        <w:spacing w:after="0" w:line="240" w:lineRule="auto"/>
        <w:jc w:val="both"/>
        <w:rPr>
          <w:rStyle w:val="None"/>
          <w:rFonts w:ascii="Times New Roman" w:eastAsia="Times New Roman" w:hAnsi="Times New Roman" w:cs="Times New Roman"/>
          <w:noProof/>
          <w:color w:val="000000" w:themeColor="text1"/>
          <w:sz w:val="24"/>
          <w:szCs w:val="24"/>
        </w:rPr>
      </w:pPr>
      <w:r>
        <w:rPr>
          <w:rStyle w:val="None"/>
          <w:rFonts w:ascii="Times New Roman" w:hAnsi="Times New Roman"/>
          <w:noProof/>
          <w:color w:val="000000" w:themeColor="text1"/>
          <w:sz w:val="24"/>
        </w:rPr>
        <w:t>opredelitev sektorjev in sredstev, ki imajo strateške posledice z vidika varnosti, javnega reda in/ali nadzora kritičnih sredstev na nacionalni ravni, čezmejni ravni (npr. sredstva, ki se nahajajo v eni državi članici, ki bi lahko imela strateške posledice za drugo državo članico) ali na ravni EU (na podlagi seznama projektov ali programov v interesu Unije),</w:t>
      </w:r>
    </w:p>
    <w:p>
      <w:pPr>
        <w:pStyle w:val="BodyA"/>
        <w:numPr>
          <w:ilvl w:val="2"/>
          <w:numId w:val="4"/>
        </w:numPr>
        <w:spacing w:after="0" w:line="240" w:lineRule="auto"/>
        <w:jc w:val="both"/>
        <w:rPr>
          <w:rStyle w:val="None"/>
          <w:rFonts w:ascii="Times New Roman" w:eastAsia="Times New Roman" w:hAnsi="Times New Roman" w:cs="Times New Roman"/>
          <w:noProof/>
          <w:color w:val="000000" w:themeColor="text1"/>
          <w:sz w:val="24"/>
          <w:szCs w:val="24"/>
        </w:rPr>
      </w:pPr>
      <w:r>
        <w:rPr>
          <w:rStyle w:val="None"/>
          <w:rFonts w:ascii="Times New Roman" w:hAnsi="Times New Roman"/>
          <w:noProof/>
          <w:color w:val="000000" w:themeColor="text1"/>
          <w:sz w:val="24"/>
        </w:rPr>
        <w:t xml:space="preserve">izmenjava informacij in analiza neposrednih tujih investicij, vključno z razlogi za naložbe, geografskim poreklom in viri financiranja (javni ali zasebni), </w:t>
      </w:r>
    </w:p>
    <w:p>
      <w:pPr>
        <w:pStyle w:val="BodyA"/>
        <w:numPr>
          <w:ilvl w:val="2"/>
          <w:numId w:val="4"/>
        </w:numPr>
        <w:spacing w:after="0" w:line="240" w:lineRule="auto"/>
        <w:jc w:val="both"/>
        <w:rPr>
          <w:rStyle w:val="None"/>
          <w:rFonts w:ascii="Times New Roman" w:eastAsia="Times New Roman" w:hAnsi="Times New Roman" w:cs="Times New Roman"/>
          <w:noProof/>
          <w:color w:val="000000" w:themeColor="text1"/>
          <w:sz w:val="24"/>
          <w:szCs w:val="24"/>
        </w:rPr>
      </w:pPr>
      <w:r>
        <w:rPr>
          <w:rStyle w:val="None"/>
          <w:rFonts w:ascii="Times New Roman" w:hAnsi="Times New Roman"/>
          <w:noProof/>
          <w:color w:val="000000" w:themeColor="text1"/>
          <w:sz w:val="24"/>
        </w:rPr>
        <w:t>razprava o vprašanjih skupnega interesa, vključno z vprašanji, povezanimi z enakimi konkurenčnimi pogoji, kot so subvencije in druge prakse tretjih držav, s katerimi te olajšujejo strateške prevzeme, in razlogi, ki evropskim vlagateljem preprečujejo prevzemanje in ohranjanje kritičnih evropskih tehnologij in proizvodnih dejavnikov,</w:t>
      </w:r>
    </w:p>
    <w:p>
      <w:pPr>
        <w:pStyle w:val="BodyA"/>
        <w:numPr>
          <w:ilvl w:val="2"/>
          <w:numId w:val="4"/>
        </w:numPr>
        <w:spacing w:after="0" w:line="240" w:lineRule="auto"/>
        <w:jc w:val="both"/>
        <w:rPr>
          <w:rStyle w:val="None"/>
          <w:rFonts w:ascii="Times New Roman" w:eastAsia="Times New Roman" w:hAnsi="Times New Roman" w:cs="Times New Roman"/>
          <w:noProof/>
          <w:color w:val="000000" w:themeColor="text1"/>
          <w:sz w:val="24"/>
          <w:szCs w:val="24"/>
        </w:rPr>
      </w:pPr>
      <w:r>
        <w:rPr>
          <w:rStyle w:val="None"/>
          <w:rFonts w:ascii="Times New Roman" w:hAnsi="Times New Roman"/>
          <w:noProof/>
          <w:color w:val="000000" w:themeColor="text1"/>
          <w:sz w:val="24"/>
        </w:rPr>
        <w:t>izmenjava dobrih praks in pridobljenih izkušenj med državami članicami pri pregledih neposrednih tujih investicij,</w:t>
      </w:r>
    </w:p>
    <w:p>
      <w:pPr>
        <w:pStyle w:val="ListParagraph"/>
        <w:numPr>
          <w:ilvl w:val="2"/>
          <w:numId w:val="4"/>
        </w:numPr>
        <w:spacing w:after="0" w:line="240" w:lineRule="auto"/>
        <w:jc w:val="both"/>
        <w:rPr>
          <w:rStyle w:val="None"/>
          <w:rFonts w:ascii="Times New Roman" w:eastAsia="Times New Roman" w:hAnsi="Times New Roman" w:cs="Times New Roman"/>
          <w:noProof/>
          <w:color w:val="000000" w:themeColor="text1"/>
          <w:sz w:val="24"/>
          <w:szCs w:val="24"/>
        </w:rPr>
      </w:pPr>
      <w:r>
        <w:rPr>
          <w:rStyle w:val="None"/>
          <w:rFonts w:ascii="Times New Roman" w:hAnsi="Times New Roman"/>
          <w:noProof/>
          <w:color w:val="000000" w:themeColor="text1"/>
          <w:sz w:val="24"/>
        </w:rPr>
        <w:t>razprava o možnostih sodelovanja s tretjimi državami s skupnimi interesi in izzivi v zvezi z učinkom neposrednih tujih investicij na varnost in javni red,</w:t>
      </w:r>
    </w:p>
    <w:p>
      <w:pPr>
        <w:pStyle w:val="BodyA"/>
        <w:numPr>
          <w:ilvl w:val="2"/>
          <w:numId w:val="4"/>
        </w:numPr>
        <w:spacing w:after="0" w:line="240" w:lineRule="auto"/>
        <w:jc w:val="both"/>
        <w:rPr>
          <w:rStyle w:val="None"/>
          <w:rFonts w:ascii="Times New Roman" w:eastAsia="Times New Roman" w:hAnsi="Times New Roman" w:cs="Times New Roman"/>
          <w:noProof/>
          <w:color w:val="000000" w:themeColor="text1"/>
          <w:sz w:val="24"/>
          <w:szCs w:val="24"/>
        </w:rPr>
      </w:pPr>
      <w:r>
        <w:rPr>
          <w:rStyle w:val="None"/>
          <w:rFonts w:ascii="Times New Roman" w:hAnsi="Times New Roman"/>
          <w:noProof/>
          <w:color w:val="000000" w:themeColor="text1"/>
          <w:sz w:val="24"/>
        </w:rPr>
        <w:t xml:space="preserve">spodbujanje zbliževanja politik, pri čemer se upošteva avtonomija držav članic glede odločitve, ali bodo neposredno tujo investicijo pregledale ali ne, </w:t>
      </w:r>
    </w:p>
    <w:p>
      <w:pPr>
        <w:pStyle w:val="BodyA"/>
        <w:numPr>
          <w:ilvl w:val="2"/>
          <w:numId w:val="4"/>
        </w:numPr>
        <w:spacing w:after="0" w:line="240" w:lineRule="auto"/>
        <w:jc w:val="both"/>
        <w:rPr>
          <w:rStyle w:val="None"/>
          <w:rFonts w:ascii="Times New Roman" w:eastAsia="Times New Roman" w:hAnsi="Times New Roman" w:cs="Times New Roman"/>
          <w:noProof/>
          <w:color w:val="000000" w:themeColor="text1"/>
          <w:sz w:val="24"/>
          <w:szCs w:val="24"/>
        </w:rPr>
      </w:pPr>
      <w:r>
        <w:rPr>
          <w:rStyle w:val="None"/>
          <w:rFonts w:ascii="Times New Roman" w:hAnsi="Times New Roman"/>
          <w:noProof/>
          <w:color w:val="000000" w:themeColor="text1"/>
          <w:sz w:val="24"/>
        </w:rPr>
        <w:t>nadaljnji razmislek o načinih za zaščito evropskih strateških sredstev, vključno prek mehanizma pregleda na ravni EU,</w:t>
      </w:r>
    </w:p>
    <w:p>
      <w:pPr>
        <w:pStyle w:val="BodyA"/>
        <w:numPr>
          <w:ilvl w:val="2"/>
          <w:numId w:val="4"/>
        </w:numPr>
        <w:spacing w:after="0" w:line="240" w:lineRule="auto"/>
        <w:jc w:val="both"/>
        <w:rPr>
          <w:rStyle w:val="None"/>
          <w:rFonts w:ascii="Times New Roman" w:eastAsia="Times New Roman" w:hAnsi="Times New Roman" w:cs="Times New Roman"/>
          <w:noProof/>
          <w:color w:val="000000" w:themeColor="text1"/>
          <w:sz w:val="24"/>
          <w:szCs w:val="24"/>
        </w:rPr>
      </w:pPr>
      <w:r>
        <w:rPr>
          <w:rStyle w:val="None"/>
          <w:rFonts w:ascii="Times New Roman" w:hAnsi="Times New Roman"/>
          <w:noProof/>
          <w:color w:val="000000" w:themeColor="text1"/>
          <w:sz w:val="24"/>
        </w:rPr>
        <w:t>proučitev vseh vprašanj v zvezi z uporabo predlagane uredbe po njenem začetku veljavnosti.</w:t>
      </w:r>
    </w:p>
    <w:p>
      <w:pPr>
        <w:pStyle w:val="BodyA"/>
        <w:spacing w:after="0" w:line="240" w:lineRule="auto"/>
        <w:ind w:left="360"/>
        <w:jc w:val="both"/>
        <w:rPr>
          <w:rStyle w:val="None"/>
          <w:noProof/>
          <w:color w:val="000000" w:themeColor="text1"/>
        </w:rPr>
      </w:pPr>
    </w:p>
    <w:p>
      <w:pPr>
        <w:jc w:val="both"/>
        <w:rPr>
          <w:rStyle w:val="None"/>
          <w:rFonts w:eastAsia="Times New Roman"/>
          <w:bCs/>
          <w:noProof/>
          <w:color w:val="000000" w:themeColor="text1"/>
          <w:u w:color="FF0000"/>
        </w:rPr>
      </w:pPr>
      <w:r>
        <w:rPr>
          <w:rStyle w:val="None"/>
          <w:b/>
          <w:noProof/>
          <w:color w:val="000000" w:themeColor="text1"/>
          <w:u w:color="FF0000"/>
        </w:rPr>
        <w:t>7.</w:t>
      </w:r>
      <w:r>
        <w:rPr>
          <w:noProof/>
        </w:rPr>
        <w:tab/>
      </w:r>
      <w:r>
        <w:rPr>
          <w:rStyle w:val="None"/>
          <w:b/>
          <w:noProof/>
          <w:color w:val="000000" w:themeColor="text1"/>
          <w:u w:color="FF0000"/>
        </w:rPr>
        <w:t>Zaključek</w:t>
      </w:r>
    </w:p>
    <w:p>
      <w:pPr>
        <w:jc w:val="both"/>
        <w:rPr>
          <w:rStyle w:val="None"/>
          <w:bCs/>
          <w:noProof/>
          <w:color w:val="000000" w:themeColor="text1"/>
          <w:u w:color="FF0000"/>
        </w:rPr>
      </w:pPr>
    </w:p>
    <w:p>
      <w:pPr>
        <w:jc w:val="both"/>
        <w:rPr>
          <w:rStyle w:val="None"/>
          <w:bCs/>
          <w:noProof/>
          <w:color w:val="000000" w:themeColor="text1"/>
          <w:u w:color="FF0000"/>
        </w:rPr>
      </w:pPr>
      <w:r>
        <w:rPr>
          <w:rStyle w:val="None"/>
          <w:noProof/>
          <w:color w:val="000000" w:themeColor="text1"/>
          <w:u w:color="FF0000"/>
        </w:rPr>
        <w:t xml:space="preserve">Komisija je še vedno prepričana, da so neposredne tuje investicije koristne in da odločilno prispevajo k doseganju višjih stopenj rasti in ustvarjanju kakovostnih delovnih mest v EU. Komisija prav tako meni, da odprto naložbeno okolje prispeva k trajnostnemu razvoju po vsem svetu. EU bo zato še naprej neomajno zagovarjala in spodbujala odprto mednarodno naložbeno okolje, ki temelji na pravilih. EU bo prek svoje trgovinske in naložbene politike še naprej zahtevala, da </w:t>
      </w:r>
      <w:r>
        <w:rPr>
          <w:rStyle w:val="None"/>
          <w:noProof/>
          <w:color w:val="000000" w:themeColor="text1"/>
        </w:rPr>
        <w:t xml:space="preserve">tretje države zagotovijo stopnjo odprtosti za tuje naložbe, ki je enakovredna tisti v EU, ter vzpostavijo enake konkurenčne pogoje za subjekte iz EU. </w:t>
      </w:r>
    </w:p>
    <w:p>
      <w:pPr>
        <w:jc w:val="both"/>
        <w:rPr>
          <w:rStyle w:val="None"/>
          <w:bCs/>
          <w:noProof/>
          <w:color w:val="000000" w:themeColor="text1"/>
          <w:u w:color="FF0000"/>
        </w:rPr>
      </w:pPr>
    </w:p>
    <w:p>
      <w:pPr>
        <w:jc w:val="both"/>
        <w:rPr>
          <w:noProof/>
          <w:color w:val="000000" w:themeColor="text1"/>
        </w:rPr>
      </w:pPr>
      <w:r>
        <w:rPr>
          <w:rStyle w:val="None"/>
          <w:noProof/>
          <w:color w:val="000000" w:themeColor="text1"/>
          <w:u w:color="FF0000"/>
        </w:rPr>
        <w:t>Vendar pa je jasno tudi, da morajo biti EU in njene države članice pripravljene, da sprejmejo odločne in takojšnje ukrepe, kadar lahko neposredne tuje investicije vplivajo na varnost ali javni red. Zato Komisija poleg tega sporočila predstavlja tudi zakonodajni predlog</w:t>
      </w:r>
      <w:r>
        <w:rPr>
          <w:noProof/>
          <w:color w:val="000000" w:themeColor="text1"/>
        </w:rPr>
        <w:t xml:space="preserve">. Zaradi spreminjajočega se mednarodnega okvira sta Evropski parlament in Svet pozvana, da ukrepata in omogočita hiter potek zakonodajnega postopka. </w:t>
      </w:r>
    </w:p>
    <w:p>
      <w:pPr>
        <w:rPr>
          <w:noProof/>
          <w:color w:val="000000" w:themeColor="text1"/>
        </w:rPr>
      </w:pPr>
    </w:p>
    <w:p>
      <w:pPr>
        <w:jc w:val="both"/>
        <w:rPr>
          <w:b/>
          <w:bCs/>
          <w:noProof/>
          <w:color w:val="FF0000"/>
        </w:rPr>
      </w:pPr>
      <w:r>
        <w:rPr>
          <w:noProof/>
          <w:color w:val="000000" w:themeColor="text1"/>
        </w:rPr>
        <w:t>Vzporedno s pogajanji o uredbi bo Komisija znotraj obstoječega okvira in v skladu z oddelkom 6.2.b tega sporočila posebno pozornost namenila neposrednim tujim investicijam, ki lahko ogrozijo varnost ali javni red, ter proučila razmere v tesnem sodelovanju z državami članicami. Države članice so pozvane, naj dejavno prispevajo k temu sodelovanju in k nalogam skupine za usklajevanje, ki jo bo Komisija ustanovila za ta namen.</w:t>
      </w:r>
    </w:p>
    <w:sectPr>
      <w:headerReference w:type="even" r:id="rId19"/>
      <w:headerReference w:type="default" r:id="rId20"/>
      <w:footerReference w:type="even" r:id="rId21"/>
      <w:footerReference w:type="default" r:id="rId22"/>
      <w:headerReference w:type="first" r:id="rId23"/>
      <w:footerReference w:type="first" r:id="rId24"/>
      <w:pgSz w:w="11900" w:h="16840"/>
      <w:pgMar w:top="1417" w:right="1417" w:bottom="1417" w:left="1417" w:header="708" w:footer="708"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p/>
    <w:p>
      <w:pPr>
        <w:pStyle w:val="Header"/>
        <w:tabs>
          <w:tab w:val="clear" w:pos="9072"/>
          <w:tab w:val="right" w:pos="9046"/>
        </w:tabs>
      </w:pPr>
      <w:r>
        <w:t>CONFIDENTIAL</w:t>
      </w:r>
      <w:r>
        <w:tab/>
      </w:r>
      <w:r>
        <w:tab/>
        <w:t>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open_sansregular">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SL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884299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pPr>
      <w:r>
        <w:rPr>
          <w:vertAlign w:val="superscript"/>
        </w:rPr>
        <w:footnoteRef/>
      </w:r>
      <w:r>
        <w:t xml:space="preserve"> COM(2017) 240 z dne 10. maja 2017 – „Razmislek o izkoriščanju globalizacije“.</w:t>
      </w:r>
    </w:p>
  </w:footnote>
  <w:footnote w:id="3">
    <w:p>
      <w:pPr>
        <w:pStyle w:val="FootnoteText"/>
        <w:rPr>
          <w:color w:val="000000" w:themeColor="text1"/>
        </w:rPr>
      </w:pPr>
      <w:r>
        <w:rPr>
          <w:rStyle w:val="FootnoteReference"/>
          <w:color w:val="000000" w:themeColor="text1"/>
        </w:rPr>
        <w:footnoteRef/>
      </w:r>
      <w:r>
        <w:rPr>
          <w:color w:val="000000" w:themeColor="text1"/>
        </w:rPr>
        <w:t xml:space="preserve"> Sklepi Evropskega sveta iz junija 2017.</w:t>
      </w:r>
    </w:p>
  </w:footnote>
  <w:footnote w:id="4">
    <w:p>
      <w:pPr>
        <w:pStyle w:val="FootnoteText"/>
        <w:rPr>
          <w:color w:val="000000" w:themeColor="text1"/>
        </w:rPr>
      </w:pPr>
      <w:r>
        <w:rPr>
          <w:rStyle w:val="FootnoteReference"/>
          <w:color w:val="000000" w:themeColor="text1"/>
        </w:rPr>
        <w:footnoteRef/>
      </w:r>
      <w:r>
        <w:rPr>
          <w:color w:val="000000" w:themeColor="text1"/>
        </w:rPr>
        <w:t xml:space="preserve"> Resolucija Evropskega parlamenta z dne 5. julija 2017 o oblikovanju ambiciozne industrijske strategije EU kot strateške prednostne naloge za rast, delovna mesta in inovacije v Evropi. Poleg tega se v Odboru Evropskega parlamenta za mednarodno trgovino trenutno razpravlja o predlogu za akt Unije o preverjanju tujih naložb v strateških sektorjih (Evropski parlament 2014–2019, B[8-0000/2017] z dne 20. marca 2017).</w:t>
      </w:r>
    </w:p>
  </w:footnote>
  <w:footnote w:id="5">
    <w:p>
      <w:pPr>
        <w:pStyle w:val="FootnoteText"/>
        <w:rPr>
          <w:color w:val="000000" w:themeColor="text1"/>
        </w:rPr>
      </w:pPr>
      <w:r>
        <w:rPr>
          <w:color w:val="000000" w:themeColor="text1"/>
          <w:vertAlign w:val="superscript"/>
        </w:rPr>
        <w:footnoteRef/>
      </w:r>
      <w:r>
        <w:rPr>
          <w:color w:val="000000" w:themeColor="text1"/>
          <w:u w:color="FF0000"/>
        </w:rPr>
        <w:t>To sporočilo se nanaša samo na neposredne tuje investicije iz držav nečlanic EU in ne zajema portfeljskih naložb.</w:t>
      </w:r>
    </w:p>
  </w:footnote>
  <w:footnote w:id="6">
    <w:p>
      <w:pPr>
        <w:pStyle w:val="FootnoteText"/>
        <w:rPr>
          <w:lang w:val="nb-NO"/>
        </w:rPr>
      </w:pPr>
      <w:r>
        <w:rPr>
          <w:vertAlign w:val="superscript"/>
        </w:rPr>
        <w:footnoteRef/>
      </w:r>
      <w:r>
        <w:t xml:space="preserve"> Glej na primer indeks regulativne restriktivnosti NTI organizacije OECD: </w:t>
      </w:r>
      <w:hyperlink r:id="rId1">
        <w:r>
          <w:rPr>
            <w:rStyle w:val="Hyperlink0"/>
          </w:rPr>
          <w:t>http://www.oecd.org/investment/fdiindex.htm.</w:t>
        </w:r>
      </w:hyperlink>
    </w:p>
  </w:footnote>
  <w:footnote w:id="7">
    <w:p>
      <w:pPr>
        <w:pStyle w:val="FootnoteText"/>
        <w:rPr>
          <w:color w:val="auto"/>
          <w:lang w:val="it-IT"/>
        </w:rPr>
      </w:pPr>
      <w:r>
        <w:rPr>
          <w:rStyle w:val="FootnoteReference"/>
        </w:rPr>
        <w:footnoteRef/>
      </w:r>
      <w:r>
        <w:t xml:space="preserve"> </w:t>
      </w:r>
      <w:r>
        <w:rPr>
          <w:color w:val="auto"/>
        </w:rPr>
        <w:t>Člena 63 in 206 PDEU.</w:t>
      </w:r>
    </w:p>
  </w:footnote>
  <w:footnote w:id="8">
    <w:p>
      <w:pPr>
        <w:pStyle w:val="FootnoteText"/>
        <w:rPr>
          <w:color w:val="auto"/>
          <w:lang w:val="it-IT"/>
        </w:rPr>
      </w:pPr>
      <w:r>
        <w:rPr>
          <w:rStyle w:val="FootnoteReference"/>
          <w:color w:val="auto"/>
        </w:rPr>
        <w:footnoteRef/>
      </w:r>
      <w:r>
        <w:rPr>
          <w:color w:val="auto"/>
        </w:rPr>
        <w:t xml:space="preserve"> Eurostat.</w:t>
      </w:r>
    </w:p>
  </w:footnote>
  <w:footnote w:id="9">
    <w:p>
      <w:pPr>
        <w:pStyle w:val="FootnoteText"/>
        <w:rPr>
          <w:lang w:val="it-IT"/>
        </w:rPr>
      </w:pPr>
      <w:r>
        <w:rPr>
          <w:rStyle w:val="FootnoteReference"/>
          <w:color w:val="auto"/>
        </w:rPr>
        <w:footnoteRef/>
      </w:r>
      <w:r>
        <w:rPr>
          <w:color w:val="auto"/>
        </w:rPr>
        <w:t xml:space="preserve"> Eurostat.</w:t>
      </w:r>
    </w:p>
  </w:footnote>
  <w:footnote w:id="10">
    <w:p>
      <w:pPr>
        <w:pStyle w:val="FootnoteText"/>
        <w:rPr>
          <w:lang w:val="pl-PL"/>
        </w:rPr>
      </w:pPr>
      <w:r>
        <w:rPr>
          <w:rStyle w:val="FootnoteReference"/>
        </w:rPr>
        <w:footnoteRef/>
      </w:r>
      <w:r>
        <w:t xml:space="preserve"> Eurostat.</w:t>
      </w:r>
    </w:p>
  </w:footnote>
  <w:footnote w:id="11">
    <w:p>
      <w:pPr>
        <w:pStyle w:val="BodyA"/>
        <w:spacing w:after="0" w:line="240" w:lineRule="auto"/>
        <w:jc w:val="both"/>
        <w:rPr>
          <w:lang w:val="pl-PL"/>
        </w:rPr>
      </w:pPr>
      <w:r>
        <w:rPr>
          <w:rStyle w:val="FootnoteReference"/>
        </w:rPr>
        <w:footnoteRef/>
      </w:r>
      <w:r>
        <w:t xml:space="preserve"> </w:t>
      </w:r>
      <w:r>
        <w:rPr>
          <w:color w:val="auto"/>
          <w:sz w:val="20"/>
        </w:rPr>
        <w:t>Podatki ne vsebujejo naložb prek subjektov za posebne namene.</w:t>
      </w:r>
    </w:p>
  </w:footnote>
  <w:footnote w:id="12">
    <w:p>
      <w:pPr>
        <w:pStyle w:val="FootnoteText"/>
        <w:rPr>
          <w:color w:val="auto"/>
          <w:lang w:val="pl-PL"/>
        </w:rPr>
      </w:pPr>
      <w:r>
        <w:rPr>
          <w:rStyle w:val="FootnoteReference"/>
          <w:color w:val="auto"/>
        </w:rPr>
        <w:footnoteRef/>
      </w:r>
      <w:r>
        <w:rPr>
          <w:color w:val="auto"/>
        </w:rPr>
        <w:t xml:space="preserve"> Eurostat.</w:t>
      </w:r>
    </w:p>
  </w:footnote>
  <w:footnote w:id="13">
    <w:p>
      <w:pPr>
        <w:pStyle w:val="FootnoteText"/>
        <w:rPr>
          <w:lang w:val="pl-PL"/>
        </w:rPr>
      </w:pPr>
      <w:r>
        <w:rPr>
          <w:rStyle w:val="FootnoteReference"/>
        </w:rPr>
        <w:footnoteRef/>
      </w:r>
      <w:r>
        <w:t xml:space="preserve"> UNCTAD, World Investment Report 2017: Investment and the Digital Economy (Poročilo o naložbah po svetu iz leta 2017: Naložbe in digitalno gospodarstvo)</w:t>
      </w:r>
    </w:p>
  </w:footnote>
  <w:footnote w:id="14">
    <w:p>
      <w:pPr>
        <w:pStyle w:val="FootnoteText"/>
        <w:rPr>
          <w:lang w:val="pl-PL"/>
        </w:rPr>
      </w:pPr>
      <w:r>
        <w:rPr>
          <w:rStyle w:val="FootnoteReference"/>
        </w:rPr>
        <w:footnoteRef/>
      </w:r>
      <w:r>
        <w:t xml:space="preserve"> Glej prejšnjo opombo.</w:t>
      </w:r>
    </w:p>
  </w:footnote>
  <w:footnote w:id="15">
    <w:p>
      <w:pPr>
        <w:pStyle w:val="Body"/>
        <w:rPr>
          <w:rStyle w:val="None"/>
          <w:rFonts w:ascii="Calibri" w:eastAsia="Calibri" w:hAnsi="Calibri" w:cs="Calibri"/>
          <w:sz w:val="20"/>
          <w:szCs w:val="20"/>
        </w:rPr>
      </w:pPr>
      <w:r>
        <w:rPr>
          <w:rStyle w:val="None"/>
          <w:rFonts w:ascii="Calibri" w:hAnsi="Calibri"/>
          <w:sz w:val="20"/>
          <w:vertAlign w:val="superscript"/>
        </w:rPr>
        <w:footnoteRef/>
      </w:r>
      <w:r>
        <w:rPr>
          <w:rFonts w:ascii="Calibri" w:hAnsi="Calibri"/>
          <w:sz w:val="20"/>
        </w:rPr>
        <w:t xml:space="preserve"> </w:t>
      </w:r>
      <w:r>
        <w:rPr>
          <w:rStyle w:val="None"/>
          <w:rFonts w:ascii="Calibri" w:hAnsi="Calibri"/>
          <w:sz w:val="20"/>
        </w:rPr>
        <w:t>COM(2017) 338 final: „POROČILO KOMISIJE EVROPSKEMU PARLAMENTU IN</w:t>
      </w:r>
    </w:p>
    <w:p>
      <w:pPr>
        <w:pStyle w:val="Body"/>
        <w:rPr>
          <w:rFonts w:ascii="Calibri" w:hAnsi="Calibri"/>
          <w:sz w:val="20"/>
          <w:szCs w:val="20"/>
        </w:rPr>
      </w:pPr>
      <w:r>
        <w:rPr>
          <w:rStyle w:val="None"/>
          <w:rFonts w:ascii="Calibri" w:hAnsi="Calibri"/>
          <w:sz w:val="20"/>
        </w:rPr>
        <w:t>SVETU o trgovinskih ovirah in ovirah za naložbe, 1. januar 2016–31. december 2016“.</w:t>
      </w:r>
    </w:p>
  </w:footnote>
  <w:footnote w:id="16">
    <w:p>
      <w:pPr>
        <w:pStyle w:val="FootnoteText"/>
      </w:pPr>
      <w:r>
        <w:rPr>
          <w:rStyle w:val="None"/>
          <w:vertAlign w:val="superscript"/>
        </w:rPr>
        <w:footnoteRef/>
      </w:r>
      <w:r>
        <w:t>Sporočilo COM(2015) 497 z dne 14. oktobra 2015 z naslovom „Trgovina za vse: Za odgovornejšo trgovinsko in naložbeno politiko“.</w:t>
      </w:r>
    </w:p>
  </w:footnote>
  <w:footnote w:id="17">
    <w:p>
      <w:pPr>
        <w:pStyle w:val="FootnoteText"/>
      </w:pPr>
      <w:r>
        <w:rPr>
          <w:rStyle w:val="FootnoteReference"/>
        </w:rPr>
        <w:footnoteRef/>
      </w:r>
      <w:r>
        <w:t xml:space="preserve"> </w:t>
      </w:r>
      <w:r>
        <w:rPr>
          <w:rStyle w:val="None"/>
          <w:rFonts w:ascii="Times New Roman" w:hAnsi="Times New Roman"/>
          <w:sz w:val="24"/>
        </w:rPr>
        <w:t xml:space="preserve"> </w:t>
      </w:r>
      <w:r>
        <w:rPr>
          <w:rStyle w:val="None"/>
        </w:rPr>
        <w:t>V zvezi s prostotrgovinskimi sporazumi potekajo razprave z Avstralijo, Kanado, Čilom, Indijo, Indonezijo, Japonsko, državami Mercosurja, Mehiko, Marokom, Novo Zelandijo, Filipini, Singapurjem, Vietnamom in Turčijo, ki so v različnih fazah. EU se pogaja tudi o samostojnih sporazumih o naložbah s Kitajsko in Mjanmarom/Burmo.</w:t>
      </w:r>
      <w:r>
        <w:rPr>
          <w:rStyle w:val="None"/>
          <w:rFonts w:ascii="Times New Roman" w:hAnsi="Times New Roman"/>
          <w:sz w:val="24"/>
        </w:rPr>
        <w:t xml:space="preserve"> </w:t>
      </w:r>
    </w:p>
  </w:footnote>
  <w:footnote w:id="18">
    <w:p>
      <w:pPr>
        <w:pStyle w:val="FootnoteText"/>
      </w:pPr>
      <w:r>
        <w:rPr>
          <w:rStyle w:val="FootnoteReference"/>
        </w:rPr>
        <w:footnoteRef/>
      </w:r>
      <w:r>
        <w:t xml:space="preserve"> </w:t>
      </w:r>
      <w:r>
        <w:rPr>
          <w:rStyle w:val="None"/>
        </w:rPr>
        <w:t xml:space="preserve">Izjava s srečanja ministrov za trgovino držav skupine G20, Priloga III, 9.–10. julij 2016, Šanghaj. </w:t>
      </w:r>
    </w:p>
  </w:footnote>
  <w:footnote w:id="19">
    <w:p>
      <w:pPr>
        <w:pStyle w:val="FootnoteText"/>
      </w:pPr>
      <w:r>
        <w:rPr>
          <w:rStyle w:val="FootnoteReference"/>
        </w:rPr>
        <w:footnoteRef/>
      </w:r>
      <w:r>
        <w:t xml:space="preserve"> Člena 63 in 49 PDEU.</w:t>
      </w:r>
    </w:p>
  </w:footnote>
  <w:footnote w:id="20">
    <w:p>
      <w:pPr>
        <w:pStyle w:val="FootnoteText"/>
      </w:pPr>
      <w:r>
        <w:rPr>
          <w:rStyle w:val="FootnoteReference"/>
        </w:rPr>
        <w:footnoteRef/>
      </w:r>
      <w:r>
        <w:t xml:space="preserve"> Uredba Sveta (ES) št. 139/2004 z dne 20. januarja 2004 o nadzoru koncentracij podjetij (UL L 24, 29.1.2004, str. 1). </w:t>
      </w:r>
    </w:p>
  </w:footnote>
  <w:footnote w:id="21">
    <w:p>
      <w:pPr>
        <w:pStyle w:val="FootnoteText"/>
      </w:pPr>
      <w:r>
        <w:rPr>
          <w:rStyle w:val="FootnoteReference"/>
        </w:rPr>
        <w:footnoteRef/>
      </w:r>
      <w:r>
        <w:t xml:space="preserve"> Delovni dokument služb Komisije (2013) 318. </w:t>
      </w:r>
    </w:p>
  </w:footnote>
  <w:footnote w:id="22">
    <w:p>
      <w:pPr>
        <w:pStyle w:val="FootnoteText"/>
        <w:rPr>
          <w:color w:val="FF0000"/>
        </w:rPr>
      </w:pPr>
      <w:r>
        <w:rPr>
          <w:rStyle w:val="None"/>
          <w:vertAlign w:val="superscript"/>
        </w:rPr>
        <w:footnoteRef/>
      </w:r>
      <w:r>
        <w:t xml:space="preserve"> </w:t>
      </w:r>
      <w:r>
        <w:rPr>
          <w:color w:val="auto"/>
        </w:rPr>
        <w:t>Direktiva (EU) 2016/1148 Evropskega parlamenta in Sveta z dne 6. julija 2016 o ukrepih za visoko skupno raven varnosti omrežij in informacijskih sistemov v Uniji.</w:t>
      </w:r>
    </w:p>
  </w:footnote>
  <w:footnote w:id="23">
    <w:p>
      <w:pPr>
        <w:pStyle w:val="FootnoteText"/>
      </w:pPr>
      <w:r>
        <w:rPr>
          <w:rStyle w:val="FootnoteReference"/>
        </w:rPr>
        <w:footnoteRef/>
      </w:r>
      <w:r>
        <w:t xml:space="preserve"> Ti sektorji so energetika, promet, bančna infrastruktura in infrastruktura finančnih trgov, zdravstvo, oskrba s pitno vodo ter digitalna infrastruktura in ponudniki digitalnih storitev.</w:t>
      </w:r>
    </w:p>
  </w:footnote>
  <w:footnote w:id="24">
    <w:p>
      <w:pPr>
        <w:pStyle w:val="FootnoteText"/>
        <w:rPr>
          <w:color w:val="000000" w:themeColor="text1"/>
        </w:rPr>
      </w:pPr>
      <w:r>
        <w:rPr>
          <w:rStyle w:val="None"/>
          <w:color w:val="000000" w:themeColor="text1"/>
          <w:vertAlign w:val="superscript"/>
        </w:rPr>
        <w:footnoteRef/>
      </w:r>
      <w:r>
        <w:rPr>
          <w:rStyle w:val="None"/>
          <w:color w:val="000000" w:themeColor="text1"/>
          <w:u w:color="FF0000"/>
        </w:rPr>
        <w:t xml:space="preserve"> Uredba (ES) št. 1008/2008 o skupnih pravilih za opravljanje zračnih prevozov v Skupnosti.</w:t>
      </w:r>
    </w:p>
  </w:footnote>
  <w:footnote w:id="25">
    <w:p>
      <w:pPr>
        <w:pStyle w:val="FootnoteText"/>
        <w:rPr>
          <w:color w:val="000000" w:themeColor="text1"/>
        </w:rPr>
      </w:pPr>
      <w:r>
        <w:rPr>
          <w:rStyle w:val="None"/>
          <w:color w:val="000000" w:themeColor="text1"/>
          <w:vertAlign w:val="superscript"/>
        </w:rPr>
        <w:footnoteRef/>
      </w:r>
      <w:r>
        <w:rPr>
          <w:rStyle w:val="None"/>
          <w:color w:val="000000" w:themeColor="text1"/>
          <w:u w:color="FF0000"/>
        </w:rPr>
        <w:t xml:space="preserve"> Direktiva 2009/73 </w:t>
      </w:r>
      <w:r>
        <w:t>o skupnih pravilih notranjega trga z zemeljskim plinom in Direktiva 2009/72 o skupnih pravilih notranjega trga z električno energijo</w:t>
      </w:r>
      <w:r>
        <w:rPr>
          <w:rStyle w:val="None"/>
          <w:color w:val="000000" w:themeColor="text1"/>
          <w:u w:color="FF0000"/>
        </w:rPr>
        <w:t>.</w:t>
      </w:r>
    </w:p>
  </w:footnote>
  <w:footnote w:id="26">
    <w:p>
      <w:pPr>
        <w:pStyle w:val="FootnoteText"/>
      </w:pPr>
      <w:r>
        <w:rPr>
          <w:rStyle w:val="FootnoteReference"/>
        </w:rPr>
        <w:footnoteRef/>
      </w:r>
      <w:r>
        <w:t xml:space="preserve"> Direktiva 94/22/ES z dne 30. maja 1994 o pogojih za izdajo in uporabo dovoljenj za iskanje, raziskovanje in izkoriščanje ogljikovodikov.</w:t>
      </w:r>
    </w:p>
  </w:footnote>
  <w:footnote w:id="27">
    <w:p>
      <w:pPr>
        <w:pStyle w:val="FootnoteText"/>
      </w:pPr>
      <w:r>
        <w:rPr>
          <w:rStyle w:val="FootnoteReference"/>
        </w:rPr>
        <w:footnoteRef/>
      </w:r>
      <w:r>
        <w:t xml:space="preserve"> COM(2014) 330.</w:t>
      </w:r>
    </w:p>
  </w:footnote>
  <w:footnote w:id="28">
    <w:p>
      <w:pPr>
        <w:pStyle w:val="FootnoteText"/>
      </w:pPr>
      <w:r>
        <w:rPr>
          <w:rStyle w:val="None"/>
          <w:vertAlign w:val="superscript"/>
        </w:rPr>
        <w:footnoteRef/>
      </w:r>
      <w:r>
        <w:t xml:space="preserve"> Nova uredba, ki razveljavlja Uredbo (EU) št. 994/2010, je trenutno v postopku sprejemanja in bo predvidoma začela veljati jeseni 2017. Kar zadeva električno energijo, gre za COM(2016) 862 – Predlog uredbe Evropskega parlamenta in Sveta o pripravljenosti na tveganja v sektorju električne energije in razveljavitvi Direktive 2005/89/ES.</w:t>
      </w:r>
    </w:p>
  </w:footnote>
  <w:footnote w:id="29">
    <w:p>
      <w:pPr>
        <w:pStyle w:val="FootnoteText"/>
      </w:pPr>
      <w:r>
        <w:rPr>
          <w:rStyle w:val="FootnoteReference"/>
          <w:color w:val="000000" w:themeColor="text1"/>
        </w:rPr>
        <w:footnoteRef/>
      </w:r>
      <w:r>
        <w:rPr>
          <w:color w:val="000000" w:themeColor="text1"/>
        </w:rPr>
        <w:t xml:space="preserve"> Člen 207 PDEU</w:t>
      </w:r>
      <w:r>
        <w:rPr>
          <w:color w:val="FF0000"/>
        </w:rPr>
        <w:t>.</w:t>
      </w:r>
    </w:p>
  </w:footnote>
  <w:footnote w:id="30">
    <w:p>
      <w:pPr>
        <w:pStyle w:val="NormalWeb"/>
        <w:spacing w:before="0" w:beforeAutospacing="0" w:after="0" w:afterAutospacing="0"/>
        <w:jc w:val="both"/>
        <w:rPr>
          <w:rFonts w:ascii="Calibri" w:hAnsi="Calibri"/>
          <w:color w:val="000000"/>
          <w:sz w:val="20"/>
          <w:szCs w:val="20"/>
        </w:rPr>
      </w:pPr>
      <w:r>
        <w:rPr>
          <w:rStyle w:val="FootnoteReference"/>
          <w:rFonts w:ascii="Calibri" w:hAnsi="Calibri"/>
          <w:sz w:val="20"/>
        </w:rPr>
        <w:footnoteRef/>
      </w:r>
      <w:r>
        <w:rPr>
          <w:rFonts w:ascii="Calibri" w:hAnsi="Calibri"/>
          <w:sz w:val="20"/>
        </w:rPr>
        <w:t xml:space="preserve"> Z</w:t>
      </w:r>
      <w:r>
        <w:rPr>
          <w:rStyle w:val="None"/>
          <w:rFonts w:ascii="Calibri" w:hAnsi="Calibri"/>
          <w:sz w:val="20"/>
          <w:u w:color="FF0000"/>
          <w:bdr w:val="nil"/>
        </w:rPr>
        <w:t xml:space="preserve">lasti </w:t>
      </w:r>
      <w:r>
        <w:rPr>
          <w:rStyle w:val="None"/>
          <w:rFonts w:ascii="Calibri" w:hAnsi="Calibri"/>
          <w:color w:val="000000"/>
          <w:sz w:val="20"/>
          <w:u w:color="FF0000"/>
          <w:bdr w:val="nil"/>
        </w:rPr>
        <w:t>zadeva C-483/99, Komisija proti Franciji, zadeva C-463/00, Komisija proti Španiji, zadeva C-326/07, Komisija proti Italiji, zadeva C-212/09, Komisija proti Portugalski in zadeva C-244/11, Komisija proti Grčiji</w:t>
      </w:r>
      <w:r>
        <w:rPr>
          <w:rStyle w:val="None"/>
          <w:rFonts w:ascii="Calibri" w:hAnsi="Calibri"/>
          <w:sz w:val="20"/>
          <w:u w:color="FF0000"/>
          <w:bdr w:val="nil"/>
        </w:rPr>
        <w:t>.</w:t>
      </w:r>
    </w:p>
    <w:p>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23C07"/>
    <w:multiLevelType w:val="hybridMultilevel"/>
    <w:tmpl w:val="09762E0E"/>
    <w:numStyleLink w:val="Bullets"/>
  </w:abstractNum>
  <w:abstractNum w:abstractNumId="1">
    <w:nsid w:val="115F15EE"/>
    <w:multiLevelType w:val="hybridMultilevel"/>
    <w:tmpl w:val="85080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7E845EE"/>
    <w:multiLevelType w:val="hybridMultilevel"/>
    <w:tmpl w:val="09762E0E"/>
    <w:styleLink w:val="Bullets"/>
    <w:lvl w:ilvl="0" w:tplc="5EE4B8BE">
      <w:start w:val="1"/>
      <w:numFmt w:val="bullet"/>
      <w:lvlText w:val="•"/>
      <w:lvlJc w:val="left"/>
      <w:pPr>
        <w:ind w:left="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2FE0062">
      <w:start w:val="1"/>
      <w:numFmt w:val="bullet"/>
      <w:lvlText w:val="•"/>
      <w:lvlJc w:val="left"/>
      <w:pPr>
        <w:ind w:left="788" w:hanging="18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BA81922">
      <w:start w:val="1"/>
      <w:numFmt w:val="bullet"/>
      <w:lvlText w:val="•"/>
      <w:lvlJc w:val="left"/>
      <w:pPr>
        <w:ind w:left="13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C2C47B2">
      <w:start w:val="1"/>
      <w:numFmt w:val="bullet"/>
      <w:lvlText w:val="•"/>
      <w:lvlJc w:val="left"/>
      <w:pPr>
        <w:ind w:left="19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EECE15D2">
      <w:start w:val="1"/>
      <w:numFmt w:val="bullet"/>
      <w:lvlText w:val="•"/>
      <w:lvlJc w:val="left"/>
      <w:pPr>
        <w:ind w:left="25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20E6B20">
      <w:start w:val="1"/>
      <w:numFmt w:val="bullet"/>
      <w:lvlText w:val="•"/>
      <w:lvlJc w:val="left"/>
      <w:pPr>
        <w:ind w:left="3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086686C">
      <w:start w:val="1"/>
      <w:numFmt w:val="bullet"/>
      <w:lvlText w:val="•"/>
      <w:lvlJc w:val="left"/>
      <w:pPr>
        <w:ind w:left="37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B7471B2">
      <w:start w:val="1"/>
      <w:numFmt w:val="bullet"/>
      <w:lvlText w:val="•"/>
      <w:lvlJc w:val="left"/>
      <w:pPr>
        <w:ind w:left="43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09C058E">
      <w:start w:val="1"/>
      <w:numFmt w:val="bullet"/>
      <w:lvlText w:val="•"/>
      <w:lvlJc w:val="left"/>
      <w:pPr>
        <w:ind w:left="49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185D607F"/>
    <w:multiLevelType w:val="hybridMultilevel"/>
    <w:tmpl w:val="8632C28A"/>
    <w:styleLink w:val="ImportedStyle1"/>
    <w:lvl w:ilvl="0" w:tplc="AFC22F18">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FC82B9CC">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45287A5C">
      <w:start w:val="1"/>
      <w:numFmt w:val="lowerRoman"/>
      <w:lvlText w:val="%3."/>
      <w:lvlJc w:val="left"/>
      <w:pPr>
        <w:ind w:left="21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76CAC56C">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77C2A806">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80B04736">
      <w:start w:val="1"/>
      <w:numFmt w:val="lowerRoman"/>
      <w:lvlText w:val="%6."/>
      <w:lvlJc w:val="left"/>
      <w:pPr>
        <w:ind w:left="432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3A0433F8">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FF7E4DE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3D0439BA">
      <w:start w:val="1"/>
      <w:numFmt w:val="lowerRoman"/>
      <w:lvlText w:val="%9."/>
      <w:lvlJc w:val="left"/>
      <w:pPr>
        <w:ind w:left="648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
    <w:nsid w:val="2155003C"/>
    <w:multiLevelType w:val="multilevel"/>
    <w:tmpl w:val="2062B49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227A598C"/>
    <w:multiLevelType w:val="hybridMultilevel"/>
    <w:tmpl w:val="2FC4C3F0"/>
    <w:lvl w:ilvl="0" w:tplc="AAC03D0C">
      <w:start w:val="4"/>
      <w:numFmt w:val="decimal"/>
      <w:lvlText w:val="%1."/>
      <w:lvlJc w:val="left"/>
      <w:pPr>
        <w:ind w:left="720" w:hanging="36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1" w:tplc="3040523A">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E7067D90">
      <w:start w:val="1"/>
      <w:numFmt w:val="lowerRoman"/>
      <w:lvlText w:val="%3."/>
      <w:lvlJc w:val="left"/>
      <w:pPr>
        <w:ind w:left="21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967827D0">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A114F39E">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805CBC64">
      <w:start w:val="1"/>
      <w:numFmt w:val="lowerRoman"/>
      <w:lvlText w:val="%6."/>
      <w:lvlJc w:val="left"/>
      <w:pPr>
        <w:ind w:left="432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E2904E56">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BDD4E1B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EFA8C6DE">
      <w:start w:val="1"/>
      <w:numFmt w:val="lowerRoman"/>
      <w:lvlText w:val="%9."/>
      <w:lvlJc w:val="left"/>
      <w:pPr>
        <w:ind w:left="648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nsid w:val="330E4CCC"/>
    <w:multiLevelType w:val="multilevel"/>
    <w:tmpl w:val="DB2CC672"/>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3C29334D"/>
    <w:multiLevelType w:val="hybridMultilevel"/>
    <w:tmpl w:val="9B06AF7E"/>
    <w:numStyleLink w:val="Numbered"/>
  </w:abstractNum>
  <w:abstractNum w:abstractNumId="8">
    <w:nsid w:val="3E103F26"/>
    <w:multiLevelType w:val="multilevel"/>
    <w:tmpl w:val="04AC7A28"/>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46F8691A"/>
    <w:multiLevelType w:val="hybridMultilevel"/>
    <w:tmpl w:val="9B06AF7E"/>
    <w:styleLink w:val="Numbered"/>
    <w:lvl w:ilvl="0" w:tplc="ECA4F650">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F3023BF2">
      <w:start w:val="1"/>
      <w:numFmt w:val="decimal"/>
      <w:lvlText w:val="%2."/>
      <w:lvlJc w:val="left"/>
      <w:pPr>
        <w:ind w:left="536"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3068939C">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36DC18E8">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01D252CE">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1F123CAA">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CEA64BDA">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3F6EEA9E">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60006B0E">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4B956450"/>
    <w:multiLevelType w:val="hybridMultilevel"/>
    <w:tmpl w:val="3AA09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32A3116"/>
    <w:multiLevelType w:val="hybridMultilevel"/>
    <w:tmpl w:val="C8B0B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5805C99"/>
    <w:multiLevelType w:val="hybridMultilevel"/>
    <w:tmpl w:val="8632C28A"/>
    <w:numStyleLink w:val="ImportedStyle1"/>
  </w:abstractNum>
  <w:abstractNum w:abstractNumId="13">
    <w:nsid w:val="642F24C3"/>
    <w:multiLevelType w:val="hybridMultilevel"/>
    <w:tmpl w:val="F35CC8D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95451C2"/>
    <w:multiLevelType w:val="hybridMultilevel"/>
    <w:tmpl w:val="8632C28A"/>
    <w:numStyleLink w:val="ImportedStyle1"/>
  </w:abstractNum>
  <w:abstractNum w:abstractNumId="1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2"/>
  </w:num>
  <w:num w:numId="3">
    <w:abstractNumId w:val="2"/>
  </w:num>
  <w:num w:numId="4">
    <w:abstractNumId w:val="0"/>
  </w:num>
  <w:num w:numId="5">
    <w:abstractNumId w:val="9"/>
  </w:num>
  <w:num w:numId="6">
    <w:abstractNumId w:val="7"/>
  </w:num>
  <w:num w:numId="7">
    <w:abstractNumId w:val="12"/>
    <w:lvlOverride w:ilvl="0">
      <w:startOverride w:val="5"/>
    </w:lvlOverride>
  </w:num>
  <w:num w:numId="8">
    <w:abstractNumId w:val="14"/>
  </w:num>
  <w:num w:numId="9">
    <w:abstractNumId w:val="4"/>
  </w:num>
  <w:num w:numId="10">
    <w:abstractNumId w:val="6"/>
  </w:num>
  <w:num w:numId="11">
    <w:abstractNumId w:val="6"/>
    <w:lvlOverride w:ilvl="0">
      <w:lvl w:ilvl="0">
        <w:start w:val="1"/>
        <w:numFmt w:val="decimal"/>
        <w:lvlText w:val="%1."/>
        <w:lvlJc w:val="left"/>
        <w:pPr>
          <w:ind w:left="360" w:hanging="360"/>
        </w:pPr>
        <w:rPr>
          <w:rFonts w:hint="default"/>
        </w:rPr>
      </w:lvl>
    </w:lvlOverride>
    <w:lvlOverride w:ilvl="1">
      <w:lvl w:ilvl="1">
        <w:start w:val="1"/>
        <w:numFmt w:val="none"/>
        <w:lvlText w:val="4.1."/>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abstractNumId w:val="6"/>
    <w:lvlOverride w:ilvl="0">
      <w:lvl w:ilvl="0">
        <w:start w:val="1"/>
        <w:numFmt w:val="decimal"/>
        <w:lvlText w:val="%1."/>
        <w:lvlJc w:val="left"/>
        <w:pPr>
          <w:ind w:left="360" w:hanging="360"/>
        </w:pPr>
        <w:rPr>
          <w:rFonts w:hint="default"/>
        </w:rPr>
      </w:lvl>
    </w:lvlOverride>
    <w:lvlOverride w:ilvl="1">
      <w:lvl w:ilvl="1">
        <w:start w:val="1"/>
        <w:numFmt w:val="none"/>
        <w:lvlText w:val="4.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abstractNumId w:val="15"/>
  </w:num>
  <w:num w:numId="14">
    <w:abstractNumId w:val="5"/>
  </w:num>
  <w:num w:numId="15">
    <w:abstractNumId w:val="1"/>
  </w:num>
  <w:num w:numId="16">
    <w:abstractNumId w:val="10"/>
  </w:num>
  <w:num w:numId="17">
    <w:abstractNumId w:val="11"/>
  </w:num>
  <w:num w:numId="18">
    <w:abstractNumId w:val="8"/>
  </w:num>
  <w:num w:numId="19">
    <w:abstractNumId w:val="8"/>
    <w:lvlOverride w:ilvl="0">
      <w:lvl w:ilvl="0">
        <w:start w:val="1"/>
        <w:numFmt w:val="decimal"/>
        <w:lvlText w:val="%1."/>
        <w:lvlJc w:val="left"/>
        <w:pPr>
          <w:ind w:left="360" w:hanging="360"/>
        </w:pPr>
        <w:rPr>
          <w:rFonts w:hint="default"/>
        </w:rPr>
      </w:lvl>
    </w:lvlOverride>
    <w:lvlOverride w:ilvl="1">
      <w:lvl w:ilvl="1">
        <w:start w:val="1"/>
        <w:numFmt w:val="none"/>
        <w:lvlText w:val="6.1."/>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0">
    <w:abstractNumId w:val="8"/>
    <w:lvlOverride w:ilvl="0">
      <w:lvl w:ilvl="0">
        <w:start w:val="1"/>
        <w:numFmt w:val="decimal"/>
        <w:lvlText w:val="%1."/>
        <w:lvlJc w:val="left"/>
        <w:pPr>
          <w:ind w:left="360" w:hanging="360"/>
        </w:pPr>
        <w:rPr>
          <w:rFonts w:hint="default"/>
        </w:rPr>
      </w:lvl>
    </w:lvlOverride>
    <w:lvlOverride w:ilvl="1">
      <w:lvl w:ilvl="1">
        <w:start w:val="1"/>
        <w:numFmt w:val="none"/>
        <w:lvlText w:val="6.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hdrShapeDefaults>
    <o:shapedefaults v:ext="edit" spidmax="53249"/>
  </w:hdrShapeDefaults>
  <w:footnotePr>
    <w:footnote w:id="-1"/>
    <w:footnote w:id="0"/>
    <w:footnote w:id="1"/>
  </w:footnotePr>
  <w:endnotePr>
    <w:endnote w:id="-1"/>
    <w:endnote w:id="0"/>
    <w:endnote w:id="1"/>
  </w:endnotePr>
  <w:compat>
    <w:useFELayout/>
    <w:compatSetting w:name="compatibilityMode" w:uri="http://schemas.microsoft.com/office/word" w:val="14"/>
  </w:compat>
  <w:docVars>
    <w:docVar w:name="COVERPAGE_EXISTS" w:val="True"/>
    <w:docVar w:name="DocStatus" w:val="Green"/>
    <w:docVar w:name="LW_CONFIDENCE" w:val=" "/>
    <w:docVar w:name="LW_CONST_RESTREINT_UE" w:val="RESTREINT UE"/>
    <w:docVar w:name="LW_CORRIGENDUM" w:val="&lt;UNUSED&gt;"/>
    <w:docVar w:name="LW_COVERPAGE_GUID" w:val="3C038DC973824B62BB537561180071F5"/>
    <w:docVar w:name="LW_CROSSREFERENCE" w:val="&lt;UNUSED&gt;"/>
    <w:docVar w:name="LW_DocType" w:val="NORMAL"/>
    <w:docVar w:name="LW_EMISSION" w:val="13.9.2017"/>
    <w:docVar w:name="LW_EMISSION_ISODATE" w:val="2017-09-13"/>
    <w:docVar w:name="LW_EMISSION_LOCATION" w:val="BRX"/>
    <w:docVar w:name="LW_EMISSION_PREFIX" w:val="Bruselj, "/>
    <w:docVar w:name="LW_EMISSION_SUFFIX" w:val=" "/>
    <w:docVar w:name="LW_ID_DOCTYPE_NONLW" w:val="CP-009"/>
    <w:docVar w:name="LW_LANGUE" w:val="SL"/>
    <w:docVar w:name="LW_MARKING" w:val="&lt;UNUSED&gt;"/>
    <w:docVar w:name="LW_NOM.INST" w:val="EVROPSKA KOMISIJA"/>
    <w:docVar w:name="LW_NOM.INST_JOINTDOC" w:val="&lt;EMPTY&gt;"/>
    <w:docVar w:name="LW_PART_NBR" w:val="1"/>
    <w:docVar w:name="LW_PART_NBR_TOTAL" w:val="1"/>
    <w:docVar w:name="LW_REF.INST.NEW" w:val="COM"/>
    <w:docVar w:name="LW_REF.INST.NEW_ADOPTED" w:val="final"/>
    <w:docVar w:name="LW_REF.INST.NEW_TEXT" w:val="(2017) 494"/>
    <w:docVar w:name="LW_REF.INTERNE" w:val="&lt;UNUSED&gt;"/>
    <w:docVar w:name="LW_SOUS.TITRE.OBJ.CP" w:val="&lt;UNUSED&gt;"/>
    <w:docVar w:name="LW_SUPERTITRE" w:val="&lt;UNUSED&gt;"/>
    <w:docVar w:name="LW_TITRE.OBJ.CP" w:val="Spodbujanje neposrednih tujih investicij in za\u353?\u269?ita bistvenih interesov"/>
    <w:docVar w:name="LW_TYPE.DOC.CP" w:val="SPORO\u268?ILO KOMISIJE"/>
    <w:docVar w:name="LW_TYPE.DOC.CP.USERTEXT" w:val="EVROPSKEMU PARLAMENTU, EVROPSKEMU SVETU, SVETU, EVROPSKEMU EKONOMSKO-SOCIALNEMU ODBORU IN ODBORU REGIJ"/>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sl-SI" w:eastAsia="sl-SI" w:bidi="sl-SI"/>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36"/>
        <w:tab w:val="right" w:pos="9072"/>
      </w:tabs>
    </w:pPr>
    <w:rPr>
      <w:rFonts w:ascii="Calibri" w:eastAsia="Calibri" w:hAnsi="Calibri" w:cs="Calibri"/>
      <w:color w:val="000000"/>
      <w:sz w:val="22"/>
      <w:szCs w:val="22"/>
      <w:u w:color="000000"/>
    </w:rPr>
  </w:style>
  <w:style w:type="paragraph" w:styleId="Footer">
    <w:name w:val="footer"/>
    <w:link w:val="FooterChar"/>
    <w:uiPriority w:val="99"/>
    <w:pPr>
      <w:tabs>
        <w:tab w:val="center" w:pos="4536"/>
        <w:tab w:val="right" w:pos="9072"/>
      </w:tabs>
    </w:pPr>
    <w:rPr>
      <w:rFonts w:eastAsia="Times New Roman"/>
      <w:color w:val="000000"/>
      <w:sz w:val="24"/>
      <w:szCs w:val="24"/>
      <w:u w:color="000000"/>
    </w:rPr>
  </w:style>
  <w:style w:type="paragraph" w:customStyle="1" w:styleId="BodyA">
    <w:name w:val="Body A"/>
    <w:pPr>
      <w:spacing w:after="200" w:line="276" w:lineRule="auto"/>
    </w:pPr>
    <w:rPr>
      <w:rFonts w:ascii="Calibri" w:eastAsia="Calibri" w:hAnsi="Calibri" w:cs="Calibri"/>
      <w:color w:val="000000"/>
      <w:sz w:val="22"/>
      <w:szCs w:val="22"/>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paragraph" w:styleId="FootnoteText">
    <w:name w:val="footnote text"/>
    <w:link w:val="FootnoteTextChar"/>
    <w:uiPriority w:val="99"/>
    <w:rPr>
      <w:rFonts w:ascii="Calibri" w:eastAsia="Calibri" w:hAnsi="Calibri" w:cs="Calibri"/>
      <w:color w:val="000000"/>
      <w:u w:color="000000"/>
    </w:rPr>
  </w:style>
  <w:style w:type="paragraph" w:customStyle="1" w:styleId="BodyB">
    <w:name w:val="Body B"/>
    <w:rPr>
      <w:rFonts w:eastAsia="Times New Roman"/>
      <w:color w:val="000000"/>
      <w:sz w:val="24"/>
      <w:szCs w:val="24"/>
      <w:u w:color="000000"/>
    </w:rPr>
  </w:style>
  <w:style w:type="character" w:customStyle="1" w:styleId="None">
    <w:name w:val="None"/>
  </w:style>
  <w:style w:type="character" w:customStyle="1" w:styleId="Hyperlink0">
    <w:name w:val="Hyperlink.0"/>
    <w:basedOn w:val="None"/>
    <w:rPr>
      <w:color w:val="000000"/>
      <w:u w:val="single" w:color="000000"/>
    </w:rPr>
  </w:style>
  <w:style w:type="paragraph" w:customStyle="1" w:styleId="Default">
    <w:name w:val="Default"/>
    <w:rPr>
      <w:rFonts w:eastAsia="Times New Roman"/>
      <w:color w:val="000000"/>
      <w:sz w:val="24"/>
      <w:szCs w:val="24"/>
      <w:u w:color="000000"/>
    </w:rPr>
  </w:style>
  <w:style w:type="paragraph" w:customStyle="1" w:styleId="Body">
    <w:name w:val="Body"/>
    <w:link w:val="BodyChar"/>
    <w:qFormat/>
    <w:rPr>
      <w:rFonts w:eastAsia="Times New Roman"/>
      <w:color w:val="000000"/>
      <w:sz w:val="24"/>
      <w:szCs w:val="24"/>
      <w:u w:color="000000"/>
    </w:rPr>
  </w:style>
  <w:style w:type="character" w:styleId="FootnoteReference">
    <w:name w:val="footnote reference"/>
    <w:uiPriority w:val="99"/>
    <w:rPr>
      <w:vertAlign w:val="superscript"/>
    </w:rPr>
  </w:style>
  <w:style w:type="paragraph" w:customStyle="1" w:styleId="BodyBA">
    <w:name w:val="Body B A"/>
    <w:rPr>
      <w:rFonts w:cs="Arial Unicode MS"/>
      <w:color w:val="000000"/>
      <w:sz w:val="24"/>
      <w:szCs w:val="24"/>
      <w:u w:color="000000"/>
    </w:rPr>
  </w:style>
  <w:style w:type="numbering" w:customStyle="1" w:styleId="Bullets">
    <w:name w:val="Bullets"/>
    <w:pPr>
      <w:numPr>
        <w:numId w:val="3"/>
      </w:numPr>
    </w:pPr>
  </w:style>
  <w:style w:type="numbering" w:customStyle="1" w:styleId="Numbered">
    <w:name w:val="Numbered"/>
    <w:pPr>
      <w:numPr>
        <w:numId w:val="5"/>
      </w:numPr>
    </w:p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lang w:val="sl-SI" w:eastAsia="sl-SI"/>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sl-SI" w:eastAsia="sl-S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sl-SI" w:eastAsia="sl-SI"/>
    </w:rPr>
  </w:style>
  <w:style w:type="paragraph" w:customStyle="1" w:styleId="Considrant">
    <w:name w:val="Considérant"/>
    <w:basedOn w:val="Normal"/>
    <w:pPr>
      <w:numPr>
        <w:numId w:val="1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pPr>
    <w:rPr>
      <w:rFonts w:eastAsiaTheme="minorHAnsi"/>
      <w:szCs w:val="22"/>
      <w:bdr w:val="none" w:sz="0" w:space="0" w:color="auto"/>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customStyle="1" w:styleId="FootnoteTextChar">
    <w:name w:val="Footnote Text Char"/>
    <w:basedOn w:val="DefaultParagraphFont"/>
    <w:link w:val="FootnoteText"/>
    <w:uiPriority w:val="99"/>
    <w:rPr>
      <w:rFonts w:ascii="Calibri" w:eastAsia="Calibri" w:hAnsi="Calibri" w:cs="Calibri"/>
      <w:color w:val="000000"/>
      <w:u w:color="000000"/>
      <w:lang w:val="sl-SI"/>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Calibri"/>
      <w:bdr w:val="none" w:sz="0" w:space="0" w:color="auto"/>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Char">
    <w:name w:val="Body Char"/>
    <w:link w:val="Body"/>
    <w:rPr>
      <w:rFonts w:eastAsia="Times New Roman"/>
      <w:color w:val="000000"/>
      <w:sz w:val="24"/>
      <w:szCs w:val="24"/>
      <w:u w:color="000000"/>
    </w:rPr>
  </w:style>
  <w:style w:type="character" w:customStyle="1" w:styleId="FooterChar">
    <w:name w:val="Footer Char"/>
    <w:basedOn w:val="DefaultParagraphFont"/>
    <w:link w:val="Footer"/>
    <w:uiPriority w:val="99"/>
    <w:rPr>
      <w:rFonts w:eastAsia="Times New Roman"/>
      <w:color w:val="000000"/>
      <w:sz w:val="24"/>
      <w:szCs w:val="24"/>
      <w:u w:color="000000"/>
      <w:lang w:val="sl-SI"/>
    </w:rPr>
  </w:style>
  <w:style w:type="character" w:styleId="Emphasis">
    <w:name w:val="Emphasis"/>
    <w:basedOn w:val="DefaultParagraphFont"/>
    <w:uiPriority w:val="20"/>
    <w:qFormat/>
    <w:rPr>
      <w:b/>
      <w:bCs/>
      <w:i w:val="0"/>
      <w:iCs w:val="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eastAsia="Times New Roman"/>
      <w:bCs/>
      <w:color w:val="000000"/>
      <w:u w:color="000000"/>
    </w:rPr>
  </w:style>
  <w:style w:type="character" w:customStyle="1" w:styleId="FooterCoverPageChar">
    <w:name w:val="Footer Cover Page Char"/>
    <w:basedOn w:val="BodyChar"/>
    <w:link w:val="FooterCoverPage"/>
    <w:rPr>
      <w:rFonts w:eastAsia="Times New Roman"/>
      <w:bCs/>
      <w:color w:val="000000"/>
      <w:sz w:val="24"/>
      <w:szCs w:val="24"/>
      <w:u w:color="000000"/>
    </w:rPr>
  </w:style>
  <w:style w:type="paragraph" w:customStyle="1" w:styleId="HeaderCoverPage">
    <w:name w:val="Header Cover Page"/>
    <w:basedOn w:val="Normal"/>
    <w:link w:val="HeaderCoverPageChar"/>
    <w:pPr>
      <w:tabs>
        <w:tab w:val="center" w:pos="4535"/>
        <w:tab w:val="right" w:pos="9071"/>
      </w:tabs>
      <w:spacing w:after="120"/>
      <w:jc w:val="both"/>
    </w:pPr>
    <w:rPr>
      <w:rFonts w:eastAsia="Times New Roman"/>
      <w:bCs/>
      <w:color w:val="000000"/>
      <w:u w:color="000000"/>
    </w:rPr>
  </w:style>
  <w:style w:type="character" w:customStyle="1" w:styleId="HeaderCoverPageChar">
    <w:name w:val="Header Cover Page Char"/>
    <w:basedOn w:val="BodyChar"/>
    <w:link w:val="HeaderCoverPage"/>
    <w:rPr>
      <w:rFonts w:eastAsia="Times New Roman"/>
      <w:bCs/>
      <w:color w:val="000000"/>
      <w:sz w:val="24"/>
      <w:szCs w:val="24"/>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sl-SI" w:eastAsia="sl-SI" w:bidi="sl-SI"/>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36"/>
        <w:tab w:val="right" w:pos="9072"/>
      </w:tabs>
    </w:pPr>
    <w:rPr>
      <w:rFonts w:ascii="Calibri" w:eastAsia="Calibri" w:hAnsi="Calibri" w:cs="Calibri"/>
      <w:color w:val="000000"/>
      <w:sz w:val="22"/>
      <w:szCs w:val="22"/>
      <w:u w:color="000000"/>
    </w:rPr>
  </w:style>
  <w:style w:type="paragraph" w:styleId="Footer">
    <w:name w:val="footer"/>
    <w:link w:val="FooterChar"/>
    <w:uiPriority w:val="99"/>
    <w:pPr>
      <w:tabs>
        <w:tab w:val="center" w:pos="4536"/>
        <w:tab w:val="right" w:pos="9072"/>
      </w:tabs>
    </w:pPr>
    <w:rPr>
      <w:rFonts w:eastAsia="Times New Roman"/>
      <w:color w:val="000000"/>
      <w:sz w:val="24"/>
      <w:szCs w:val="24"/>
      <w:u w:color="000000"/>
    </w:rPr>
  </w:style>
  <w:style w:type="paragraph" w:customStyle="1" w:styleId="BodyA">
    <w:name w:val="Body A"/>
    <w:pPr>
      <w:spacing w:after="200" w:line="276" w:lineRule="auto"/>
    </w:pPr>
    <w:rPr>
      <w:rFonts w:ascii="Calibri" w:eastAsia="Calibri" w:hAnsi="Calibri" w:cs="Calibri"/>
      <w:color w:val="000000"/>
      <w:sz w:val="22"/>
      <w:szCs w:val="22"/>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paragraph" w:styleId="FootnoteText">
    <w:name w:val="footnote text"/>
    <w:link w:val="FootnoteTextChar"/>
    <w:uiPriority w:val="99"/>
    <w:rPr>
      <w:rFonts w:ascii="Calibri" w:eastAsia="Calibri" w:hAnsi="Calibri" w:cs="Calibri"/>
      <w:color w:val="000000"/>
      <w:u w:color="000000"/>
    </w:rPr>
  </w:style>
  <w:style w:type="paragraph" w:customStyle="1" w:styleId="BodyB">
    <w:name w:val="Body B"/>
    <w:rPr>
      <w:rFonts w:eastAsia="Times New Roman"/>
      <w:color w:val="000000"/>
      <w:sz w:val="24"/>
      <w:szCs w:val="24"/>
      <w:u w:color="000000"/>
    </w:rPr>
  </w:style>
  <w:style w:type="character" w:customStyle="1" w:styleId="None">
    <w:name w:val="None"/>
  </w:style>
  <w:style w:type="character" w:customStyle="1" w:styleId="Hyperlink0">
    <w:name w:val="Hyperlink.0"/>
    <w:basedOn w:val="None"/>
    <w:rPr>
      <w:color w:val="000000"/>
      <w:u w:val="single" w:color="000000"/>
    </w:rPr>
  </w:style>
  <w:style w:type="paragraph" w:customStyle="1" w:styleId="Default">
    <w:name w:val="Default"/>
    <w:rPr>
      <w:rFonts w:eastAsia="Times New Roman"/>
      <w:color w:val="000000"/>
      <w:sz w:val="24"/>
      <w:szCs w:val="24"/>
      <w:u w:color="000000"/>
    </w:rPr>
  </w:style>
  <w:style w:type="paragraph" w:customStyle="1" w:styleId="Body">
    <w:name w:val="Body"/>
    <w:link w:val="BodyChar"/>
    <w:qFormat/>
    <w:rPr>
      <w:rFonts w:eastAsia="Times New Roman"/>
      <w:color w:val="000000"/>
      <w:sz w:val="24"/>
      <w:szCs w:val="24"/>
      <w:u w:color="000000"/>
    </w:rPr>
  </w:style>
  <w:style w:type="character" w:styleId="FootnoteReference">
    <w:name w:val="footnote reference"/>
    <w:uiPriority w:val="99"/>
    <w:rPr>
      <w:vertAlign w:val="superscript"/>
    </w:rPr>
  </w:style>
  <w:style w:type="paragraph" w:customStyle="1" w:styleId="BodyBA">
    <w:name w:val="Body B A"/>
    <w:rPr>
      <w:rFonts w:cs="Arial Unicode MS"/>
      <w:color w:val="000000"/>
      <w:sz w:val="24"/>
      <w:szCs w:val="24"/>
      <w:u w:color="000000"/>
    </w:rPr>
  </w:style>
  <w:style w:type="numbering" w:customStyle="1" w:styleId="Bullets">
    <w:name w:val="Bullets"/>
    <w:pPr>
      <w:numPr>
        <w:numId w:val="3"/>
      </w:numPr>
    </w:pPr>
  </w:style>
  <w:style w:type="numbering" w:customStyle="1" w:styleId="Numbered">
    <w:name w:val="Numbered"/>
    <w:pPr>
      <w:numPr>
        <w:numId w:val="5"/>
      </w:numPr>
    </w:p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lang w:val="sl-SI" w:eastAsia="sl-SI"/>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sl-SI" w:eastAsia="sl-S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sl-SI" w:eastAsia="sl-SI"/>
    </w:rPr>
  </w:style>
  <w:style w:type="paragraph" w:customStyle="1" w:styleId="Considrant">
    <w:name w:val="Considérant"/>
    <w:basedOn w:val="Normal"/>
    <w:pPr>
      <w:numPr>
        <w:numId w:val="1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pPr>
    <w:rPr>
      <w:rFonts w:eastAsiaTheme="minorHAnsi"/>
      <w:szCs w:val="22"/>
      <w:bdr w:val="none" w:sz="0" w:space="0" w:color="auto"/>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customStyle="1" w:styleId="FootnoteTextChar">
    <w:name w:val="Footnote Text Char"/>
    <w:basedOn w:val="DefaultParagraphFont"/>
    <w:link w:val="FootnoteText"/>
    <w:uiPriority w:val="99"/>
    <w:rPr>
      <w:rFonts w:ascii="Calibri" w:eastAsia="Calibri" w:hAnsi="Calibri" w:cs="Calibri"/>
      <w:color w:val="000000"/>
      <w:u w:color="000000"/>
      <w:lang w:val="sl-SI"/>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Calibri"/>
      <w:bdr w:val="none" w:sz="0" w:space="0" w:color="auto"/>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Char">
    <w:name w:val="Body Char"/>
    <w:link w:val="Body"/>
    <w:rPr>
      <w:rFonts w:eastAsia="Times New Roman"/>
      <w:color w:val="000000"/>
      <w:sz w:val="24"/>
      <w:szCs w:val="24"/>
      <w:u w:color="000000"/>
    </w:rPr>
  </w:style>
  <w:style w:type="character" w:customStyle="1" w:styleId="FooterChar">
    <w:name w:val="Footer Char"/>
    <w:basedOn w:val="DefaultParagraphFont"/>
    <w:link w:val="Footer"/>
    <w:uiPriority w:val="99"/>
    <w:rPr>
      <w:rFonts w:eastAsia="Times New Roman"/>
      <w:color w:val="000000"/>
      <w:sz w:val="24"/>
      <w:szCs w:val="24"/>
      <w:u w:color="000000"/>
      <w:lang w:val="sl-SI"/>
    </w:rPr>
  </w:style>
  <w:style w:type="character" w:styleId="Emphasis">
    <w:name w:val="Emphasis"/>
    <w:basedOn w:val="DefaultParagraphFont"/>
    <w:uiPriority w:val="20"/>
    <w:qFormat/>
    <w:rPr>
      <w:b/>
      <w:bCs/>
      <w:i w:val="0"/>
      <w:iCs w:val="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eastAsia="Times New Roman"/>
      <w:bCs/>
      <w:color w:val="000000"/>
      <w:u w:color="000000"/>
    </w:rPr>
  </w:style>
  <w:style w:type="character" w:customStyle="1" w:styleId="FooterCoverPageChar">
    <w:name w:val="Footer Cover Page Char"/>
    <w:basedOn w:val="BodyChar"/>
    <w:link w:val="FooterCoverPage"/>
    <w:rPr>
      <w:rFonts w:eastAsia="Times New Roman"/>
      <w:bCs/>
      <w:color w:val="000000"/>
      <w:sz w:val="24"/>
      <w:szCs w:val="24"/>
      <w:u w:color="000000"/>
    </w:rPr>
  </w:style>
  <w:style w:type="paragraph" w:customStyle="1" w:styleId="HeaderCoverPage">
    <w:name w:val="Header Cover Page"/>
    <w:basedOn w:val="Normal"/>
    <w:link w:val="HeaderCoverPageChar"/>
    <w:pPr>
      <w:tabs>
        <w:tab w:val="center" w:pos="4535"/>
        <w:tab w:val="right" w:pos="9071"/>
      </w:tabs>
      <w:spacing w:after="120"/>
      <w:jc w:val="both"/>
    </w:pPr>
    <w:rPr>
      <w:rFonts w:eastAsia="Times New Roman"/>
      <w:bCs/>
      <w:color w:val="000000"/>
      <w:u w:color="000000"/>
    </w:rPr>
  </w:style>
  <w:style w:type="character" w:customStyle="1" w:styleId="HeaderCoverPageChar">
    <w:name w:val="Header Cover Page Char"/>
    <w:basedOn w:val="BodyChar"/>
    <w:link w:val="HeaderCoverPage"/>
    <w:rPr>
      <w:rFonts w:eastAsia="Times New Roman"/>
      <w:bC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0914">
      <w:bodyDiv w:val="1"/>
      <w:marLeft w:val="0"/>
      <w:marRight w:val="0"/>
      <w:marTop w:val="0"/>
      <w:marBottom w:val="0"/>
      <w:divBdr>
        <w:top w:val="none" w:sz="0" w:space="0" w:color="auto"/>
        <w:left w:val="none" w:sz="0" w:space="0" w:color="auto"/>
        <w:bottom w:val="none" w:sz="0" w:space="0" w:color="auto"/>
        <w:right w:val="none" w:sz="0" w:space="0" w:color="auto"/>
      </w:divBdr>
    </w:div>
    <w:div w:id="366414843">
      <w:bodyDiv w:val="1"/>
      <w:marLeft w:val="0"/>
      <w:marRight w:val="0"/>
      <w:marTop w:val="0"/>
      <w:marBottom w:val="0"/>
      <w:divBdr>
        <w:top w:val="none" w:sz="0" w:space="0" w:color="auto"/>
        <w:left w:val="none" w:sz="0" w:space="0" w:color="auto"/>
        <w:bottom w:val="none" w:sz="0" w:space="0" w:color="auto"/>
        <w:right w:val="none" w:sz="0" w:space="0" w:color="auto"/>
      </w:divBdr>
    </w:div>
    <w:div w:id="424419548">
      <w:bodyDiv w:val="1"/>
      <w:marLeft w:val="0"/>
      <w:marRight w:val="0"/>
      <w:marTop w:val="0"/>
      <w:marBottom w:val="0"/>
      <w:divBdr>
        <w:top w:val="none" w:sz="0" w:space="0" w:color="auto"/>
        <w:left w:val="none" w:sz="0" w:space="0" w:color="auto"/>
        <w:bottom w:val="none" w:sz="0" w:space="0" w:color="auto"/>
        <w:right w:val="none" w:sz="0" w:space="0" w:color="auto"/>
      </w:divBdr>
    </w:div>
    <w:div w:id="584218638">
      <w:bodyDiv w:val="1"/>
      <w:marLeft w:val="0"/>
      <w:marRight w:val="0"/>
      <w:marTop w:val="0"/>
      <w:marBottom w:val="0"/>
      <w:divBdr>
        <w:top w:val="none" w:sz="0" w:space="0" w:color="auto"/>
        <w:left w:val="none" w:sz="0" w:space="0" w:color="auto"/>
        <w:bottom w:val="none" w:sz="0" w:space="0" w:color="auto"/>
        <w:right w:val="none" w:sz="0" w:space="0" w:color="auto"/>
      </w:divBdr>
    </w:div>
    <w:div w:id="13284338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treasury.gov/resource-center/international/Pages/Committee-on-Foreign-Investment-in-US.aspx"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www.oecd.org/investment/fdiindex.htm"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sl-SI"/>
              <a:t>Deleži stanja vhodnih NTI EU</a:t>
            </a:r>
          </a:p>
          <a:p>
            <a:pPr>
              <a:defRPr/>
            </a:pPr>
            <a:r>
              <a:rPr lang="sl-SI"/>
              <a:t>(1995 = 100)</a:t>
            </a:r>
          </a:p>
        </c:rich>
      </c:tx>
      <c:overlay val="0"/>
    </c:title>
    <c:autoTitleDeleted val="0"/>
    <c:plotArea>
      <c:layout/>
      <c:lineChart>
        <c:grouping val="standard"/>
        <c:varyColors val="0"/>
        <c:ser>
          <c:idx val="0"/>
          <c:order val="0"/>
          <c:tx>
            <c:strRef>
              <c:f>Sheet1!$B$30</c:f>
              <c:strCache>
                <c:ptCount val="1"/>
                <c:pt idx="0">
                  <c:v>Združene države Amerike</c:v>
                </c:pt>
              </c:strCache>
            </c:strRef>
          </c:tx>
          <c:spPr>
            <a:ln>
              <a:solidFill>
                <a:srgbClr val="0070C0"/>
              </a:solidFill>
            </a:ln>
          </c:spPr>
          <c:marker>
            <c:symbol val="none"/>
          </c:marker>
          <c:cat>
            <c:numRef>
              <c:f>Sheet1!$C$29:$E$29</c:f>
              <c:numCache>
                <c:formatCode>General</c:formatCode>
                <c:ptCount val="3"/>
                <c:pt idx="0">
                  <c:v>1995</c:v>
                </c:pt>
                <c:pt idx="1">
                  <c:v>2005</c:v>
                </c:pt>
                <c:pt idx="2">
                  <c:v>2015</c:v>
                </c:pt>
              </c:numCache>
            </c:numRef>
          </c:cat>
          <c:val>
            <c:numRef>
              <c:f>Sheet1!$C$30:$E$30</c:f>
              <c:numCache>
                <c:formatCode>0.0%</c:formatCode>
                <c:ptCount val="3"/>
                <c:pt idx="0">
                  <c:v>1</c:v>
                </c:pt>
                <c:pt idx="1">
                  <c:v>0.92982456140350866</c:v>
                </c:pt>
                <c:pt idx="2">
                  <c:v>0.80701754385964908</c:v>
                </c:pt>
              </c:numCache>
            </c:numRef>
          </c:val>
          <c:smooth val="0"/>
        </c:ser>
        <c:ser>
          <c:idx val="1"/>
          <c:order val="1"/>
          <c:tx>
            <c:strRef>
              <c:f>Sheet1!$B$31</c:f>
              <c:strCache>
                <c:ptCount val="1"/>
                <c:pt idx="0">
                  <c:v>Švica</c:v>
                </c:pt>
              </c:strCache>
            </c:strRef>
          </c:tx>
          <c:spPr>
            <a:ln>
              <a:solidFill>
                <a:srgbClr val="FF3300"/>
              </a:solidFill>
            </a:ln>
          </c:spPr>
          <c:marker>
            <c:symbol val="none"/>
          </c:marker>
          <c:cat>
            <c:numRef>
              <c:f>Sheet1!$C$29:$E$29</c:f>
              <c:numCache>
                <c:formatCode>General</c:formatCode>
                <c:ptCount val="3"/>
                <c:pt idx="0">
                  <c:v>1995</c:v>
                </c:pt>
                <c:pt idx="1">
                  <c:v>2005</c:v>
                </c:pt>
                <c:pt idx="2">
                  <c:v>2015</c:v>
                </c:pt>
              </c:numCache>
            </c:numRef>
          </c:cat>
          <c:val>
            <c:numRef>
              <c:f>Sheet1!$C$31:$E$31</c:f>
              <c:numCache>
                <c:formatCode>0.0%</c:formatCode>
                <c:ptCount val="3"/>
                <c:pt idx="0">
                  <c:v>1</c:v>
                </c:pt>
                <c:pt idx="1">
                  <c:v>0.67512690355329952</c:v>
                </c:pt>
                <c:pt idx="2">
                  <c:v>0.54822335025380708</c:v>
                </c:pt>
              </c:numCache>
            </c:numRef>
          </c:val>
          <c:smooth val="0"/>
        </c:ser>
        <c:ser>
          <c:idx val="2"/>
          <c:order val="2"/>
          <c:tx>
            <c:strRef>
              <c:f>Sheet1!$B$32</c:f>
              <c:strCache>
                <c:ptCount val="1"/>
                <c:pt idx="0">
                  <c:v>Kanada</c:v>
                </c:pt>
              </c:strCache>
            </c:strRef>
          </c:tx>
          <c:spPr>
            <a:ln>
              <a:solidFill>
                <a:srgbClr val="00CC99"/>
              </a:solidFill>
            </a:ln>
          </c:spPr>
          <c:marker>
            <c:symbol val="none"/>
          </c:marker>
          <c:cat>
            <c:numRef>
              <c:f>Sheet1!$C$29:$E$29</c:f>
              <c:numCache>
                <c:formatCode>General</c:formatCode>
                <c:ptCount val="3"/>
                <c:pt idx="0">
                  <c:v>1995</c:v>
                </c:pt>
                <c:pt idx="1">
                  <c:v>2005</c:v>
                </c:pt>
                <c:pt idx="2">
                  <c:v>2015</c:v>
                </c:pt>
              </c:numCache>
            </c:numRef>
          </c:cat>
          <c:val>
            <c:numRef>
              <c:f>Sheet1!$C$32:$E$32</c:f>
              <c:numCache>
                <c:formatCode>0.0%</c:formatCode>
                <c:ptCount val="3"/>
                <c:pt idx="0">
                  <c:v>1</c:v>
                </c:pt>
                <c:pt idx="1">
                  <c:v>1.4000000000000001</c:v>
                </c:pt>
                <c:pt idx="2">
                  <c:v>1.2666666666666666</c:v>
                </c:pt>
              </c:numCache>
            </c:numRef>
          </c:val>
          <c:smooth val="0"/>
        </c:ser>
        <c:ser>
          <c:idx val="3"/>
          <c:order val="3"/>
          <c:tx>
            <c:strRef>
              <c:f>Sheet1!$B$33</c:f>
              <c:strCache>
                <c:ptCount val="1"/>
                <c:pt idx="0">
                  <c:v>Japonska</c:v>
                </c:pt>
              </c:strCache>
            </c:strRef>
          </c:tx>
          <c:spPr>
            <a:ln>
              <a:solidFill>
                <a:srgbClr val="660066"/>
              </a:solidFill>
            </a:ln>
          </c:spPr>
          <c:marker>
            <c:symbol val="none"/>
          </c:marker>
          <c:cat>
            <c:numRef>
              <c:f>Sheet1!$C$29:$E$29</c:f>
              <c:numCache>
                <c:formatCode>General</c:formatCode>
                <c:ptCount val="3"/>
                <c:pt idx="0">
                  <c:v>1995</c:v>
                </c:pt>
                <c:pt idx="1">
                  <c:v>2005</c:v>
                </c:pt>
                <c:pt idx="2">
                  <c:v>2015</c:v>
                </c:pt>
              </c:numCache>
            </c:numRef>
          </c:cat>
          <c:val>
            <c:numRef>
              <c:f>Sheet1!$C$33:$E$33</c:f>
              <c:numCache>
                <c:formatCode>0.0%</c:formatCode>
                <c:ptCount val="3"/>
                <c:pt idx="0">
                  <c:v>1</c:v>
                </c:pt>
                <c:pt idx="1">
                  <c:v>0.55844155844155841</c:v>
                </c:pt>
                <c:pt idx="2">
                  <c:v>0.37662337662337658</c:v>
                </c:pt>
              </c:numCache>
            </c:numRef>
          </c:val>
          <c:smooth val="0"/>
        </c:ser>
        <c:ser>
          <c:idx val="4"/>
          <c:order val="4"/>
          <c:tx>
            <c:strRef>
              <c:f>Sheet1!$B$34</c:f>
              <c:strCache>
                <c:ptCount val="1"/>
                <c:pt idx="0">
                  <c:v>Brazilija</c:v>
                </c:pt>
              </c:strCache>
            </c:strRef>
          </c:tx>
          <c:spPr>
            <a:ln>
              <a:solidFill>
                <a:srgbClr val="00B050"/>
              </a:solidFill>
            </a:ln>
          </c:spPr>
          <c:marker>
            <c:symbol val="none"/>
          </c:marker>
          <c:cat>
            <c:numRef>
              <c:f>Sheet1!$C$29:$E$29</c:f>
              <c:numCache>
                <c:formatCode>General</c:formatCode>
                <c:ptCount val="3"/>
                <c:pt idx="0">
                  <c:v>1995</c:v>
                </c:pt>
                <c:pt idx="1">
                  <c:v>2005</c:v>
                </c:pt>
                <c:pt idx="2">
                  <c:v>2015</c:v>
                </c:pt>
              </c:numCache>
            </c:numRef>
          </c:cat>
          <c:val>
            <c:numRef>
              <c:f>Sheet1!$C$34:$E$34</c:f>
              <c:numCache>
                <c:formatCode>0.0%</c:formatCode>
                <c:ptCount val="3"/>
                <c:pt idx="0">
                  <c:v>1</c:v>
                </c:pt>
                <c:pt idx="1">
                  <c:v>2</c:v>
                </c:pt>
                <c:pt idx="2">
                  <c:v>11</c:v>
                </c:pt>
              </c:numCache>
            </c:numRef>
          </c:val>
          <c:smooth val="0"/>
        </c:ser>
        <c:ser>
          <c:idx val="5"/>
          <c:order val="5"/>
          <c:tx>
            <c:strRef>
              <c:f>Sheet1!$B$35</c:f>
              <c:strCache>
                <c:ptCount val="1"/>
                <c:pt idx="0">
                  <c:v>Kitajska s Hongkongom</c:v>
                </c:pt>
              </c:strCache>
            </c:strRef>
          </c:tx>
          <c:spPr>
            <a:ln>
              <a:solidFill>
                <a:schemeClr val="accent2">
                  <a:lumMod val="50000"/>
                </a:schemeClr>
              </a:solidFill>
            </a:ln>
          </c:spPr>
          <c:marker>
            <c:symbol val="none"/>
          </c:marker>
          <c:cat>
            <c:numRef>
              <c:f>Sheet1!$C$29:$E$29</c:f>
              <c:numCache>
                <c:formatCode>General</c:formatCode>
                <c:ptCount val="3"/>
                <c:pt idx="0">
                  <c:v>1995</c:v>
                </c:pt>
                <c:pt idx="1">
                  <c:v>2005</c:v>
                </c:pt>
                <c:pt idx="2">
                  <c:v>2015</c:v>
                </c:pt>
              </c:numCache>
            </c:numRef>
          </c:cat>
          <c:val>
            <c:numRef>
              <c:f>Sheet1!$C$35:$E$35</c:f>
              <c:numCache>
                <c:formatCode>0.0%</c:formatCode>
                <c:ptCount val="3"/>
                <c:pt idx="0">
                  <c:v>1</c:v>
                </c:pt>
                <c:pt idx="1">
                  <c:v>3.3333333333333335</c:v>
                </c:pt>
                <c:pt idx="2">
                  <c:v>6.666666666666667</c:v>
                </c:pt>
              </c:numCache>
            </c:numRef>
          </c:val>
          <c:smooth val="0"/>
        </c:ser>
        <c:ser>
          <c:idx val="6"/>
          <c:order val="6"/>
          <c:tx>
            <c:strRef>
              <c:f>Sheet1!$B$36</c:f>
              <c:strCache>
                <c:ptCount val="1"/>
                <c:pt idx="0">
                  <c:v>Norveška</c:v>
                </c:pt>
              </c:strCache>
            </c:strRef>
          </c:tx>
          <c:spPr>
            <a:ln>
              <a:solidFill>
                <a:srgbClr val="00FFFF"/>
              </a:solidFill>
            </a:ln>
          </c:spPr>
          <c:marker>
            <c:symbol val="none"/>
          </c:marker>
          <c:cat>
            <c:numRef>
              <c:f>Sheet1!$C$29:$E$29</c:f>
              <c:numCache>
                <c:formatCode>General</c:formatCode>
                <c:ptCount val="3"/>
                <c:pt idx="0">
                  <c:v>1995</c:v>
                </c:pt>
                <c:pt idx="1">
                  <c:v>2005</c:v>
                </c:pt>
                <c:pt idx="2">
                  <c:v>2015</c:v>
                </c:pt>
              </c:numCache>
            </c:numRef>
          </c:cat>
          <c:val>
            <c:numRef>
              <c:f>Sheet1!$C$36:$E$36</c:f>
              <c:numCache>
                <c:formatCode>0.0%</c:formatCode>
                <c:ptCount val="3"/>
                <c:pt idx="0">
                  <c:v>1</c:v>
                </c:pt>
                <c:pt idx="1">
                  <c:v>1.1363636363636365</c:v>
                </c:pt>
                <c:pt idx="2">
                  <c:v>0.59090909090909094</c:v>
                </c:pt>
              </c:numCache>
            </c:numRef>
          </c:val>
          <c:smooth val="0"/>
        </c:ser>
        <c:ser>
          <c:idx val="7"/>
          <c:order val="7"/>
          <c:tx>
            <c:strRef>
              <c:f>Sheet1!$B$37</c:f>
              <c:strCache>
                <c:ptCount val="1"/>
                <c:pt idx="0">
                  <c:v>Rusija</c:v>
                </c:pt>
              </c:strCache>
            </c:strRef>
          </c:tx>
          <c:spPr>
            <a:ln>
              <a:solidFill>
                <a:srgbClr val="9966FF"/>
              </a:solidFill>
            </a:ln>
          </c:spPr>
          <c:marker>
            <c:symbol val="none"/>
          </c:marker>
          <c:cat>
            <c:numRef>
              <c:f>Sheet1!$C$29:$E$29</c:f>
              <c:numCache>
                <c:formatCode>General</c:formatCode>
                <c:ptCount val="3"/>
                <c:pt idx="0">
                  <c:v>1995</c:v>
                </c:pt>
                <c:pt idx="1">
                  <c:v>2005</c:v>
                </c:pt>
                <c:pt idx="2">
                  <c:v>2015</c:v>
                </c:pt>
              </c:numCache>
            </c:numRef>
          </c:cat>
          <c:val>
            <c:numRef>
              <c:f>Sheet1!$C$37:$E$37</c:f>
              <c:numCache>
                <c:formatCode>0.0%</c:formatCode>
                <c:ptCount val="3"/>
                <c:pt idx="0">
                  <c:v>1</c:v>
                </c:pt>
                <c:pt idx="1">
                  <c:v>1.5</c:v>
                </c:pt>
                <c:pt idx="2">
                  <c:v>2.75</c:v>
                </c:pt>
              </c:numCache>
            </c:numRef>
          </c:val>
          <c:smooth val="0"/>
        </c:ser>
        <c:ser>
          <c:idx val="8"/>
          <c:order val="8"/>
          <c:tx>
            <c:strRef>
              <c:f>Sheet1!$B$38</c:f>
              <c:strCache>
                <c:ptCount val="1"/>
                <c:pt idx="0">
                  <c:v>Singapur</c:v>
                </c:pt>
              </c:strCache>
            </c:strRef>
          </c:tx>
          <c:spPr>
            <a:ln>
              <a:solidFill>
                <a:srgbClr val="FF6600"/>
              </a:solidFill>
            </a:ln>
          </c:spPr>
          <c:marker>
            <c:symbol val="none"/>
          </c:marker>
          <c:cat>
            <c:numRef>
              <c:f>Sheet1!$C$29:$E$29</c:f>
              <c:numCache>
                <c:formatCode>General</c:formatCode>
                <c:ptCount val="3"/>
                <c:pt idx="0">
                  <c:v>1995</c:v>
                </c:pt>
                <c:pt idx="1">
                  <c:v>2005</c:v>
                </c:pt>
                <c:pt idx="2">
                  <c:v>2015</c:v>
                </c:pt>
              </c:numCache>
            </c:numRef>
          </c:cat>
          <c:val>
            <c:numRef>
              <c:f>Sheet1!$C$38:$E$38</c:f>
              <c:numCache>
                <c:formatCode>0.0%</c:formatCode>
                <c:ptCount val="3"/>
                <c:pt idx="0">
                  <c:v>1</c:v>
                </c:pt>
                <c:pt idx="1">
                  <c:v>4</c:v>
                </c:pt>
                <c:pt idx="2">
                  <c:v>2.5</c:v>
                </c:pt>
              </c:numCache>
            </c:numRef>
          </c:val>
          <c:smooth val="0"/>
        </c:ser>
        <c:ser>
          <c:idx val="9"/>
          <c:order val="9"/>
          <c:tx>
            <c:strRef>
              <c:f>Sheet1!$B$39</c:f>
              <c:strCache>
                <c:ptCount val="1"/>
                <c:pt idx="0">
                  <c:v>Izrael</c:v>
                </c:pt>
              </c:strCache>
            </c:strRef>
          </c:tx>
          <c:spPr>
            <a:ln>
              <a:solidFill>
                <a:srgbClr val="FF33CC"/>
              </a:solidFill>
            </a:ln>
          </c:spPr>
          <c:marker>
            <c:symbol val="none"/>
          </c:marker>
          <c:cat>
            <c:numRef>
              <c:f>Sheet1!$C$29:$E$29</c:f>
              <c:numCache>
                <c:formatCode>General</c:formatCode>
                <c:ptCount val="3"/>
                <c:pt idx="0">
                  <c:v>1995</c:v>
                </c:pt>
                <c:pt idx="1">
                  <c:v>2005</c:v>
                </c:pt>
                <c:pt idx="2">
                  <c:v>2015</c:v>
                </c:pt>
              </c:numCache>
            </c:numRef>
          </c:cat>
          <c:val>
            <c:numRef>
              <c:f>Sheet1!$C$39:$E$39</c:f>
              <c:numCache>
                <c:formatCode>0.0%</c:formatCode>
                <c:ptCount val="3"/>
                <c:pt idx="0">
                  <c:v>1</c:v>
                </c:pt>
                <c:pt idx="1">
                  <c:v>3</c:v>
                </c:pt>
                <c:pt idx="2">
                  <c:v>8</c:v>
                </c:pt>
              </c:numCache>
            </c:numRef>
          </c:val>
          <c:smooth val="0"/>
        </c:ser>
        <c:dLbls>
          <c:showLegendKey val="0"/>
          <c:showVal val="0"/>
          <c:showCatName val="0"/>
          <c:showSerName val="0"/>
          <c:showPercent val="0"/>
          <c:showBubbleSize val="0"/>
        </c:dLbls>
        <c:marker val="1"/>
        <c:smooth val="0"/>
        <c:axId val="69412352"/>
        <c:axId val="69413888"/>
      </c:lineChart>
      <c:catAx>
        <c:axId val="69412352"/>
        <c:scaling>
          <c:orientation val="minMax"/>
        </c:scaling>
        <c:delete val="0"/>
        <c:axPos val="b"/>
        <c:numFmt formatCode="General" sourceLinked="1"/>
        <c:majorTickMark val="out"/>
        <c:minorTickMark val="none"/>
        <c:tickLblPos val="nextTo"/>
        <c:crossAx val="69413888"/>
        <c:crosses val="autoZero"/>
        <c:auto val="1"/>
        <c:lblAlgn val="ctr"/>
        <c:lblOffset val="100"/>
        <c:noMultiLvlLbl val="0"/>
      </c:catAx>
      <c:valAx>
        <c:axId val="69413888"/>
        <c:scaling>
          <c:orientation val="minMax"/>
        </c:scaling>
        <c:delete val="0"/>
        <c:axPos val="l"/>
        <c:majorGridlines/>
        <c:numFmt formatCode="0.0%" sourceLinked="1"/>
        <c:majorTickMark val="out"/>
        <c:minorTickMark val="none"/>
        <c:tickLblPos val="nextTo"/>
        <c:crossAx val="69412352"/>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word/theme/themeOverride1.xml><?xml version="1.0" encoding="utf-8"?>
<a:themeOverride xmlns:a="http://schemas.openxmlformats.org/drawingml/2006/main">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0DEC87-0C5F-4809-8FB4-8708E2EEE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12</Pages>
  <Words>4131</Words>
  <Characters>24709</Characters>
  <Application>Microsoft Office Word</Application>
  <DocSecurity>0</DocSecurity>
  <Lines>411</Lines>
  <Paragraphs>100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17</cp:revision>
  <cp:lastPrinted>2017-09-08T10:48:00Z</cp:lastPrinted>
  <dcterms:created xsi:type="dcterms:W3CDTF">2017-09-11T16:55:00Z</dcterms:created>
  <dcterms:modified xsi:type="dcterms:W3CDTF">2017-09-20T12:37:00Z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name="OP_sanitized" fmtid="{D5CDD505-2E9C-101B-9397-08002B2CF9AE}" pid="6">
    <vt:lpwstr>True</vt:lpwstr>
  </property>
</Properties>
</file>