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72341201"/>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15D233EE9EE4A1699780416AAEF5CA4" style="width:450.8pt;height:321.2pt">
            <v:imagedata r:id="rId9" o:title=""/>
          </v:shape>
        </w:pict>
      </w:r>
    </w:p>
    <w:bookmarkEnd w:id="1"/>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pStyle w:val="Heading1"/>
        <w:spacing w:before="120" w:after="200"/>
        <w:rPr>
          <w:rFonts w:ascii="Times New Roman" w:hAnsi="Times New Roman" w:cs="Times New Roman"/>
          <w:noProof/>
          <w:color w:val="auto"/>
          <w:sz w:val="24"/>
          <w:szCs w:val="24"/>
        </w:rPr>
      </w:pPr>
      <w:bookmarkStart w:id="2" w:name="_GoBack"/>
      <w:bookmarkEnd w:id="2"/>
      <w:r>
        <w:rPr>
          <w:rFonts w:ascii="Times New Roman" w:hAnsi="Times New Roman"/>
          <w:noProof/>
          <w:color w:val="auto"/>
          <w:sz w:val="24"/>
        </w:rPr>
        <w:lastRenderedPageBreak/>
        <w:t>1.</w:t>
      </w:r>
      <w:r>
        <w:rPr>
          <w:noProof/>
        </w:rPr>
        <w:tab/>
      </w:r>
      <w:r>
        <w:rPr>
          <w:rFonts w:ascii="Times New Roman" w:hAnsi="Times New Roman"/>
          <w:noProof/>
          <w:color w:val="auto"/>
          <w:sz w:val="24"/>
        </w:rPr>
        <w:t>NOVA SPODBUDA ZA VISOKO ŠOLSTVO</w:t>
      </w:r>
      <w:bookmarkEnd w:id="0"/>
      <w:r>
        <w:rPr>
          <w:rFonts w:ascii="Times New Roman" w:hAnsi="Times New Roman"/>
          <w:noProof/>
          <w:color w:val="auto"/>
          <w:sz w:val="24"/>
        </w:rPr>
        <w:t xml:space="preserve"> V EU</w:t>
      </w: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Nova agenda EU za visoko šolstvo ...</w:t>
      </w:r>
    </w:p>
    <w:p>
      <w:pPr>
        <w:pStyle w:val="ListParagraph"/>
        <w:ind w:left="0"/>
        <w:jc w:val="both"/>
        <w:rPr>
          <w:rFonts w:ascii="Times New Roman" w:hAnsi="Times New Roman" w:cs="Times New Roman"/>
          <w:noProof/>
          <w:sz w:val="24"/>
          <w:szCs w:val="24"/>
        </w:rPr>
      </w:pPr>
      <w:r>
        <w:rPr>
          <w:rFonts w:ascii="Times New Roman" w:hAnsi="Times New Roman"/>
          <w:noProof/>
          <w:sz w:val="24"/>
        </w:rPr>
        <w:t>Uspešnost evropskega projekta je odvisna od sposobnosti EU, da zgradi boljšo prihodnost za evropske državljane. To je ključno sporočilo Bele knjige o prihodnosti Evrope, ki jo je pripravila Komisija</w:t>
      </w:r>
      <w:r>
        <w:rPr>
          <w:rStyle w:val="FootnoteReference"/>
          <w:rFonts w:ascii="Times New Roman" w:hAnsi="Times New Roman"/>
          <w:noProof/>
          <w:sz w:val="24"/>
        </w:rPr>
        <w:footnoteReference w:id="1"/>
      </w:r>
      <w:r>
        <w:rPr>
          <w:noProof/>
        </w:rPr>
        <w:t>.</w:t>
      </w:r>
      <w:r>
        <w:rPr>
          <w:rFonts w:ascii="Times New Roman" w:hAnsi="Times New Roman"/>
          <w:noProof/>
          <w:sz w:val="24"/>
        </w:rPr>
        <w:t xml:space="preserve"> Prav tako je to bistvo pobude Vlaganje v mlade v Evropi</w:t>
      </w:r>
      <w:r>
        <w:rPr>
          <w:rStyle w:val="FootnoteReference"/>
          <w:rFonts w:ascii="Times New Roman" w:hAnsi="Times New Roman"/>
          <w:noProof/>
          <w:sz w:val="24"/>
        </w:rPr>
        <w:footnoteReference w:id="2"/>
      </w:r>
      <w:r>
        <w:rPr>
          <w:rFonts w:ascii="Times New Roman" w:hAnsi="Times New Roman"/>
          <w:noProof/>
          <w:sz w:val="24"/>
        </w:rPr>
        <w:t xml:space="preserve"> ter Novega programa znanj in spretnosti za Evropo</w:t>
      </w:r>
      <w:r>
        <w:rPr>
          <w:rStyle w:val="FootnoteReference"/>
          <w:rFonts w:ascii="Times New Roman" w:hAnsi="Times New Roman"/>
          <w:noProof/>
          <w:sz w:val="24"/>
        </w:rPr>
        <w:footnoteReference w:id="3"/>
      </w:r>
      <w:r>
        <w:rPr>
          <w:noProof/>
        </w:rPr>
        <w:t>.</w:t>
      </w:r>
      <w:r>
        <w:rPr>
          <w:rFonts w:ascii="Times New Roman" w:hAnsi="Times New Roman"/>
          <w:noProof/>
          <w:sz w:val="24"/>
        </w:rPr>
        <w:t xml:space="preserve"> V teh dokumentih je jasno izraženo, da so učinkoviti sistemi izobraževanja in usposabljanja temelj pravičnih, odprtih in demokratičnih družb ter trajne rasti in zaposlovanja. Evropski steber socialnih pravic</w:t>
      </w:r>
      <w:r>
        <w:rPr>
          <w:rStyle w:val="FootnoteReference"/>
          <w:rFonts w:ascii="Times New Roman" w:hAnsi="Times New Roman"/>
          <w:noProof/>
          <w:sz w:val="24"/>
        </w:rPr>
        <w:footnoteReference w:id="4"/>
      </w:r>
      <w:r>
        <w:rPr>
          <w:rFonts w:ascii="Times New Roman" w:hAnsi="Times New Roman"/>
          <w:noProof/>
          <w:sz w:val="24"/>
        </w:rPr>
        <w:t>in nedavni razmislek o izkoriščanju globalizacije</w:t>
      </w:r>
      <w:r>
        <w:rPr>
          <w:rStyle w:val="FootnoteReference"/>
          <w:rFonts w:ascii="Times New Roman" w:hAnsi="Times New Roman"/>
          <w:noProof/>
          <w:sz w:val="24"/>
        </w:rPr>
        <w:footnoteReference w:id="5"/>
      </w:r>
      <w:r>
        <w:rPr>
          <w:rFonts w:ascii="Times New Roman" w:hAnsi="Times New Roman"/>
          <w:noProof/>
          <w:sz w:val="24"/>
        </w:rPr>
        <w:t xml:space="preserve"> opredeljujeta izobraževanje ter znanja in spretnosti kot prednostno nalogo za evropsko sodelovanje.</w:t>
      </w:r>
    </w:p>
    <w:p>
      <w:pPr>
        <w:pStyle w:val="ListParagraph"/>
        <w:ind w:left="0"/>
        <w:jc w:val="both"/>
        <w:rPr>
          <w:rFonts w:ascii="Times New Roman" w:hAnsi="Times New Roman" w:cs="Times New Roman"/>
          <w:noProof/>
          <w:sz w:val="24"/>
          <w:szCs w:val="24"/>
        </w:rPr>
      </w:pPr>
      <w:r>
        <w:rPr>
          <w:rFonts w:ascii="Times New Roman" w:hAnsi="Times New Roman"/>
          <w:noProof/>
          <w:sz w:val="24"/>
        </w:rPr>
        <w:t>Visoko šolstvo ima edinstveno vlogo. Povpraševanje po visoko usposobljenih, družbeno angažiranih ljudeh se povečuje in tudi spreminja. V obdobju do leta 2025 naj bi bile za polovico vseh delovnih mest potrebne kvalifikacije na visokošolski ravni. Strokovno visoko usposobljene delovne sile že primanjkuje. Zaradi digitalne tehnologije delovna mesta postajajo prožnejša in kompleksnejša. Zmožnost ljudi, da so podjetni, upravljajo kompleksne informacije, razmišljajo neodvisno in ustvarjalno, pametno uporabljajo vire, tudi digitalne, učinkovito komunicirajo in so odporni, je pomembnejša kot kadar koli prej. Evropa potrebuje tudi več posameznikov, ki dosegajo zelo dobre rezultate ter lahko razvijejo vrhunske tehnologije in rešitve, od katerih je odvisna naša prihodnja blaginja. Hkrati bi se morali zaradi preprečevanja čedalje večje polarizacije naših družb in nezaupanja v demokratične institucije vsi, vključno z osebjem in študenti v visokošolskem izobraževanju, dejavneje vključiti v skupnosti okoli sebe ter spodbujati socialno vključevanje in mobilnost.</w:t>
      </w:r>
    </w:p>
    <w:p>
      <w:pPr>
        <w:pStyle w:val="ListParagraph"/>
        <w:ind w:left="0"/>
        <w:jc w:val="both"/>
        <w:rPr>
          <w:rFonts w:ascii="Times New Roman" w:hAnsi="Times New Roman" w:cs="Times New Roman"/>
          <w:noProof/>
          <w:sz w:val="24"/>
          <w:szCs w:val="24"/>
        </w:rPr>
      </w:pPr>
      <w:r>
        <w:rPr>
          <w:rFonts w:ascii="Times New Roman" w:hAnsi="Times New Roman"/>
          <w:noProof/>
          <w:sz w:val="24"/>
        </w:rPr>
        <w:t>Brez visokošolskih institucij in sistemov, ki so učinkoviti pri izobraževanju, raziskavah in inovacijah ter so povezani s svojimi družbami, se Evropa na te izzive ne more odzvati. Reforma visokega šolstva je odgovornost držav članic in del njihovih prizadevanj za razvoj izobraževanja in usposabljanja na najvišjem svetovnem nivoju. EU lahko državam članicam pomaga pri njihovih prizadevanjih za reformo izobraževanja. Cilj te prenovljene agende za visoko šolstvo</w:t>
      </w:r>
      <w:r>
        <w:rPr>
          <w:rStyle w:val="FootnoteReference"/>
          <w:rFonts w:ascii="Times New Roman" w:hAnsi="Times New Roman"/>
          <w:noProof/>
          <w:sz w:val="24"/>
        </w:rPr>
        <w:footnoteReference w:id="6"/>
      </w:r>
      <w:r>
        <w:rPr>
          <w:rFonts w:ascii="Times New Roman" w:hAnsi="Times New Roman"/>
          <w:noProof/>
          <w:sz w:val="24"/>
        </w:rPr>
        <w:t xml:space="preserve"> je zagotoviti, da bodo pobude EU za podporo posodobitve visokega šolstva osredotočene na vprašanja, ki so pomembna, hkrati pa pomagati pri pripravi na naslednje obdobje financiranja EU.</w:t>
      </w: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 ki temelji na že opravljenem delu ...</w:t>
      </w:r>
    </w:p>
    <w:p>
      <w:pPr>
        <w:pStyle w:val="ListParagraph"/>
        <w:ind w:left="0"/>
        <w:jc w:val="both"/>
        <w:rPr>
          <w:rFonts w:ascii="Times New Roman" w:hAnsi="Times New Roman" w:cs="Times New Roman"/>
          <w:noProof/>
          <w:sz w:val="24"/>
          <w:szCs w:val="24"/>
        </w:rPr>
      </w:pPr>
      <w:r>
        <w:rPr>
          <w:rFonts w:ascii="Times New Roman" w:hAnsi="Times New Roman"/>
          <w:noProof/>
          <w:sz w:val="24"/>
        </w:rPr>
        <w:t>EU je v preteklosti visoko šolstvo uspešno podpirala s sodelovanjem na področju politike in programi financiranja. Evropski semester je ključno gonilo reform, in sicer v okviru priporočil za posamezne države za področje izobraževanja. Kot del strategije Evropa 2020 in strateškega okvira za evropsko sodelovanje v izobraževanju in usposabljanju (ET 2020) je Svet dosegel dogovor, da bi moralo imeti do leta 2020 40 % mladih kvalifikacijo na ravni terciarnega izobraževanja ali enakovredno kvalifikacijo. V podporo temu cilju program za posodobitev evropskih visokošolskih sistemov</w:t>
      </w:r>
      <w:r>
        <w:rPr>
          <w:rStyle w:val="FootnoteReference"/>
          <w:rFonts w:ascii="Times New Roman" w:hAnsi="Times New Roman"/>
          <w:noProof/>
          <w:sz w:val="24"/>
        </w:rPr>
        <w:footnoteReference w:id="7"/>
      </w:r>
      <w:r>
        <w:rPr>
          <w:rFonts w:ascii="Times New Roman" w:hAnsi="Times New Roman"/>
          <w:noProof/>
          <w:sz w:val="24"/>
        </w:rPr>
        <w:t xml:space="preserve"> od leta 2011 zagotavlja strateško usmeritev za dejavnosti EU in držav članic, da bi:</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zbrali dokaze o tem, kaj deluje v visokem šolstvu</w:t>
      </w:r>
      <w:r>
        <w:rPr>
          <w:rFonts w:ascii="Times New Roman" w:hAnsi="Times New Roman"/>
          <w:noProof/>
          <w:sz w:val="24"/>
        </w:rPr>
        <w:t xml:space="preserve"> (pri izobraževanju, raziskavah, inovacijah in oblikovanju sistemov), prek študij, strokovnih skupin in analiz ter spremljanja referenčnih meril in kazalnikov;</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podprli sodelovanje, vzajemno učenje in ciljno svetovanje o politikah</w:t>
      </w:r>
      <w:r>
        <w:rPr>
          <w:rFonts w:ascii="Times New Roman" w:hAnsi="Times New Roman"/>
          <w:noProof/>
          <w:sz w:val="24"/>
        </w:rPr>
        <w:t xml:space="preserve"> med vladami in organi, pristojnimi za visoko šolstvo;</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okrepili zmogljivosti in rezultate visokošolskih institucij</w:t>
      </w:r>
      <w:r>
        <w:rPr>
          <w:rFonts w:ascii="Times New Roman" w:hAnsi="Times New Roman"/>
          <w:noProof/>
          <w:sz w:val="24"/>
        </w:rPr>
        <w:t xml:space="preserve"> s financiranjem inovativnih projektov sodelovanja med institucijami in njihovimi partnerji (Erasmus+, Obzorje 2020) ter prek evropskih strukturnih in investicijskih skladov (skladov ESI), vlaganja v infrastrukturo, zmogljivosti, znanja in spretnosti ter inovacijske projekte. Evropska investicijska banka je s svojimi projekti podprla tudi vlaganje v visokošolsko infrastrukturo, tudi prek Evropskega sklada za strateške naložbe (EFSI);</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podprli mednarodno mobilnost študentov, osebja in raziskovalcev</w:t>
      </w:r>
      <w:r>
        <w:rPr>
          <w:rFonts w:ascii="Times New Roman" w:hAnsi="Times New Roman"/>
          <w:noProof/>
          <w:sz w:val="24"/>
        </w:rPr>
        <w:t>, ki je možnost za pridobitev izkušenj ter znanj in spretnosti (program Erasmus+ in ukrepi Marie Skłodowske-Curie) ter</w:t>
      </w:r>
    </w:p>
    <w:p>
      <w:pPr>
        <w:pStyle w:val="ListParagraph"/>
        <w:numPr>
          <w:ilvl w:val="0"/>
          <w:numId w:val="20"/>
        </w:numPr>
        <w:spacing w:after="0"/>
        <w:jc w:val="both"/>
        <w:rPr>
          <w:rFonts w:ascii="Times New Roman" w:hAnsi="Times New Roman" w:cs="Times New Roman"/>
          <w:noProof/>
          <w:sz w:val="24"/>
          <w:szCs w:val="24"/>
        </w:rPr>
      </w:pPr>
      <w:r>
        <w:rPr>
          <w:rFonts w:ascii="Times New Roman" w:hAnsi="Times New Roman"/>
          <w:b/>
          <w:noProof/>
          <w:sz w:val="24"/>
        </w:rPr>
        <w:t>okrepili sodelovanje</w:t>
      </w:r>
      <w:r>
        <w:rPr>
          <w:rFonts w:ascii="Times New Roman" w:hAnsi="Times New Roman"/>
          <w:noProof/>
          <w:sz w:val="24"/>
        </w:rPr>
        <w:t xml:space="preserve"> med visokim šolstvom, raziskavami in podjetji.</w:t>
      </w:r>
    </w:p>
    <w:p>
      <w:pPr>
        <w:pStyle w:val="ListParagraph"/>
        <w:ind w:left="0"/>
        <w:jc w:val="both"/>
        <w:rPr>
          <w:rFonts w:ascii="Times New Roman" w:hAnsi="Times New Roman" w:cs="Times New Roman"/>
          <w:b/>
          <w:i/>
          <w:noProof/>
          <w:sz w:val="24"/>
          <w:szCs w:val="24"/>
        </w:rPr>
      </w:pPr>
    </w:p>
    <w:p>
      <w:pPr>
        <w:pStyle w:val="ListParagraph"/>
        <w:ind w:left="0"/>
        <w:jc w:val="both"/>
        <w:rPr>
          <w:rFonts w:ascii="Times New Roman" w:hAnsi="Times New Roman" w:cs="Times New Roman"/>
          <w:b/>
          <w:i/>
          <w:noProof/>
          <w:sz w:val="24"/>
          <w:szCs w:val="24"/>
        </w:rPr>
      </w:pPr>
      <w:r>
        <w:rPr>
          <w:rFonts w:ascii="Times New Roman" w:hAnsi="Times New Roman"/>
          <w:b/>
          <w:i/>
          <w:noProof/>
          <w:sz w:val="24"/>
        </w:rPr>
        <w:t>... vendar preusmerja prizadevanja na sedanje in nastajajoče priložnosti in izzive</w:t>
      </w:r>
    </w:p>
    <w:p>
      <w:pPr>
        <w:pStyle w:val="ListParagraph"/>
        <w:ind w:left="0"/>
        <w:jc w:val="both"/>
        <w:rPr>
          <w:rFonts w:ascii="Times New Roman" w:hAnsi="Times New Roman" w:cs="Times New Roman"/>
          <w:noProof/>
          <w:sz w:val="24"/>
          <w:szCs w:val="24"/>
        </w:rPr>
      </w:pPr>
      <w:r>
        <w:rPr>
          <w:rFonts w:ascii="Times New Roman" w:hAnsi="Times New Roman"/>
          <w:noProof/>
          <w:sz w:val="24"/>
        </w:rPr>
        <w:t>Države članice, socialni partnerji in visokošolski sektor priznavajo pozitiven učinek dejavnosti EU in mednarodno razsežnost, ki jo te prinašajo. EU je na dobri poti, da bo dosegla 40-odstotni cilj doseganja stopnje izobrazbe, vendar, kot je poudarjeno v javnem posvetovanju o prihodnji podpori EU za visoko šolstvo, ki je potekalo leta 2016</w:t>
      </w:r>
      <w:r>
        <w:rPr>
          <w:rStyle w:val="FootnoteReference"/>
          <w:rFonts w:ascii="Times New Roman" w:hAnsi="Times New Roman"/>
          <w:noProof/>
          <w:sz w:val="24"/>
        </w:rPr>
        <w:footnoteReference w:id="8"/>
      </w:r>
      <w:r>
        <w:rPr>
          <w:rFonts w:ascii="Times New Roman" w:hAnsi="Times New Roman"/>
          <w:noProof/>
          <w:sz w:val="24"/>
        </w:rPr>
        <w:t>, se evropski visokošolski sistemi srečujejo z izzivi, ki vključujejo</w:t>
      </w:r>
      <w:r>
        <w:rPr>
          <w:rStyle w:val="FootnoteReference"/>
          <w:rFonts w:ascii="Times New Roman" w:hAnsi="Times New Roman"/>
          <w:noProof/>
          <w:sz w:val="24"/>
        </w:rPr>
        <w:footnoteReference w:id="9"/>
      </w:r>
      <w:r>
        <w:rPr>
          <w:noProof/>
        </w:rPr>
        <w:t>:</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neskladje v znanju in spretnostih, ki jih Evropa potrebuje, ter znanju in spretnostih, ki jih ima:</w:t>
      </w:r>
      <w:r>
        <w:rPr>
          <w:noProof/>
        </w:rPr>
        <w:t xml:space="preserve"> </w:t>
      </w:r>
      <w:r>
        <w:rPr>
          <w:rFonts w:ascii="Times New Roman" w:hAnsi="Times New Roman"/>
          <w:noProof/>
          <w:sz w:val="24"/>
        </w:rPr>
        <w:t>v mnogih delih EU primanjkuje nekaterega visoko usposobljenega kadra</w:t>
      </w:r>
      <w:r>
        <w:rPr>
          <w:rStyle w:val="FootnoteReference"/>
          <w:rFonts w:ascii="Times New Roman" w:hAnsi="Times New Roman"/>
          <w:noProof/>
          <w:sz w:val="24"/>
        </w:rPr>
        <w:footnoteReference w:id="10"/>
      </w:r>
      <w:r>
        <w:rPr>
          <w:rFonts w:ascii="Times New Roman" w:hAnsi="Times New Roman"/>
          <w:noProof/>
          <w:sz w:val="24"/>
        </w:rPr>
        <w:t xml:space="preserve"> tako v smislu kvalifikacij kot kakovosti povezanih znanj in spretnosti. Hkrati preveč študentov diplomira s slabimi osnovnimi znanji in spretnostmi (bralno, matematično in računalniško pismenostjo) ter brez vrste prečnih znanj in spretnosti (reševanje problemov, komunikacija itd.), ki jih potrebujejo za odpornost v spreminjajočem se svetu;</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vztrajne in naraščajoče socialne razlike:</w:t>
      </w:r>
      <w:r>
        <w:rPr>
          <w:noProof/>
        </w:rPr>
        <w:t xml:space="preserve"> </w:t>
      </w:r>
      <w:r>
        <w:rPr>
          <w:rFonts w:ascii="Times New Roman" w:hAnsi="Times New Roman"/>
          <w:noProof/>
          <w:sz w:val="24"/>
        </w:rPr>
        <w:t>za ljudi iz socialno-ekonomskih okolij z manj možnostmi in z migrantskim ozadjem je še vedno veliko manj verjetno, da bodo začeli in končali visokošolsko izobraževanje; akademiki in diplomanti se prepogosto zdijo ločeni od preostale družbe; spolna segregacija pri izbiri področja študija je še vedno vsesplošno prisotna;</w:t>
      </w:r>
    </w:p>
    <w:p>
      <w:pPr>
        <w:pStyle w:val="ListParagraph"/>
        <w:numPr>
          <w:ilvl w:val="0"/>
          <w:numId w:val="21"/>
        </w:numPr>
        <w:spacing w:after="0"/>
        <w:jc w:val="both"/>
        <w:rPr>
          <w:rFonts w:ascii="Times New Roman" w:hAnsi="Times New Roman" w:cs="Times New Roman"/>
          <w:noProof/>
          <w:sz w:val="24"/>
          <w:szCs w:val="24"/>
        </w:rPr>
      </w:pPr>
      <w:r>
        <w:rPr>
          <w:rFonts w:ascii="Times New Roman" w:hAnsi="Times New Roman"/>
          <w:b/>
          <w:noProof/>
          <w:sz w:val="24"/>
        </w:rPr>
        <w:t>inovacijsko vrzel:</w:t>
      </w:r>
      <w:r>
        <w:rPr>
          <w:noProof/>
        </w:rPr>
        <w:t xml:space="preserve"> </w:t>
      </w:r>
      <w:r>
        <w:rPr>
          <w:rFonts w:ascii="Times New Roman" w:hAnsi="Times New Roman"/>
          <w:noProof/>
          <w:sz w:val="24"/>
        </w:rPr>
        <w:t>visokošolske institucije pogosto ne prispevajo toliko, kolikor bi morale, k inovacijam v širšem gospodarstvu, zlasti v svojih regijah. Udeleženost visokega šolstva pri inovacijah se močno razlikuje po posameznih regijah EU;</w:t>
      </w:r>
    </w:p>
    <w:p>
      <w:pPr>
        <w:pStyle w:val="ListParagraph"/>
        <w:numPr>
          <w:ilvl w:val="0"/>
          <w:numId w:val="21"/>
        </w:numPr>
        <w:jc w:val="both"/>
        <w:rPr>
          <w:rFonts w:ascii="Times New Roman" w:hAnsi="Times New Roman" w:cs="Times New Roman"/>
          <w:noProof/>
          <w:sz w:val="24"/>
          <w:szCs w:val="24"/>
        </w:rPr>
      </w:pPr>
      <w:r>
        <w:rPr>
          <w:rFonts w:ascii="Times New Roman" w:hAnsi="Times New Roman"/>
          <w:b/>
          <w:noProof/>
          <w:sz w:val="24"/>
        </w:rPr>
        <w:t>različne komponente visokošolskih sistemov niso vedno ustrezno medsebojno povezane:</w:t>
      </w:r>
      <w:r>
        <w:rPr>
          <w:noProof/>
        </w:rPr>
        <w:t xml:space="preserve"> </w:t>
      </w:r>
      <w:r>
        <w:rPr>
          <w:rFonts w:ascii="Times New Roman" w:hAnsi="Times New Roman"/>
          <w:noProof/>
          <w:sz w:val="24"/>
        </w:rPr>
        <w:t>mehanizmi financiranja, spodbud in nagrajevanja v visokem šolstvu niso vedno oblikovani tako, da bi nagradili dobro poučevanje in raziskave, inovacije, socialno vključevanje in sodelovanje. Sodelovanje s šolami, ponudniki poklicnega usposabljanja in izobraževanjem odraslih je pogosto omejeno.</w:t>
      </w:r>
    </w:p>
    <w:p>
      <w:pPr>
        <w:pStyle w:val="Heading1"/>
        <w:spacing w:before="360" w:after="200"/>
        <w:rPr>
          <w:rFonts w:ascii="Times New Roman" w:hAnsi="Times New Roman" w:cs="Times New Roman"/>
          <w:noProof/>
          <w:color w:val="auto"/>
          <w:sz w:val="24"/>
          <w:szCs w:val="24"/>
        </w:rPr>
      </w:pPr>
      <w:bookmarkStart w:id="3" w:name="_Toc472341202"/>
      <w:r>
        <w:rPr>
          <w:rFonts w:ascii="Times New Roman" w:hAnsi="Times New Roman"/>
          <w:noProof/>
          <w:color w:val="auto"/>
          <w:sz w:val="24"/>
        </w:rPr>
        <w:t>2.</w:t>
      </w:r>
      <w:r>
        <w:rPr>
          <w:noProof/>
        </w:rPr>
        <w:tab/>
      </w:r>
      <w:r>
        <w:rPr>
          <w:rFonts w:ascii="Times New Roman" w:hAnsi="Times New Roman"/>
          <w:noProof/>
          <w:color w:val="auto"/>
          <w:sz w:val="24"/>
        </w:rPr>
        <w:t>PREDNOSTNE NALOGE ZA UKREPANJE</w:t>
      </w:r>
      <w:bookmarkEnd w:id="3"/>
    </w:p>
    <w:p>
      <w:pPr>
        <w:pStyle w:val="ListParagraph"/>
        <w:ind w:left="0"/>
        <w:jc w:val="both"/>
        <w:rPr>
          <w:rFonts w:ascii="Times New Roman" w:hAnsi="Times New Roman" w:cs="Times New Roman"/>
          <w:noProof/>
          <w:sz w:val="24"/>
          <w:szCs w:val="24"/>
        </w:rPr>
      </w:pPr>
      <w:bookmarkStart w:id="4" w:name="_Toc472341203"/>
      <w:r>
        <w:rPr>
          <w:rFonts w:ascii="Times New Roman" w:hAnsi="Times New Roman"/>
          <w:noProof/>
          <w:sz w:val="24"/>
        </w:rPr>
        <w:t>Čas je za novo usmeritev podpore EU za visoko šolstvo. Ta bo štiri zgoraj navedene izzive obravnavala z osredotočanjem na štiri ustrezne prednostne naloge za ukrepanje, ki bodo podprte z dejavnostmi na ravni EU:</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obravnavanje prihodnjih neskladij v znanju in spretnostih ter spodbujanje odličnosti pri njihovem razvoju;</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vzpostavljanje vključujočih in povezanih visokošolskih sistemov;</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zagotavljanje, da visokošolske institucije prispevajo k inovacijam;</w:t>
      </w:r>
    </w:p>
    <w:p>
      <w:pPr>
        <w:pStyle w:val="ListParagraph"/>
        <w:numPr>
          <w:ilvl w:val="0"/>
          <w:numId w:val="23"/>
        </w:numPr>
        <w:jc w:val="both"/>
        <w:rPr>
          <w:rFonts w:ascii="Times New Roman" w:eastAsia="Times New Roman" w:hAnsi="Times New Roman" w:cs="Times New Roman"/>
          <w:noProof/>
          <w:sz w:val="24"/>
          <w:szCs w:val="24"/>
        </w:rPr>
      </w:pPr>
      <w:r>
        <w:rPr>
          <w:rFonts w:ascii="Times New Roman" w:hAnsi="Times New Roman"/>
          <w:noProof/>
          <w:sz w:val="24"/>
        </w:rPr>
        <w:t>podpiranje uspešnih in učinkovitih visokošolskih sistemov</w:t>
      </w:r>
      <w:r>
        <w:rPr>
          <w:rStyle w:val="CommentReference"/>
          <w:rFonts w:ascii="Times New Roman" w:hAnsi="Times New Roman"/>
          <w:noProof/>
          <w:sz w:val="24"/>
        </w:rPr>
        <w:t>.</w:t>
      </w:r>
    </w:p>
    <w:p>
      <w:pPr>
        <w:pStyle w:val="Heading2"/>
        <w:spacing w:before="240" w:after="200"/>
        <w:rPr>
          <w:rFonts w:ascii="Times New Roman" w:hAnsi="Times New Roman" w:cs="Times New Roman"/>
          <w:noProof/>
          <w:color w:val="auto"/>
          <w:sz w:val="24"/>
          <w:szCs w:val="24"/>
        </w:rPr>
      </w:pPr>
      <w:r>
        <w:rPr>
          <w:rFonts w:ascii="Times New Roman" w:hAnsi="Times New Roman"/>
          <w:noProof/>
          <w:color w:val="auto"/>
          <w:sz w:val="24"/>
        </w:rPr>
        <w:t>2.1</w:t>
      </w:r>
      <w:r>
        <w:rPr>
          <w:noProof/>
        </w:rPr>
        <w:tab/>
      </w:r>
      <w:r>
        <w:rPr>
          <w:rFonts w:ascii="Times New Roman" w:hAnsi="Times New Roman"/>
          <w:noProof/>
          <w:color w:val="auto"/>
          <w:sz w:val="24"/>
        </w:rPr>
        <w:t>Obravnavanje neskladij v znanju in spretnostih ter spodbujanje odličnosti pri njihovem razvoju</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Za obravnavanje </w:t>
      </w:r>
      <w:r>
        <w:rPr>
          <w:rFonts w:ascii="Times New Roman" w:hAnsi="Times New Roman"/>
          <w:b/>
          <w:noProof/>
          <w:sz w:val="24"/>
        </w:rPr>
        <w:t xml:space="preserve">potreb po visoki stopnji znanj in spretnosti </w:t>
      </w:r>
      <w:r>
        <w:rPr>
          <w:rFonts w:ascii="Times New Roman" w:hAnsi="Times New Roman"/>
          <w:noProof/>
          <w:sz w:val="24"/>
        </w:rPr>
        <w:t>v Evropi je potrebno ukrepanje. Prvič, več ljudi je treba pritegniti k študiju na področjih, na katerih se študenti pripravijo za delovna mesta, za katera delovne sile že primanjkuje ali pa jo bo kmalu začelo primanjkovati. V številnih državah članicah EU potrebi po diplomantih s področja naravoslovja, tehnike, inženirstva, (umetnosti) in matematike ter medicinskih poklicev in poučevanja ni zadoščeno</w:t>
      </w:r>
      <w:r>
        <w:rPr>
          <w:rStyle w:val="FootnoteReference"/>
          <w:rFonts w:ascii="Times New Roman" w:hAnsi="Times New Roman"/>
          <w:noProof/>
          <w:sz w:val="24"/>
        </w:rPr>
        <w:footnoteReference w:id="11"/>
      </w:r>
      <w:r>
        <w:rPr>
          <w:rFonts w:ascii="Times New Roman" w:hAnsi="Times New Roman"/>
          <w:noProof/>
          <w:sz w:val="24"/>
        </w:rPr>
        <w:t>. Drugič, vsi študenti v terciarnem izobraževanju morajo ne glede na disciplino pridobiti napredna prečna znanja in spretnosti ter ključne kompetence, da bodo lahko uspešni. Visoka stopnja digitalnih kompetenc</w:t>
      </w:r>
      <w:r>
        <w:rPr>
          <w:rStyle w:val="FootnoteReference"/>
          <w:rFonts w:ascii="Times New Roman" w:hAnsi="Times New Roman"/>
          <w:noProof/>
          <w:sz w:val="24"/>
        </w:rPr>
        <w:footnoteReference w:id="12"/>
      </w:r>
      <w:r>
        <w:rPr>
          <w:rFonts w:ascii="Times New Roman" w:hAnsi="Times New Roman"/>
          <w:noProof/>
          <w:sz w:val="24"/>
        </w:rPr>
        <w:t>, matematične pismenosti, samostojnosti, kritičnega razmišljanja in sposobnosti reševanja problemov so čedalje pomembnejše lastnosti.</w:t>
      </w:r>
    </w:p>
    <w:p>
      <w:pPr>
        <w:pStyle w:val="ListParagraph"/>
        <w:ind w:left="0"/>
        <w:jc w:val="both"/>
        <w:rPr>
          <w:rFonts w:ascii="Times New Roman" w:hAnsi="Times New Roman" w:cs="Times New Roman"/>
          <w:noProof/>
          <w:sz w:val="24"/>
          <w:szCs w:val="24"/>
        </w:rPr>
      </w:pPr>
      <w:r>
        <w:rPr>
          <w:rFonts w:ascii="Times New Roman" w:hAnsi="Times New Roman"/>
          <w:b/>
          <w:noProof/>
          <w:sz w:val="24"/>
        </w:rPr>
        <w:t>Za kateri visokošolski študij se ljudje odločijo</w:t>
      </w:r>
      <w:r>
        <w:rPr>
          <w:rFonts w:ascii="Times New Roman" w:hAnsi="Times New Roman"/>
          <w:noProof/>
          <w:sz w:val="24"/>
        </w:rPr>
        <w:t>, je odvisno od osebne motivacije, dobrega usmerjanja ter razpoložljivosti privlačnih izobraževalnih in poklicnih možnosti. Poklicne priložnosti so na koncu odvisne od delodajalcev in širšega gospodarstva, vendar imata pri tem izobraževanje in usposabljanje ključno vlogo. Šole lahko motivirajo učence, da se zanimajo za vse predmete, vključno z matematiko in naravoslovjem, ter pri usmerjanju njihovih izbir. Ključne so tudi pri obravnavanju nezadostne zastopanosti žensk, manjšin in drugih skupin, ki so nezadostno zastopane pri naravoslovnih in tehničnih predmetih v okviru visokega šolstva in pozneje v zadevnih poklicih. Za svetovalce pri poklicnem usmerjanju so dragoceni dobre informacije o tem, kaj diplomanti delajo, kontakti z alumni in napovedi glede prihodnjih potreb po znanju in spretnostih. Visoko šolstvo je dolžno zagotoviti, da je vsebina posodobljena, ponujati ustrezne študijske programe na področjih, kjer obstaja pomanjkanje strokovno usposobljene delovne sile, ter razviti metode učenja in poučevanja, ki študentom omogočajo pridobiti široka in poglobljena znanja in spretnosti, ki jih potrebujejo.</w:t>
      </w:r>
    </w:p>
    <w:p>
      <w:pPr>
        <w:pStyle w:val="ListParagraph"/>
        <w:ind w:left="0"/>
        <w:jc w:val="both"/>
        <w:rPr>
          <w:rFonts w:ascii="Times New Roman" w:hAnsi="Times New Roman" w:cs="Times New Roman"/>
          <w:noProof/>
          <w:sz w:val="24"/>
          <w:szCs w:val="24"/>
        </w:rPr>
      </w:pPr>
      <w:r>
        <w:rPr>
          <w:rFonts w:ascii="Times New Roman" w:hAnsi="Times New Roman"/>
          <w:b/>
          <w:noProof/>
          <w:sz w:val="24"/>
        </w:rPr>
        <w:t>Dobro zasnovani visokošolski izobraževalni programi in učni načrti</w:t>
      </w:r>
      <w:r>
        <w:rPr>
          <w:rFonts w:ascii="Times New Roman" w:hAnsi="Times New Roman"/>
          <w:noProof/>
          <w:sz w:val="24"/>
        </w:rPr>
        <w:t>, ki se osredotočajo na učne potrebe študentov, so ključni za učinkovit razvoj znanj in spretnosti. Visoko šolstvo se lahko s širšo izbiro študijskih programov, vključno z dvoletnimi</w:t>
      </w:r>
      <w:r>
        <w:rPr>
          <w:rStyle w:val="FootnoteReference"/>
          <w:rFonts w:ascii="Times New Roman" w:hAnsi="Times New Roman"/>
          <w:noProof/>
          <w:sz w:val="24"/>
        </w:rPr>
        <w:footnoteReference w:id="13"/>
      </w:r>
      <w:r>
        <w:rPr>
          <w:rFonts w:ascii="Times New Roman" w:hAnsi="Times New Roman"/>
          <w:noProof/>
          <w:sz w:val="24"/>
        </w:rPr>
        <w:t xml:space="preserve"> študiji in možnostmi za stalni poklicni razvoj, bolje odziva na potrebe ljudi. Tehnologija ponuja nove možnosti, kako se lahko strukturira način organizacije učenja in poučevanja</w:t>
      </w:r>
      <w:r>
        <w:rPr>
          <w:rStyle w:val="FootnoteReference"/>
          <w:rFonts w:ascii="Times New Roman" w:hAnsi="Times New Roman"/>
          <w:noProof/>
          <w:sz w:val="24"/>
        </w:rPr>
        <w:footnoteReference w:id="14"/>
      </w:r>
      <w:r>
        <w:rPr>
          <w:rFonts w:ascii="Times New Roman" w:hAnsi="Times New Roman"/>
          <w:noProof/>
          <w:sz w:val="24"/>
        </w:rPr>
        <w:t>, tudi z odprtim, spletnim in kombiniranim učenjem</w:t>
      </w:r>
      <w:r>
        <w:rPr>
          <w:rStyle w:val="FootnoteReference"/>
          <w:rFonts w:ascii="Times New Roman" w:hAnsi="Times New Roman"/>
          <w:noProof/>
          <w:sz w:val="24"/>
        </w:rPr>
        <w:footnoteReference w:id="15"/>
      </w:r>
      <w:r>
        <w:rPr>
          <w:rFonts w:ascii="Times New Roman" w:hAnsi="Times New Roman"/>
          <w:noProof/>
          <w:sz w:val="24"/>
        </w:rPr>
        <w:t>, s čimer se povečata prožnost ter interakcija med učiteljem in študentom. Prosto dostopni učni viri (OER) in učna analitika</w:t>
      </w:r>
      <w:r>
        <w:rPr>
          <w:rStyle w:val="FootnoteReference"/>
          <w:rFonts w:ascii="Times New Roman" w:hAnsi="Times New Roman"/>
          <w:noProof/>
          <w:sz w:val="24"/>
        </w:rPr>
        <w:footnoteReference w:id="16"/>
      </w:r>
      <w:r>
        <w:rPr>
          <w:rFonts w:ascii="Times New Roman" w:hAnsi="Times New Roman"/>
          <w:noProof/>
          <w:sz w:val="24"/>
        </w:rPr>
        <w:t xml:space="preserve"> imajo potencial za izboljšanje učenja, vendar se še vedno premalo izkoriščajo. Medtem ko velik obseg poučevanja v visokem šolstvu poteka v institucijah, ki izvajajo raziskave, raziskave niso dovolj izkoriščene kot prispevek k poučevanju, dodiplomski študenti pa pogosto niso vključeni v raziskave. To omejuje priložnosti študentov za raziskovanje sodobnih vprašanj in razvijanje njihovih raziskovalnih spretnosti. Digitalno omogočena odprta znanost</w:t>
      </w:r>
      <w:r>
        <w:rPr>
          <w:rStyle w:val="FootnoteReference"/>
          <w:rFonts w:ascii="Times New Roman" w:hAnsi="Times New Roman"/>
          <w:noProof/>
          <w:sz w:val="24"/>
        </w:rPr>
        <w:footnoteReference w:id="17"/>
      </w:r>
      <w:r>
        <w:rPr>
          <w:rFonts w:ascii="Times New Roman" w:hAnsi="Times New Roman"/>
          <w:noProof/>
          <w:sz w:val="24"/>
        </w:rPr>
        <w:t xml:space="preserve"> odpira nove možnosti za obravnavanje tega vprašanja.</w:t>
      </w:r>
    </w:p>
    <w:p>
      <w:pPr>
        <w:pStyle w:val="ListParagraph"/>
        <w:ind w:left="0"/>
        <w:jc w:val="both"/>
        <w:rPr>
          <w:rFonts w:ascii="Times New Roman" w:hAnsi="Times New Roman" w:cs="Times New Roman"/>
          <w:noProof/>
          <w:sz w:val="24"/>
          <w:szCs w:val="24"/>
        </w:rPr>
      </w:pPr>
      <w:r>
        <w:rPr>
          <w:rFonts w:ascii="Times New Roman" w:hAnsi="Times New Roman"/>
          <w:noProof/>
          <w:sz w:val="24"/>
        </w:rPr>
        <w:t>Visokošolsko izobraževanje bi moralo študentom omogočiti tudi pridobivanje znanj in spretnosti ter izkušenj v okviru</w:t>
      </w:r>
      <w:r>
        <w:rPr>
          <w:rFonts w:ascii="Times New Roman" w:hAnsi="Times New Roman"/>
          <w:b/>
          <w:noProof/>
          <w:sz w:val="24"/>
        </w:rPr>
        <w:t xml:space="preserve"> dejavnosti, ki temeljijo na problemih v resničnem svetu</w:t>
      </w:r>
      <w:r>
        <w:rPr>
          <w:rFonts w:ascii="Times New Roman" w:hAnsi="Times New Roman"/>
          <w:noProof/>
          <w:sz w:val="24"/>
        </w:rPr>
        <w:t xml:space="preserve">, vključevati učenje na delovnem mestu in, kjer je mogoče, ponujati mednarodno mobilnost. </w:t>
      </w:r>
      <w:r>
        <w:rPr>
          <w:rFonts w:ascii="Times New Roman" w:hAnsi="Times New Roman"/>
          <w:b/>
          <w:noProof/>
          <w:sz w:val="24"/>
        </w:rPr>
        <w:t>Prek sodelovanja z delodajalci</w:t>
      </w:r>
      <w:r>
        <w:rPr>
          <w:rFonts w:ascii="Times New Roman" w:hAnsi="Times New Roman"/>
          <w:noProof/>
          <w:sz w:val="24"/>
        </w:rPr>
        <w:t xml:space="preserve"> lahko visokošolske institucije izboljšajo ustreznost svojih učnih načrtov in jih učinkoviteje izvajajo, študentom pa omogočijo več priložnosti za dostop do visokokakovostnega učenja na delovnem mestu.</w:t>
      </w:r>
    </w:p>
    <w:p>
      <w:pPr>
        <w:pStyle w:val="ListParagraph"/>
        <w:ind w:left="0"/>
        <w:jc w:val="both"/>
        <w:rPr>
          <w:rFonts w:ascii="Times New Roman" w:hAnsi="Times New Roman" w:cs="Times New Roman"/>
          <w:noProof/>
        </w:rPr>
      </w:pPr>
      <w:r>
        <w:rPr>
          <w:rFonts w:ascii="Times New Roman" w:hAnsi="Times New Roman"/>
          <w:noProof/>
          <w:sz w:val="24"/>
        </w:rPr>
        <w:t xml:space="preserve">Oblikovanje, priprava in izvedba dobrih študijskih programov niso enostavni. </w:t>
      </w:r>
      <w:r>
        <w:rPr>
          <w:rFonts w:ascii="Times New Roman" w:hAnsi="Times New Roman"/>
          <w:b/>
          <w:noProof/>
          <w:sz w:val="24"/>
        </w:rPr>
        <w:t>Dobri učitelji</w:t>
      </w:r>
      <w:r>
        <w:rPr>
          <w:rFonts w:ascii="Times New Roman" w:hAnsi="Times New Roman"/>
          <w:noProof/>
          <w:sz w:val="24"/>
        </w:rPr>
        <w:t xml:space="preserve"> so ključni. Vse preveč visokošolskih učiteljev je imelo malo ali nič pedagoškega usposabljanja, sistematično vlaganje v stalni poklicni razvoj učiteljev pa je še vedno izjema. Nacionalne in institucionalne strategije za izboljšanje poklicnih priložnosti in nagrajevanja dobrih učiteljev so čedalje pogostejše, vendar še zdaleč niso standardne.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eastAsia="Times New Roman"/>
          <w:noProof/>
        </w:rPr>
      </w:pPr>
      <w:r>
        <w:rPr>
          <w:noProof/>
        </w:rPr>
        <w:t>Komisija bo:</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začela </w:t>
      </w:r>
      <w:r>
        <w:rPr>
          <w:rFonts w:ascii="Times New Roman" w:hAnsi="Times New Roman"/>
          <w:b/>
          <w:noProof/>
          <w:sz w:val="24"/>
        </w:rPr>
        <w:t>evropsko pobudo za spremljanje diplomantov</w:t>
      </w:r>
      <w:r>
        <w:rPr>
          <w:rFonts w:ascii="Times New Roman" w:hAnsi="Times New Roman"/>
          <w:noProof/>
          <w:sz w:val="24"/>
        </w:rPr>
        <w:t>, da bi izboljšali znanje na nacionalni ravni in ravni EU o tem, kako napredujejo na svoji poklicni poti ali v nadaljnjem izobraževanju. Tako bo podprla izboljšanja v karierni orientaciji, oblikovanju programov, institucionalni strategiji in oblikovanju politike. Priporočilo Sveta</w:t>
      </w:r>
      <w:r>
        <w:rPr>
          <w:rStyle w:val="FootnoteReference"/>
          <w:rFonts w:ascii="Times New Roman" w:hAnsi="Times New Roman"/>
          <w:noProof/>
          <w:sz w:val="24"/>
        </w:rPr>
        <w:footnoteReference w:id="18"/>
      </w:r>
      <w:r>
        <w:rPr>
          <w:rFonts w:ascii="Times New Roman" w:hAnsi="Times New Roman"/>
          <w:noProof/>
          <w:sz w:val="24"/>
        </w:rPr>
        <w:t>, predlagano kot del tega svežnja, bo podprto z raziskavo o diplomantih in zadevnim sodelovanjem na ravni EU za izboljšanje nacionalnih mehanizmov za njihovo spremljanje;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začela izpopolnjeno </w:t>
      </w:r>
      <w:r>
        <w:rPr>
          <w:rFonts w:ascii="Times New Roman" w:hAnsi="Times New Roman"/>
          <w:b/>
          <w:noProof/>
          <w:sz w:val="24"/>
        </w:rPr>
        <w:t>koalicijo</w:t>
      </w:r>
      <w:r>
        <w:rPr>
          <w:rFonts w:ascii="Times New Roman" w:hAnsi="Times New Roman"/>
          <w:noProof/>
          <w:sz w:val="24"/>
        </w:rPr>
        <w:t xml:space="preserve"> </w:t>
      </w:r>
      <w:r>
        <w:rPr>
          <w:rFonts w:ascii="Times New Roman" w:hAnsi="Times New Roman"/>
          <w:b/>
          <w:noProof/>
          <w:sz w:val="24"/>
        </w:rPr>
        <w:t>EU na področju naravoslovja, tehnike, inženirstva, (umetnosti) in matematike (področja STE(A)M)</w:t>
      </w:r>
      <w:r>
        <w:rPr>
          <w:rStyle w:val="FootnoteReference"/>
          <w:rFonts w:ascii="Times New Roman" w:hAnsi="Times New Roman"/>
          <w:noProof/>
          <w:sz w:val="24"/>
        </w:rPr>
        <w:footnoteReference w:id="19"/>
      </w:r>
      <w:r>
        <w:rPr>
          <w:rFonts w:ascii="Times New Roman" w:hAnsi="Times New Roman"/>
          <w:noProof/>
          <w:sz w:val="24"/>
        </w:rPr>
        <w:t>, ki bo združevala različne izobraževalne sektorje ter delodajalce v poslovnem in javnem sektorju za spodbujanje odločanja za zadevne študijske smeri STE(A)M in posodobitev učnih načrtov na področjih STE(A)M in drugih področjih, tudi prek več multidisciplinarnih programov in sodelovanja med zadevnimi fakultetami in drugimi visokošolskimi institucijami;</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spodbujala vključevanje delovnih praks, priznanih s točkami evropskega sistema prenašanja in zbiranja kreditnih točk (ECTS), v visokošolske izobraževalne programe, dodatno okrepila </w:t>
      </w:r>
      <w:r>
        <w:rPr>
          <w:rFonts w:ascii="Times New Roman" w:hAnsi="Times New Roman"/>
          <w:b/>
          <w:noProof/>
          <w:sz w:val="24"/>
        </w:rPr>
        <w:t>poslovne konzorcije</w:t>
      </w:r>
      <w:r>
        <w:rPr>
          <w:rFonts w:ascii="Times New Roman" w:hAnsi="Times New Roman"/>
          <w:noProof/>
          <w:sz w:val="24"/>
        </w:rPr>
        <w:t xml:space="preserve"> </w:t>
      </w:r>
      <w:r>
        <w:rPr>
          <w:rFonts w:ascii="Times New Roman" w:hAnsi="Times New Roman"/>
          <w:b/>
          <w:noProof/>
          <w:sz w:val="24"/>
        </w:rPr>
        <w:t>Erasmus+</w:t>
      </w:r>
      <w:r>
        <w:rPr>
          <w:rFonts w:ascii="Times New Roman" w:hAnsi="Times New Roman"/>
          <w:noProof/>
          <w:sz w:val="24"/>
        </w:rPr>
        <w:t xml:space="preserve">, da bi povečala razpoložljivost in kakovost delovnih praks, podprla </w:t>
      </w:r>
      <w:r>
        <w:rPr>
          <w:rFonts w:ascii="Times New Roman" w:hAnsi="Times New Roman"/>
          <w:b/>
          <w:noProof/>
          <w:sz w:val="24"/>
        </w:rPr>
        <w:t>študentske delovne prakse</w:t>
      </w:r>
      <w:r>
        <w:rPr>
          <w:rFonts w:ascii="Times New Roman" w:hAnsi="Times New Roman"/>
          <w:noProof/>
          <w:sz w:val="24"/>
        </w:rPr>
        <w:t xml:space="preserve"> Erasmus+ s</w:t>
      </w:r>
      <w:r>
        <w:rPr>
          <w:rFonts w:ascii="Times New Roman" w:hAnsi="Times New Roman"/>
          <w:b/>
          <w:noProof/>
          <w:sz w:val="24"/>
        </w:rPr>
        <w:t xml:space="preserve"> posebnim poudarkom na digitalnih znanjih in spretnostih</w:t>
      </w:r>
      <w:r>
        <w:rPr>
          <w:rStyle w:val="FootnoteReference"/>
          <w:rFonts w:ascii="Times New Roman" w:hAnsi="Times New Roman"/>
          <w:b/>
          <w:noProof/>
          <w:sz w:val="24"/>
        </w:rPr>
        <w:footnoteReference w:id="20"/>
      </w:r>
      <w:r>
        <w:rPr>
          <w:rFonts w:ascii="Times New Roman" w:hAnsi="Times New Roman"/>
          <w:noProof/>
          <w:sz w:val="24"/>
        </w:rPr>
        <w:t>;</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razvila in uvedla </w:t>
      </w:r>
      <w:r>
        <w:rPr>
          <w:rFonts w:ascii="Times New Roman" w:hAnsi="Times New Roman"/>
          <w:b/>
          <w:noProof/>
          <w:sz w:val="24"/>
        </w:rPr>
        <w:t>model digitalne pripravljenosti</w:t>
      </w:r>
      <w:r>
        <w:rPr>
          <w:rFonts w:ascii="Times New Roman" w:hAnsi="Times New Roman"/>
          <w:noProof/>
          <w:sz w:val="24"/>
        </w:rPr>
        <w:t xml:space="preserve"> v pomoč visokošolskim institucijam, njihovemu osebju in študentom pri izvajanju strategij digitalnega učenja in raziskovanju potenciala najsodobnejše tehnologije, vključno z učno analitiko. Ob tem bodo pripravljene </w:t>
      </w:r>
      <w:r>
        <w:rPr>
          <w:rFonts w:ascii="Times New Roman" w:hAnsi="Times New Roman"/>
          <w:b/>
          <w:noProof/>
          <w:sz w:val="24"/>
        </w:rPr>
        <w:t>smernice o pobudah odprtega izobraževanja</w:t>
      </w:r>
      <w:r>
        <w:rPr>
          <w:rFonts w:ascii="Times New Roman" w:hAnsi="Times New Roman"/>
          <w:noProof/>
          <w:sz w:val="24"/>
        </w:rPr>
        <w:t xml:space="preserve">;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okrepila </w:t>
      </w:r>
      <w:r>
        <w:rPr>
          <w:rFonts w:ascii="Times New Roman" w:hAnsi="Times New Roman"/>
          <w:b/>
          <w:noProof/>
          <w:sz w:val="24"/>
        </w:rPr>
        <w:t>strateško podporo za visokošolske učitelje, doktorande in postdoktorande v okviru programa Erasmus+</w:t>
      </w:r>
      <w:r>
        <w:rPr>
          <w:rFonts w:ascii="Times New Roman" w:hAnsi="Times New Roman"/>
          <w:noProof/>
          <w:sz w:val="24"/>
        </w:rPr>
        <w:t>, da bi jim pomagala razviti znanja in spretnosti na področju pedagogike in oblikovanja učnega načrta prek ciljnih priložnosti za mobilnost osebja za pedagoško usposabljanje in povečano sodelovanje med centri za usposabljanje učiteljev po vsej EU.</w:t>
      </w:r>
    </w:p>
    <w:p>
      <w:pPr>
        <w:pStyle w:val="Heading2"/>
        <w:spacing w:before="240" w:after="200"/>
        <w:rPr>
          <w:rFonts w:ascii="Times New Roman" w:hAnsi="Times New Roman" w:cs="Times New Roman"/>
          <w:noProof/>
          <w:color w:val="auto"/>
          <w:sz w:val="24"/>
          <w:szCs w:val="24"/>
        </w:rPr>
      </w:pPr>
      <w:r>
        <w:rPr>
          <w:rFonts w:ascii="Times New Roman" w:hAnsi="Times New Roman"/>
          <w:noProof/>
          <w:color w:val="auto"/>
          <w:sz w:val="24"/>
        </w:rPr>
        <w:t>2.2</w:t>
      </w:r>
      <w:r>
        <w:rPr>
          <w:noProof/>
        </w:rPr>
        <w:tab/>
      </w:r>
      <w:bookmarkEnd w:id="4"/>
      <w:r>
        <w:rPr>
          <w:rFonts w:ascii="Times New Roman" w:hAnsi="Times New Roman"/>
          <w:noProof/>
          <w:color w:val="auto"/>
          <w:sz w:val="24"/>
        </w:rPr>
        <w:t>Vzpostavljanje vključujočih in povezanih visokošolskih sistemov</w:t>
      </w:r>
    </w:p>
    <w:p>
      <w:pPr>
        <w:pStyle w:val="ListParagraph"/>
        <w:ind w:left="0"/>
        <w:jc w:val="both"/>
        <w:rPr>
          <w:rFonts w:ascii="Times New Roman" w:hAnsi="Times New Roman" w:cs="Times New Roman"/>
          <w:iCs/>
          <w:noProof/>
          <w:sz w:val="24"/>
          <w:szCs w:val="24"/>
        </w:rPr>
      </w:pPr>
      <w:r>
        <w:rPr>
          <w:rFonts w:ascii="Times New Roman" w:hAnsi="Times New Roman"/>
          <w:noProof/>
          <w:sz w:val="24"/>
        </w:rPr>
        <w:t xml:space="preserve">Visoko šolstvo mora opraviti svojo nalogo pri reševanju </w:t>
      </w:r>
      <w:r>
        <w:rPr>
          <w:rFonts w:ascii="Times New Roman" w:hAnsi="Times New Roman"/>
          <w:b/>
          <w:noProof/>
          <w:sz w:val="24"/>
        </w:rPr>
        <w:t>družbenih in demokratičnih izzivov</w:t>
      </w:r>
      <w:r>
        <w:rPr>
          <w:rFonts w:ascii="Times New Roman" w:hAnsi="Times New Roman"/>
          <w:noProof/>
          <w:sz w:val="24"/>
        </w:rPr>
        <w:t xml:space="preserve"> v Evropi. Tako moramo zagotoviti, da je visokošolsko izobraževanje vključujoče in odprto za nadarjene posameznike iz vseh okolij</w:t>
      </w:r>
      <w:r>
        <w:rPr>
          <w:rStyle w:val="FootnoteReference"/>
          <w:rFonts w:ascii="Times New Roman" w:hAnsi="Times New Roman"/>
          <w:noProof/>
          <w:sz w:val="24"/>
        </w:rPr>
        <w:footnoteReference w:id="21"/>
      </w:r>
      <w:r>
        <w:rPr>
          <w:rFonts w:ascii="Times New Roman" w:hAnsi="Times New Roman"/>
          <w:noProof/>
          <w:sz w:val="24"/>
        </w:rPr>
        <w:t xml:space="preserve"> ter da visokošolske institucije niso nedostopne, ampak so to učne skupnosti, ki upoštevajo potrebe in interese državljanov ter so povezane s svojimi skupnostmi. Akademiki in študenti imajo ključno vlogo pri obrambi empiričnih dejstev in dokazov ter pri učinkovitem sporočanju raziskovalnih rezultatov, tudi širši javnosti.</w:t>
      </w:r>
    </w:p>
    <w:p>
      <w:pPr>
        <w:pStyle w:val="ListParagraph"/>
        <w:ind w:left="0"/>
        <w:jc w:val="both"/>
        <w:rPr>
          <w:rFonts w:ascii="Times New Roman" w:hAnsi="Times New Roman" w:cs="Times New Roman"/>
          <w:noProof/>
          <w:color w:val="auto"/>
          <w:sz w:val="24"/>
          <w:szCs w:val="24"/>
        </w:rPr>
      </w:pPr>
      <w:r>
        <w:rPr>
          <w:rFonts w:ascii="Times New Roman" w:hAnsi="Times New Roman"/>
          <w:noProof/>
          <w:sz w:val="24"/>
        </w:rPr>
        <w:t xml:space="preserve">Profil populacije študentov, ki začnejo in končajo visokošolsko izobraževanje, bi moral izražati širšo družbo. Za to je potrebno posredovanje vlade, šol in visokega šolstva. Družbenim skupinam, ki so najmanj zastopane v visokošolskem izobraževanju, bolj verjetno primanjkuje osnovnih znanj in spretnosti (bralne in matematične pismenosti ter digitalnih kompetenc), izkušnje samostojnega učenja in jasne ideje, kaj visokošolsko izobraževanje vključuje. Potrebno je sistematično </w:t>
      </w:r>
      <w:r>
        <w:rPr>
          <w:rFonts w:ascii="Times New Roman" w:hAnsi="Times New Roman"/>
          <w:b/>
          <w:noProof/>
          <w:sz w:val="24"/>
        </w:rPr>
        <w:t>sodelovanje med visokošolskimi institucijami, šolami in ponudniki poklicnega izobraževanja in usposabljanja</w:t>
      </w:r>
      <w:r>
        <w:rPr>
          <w:rFonts w:ascii="Times New Roman" w:hAnsi="Times New Roman"/>
          <w:noProof/>
          <w:sz w:val="24"/>
        </w:rPr>
        <w:t>, da bi lahko študente pripravili in usmerjali na podlagi njihove nadarjenosti, ne njihovega okolja, ter zagotovili prožne povezave med različnimi vrstami izobraževanja in usposabljanja. Ustrezna karierna orientacija in mentorstvo sta ključna.</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Da bi bili visokošolski sistemi vključujoči, so potrebni tudi </w:t>
      </w:r>
      <w:r>
        <w:rPr>
          <w:rFonts w:ascii="Times New Roman" w:hAnsi="Times New Roman"/>
          <w:b/>
          <w:noProof/>
          <w:sz w:val="24"/>
        </w:rPr>
        <w:t>pravi pogoji, da bodo študenti iz različnih okolij lahko uspešni</w:t>
      </w:r>
      <w:r>
        <w:rPr>
          <w:rFonts w:ascii="Times New Roman" w:hAnsi="Times New Roman"/>
          <w:noProof/>
          <w:sz w:val="24"/>
        </w:rPr>
        <w:t>. To presega vprašanje finančne podpore za skupine z manj možnostmi, čeprav je ta ključna za posameznike iz okolja z nizkimi prihodki. Da bi ponudniki visokošolskega izobraževanja spodbujali uspešno dokončanje študija, bi morali celostno obravnavati, kako sta poučevanje in ocenjevanje organizirana, uvesti ukrepe za mentorstvo študentom ter zagotoviti akademsko in neakademsko podporo</w:t>
      </w:r>
      <w:r>
        <w:rPr>
          <w:rStyle w:val="FootnoteReference"/>
          <w:rFonts w:ascii="Times New Roman" w:hAnsi="Times New Roman"/>
          <w:noProof/>
          <w:sz w:val="24"/>
        </w:rPr>
        <w:footnoteReference w:id="22"/>
      </w:r>
      <w:r>
        <w:rPr>
          <w:rFonts w:ascii="Times New Roman" w:hAnsi="Times New Roman"/>
          <w:noProof/>
          <w:sz w:val="24"/>
        </w:rPr>
        <w:t>. Visokošolski kampusi bi morali biti varna mesta za vse študente, brez nasilja na podlagi spola in diskriminacije. Zgodnje odkrivanje težav je ključno za opredelitev podpore, ki jo študenti potrebujejo. Da bi visokošolsko izobraževanje postalo dostopnejše, zlasti za učeče se odrasle, so potrebne prožne študijske možnosti (izredni študij ali študij prek spleta) in bolj razširjeno priznavanje predhodnega učenja. Strategije za pomoč študentom z manj možnostmi pri dostopu do visokošolskega izobraževanja ter njegovem nadaljevanju in dokončanju so obetaven način za doseganje teh ciljev.</w:t>
      </w:r>
    </w:p>
    <w:p>
      <w:pPr>
        <w:pStyle w:val="ListParagraph"/>
        <w:ind w:left="0"/>
        <w:jc w:val="both"/>
        <w:rPr>
          <w:rFonts w:ascii="Times New Roman" w:hAnsi="Times New Roman" w:cs="Times New Roman"/>
          <w:noProof/>
          <w:color w:val="auto"/>
          <w:sz w:val="24"/>
          <w:szCs w:val="24"/>
        </w:rPr>
      </w:pPr>
      <w:r>
        <w:rPr>
          <w:rFonts w:ascii="Times New Roman" w:hAnsi="Times New Roman"/>
          <w:noProof/>
          <w:color w:val="auto"/>
          <w:sz w:val="24"/>
        </w:rPr>
        <w:t xml:space="preserve">Odprava </w:t>
      </w:r>
      <w:r>
        <w:rPr>
          <w:rFonts w:ascii="Times New Roman" w:hAnsi="Times New Roman"/>
          <w:b/>
          <w:noProof/>
          <w:color w:val="auto"/>
          <w:sz w:val="24"/>
        </w:rPr>
        <w:t>ovir med visokim šolstvom in preostalim delom družbe</w:t>
      </w:r>
      <w:r>
        <w:rPr>
          <w:rFonts w:ascii="Times New Roman" w:hAnsi="Times New Roman"/>
          <w:noProof/>
          <w:color w:val="auto"/>
          <w:sz w:val="24"/>
        </w:rPr>
        <w:t xml:space="preserve"> lahko študentom pomaga razviti njihove </w:t>
      </w:r>
      <w:r>
        <w:rPr>
          <w:rFonts w:ascii="Times New Roman" w:hAnsi="Times New Roman"/>
          <w:b/>
          <w:noProof/>
          <w:color w:val="auto"/>
          <w:sz w:val="24"/>
        </w:rPr>
        <w:t>socialne in državljanske kompetence</w:t>
      </w:r>
      <w:r>
        <w:rPr>
          <w:rStyle w:val="FootnoteReference"/>
          <w:rFonts w:ascii="Times New Roman" w:hAnsi="Times New Roman"/>
          <w:noProof/>
          <w:color w:val="auto"/>
          <w:sz w:val="24"/>
        </w:rPr>
        <w:footnoteReference w:id="23"/>
      </w:r>
      <w:r>
        <w:rPr>
          <w:noProof/>
        </w:rPr>
        <w:t>.</w:t>
      </w:r>
      <w:r>
        <w:rPr>
          <w:rFonts w:ascii="Times New Roman" w:hAnsi="Times New Roman"/>
          <w:noProof/>
          <w:color w:val="auto"/>
          <w:sz w:val="24"/>
        </w:rPr>
        <w:t xml:space="preserve"> Nekatere institucije razvijajo svoj profil kot </w:t>
      </w:r>
      <w:r>
        <w:rPr>
          <w:rFonts w:ascii="Times New Roman" w:hAnsi="Times New Roman"/>
          <w:b/>
          <w:noProof/>
          <w:color w:val="auto"/>
          <w:sz w:val="24"/>
        </w:rPr>
        <w:t>„državljanske univerze“</w:t>
      </w:r>
      <w:r>
        <w:rPr>
          <w:rFonts w:ascii="Times New Roman" w:hAnsi="Times New Roman"/>
          <w:noProof/>
          <w:color w:val="auto"/>
          <w:sz w:val="24"/>
        </w:rPr>
        <w:t xml:space="preserve"> z vključevanjem lokalnih, regionalnih in družbenih vprašanj v učni načrt, udeležbo lokalne skupnosti pri poučevanju in raziskovalnih projektih, zagotavljanjem izobraževanja odraslih ter komunikacijo in ustvarjanjem povezav z lokalnimi skupnostmi. </w:t>
      </w:r>
      <w:r>
        <w:rPr>
          <w:rFonts w:ascii="Times New Roman" w:hAnsi="Times New Roman"/>
          <w:noProof/>
          <w:sz w:val="24"/>
        </w:rPr>
        <w:t>Dobro organizirano prostovoljsko delo in delo v korist skupnosti je lahko posebno učinkovit način, s katerim lahko študenti razvijejo širše praktične izkušnje in spretnosti. Visokošolske institucije bi morale biti vključene v razvoj lastnih mest in regij, bodisi s prispevanjem k razvojnim strategijam ter sodelovanjem s podjetji, javnim in prostovoljskim sektorjem ali s podpiranjem javnega dialoga o družbenih vprašanjih. Vzpostavljanje stikov prek akademske skupnosti v lokalnih jezikih bi bilo treba spodbujati in nagrajevati, tudi kot del poklicnega razvoja.</w:t>
      </w:r>
    </w:p>
    <w:p>
      <w:p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Komisija bo:</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podporo programa Erasmus+ usmerila v pomoč visokošolskim institucijam pri razvoju in izvajanju </w:t>
      </w:r>
      <w:r>
        <w:rPr>
          <w:rFonts w:ascii="Times New Roman" w:hAnsi="Times New Roman"/>
          <w:b/>
          <w:noProof/>
          <w:sz w:val="24"/>
        </w:rPr>
        <w:t>integriranih institucionalnih strategij za vključevanje, enakost spolov in uspešnost študija</w:t>
      </w:r>
      <w:r>
        <w:rPr>
          <w:rFonts w:ascii="Times New Roman" w:hAnsi="Times New Roman"/>
          <w:noProof/>
          <w:sz w:val="24"/>
        </w:rPr>
        <w:t xml:space="preserve"> od sprejema v študij do njegovega zaključka, tudi prek sodelovanja s šolami in ponudniki poklicnega izobraževanja in usposabljanja;</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spodbujala </w:t>
      </w:r>
      <w:r>
        <w:rPr>
          <w:rFonts w:ascii="Times New Roman" w:hAnsi="Times New Roman"/>
          <w:b/>
          <w:noProof/>
          <w:sz w:val="24"/>
        </w:rPr>
        <w:t>razvoj in preskušanje prožnih in modularnih oblik študijskih programov</w:t>
      </w:r>
      <w:r>
        <w:rPr>
          <w:rFonts w:ascii="Times New Roman" w:hAnsi="Times New Roman"/>
          <w:noProof/>
          <w:sz w:val="24"/>
        </w:rPr>
        <w:t>, da bi podprla dostop do visokošolskega izobraževanja prek posebnih prednostnih nalog za strateška partnerstva programa Erasmus+;</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podprla visokošolske institucije, ki želijo </w:t>
      </w:r>
      <w:r>
        <w:rPr>
          <w:rFonts w:ascii="Times New Roman" w:hAnsi="Times New Roman"/>
          <w:b/>
          <w:noProof/>
          <w:sz w:val="24"/>
        </w:rPr>
        <w:t>dodeljevati točke ECTS študentom za prostovoljske aktivnosti in aktivnosti v korist skupnosti</w:t>
      </w:r>
      <w:r>
        <w:rPr>
          <w:rFonts w:ascii="Times New Roman" w:hAnsi="Times New Roman"/>
          <w:noProof/>
          <w:sz w:val="24"/>
        </w:rPr>
        <w:t xml:space="preserve"> na podlagi obstoječih pozitivnih primerov;</w:t>
      </w:r>
    </w:p>
    <w:p>
      <w:pPr>
        <w:pStyle w:val="ListParagraph"/>
        <w:numPr>
          <w:ilvl w:val="0"/>
          <w:numId w:val="12"/>
        </w:numPr>
        <w:pBdr>
          <w:top w:val="single" w:sz="4" w:space="0"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podprla </w:t>
      </w:r>
      <w:r>
        <w:rPr>
          <w:rFonts w:ascii="Times New Roman" w:hAnsi="Times New Roman"/>
          <w:b/>
          <w:noProof/>
          <w:sz w:val="24"/>
        </w:rPr>
        <w:t>priznavanje kvalifikacij, ki jih imajo begunci,</w:t>
      </w:r>
      <w:r>
        <w:rPr>
          <w:rFonts w:ascii="Times New Roman" w:hAnsi="Times New Roman"/>
          <w:noProof/>
          <w:sz w:val="24"/>
        </w:rPr>
        <w:t xml:space="preserve"> za olajšanje njihovega dostopa do visokošolskega izobraževanja. Dejavnosti bodo izhajale iz tekočega projekta Erasmus+, ki zagotavlja praktične smernice in vključuje medsebojno svetovanje med centri NARIC</w:t>
      </w:r>
      <w:r>
        <w:rPr>
          <w:rStyle w:val="FootnoteReference"/>
          <w:rFonts w:ascii="Times New Roman" w:hAnsi="Times New Roman"/>
          <w:noProof/>
          <w:sz w:val="24"/>
        </w:rPr>
        <w:footnoteReference w:id="24"/>
      </w:r>
      <w:r>
        <w:rPr>
          <w:rFonts w:ascii="Times New Roman" w:hAnsi="Times New Roman"/>
          <w:noProof/>
          <w:sz w:val="24"/>
        </w:rPr>
        <w:t xml:space="preserve"> in zainteresiranimi stranmi ter module e-učenja, in bodo dopolnjevale orodje za profiliranje znanj in spretnosti državljanov tretjih držav.</w:t>
      </w:r>
    </w:p>
    <w:p>
      <w:pPr>
        <w:pStyle w:val="Heading2"/>
        <w:spacing w:before="240" w:after="200"/>
        <w:rPr>
          <w:rFonts w:ascii="Times New Roman" w:hAnsi="Times New Roman" w:cs="Times New Roman"/>
          <w:noProof/>
          <w:color w:val="auto"/>
          <w:sz w:val="24"/>
          <w:szCs w:val="24"/>
        </w:rPr>
      </w:pPr>
      <w:bookmarkStart w:id="5" w:name="_Toc472341205"/>
      <w:r>
        <w:rPr>
          <w:rFonts w:ascii="Times New Roman" w:hAnsi="Times New Roman"/>
          <w:noProof/>
          <w:color w:val="auto"/>
          <w:sz w:val="24"/>
        </w:rPr>
        <w:t xml:space="preserve">2.3 </w:t>
      </w:r>
      <w:r>
        <w:rPr>
          <w:noProof/>
        </w:rPr>
        <w:tab/>
      </w:r>
      <w:bookmarkEnd w:id="5"/>
      <w:r>
        <w:rPr>
          <w:rFonts w:ascii="Times New Roman" w:hAnsi="Times New Roman"/>
          <w:noProof/>
          <w:color w:val="auto"/>
          <w:sz w:val="24"/>
        </w:rPr>
        <w:t>Zagotavljanje, da visokošolske institucije prispevajo k inovacijam</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Številne visokošolske institucije razvijajo </w:t>
      </w:r>
      <w:r>
        <w:rPr>
          <w:rFonts w:ascii="Times New Roman" w:hAnsi="Times New Roman"/>
          <w:b/>
          <w:noProof/>
          <w:sz w:val="24"/>
        </w:rPr>
        <w:t>nove rešitve za gospodarske, družbene in okoljske probleme</w:t>
      </w:r>
      <w:r>
        <w:rPr>
          <w:rFonts w:ascii="Times New Roman" w:hAnsi="Times New Roman"/>
          <w:noProof/>
          <w:sz w:val="24"/>
        </w:rPr>
        <w:t>. Da so ta prizadevanja dobro usmerjena in pomagajo reševati sprotne in dolgoročne izzive, ni enostavno zagotoviti. Inovacije so najpomembnejše gonilo gospodarske rasti. Raziskovalni inštituti, univerze, usmerjene v raziskave, in univerze uporabne znanosti prispevajo k inovacijam na različne medsebojno povezane načine, in sicer znotraj in prek več geografskih meja. Da bi visoko šolstvo k inovacijam prispevalo več, je potrebno ukrepanje pri vseh dejavnostih visokošolskih institucij, tj. izobraževanju, raziskavah in sodelovanju s širšim svetom. Institucije morajo zgraditi navzven usmerjeno kulturo inovacij in podjetništva.</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Nove zamisli in odkritja izvirajo iz človeške radovednosti, ustvarjalnosti in pobude. Vse oblike visokošolskega izobraževanja bi morale stremeti k temu, da študente opremijo s sposobnostjo razumevanja novih konceptov, kritičnega in ustvarjalnega razmišljanja ter podjetnega delovanja, da bodo lahko razvijali in uporabljali nove zamisli. Ključni so </w:t>
      </w:r>
      <w:r>
        <w:rPr>
          <w:rFonts w:ascii="Times New Roman" w:hAnsi="Times New Roman"/>
          <w:b/>
          <w:noProof/>
          <w:sz w:val="24"/>
        </w:rPr>
        <w:t>visokokakovostni podiplomski študiji in doktorsko usposabljanje</w:t>
      </w:r>
      <w:r>
        <w:rPr>
          <w:rFonts w:ascii="Times New Roman" w:hAnsi="Times New Roman"/>
          <w:noProof/>
          <w:sz w:val="24"/>
        </w:rPr>
        <w:t>. Iz njih izhajajo raziskovalci, razvijalci in „upravljavci inovacij“, ki poganjajo znanstvena odkritja ter spodbujanje in sprejemanje novih zamisli. V primerjavi z ZDA in Japonsko premalo doktorjev znanosti v EU nadaljuje delo zunaj akademskega sveta. Visokošolske institucije bi morale to spodbujati tako, da bi se pri doktorskih programih bolj osredotočale na uporabo znanja in interakcijo s prihodnjimi delodajalci.</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Prav tako bi morale imeti visokošolske institucije večjo vlogo pri lokalnem in regionalnem razvoju. Naložbe EU v regionalni razvoj prek inovacij temeljijo na načelu </w:t>
      </w:r>
      <w:r>
        <w:rPr>
          <w:rFonts w:ascii="Times New Roman" w:hAnsi="Times New Roman"/>
          <w:b/>
          <w:noProof/>
          <w:sz w:val="24"/>
        </w:rPr>
        <w:t>pametne specializacije</w:t>
      </w:r>
      <w:r>
        <w:rPr>
          <w:rFonts w:ascii="Times New Roman" w:hAnsi="Times New Roman"/>
          <w:noProof/>
          <w:sz w:val="24"/>
        </w:rPr>
        <w:t xml:space="preserve">, tj. osredotočanju regionalnih naložb in prizadevanj na inovacije v sektorjih z velikim potencialom rasti. Visokošolske institucije lahko naredijo več za to, da bi pospešile povezave med akademiki, podjetniki in javnimi organi, uskladile svojo ponudbo izobraževanja s potrebami, opredeljenimi v strategijah pametne specializacije, izkoristile priložnosti za inovacije v prednostnih sektorjih ter pomagale lokalnim podjetjem in drugim organizacijam razumeti in sprejeti nove načine razmišljanja. Uresničenje vsega tega bi moralo biti del širše kulturne spremembe, pri čemer bi visokošolske institucije postale </w:t>
      </w:r>
      <w:r>
        <w:rPr>
          <w:rFonts w:ascii="Times New Roman" w:hAnsi="Times New Roman"/>
          <w:b/>
          <w:noProof/>
          <w:sz w:val="24"/>
        </w:rPr>
        <w:t>„podjetniški akterji“</w:t>
      </w:r>
      <w:r>
        <w:rPr>
          <w:rFonts w:ascii="Times New Roman" w:hAnsi="Times New Roman"/>
          <w:noProof/>
          <w:sz w:val="24"/>
        </w:rPr>
        <w:t>. Orodje HEInnovate</w:t>
      </w:r>
      <w:r>
        <w:rPr>
          <w:rStyle w:val="FootnoteReference"/>
          <w:rFonts w:ascii="Times New Roman" w:hAnsi="Times New Roman"/>
          <w:noProof/>
          <w:sz w:val="24"/>
        </w:rPr>
        <w:footnoteReference w:id="25"/>
      </w:r>
      <w:r>
        <w:rPr>
          <w:rFonts w:ascii="Times New Roman" w:hAnsi="Times New Roman"/>
          <w:noProof/>
          <w:sz w:val="24"/>
        </w:rPr>
        <w:t>, ki ga podpira EU, je v pomoč pri tem, da inovacije in podjetništvo postanejo osrednji del splošne institucionalne strategije. Pečat odličnosti („Seal of Excellence“) ponuja dodatno možnost za naložbe v raziskave in inovacije</w:t>
      </w:r>
      <w:r>
        <w:rPr>
          <w:rStyle w:val="FootnoteReference"/>
          <w:rFonts w:ascii="Times New Roman" w:hAnsi="Times New Roman"/>
          <w:noProof/>
          <w:sz w:val="24"/>
        </w:rPr>
        <w:footnoteReference w:id="26"/>
      </w:r>
      <w:r>
        <w:rPr>
          <w:rFonts w:ascii="Times New Roman" w:hAnsi="Times New Roman"/>
          <w:noProof/>
          <w:sz w:val="24"/>
        </w:rPr>
        <w:t>.</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Inovacije prihodnosti so odvisne od raziskav, izvedenih danes, in od ustvarjalne sposobnosti za izkoriščanje rezultatov. Vlade in visokošolski sistemi morajo inteligentno vlagati, da bi razvili področja z obstoječo prednostjo pri revolucionarnih raziskavah. Doseganje raziskovalne odličnosti je povezano z mednarodnim sodelovanjem in mobilnostjo, ključnima nalogama programa Obzorje 2020. Vendar lahko EU naredi več, da bi </w:t>
      </w:r>
      <w:r>
        <w:rPr>
          <w:rFonts w:ascii="Times New Roman" w:hAnsi="Times New Roman"/>
          <w:b/>
          <w:noProof/>
          <w:sz w:val="24"/>
        </w:rPr>
        <w:t>okrepila centre odličnosti na področju raziskav</w:t>
      </w:r>
      <w:r>
        <w:rPr>
          <w:rFonts w:ascii="Times New Roman" w:hAnsi="Times New Roman"/>
          <w:noProof/>
          <w:sz w:val="24"/>
        </w:rPr>
        <w:t xml:space="preserve"> v več delih Evrope in spodbudila pretvorbo znanstvenega napredka v tržne inovacije.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Komisija bo:</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razširila model </w:t>
      </w:r>
      <w:r>
        <w:rPr>
          <w:rFonts w:ascii="Times New Roman" w:hAnsi="Times New Roman"/>
          <w:b/>
          <w:noProof/>
          <w:sz w:val="24"/>
        </w:rPr>
        <w:t xml:space="preserve">regionalne inovacijske sheme (EIT-RIS) </w:t>
      </w:r>
      <w:r>
        <w:rPr>
          <w:rFonts w:ascii="Times New Roman" w:hAnsi="Times New Roman"/>
          <w:noProof/>
          <w:sz w:val="24"/>
        </w:rPr>
        <w:t>Evropskega inštituta za inovacije in tehnologijo (EIT) in znak EIT</w:t>
      </w:r>
      <w:r>
        <w:rPr>
          <w:rStyle w:val="FootnoteReference"/>
          <w:rFonts w:ascii="Times New Roman" w:hAnsi="Times New Roman"/>
          <w:noProof/>
          <w:sz w:val="24"/>
        </w:rPr>
        <w:footnoteReference w:id="27"/>
      </w:r>
      <w:r>
        <w:rPr>
          <w:rFonts w:ascii="Times New Roman" w:hAnsi="Times New Roman"/>
          <w:noProof/>
          <w:sz w:val="24"/>
        </w:rPr>
        <w:t xml:space="preserve"> na več univerz in regij, da bi okrepila razvoj </w:t>
      </w:r>
      <w:r>
        <w:rPr>
          <w:rFonts w:ascii="Times New Roman" w:hAnsi="Times New Roman"/>
          <w:b/>
          <w:noProof/>
          <w:sz w:val="24"/>
        </w:rPr>
        <w:t>podjetniških in inovacijskih znanj in spretnosti</w:t>
      </w:r>
      <w:r>
        <w:rPr>
          <w:rFonts w:ascii="Times New Roman" w:hAnsi="Times New Roman"/>
          <w:noProof/>
          <w:sz w:val="24"/>
        </w:rPr>
        <w:t xml:space="preserve"> ter doktorande in postdoktorande bolje pripravila na delo v inovativnih podjetjih;</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podprla nadaljnji razvoj in preskušanje </w:t>
      </w:r>
      <w:r>
        <w:rPr>
          <w:rFonts w:ascii="Times New Roman" w:hAnsi="Times New Roman"/>
          <w:b/>
          <w:noProof/>
          <w:sz w:val="24"/>
        </w:rPr>
        <w:t>metod poučevanja za doseganje ustvarjalnosti in inovativnosti</w:t>
      </w:r>
      <w:r>
        <w:rPr>
          <w:rFonts w:ascii="Times New Roman" w:hAnsi="Times New Roman"/>
          <w:noProof/>
          <w:sz w:val="24"/>
        </w:rPr>
        <w:t xml:space="preserve"> v visokem šolstvu, pri čemer bo izhajala iz skupnega dela OECD in Evropske komisije</w:t>
      </w:r>
      <w:r>
        <w:rPr>
          <w:rStyle w:val="FootnoteReference"/>
          <w:rFonts w:ascii="Times New Roman" w:hAnsi="Times New Roman"/>
          <w:noProof/>
          <w:sz w:val="24"/>
        </w:rPr>
        <w:footnoteReference w:id="28"/>
      </w:r>
      <w:r>
        <w:rPr>
          <w:rFonts w:ascii="Times New Roman" w:hAnsi="Times New Roman"/>
          <w:noProof/>
          <w:sz w:val="24"/>
        </w:rPr>
        <w:t xml:space="preserve"> v šolskem sektorju;</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color w:val="auto"/>
          <w:sz w:val="24"/>
          <w:szCs w:val="24"/>
        </w:rPr>
      </w:pPr>
      <w:r>
        <w:rPr>
          <w:rFonts w:ascii="Times New Roman" w:hAnsi="Times New Roman"/>
          <w:noProof/>
          <w:sz w:val="24"/>
        </w:rPr>
        <w:t xml:space="preserve">nadalje razširila projekt platforme </w:t>
      </w:r>
      <w:r>
        <w:rPr>
          <w:rFonts w:ascii="Times New Roman" w:hAnsi="Times New Roman"/>
          <w:b/>
          <w:noProof/>
          <w:sz w:val="24"/>
        </w:rPr>
        <w:t>Visoko šolstvo za pametno specializacijo</w:t>
      </w:r>
      <w:r>
        <w:rPr>
          <w:rStyle w:val="FootnoteReference"/>
          <w:rFonts w:ascii="Times New Roman" w:hAnsi="Times New Roman"/>
          <w:noProof/>
          <w:sz w:val="24"/>
        </w:rPr>
        <w:footnoteReference w:id="29"/>
      </w:r>
      <w:r>
        <w:rPr>
          <w:rFonts w:ascii="Times New Roman" w:hAnsi="Times New Roman"/>
          <w:noProof/>
          <w:sz w:val="24"/>
        </w:rPr>
        <w:t>, da bi zagotovila svetovanje</w:t>
      </w:r>
      <w:r>
        <w:rPr>
          <w:rFonts w:ascii="Times New Roman" w:hAnsi="Times New Roman"/>
          <w:noProof/>
          <w:color w:val="auto"/>
          <w:sz w:val="24"/>
        </w:rPr>
        <w:t xml:space="preserve"> javnim organom za večje vključevanje visokošolskih institucij in, kjer je mogoče, skupnosti znanja in inovacij (SZI) v okviru EIT v oblikovanje in izvajanje strategij pametne specializacije; </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razvila priložnosti v okviru </w:t>
      </w:r>
      <w:r>
        <w:rPr>
          <w:rFonts w:ascii="Times New Roman" w:hAnsi="Times New Roman"/>
          <w:b/>
          <w:noProof/>
          <w:sz w:val="24"/>
        </w:rPr>
        <w:t>ukrepov Marie Skłodowske-Curie</w:t>
      </w:r>
      <w:r>
        <w:rPr>
          <w:rFonts w:ascii="Times New Roman" w:hAnsi="Times New Roman"/>
          <w:noProof/>
          <w:sz w:val="24"/>
        </w:rPr>
        <w:t>, s katerimi bo pomagala odpraviti razlike med državami članicami in regijami pri raziskavah in inovacijah ter obravnavati beg možganov iz manj razvitih regij;</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okrepila podporo EU za </w:t>
      </w:r>
      <w:r>
        <w:rPr>
          <w:rFonts w:ascii="Times New Roman" w:hAnsi="Times New Roman"/>
          <w:b/>
          <w:noProof/>
          <w:sz w:val="24"/>
        </w:rPr>
        <w:t>sodelovanje med univerzami in podjetji</w:t>
      </w:r>
      <w:r>
        <w:rPr>
          <w:rFonts w:ascii="Times New Roman" w:hAnsi="Times New Roman"/>
          <w:noProof/>
          <w:sz w:val="24"/>
        </w:rPr>
        <w:t>, pri čemer bo forum EU za dialog med univerzami in podjetji, ki poteka vsako drugo leto,</w:t>
      </w:r>
      <w:r>
        <w:rPr>
          <w:noProof/>
        </w:rPr>
        <w:t xml:space="preserve"> </w:t>
      </w:r>
      <w:r>
        <w:rPr>
          <w:rFonts w:ascii="Times New Roman" w:hAnsi="Times New Roman"/>
          <w:noProof/>
          <w:sz w:val="24"/>
        </w:rPr>
        <w:t xml:space="preserve">postal osrednja točka za izmenjavo informacij o visokošolskih institucijah in regionalnem razvoju na evropski ravni, poleg tega pa bo spodbujala vzpostavitev </w:t>
      </w:r>
      <w:r>
        <w:rPr>
          <w:rFonts w:ascii="Times New Roman" w:hAnsi="Times New Roman"/>
          <w:b/>
          <w:noProof/>
          <w:sz w:val="24"/>
        </w:rPr>
        <w:t>regionalnih in nacionalnih forumov za dialog med univerzami in podjetji</w:t>
      </w:r>
      <w:r>
        <w:rPr>
          <w:rFonts w:ascii="Times New Roman" w:hAnsi="Times New Roman"/>
          <w:noProof/>
          <w:sz w:val="24"/>
        </w:rPr>
        <w:t xml:space="preserve"> po vsej EU.</w:t>
      </w:r>
    </w:p>
    <w:p>
      <w:pPr>
        <w:pStyle w:val="Heading2"/>
        <w:spacing w:before="360" w:after="200"/>
        <w:rPr>
          <w:rFonts w:ascii="Times New Roman" w:hAnsi="Times New Roman" w:cs="Times New Roman"/>
          <w:noProof/>
          <w:color w:val="auto"/>
          <w:sz w:val="24"/>
          <w:szCs w:val="24"/>
        </w:rPr>
      </w:pPr>
      <w:bookmarkStart w:id="6" w:name="_Toc472341206"/>
      <w:r>
        <w:rPr>
          <w:rFonts w:ascii="Times New Roman" w:hAnsi="Times New Roman"/>
          <w:noProof/>
          <w:color w:val="auto"/>
          <w:sz w:val="24"/>
        </w:rPr>
        <w:t>2.4</w:t>
      </w:r>
      <w:r>
        <w:rPr>
          <w:noProof/>
        </w:rPr>
        <w:tab/>
      </w:r>
      <w:bookmarkEnd w:id="6"/>
      <w:r>
        <w:rPr>
          <w:rFonts w:ascii="Times New Roman" w:hAnsi="Times New Roman"/>
          <w:noProof/>
          <w:color w:val="auto"/>
          <w:sz w:val="24"/>
        </w:rPr>
        <w:t>Podpiranje uspešnih in učinkovitih visokošolskih sistemov</w:t>
      </w:r>
    </w:p>
    <w:p>
      <w:pPr>
        <w:pStyle w:val="ListParagraph"/>
        <w:ind w:left="0"/>
        <w:jc w:val="both"/>
        <w:rPr>
          <w:rFonts w:ascii="Times New Roman" w:eastAsia="Times New Roman" w:hAnsi="Times New Roman" w:cs="Times New Roman"/>
          <w:noProof/>
          <w:sz w:val="24"/>
          <w:szCs w:val="24"/>
        </w:rPr>
      </w:pPr>
      <w:r>
        <w:rPr>
          <w:rFonts w:ascii="Times New Roman" w:hAnsi="Times New Roman"/>
          <w:noProof/>
          <w:sz w:val="24"/>
        </w:rPr>
        <w:t xml:space="preserve">Sposobnost visokošolskih institucij in sistemov, da bi zagotovili, kar Evropa potrebuje, je odvisna od učinkovito uporabljenih ustreznih človeških in finančnih virov, spodbud in nagrad. Vlade bodo še naprej primarno zagotavljale finančna sredstva za visoko šolstvo v večini držav članic EU in imajo v vseh primerih ključno vlogo pri </w:t>
      </w:r>
      <w:r>
        <w:rPr>
          <w:rFonts w:ascii="Times New Roman" w:hAnsi="Times New Roman"/>
          <w:b/>
          <w:noProof/>
          <w:sz w:val="24"/>
        </w:rPr>
        <w:t>določanju spodbud, ciljev in standardov kakovosti</w:t>
      </w:r>
      <w:r>
        <w:rPr>
          <w:rFonts w:ascii="Times New Roman" w:hAnsi="Times New Roman"/>
          <w:noProof/>
          <w:sz w:val="24"/>
        </w:rPr>
        <w:t xml:space="preserve"> za visokošolski sistem kot celoto.</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Ker se od visokega šolstva pričakuje, da naredi več, je za vlade in visokošolske institucije tudi težje določiti najboljše načine za </w:t>
      </w:r>
      <w:r>
        <w:rPr>
          <w:rFonts w:ascii="Times New Roman" w:hAnsi="Times New Roman"/>
          <w:b/>
          <w:noProof/>
          <w:sz w:val="24"/>
        </w:rPr>
        <w:t>usmerjanje in uravnoteženje naložb</w:t>
      </w:r>
      <w:r>
        <w:rPr>
          <w:rFonts w:ascii="Times New Roman" w:hAnsi="Times New Roman"/>
          <w:noProof/>
          <w:sz w:val="24"/>
        </w:rPr>
        <w:t xml:space="preserve">. Eno od vprašanj je, ali se lahko za financiranje visokega šolstva uporabi več zasebnih finančnih sredstev oziroma ali bi se moralo uporabiti več takih sredstev. Drugo vprašanje je, kako oblikovati sisteme financiranja, ki bodo spodbudili visoko šolstvo, da bo zagotovilo rezultate, ki jih družba potrebuje, ter uskladilo cilje uspešnosti, pravičnosti in učinkovitosti. Številne države članice preskušajo financiranje na podlagi uspešnosti in institucionalne sporazume, ki določajo dogovorjene cilje, ki naj bi jih posamezne visokošolske institucije dosegle v zameno za javna sredstva. Čeprav so prvi rezultati teh dejavnosti obetavni, opredelitev ustrezno širokih kazalnikov za merjenje napredka predstavlja izziv.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Poleg strukturnih ukrepov v celotnem sistemu financiranja nekatere države uvajajo tudi ciljne spodbude za izboljšanje določenih vidikov visokega šolstva. Za povečanje </w:t>
      </w:r>
      <w:r>
        <w:rPr>
          <w:rFonts w:ascii="Times New Roman" w:hAnsi="Times New Roman"/>
          <w:b/>
          <w:noProof/>
          <w:sz w:val="24"/>
        </w:rPr>
        <w:t>ugleda in nagrad, povezanih z dobrim poučevanjem</w:t>
      </w:r>
      <w:r>
        <w:rPr>
          <w:rFonts w:ascii="Times New Roman" w:hAnsi="Times New Roman"/>
          <w:noProof/>
          <w:sz w:val="24"/>
        </w:rPr>
        <w:t>, so nekatere uvedle nove oblike akademskih mest za poučevanje in okvire za odličnost v poučevanju. Z drugimi pobudami želijo okrepiti odnos med poučevanjem in raziskavami z boljšim povezovanjem okvirov za kakovost in sistemov financiranja</w:t>
      </w:r>
      <w:r>
        <w:rPr>
          <w:rStyle w:val="FootnoteReference"/>
          <w:rFonts w:ascii="Times New Roman" w:hAnsi="Times New Roman"/>
          <w:noProof/>
          <w:sz w:val="24"/>
        </w:rPr>
        <w:footnoteReference w:id="30"/>
      </w:r>
      <w:r>
        <w:rPr>
          <w:noProof/>
        </w:rPr>
        <w:t>.</w:t>
      </w:r>
      <w:r>
        <w:rPr>
          <w:rFonts w:ascii="Times New Roman" w:hAnsi="Times New Roman"/>
          <w:noProof/>
          <w:sz w:val="24"/>
        </w:rPr>
        <w:t xml:space="preserve"> Pobude financiranja so bile uporabljene tudi za vzpostavitev povezav med visokošolskimi institucijami in zunanjimi partnerji, spodbujanje poučevanja, ki temelji na raziskavah, podporo interdisciplinarnemu izobraževanju in raziskavam ter uvedbo praktičnih inovacij pri poučevanju.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Čeprav visokošolske institucije delujejo v okviru, ki ga ustvarijo javni organi (financiranje, akreditacija, zagotavljanje kakovosti), imata dodelitev sredstev in ustvarjanje spodbud </w:t>
      </w:r>
      <w:r>
        <w:rPr>
          <w:rFonts w:ascii="Times New Roman" w:hAnsi="Times New Roman"/>
          <w:i/>
          <w:noProof/>
          <w:sz w:val="24"/>
        </w:rPr>
        <w:t>znotraj</w:t>
      </w:r>
      <w:r>
        <w:rPr>
          <w:rFonts w:ascii="Times New Roman" w:hAnsi="Times New Roman"/>
          <w:noProof/>
          <w:sz w:val="24"/>
        </w:rPr>
        <w:t xml:space="preserve"> institucij velik učinek. Dobro vodenje institucij ter učinkovito </w:t>
      </w:r>
      <w:r>
        <w:rPr>
          <w:rFonts w:ascii="Times New Roman" w:hAnsi="Times New Roman"/>
          <w:b/>
          <w:noProof/>
          <w:sz w:val="24"/>
        </w:rPr>
        <w:t>notranje sodelovanje in upravljanje virov</w:t>
      </w:r>
      <w:r>
        <w:rPr>
          <w:rFonts w:ascii="Times New Roman" w:hAnsi="Times New Roman"/>
          <w:noProof/>
          <w:sz w:val="24"/>
        </w:rPr>
        <w:t xml:space="preserve"> so še pomembnejši, ko se obseg nalog institucije poveča ter se večji poudarek nameni merjenju in dokazovanju uspešnosti.</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Komisija bo:</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začela </w:t>
      </w:r>
      <w:r>
        <w:rPr>
          <w:rFonts w:ascii="Times New Roman" w:hAnsi="Times New Roman"/>
          <w:b/>
          <w:noProof/>
          <w:sz w:val="24"/>
        </w:rPr>
        <w:t>pregled struktur za financiranje, spodbude in nagrade v visokošolskih sistemih</w:t>
      </w:r>
      <w:r>
        <w:rPr>
          <w:rFonts w:ascii="Times New Roman" w:hAnsi="Times New Roman"/>
          <w:noProof/>
          <w:sz w:val="24"/>
        </w:rPr>
        <w:t xml:space="preserve"> v sodelovanju z OECD in izhajala iz programa </w:t>
      </w:r>
      <w:r>
        <w:rPr>
          <w:rFonts w:ascii="Times New Roman" w:hAnsi="Times New Roman"/>
          <w:b/>
          <w:noProof/>
          <w:sz w:val="24"/>
        </w:rPr>
        <w:t>medsebojnega svetovanja za države članice EU</w:t>
      </w:r>
      <w:r>
        <w:rPr>
          <w:rFonts w:ascii="Times New Roman" w:hAnsi="Times New Roman"/>
          <w:noProof/>
          <w:sz w:val="24"/>
        </w:rPr>
        <w:t xml:space="preserve"> o dobrem oblikovanju spodbud in financiranja v visokem šolstvu;</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zagotovila spodbujanje raziskovalcev k izvajanju nalog poučevanja in/ali njihovo usposabljanje zanje kot sestavni del </w:t>
      </w:r>
      <w:r>
        <w:rPr>
          <w:rFonts w:ascii="Times New Roman" w:hAnsi="Times New Roman"/>
          <w:b/>
          <w:noProof/>
          <w:sz w:val="24"/>
        </w:rPr>
        <w:t>ukrepov Marie Skłodowske-Curie</w:t>
      </w:r>
      <w:r>
        <w:rPr>
          <w:rFonts w:ascii="Times New Roman" w:hAnsi="Times New Roman"/>
          <w:noProof/>
          <w:sz w:val="24"/>
        </w:rPr>
        <w:t>.</w:t>
      </w:r>
    </w:p>
    <w:p>
      <w:pPr>
        <w:pStyle w:val="Heading1"/>
        <w:spacing w:before="360" w:after="200"/>
        <w:rPr>
          <w:rFonts w:ascii="Times New Roman" w:hAnsi="Times New Roman" w:cs="Times New Roman"/>
          <w:noProof/>
          <w:color w:val="auto"/>
          <w:sz w:val="24"/>
          <w:szCs w:val="24"/>
        </w:rPr>
      </w:pPr>
      <w:bookmarkStart w:id="7" w:name="_Toc472341207"/>
      <w:r>
        <w:rPr>
          <w:rFonts w:ascii="Times New Roman" w:hAnsi="Times New Roman"/>
          <w:noProof/>
          <w:color w:val="auto"/>
          <w:sz w:val="24"/>
        </w:rPr>
        <w:t>3.</w:t>
      </w:r>
      <w:r>
        <w:rPr>
          <w:noProof/>
        </w:rPr>
        <w:tab/>
      </w:r>
      <w:r>
        <w:rPr>
          <w:rFonts w:ascii="Times New Roman" w:hAnsi="Times New Roman"/>
          <w:noProof/>
          <w:color w:val="auto"/>
          <w:sz w:val="24"/>
        </w:rPr>
        <w:t>POENOSTAVITEV PODPORE EU ZA VISOKO ŠOLSTVO</w:t>
      </w:r>
      <w:bookmarkEnd w:id="7"/>
    </w:p>
    <w:p>
      <w:pPr>
        <w:pStyle w:val="ListParagraph"/>
        <w:ind w:left="0"/>
        <w:jc w:val="both"/>
        <w:rPr>
          <w:rFonts w:ascii="Times New Roman" w:eastAsia="Times New Roman" w:hAnsi="Times New Roman" w:cs="Times New Roman"/>
          <w:b/>
          <w:i/>
          <w:iCs/>
          <w:noProof/>
          <w:sz w:val="24"/>
          <w:szCs w:val="24"/>
        </w:rPr>
      </w:pPr>
      <w:r>
        <w:rPr>
          <w:rFonts w:ascii="Times New Roman" w:hAnsi="Times New Roman"/>
          <w:b/>
          <w:i/>
          <w:noProof/>
          <w:sz w:val="24"/>
        </w:rPr>
        <w:t>Za doseganje napredka bi bilo treba dejavnosti in financiranje EU bolje uskladiti ...</w:t>
      </w:r>
    </w:p>
    <w:p>
      <w:pPr>
        <w:pStyle w:val="ListParagraph"/>
        <w:ind w:left="0"/>
        <w:jc w:val="both"/>
        <w:rPr>
          <w:rFonts w:ascii="Times New Roman" w:hAnsi="Times New Roman" w:cs="Times New Roman"/>
          <w:noProof/>
          <w:sz w:val="24"/>
          <w:szCs w:val="24"/>
        </w:rPr>
      </w:pPr>
      <w:r>
        <w:rPr>
          <w:rFonts w:ascii="Times New Roman" w:hAnsi="Times New Roman"/>
          <w:noProof/>
          <w:sz w:val="24"/>
        </w:rPr>
        <w:t>Tu predstavljene prednostne naloge prikazujejo, v kolikšnem obsegu so vloge visokega šolstva pri izobraževanju, raziskavah, družbi in inovacijah, tj. štirih elementih vijačnice znanja, povezane</w:t>
      </w:r>
      <w:r>
        <w:rPr>
          <w:rStyle w:val="FootnoteReference"/>
          <w:rFonts w:ascii="Times New Roman" w:hAnsi="Times New Roman"/>
          <w:noProof/>
          <w:sz w:val="24"/>
        </w:rPr>
        <w:footnoteReference w:id="31"/>
      </w:r>
      <w:r>
        <w:rPr>
          <w:rFonts w:ascii="Times New Roman" w:hAnsi="Times New Roman"/>
          <w:noProof/>
          <w:sz w:val="24"/>
        </w:rPr>
        <w:t xml:space="preserve">. Za učinkovito delovanje visokošolskih sistemov morajo biti te povezave priznane in okrepljene v strategijah posameznih visokošolskih institucij, v nacionalni in regionalni visokošolski politiki ter pri dejavnostih, ki jih izvaja EU. </w:t>
      </w:r>
    </w:p>
    <w:p>
      <w:pPr>
        <w:pStyle w:val="ListParagraph"/>
        <w:ind w:left="0"/>
        <w:jc w:val="both"/>
        <w:rPr>
          <w:rFonts w:ascii="Times New Roman" w:hAnsi="Times New Roman"/>
          <w:b/>
          <w:i/>
          <w:iCs/>
          <w:noProof/>
          <w:sz w:val="24"/>
          <w:szCs w:val="24"/>
        </w:rPr>
      </w:pPr>
      <w:r>
        <w:rPr>
          <w:rFonts w:ascii="Times New Roman" w:hAnsi="Times New Roman"/>
          <w:b/>
          <w:i/>
          <w:noProof/>
          <w:sz w:val="24"/>
        </w:rPr>
        <w:t>... za podporo dokazom za oblikovanje politike in prakso</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EU z merjenjem uspešnosti visokošolskih politik, sistemov in posameznih institucij na primerljiv način pomaga zagotoviti vpogled v to, kaj deluje. To se lahko uporabi za spodbuditev razprav znotraj nacionalnih sistemov in institucij ter za ustvarjanje podlage za iskanje boljših rešitev za težave. </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Za utrditev in izboljšanje zbiranja dokazov v zvezi z visokim šolstvom bo Komisija:</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optimizirala sinergije med orodji EU za pridobivanje dokazov z vzpostavitvijo </w:t>
      </w:r>
      <w:r>
        <w:rPr>
          <w:rFonts w:ascii="Times New Roman" w:hAnsi="Times New Roman"/>
          <w:b/>
          <w:noProof/>
          <w:sz w:val="24"/>
        </w:rPr>
        <w:t>vozlišča znanja o visokem šolstvu</w:t>
      </w:r>
      <w:r>
        <w:rPr>
          <w:rFonts w:ascii="Times New Roman" w:hAnsi="Times New Roman"/>
          <w:noProof/>
          <w:sz w:val="24"/>
        </w:rPr>
        <w:t>. S tem se bodo ob vključitvi evropskega registra terciarnega izobraževanja (ETER),</w:t>
      </w:r>
      <w:r>
        <w:rPr>
          <w:rStyle w:val="FootnoteReference"/>
          <w:rFonts w:ascii="Times New Roman" w:hAnsi="Times New Roman"/>
          <w:noProof/>
          <w:sz w:val="24"/>
        </w:rPr>
        <w:footnoteReference w:id="32"/>
      </w:r>
      <w:r>
        <w:rPr>
          <w:noProof/>
        </w:rPr>
        <w:t xml:space="preserve"> </w:t>
      </w:r>
      <w:r>
        <w:rPr>
          <w:rFonts w:ascii="Times New Roman" w:hAnsi="Times New Roman"/>
          <w:noProof/>
          <w:sz w:val="24"/>
        </w:rPr>
        <w:t>orodja U-Multirank</w:t>
      </w:r>
      <w:r>
        <w:rPr>
          <w:rStyle w:val="FootnoteReference"/>
          <w:noProof/>
        </w:rPr>
        <w:footnoteReference w:id="33"/>
      </w:r>
      <w:r>
        <w:rPr>
          <w:rFonts w:ascii="Times New Roman" w:hAnsi="Times New Roman"/>
          <w:noProof/>
          <w:sz w:val="24"/>
        </w:rPr>
        <w:t xml:space="preserve"> in predlagane pilotne faze študije o spremljanju diplomantov okrepili kakovost in primerljivost podatkov, zbiranje podatkov in kazalniki ter pridobila spoznanja iz dosedanjega izvajanja orodij EU za pridobivanje podatkov o visokem šolstvu;</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okrepila delo </w:t>
      </w:r>
      <w:r>
        <w:rPr>
          <w:rFonts w:ascii="Times New Roman" w:hAnsi="Times New Roman"/>
          <w:b/>
          <w:noProof/>
          <w:sz w:val="24"/>
        </w:rPr>
        <w:t>mreže</w:t>
      </w:r>
      <w:r>
        <w:rPr>
          <w:rFonts w:ascii="Times New Roman" w:hAnsi="Times New Roman"/>
          <w:noProof/>
          <w:sz w:val="24"/>
        </w:rPr>
        <w:t xml:space="preserve"> </w:t>
      </w:r>
      <w:r>
        <w:rPr>
          <w:rFonts w:ascii="Times New Roman" w:hAnsi="Times New Roman"/>
          <w:b/>
          <w:noProof/>
          <w:sz w:val="24"/>
        </w:rPr>
        <w:t>Eurydice</w:t>
      </w:r>
      <w:r>
        <w:rPr>
          <w:rFonts w:ascii="Times New Roman" w:hAnsi="Times New Roman"/>
          <w:noProof/>
          <w:sz w:val="24"/>
        </w:rPr>
        <w:t xml:space="preserve"> in </w:t>
      </w:r>
      <w:r>
        <w:rPr>
          <w:rFonts w:ascii="Times New Roman" w:hAnsi="Times New Roman"/>
          <w:b/>
          <w:noProof/>
          <w:sz w:val="24"/>
        </w:rPr>
        <w:t>sodelovanje</w:t>
      </w:r>
      <w:r>
        <w:rPr>
          <w:rFonts w:ascii="Times New Roman" w:hAnsi="Times New Roman"/>
          <w:noProof/>
          <w:sz w:val="24"/>
        </w:rPr>
        <w:t xml:space="preserve"> Komisije</w:t>
      </w:r>
      <w:r>
        <w:rPr>
          <w:rFonts w:ascii="Times New Roman" w:hAnsi="Times New Roman"/>
          <w:b/>
          <w:noProof/>
          <w:sz w:val="24"/>
        </w:rPr>
        <w:t xml:space="preserve"> z OECD</w:t>
      </w:r>
      <w:r>
        <w:rPr>
          <w:rFonts w:ascii="Times New Roman" w:hAnsi="Times New Roman"/>
          <w:noProof/>
          <w:sz w:val="24"/>
        </w:rPr>
        <w:t xml:space="preserve"> in njegovimi državami članicami na področju visokega šolstva, raziskav in inovacij, da bi preprečili podvajanje prizadevanj in imeli koristi od skupnega dela.</w:t>
      </w:r>
    </w:p>
    <w:p>
      <w:pPr>
        <w:pStyle w:val="ListParagraph"/>
        <w:spacing w:before="240"/>
        <w:ind w:left="0"/>
        <w:jc w:val="both"/>
        <w:rPr>
          <w:rFonts w:ascii="Times New Roman" w:eastAsia="Times New Roman" w:hAnsi="Times New Roman" w:cs="Times New Roman"/>
          <w:b/>
          <w:i/>
          <w:iCs/>
          <w:noProof/>
          <w:sz w:val="24"/>
          <w:szCs w:val="24"/>
        </w:rPr>
      </w:pPr>
      <w:r>
        <w:rPr>
          <w:rFonts w:ascii="Times New Roman" w:hAnsi="Times New Roman"/>
          <w:b/>
          <w:i/>
          <w:noProof/>
          <w:sz w:val="24"/>
        </w:rPr>
        <w:t>... in zagotovitev, da se razpoložljivi viri uporabijo za strateške naložbe v visoko šolstvo</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Poleg </w:t>
      </w:r>
      <w:r>
        <w:rPr>
          <w:rFonts w:ascii="Times New Roman" w:hAnsi="Times New Roman"/>
          <w:b/>
          <w:noProof/>
          <w:sz w:val="24"/>
        </w:rPr>
        <w:t>financiranja v okviru programa</w:t>
      </w:r>
      <w:r>
        <w:rPr>
          <w:rFonts w:ascii="Times New Roman" w:hAnsi="Times New Roman"/>
          <w:noProof/>
          <w:sz w:val="24"/>
        </w:rPr>
        <w:t xml:space="preserve"> </w:t>
      </w:r>
      <w:r>
        <w:rPr>
          <w:rFonts w:ascii="Times New Roman" w:hAnsi="Times New Roman"/>
          <w:b/>
          <w:noProof/>
          <w:sz w:val="24"/>
        </w:rPr>
        <w:t>Erasmus+</w:t>
      </w:r>
      <w:r>
        <w:rPr>
          <w:rFonts w:ascii="Times New Roman" w:hAnsi="Times New Roman"/>
          <w:noProof/>
          <w:sz w:val="24"/>
        </w:rPr>
        <w:t xml:space="preserve"> so bila za podporo visokemu šolstvu v številnih delih EU, zlasti v manj razvitih regijah, dodeljena znatna </w:t>
      </w:r>
      <w:r>
        <w:rPr>
          <w:rFonts w:ascii="Times New Roman" w:hAnsi="Times New Roman"/>
          <w:b/>
          <w:noProof/>
          <w:sz w:val="24"/>
        </w:rPr>
        <w:t>sredstva v okviru evropskih strukturnih in investicijskih skladov</w:t>
      </w:r>
      <w:r>
        <w:rPr>
          <w:rStyle w:val="FootnoteReference"/>
          <w:rFonts w:ascii="Times New Roman" w:hAnsi="Times New Roman"/>
          <w:noProof/>
          <w:sz w:val="24"/>
        </w:rPr>
        <w:footnoteReference w:id="34"/>
      </w:r>
      <w:r>
        <w:rPr>
          <w:rFonts w:ascii="Times New Roman" w:hAnsi="Times New Roman"/>
          <w:noProof/>
          <w:sz w:val="24"/>
        </w:rPr>
        <w:t>. Projekt HESS</w:t>
      </w:r>
      <w:r>
        <w:rPr>
          <w:rStyle w:val="FootnoteReference"/>
          <w:rFonts w:ascii="Times New Roman" w:hAnsi="Times New Roman"/>
          <w:noProof/>
          <w:sz w:val="24"/>
        </w:rPr>
        <w:footnoteReference w:id="35"/>
      </w:r>
      <w:r>
        <w:rPr>
          <w:rFonts w:ascii="Times New Roman" w:hAnsi="Times New Roman"/>
          <w:noProof/>
          <w:sz w:val="24"/>
        </w:rPr>
        <w:t xml:space="preserve"> je pomemben sestavni del sedanje strategije Komisije, ki naj bi visokošolskim institucijam pomagala optimizirati ta sredstva z izboljšanjem njihovega učinka na regionalna gospodarstva in inovacijsko zmogljivost. Tudi </w:t>
      </w:r>
      <w:r>
        <w:rPr>
          <w:rFonts w:ascii="Times New Roman" w:hAnsi="Times New Roman"/>
          <w:b/>
          <w:noProof/>
          <w:sz w:val="24"/>
        </w:rPr>
        <w:t>Evropski sklad za strateške naložbe</w:t>
      </w:r>
      <w:r>
        <w:rPr>
          <w:rFonts w:ascii="Times New Roman" w:hAnsi="Times New Roman"/>
          <w:noProof/>
          <w:sz w:val="24"/>
        </w:rPr>
        <w:t xml:space="preserve"> (EFSI) se začenja uporabljati za privabljanje zasebnih naložb v posamezne visokošolske dejavnosti, ki imajo dobre možnosti za finančni donos, vendar niso zanimive za tradicionalne posojilodajalce iz zasebnega sektorja.</w:t>
      </w:r>
    </w:p>
    <w:p>
      <w:pPr>
        <w:pStyle w:val="ListParagraph"/>
        <w:ind w:left="0"/>
        <w:jc w:val="both"/>
        <w:rPr>
          <w:rFonts w:ascii="Times New Roman" w:eastAsia="Times New Roman" w:hAnsi="Times New Roman" w:cs="Times New Roman"/>
          <w:b/>
          <w:i/>
          <w:iCs/>
          <w:noProof/>
          <w:sz w:val="24"/>
          <w:szCs w:val="24"/>
        </w:rPr>
      </w:pPr>
      <w:r>
        <w:rPr>
          <w:rFonts w:ascii="Times New Roman" w:hAnsi="Times New Roman"/>
          <w:b/>
          <w:i/>
          <w:noProof/>
          <w:sz w:val="24"/>
        </w:rPr>
        <w:t>... in spodbujanje mednarodnega sodelovanja, izmenjav in mobilnosti za povečanje kakovosti</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Komisija si s svojimi ukrepi prizadeva zagotoviti, da se dobra praksa in najnovejši razvoj na področju izobraževanja, raziskav in inovacij izmenjujeta in uporabljata čim širše po Evropi in svetu. Tako </w:t>
      </w:r>
      <w:r>
        <w:rPr>
          <w:rFonts w:ascii="Times New Roman" w:hAnsi="Times New Roman"/>
          <w:b/>
          <w:noProof/>
          <w:sz w:val="24"/>
        </w:rPr>
        <w:t>mednarodno kroženje zamisli</w:t>
      </w:r>
      <w:r>
        <w:rPr>
          <w:rFonts w:ascii="Times New Roman" w:hAnsi="Times New Roman"/>
          <w:noProof/>
          <w:sz w:val="24"/>
        </w:rPr>
        <w:t xml:space="preserve"> temelji na </w:t>
      </w:r>
      <w:r>
        <w:rPr>
          <w:rFonts w:ascii="Times New Roman" w:hAnsi="Times New Roman"/>
          <w:b/>
          <w:noProof/>
          <w:sz w:val="24"/>
        </w:rPr>
        <w:t>sodelovanju</w:t>
      </w:r>
      <w:r>
        <w:rPr>
          <w:rFonts w:ascii="Times New Roman" w:hAnsi="Times New Roman"/>
          <w:noProof/>
          <w:sz w:val="24"/>
        </w:rPr>
        <w:t xml:space="preserve"> med študenti, raziskovalci, osebjem, institucijami in vladami ter fizični </w:t>
      </w:r>
      <w:r>
        <w:rPr>
          <w:rFonts w:ascii="Times New Roman" w:hAnsi="Times New Roman"/>
          <w:b/>
          <w:noProof/>
          <w:sz w:val="24"/>
        </w:rPr>
        <w:t>mobilnosti</w:t>
      </w:r>
      <w:r>
        <w:rPr>
          <w:rFonts w:ascii="Times New Roman" w:hAnsi="Times New Roman"/>
          <w:noProof/>
          <w:sz w:val="24"/>
        </w:rPr>
        <w:t xml:space="preserve"> posameznikov in podpori za „internacionalizacijo doma“ v okviru evropskih visokošolskih institucij. To pa institucijam pomaga, da postanejo bolj odprte v svet, in prispeva k preprečevanju bega možganov. </w:t>
      </w:r>
    </w:p>
    <w:p>
      <w:pPr>
        <w:pStyle w:val="ListParagraph"/>
        <w:ind w:left="0"/>
        <w:jc w:val="both"/>
        <w:rPr>
          <w:rFonts w:ascii="Times New Roman" w:hAnsi="Times New Roman" w:cs="Times New Roman"/>
          <w:noProof/>
          <w:sz w:val="24"/>
          <w:szCs w:val="24"/>
        </w:rPr>
      </w:pPr>
      <w:r>
        <w:rPr>
          <w:rFonts w:ascii="Times New Roman" w:hAnsi="Times New Roman"/>
          <w:noProof/>
          <w:sz w:val="24"/>
        </w:rPr>
        <w:t>Visokošolski in raziskovalni programi EU se čedalje bolj osredotočajo na mednarodno sodelovanje, kar je izraženo v naboru strokovnega znanja, potrebnega za reševanje zapletenih globalnih vprašanj. Komisija bo še naprej spodbujala mobilnost študentov in osebja z zagotavljanjem, da bodo države članice izvajale prenovljeno direktivo o študentih in raziskovalcih</w:t>
      </w:r>
      <w:r>
        <w:rPr>
          <w:rStyle w:val="FootnoteReference"/>
          <w:rFonts w:ascii="Times New Roman" w:hAnsi="Times New Roman"/>
          <w:noProof/>
          <w:sz w:val="24"/>
        </w:rPr>
        <w:footnoteReference w:id="36"/>
      </w:r>
      <w:r>
        <w:rPr>
          <w:rFonts w:ascii="Times New Roman" w:hAnsi="Times New Roman"/>
          <w:noProof/>
          <w:sz w:val="24"/>
        </w:rPr>
        <w:t xml:space="preserve">, in podpiranjem elektronske izmenjave podatkov med evropskimi visokošolskimi institucijami ter mobilnimi študenti in osebjem. V luči ministrske konference v okviru bolonjskega procesa, ki bo potekala leta 2018, bo tudi pozvala države članice EU k razpravi o usmeritvi prihodnjega sodelovanja v evropskem visokošolskem prostoru. </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Medtem ko Komisija pripravlja </w:t>
      </w:r>
      <w:r>
        <w:rPr>
          <w:rFonts w:ascii="Times New Roman" w:hAnsi="Times New Roman"/>
          <w:b/>
          <w:noProof/>
          <w:sz w:val="24"/>
        </w:rPr>
        <w:t>naslednji večletni proračun EU</w:t>
      </w:r>
      <w:r>
        <w:rPr>
          <w:rFonts w:ascii="Times New Roman" w:hAnsi="Times New Roman"/>
          <w:noProof/>
          <w:sz w:val="24"/>
        </w:rPr>
        <w:t>, bo skupaj z državami članicami proučila prihodnost skupnih ciljev EU na področju izobraževanja, raziskav in inovacij ter si prizadevala okrepiti sodelovanje na teh področjih kot osnovo za uresničevanje ciljev iz tega sporočila.</w:t>
      </w:r>
    </w:p>
    <w:p>
      <w:p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noProof/>
        </w:rPr>
      </w:pPr>
      <w:r>
        <w:rPr>
          <w:noProof/>
        </w:rPr>
        <w:t>Komisija bo:</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poenostavila študentsko mobilnost na podlagi obstoječih projektov v okviru programa Erasmus+</w:t>
      </w:r>
      <w:r>
        <w:rPr>
          <w:rStyle w:val="FootnoteReference"/>
          <w:rFonts w:ascii="Times New Roman" w:hAnsi="Times New Roman"/>
          <w:noProof/>
          <w:sz w:val="24"/>
        </w:rPr>
        <w:footnoteReference w:id="37"/>
      </w:r>
      <w:r>
        <w:rPr>
          <w:rFonts w:ascii="Times New Roman" w:hAnsi="Times New Roman"/>
          <w:noProof/>
          <w:sz w:val="24"/>
        </w:rPr>
        <w:t xml:space="preserve"> za </w:t>
      </w:r>
      <w:r>
        <w:rPr>
          <w:rFonts w:ascii="Times New Roman" w:hAnsi="Times New Roman"/>
          <w:b/>
          <w:noProof/>
          <w:sz w:val="24"/>
        </w:rPr>
        <w:t>elektronsko izmenjavo podatkov o študentih</w:t>
      </w:r>
      <w:r>
        <w:rPr>
          <w:rFonts w:ascii="Times New Roman" w:hAnsi="Times New Roman"/>
          <w:noProof/>
          <w:sz w:val="24"/>
        </w:rPr>
        <w:t xml:space="preserve"> in proučila izvedljivost vzpostavitve </w:t>
      </w:r>
      <w:r>
        <w:rPr>
          <w:rFonts w:ascii="Times New Roman" w:hAnsi="Times New Roman"/>
          <w:b/>
          <w:noProof/>
          <w:sz w:val="24"/>
        </w:rPr>
        <w:t>elektronskih sistemov za identifikacijo študentov</w:t>
      </w:r>
      <w:r>
        <w:rPr>
          <w:rFonts w:ascii="Times New Roman" w:hAnsi="Times New Roman"/>
          <w:noProof/>
          <w:sz w:val="24"/>
        </w:rPr>
        <w:t>, da bi omogočili čezmejni dostop do storitev in podatkov za študente;</w:t>
      </w:r>
    </w:p>
    <w:p>
      <w:pPr>
        <w:pStyle w:val="ListParagraph"/>
        <w:numPr>
          <w:ilvl w:val="0"/>
          <w:numId w:val="12"/>
        </w:numPr>
        <w:pBdr>
          <w:top w:val="single" w:sz="4" w:space="1" w:color="auto"/>
          <w:left w:val="single" w:sz="4" w:space="4" w:color="auto"/>
          <w:bottom w:val="single" w:sz="4" w:space="1" w:color="auto"/>
          <w:right w:val="single" w:sz="4" w:space="4" w:color="auto"/>
          <w:between w:val="none" w:sz="0" w:space="0" w:color="auto"/>
          <w:bar w:val="none" w:sz="0" w:color="auto"/>
        </w:pBdr>
        <w:shd w:val="clear" w:color="auto" w:fill="F2F2F2" w:themeFill="background1" w:themeFillShade="F2"/>
        <w:spacing w:after="120"/>
        <w:jc w:val="both"/>
        <w:rPr>
          <w:rFonts w:ascii="Times New Roman" w:hAnsi="Times New Roman" w:cs="Times New Roman"/>
          <w:noProof/>
          <w:sz w:val="24"/>
          <w:szCs w:val="24"/>
        </w:rPr>
      </w:pPr>
      <w:r>
        <w:rPr>
          <w:rFonts w:ascii="Times New Roman" w:hAnsi="Times New Roman"/>
          <w:noProof/>
          <w:sz w:val="24"/>
        </w:rPr>
        <w:t xml:space="preserve">začela razpravo z državami članicami in zainteresiranimi stranmi, ki bo potekala kot del </w:t>
      </w:r>
      <w:r>
        <w:rPr>
          <w:rFonts w:ascii="Times New Roman" w:hAnsi="Times New Roman"/>
          <w:b/>
          <w:noProof/>
          <w:sz w:val="24"/>
        </w:rPr>
        <w:t>vmesnega pregleda programa Erasmus+</w:t>
      </w:r>
      <w:r>
        <w:rPr>
          <w:rFonts w:ascii="Times New Roman" w:hAnsi="Times New Roman"/>
          <w:noProof/>
          <w:sz w:val="24"/>
        </w:rPr>
        <w:t xml:space="preserve">, o učinkoviti podpori za študente, osebje, institucije in visokošolske sisteme.  </w:t>
      </w:r>
    </w:p>
    <w:p>
      <w:pPr>
        <w:pStyle w:val="Heading1"/>
        <w:spacing w:before="360" w:after="200"/>
        <w:rPr>
          <w:rFonts w:ascii="Times New Roman" w:hAnsi="Times New Roman" w:cs="Times New Roman"/>
          <w:noProof/>
          <w:color w:val="auto"/>
          <w:sz w:val="24"/>
          <w:szCs w:val="24"/>
        </w:rPr>
      </w:pPr>
      <w:r>
        <w:rPr>
          <w:rFonts w:ascii="Times New Roman" w:hAnsi="Times New Roman"/>
          <w:noProof/>
          <w:color w:val="auto"/>
          <w:sz w:val="24"/>
        </w:rPr>
        <w:t>4.</w:t>
      </w:r>
      <w:r>
        <w:rPr>
          <w:noProof/>
        </w:rPr>
        <w:tab/>
      </w:r>
      <w:r>
        <w:rPr>
          <w:rFonts w:ascii="Times New Roman" w:hAnsi="Times New Roman"/>
          <w:noProof/>
          <w:color w:val="auto"/>
          <w:sz w:val="24"/>
        </w:rPr>
        <w:t>SKLEPNE UGOTOVITVE IN NASLEDNJI KORAKI</w:t>
      </w:r>
    </w:p>
    <w:p>
      <w:pPr>
        <w:pStyle w:val="ListParagraph"/>
        <w:ind w:left="0"/>
        <w:jc w:val="both"/>
        <w:rPr>
          <w:rFonts w:ascii="Times New Roman" w:hAnsi="Times New Roman" w:cs="Times New Roman"/>
          <w:noProof/>
          <w:sz w:val="24"/>
          <w:szCs w:val="24"/>
        </w:rPr>
      </w:pPr>
      <w:r>
        <w:rPr>
          <w:rFonts w:ascii="Times New Roman" w:hAnsi="Times New Roman"/>
          <w:noProof/>
          <w:sz w:val="24"/>
        </w:rPr>
        <w:t xml:space="preserve">Za izvajanje te prenovljene agende bo potrebno sodelovanje med zainteresiranimi stranmi znotraj in zunaj visokega šolstva. Komisija bo začela dialog o izvajanju teh ukrepov in bo še naprej sodelovala z zainteresiranimi stranmi, skupaj z državami članicami, Evropskim parlamentom, Odborom regij, Evropskim ekonomsko-socialnim odborom ter skupino Evropske investicijske banke, da bi nadaljevala delo v zvezi s to agendo in zagotovila uskladitev s prednostnimi nalogami sedanjih in prihodnjih programov financiranja EU. </w:t>
      </w:r>
    </w:p>
    <w:p>
      <w:pPr>
        <w:pStyle w:val="ListParagraph"/>
        <w:ind w:left="0"/>
        <w:jc w:val="both"/>
        <w:rPr>
          <w:rFonts w:ascii="Times New Roman" w:hAnsi="Times New Roman" w:cs="Times New Roman"/>
          <w:noProof/>
          <w:sz w:val="24"/>
          <w:szCs w:val="24"/>
        </w:rPr>
      </w:pPr>
      <w:r>
        <w:rPr>
          <w:rFonts w:ascii="Times New Roman" w:hAnsi="Times New Roman"/>
          <w:noProof/>
          <w:sz w:val="24"/>
        </w:rPr>
        <w:t>Prenovljena agenda za visoko šolstvo je del širše strategije Komisije za podporo mladih in krepitev evropskega stebra socialnih pravic. Dopolnjuje sporočilo o razvoju šol in odličnem poučevanju ter evropske solidarnostne enote, ob tem pa priznava ključno vlogo visokega šolstva pri postavljanju temeljev za uspešne, vključujoče in demokratične družbe. To je glavni cilj, ki ga morajo Komisija, države članice in zainteresirane strani upoštevati pri nadaljnjem delu v zvezi s to agendo.</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SL</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17930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1">
        <w:r>
          <w:rPr>
            <w:rStyle w:val="Hyperlink"/>
            <w:rFonts w:ascii="Times New Roman" w:hAnsi="Times New Roman"/>
          </w:rPr>
          <w:t>COM(2017) 2025 final</w:t>
        </w:r>
        <w:r>
          <w:rPr>
            <w:rStyle w:val="Hyperlink"/>
            <w:rFonts w:ascii="Times New Roman" w:hAnsi="Times New Roman"/>
            <w:u w:val="none"/>
          </w:rPr>
          <w:t>.</w:t>
        </w:r>
      </w:hyperlink>
    </w:p>
  </w:footnote>
  <w:footnote w:id="2">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2">
        <w:r>
          <w:rPr>
            <w:rStyle w:val="Hyperlink"/>
            <w:rFonts w:ascii="Times New Roman" w:hAnsi="Times New Roman"/>
          </w:rPr>
          <w:t>COM(2016) 940 final</w:t>
        </w:r>
        <w:r>
          <w:rPr>
            <w:rStyle w:val="Hyperlink"/>
            <w:rFonts w:ascii="Times New Roman" w:hAnsi="Times New Roman"/>
            <w:u w:val="none"/>
          </w:rPr>
          <w:t>.</w:t>
        </w:r>
      </w:hyperlink>
    </w:p>
  </w:footnote>
  <w:footnote w:id="3">
    <w:p>
      <w:pPr>
        <w:pStyle w:val="FootnoteText"/>
        <w:ind w:left="720" w:hanging="720"/>
        <w:rPr>
          <w:rFonts w:ascii="Times New Roman" w:hAnsi="Times New Roman" w:cs="Times New Roman"/>
          <w:lang w:val="pt-PT"/>
        </w:rPr>
      </w:pPr>
      <w:r>
        <w:rPr>
          <w:rFonts w:ascii="Times New Roman" w:hAnsi="Times New Roman"/>
          <w:vertAlign w:val="superscript"/>
        </w:rPr>
        <w:footnoteRef/>
      </w:r>
      <w:r>
        <w:rPr>
          <w:rFonts w:ascii="Times New Roman" w:hAnsi="Times New Roman"/>
        </w:rPr>
        <w:t xml:space="preserve"> </w:t>
      </w:r>
      <w:r>
        <w:tab/>
      </w:r>
      <w:hyperlink r:id="rId3">
        <w:r>
          <w:rPr>
            <w:rStyle w:val="Hyperlink"/>
            <w:rFonts w:ascii="Times New Roman" w:hAnsi="Times New Roman"/>
          </w:rPr>
          <w:t>COM(2016) 381 final</w:t>
        </w:r>
      </w:hyperlink>
      <w:r>
        <w:rPr>
          <w:rStyle w:val="Hyperlink"/>
          <w:rFonts w:ascii="Times New Roman" w:hAnsi="Times New Roman"/>
          <w:u w:val="none"/>
        </w:rPr>
        <w:t>.</w:t>
      </w:r>
    </w:p>
  </w:footnote>
  <w:footnote w:id="4">
    <w:p>
      <w:pPr>
        <w:rPr>
          <w:color w:val="1F497D"/>
          <w:sz w:val="20"/>
          <w:szCs w:val="20"/>
          <w:lang w:val="pt-PT"/>
        </w:rPr>
      </w:pPr>
      <w:r>
        <w:rPr>
          <w:rStyle w:val="FootnoteReference"/>
          <w:sz w:val="20"/>
        </w:rPr>
        <w:footnoteRef/>
      </w:r>
      <w:r>
        <w:rPr>
          <w:sz w:val="20"/>
        </w:rPr>
        <w:t xml:space="preserve"> </w:t>
      </w:r>
      <w:r>
        <w:tab/>
      </w:r>
      <w:hyperlink r:id="rId4">
        <w:r>
          <w:rPr>
            <w:rStyle w:val="Hyperlink"/>
            <w:sz w:val="20"/>
          </w:rPr>
          <w:t>COM(2017) 250 final</w:t>
        </w:r>
        <w:r>
          <w:rPr>
            <w:rStyle w:val="Hyperlink"/>
            <w:sz w:val="20"/>
            <w:u w:val="none"/>
          </w:rPr>
          <w:t>.</w:t>
        </w:r>
      </w:hyperlink>
      <w:r>
        <w:rPr>
          <w:sz w:val="20"/>
        </w:rPr>
        <w:t xml:space="preserve"> </w:t>
      </w:r>
    </w:p>
  </w:footnote>
  <w:footnote w:id="5">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5">
        <w:r>
          <w:rPr>
            <w:rStyle w:val="Hyperlink"/>
            <w:rFonts w:ascii="Times New Roman" w:hAnsi="Times New Roman"/>
          </w:rPr>
          <w:t>https://ec.europa.eu/commission/publications/reflection-paper-harnessing-globalisation_sl</w:t>
        </w:r>
        <w:r>
          <w:rPr>
            <w:rStyle w:val="Hyperlink"/>
            <w:rFonts w:ascii="Times New Roman" w:hAnsi="Times New Roman"/>
            <w:u w:val="none"/>
          </w:rPr>
          <w:t>.</w:t>
        </w:r>
      </w:hyperlink>
      <w:r>
        <w:rPr>
          <w:rFonts w:ascii="Times New Roman" w:hAnsi="Times New Roman"/>
        </w:rPr>
        <w:t xml:space="preserve"> </w:t>
      </w:r>
    </w:p>
  </w:footnote>
  <w:footnote w:id="6">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Napovedane v COM(2016) 941 final.</w:t>
      </w:r>
    </w:p>
  </w:footnote>
  <w:footnote w:id="7">
    <w:p>
      <w:pPr>
        <w:pStyle w:val="FootnoteText"/>
        <w:rPr>
          <w:rStyle w:val="Hyperlink"/>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hyperlink r:id="rId6">
        <w:r>
          <w:rPr>
            <w:rStyle w:val="Hyperlink"/>
            <w:rFonts w:ascii="Times New Roman" w:hAnsi="Times New Roman"/>
          </w:rPr>
          <w:t>COM(2011) 567 final</w:t>
        </w:r>
      </w:hyperlink>
      <w:r>
        <w:rPr>
          <w:rStyle w:val="Hyperlink"/>
          <w:rFonts w:ascii="Times New Roman" w:hAnsi="Times New Roman"/>
        </w:rPr>
        <w:t>.</w:t>
      </w:r>
    </w:p>
  </w:footnote>
  <w:footnote w:id="8">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t>Glej</w:t>
      </w:r>
      <w:r>
        <w:rPr>
          <w:rFonts w:ascii="Times New Roman" w:hAnsi="Times New Roman"/>
        </w:rPr>
        <w:t xml:space="preserve"> </w:t>
      </w:r>
      <w:hyperlink r:id="rId7">
        <w:r>
          <w:rPr>
            <w:rStyle w:val="Hyperlink"/>
            <w:rFonts w:ascii="Times New Roman" w:hAnsi="Times New Roman"/>
          </w:rPr>
          <w:t>Prilogo II k delovnemu dokumentu služb Komisije</w:t>
        </w:r>
      </w:hyperlink>
      <w:r>
        <w:rPr>
          <w:rFonts w:ascii="Times New Roman" w:hAnsi="Times New Roman"/>
        </w:rPr>
        <w:t>, ki je priložen Novemu programu znanj in spretnosti za Evropo.</w:t>
      </w:r>
    </w:p>
  </w:footnote>
  <w:footnote w:id="9">
    <w:p>
      <w:pPr>
        <w:pStyle w:val="FootnoteText"/>
        <w:rPr>
          <w:rFonts w:ascii="Times New Roman" w:hAnsi="Times New Roman" w:cs="Times New Roman"/>
          <w:lang w:val="pt-PT"/>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Glej priloženi delovni dokument služb Komisije.</w:t>
      </w:r>
    </w:p>
  </w:footnote>
  <w:footnote w:id="10">
    <w:p>
      <w:pPr>
        <w:pStyle w:val="FootnoteText"/>
        <w:ind w:left="720" w:hanging="720"/>
        <w:rPr>
          <w:lang w:val="pl-PL"/>
        </w:rPr>
      </w:pPr>
      <w:r>
        <w:rPr>
          <w:rStyle w:val="FootnoteReference"/>
        </w:rPr>
        <w:footnoteRef/>
      </w:r>
      <w:r>
        <w:t xml:space="preserve"> </w:t>
      </w:r>
      <w:r>
        <w:tab/>
      </w:r>
      <w:r>
        <w:rPr>
          <w:rFonts w:ascii="Times New Roman" w:hAnsi="Times New Roman"/>
        </w:rPr>
        <w:t>Glej „Skill shortage and surplus occupations in Europe“ (Pomanjkanje in presežki strokovno usposobljene delovne sile v Evropi) (Cedefop, 2016): „V Evropi do največjega pomanjkanja strokovno usposobljene delovne sile prihaja v naslednjih petih poklicih: strokovnjaki IKT, zdravniki, poklici na področju naravoslovja, tehnike, inženirstva in matematike, medicinske sestre in babice ter učitelji.“ Položaj se spreminja od ene do druge regije.</w:t>
      </w:r>
    </w:p>
  </w:footnote>
  <w:footnote w:id="11">
    <w:p>
      <w:pPr>
        <w:pStyle w:val="FootnoteText"/>
        <w:rPr>
          <w:rFonts w:ascii="Times New Roman" w:hAnsi="Times New Roman" w:cs="Times New Roman"/>
          <w:lang w:val="pl-PL"/>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Glej COM(2017) 228.</w:t>
      </w:r>
    </w:p>
  </w:footnote>
  <w:footnote w:id="12">
    <w:p>
      <w:pPr>
        <w:pStyle w:val="FootnoteText"/>
      </w:pPr>
      <w:r>
        <w:rPr>
          <w:rStyle w:val="FootnoteReference"/>
        </w:rPr>
        <w:footnoteRef/>
      </w:r>
      <w:r>
        <w:t xml:space="preserve"> </w:t>
      </w:r>
      <w:r>
        <w:tab/>
      </w:r>
      <w:r>
        <w:rPr>
          <w:rFonts w:ascii="Times New Roman" w:hAnsi="Times New Roman"/>
        </w:rPr>
        <w:t xml:space="preserve">(DigComp): </w:t>
      </w:r>
      <w:hyperlink r:id="rId8">
        <w:r>
          <w:rPr>
            <w:rFonts w:ascii="Times New Roman" w:hAnsi="Times New Roman"/>
          </w:rPr>
          <w:t>https://ec.europa.eu/jrc/en/digcomp.</w:t>
        </w:r>
      </w:hyperlink>
    </w:p>
  </w:footnote>
  <w:footnote w:id="13">
    <w:p>
      <w:pPr>
        <w:pStyle w:val="FootnoteText"/>
        <w:ind w:left="720" w:hanging="720"/>
        <w:rPr>
          <w:lang w:val="pl-PL"/>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Kratki izobraževalni programi (EOK 5). </w:t>
      </w:r>
    </w:p>
  </w:footnote>
  <w:footnote w:id="14">
    <w:p>
      <w:pPr>
        <w:pStyle w:val="FootnoteText"/>
      </w:pPr>
      <w:r>
        <w:rPr>
          <w:rStyle w:val="FootnoteReference"/>
        </w:rPr>
        <w:footnoteRef/>
      </w:r>
      <w:r>
        <w:t xml:space="preserve"> </w:t>
      </w:r>
      <w:r>
        <w:tab/>
      </w:r>
      <w:r>
        <w:rPr>
          <w:rFonts w:ascii="Times New Roman" w:hAnsi="Times New Roman"/>
        </w:rPr>
        <w:t>https://ec.europa.eu/jrc/en/open-education.</w:t>
      </w:r>
    </w:p>
  </w:footnote>
  <w:footnote w:id="15">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Običajno se kombinirata spletno učenje in učenje v učilnici.</w:t>
      </w:r>
    </w:p>
  </w:footnote>
  <w:footnote w:id="16">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Podatki o učencih in njihovih okoliščinah, ki se uporabljajo za opredelitev učnih potreb študentov.</w:t>
      </w:r>
    </w:p>
  </w:footnote>
  <w:footnote w:id="1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Odprta znanost je gibanje, ki si prizadeva za dostopnost znanstvenih raziskav in podatkov za vse.</w:t>
      </w:r>
    </w:p>
  </w:footnote>
  <w:footnote w:id="18">
    <w:p>
      <w:pPr>
        <w:pStyle w:val="FootnoteText"/>
        <w:ind w:left="709" w:hanging="709"/>
      </w:pPr>
      <w:r>
        <w:rPr>
          <w:rStyle w:val="FootnoteReference"/>
        </w:rPr>
        <w:footnoteRef/>
      </w:r>
      <w:r>
        <w:t xml:space="preserve"> </w:t>
      </w:r>
      <w:r>
        <w:tab/>
      </w:r>
      <w:r>
        <w:rPr>
          <w:rFonts w:ascii="Times New Roman" w:hAnsi="Times New Roman"/>
        </w:rPr>
        <w:t>To bo vključevalo diplomante z visokošolsko izobrazbo in dijake, ki so zaključili poklicno izobraževanje in usposabljanje, ter tudi tiste, ki opustijo izobraževanje brez kvalifikacije.</w:t>
      </w:r>
      <w:r>
        <w:t xml:space="preserve"> </w:t>
      </w:r>
    </w:p>
  </w:footnote>
  <w:footnote w:id="19">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 xml:space="preserve">Koalicija temelji na dosedanjih projektih EU, vključno s </w:t>
      </w:r>
      <w:hyperlink r:id="rId9">
        <w:r>
          <w:rPr>
            <w:rStyle w:val="Hyperlink"/>
            <w:rFonts w:ascii="Times New Roman" w:hAnsi="Times New Roman"/>
          </w:rPr>
          <w:t>koalicijo EU STEM</w:t>
        </w:r>
      </w:hyperlink>
      <w:r>
        <w:rPr>
          <w:rFonts w:ascii="Times New Roman" w:hAnsi="Times New Roman"/>
        </w:rPr>
        <w:t>. Prehod od STEM na STEAM odraža priznavanje večjega pomena interdisciplinarnih pristopov v visokem šolstvu. Interakcija med STEM ter umetnostjo in oblikovanjem je gonilo številnih inovacij in bogate ustvarjalnosti.</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Glej COM(2017) 228. Na primer pilotni projekt na področju digitalnih znanj in spretnosti Digital Opportunity, financiran iz Obzorja 2020.</w:t>
      </w:r>
    </w:p>
  </w:footnote>
  <w:footnote w:id="21">
    <w:p>
      <w:pPr>
        <w:pStyle w:val="FootnoteText"/>
        <w:ind w:left="720" w:hanging="720"/>
        <w:rPr>
          <w:rFonts w:ascii="Times New Roman" w:hAnsi="Times New Roman" w:cs="Times New Roman"/>
        </w:rPr>
      </w:pPr>
      <w:r>
        <w:rPr>
          <w:rStyle w:val="FootnoteReference"/>
        </w:rPr>
        <w:footnoteRef/>
      </w:r>
      <w:r>
        <w:t xml:space="preserve"> </w:t>
      </w:r>
      <w:r>
        <w:tab/>
      </w:r>
      <w:r>
        <w:rPr>
          <w:rFonts w:ascii="Times New Roman" w:hAnsi="Times New Roman"/>
        </w:rPr>
        <w:t>V skladu s ciljem trajnostnega razvoja 4 ZN o zagotavljanju vključujočega in kakovostnega izobraževanja za vsakogar.</w:t>
      </w:r>
    </w:p>
  </w:footnote>
  <w:footnote w:id="22">
    <w:p>
      <w:pPr>
        <w:pStyle w:val="FootnoteText"/>
        <w:ind w:left="709" w:hanging="709"/>
      </w:pPr>
      <w:r>
        <w:rPr>
          <w:rStyle w:val="FootnoteReference"/>
        </w:rPr>
        <w:footnoteRef/>
      </w:r>
      <w:r>
        <w:rPr>
          <w:rFonts w:ascii="Times New Roman" w:hAnsi="Times New Roman"/>
        </w:rPr>
        <w:t xml:space="preserve"> </w:t>
      </w:r>
      <w:r>
        <w:tab/>
      </w:r>
      <w:r>
        <w:rPr>
          <w:rFonts w:ascii="Times New Roman" w:hAnsi="Times New Roman"/>
        </w:rPr>
        <w:t>Vključno z usposabljanjem učiteljev za obravnavanje raznolikosti v učilnici.</w:t>
      </w:r>
    </w:p>
  </w:footnote>
  <w:footnote w:id="23">
    <w:p>
      <w:pPr>
        <w:pStyle w:val="FootnoteText"/>
        <w:rPr>
          <w:rFonts w:ascii="Times New Roman" w:hAnsi="Times New Roman" w:cs="Times New Roman"/>
          <w:lang w:val="nn-NO"/>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Kot so opredeljene v evropskem okviru ključnih kompetenc.</w:t>
      </w:r>
    </w:p>
  </w:footnote>
  <w:footnote w:id="24">
    <w:p>
      <w:pPr>
        <w:pStyle w:val="FootnoteText"/>
        <w:rPr>
          <w:rFonts w:ascii="Times New Roman" w:hAnsi="Times New Roman" w:cs="Times New Roman"/>
          <w:lang w:val="nn-NO"/>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Nacionalni informacijski centri za priznavanje visokošolskih diplom in spričeval.</w:t>
      </w:r>
    </w:p>
  </w:footnote>
  <w:footnote w:id="25">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https://heinnovate.eu.</w:t>
      </w:r>
    </w:p>
  </w:footnote>
  <w:footnote w:id="26">
    <w:p>
      <w:pPr>
        <w:pStyle w:val="FootnoteText"/>
        <w:ind w:left="720" w:hanging="720"/>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Pečat odličnosti je znak kakovosti Evropske komisije, ki se podeljuje odličnim predlogom raziskovalnih in inovacijskih projektov, ki so bili v postopku za pridobitev sredstev iz Obzorja 2020 predloženi in pozitivno ocenjeni, vendar zaradi omejenega proračuna sredstev niso prejeli (https://ec.europa.eu/research/soe/index.cfm?pg=opportunities_msca).</w:t>
      </w:r>
    </w:p>
  </w:footnote>
  <w:footnote w:id="27">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https://eit.europa.eu/activities/education/eit-label.</w:t>
      </w:r>
    </w:p>
  </w:footnote>
  <w:footnote w:id="28">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Projekt CREASSESS.</w:t>
      </w:r>
    </w:p>
  </w:footnote>
  <w:footnote w:id="29">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hyperlink r:id="rId10">
        <w:r>
          <w:rPr>
            <w:rStyle w:val="Hyperlink"/>
            <w:rFonts w:ascii="Times New Roman" w:hAnsi="Times New Roman"/>
          </w:rPr>
          <w:t>http://s3platform.jrc.ec.europa.eu/hess</w:t>
        </w:r>
      </w:hyperlink>
      <w:r>
        <w:rPr>
          <w:rFonts w:ascii="Times New Roman" w:hAnsi="Times New Roman"/>
        </w:rPr>
        <w:t>.</w:t>
      </w:r>
    </w:p>
  </w:footnote>
  <w:footnote w:id="30">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Nekateri sistemi za financiranje raziskav vključujejo uporabo raziskav pri poučevanju kot merilo za izbor.</w:t>
      </w:r>
    </w:p>
  </w:footnote>
  <w:footnote w:id="31">
    <w:p>
      <w:pPr>
        <w:pStyle w:val="FootnoteText"/>
      </w:pPr>
      <w:r>
        <w:rPr>
          <w:rStyle w:val="FootnoteReference"/>
        </w:rPr>
        <w:footnoteRef/>
      </w:r>
      <w:r>
        <w:t xml:space="preserve"> </w:t>
      </w:r>
      <w:r>
        <w:tab/>
      </w:r>
      <w:r>
        <w:rPr>
          <w:rFonts w:ascii="Times New Roman" w:hAnsi="Times New Roman"/>
        </w:rPr>
        <w:t>Glej opis četverne vijačnice v priloženem delovnem dokumentu služb Komisije.</w:t>
      </w:r>
    </w:p>
  </w:footnote>
  <w:footnote w:id="32">
    <w:p>
      <w:pPr>
        <w:pStyle w:val="FootnoteText"/>
        <w:rPr>
          <w:rFonts w:ascii="Times New Roman" w:hAnsi="Times New Roman"/>
        </w:rPr>
      </w:pPr>
      <w:r>
        <w:rPr>
          <w:rStyle w:val="FootnoteReference"/>
        </w:rPr>
        <w:footnoteRef/>
      </w:r>
      <w:r>
        <w:rPr>
          <w:rFonts w:ascii="Times New Roman" w:hAnsi="Times New Roman"/>
        </w:rPr>
        <w:t xml:space="preserve"> </w:t>
      </w:r>
      <w:r>
        <w:tab/>
      </w:r>
      <w:hyperlink r:id="rId11">
        <w:r>
          <w:rPr>
            <w:rStyle w:val="Hyperlink"/>
            <w:rFonts w:ascii="Times New Roman" w:hAnsi="Times New Roman"/>
          </w:rPr>
          <w:t>https://ec.europa.eu/education/resources/european-tertiary-education-register_sl</w:t>
        </w:r>
      </w:hyperlink>
      <w:r>
        <w:rPr>
          <w:rFonts w:ascii="Times New Roman" w:hAnsi="Times New Roman"/>
        </w:rPr>
        <w:t>.</w:t>
      </w:r>
    </w:p>
  </w:footnote>
  <w:footnote w:id="33">
    <w:p>
      <w:pPr>
        <w:pStyle w:val="FootnoteText"/>
        <w:rPr>
          <w:rFonts w:ascii="Times New Roman" w:hAnsi="Times New Roman" w:cs="Times New Roman"/>
        </w:rPr>
      </w:pPr>
      <w:r>
        <w:rPr>
          <w:rStyle w:val="FootnoteReference"/>
        </w:rPr>
        <w:footnoteRef/>
      </w:r>
      <w:r>
        <w:t xml:space="preserve"> </w:t>
      </w:r>
      <w:r>
        <w:tab/>
      </w:r>
      <w:hyperlink r:id="rId12" w:anchor="!/home?trackType=home">
        <w:r>
          <w:rPr>
            <w:rStyle w:val="Hyperlink"/>
            <w:rFonts w:ascii="Times New Roman" w:hAnsi="Times New Roman"/>
          </w:rPr>
          <w:t>http://www.umultirank.org/#!/home?trackType=home</w:t>
        </w:r>
      </w:hyperlink>
      <w:r>
        <w:t>.</w:t>
      </w:r>
    </w:p>
  </w:footnote>
  <w:footnote w:id="34">
    <w:p>
      <w:pPr>
        <w:pStyle w:val="FootnoteText"/>
        <w:ind w:left="709" w:hanging="709"/>
        <w:rPr>
          <w:rFonts w:ascii="Times New Roman" w:hAnsi="Times New Roman"/>
        </w:rPr>
      </w:pPr>
      <w:r>
        <w:rPr>
          <w:rStyle w:val="FootnoteReference"/>
        </w:rPr>
        <w:footnoteRef/>
      </w:r>
      <w:r>
        <w:rPr>
          <w:rFonts w:ascii="Times New Roman" w:hAnsi="Times New Roman"/>
        </w:rPr>
        <w:t xml:space="preserve"> </w:t>
      </w:r>
      <w:r>
        <w:tab/>
      </w:r>
      <w:r>
        <w:rPr>
          <w:rFonts w:ascii="Times New Roman" w:hAnsi="Times New Roman"/>
        </w:rPr>
        <w:t>Do leta 2020 je bilo skoraj 13 milijard EUR sredstev v okviru strukturnih in investicijskih skladov dodeljenih za visokošolsko in javno raziskovalno infrastrukturo.</w:t>
      </w:r>
    </w:p>
  </w:footnote>
  <w:footnote w:id="35">
    <w:p>
      <w:pPr>
        <w:pStyle w:val="FootnoteText"/>
        <w:rPr>
          <w:rFonts w:ascii="Times New Roman" w:hAnsi="Times New Roman" w:cs="Times New Roman"/>
          <w:lang w:val="pl-PL"/>
        </w:rPr>
      </w:pPr>
      <w:r>
        <w:rPr>
          <w:rStyle w:val="FootnoteReference"/>
          <w:rFonts w:ascii="Times New Roman" w:hAnsi="Times New Roman"/>
        </w:rPr>
        <w:footnoteRef/>
      </w:r>
      <w:r>
        <w:rPr>
          <w:rFonts w:ascii="Times New Roman" w:hAnsi="Times New Roman"/>
        </w:rPr>
        <w:t xml:space="preserve"> </w:t>
      </w:r>
      <w:r>
        <w:tab/>
      </w:r>
      <w:r>
        <w:rPr>
          <w:rFonts w:ascii="Times New Roman" w:hAnsi="Times New Roman"/>
        </w:rPr>
        <w:t>Visoko šolstvo za pametno specializacijo.</w:t>
      </w:r>
    </w:p>
  </w:footnote>
  <w:footnote w:id="36">
    <w:p>
      <w:pPr>
        <w:pStyle w:val="FootnoteText"/>
        <w:rPr>
          <w:rFonts w:ascii="Times New Roman" w:hAnsi="Times New Roman" w:cs="Times New Roman"/>
          <w:lang w:val="en-GB"/>
        </w:rPr>
      </w:pPr>
      <w:r>
        <w:rPr>
          <w:rStyle w:val="FootnoteReference"/>
          <w:rFonts w:ascii="Times New Roman" w:hAnsi="Times New Roman"/>
        </w:rPr>
        <w:footnoteRef/>
      </w:r>
      <w:r>
        <w:rPr>
          <w:rFonts w:ascii="Times New Roman" w:hAnsi="Times New Roman"/>
        </w:rPr>
        <w:t xml:space="preserve"> </w:t>
      </w:r>
      <w:r>
        <w:tab/>
      </w:r>
      <w:hyperlink r:id="rId13">
        <w:r>
          <w:rPr>
            <w:rStyle w:val="Hyperlink"/>
            <w:rFonts w:ascii="Times New Roman" w:hAnsi="Times New Roman"/>
          </w:rPr>
          <w:t>Direktiva (EU) 2016/801.</w:t>
        </w:r>
      </w:hyperlink>
    </w:p>
  </w:footnote>
  <w:footnote w:id="37">
    <w:p>
      <w:pPr>
        <w:rPr>
          <w:sz w:val="18"/>
          <w:szCs w:val="18"/>
        </w:rPr>
      </w:pPr>
      <w:r>
        <w:rPr>
          <w:rStyle w:val="FootnoteReference"/>
          <w:sz w:val="18"/>
        </w:rPr>
        <w:footnoteRef/>
      </w:r>
      <w:r>
        <w:rPr>
          <w:sz w:val="18"/>
        </w:rPr>
        <w:t xml:space="preserve"> </w:t>
      </w:r>
      <w:r>
        <w:tab/>
      </w:r>
      <w:hyperlink r:id="rId14">
        <w:r>
          <w:rPr>
            <w:color w:val="000000"/>
            <w:sz w:val="18"/>
            <w:u w:color="000000"/>
          </w:rPr>
          <w:t>https://www.erasmuswithoutpaper.eu/,</w:t>
        </w:r>
      </w:hyperlink>
      <w:r>
        <w:rPr>
          <w:color w:val="000000"/>
          <w:sz w:val="18"/>
          <w:u w:color="000000"/>
        </w:rPr>
        <w:t xml:space="preserve"> </w:t>
      </w:r>
      <w:hyperlink r:id="rId15">
        <w:r>
          <w:rPr>
            <w:color w:val="000000"/>
            <w:sz w:val="18"/>
            <w:u w:color="000000"/>
          </w:rPr>
          <w:t>http://europeanstudentcard.eu/</w:t>
        </w:r>
      </w:hyperlink>
      <w:r>
        <w:rPr>
          <w:sz w:val="18"/>
        </w:rPr>
        <w:t xml:space="preserve">, </w:t>
      </w:r>
      <w:hyperlink r:id="rId16">
        <w:r>
          <w:rPr>
            <w:rStyle w:val="Hyperlink"/>
            <w:sz w:val="18"/>
          </w:rPr>
          <w:t>http://www.emrex.eu</w:t>
        </w:r>
      </w:hyperlink>
      <w:r>
        <w:t>.</w:t>
      </w:r>
      <w:r>
        <w:rPr>
          <w:sz w:val="18"/>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2417"/>
    <w:multiLevelType w:val="hybridMultilevel"/>
    <w:tmpl w:val="72D4CF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1DC0B8E"/>
    <w:multiLevelType w:val="hybridMultilevel"/>
    <w:tmpl w:val="7EB4333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03E46D17"/>
    <w:multiLevelType w:val="hybridMultilevel"/>
    <w:tmpl w:val="A6D029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nsid w:val="095C486A"/>
    <w:multiLevelType w:val="hybridMultilevel"/>
    <w:tmpl w:val="78DC23FE"/>
    <w:lvl w:ilvl="0" w:tplc="59C08840">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904010"/>
    <w:multiLevelType w:val="hybridMultilevel"/>
    <w:tmpl w:val="4692AA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nsid w:val="20B61028"/>
    <w:multiLevelType w:val="hybridMultilevel"/>
    <w:tmpl w:val="1DE06BD8"/>
    <w:numStyleLink w:val="Numbered"/>
  </w:abstractNum>
  <w:abstractNum w:abstractNumId="6">
    <w:nsid w:val="255F654E"/>
    <w:multiLevelType w:val="hybridMultilevel"/>
    <w:tmpl w:val="3D96F1DA"/>
    <w:styleLink w:val="Bullets"/>
    <w:lvl w:ilvl="0" w:tplc="F4921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D842D318">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E5F4431A">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95963164">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42148286">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AD24C77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DC62318A">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C1D457C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499C5376">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nsid w:val="26A41E33"/>
    <w:multiLevelType w:val="hybridMultilevel"/>
    <w:tmpl w:val="3D96F1DA"/>
    <w:numStyleLink w:val="Bullets"/>
  </w:abstractNum>
  <w:abstractNum w:abstractNumId="8">
    <w:nsid w:val="2F807070"/>
    <w:multiLevelType w:val="hybridMultilevel"/>
    <w:tmpl w:val="3FFE7768"/>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4A974EC"/>
    <w:multiLevelType w:val="hybridMultilevel"/>
    <w:tmpl w:val="AA4CA400"/>
    <w:styleLink w:val="ImportedStyle1"/>
    <w:lvl w:ilvl="0" w:tplc="01BC0A5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6DD27628">
      <w:start w:val="1"/>
      <w:numFmt w:val="lowerLetter"/>
      <w:lvlText w:val="%2."/>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2" w:tplc="7500E952">
      <w:start w:val="1"/>
      <w:numFmt w:val="lowerRoman"/>
      <w:suff w:val="nothing"/>
      <w:lvlText w:val="%3."/>
      <w:lvlJc w:val="left"/>
      <w:pPr>
        <w:ind w:left="910" w:hanging="105"/>
      </w:pPr>
      <w:rPr>
        <w:rFonts w:hAnsi="Arial Unicode MS"/>
        <w:caps w:val="0"/>
        <w:smallCaps w:val="0"/>
        <w:strike w:val="0"/>
        <w:dstrike w:val="0"/>
        <w:outline w:val="0"/>
        <w:emboss w:val="0"/>
        <w:imprint w:val="0"/>
        <w:spacing w:val="0"/>
        <w:w w:val="100"/>
        <w:kern w:val="0"/>
        <w:position w:val="0"/>
        <w:highlight w:val="none"/>
        <w:vertAlign w:val="baseline"/>
      </w:rPr>
    </w:lvl>
    <w:lvl w:ilvl="3" w:tplc="8C8AECFA">
      <w:start w:val="1"/>
      <w:numFmt w:val="decimal"/>
      <w:lvlText w:val="%4."/>
      <w:lvlJc w:val="left"/>
      <w:pPr>
        <w:ind w:left="1630" w:hanging="720"/>
      </w:pPr>
      <w:rPr>
        <w:rFonts w:hAnsi="Arial Unicode MS"/>
        <w:caps w:val="0"/>
        <w:smallCaps w:val="0"/>
        <w:strike w:val="0"/>
        <w:dstrike w:val="0"/>
        <w:outline w:val="0"/>
        <w:emboss w:val="0"/>
        <w:imprint w:val="0"/>
        <w:spacing w:val="0"/>
        <w:w w:val="100"/>
        <w:kern w:val="0"/>
        <w:position w:val="0"/>
        <w:highlight w:val="none"/>
        <w:vertAlign w:val="baseline"/>
      </w:rPr>
    </w:lvl>
    <w:lvl w:ilvl="4" w:tplc="D84431E2">
      <w:start w:val="1"/>
      <w:numFmt w:val="lowerLetter"/>
      <w:lvlText w:val="%5."/>
      <w:lvlJc w:val="left"/>
      <w:pPr>
        <w:ind w:left="2350" w:hanging="720"/>
      </w:pPr>
      <w:rPr>
        <w:rFonts w:hAnsi="Arial Unicode MS"/>
        <w:caps w:val="0"/>
        <w:smallCaps w:val="0"/>
        <w:strike w:val="0"/>
        <w:dstrike w:val="0"/>
        <w:outline w:val="0"/>
        <w:emboss w:val="0"/>
        <w:imprint w:val="0"/>
        <w:spacing w:val="0"/>
        <w:w w:val="100"/>
        <w:kern w:val="0"/>
        <w:position w:val="0"/>
        <w:highlight w:val="none"/>
        <w:vertAlign w:val="baseline"/>
      </w:rPr>
    </w:lvl>
    <w:lvl w:ilvl="5" w:tplc="F320B9EE">
      <w:start w:val="1"/>
      <w:numFmt w:val="lowerRoman"/>
      <w:suff w:val="nothing"/>
      <w:lvlText w:val="%6."/>
      <w:lvlJc w:val="left"/>
      <w:pPr>
        <w:ind w:left="3070" w:hanging="105"/>
      </w:pPr>
      <w:rPr>
        <w:rFonts w:hAnsi="Arial Unicode MS"/>
        <w:caps w:val="0"/>
        <w:smallCaps w:val="0"/>
        <w:strike w:val="0"/>
        <w:dstrike w:val="0"/>
        <w:outline w:val="0"/>
        <w:emboss w:val="0"/>
        <w:imprint w:val="0"/>
        <w:spacing w:val="0"/>
        <w:w w:val="100"/>
        <w:kern w:val="0"/>
        <w:position w:val="0"/>
        <w:highlight w:val="none"/>
        <w:vertAlign w:val="baseline"/>
      </w:rPr>
    </w:lvl>
    <w:lvl w:ilvl="6" w:tplc="92D68B32">
      <w:start w:val="1"/>
      <w:numFmt w:val="decimal"/>
      <w:lvlText w:val="%7."/>
      <w:lvlJc w:val="left"/>
      <w:pPr>
        <w:ind w:left="3790" w:hanging="720"/>
      </w:pPr>
      <w:rPr>
        <w:rFonts w:hAnsi="Arial Unicode MS"/>
        <w:caps w:val="0"/>
        <w:smallCaps w:val="0"/>
        <w:strike w:val="0"/>
        <w:dstrike w:val="0"/>
        <w:outline w:val="0"/>
        <w:emboss w:val="0"/>
        <w:imprint w:val="0"/>
        <w:spacing w:val="0"/>
        <w:w w:val="100"/>
        <w:kern w:val="0"/>
        <w:position w:val="0"/>
        <w:highlight w:val="none"/>
        <w:vertAlign w:val="baseline"/>
      </w:rPr>
    </w:lvl>
    <w:lvl w:ilvl="7" w:tplc="6BDC67C8">
      <w:start w:val="1"/>
      <w:numFmt w:val="lowerLetter"/>
      <w:lvlText w:val="%8."/>
      <w:lvlJc w:val="left"/>
      <w:pPr>
        <w:ind w:left="4510" w:hanging="720"/>
      </w:pPr>
      <w:rPr>
        <w:rFonts w:hAnsi="Arial Unicode MS"/>
        <w:caps w:val="0"/>
        <w:smallCaps w:val="0"/>
        <w:strike w:val="0"/>
        <w:dstrike w:val="0"/>
        <w:outline w:val="0"/>
        <w:emboss w:val="0"/>
        <w:imprint w:val="0"/>
        <w:spacing w:val="0"/>
        <w:w w:val="100"/>
        <w:kern w:val="0"/>
        <w:position w:val="0"/>
        <w:highlight w:val="none"/>
        <w:vertAlign w:val="baseline"/>
      </w:rPr>
    </w:lvl>
    <w:lvl w:ilvl="8" w:tplc="E37C9D90">
      <w:start w:val="1"/>
      <w:numFmt w:val="lowerRoman"/>
      <w:suff w:val="nothing"/>
      <w:lvlText w:val="%9."/>
      <w:lvlJc w:val="left"/>
      <w:pPr>
        <w:ind w:left="5230" w:hanging="10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nsid w:val="3F392823"/>
    <w:multiLevelType w:val="hybridMultilevel"/>
    <w:tmpl w:val="08C6FF88"/>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49191636"/>
    <w:multiLevelType w:val="hybridMultilevel"/>
    <w:tmpl w:val="9B463A36"/>
    <w:lvl w:ilvl="0" w:tplc="F13ACF9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nsid w:val="4BB363E9"/>
    <w:multiLevelType w:val="hybridMultilevel"/>
    <w:tmpl w:val="AA4CA400"/>
    <w:numStyleLink w:val="ImportedStyle1"/>
  </w:abstractNum>
  <w:abstractNum w:abstractNumId="13">
    <w:nsid w:val="4EBB1B3A"/>
    <w:multiLevelType w:val="hybridMultilevel"/>
    <w:tmpl w:val="4DA660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5C7D7BFA"/>
    <w:multiLevelType w:val="hybridMultilevel"/>
    <w:tmpl w:val="D302882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
    <w:nsid w:val="5D043A4F"/>
    <w:multiLevelType w:val="hybridMultilevel"/>
    <w:tmpl w:val="4E06B0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63E46A0F"/>
    <w:multiLevelType w:val="hybridMultilevel"/>
    <w:tmpl w:val="1DE06BD8"/>
    <w:styleLink w:val="Numbered"/>
    <w:lvl w:ilvl="0" w:tplc="BC1C2314">
      <w:start w:val="1"/>
      <w:numFmt w:val="decimal"/>
      <w:lvlText w:val="%1."/>
      <w:lvlJc w:val="left"/>
      <w:pPr>
        <w:tabs>
          <w:tab w:val="num" w:pos="232"/>
        </w:tabs>
        <w:ind w:left="952" w:hanging="952"/>
      </w:pPr>
      <w:rPr>
        <w:rFonts w:hAnsi="Arial Unicode MS"/>
        <w:caps w:val="0"/>
        <w:smallCaps w:val="0"/>
        <w:strike w:val="0"/>
        <w:dstrike w:val="0"/>
        <w:outline w:val="0"/>
        <w:emboss w:val="0"/>
        <w:imprint w:val="0"/>
        <w:spacing w:val="0"/>
        <w:w w:val="100"/>
        <w:kern w:val="0"/>
        <w:position w:val="0"/>
        <w:highlight w:val="none"/>
        <w:vertAlign w:val="baseline"/>
      </w:rPr>
    </w:lvl>
    <w:lvl w:ilvl="1" w:tplc="395E24DA">
      <w:start w:val="1"/>
      <w:numFmt w:val="decimal"/>
      <w:lvlText w:val="%2."/>
      <w:lvlJc w:val="left"/>
      <w:pPr>
        <w:tabs>
          <w:tab w:val="num" w:pos="1032"/>
        </w:tabs>
        <w:ind w:left="1752" w:hanging="952"/>
      </w:pPr>
      <w:rPr>
        <w:rFonts w:hAnsi="Arial Unicode MS"/>
        <w:caps w:val="0"/>
        <w:smallCaps w:val="0"/>
        <w:strike w:val="0"/>
        <w:dstrike w:val="0"/>
        <w:outline w:val="0"/>
        <w:emboss w:val="0"/>
        <w:imprint w:val="0"/>
        <w:spacing w:val="0"/>
        <w:w w:val="100"/>
        <w:kern w:val="0"/>
        <w:position w:val="0"/>
        <w:highlight w:val="none"/>
        <w:vertAlign w:val="baseline"/>
      </w:rPr>
    </w:lvl>
    <w:lvl w:ilvl="2" w:tplc="3A80B588">
      <w:start w:val="1"/>
      <w:numFmt w:val="decimal"/>
      <w:lvlText w:val="%3."/>
      <w:lvlJc w:val="left"/>
      <w:pPr>
        <w:tabs>
          <w:tab w:val="num" w:pos="1832"/>
        </w:tabs>
        <w:ind w:left="2552" w:hanging="952"/>
      </w:pPr>
      <w:rPr>
        <w:rFonts w:hAnsi="Arial Unicode MS"/>
        <w:caps w:val="0"/>
        <w:smallCaps w:val="0"/>
        <w:strike w:val="0"/>
        <w:dstrike w:val="0"/>
        <w:outline w:val="0"/>
        <w:emboss w:val="0"/>
        <w:imprint w:val="0"/>
        <w:spacing w:val="0"/>
        <w:w w:val="100"/>
        <w:kern w:val="0"/>
        <w:position w:val="0"/>
        <w:highlight w:val="none"/>
        <w:vertAlign w:val="baseline"/>
      </w:rPr>
    </w:lvl>
    <w:lvl w:ilvl="3" w:tplc="D1C4C4E0">
      <w:start w:val="1"/>
      <w:numFmt w:val="decimal"/>
      <w:lvlText w:val="%4."/>
      <w:lvlJc w:val="left"/>
      <w:pPr>
        <w:tabs>
          <w:tab w:val="num" w:pos="2632"/>
        </w:tabs>
        <w:ind w:left="3352" w:hanging="952"/>
      </w:pPr>
      <w:rPr>
        <w:rFonts w:hAnsi="Arial Unicode MS"/>
        <w:caps w:val="0"/>
        <w:smallCaps w:val="0"/>
        <w:strike w:val="0"/>
        <w:dstrike w:val="0"/>
        <w:outline w:val="0"/>
        <w:emboss w:val="0"/>
        <w:imprint w:val="0"/>
        <w:spacing w:val="0"/>
        <w:w w:val="100"/>
        <w:kern w:val="0"/>
        <w:position w:val="0"/>
        <w:highlight w:val="none"/>
        <w:vertAlign w:val="baseline"/>
      </w:rPr>
    </w:lvl>
    <w:lvl w:ilvl="4" w:tplc="43BE2548">
      <w:start w:val="1"/>
      <w:numFmt w:val="decimal"/>
      <w:lvlText w:val="%5."/>
      <w:lvlJc w:val="left"/>
      <w:pPr>
        <w:tabs>
          <w:tab w:val="num" w:pos="3432"/>
        </w:tabs>
        <w:ind w:left="4152" w:hanging="952"/>
      </w:pPr>
      <w:rPr>
        <w:rFonts w:hAnsi="Arial Unicode MS"/>
        <w:caps w:val="0"/>
        <w:smallCaps w:val="0"/>
        <w:strike w:val="0"/>
        <w:dstrike w:val="0"/>
        <w:outline w:val="0"/>
        <w:emboss w:val="0"/>
        <w:imprint w:val="0"/>
        <w:spacing w:val="0"/>
        <w:w w:val="100"/>
        <w:kern w:val="0"/>
        <w:position w:val="0"/>
        <w:highlight w:val="none"/>
        <w:vertAlign w:val="baseline"/>
      </w:rPr>
    </w:lvl>
    <w:lvl w:ilvl="5" w:tplc="81007BC4">
      <w:start w:val="1"/>
      <w:numFmt w:val="decimal"/>
      <w:lvlText w:val="%6."/>
      <w:lvlJc w:val="left"/>
      <w:pPr>
        <w:tabs>
          <w:tab w:val="num" w:pos="4232"/>
        </w:tabs>
        <w:ind w:left="4952" w:hanging="952"/>
      </w:pPr>
      <w:rPr>
        <w:rFonts w:hAnsi="Arial Unicode MS"/>
        <w:caps w:val="0"/>
        <w:smallCaps w:val="0"/>
        <w:strike w:val="0"/>
        <w:dstrike w:val="0"/>
        <w:outline w:val="0"/>
        <w:emboss w:val="0"/>
        <w:imprint w:val="0"/>
        <w:spacing w:val="0"/>
        <w:w w:val="100"/>
        <w:kern w:val="0"/>
        <w:position w:val="0"/>
        <w:highlight w:val="none"/>
        <w:vertAlign w:val="baseline"/>
      </w:rPr>
    </w:lvl>
    <w:lvl w:ilvl="6" w:tplc="87A4264A">
      <w:start w:val="1"/>
      <w:numFmt w:val="decimal"/>
      <w:lvlText w:val="%7."/>
      <w:lvlJc w:val="left"/>
      <w:pPr>
        <w:tabs>
          <w:tab w:val="num" w:pos="5032"/>
        </w:tabs>
        <w:ind w:left="5752" w:hanging="952"/>
      </w:pPr>
      <w:rPr>
        <w:rFonts w:hAnsi="Arial Unicode MS"/>
        <w:caps w:val="0"/>
        <w:smallCaps w:val="0"/>
        <w:strike w:val="0"/>
        <w:dstrike w:val="0"/>
        <w:outline w:val="0"/>
        <w:emboss w:val="0"/>
        <w:imprint w:val="0"/>
        <w:spacing w:val="0"/>
        <w:w w:val="100"/>
        <w:kern w:val="0"/>
        <w:position w:val="0"/>
        <w:highlight w:val="none"/>
        <w:vertAlign w:val="baseline"/>
      </w:rPr>
    </w:lvl>
    <w:lvl w:ilvl="7" w:tplc="4EA44C14">
      <w:start w:val="1"/>
      <w:numFmt w:val="decimal"/>
      <w:lvlText w:val="%8."/>
      <w:lvlJc w:val="left"/>
      <w:pPr>
        <w:tabs>
          <w:tab w:val="num" w:pos="5832"/>
        </w:tabs>
        <w:ind w:left="6552" w:hanging="952"/>
      </w:pPr>
      <w:rPr>
        <w:rFonts w:hAnsi="Arial Unicode MS"/>
        <w:caps w:val="0"/>
        <w:smallCaps w:val="0"/>
        <w:strike w:val="0"/>
        <w:dstrike w:val="0"/>
        <w:outline w:val="0"/>
        <w:emboss w:val="0"/>
        <w:imprint w:val="0"/>
        <w:spacing w:val="0"/>
        <w:w w:val="100"/>
        <w:kern w:val="0"/>
        <w:position w:val="0"/>
        <w:highlight w:val="none"/>
        <w:vertAlign w:val="baseline"/>
      </w:rPr>
    </w:lvl>
    <w:lvl w:ilvl="8" w:tplc="EAE888EA">
      <w:start w:val="1"/>
      <w:numFmt w:val="decimal"/>
      <w:lvlText w:val="%9."/>
      <w:lvlJc w:val="left"/>
      <w:pPr>
        <w:tabs>
          <w:tab w:val="num" w:pos="6632"/>
        </w:tabs>
        <w:ind w:left="7352" w:hanging="9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nsid w:val="650A7836"/>
    <w:multiLevelType w:val="hybridMultilevel"/>
    <w:tmpl w:val="F75050FC"/>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nsid w:val="728F1D89"/>
    <w:multiLevelType w:val="hybridMultilevel"/>
    <w:tmpl w:val="7516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73183EF0"/>
    <w:multiLevelType w:val="hybridMultilevel"/>
    <w:tmpl w:val="6578221E"/>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7939552E"/>
    <w:multiLevelType w:val="hybridMultilevel"/>
    <w:tmpl w:val="56AA4CB4"/>
    <w:lvl w:ilvl="0" w:tplc="0809000F">
      <w:start w:val="1"/>
      <w:numFmt w:val="decimal"/>
      <w:lvlText w:val="%1."/>
      <w:lvlJc w:val="left"/>
      <w:pPr>
        <w:ind w:left="360" w:hanging="360"/>
      </w:pPr>
      <w:rPr>
        <w:rFont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7F524423"/>
    <w:multiLevelType w:val="hybridMultilevel"/>
    <w:tmpl w:val="4BB6F9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9"/>
  </w:num>
  <w:num w:numId="2">
    <w:abstractNumId w:val="12"/>
    <w:lvlOverride w:ilvl="0">
      <w:lvl w:ilvl="0" w:tplc="25769B06">
        <w:start w:val="1"/>
        <w:numFmt w:val="decimal"/>
        <w:lvlText w:val="%1."/>
        <w:lvlJc w:val="left"/>
        <w:pPr>
          <w:ind w:left="720" w:hanging="720"/>
        </w:pPr>
        <w:rPr>
          <w:rFonts w:hAnsi="Arial Unicode MS"/>
          <w:i w:val="0"/>
          <w:caps w:val="0"/>
          <w:smallCaps w:val="0"/>
          <w:strike w:val="0"/>
          <w:dstrike w:val="0"/>
          <w:outline w:val="0"/>
          <w:emboss w:val="0"/>
          <w:imprint w:val="0"/>
          <w:spacing w:val="0"/>
          <w:w w:val="100"/>
          <w:kern w:val="0"/>
          <w:position w:val="0"/>
          <w:highlight w:val="none"/>
          <w:vertAlign w:val="baseline"/>
        </w:rPr>
      </w:lvl>
    </w:lvlOverride>
  </w:num>
  <w:num w:numId="3">
    <w:abstractNumId w:val="6"/>
  </w:num>
  <w:num w:numId="4">
    <w:abstractNumId w:val="7"/>
  </w:num>
  <w:num w:numId="5">
    <w:abstractNumId w:val="7"/>
    <w:lvlOverride w:ilvl="0">
      <w:lvl w:ilvl="0" w:tplc="1BC2256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F9E0A7C">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BE88A50">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168568">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4F49728">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D2C4536">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DA07D08">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E74730A">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96AE0E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16"/>
  </w:num>
  <w:num w:numId="7">
    <w:abstractNumId w:val="5"/>
  </w:num>
  <w:num w:numId="8">
    <w:abstractNumId w:val="7"/>
    <w:lvlOverride w:ilvl="0">
      <w:lvl w:ilvl="0" w:tplc="1BC2256C">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F9E0A7C">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BE88A50">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4168568">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4F4972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D2C453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DA07D08">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E74730A">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A96AE0EE">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15"/>
  </w:num>
  <w:num w:numId="10">
    <w:abstractNumId w:val="2"/>
  </w:num>
  <w:num w:numId="11">
    <w:abstractNumId w:val="10"/>
  </w:num>
  <w:num w:numId="12">
    <w:abstractNumId w:val="20"/>
  </w:num>
  <w:num w:numId="13">
    <w:abstractNumId w:val="21"/>
  </w:num>
  <w:num w:numId="14">
    <w:abstractNumId w:val="13"/>
  </w:num>
  <w:num w:numId="15">
    <w:abstractNumId w:val="14"/>
  </w:num>
  <w:num w:numId="16">
    <w:abstractNumId w:val="1"/>
  </w:num>
  <w:num w:numId="17">
    <w:abstractNumId w:val="3"/>
  </w:num>
  <w:num w:numId="18">
    <w:abstractNumId w:val="11"/>
  </w:num>
  <w:num w:numId="19">
    <w:abstractNumId w:val="18"/>
  </w:num>
  <w:num w:numId="20">
    <w:abstractNumId w:val="17"/>
  </w:num>
  <w:num w:numId="21">
    <w:abstractNumId w:val="19"/>
  </w:num>
  <w:num w:numId="22">
    <w:abstractNumId w:val="8"/>
  </w:num>
  <w:num w:numId="23">
    <w:abstractNumId w:val="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415D233EE9EE4A1699780416AAEF5CA4"/>
    <w:docVar w:name="LW_CROSSREFERENCE" w:val="{SWD(2017) 164 final}"/>
    <w:docVar w:name="LW_DocType" w:val="NORMAL"/>
    <w:docVar w:name="LW_EMISSION" w:val="30.5.2017"/>
    <w:docVar w:name="LW_EMISSION_ISODATE" w:val="2017-05-30"/>
    <w:docVar w:name="LW_EMISSION_LOCATION" w:val="BRX"/>
    <w:docVar w:name="LW_EMISSION_PREFIX" w:val="Bruselj, "/>
    <w:docVar w:name="LW_EMISSION_SUFFIX" w:val=" "/>
    <w:docVar w:name="LW_ID_DOCTYPE_NONLW" w:val="CP-014"/>
    <w:docVar w:name="LW_LANGUE" w:val="SL"/>
    <w:docVar w:name="LW_MARKING" w:val="&lt;UNUSED&gt;"/>
    <w:docVar w:name="LW_NOM.INST" w:val="EVROPSKA KOMISIJA"/>
    <w:docVar w:name="LW_NOM.INST_JOINTDOC" w:val="&lt;EMPTY&gt;"/>
    <w:docVar w:name="LW_PART_NBR" w:val="1"/>
    <w:docVar w:name="LW_PART_NBR_TOTAL" w:val="1"/>
    <w:docVar w:name="LW_REF.INST.NEW" w:val="COM"/>
    <w:docVar w:name="LW_REF.INST.NEW_ADOPTED" w:val="final"/>
    <w:docVar w:name="LW_REF.INST.NEW_TEXT" w:val="(2017) 247"/>
    <w:docVar w:name="LW_REF.INTERNE" w:val="&lt;UNUSED&gt;"/>
    <w:docVar w:name="LW_SOUS.TITRE.OBJ.CP" w:val="&lt;UNUSED&gt;"/>
    <w:docVar w:name="LW_SUPERTITRE" w:val="&lt;UNUSED&gt;"/>
    <w:docVar w:name="LW_TITRE.OBJ.CP" w:val="o prenovljeni agendi EU za visoko \u353?olstvo"/>
    <w:docVar w:name="LW_TYPE.DOC.CP" w:val="SPORO\u268?ILO KOMISIJE EVROPSKEMU PARLAMENTU, SVETU, EVROPSKEMU EKONOMSKO-SOCIALNEMU ODBORU IN ODBORU REGIJ"/>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sl-SI" w:eastAsia="sl-SI"/>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sl-SI" w:eastAsia="sl-SI"/>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rPr>
  </w:style>
  <w:style w:type="character" w:customStyle="1" w:styleId="BodyChar">
    <w:name w:val="Body Char"/>
    <w:basedOn w:val="DefaultParagraphFont"/>
    <w:link w:val="Body"/>
    <w:rPr>
      <w:rFonts w:ascii="Calibri" w:eastAsia="Calibri" w:hAnsi="Calibri" w:cs="Calibri"/>
      <w:color w:val="000000"/>
      <w:u w:color="000000"/>
      <w:bdr w:val="nil"/>
      <w:lang w:eastAsia="sl-SI"/>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eastAsia="sl-SI"/>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eastAsia="sl-SI"/>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sl-SI" w:bidi="sl-SI"/>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bdr w:val="ni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bdr w:val="nil"/>
    </w:rPr>
  </w:style>
  <w:style w:type="character" w:styleId="Hyperlink">
    <w:name w:val="Hyperlink"/>
    <w:uiPriority w:val="99"/>
    <w:rPr>
      <w:u w:val="single"/>
    </w:rPr>
  </w:style>
  <w:style w:type="paragraph" w:customStyle="1" w:styleId="HeaderFooter">
    <w:name w:val="Header &amp; Footer"/>
    <w:pPr>
      <w:pBdr>
        <w:top w:val="nil"/>
        <w:left w:val="nil"/>
        <w:bottom w:val="nil"/>
        <w:right w:val="nil"/>
        <w:between w:val="nil"/>
        <w:bar w:val="nil"/>
      </w:pBdr>
      <w:tabs>
        <w:tab w:val="right" w:pos="9020"/>
      </w:tabs>
      <w:spacing w:after="0" w:line="240" w:lineRule="auto"/>
    </w:pPr>
    <w:rPr>
      <w:rFonts w:ascii="Helvetica" w:eastAsia="Arial Unicode MS" w:hAnsi="Helvetica" w:cs="Arial Unicode MS"/>
      <w:color w:val="000000"/>
      <w:sz w:val="24"/>
      <w:szCs w:val="24"/>
      <w:bdr w:val="nil"/>
    </w:rPr>
  </w:style>
  <w:style w:type="paragraph" w:styleId="Footer">
    <w:name w:val="footer"/>
    <w:link w:val="FooterChar"/>
    <w:uiPriority w:val="99"/>
    <w:pPr>
      <w:pBdr>
        <w:top w:val="nil"/>
        <w:left w:val="nil"/>
        <w:bottom w:val="nil"/>
        <w:right w:val="nil"/>
        <w:between w:val="nil"/>
        <w:bar w:val="nil"/>
      </w:pBdr>
      <w:tabs>
        <w:tab w:val="center" w:pos="4536"/>
        <w:tab w:val="right" w:pos="9072"/>
      </w:tabs>
      <w:spacing w:after="0" w:line="240" w:lineRule="auto"/>
    </w:pPr>
    <w:rPr>
      <w:rFonts w:ascii="Calibri" w:eastAsia="Calibri" w:hAnsi="Calibri" w:cs="Calibri"/>
      <w:color w:val="000000"/>
      <w:u w:color="000000"/>
      <w:bdr w:val="nil"/>
    </w:rPr>
  </w:style>
  <w:style w:type="character" w:customStyle="1" w:styleId="FooterChar">
    <w:name w:val="Footer Char"/>
    <w:basedOn w:val="DefaultParagraphFont"/>
    <w:link w:val="Footer"/>
    <w:uiPriority w:val="99"/>
    <w:rPr>
      <w:rFonts w:ascii="Calibri" w:eastAsia="Calibri" w:hAnsi="Calibri" w:cs="Calibri"/>
      <w:color w:val="000000"/>
      <w:u w:color="000000"/>
      <w:bdr w:val="nil"/>
      <w:lang w:val="sl-SI" w:eastAsia="sl-SI"/>
    </w:rPr>
  </w:style>
  <w:style w:type="paragraph" w:customStyle="1" w:styleId="Body">
    <w:name w:val="Body"/>
    <w:link w:val="BodyChar"/>
    <w:pPr>
      <w:pBdr>
        <w:top w:val="nil"/>
        <w:left w:val="nil"/>
        <w:bottom w:val="nil"/>
        <w:right w:val="nil"/>
        <w:between w:val="nil"/>
        <w:bar w:val="nil"/>
      </w:pBdr>
    </w:pPr>
    <w:rPr>
      <w:rFonts w:ascii="Calibri" w:eastAsia="Calibri" w:hAnsi="Calibri" w:cs="Calibri"/>
      <w:color w:val="000000"/>
      <w:u w:color="000000"/>
      <w:bdr w:val="nil"/>
    </w:rPr>
  </w:style>
  <w:style w:type="paragraph" w:styleId="ListParagraph">
    <w:name w:val="List Paragraph"/>
    <w:qFormat/>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ImportedStyle1">
    <w:name w:val="Imported Style 1"/>
    <w:pPr>
      <w:numPr>
        <w:numId w:val="1"/>
      </w:numPr>
    </w:pPr>
  </w:style>
  <w:style w:type="paragraph" w:customStyle="1" w:styleId="Default">
    <w:name w:val="Default"/>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styleId="FootnoteReference">
    <w:name w:val="footnote reference"/>
    <w:aliases w:val="Footnote symbol,Times 10 Point,Exposant 3 Point,Footnote number,Footnote Reference Number,Footnote reference number,Footnote Reference Superscript,EN Footnote Reference,note TESI,Voetnootverwijzing,fr,o,FR,FR1"/>
    <w:uiPriority w:val="99"/>
    <w:rPr>
      <w:vertAlign w:val="superscript"/>
    </w:rPr>
  </w:style>
  <w:style w:type="paragraph" w:styleId="FootnoteText">
    <w:name w:val="footnote text"/>
    <w:link w:val="FootnoteTextChar"/>
    <w:uiPriority w:val="99"/>
    <w:pPr>
      <w:pBdr>
        <w:top w:val="nil"/>
        <w:left w:val="nil"/>
        <w:bottom w:val="nil"/>
        <w:right w:val="nil"/>
        <w:between w:val="nil"/>
        <w:bar w:val="nil"/>
      </w:pBdr>
      <w:spacing w:after="0" w:line="240" w:lineRule="auto"/>
    </w:pPr>
    <w:rPr>
      <w:rFonts w:ascii="Calibri" w:eastAsia="Calibri" w:hAnsi="Calibri" w:cs="Calibri"/>
      <w:color w:val="000000"/>
      <w:sz w:val="20"/>
      <w:szCs w:val="20"/>
      <w:u w:color="000000"/>
      <w:bdr w:val="nil"/>
    </w:rPr>
  </w:style>
  <w:style w:type="character" w:customStyle="1" w:styleId="FootnoteTextChar">
    <w:name w:val="Footnote Text Char"/>
    <w:basedOn w:val="DefaultParagraphFont"/>
    <w:link w:val="FootnoteText"/>
    <w:uiPriority w:val="99"/>
    <w:rPr>
      <w:rFonts w:ascii="Calibri" w:eastAsia="Calibri" w:hAnsi="Calibri" w:cs="Calibri"/>
      <w:color w:val="000000"/>
      <w:sz w:val="20"/>
      <w:szCs w:val="20"/>
      <w:u w:color="000000"/>
      <w:bdr w:val="nil"/>
      <w:lang w:val="sl-SI" w:eastAsia="sl-SI"/>
    </w:rPr>
  </w:style>
  <w:style w:type="numbering" w:customStyle="1" w:styleId="Bullets">
    <w:name w:val="Bullets"/>
    <w:pPr>
      <w:numPr>
        <w:numId w:val="3"/>
      </w:numPr>
    </w:pPr>
  </w:style>
  <w:style w:type="numbering" w:customStyle="1" w:styleId="Numbered">
    <w:name w:val="Numbered"/>
    <w:pPr>
      <w:numPr>
        <w:numId w:val="6"/>
      </w:numPr>
    </w:pPr>
  </w:style>
  <w:style w:type="paragraph" w:customStyle="1" w:styleId="BodyA">
    <w:name w:val="Body 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Hyperlink0">
    <w:name w:val="Hyperlink.0"/>
    <w:basedOn w:val="Hyperlink"/>
    <w:rPr>
      <w:color w:val="0000FF"/>
      <w:u w:val="single" w:color="0000FF"/>
    </w:rPr>
  </w:style>
  <w:style w:type="character" w:customStyle="1" w:styleId="Hyperlink1">
    <w:name w:val="Hyperlink.1"/>
    <w:basedOn w:val="Hyperlink0"/>
    <w:rPr>
      <w:rFonts w:ascii="Times New Roman" w:eastAsia="Times New Roman" w:hAnsi="Times New Roman" w:cs="Times New Roman"/>
      <w:color w:val="0000FF"/>
      <w:sz w:val="24"/>
      <w:szCs w:val="24"/>
      <w:u w:val="single" w:color="0000FF"/>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Arial Unicode MS" w:hAnsi="Times New Roman" w:cs="Times New Roman"/>
      <w:sz w:val="20"/>
      <w:szCs w:val="20"/>
      <w:bdr w:val="nil"/>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Unicode MS" w:hAnsi="Tahoma" w:cs="Tahoma"/>
      <w:sz w:val="16"/>
      <w:szCs w:val="16"/>
      <w:bdr w:val="ni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Arial Unicode MS" w:hAnsi="Times New Roman" w:cs="Times New Roman"/>
      <w:b/>
      <w:bCs/>
      <w:sz w:val="20"/>
      <w:szCs w:val="20"/>
      <w:bdr w:val="nil"/>
    </w:rPr>
  </w:style>
  <w:style w:type="paragraph" w:styleId="Revision">
    <w:name w:val="Revision"/>
    <w:hidden/>
    <w:uiPriority w:val="99"/>
    <w:semiHidden/>
    <w:pPr>
      <w:spacing w:after="0" w:line="240" w:lineRule="auto"/>
    </w:pPr>
    <w:rPr>
      <w:rFonts w:ascii="Times New Roman" w:eastAsia="Arial Unicode MS" w:hAnsi="Times New Roman" w:cs="Times New Roman"/>
      <w:sz w:val="24"/>
      <w:szCs w:val="24"/>
      <w:bdr w:val="nil"/>
    </w:rPr>
  </w:style>
  <w:style w:type="paragraph" w:styleId="TOCHeading">
    <w:name w:val="TOC Heading"/>
    <w:basedOn w:val="Heading1"/>
    <w:next w:val="Normal"/>
    <w:uiPriority w:val="39"/>
    <w:semiHidden/>
    <w:unhideWhenUsed/>
    <w:qFormat/>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outlineLvl w:val="9"/>
    </w:pPr>
    <w:rPr>
      <w:bdr w:val="none" w:sz="0" w:space="0" w:color="auto"/>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rFonts w:ascii="Times New Roman" w:eastAsia="Arial Unicode MS" w:hAnsi="Times New Roman" w:cs="Times New Roman"/>
      <w:sz w:val="24"/>
      <w:szCs w:val="24"/>
      <w:bdr w:val="nil"/>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pPr>
      <w:tabs>
        <w:tab w:val="center" w:pos="4535"/>
        <w:tab w:val="right" w:pos="9071"/>
        <w:tab w:val="right" w:pos="9921"/>
      </w:tabs>
      <w:spacing w:before="360"/>
      <w:ind w:left="-850" w:right="-850"/>
    </w:pPr>
    <w:rPr>
      <w:rFonts w:eastAsia="Calibri"/>
      <w:color w:val="000000"/>
      <w:u w:color="000000"/>
    </w:rPr>
  </w:style>
  <w:style w:type="character" w:customStyle="1" w:styleId="BodyChar">
    <w:name w:val="Body Char"/>
    <w:basedOn w:val="DefaultParagraphFont"/>
    <w:link w:val="Body"/>
    <w:rPr>
      <w:rFonts w:ascii="Calibri" w:eastAsia="Calibri" w:hAnsi="Calibri" w:cs="Calibri"/>
      <w:color w:val="000000"/>
      <w:u w:color="000000"/>
      <w:bdr w:val="nil"/>
      <w:lang w:eastAsia="sl-SI"/>
    </w:rPr>
  </w:style>
  <w:style w:type="character" w:customStyle="1" w:styleId="FooterCoverPageChar">
    <w:name w:val="Footer Cover Page Char"/>
    <w:basedOn w:val="BodyChar"/>
    <w:link w:val="FooterCoverPage"/>
    <w:rPr>
      <w:rFonts w:ascii="Times New Roman" w:eastAsia="Calibri" w:hAnsi="Times New Roman" w:cs="Times New Roman"/>
      <w:color w:val="000000"/>
      <w:sz w:val="24"/>
      <w:szCs w:val="24"/>
      <w:u w:color="000000"/>
      <w:bdr w:val="nil"/>
      <w:lang w:eastAsia="sl-SI"/>
    </w:rPr>
  </w:style>
  <w:style w:type="paragraph" w:customStyle="1" w:styleId="HeaderCoverPage">
    <w:name w:val="Header Cover Page"/>
    <w:basedOn w:val="Normal"/>
    <w:link w:val="HeaderCoverPageChar"/>
    <w:pPr>
      <w:tabs>
        <w:tab w:val="center" w:pos="4535"/>
        <w:tab w:val="right" w:pos="9071"/>
      </w:tabs>
      <w:spacing w:after="120"/>
      <w:jc w:val="both"/>
    </w:pPr>
    <w:rPr>
      <w:rFonts w:eastAsia="Calibri"/>
      <w:color w:val="000000"/>
      <w:u w:color="000000"/>
    </w:rPr>
  </w:style>
  <w:style w:type="character" w:customStyle="1" w:styleId="HeaderCoverPageChar">
    <w:name w:val="Header Cover Page Char"/>
    <w:basedOn w:val="BodyChar"/>
    <w:link w:val="HeaderCoverPage"/>
    <w:rPr>
      <w:rFonts w:ascii="Times New Roman" w:eastAsia="Calibri" w:hAnsi="Times New Roman" w:cs="Times New Roman"/>
      <w:color w:val="000000"/>
      <w:sz w:val="24"/>
      <w:szCs w:val="24"/>
      <w:u w:color="000000"/>
      <w:bdr w:val="nil"/>
      <w:lang w:eastAsia="sl-SI"/>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jrc/en/digcomp" TargetMode="External"/><Relationship Id="rId13" Type="http://schemas.openxmlformats.org/officeDocument/2006/relationships/hyperlink" Target="http://eur-lex.europa.eu/legal-content/SL/TXT/?uri=OJ:JOL_2016_132_R_0002" TargetMode="External"/><Relationship Id="rId3" Type="http://schemas.openxmlformats.org/officeDocument/2006/relationships/hyperlink" Target="http://eur-lex.europa.eu/legal-content/SL/TXT/?qid=1486389223873&amp;uri=CELEX:52016DC0381" TargetMode="External"/><Relationship Id="rId7" Type="http://schemas.openxmlformats.org/officeDocument/2006/relationships/hyperlink" Target="http://ec.europa.eu/social/main.jsp?catId=1223&amp;langId=sl&amp;moreDocuments=yes" TargetMode="External"/><Relationship Id="rId12" Type="http://schemas.openxmlformats.org/officeDocument/2006/relationships/hyperlink" Target="http://www.umultirank.org/" TargetMode="External"/><Relationship Id="rId2" Type="http://schemas.openxmlformats.org/officeDocument/2006/relationships/hyperlink" Target="http://eur-lex.europa.eu/legal-content/SL/TXT/?qid=1486389156065&amp;uri=CELEX:52016DC0940" TargetMode="External"/><Relationship Id="rId16" Type="http://schemas.openxmlformats.org/officeDocument/2006/relationships/hyperlink" Target="http://www.emrex.eu/" TargetMode="External"/><Relationship Id="rId1" Type="http://schemas.openxmlformats.org/officeDocument/2006/relationships/hyperlink" Target="http://eur-lex.europa.eu/legal-content/SL/TXT/?uri=CELEX:52017DC2025&amp;qid=1494576084241" TargetMode="External"/><Relationship Id="rId6" Type="http://schemas.openxmlformats.org/officeDocument/2006/relationships/hyperlink" Target="http://eur-lex.europa.eu/legal-content/SL/TXT/?uri=celex:52011DC0567" TargetMode="External"/><Relationship Id="rId11" Type="http://schemas.openxmlformats.org/officeDocument/2006/relationships/hyperlink" Target="https://ec.europa.eu/education/resources/european-tertiary-education-register_sl" TargetMode="External"/><Relationship Id="rId5" Type="http://schemas.openxmlformats.org/officeDocument/2006/relationships/hyperlink" Target="https://ec.europa.eu/commission/publications/reflection-paper-harnessing-globalisation_sl" TargetMode="External"/><Relationship Id="rId15" Type="http://schemas.openxmlformats.org/officeDocument/2006/relationships/hyperlink" Target="http://europeanstudentcard.eu/" TargetMode="External"/><Relationship Id="rId10" Type="http://schemas.openxmlformats.org/officeDocument/2006/relationships/hyperlink" Target="http://s3platform.jrc.ec.europa.eu/hess" TargetMode="External"/><Relationship Id="rId4" Type="http://schemas.openxmlformats.org/officeDocument/2006/relationships/hyperlink" Target="https://ec.europa.eu/commission/publications/commission-communication-european-pillar-social-rights_sl" TargetMode="External"/><Relationship Id="rId9" Type="http://schemas.openxmlformats.org/officeDocument/2006/relationships/hyperlink" Target="http://www.stemcoalition.eu/" TargetMode="External"/><Relationship Id="rId14" Type="http://schemas.openxmlformats.org/officeDocument/2006/relationships/hyperlink" Target="https://www.erasmuswithoutpaper.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B3C8FD-CE64-4482-9915-D688D21AA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13</Pages>
  <Words>4142</Words>
  <Characters>26760</Characters>
  <Application>Microsoft Office Word</Application>
  <DocSecurity>0</DocSecurity>
  <Lines>399</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2017-05-19T11:10:00Z</cp:lastPrinted>
  <dcterms:created xsi:type="dcterms:W3CDTF">2017-05-23T12:54:00Z</dcterms:created>
  <dcterms:modified xsi:type="dcterms:W3CDTF">2017-05-31T06:33:00Z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