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0B9A" w:rsidRDefault="00EA013D">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FC816D0E8904444C9E35B34FC03150B7" style="width:450.85pt;height:320.55pt">
            <v:imagedata r:id="rId9" o:title=""/>
          </v:shape>
        </w:pict>
      </w:r>
    </w:p>
    <w:bookmarkEnd w:id="0"/>
    <w:p w:rsidR="00130B9A" w:rsidRDefault="00130B9A">
      <w:pPr>
        <w:rPr>
          <w:noProof/>
        </w:rPr>
        <w:sectPr w:rsidR="00130B9A">
          <w:headerReference w:type="even" r:id="rId10"/>
          <w:headerReference w:type="default" r:id="rId11"/>
          <w:footerReference w:type="even" r:id="rId12"/>
          <w:footerReference w:type="default" r:id="rId13"/>
          <w:headerReference w:type="first" r:id="rId14"/>
          <w:footerReference w:type="first" r:id="rId15"/>
          <w:pgSz w:w="11906" w:h="16838"/>
          <w:pgMar w:top="1134" w:right="1417" w:bottom="1134" w:left="1417" w:header="709" w:footer="709" w:gutter="0"/>
          <w:pgNumType w:start="2"/>
          <w:cols w:space="720"/>
          <w:docGrid w:linePitch="360"/>
        </w:sectPr>
      </w:pPr>
    </w:p>
    <w:p w:rsidR="00130B9A" w:rsidRDefault="00EA013D">
      <w:pPr>
        <w:pStyle w:val="ListParagraph"/>
        <w:numPr>
          <w:ilvl w:val="0"/>
          <w:numId w:val="1"/>
        </w:numPr>
        <w:jc w:val="both"/>
        <w:rPr>
          <w:rFonts w:ascii="Times New Roman" w:hAnsi="Times New Roman"/>
          <w:b/>
          <w:i/>
          <w:noProof/>
          <w:sz w:val="24"/>
          <w:szCs w:val="24"/>
        </w:rPr>
      </w:pPr>
      <w:r>
        <w:rPr>
          <w:rFonts w:ascii="Times New Roman" w:hAnsi="Times New Roman"/>
          <w:b/>
          <w:noProof/>
          <w:sz w:val="24"/>
        </w:rPr>
        <w:lastRenderedPageBreak/>
        <w:t>Varovanje in izkoriščanje potenciala evropske naravne dediščine</w:t>
      </w:r>
    </w:p>
    <w:p w:rsidR="00130B9A" w:rsidRDefault="00130B9A">
      <w:pPr>
        <w:pStyle w:val="ListParagraph"/>
        <w:ind w:firstLine="708"/>
        <w:jc w:val="both"/>
        <w:rPr>
          <w:rFonts w:ascii="Times New Roman" w:hAnsi="Times New Roman"/>
          <w:b/>
          <w:i/>
          <w:noProof/>
          <w:sz w:val="24"/>
          <w:szCs w:val="24"/>
        </w:rPr>
      </w:pPr>
    </w:p>
    <w:p w:rsidR="00130B9A" w:rsidRDefault="00EA013D">
      <w:pPr>
        <w:jc w:val="both"/>
        <w:rPr>
          <w:rFonts w:ascii="Times New Roman" w:hAnsi="Times New Roman"/>
          <w:noProof/>
          <w:sz w:val="24"/>
        </w:rPr>
      </w:pPr>
      <w:r>
        <w:rPr>
          <w:rFonts w:ascii="Times New Roman" w:hAnsi="Times New Roman"/>
          <w:noProof/>
          <w:sz w:val="24"/>
        </w:rPr>
        <w:t xml:space="preserve">Evropa ima poleg nekaterih </w:t>
      </w:r>
      <w:r>
        <w:rPr>
          <w:rFonts w:ascii="Times New Roman" w:hAnsi="Times New Roman"/>
          <w:noProof/>
          <w:sz w:val="24"/>
        </w:rPr>
        <w:t>najgosteje naseljenih območij na svetu tudi zelo bogato in raznoliko naravno dediščino. Cilj direktiv o naravi</w:t>
      </w:r>
      <w:r>
        <w:rPr>
          <w:rStyle w:val="FootnoteReference"/>
          <w:rFonts w:ascii="Times New Roman" w:hAnsi="Times New Roman"/>
          <w:noProof/>
          <w:sz w:val="24"/>
        </w:rPr>
        <w:footnoteReference w:id="2"/>
      </w:r>
      <w:r>
        <w:rPr>
          <w:rFonts w:ascii="Times New Roman" w:hAnsi="Times New Roman"/>
          <w:noProof/>
          <w:sz w:val="24"/>
        </w:rPr>
        <w:t xml:space="preserve"> je zagotoviti zdravo naravo v Evropski uniji z določitvijo okvira za zaščito vrst in naravnih habitatov, ki jih je treba ohranjati. Direktivi do</w:t>
      </w:r>
      <w:r>
        <w:rPr>
          <w:rFonts w:ascii="Times New Roman" w:hAnsi="Times New Roman"/>
          <w:noProof/>
          <w:sz w:val="24"/>
        </w:rPr>
        <w:t>ločata največje usklajeno omrežje zaščitenih območij na svetu z visoko biotsko raznovrstnostjo, imenovano Natura 2000, ki obsega 18 % kopenskih površin in 6 % morskih območij EU. Varujeta okoli 1 500 živalskih in rastlinskih vrst ter okoli 200 redkih habit</w:t>
      </w:r>
      <w:r>
        <w:rPr>
          <w:rFonts w:ascii="Times New Roman" w:hAnsi="Times New Roman"/>
          <w:noProof/>
          <w:sz w:val="24"/>
        </w:rPr>
        <w:t>atnih tipov znotraj in zunaj teh zaščitenih območij ter združujeta varstvo narave s trajnostno rabo zemljišč in gospodarsko dejavnostjo.</w:t>
      </w:r>
    </w:p>
    <w:p w:rsidR="00130B9A" w:rsidRDefault="00EA013D">
      <w:pPr>
        <w:jc w:val="both"/>
        <w:rPr>
          <w:rFonts w:ascii="Times New Roman" w:hAnsi="Times New Roman" w:cs="Times New Roman"/>
          <w:noProof/>
          <w:sz w:val="24"/>
          <w:szCs w:val="24"/>
        </w:rPr>
      </w:pPr>
      <w:r>
        <w:rPr>
          <w:rFonts w:ascii="Times New Roman" w:hAnsi="Times New Roman"/>
          <w:noProof/>
          <w:sz w:val="24"/>
        </w:rPr>
        <w:t>Komisija je leta 2014 v skladu s svojo obvezo o boljši pripravi zakonodaje začela celovito oceno direktiv o naravi, ime</w:t>
      </w:r>
      <w:r>
        <w:rPr>
          <w:rFonts w:ascii="Times New Roman" w:hAnsi="Times New Roman"/>
          <w:noProof/>
          <w:sz w:val="24"/>
        </w:rPr>
        <w:t>novano „preverjanje ustreznosti“. Predsednik Juncker je Karmenuja Vello ob prevzemu funkcije evropskega komisarja za okolje, pomorske zadeve in ribištvo zadolžil, naj dokonča to oceno. Komisija je s tem procesom prisluhnila pomislekom državljanov in podjet</w:t>
      </w:r>
      <w:r>
        <w:rPr>
          <w:rFonts w:ascii="Times New Roman" w:hAnsi="Times New Roman"/>
          <w:noProof/>
          <w:sz w:val="24"/>
        </w:rPr>
        <w:t xml:space="preserve">ij, ki včasih menijo, da je evropska pravila težko razumeti, uporabiti in izvršiti. </w:t>
      </w:r>
    </w:p>
    <w:p w:rsidR="00130B9A" w:rsidRDefault="00EA013D">
      <w:pPr>
        <w:jc w:val="both"/>
        <w:rPr>
          <w:noProof/>
          <w:sz w:val="28"/>
        </w:rPr>
      </w:pPr>
      <w:r>
        <w:rPr>
          <w:rFonts w:ascii="Times New Roman" w:hAnsi="Times New Roman"/>
          <w:noProof/>
          <w:sz w:val="24"/>
        </w:rPr>
        <w:t>Med preverjanjem ustreznosti je bilo ugotovljeno, da direktivi o naravi kot del širše politike EU za biotsko raznovrstnost ustrezata namenu, vendar bo doseganje njunih cil</w:t>
      </w:r>
      <w:r>
        <w:rPr>
          <w:rFonts w:ascii="Times New Roman" w:hAnsi="Times New Roman"/>
          <w:noProof/>
          <w:sz w:val="24"/>
        </w:rPr>
        <w:t>jev in izkoriščanje njunega celotnega potenciala odvisno od bistvenega izboljšanja njunega izvajanja</w:t>
      </w:r>
      <w:r>
        <w:rPr>
          <w:rStyle w:val="FootnoteReference"/>
          <w:rFonts w:ascii="Times New Roman" w:hAnsi="Times New Roman"/>
          <w:noProof/>
          <w:sz w:val="24"/>
        </w:rPr>
        <w:footnoteReference w:id="3"/>
      </w:r>
      <w:r>
        <w:rPr>
          <w:rFonts w:ascii="Times New Roman" w:hAnsi="Times New Roman"/>
          <w:noProof/>
          <w:sz w:val="24"/>
        </w:rPr>
        <w:t>. Za doseganje konkretnih rezultatov v praksi so potrebne izboljšave glede uspešnosti in učinkovitosti ter sodelovanja z različnimi skupnostmi deležnikov v</w:t>
      </w:r>
      <w:r>
        <w:rPr>
          <w:rFonts w:ascii="Times New Roman" w:hAnsi="Times New Roman"/>
          <w:noProof/>
          <w:sz w:val="24"/>
        </w:rPr>
        <w:t xml:space="preserve"> državah članicah in v celotni EU.</w:t>
      </w:r>
    </w:p>
    <w:p w:rsidR="00130B9A" w:rsidRDefault="00EA013D">
      <w:pPr>
        <w:jc w:val="both"/>
        <w:rPr>
          <w:rFonts w:ascii="Times New Roman" w:hAnsi="Times New Roman"/>
          <w:noProof/>
          <w:sz w:val="24"/>
        </w:rPr>
      </w:pPr>
      <w:r>
        <w:rPr>
          <w:rFonts w:ascii="Times New Roman" w:hAnsi="Times New Roman"/>
          <w:noProof/>
          <w:sz w:val="24"/>
        </w:rPr>
        <w:t xml:space="preserve">Danes imata dobro stanje ohranjenosti le okoli polovica ptic ter majhen delež drugih zaščitenih vrst in habitatov v EU. Omrežje Natura 2000 je zdaj na splošno uveljavljeno na kopnem, še vedno pa obstajajo pomembne vrzeli </w:t>
      </w:r>
      <w:r>
        <w:rPr>
          <w:rFonts w:ascii="Times New Roman" w:hAnsi="Times New Roman"/>
          <w:noProof/>
          <w:sz w:val="24"/>
        </w:rPr>
        <w:t>v morskem okolju. Od vseh območij Natura 2000 jih ima le 50 % načrte upravljanja z ohranitvenimi cilji in ukrepi. Ključni dejavniki za pomanjkljivosti pri izvajanju so omejeni viri, šibko izvrševanje, slabo vključevanje ciljev o naravi v druga področja pol</w:t>
      </w:r>
      <w:r>
        <w:rPr>
          <w:rFonts w:ascii="Times New Roman" w:hAnsi="Times New Roman"/>
          <w:noProof/>
          <w:sz w:val="24"/>
        </w:rPr>
        <w:t>itike, nezadostno znanje in dostop do podatkov ter slaba komunikacija in vključenost deležnikov. Poleg tega tisti, ki izvajajo direktivi zlasti na regionalni in lokalni ravni, včasih niso dovolj seznanjeni z njunimi zahtevami ali fleksibilnostjo in možnost</w:t>
      </w:r>
      <w:r>
        <w:rPr>
          <w:rFonts w:ascii="Times New Roman" w:hAnsi="Times New Roman"/>
          <w:noProof/>
          <w:sz w:val="24"/>
        </w:rPr>
        <w:t>mi, ki jih ponujata. To lahko privede do napetosti med varstvom narave in gospodarsko dejavnostjo.</w:t>
      </w:r>
    </w:p>
    <w:p w:rsidR="00130B9A" w:rsidRDefault="00EA013D">
      <w:pPr>
        <w:jc w:val="both"/>
        <w:rPr>
          <w:rFonts w:ascii="Times New Roman" w:hAnsi="Times New Roman"/>
          <w:noProof/>
          <w:sz w:val="24"/>
        </w:rPr>
      </w:pPr>
      <w:r>
        <w:rPr>
          <w:rFonts w:ascii="Times New Roman" w:hAnsi="Times New Roman"/>
          <w:noProof/>
          <w:sz w:val="24"/>
        </w:rPr>
        <w:t xml:space="preserve">Vendar pa je preverjanje ustreznosti pokazalo, da se stanje vrst in habitatov izboljša tam, kjer poteka ciljno ukrepanje v zadostnem obsegu, kar včasih vodi </w:t>
      </w:r>
      <w:r>
        <w:rPr>
          <w:rFonts w:ascii="Times New Roman" w:hAnsi="Times New Roman"/>
          <w:noProof/>
          <w:sz w:val="24"/>
        </w:rPr>
        <w:t>do izjemnih obnovitev. Poleg tega se vse bolj uveljavlja spoznanje, da naše naravno okolje temelji na različnih sektorjih gospodarstva, kot je turizem. Njegovo ohranjanje in trajnostna uporaba sta danes pomembnejša kot kdaj koli prej. Tako se ponudijo štev</w:t>
      </w:r>
      <w:r>
        <w:rPr>
          <w:rFonts w:ascii="Times New Roman" w:hAnsi="Times New Roman"/>
          <w:noProof/>
          <w:sz w:val="24"/>
        </w:rPr>
        <w:t>ilne priložnosti za privabljanje in spodbujanje naložb v varstvo narave.</w:t>
      </w:r>
    </w:p>
    <w:p w:rsidR="00130B9A" w:rsidRDefault="00EA013D">
      <w:pPr>
        <w:jc w:val="both"/>
        <w:rPr>
          <w:rFonts w:ascii="Times New Roman" w:hAnsi="Times New Roman" w:cs="Times New Roman"/>
          <w:noProof/>
          <w:sz w:val="24"/>
          <w:szCs w:val="24"/>
        </w:rPr>
      </w:pPr>
      <w:r>
        <w:rPr>
          <w:rFonts w:ascii="Times New Roman" w:hAnsi="Times New Roman"/>
          <w:noProof/>
          <w:sz w:val="24"/>
        </w:rPr>
        <w:t>Komisija je 7. decembra 2016 opravila orientacijsko razpravo o ugotovitvah preverjanja ustreznosti in njihovem nadaljnjem spremljanju. Na podlagi tega se je odločila, da pripravi konk</w:t>
      </w:r>
      <w:r>
        <w:rPr>
          <w:rFonts w:ascii="Times New Roman" w:hAnsi="Times New Roman"/>
          <w:noProof/>
          <w:sz w:val="24"/>
        </w:rPr>
        <w:t>reten akcijski načrt za izboljšanje izvajanja direktiv, njune skladnosti z družbenogospodarskimi cilji in sodelovanja z nacionalnimi, regionalnimi in lokalnimi oblastmi, deležniki ter državljani. Zaradi močne teritorialne razsežnosti direktiv in ključne vl</w:t>
      </w:r>
      <w:r>
        <w:rPr>
          <w:rFonts w:ascii="Times New Roman" w:hAnsi="Times New Roman"/>
          <w:noProof/>
          <w:sz w:val="24"/>
        </w:rPr>
        <w:t xml:space="preserve">oge, ki jo imajo regionalne in lokalne oblasti pri </w:t>
      </w:r>
      <w:r>
        <w:rPr>
          <w:rFonts w:ascii="Times New Roman" w:hAnsi="Times New Roman"/>
          <w:noProof/>
          <w:sz w:val="24"/>
        </w:rPr>
        <w:lastRenderedPageBreak/>
        <w:t xml:space="preserve">njunem izvajanju, je bil Odbor regij (OR) tesno povezan s pripravo tega akcijskega načrta in bo imel bistveno vlogo na področju sodelovanja z regionalnimi in lokalnimi oblastmi ter njihovim ozaveščanjem. </w:t>
      </w:r>
    </w:p>
    <w:p w:rsidR="00130B9A" w:rsidRDefault="00EA013D">
      <w:pPr>
        <w:jc w:val="both"/>
        <w:rPr>
          <w:rFonts w:ascii="Times New Roman" w:hAnsi="Times New Roman"/>
          <w:noProof/>
          <w:sz w:val="24"/>
        </w:rPr>
      </w:pPr>
      <w:r>
        <w:rPr>
          <w:rFonts w:ascii="Times New Roman" w:hAnsi="Times New Roman"/>
          <w:noProof/>
          <w:sz w:val="24"/>
        </w:rPr>
        <w:t>Ta celovit akcijski načrt si prizadeva za hitro izboljšanje praktičnega izvajanja direktiv o naravi in pospešitev napredka pri uresničevanju cilja EU 2020 o zaustavitvi in obrnitvi trenda izgube biotske raznovrstnosti in ekosistemskih storitev</w:t>
      </w:r>
      <w:r>
        <w:rPr>
          <w:rStyle w:val="FootnoteReference"/>
          <w:rFonts w:ascii="Times New Roman" w:hAnsi="Times New Roman"/>
          <w:noProof/>
          <w:sz w:val="24"/>
        </w:rPr>
        <w:footnoteReference w:id="4"/>
      </w:r>
      <w:r>
        <w:rPr>
          <w:rFonts w:ascii="Times New Roman" w:hAnsi="Times New Roman"/>
          <w:noProof/>
          <w:sz w:val="24"/>
        </w:rPr>
        <w:t>, tudi v zve</w:t>
      </w:r>
      <w:r>
        <w:rPr>
          <w:rFonts w:ascii="Times New Roman" w:hAnsi="Times New Roman"/>
          <w:noProof/>
          <w:sz w:val="24"/>
        </w:rPr>
        <w:t>zi z odpornostjo proti podnebnim spremembam in njihovo blažitvijo. To bo koristilo tudi prebivalcem Evrope in gospodarstvu. Sprejeti bodo ukrepi na ravni EU, posebej s strani Komisije in Odbora regij, toda tudi države članice in zadevni deležniki bodo mora</w:t>
      </w:r>
      <w:r>
        <w:rPr>
          <w:rFonts w:ascii="Times New Roman" w:hAnsi="Times New Roman"/>
          <w:noProof/>
          <w:sz w:val="24"/>
        </w:rPr>
        <w:t>li ob večji podpori in pomoči EU ukrepati. Akcijski načrt ponuja resnične priložnosti za vključitev deležnikov in javnosti ter oblikovanje partnerstev na različnih področjih politike. To bo ustvarilo trden temelj za spravo in gradnjo mostov med naravo, lju</w:t>
      </w:r>
      <w:r>
        <w:rPr>
          <w:rFonts w:ascii="Times New Roman" w:hAnsi="Times New Roman"/>
          <w:noProof/>
          <w:sz w:val="24"/>
        </w:rPr>
        <w:t xml:space="preserve">dmi ter gospodarstvom. </w:t>
      </w:r>
    </w:p>
    <w:p w:rsidR="00130B9A" w:rsidRDefault="00130B9A">
      <w:pPr>
        <w:spacing w:after="0"/>
        <w:jc w:val="both"/>
        <w:rPr>
          <w:rFonts w:ascii="Times New Roman" w:hAnsi="Times New Roman"/>
          <w:noProof/>
          <w:sz w:val="24"/>
        </w:rPr>
      </w:pPr>
    </w:p>
    <w:p w:rsidR="00130B9A" w:rsidRDefault="00EA013D">
      <w:pPr>
        <w:pStyle w:val="ListParagraph"/>
        <w:numPr>
          <w:ilvl w:val="0"/>
          <w:numId w:val="1"/>
        </w:numPr>
        <w:jc w:val="both"/>
        <w:rPr>
          <w:rFonts w:ascii="Times New Roman" w:hAnsi="Times New Roman"/>
          <w:b/>
          <w:noProof/>
          <w:sz w:val="24"/>
          <w:szCs w:val="24"/>
        </w:rPr>
      </w:pPr>
      <w:r>
        <w:rPr>
          <w:rFonts w:ascii="Times New Roman" w:hAnsi="Times New Roman"/>
          <w:b/>
          <w:noProof/>
          <w:sz w:val="24"/>
        </w:rPr>
        <w:t>Vsebina akcijskega načrta</w:t>
      </w:r>
    </w:p>
    <w:p w:rsidR="00130B9A" w:rsidRDefault="00130B9A">
      <w:pPr>
        <w:pStyle w:val="ListParagraph"/>
        <w:ind w:left="360"/>
        <w:jc w:val="both"/>
        <w:rPr>
          <w:rFonts w:ascii="Times New Roman" w:hAnsi="Times New Roman"/>
          <w:b/>
          <w:noProof/>
          <w:sz w:val="24"/>
          <w:szCs w:val="24"/>
        </w:rPr>
      </w:pPr>
    </w:p>
    <w:p w:rsidR="00130B9A" w:rsidRDefault="00EA013D">
      <w:pPr>
        <w:spacing w:after="240" w:line="240" w:lineRule="auto"/>
        <w:jc w:val="both"/>
        <w:rPr>
          <w:rFonts w:ascii="Times New Roman" w:hAnsi="Times New Roman"/>
          <w:noProof/>
          <w:sz w:val="24"/>
        </w:rPr>
      </w:pPr>
      <w:r>
        <w:rPr>
          <w:rFonts w:ascii="Times New Roman" w:hAnsi="Times New Roman"/>
          <w:noProof/>
          <w:sz w:val="24"/>
        </w:rPr>
        <w:t xml:space="preserve">Akcijski načrt zajema štiri prednostna področja, ki vsebujejo 15 konkretnih ukrepov. Večina ukrepov se bo začela izvajati v letu 2017, da bi Komisija lahko poročala o njihovem izvajanju še pred koncem </w:t>
      </w:r>
      <w:r>
        <w:rPr>
          <w:rFonts w:ascii="Times New Roman" w:hAnsi="Times New Roman"/>
          <w:noProof/>
          <w:sz w:val="24"/>
        </w:rPr>
        <w:t>sedanjega mandata, ki se izteče leta 2019. Preglednica, ki je v tem sporočilu, vsebuje pregled ukrepov. Dopolnjujejo jo podrobni informativni pregledi, v katerih je več informacij.</w:t>
      </w:r>
    </w:p>
    <w:p w:rsidR="00130B9A" w:rsidRDefault="00EA013D">
      <w:pPr>
        <w:spacing w:after="240" w:line="240" w:lineRule="auto"/>
        <w:jc w:val="both"/>
        <w:rPr>
          <w:rFonts w:ascii="Times New Roman" w:hAnsi="Times New Roman"/>
          <w:b/>
          <w:i/>
          <w:noProof/>
          <w:sz w:val="24"/>
        </w:rPr>
      </w:pPr>
      <w:r>
        <w:rPr>
          <w:rFonts w:ascii="Times New Roman" w:hAnsi="Times New Roman"/>
          <w:b/>
          <w:i/>
          <w:noProof/>
          <w:sz w:val="24"/>
        </w:rPr>
        <w:t>Prednostna naloga A: Izboljšanje smernic in znanja ter zagotavljanje boljše</w:t>
      </w:r>
      <w:r>
        <w:rPr>
          <w:rFonts w:ascii="Times New Roman" w:hAnsi="Times New Roman"/>
          <w:b/>
          <w:i/>
          <w:noProof/>
          <w:sz w:val="24"/>
        </w:rPr>
        <w:t xml:space="preserve"> skladnosti s širšimi družbenogospodarskimi cilji</w:t>
      </w:r>
    </w:p>
    <w:p w:rsidR="00130B9A" w:rsidRDefault="00EA013D">
      <w:pPr>
        <w:jc w:val="both"/>
        <w:rPr>
          <w:rFonts w:ascii="Times New Roman" w:hAnsi="Times New Roman"/>
          <w:noProof/>
          <w:sz w:val="24"/>
        </w:rPr>
      </w:pPr>
      <w:r>
        <w:rPr>
          <w:rFonts w:ascii="Times New Roman" w:hAnsi="Times New Roman"/>
          <w:noProof/>
          <w:sz w:val="24"/>
        </w:rPr>
        <w:t xml:space="preserve">Različni pristopi držav članic pri izvajanju direktiv lahko povzročijo nepotrebne spore in težave. Neprožna uporaba pravil o varovanju vrst, zamude, neupravičeno velika bremena za pridobivanje dovoljenj za </w:t>
      </w:r>
      <w:r>
        <w:rPr>
          <w:rFonts w:ascii="Times New Roman" w:hAnsi="Times New Roman"/>
          <w:noProof/>
          <w:sz w:val="24"/>
        </w:rPr>
        <w:t>načrte oz. posege v območjih Natura 2000 ter nezadostna ozaveščenost deležnikov lahko povzročijo nepotrebne napetosti med varstvom narave in družbenogospodarskimi dejavnostmi. Akcijski načrt določa praktične rešitve za te težave in spodbuja pametnejše pris</w:t>
      </w:r>
      <w:r>
        <w:rPr>
          <w:rFonts w:ascii="Times New Roman" w:hAnsi="Times New Roman"/>
          <w:noProof/>
          <w:sz w:val="24"/>
        </w:rPr>
        <w:t>tope za sodelovanje, da bi spodbudili polno vključenost lastnikov zemljišč in uporabnikov. Komisija bo izboljšala svoje smernice in spodbujala k boljšemu razumevanju zakonodaje v praksi, s čimer bo javnim organom pomagala pri njeni boljši uporabi. Države č</w:t>
      </w:r>
      <w:r>
        <w:rPr>
          <w:rFonts w:ascii="Times New Roman" w:hAnsi="Times New Roman"/>
          <w:noProof/>
          <w:sz w:val="24"/>
        </w:rPr>
        <w:t>lanice bodo morale izboljšati znanje in dostop do podatkov, potrebnih za izvajanje direktiv. Komisija bo podpirala prizadevanja za izboljšanje priznavanja prispevka zdravih ekosistemov k blaginji in gospodarskemu razvoju (ukrepi 1–3).</w:t>
      </w:r>
    </w:p>
    <w:p w:rsidR="00130B9A" w:rsidRDefault="00EA013D">
      <w:pPr>
        <w:spacing w:before="60" w:after="60"/>
        <w:jc w:val="both"/>
        <w:rPr>
          <w:rFonts w:ascii="Times New Roman" w:hAnsi="Times New Roman"/>
          <w:noProof/>
          <w:sz w:val="24"/>
        </w:rPr>
      </w:pPr>
      <w:r>
        <w:rPr>
          <w:rFonts w:ascii="Times New Roman" w:hAnsi="Times New Roman"/>
          <w:noProof/>
          <w:sz w:val="24"/>
        </w:rPr>
        <w:t>Poleg tega bodo ukrep</w:t>
      </w:r>
      <w:r>
        <w:rPr>
          <w:rFonts w:ascii="Times New Roman" w:hAnsi="Times New Roman"/>
          <w:noProof/>
          <w:sz w:val="24"/>
        </w:rPr>
        <w:t>i, ki jih Komisija pripravlja</w:t>
      </w:r>
      <w:r>
        <w:rPr>
          <w:rStyle w:val="FootnoteReference"/>
          <w:rFonts w:ascii="Times New Roman" w:hAnsi="Times New Roman"/>
          <w:noProof/>
          <w:sz w:val="24"/>
        </w:rPr>
        <w:footnoteReference w:id="5"/>
      </w:r>
      <w:r>
        <w:rPr>
          <w:rFonts w:ascii="Times New Roman" w:hAnsi="Times New Roman"/>
          <w:noProof/>
          <w:sz w:val="24"/>
        </w:rPr>
        <w:t xml:space="preserve"> za poenostavitev spremljanja in poročanja v vsej okoljski zakonodaji EU, pomagali izboljšati tako učinkovitost kakor tudi uspešnost direktiv o naravi.</w:t>
      </w:r>
    </w:p>
    <w:p w:rsidR="00130B9A" w:rsidRDefault="00130B9A">
      <w:pPr>
        <w:spacing w:after="120" w:line="240" w:lineRule="auto"/>
        <w:jc w:val="both"/>
        <w:rPr>
          <w:rFonts w:ascii="Times New Roman" w:hAnsi="Times New Roman"/>
          <w:b/>
          <w:noProof/>
          <w:sz w:val="24"/>
        </w:rPr>
      </w:pPr>
    </w:p>
    <w:p w:rsidR="00130B9A" w:rsidRDefault="00EA013D">
      <w:pPr>
        <w:keepNext/>
        <w:spacing w:after="120" w:line="240" w:lineRule="auto"/>
        <w:jc w:val="both"/>
        <w:rPr>
          <w:rFonts w:ascii="Times New Roman" w:hAnsi="Times New Roman"/>
          <w:b/>
          <w:i/>
          <w:noProof/>
          <w:sz w:val="24"/>
        </w:rPr>
      </w:pPr>
      <w:r>
        <w:rPr>
          <w:rFonts w:ascii="Times New Roman" w:hAnsi="Times New Roman"/>
          <w:b/>
          <w:i/>
          <w:noProof/>
          <w:sz w:val="24"/>
        </w:rPr>
        <w:t>Prednostna naloga B: Vzpostavljanje politične odgovornosti in krepitev sk</w:t>
      </w:r>
      <w:r>
        <w:rPr>
          <w:rFonts w:ascii="Times New Roman" w:hAnsi="Times New Roman"/>
          <w:b/>
          <w:i/>
          <w:noProof/>
          <w:sz w:val="24"/>
        </w:rPr>
        <w:t>ladnosti</w:t>
      </w:r>
    </w:p>
    <w:p w:rsidR="00130B9A" w:rsidRDefault="00EA013D">
      <w:pPr>
        <w:jc w:val="both"/>
        <w:rPr>
          <w:rFonts w:ascii="Times New Roman" w:hAnsi="Times New Roman"/>
          <w:noProof/>
          <w:sz w:val="24"/>
        </w:rPr>
      </w:pPr>
      <w:r>
        <w:rPr>
          <w:rFonts w:ascii="Times New Roman" w:hAnsi="Times New Roman"/>
          <w:noProof/>
          <w:sz w:val="24"/>
        </w:rPr>
        <w:t xml:space="preserve">Medtem ko so države članice dejansko odgovorne za izvajanje direktiv o naravi v praksi, bo Komisija z njimi tesneje sodelovala, da bo omogočila in spodbudila ohranjanje in trajnostno rabo narave. Skupaj moramo zagotoviti, da je v celoti usklajeno </w:t>
      </w:r>
      <w:r>
        <w:rPr>
          <w:rFonts w:ascii="Times New Roman" w:hAnsi="Times New Roman"/>
          <w:noProof/>
          <w:sz w:val="24"/>
        </w:rPr>
        <w:t>in delujoče omrežje Natura 2000 vzpostavljeno ter da so vrste zaščitene in se po potrebi trajnostno uporabljajo.</w:t>
      </w:r>
    </w:p>
    <w:p w:rsidR="00130B9A" w:rsidRDefault="00EA013D">
      <w:pPr>
        <w:jc w:val="both"/>
        <w:rPr>
          <w:rFonts w:ascii="Times New Roman" w:hAnsi="Times New Roman"/>
          <w:noProof/>
          <w:sz w:val="24"/>
        </w:rPr>
      </w:pPr>
      <w:r>
        <w:rPr>
          <w:rFonts w:ascii="Times New Roman" w:hAnsi="Times New Roman"/>
          <w:noProof/>
          <w:sz w:val="24"/>
        </w:rPr>
        <w:t>V tej prednostni nalogi bo vključen tudi dvostranski dialog z državami članicami in deležniki, namenjen izboljšanju izvajanja omrežja Natura 20</w:t>
      </w:r>
      <w:r>
        <w:rPr>
          <w:rFonts w:ascii="Times New Roman" w:hAnsi="Times New Roman"/>
          <w:noProof/>
          <w:sz w:val="24"/>
        </w:rPr>
        <w:t>00 in spodbujanju sodelovanja pri njegovem upravljanju v različnih biogeografskih regijah v Evropi. Pripravljeni in izvedeni bodo akcijski načrti za habitate in vrste (ukrepi 4–7).</w:t>
      </w:r>
    </w:p>
    <w:p w:rsidR="00130B9A" w:rsidRDefault="00EA013D">
      <w:pPr>
        <w:jc w:val="both"/>
        <w:rPr>
          <w:i/>
          <w:noProof/>
        </w:rPr>
      </w:pPr>
      <w:r>
        <w:rPr>
          <w:rFonts w:ascii="Times New Roman" w:hAnsi="Times New Roman"/>
          <w:noProof/>
          <w:sz w:val="24"/>
        </w:rPr>
        <w:t>Da bi okrepili skladnost držav članic z direktivama o naravi, bodo zelo pom</w:t>
      </w:r>
      <w:r>
        <w:rPr>
          <w:rFonts w:ascii="Times New Roman" w:hAnsi="Times New Roman"/>
          <w:noProof/>
          <w:sz w:val="24"/>
        </w:rPr>
        <w:t>embni tudi drugi ukrepi na širšem področju okoljske politike, usposabljanja nacionalnih sodnikov in tožilcev, dostopa do pravnega varstva in zagotavljanja skladnosti z okoljskim pravom EU</w:t>
      </w:r>
      <w:r>
        <w:rPr>
          <w:rStyle w:val="FootnoteReference"/>
          <w:rFonts w:ascii="Times New Roman" w:hAnsi="Times New Roman"/>
          <w:noProof/>
          <w:sz w:val="24"/>
        </w:rPr>
        <w:footnoteReference w:id="6"/>
      </w:r>
      <w:r>
        <w:rPr>
          <w:rFonts w:ascii="Times New Roman" w:hAnsi="Times New Roman"/>
          <w:noProof/>
          <w:sz w:val="24"/>
        </w:rPr>
        <w:t>.</w:t>
      </w:r>
    </w:p>
    <w:p w:rsidR="00130B9A" w:rsidRDefault="00EA013D">
      <w:pPr>
        <w:keepNext/>
        <w:spacing w:before="240" w:after="120" w:line="240" w:lineRule="auto"/>
        <w:jc w:val="both"/>
        <w:rPr>
          <w:rFonts w:ascii="Times New Roman" w:hAnsi="Times New Roman"/>
          <w:b/>
          <w:i/>
          <w:noProof/>
          <w:sz w:val="24"/>
        </w:rPr>
      </w:pPr>
      <w:r>
        <w:rPr>
          <w:rFonts w:ascii="Times New Roman" w:hAnsi="Times New Roman"/>
          <w:b/>
          <w:i/>
          <w:noProof/>
          <w:sz w:val="24"/>
        </w:rPr>
        <w:t>Prednostna naloga C: Krepitev naložb v omrežje Natura 2000 in izbo</w:t>
      </w:r>
      <w:r>
        <w:rPr>
          <w:rFonts w:ascii="Times New Roman" w:hAnsi="Times New Roman"/>
          <w:b/>
          <w:i/>
          <w:noProof/>
          <w:sz w:val="24"/>
        </w:rPr>
        <w:t>ljšanje sinergij z instrumenti financiranja EU</w:t>
      </w:r>
    </w:p>
    <w:p w:rsidR="00130B9A" w:rsidRDefault="00EA013D">
      <w:pPr>
        <w:jc w:val="both"/>
        <w:rPr>
          <w:rFonts w:ascii="Times New Roman" w:hAnsi="Times New Roman"/>
          <w:noProof/>
          <w:sz w:val="24"/>
        </w:rPr>
      </w:pPr>
      <w:r>
        <w:rPr>
          <w:rFonts w:ascii="Times New Roman" w:hAnsi="Times New Roman"/>
          <w:noProof/>
          <w:sz w:val="24"/>
        </w:rPr>
        <w:t>Stroški izvajanja omrežja Natura 2000 so bili ocenjeni na 5,8 milijarde EUR na leto, njegove letne koristi pa se ocenjujejo na 200–300 milijard EUR. Vendar pa pomanjkanje sredstev ovira omrežje pri zagotavljan</w:t>
      </w:r>
      <w:r>
        <w:rPr>
          <w:rFonts w:ascii="Times New Roman" w:hAnsi="Times New Roman"/>
          <w:noProof/>
          <w:sz w:val="24"/>
        </w:rPr>
        <w:t>ju teh koristi v celoti in je glavni dejavnik, ki otežuje učinkovitost direktiv o naravi. Cilj akcijskega načrta je zato boljša uporaba sredstev EU, ki so na voljo, ter da bi narava postala privlačnejša za zasebne naložbe.</w:t>
      </w:r>
    </w:p>
    <w:p w:rsidR="00130B9A" w:rsidRDefault="00EA013D">
      <w:pPr>
        <w:jc w:val="both"/>
        <w:rPr>
          <w:rFonts w:ascii="Times New Roman" w:hAnsi="Times New Roman"/>
          <w:noProof/>
          <w:sz w:val="24"/>
        </w:rPr>
      </w:pPr>
      <w:r>
        <w:rPr>
          <w:rFonts w:ascii="Times New Roman" w:hAnsi="Times New Roman"/>
          <w:noProof/>
          <w:sz w:val="24"/>
        </w:rPr>
        <w:t>Preverjanje ustreznosti je poudar</w:t>
      </w:r>
      <w:r>
        <w:rPr>
          <w:rFonts w:ascii="Times New Roman" w:hAnsi="Times New Roman"/>
          <w:noProof/>
          <w:sz w:val="24"/>
        </w:rPr>
        <w:t>ilo zaskrbljujoče upadanje števila vrst in habitatov, povezanih s kmetijstvom, ter opozorilo na potrebo po učinkovitejšem povezovanju omrežja Natura 2000 in širše biotske raznovrstnosti s skupno kmetijsko politiko (SKP). Akcijski načrt v skladu z veljavnim</w:t>
      </w:r>
      <w:r>
        <w:rPr>
          <w:rFonts w:ascii="Times New Roman" w:hAnsi="Times New Roman"/>
          <w:noProof/>
          <w:sz w:val="24"/>
        </w:rPr>
        <w:t xml:space="preserve"> pravnim okvirom</w:t>
      </w:r>
      <w:r>
        <w:rPr>
          <w:rStyle w:val="FootnoteReference"/>
          <w:rFonts w:ascii="Times New Roman" w:hAnsi="Times New Roman"/>
          <w:noProof/>
          <w:sz w:val="24"/>
        </w:rPr>
        <w:footnoteReference w:id="7"/>
      </w:r>
      <w:r>
        <w:rPr>
          <w:rFonts w:ascii="Times New Roman" w:hAnsi="Times New Roman"/>
          <w:noProof/>
          <w:sz w:val="24"/>
        </w:rPr>
        <w:t xml:space="preserve"> predlaga načine za izboljšanje sinergij s SKP in drugimi ključnimi področji politik EU, kot so kohezijska politika, skupna ribiška politika ter politika za raziskave in inovacije. Predlaga povečanje namenskih finančnih sredstev za naravo </w:t>
      </w:r>
      <w:r>
        <w:rPr>
          <w:rFonts w:ascii="Times New Roman" w:hAnsi="Times New Roman"/>
          <w:noProof/>
          <w:sz w:val="24"/>
        </w:rPr>
        <w:t xml:space="preserve">in biotsko raznovrstnost, kar bi omogočilo večje naložbe v omrežje Natura 2000. Določa tudi, da bi morale države članice razviti dodatne smernice in načrtovati nacionalne finančne okvire za omrežje Natura 2000. Poleg tega predlaga še načine za spodbujanje </w:t>
      </w:r>
      <w:r>
        <w:rPr>
          <w:rFonts w:ascii="Times New Roman" w:hAnsi="Times New Roman"/>
          <w:noProof/>
          <w:sz w:val="24"/>
        </w:rPr>
        <w:t>zasebnih naložb in boljše podpore povezljivosti med območji Natura 2000, vključno z zeleno infrastrukturo in rešitvami, ki temeljijo na naravi (ukrepi 8–12).</w:t>
      </w:r>
    </w:p>
    <w:p w:rsidR="00130B9A" w:rsidRDefault="00EA013D">
      <w:pPr>
        <w:keepNext/>
        <w:spacing w:before="240" w:after="240" w:line="240" w:lineRule="auto"/>
        <w:jc w:val="both"/>
        <w:rPr>
          <w:rFonts w:ascii="Times New Roman" w:hAnsi="Times New Roman"/>
          <w:b/>
          <w:i/>
          <w:noProof/>
          <w:sz w:val="24"/>
        </w:rPr>
      </w:pPr>
      <w:r>
        <w:rPr>
          <w:rFonts w:ascii="Times New Roman" w:hAnsi="Times New Roman"/>
          <w:b/>
          <w:i/>
          <w:noProof/>
          <w:sz w:val="24"/>
        </w:rPr>
        <w:t>Prednostna naloga D: Boljša komunikacija in ozaveščanje, vključevanje državljanov, deležnikov in s</w:t>
      </w:r>
      <w:r>
        <w:rPr>
          <w:rFonts w:ascii="Times New Roman" w:hAnsi="Times New Roman"/>
          <w:b/>
          <w:i/>
          <w:noProof/>
          <w:sz w:val="24"/>
        </w:rPr>
        <w:t>kupnosti</w:t>
      </w:r>
    </w:p>
    <w:p w:rsidR="00130B9A" w:rsidRDefault="00EA013D">
      <w:pPr>
        <w:spacing w:before="60" w:after="60"/>
        <w:jc w:val="both"/>
        <w:rPr>
          <w:rFonts w:ascii="Times New Roman" w:hAnsi="Times New Roman"/>
          <w:noProof/>
          <w:sz w:val="24"/>
        </w:rPr>
      </w:pPr>
      <w:r>
        <w:rPr>
          <w:rFonts w:ascii="Times New Roman" w:hAnsi="Times New Roman"/>
          <w:noProof/>
          <w:sz w:val="24"/>
        </w:rPr>
        <w:t>Akcijski načrt skuša okrepiti vključenost javnosti, deležnikov, lokalnih organov in skupnosti. Zaščita narave in njenih koristi zadeva vse nas, saj je to naša skupna dediščina. Komisija bo skupaj z Odborom regij uporabila vse razpoložljive platfor</w:t>
      </w:r>
      <w:r>
        <w:rPr>
          <w:rFonts w:ascii="Times New Roman" w:hAnsi="Times New Roman"/>
          <w:noProof/>
          <w:sz w:val="24"/>
        </w:rPr>
        <w:t xml:space="preserve">me z namenom ozaveščanja in spodbujanja lokalnega sodelovanja in izmenjave znanja. Večje priznanje bo dala dobrim praksam upravljanja znotraj območij Natura 2000. Komisija bo v okviru evropskih solidarnostnih enot mladim pomagala pri neposredni vključitvi </w:t>
      </w:r>
      <w:r>
        <w:rPr>
          <w:rFonts w:ascii="Times New Roman" w:hAnsi="Times New Roman"/>
          <w:noProof/>
          <w:sz w:val="24"/>
        </w:rPr>
        <w:t>v ohranjanje narave in pridobivanju dragocenih izkušenj za njihovo poklicno življenje (ukrepi 13–15).</w:t>
      </w:r>
    </w:p>
    <w:p w:rsidR="00130B9A" w:rsidRDefault="00EA013D">
      <w:pPr>
        <w:spacing w:before="60" w:after="60"/>
        <w:jc w:val="both"/>
        <w:rPr>
          <w:rFonts w:ascii="Times New Roman" w:hAnsi="Times New Roman"/>
          <w:noProof/>
          <w:sz w:val="24"/>
        </w:rPr>
        <w:sectPr w:rsidR="00130B9A">
          <w:headerReference w:type="even" r:id="rId16"/>
          <w:headerReference w:type="default" r:id="rId17"/>
          <w:footerReference w:type="even" r:id="rId18"/>
          <w:footerReference w:type="default" r:id="rId19"/>
          <w:headerReference w:type="first" r:id="rId20"/>
          <w:footerReference w:type="first" r:id="rId21"/>
          <w:pgSz w:w="11906" w:h="16838"/>
          <w:pgMar w:top="1417" w:right="1134" w:bottom="1134" w:left="1134" w:header="708" w:footer="708" w:gutter="0"/>
          <w:pgNumType w:start="2"/>
          <w:cols w:space="720"/>
          <w:docGrid w:linePitch="360"/>
        </w:sectPr>
      </w:pPr>
      <w:r>
        <w:rPr>
          <w:noProof/>
        </w:rPr>
        <w:br w:type="page"/>
      </w:r>
    </w:p>
    <w:p w:rsidR="00130B9A" w:rsidRDefault="00EA013D">
      <w:pPr>
        <w:spacing w:after="0"/>
        <w:jc w:val="center"/>
        <w:rPr>
          <w:rFonts w:ascii="Times New Roman" w:hAnsi="Times New Roman"/>
          <w:b/>
          <w:noProof/>
          <w:sz w:val="24"/>
        </w:rPr>
      </w:pPr>
      <w:r>
        <w:rPr>
          <w:rFonts w:ascii="Times New Roman" w:hAnsi="Times New Roman"/>
          <w:b/>
          <w:noProof/>
          <w:sz w:val="24"/>
        </w:rPr>
        <w:t>Preglednica ukrepov</w:t>
      </w:r>
    </w:p>
    <w:p w:rsidR="00130B9A" w:rsidRDefault="00130B9A">
      <w:pPr>
        <w:spacing w:after="0"/>
        <w:jc w:val="center"/>
        <w:rPr>
          <w:rFonts w:ascii="Times New Roman" w:hAnsi="Times New Roman"/>
          <w:b/>
          <w:noProof/>
          <w:sz w:val="24"/>
        </w:rPr>
      </w:pPr>
    </w:p>
    <w:p w:rsidR="00130B9A" w:rsidRDefault="00EA013D">
      <w:pPr>
        <w:spacing w:after="120" w:line="240" w:lineRule="auto"/>
        <w:jc w:val="both"/>
        <w:rPr>
          <w:rFonts w:ascii="Times New Roman" w:hAnsi="Times New Roman"/>
          <w:b/>
          <w:noProof/>
          <w:sz w:val="24"/>
        </w:rPr>
      </w:pPr>
      <w:r>
        <w:rPr>
          <w:rFonts w:ascii="Times New Roman" w:hAnsi="Times New Roman"/>
          <w:b/>
          <w:noProof/>
          <w:sz w:val="24"/>
        </w:rPr>
        <w:t xml:space="preserve">Izboljšanje smernic in znanja ter zagotavljanje boljše skladnosti s </w:t>
      </w:r>
      <w:r>
        <w:rPr>
          <w:rFonts w:ascii="Times New Roman" w:hAnsi="Times New Roman"/>
          <w:b/>
          <w:noProof/>
          <w:sz w:val="24"/>
        </w:rPr>
        <w:t>širšimi družbenogospodarskimi cilji</w:t>
      </w:r>
    </w:p>
    <w:tbl>
      <w:tblPr>
        <w:tblStyle w:val="TableGrid"/>
        <w:tblW w:w="15228" w:type="dxa"/>
        <w:tblLayout w:type="fixed"/>
        <w:tblLook w:val="04A0" w:firstRow="1" w:lastRow="0" w:firstColumn="1" w:lastColumn="0" w:noHBand="0" w:noVBand="1"/>
      </w:tblPr>
      <w:tblGrid>
        <w:gridCol w:w="11748"/>
        <w:gridCol w:w="1320"/>
        <w:gridCol w:w="2160"/>
      </w:tblGrid>
      <w:tr w:rsidR="00130B9A">
        <w:trPr>
          <w:tblHeader/>
        </w:trPr>
        <w:tc>
          <w:tcPr>
            <w:tcW w:w="11748" w:type="dxa"/>
            <w:shd w:val="clear" w:color="auto" w:fill="auto"/>
          </w:tcPr>
          <w:p w:rsidR="00130B9A" w:rsidRDefault="00EA013D">
            <w:pPr>
              <w:spacing w:before="60" w:after="60"/>
              <w:jc w:val="center"/>
              <w:rPr>
                <w:rFonts w:ascii="Times New Roman" w:hAnsi="Times New Roman"/>
                <w:b/>
                <w:noProof/>
                <w:sz w:val="24"/>
              </w:rPr>
            </w:pPr>
            <w:r>
              <w:rPr>
                <w:rFonts w:ascii="Times New Roman" w:hAnsi="Times New Roman"/>
                <w:b/>
                <w:noProof/>
                <w:sz w:val="24"/>
              </w:rPr>
              <w:t>Ukrepi</w:t>
            </w:r>
          </w:p>
        </w:tc>
        <w:tc>
          <w:tcPr>
            <w:tcW w:w="1320" w:type="dxa"/>
            <w:shd w:val="clear" w:color="auto" w:fill="auto"/>
          </w:tcPr>
          <w:p w:rsidR="00130B9A" w:rsidRDefault="00EA013D">
            <w:pPr>
              <w:spacing w:before="60" w:after="60"/>
              <w:jc w:val="center"/>
              <w:rPr>
                <w:rFonts w:ascii="Times New Roman" w:hAnsi="Times New Roman"/>
                <w:b/>
                <w:noProof/>
                <w:sz w:val="24"/>
              </w:rPr>
            </w:pPr>
            <w:r>
              <w:rPr>
                <w:rFonts w:ascii="Times New Roman" w:hAnsi="Times New Roman"/>
                <w:b/>
                <w:noProof/>
                <w:sz w:val="24"/>
              </w:rPr>
              <w:t>Časovni okvir</w:t>
            </w:r>
          </w:p>
        </w:tc>
        <w:tc>
          <w:tcPr>
            <w:tcW w:w="2160" w:type="dxa"/>
          </w:tcPr>
          <w:p w:rsidR="00130B9A" w:rsidRDefault="00EA013D">
            <w:pPr>
              <w:spacing w:before="60" w:after="60"/>
              <w:ind w:left="-57" w:right="-57"/>
              <w:jc w:val="center"/>
              <w:rPr>
                <w:rFonts w:ascii="Times New Roman" w:hAnsi="Times New Roman"/>
                <w:b/>
                <w:noProof/>
                <w:sz w:val="24"/>
              </w:rPr>
            </w:pPr>
            <w:r>
              <w:rPr>
                <w:rFonts w:ascii="Times New Roman" w:hAnsi="Times New Roman"/>
                <w:b/>
                <w:noProof/>
                <w:sz w:val="24"/>
              </w:rPr>
              <w:t>Pristojni organi</w:t>
            </w:r>
          </w:p>
        </w:tc>
      </w:tr>
      <w:tr w:rsidR="00130B9A">
        <w:trPr>
          <w:tblHeader/>
        </w:trPr>
        <w:tc>
          <w:tcPr>
            <w:tcW w:w="11748" w:type="dxa"/>
            <w:shd w:val="clear" w:color="auto" w:fill="auto"/>
          </w:tcPr>
          <w:p w:rsidR="00130B9A" w:rsidRDefault="00EA013D">
            <w:pPr>
              <w:spacing w:after="0"/>
              <w:ind w:left="284" w:hanging="284"/>
              <w:rPr>
                <w:rFonts w:ascii="Times New Roman" w:hAnsi="Times New Roman"/>
                <w:noProof/>
                <w:sz w:val="24"/>
                <w:szCs w:val="24"/>
              </w:rPr>
            </w:pPr>
            <w:r>
              <w:rPr>
                <w:rFonts w:ascii="Times New Roman" w:hAnsi="Times New Roman"/>
                <w:noProof/>
                <w:sz w:val="24"/>
              </w:rPr>
              <w:t xml:space="preserve">1. </w:t>
            </w:r>
            <w:r>
              <w:rPr>
                <w:noProof/>
              </w:rPr>
              <w:tab/>
            </w:r>
            <w:r>
              <w:rPr>
                <w:rFonts w:ascii="Times New Roman" w:hAnsi="Times New Roman"/>
                <w:noProof/>
                <w:sz w:val="24"/>
              </w:rPr>
              <w:t>Posodobitev, razvoj in aktivno spodbujanje, v vseh jezikih EU, smernic o</w:t>
            </w:r>
          </w:p>
          <w:p w:rsidR="00130B9A" w:rsidRDefault="00EA013D">
            <w:pPr>
              <w:spacing w:after="0"/>
              <w:ind w:left="284"/>
              <w:rPr>
                <w:rFonts w:ascii="Calibri" w:hAnsi="Calibri"/>
                <w:noProof/>
              </w:rPr>
            </w:pPr>
            <w:r>
              <w:rPr>
                <w:rFonts w:ascii="Times New Roman" w:hAnsi="Times New Roman"/>
                <w:noProof/>
                <w:sz w:val="24"/>
              </w:rPr>
              <w:t xml:space="preserve">(a) postopkih za izdajanje dovoljenj za načrte oz. posege v območjih Natura 2000, varovanju in </w:t>
            </w:r>
            <w:r>
              <w:rPr>
                <w:rFonts w:ascii="Times New Roman" w:hAnsi="Times New Roman"/>
                <w:noProof/>
                <w:sz w:val="24"/>
              </w:rPr>
              <w:t>upravljanju vrst, kot tudi drugih panožnih smernic</w:t>
            </w:r>
          </w:p>
          <w:p w:rsidR="00130B9A" w:rsidRDefault="00EA013D">
            <w:pPr>
              <w:spacing w:after="0"/>
              <w:ind w:left="284"/>
              <w:rPr>
                <w:rFonts w:ascii="Calibri" w:hAnsi="Calibri"/>
                <w:noProof/>
              </w:rPr>
            </w:pPr>
            <w:r>
              <w:rPr>
                <w:rFonts w:ascii="Times New Roman" w:hAnsi="Times New Roman"/>
                <w:noProof/>
                <w:sz w:val="24"/>
              </w:rPr>
              <w:t>(b) vključevanju ekosistemskih storitev v sprejemanje odločitev</w:t>
            </w:r>
          </w:p>
        </w:tc>
        <w:tc>
          <w:tcPr>
            <w:tcW w:w="1320" w:type="dxa"/>
            <w:shd w:val="clear" w:color="auto" w:fill="auto"/>
          </w:tcPr>
          <w:p w:rsidR="00130B9A" w:rsidRDefault="00130B9A">
            <w:pPr>
              <w:spacing w:after="0"/>
              <w:jc w:val="center"/>
              <w:rPr>
                <w:rFonts w:ascii="Times New Roman" w:hAnsi="Times New Roman"/>
                <w:noProof/>
                <w:sz w:val="24"/>
              </w:rPr>
            </w:pPr>
          </w:p>
          <w:p w:rsidR="00130B9A" w:rsidRDefault="00EA013D">
            <w:pPr>
              <w:spacing w:after="0"/>
              <w:jc w:val="center"/>
              <w:rPr>
                <w:rFonts w:ascii="Times New Roman" w:hAnsi="Times New Roman"/>
                <w:noProof/>
                <w:sz w:val="24"/>
              </w:rPr>
            </w:pPr>
            <w:r>
              <w:rPr>
                <w:rFonts w:ascii="Times New Roman" w:hAnsi="Times New Roman"/>
                <w:noProof/>
                <w:sz w:val="24"/>
              </w:rPr>
              <w:t>2017–2019</w:t>
            </w:r>
          </w:p>
          <w:p w:rsidR="00130B9A" w:rsidRDefault="00EA013D">
            <w:pPr>
              <w:spacing w:after="0"/>
              <w:jc w:val="center"/>
              <w:rPr>
                <w:rFonts w:ascii="Times New Roman" w:hAnsi="Times New Roman"/>
                <w:noProof/>
                <w:sz w:val="24"/>
              </w:rPr>
            </w:pPr>
            <w:r>
              <w:rPr>
                <w:rFonts w:ascii="Times New Roman" w:hAnsi="Times New Roman"/>
                <w:noProof/>
                <w:sz w:val="24"/>
              </w:rPr>
              <w:t>2018–2019</w:t>
            </w:r>
          </w:p>
        </w:tc>
        <w:tc>
          <w:tcPr>
            <w:tcW w:w="2160" w:type="dxa"/>
            <w:vAlign w:val="center"/>
          </w:tcPr>
          <w:p w:rsidR="00130B9A" w:rsidRDefault="00EA013D">
            <w:pPr>
              <w:spacing w:before="60" w:after="60"/>
              <w:ind w:left="-57" w:right="-57"/>
              <w:jc w:val="center"/>
              <w:rPr>
                <w:rFonts w:ascii="Times New Roman" w:hAnsi="Times New Roman"/>
                <w:b/>
                <w:noProof/>
                <w:sz w:val="24"/>
              </w:rPr>
            </w:pPr>
            <w:r>
              <w:rPr>
                <w:rFonts w:ascii="Times New Roman" w:hAnsi="Times New Roman"/>
                <w:b/>
                <w:noProof/>
                <w:sz w:val="24"/>
              </w:rPr>
              <w:t>Komisija / Odbor regij / države članice / deležniki</w:t>
            </w:r>
          </w:p>
        </w:tc>
      </w:tr>
      <w:tr w:rsidR="00130B9A">
        <w:trPr>
          <w:tblHeader/>
        </w:trPr>
        <w:tc>
          <w:tcPr>
            <w:tcW w:w="11748" w:type="dxa"/>
            <w:shd w:val="clear" w:color="auto" w:fill="auto"/>
          </w:tcPr>
          <w:p w:rsidR="00130B9A" w:rsidRDefault="00EA013D">
            <w:pPr>
              <w:spacing w:before="60" w:after="60"/>
              <w:ind w:left="284" w:hanging="284"/>
              <w:rPr>
                <w:rFonts w:ascii="Times New Roman" w:hAnsi="Times New Roman" w:cs="Times New Roman"/>
                <w:noProof/>
                <w:sz w:val="24"/>
                <w:szCs w:val="24"/>
              </w:rPr>
            </w:pPr>
            <w:r>
              <w:rPr>
                <w:rFonts w:ascii="Times New Roman" w:hAnsi="Times New Roman"/>
                <w:noProof/>
                <w:sz w:val="24"/>
              </w:rPr>
              <w:t xml:space="preserve">2. Uvedba mehanizma podpore za pomoč organom držav članic pri </w:t>
            </w:r>
            <w:r>
              <w:rPr>
                <w:rFonts w:ascii="Times New Roman" w:hAnsi="Times New Roman"/>
                <w:noProof/>
                <w:sz w:val="24"/>
              </w:rPr>
              <w:t>obravnavi ključnih izzivov, ki se pojavijo pri uporabi zahtev pri izdaji dovoljenj, ki temeljijo na direktivah o pticah in habitatih za omrežje Natura 2000, in pravila o zaščiti vrst</w:t>
            </w:r>
          </w:p>
        </w:tc>
        <w:tc>
          <w:tcPr>
            <w:tcW w:w="1320" w:type="dxa"/>
            <w:shd w:val="clear" w:color="auto" w:fill="auto"/>
          </w:tcPr>
          <w:p w:rsidR="00130B9A" w:rsidRDefault="00EA013D">
            <w:pPr>
              <w:spacing w:before="60" w:after="60"/>
              <w:jc w:val="center"/>
              <w:rPr>
                <w:rFonts w:ascii="Times New Roman" w:hAnsi="Times New Roman"/>
                <w:noProof/>
                <w:sz w:val="24"/>
              </w:rPr>
            </w:pPr>
            <w:r>
              <w:rPr>
                <w:rFonts w:ascii="Times New Roman" w:hAnsi="Times New Roman"/>
                <w:noProof/>
                <w:sz w:val="24"/>
              </w:rPr>
              <w:t>2017–2019</w:t>
            </w:r>
          </w:p>
        </w:tc>
        <w:tc>
          <w:tcPr>
            <w:tcW w:w="2160" w:type="dxa"/>
          </w:tcPr>
          <w:p w:rsidR="00130B9A" w:rsidRDefault="00EA013D">
            <w:pPr>
              <w:spacing w:before="60" w:after="60"/>
              <w:ind w:left="-57" w:right="-57"/>
              <w:jc w:val="center"/>
              <w:rPr>
                <w:rFonts w:ascii="Times New Roman" w:hAnsi="Times New Roman"/>
                <w:b/>
                <w:noProof/>
                <w:sz w:val="24"/>
              </w:rPr>
            </w:pPr>
            <w:r>
              <w:rPr>
                <w:rFonts w:ascii="Times New Roman" w:hAnsi="Times New Roman"/>
                <w:b/>
                <w:noProof/>
                <w:sz w:val="24"/>
              </w:rPr>
              <w:t>Komisija / države članice / deležniki</w:t>
            </w:r>
          </w:p>
        </w:tc>
      </w:tr>
      <w:tr w:rsidR="00130B9A">
        <w:trPr>
          <w:tblHeader/>
        </w:trPr>
        <w:tc>
          <w:tcPr>
            <w:tcW w:w="11748" w:type="dxa"/>
            <w:shd w:val="clear" w:color="auto" w:fill="auto"/>
          </w:tcPr>
          <w:p w:rsidR="00130B9A" w:rsidRDefault="00EA013D">
            <w:pPr>
              <w:spacing w:before="60" w:after="60"/>
              <w:ind w:left="284" w:hanging="284"/>
              <w:rPr>
                <w:rFonts w:ascii="Times New Roman" w:hAnsi="Times New Roman" w:cs="Times New Roman"/>
                <w:noProof/>
                <w:sz w:val="24"/>
                <w:szCs w:val="24"/>
              </w:rPr>
            </w:pPr>
            <w:r>
              <w:rPr>
                <w:rFonts w:ascii="Times New Roman" w:hAnsi="Times New Roman"/>
                <w:noProof/>
                <w:sz w:val="24"/>
              </w:rPr>
              <w:t xml:space="preserve">3. </w:t>
            </w:r>
            <w:r>
              <w:rPr>
                <w:noProof/>
              </w:rPr>
              <w:tab/>
            </w:r>
            <w:r>
              <w:rPr>
                <w:rFonts w:ascii="Times New Roman" w:hAnsi="Times New Roman"/>
                <w:noProof/>
                <w:sz w:val="24"/>
              </w:rPr>
              <w:t xml:space="preserve">Izboljšanje znanja, </w:t>
            </w:r>
            <w:r>
              <w:rPr>
                <w:rFonts w:ascii="Times New Roman" w:hAnsi="Times New Roman"/>
                <w:noProof/>
                <w:sz w:val="24"/>
              </w:rPr>
              <w:t>tudi s pomočjo okrepljenega in učinkovitejšega spremljanja, ter zagotovitev spletnega dostopa javnosti do podatkov, ki so potrebni za izvajanje direktiv (npr. satelitski posnetki iz programa Copernicus)</w:t>
            </w:r>
          </w:p>
        </w:tc>
        <w:tc>
          <w:tcPr>
            <w:tcW w:w="1320" w:type="dxa"/>
            <w:shd w:val="clear" w:color="auto" w:fill="auto"/>
          </w:tcPr>
          <w:p w:rsidR="00130B9A" w:rsidRDefault="00EA013D">
            <w:pPr>
              <w:spacing w:before="60" w:after="60"/>
              <w:jc w:val="center"/>
              <w:rPr>
                <w:rFonts w:ascii="Times New Roman" w:hAnsi="Times New Roman"/>
                <w:noProof/>
                <w:sz w:val="24"/>
              </w:rPr>
            </w:pPr>
            <w:r>
              <w:rPr>
                <w:rFonts w:ascii="Times New Roman" w:hAnsi="Times New Roman"/>
                <w:noProof/>
                <w:sz w:val="24"/>
              </w:rPr>
              <w:t>2017–2019</w:t>
            </w:r>
          </w:p>
        </w:tc>
        <w:tc>
          <w:tcPr>
            <w:tcW w:w="2160" w:type="dxa"/>
          </w:tcPr>
          <w:p w:rsidR="00130B9A" w:rsidRDefault="00EA013D">
            <w:pPr>
              <w:spacing w:before="60" w:after="60"/>
              <w:ind w:left="-57" w:right="-57"/>
              <w:jc w:val="center"/>
              <w:rPr>
                <w:rFonts w:ascii="Times New Roman" w:hAnsi="Times New Roman"/>
                <w:b/>
                <w:noProof/>
                <w:sz w:val="24"/>
              </w:rPr>
            </w:pPr>
            <w:r>
              <w:rPr>
                <w:rFonts w:ascii="Times New Roman" w:hAnsi="Times New Roman"/>
                <w:b/>
                <w:noProof/>
                <w:sz w:val="24"/>
              </w:rPr>
              <w:t>Komisija / Evropska agencija za okolje / dr</w:t>
            </w:r>
            <w:r>
              <w:rPr>
                <w:rFonts w:ascii="Times New Roman" w:hAnsi="Times New Roman"/>
                <w:b/>
                <w:noProof/>
                <w:sz w:val="24"/>
              </w:rPr>
              <w:t>žave članice</w:t>
            </w:r>
          </w:p>
        </w:tc>
      </w:tr>
    </w:tbl>
    <w:p w:rsidR="00130B9A" w:rsidRDefault="00130B9A">
      <w:pPr>
        <w:spacing w:after="0" w:line="240" w:lineRule="auto"/>
        <w:jc w:val="both"/>
        <w:rPr>
          <w:rFonts w:ascii="Times New Roman" w:hAnsi="Times New Roman"/>
          <w:b/>
          <w:noProof/>
          <w:sz w:val="24"/>
          <w:szCs w:val="24"/>
        </w:rPr>
      </w:pPr>
    </w:p>
    <w:p w:rsidR="00130B9A" w:rsidRDefault="00EA013D">
      <w:pPr>
        <w:spacing w:after="120" w:line="240" w:lineRule="auto"/>
        <w:jc w:val="both"/>
        <w:rPr>
          <w:rFonts w:ascii="Times New Roman" w:hAnsi="Times New Roman"/>
          <w:b/>
          <w:noProof/>
          <w:sz w:val="24"/>
        </w:rPr>
      </w:pPr>
      <w:r>
        <w:rPr>
          <w:rFonts w:ascii="Times New Roman" w:hAnsi="Times New Roman"/>
          <w:b/>
          <w:noProof/>
          <w:sz w:val="24"/>
        </w:rPr>
        <w:t>Vzpostavljanje politične odgovornosti in krepitev skladnosti</w:t>
      </w:r>
    </w:p>
    <w:tbl>
      <w:tblPr>
        <w:tblStyle w:val="TableGrid"/>
        <w:tblW w:w="15228" w:type="dxa"/>
        <w:tblLayout w:type="fixed"/>
        <w:tblLook w:val="04A0" w:firstRow="1" w:lastRow="0" w:firstColumn="1" w:lastColumn="0" w:noHBand="0" w:noVBand="1"/>
      </w:tblPr>
      <w:tblGrid>
        <w:gridCol w:w="11748"/>
        <w:gridCol w:w="1320"/>
        <w:gridCol w:w="2160"/>
      </w:tblGrid>
      <w:tr w:rsidR="00130B9A">
        <w:trPr>
          <w:tblHeader/>
        </w:trPr>
        <w:tc>
          <w:tcPr>
            <w:tcW w:w="11748" w:type="dxa"/>
            <w:shd w:val="clear" w:color="auto" w:fill="auto"/>
          </w:tcPr>
          <w:p w:rsidR="00130B9A" w:rsidRDefault="00EA013D">
            <w:pPr>
              <w:spacing w:before="60" w:after="60"/>
              <w:jc w:val="center"/>
              <w:rPr>
                <w:rFonts w:ascii="Times New Roman" w:hAnsi="Times New Roman"/>
                <w:b/>
                <w:noProof/>
                <w:sz w:val="24"/>
              </w:rPr>
            </w:pPr>
            <w:r>
              <w:rPr>
                <w:rFonts w:ascii="Times New Roman" w:hAnsi="Times New Roman"/>
                <w:b/>
                <w:noProof/>
                <w:sz w:val="24"/>
              </w:rPr>
              <w:t>Ukrepi</w:t>
            </w:r>
          </w:p>
        </w:tc>
        <w:tc>
          <w:tcPr>
            <w:tcW w:w="1320" w:type="dxa"/>
            <w:shd w:val="clear" w:color="auto" w:fill="auto"/>
          </w:tcPr>
          <w:p w:rsidR="00130B9A" w:rsidRDefault="00EA013D">
            <w:pPr>
              <w:spacing w:before="60" w:after="60"/>
              <w:jc w:val="center"/>
              <w:rPr>
                <w:rFonts w:ascii="Times New Roman" w:hAnsi="Times New Roman"/>
                <w:b/>
                <w:noProof/>
                <w:sz w:val="24"/>
              </w:rPr>
            </w:pPr>
            <w:r>
              <w:rPr>
                <w:rFonts w:ascii="Times New Roman" w:hAnsi="Times New Roman"/>
                <w:b/>
                <w:noProof/>
                <w:sz w:val="24"/>
              </w:rPr>
              <w:t>Časovni okvir</w:t>
            </w:r>
          </w:p>
        </w:tc>
        <w:tc>
          <w:tcPr>
            <w:tcW w:w="2160" w:type="dxa"/>
          </w:tcPr>
          <w:p w:rsidR="00130B9A" w:rsidRDefault="00EA013D">
            <w:pPr>
              <w:spacing w:before="60" w:after="60"/>
              <w:ind w:left="-57" w:right="-57"/>
              <w:jc w:val="center"/>
              <w:rPr>
                <w:rFonts w:ascii="Times New Roman" w:hAnsi="Times New Roman"/>
                <w:b/>
                <w:noProof/>
                <w:sz w:val="24"/>
              </w:rPr>
            </w:pPr>
            <w:r>
              <w:rPr>
                <w:rFonts w:ascii="Times New Roman" w:hAnsi="Times New Roman"/>
                <w:b/>
                <w:noProof/>
                <w:sz w:val="24"/>
              </w:rPr>
              <w:t>Pristojni organi</w:t>
            </w:r>
          </w:p>
        </w:tc>
      </w:tr>
      <w:tr w:rsidR="00130B9A">
        <w:trPr>
          <w:trHeight w:val="722"/>
        </w:trPr>
        <w:tc>
          <w:tcPr>
            <w:tcW w:w="11748" w:type="dxa"/>
          </w:tcPr>
          <w:p w:rsidR="00130B9A" w:rsidRDefault="00EA013D">
            <w:pPr>
              <w:spacing w:before="60" w:after="60"/>
              <w:ind w:left="284" w:hanging="284"/>
              <w:rPr>
                <w:rFonts w:ascii="Times New Roman" w:hAnsi="Times New Roman" w:cs="Times New Roman"/>
                <w:noProof/>
                <w:sz w:val="24"/>
                <w:szCs w:val="24"/>
              </w:rPr>
            </w:pPr>
            <w:r>
              <w:rPr>
                <w:rFonts w:ascii="Times New Roman" w:hAnsi="Times New Roman"/>
                <w:noProof/>
                <w:sz w:val="24"/>
              </w:rPr>
              <w:t>4. Vzpostavitev omrežja Natura 2000, predvsem odprava vrzeli za morsko okolje, in vzpostavitev potrebnih ohranitvenih ukrepov za vsa območja</w:t>
            </w:r>
          </w:p>
        </w:tc>
        <w:tc>
          <w:tcPr>
            <w:tcW w:w="1320" w:type="dxa"/>
          </w:tcPr>
          <w:p w:rsidR="00130B9A" w:rsidRDefault="00EA013D">
            <w:pPr>
              <w:spacing w:before="60" w:after="60"/>
              <w:jc w:val="center"/>
              <w:rPr>
                <w:rFonts w:ascii="Times New Roman" w:hAnsi="Times New Roman"/>
                <w:noProof/>
                <w:sz w:val="24"/>
              </w:rPr>
            </w:pPr>
            <w:r>
              <w:rPr>
                <w:rFonts w:ascii="Times New Roman" w:hAnsi="Times New Roman"/>
                <w:noProof/>
                <w:sz w:val="24"/>
              </w:rPr>
              <w:t>v teku</w:t>
            </w:r>
          </w:p>
        </w:tc>
        <w:tc>
          <w:tcPr>
            <w:tcW w:w="2160" w:type="dxa"/>
          </w:tcPr>
          <w:p w:rsidR="00130B9A" w:rsidRDefault="00EA013D">
            <w:pPr>
              <w:spacing w:before="60" w:after="60"/>
              <w:ind w:left="-57" w:right="-57"/>
              <w:jc w:val="center"/>
              <w:rPr>
                <w:rFonts w:ascii="Times New Roman" w:hAnsi="Times New Roman"/>
                <w:b/>
                <w:noProof/>
                <w:sz w:val="24"/>
              </w:rPr>
            </w:pPr>
            <w:r>
              <w:rPr>
                <w:rFonts w:ascii="Times New Roman" w:hAnsi="Times New Roman"/>
                <w:b/>
                <w:noProof/>
                <w:sz w:val="24"/>
              </w:rPr>
              <w:t>države članice / deležniki / Komisija</w:t>
            </w:r>
          </w:p>
        </w:tc>
      </w:tr>
      <w:tr w:rsidR="00130B9A">
        <w:trPr>
          <w:tblHeader/>
        </w:trPr>
        <w:tc>
          <w:tcPr>
            <w:tcW w:w="11748" w:type="dxa"/>
            <w:shd w:val="clear" w:color="auto" w:fill="auto"/>
          </w:tcPr>
          <w:p w:rsidR="00130B9A" w:rsidRDefault="00EA013D">
            <w:pPr>
              <w:spacing w:before="60" w:after="60"/>
              <w:ind w:left="284" w:hanging="284"/>
              <w:rPr>
                <w:rFonts w:ascii="Times New Roman" w:hAnsi="Times New Roman"/>
                <w:noProof/>
                <w:sz w:val="24"/>
                <w:szCs w:val="24"/>
              </w:rPr>
            </w:pPr>
            <w:r>
              <w:rPr>
                <w:rFonts w:ascii="Times New Roman" w:hAnsi="Times New Roman"/>
                <w:noProof/>
                <w:sz w:val="24"/>
              </w:rPr>
              <w:t xml:space="preserve">5. Uporaba novega postopka o pregledu izvajanja okoljske politike za posebna dvostranska srečanja z nacionalnimi in regionalnimi organi z namenom razvoja dogovorjenih načrtov za izboljšanje izvajanja in </w:t>
            </w:r>
            <w:r>
              <w:rPr>
                <w:rFonts w:ascii="Times New Roman" w:hAnsi="Times New Roman"/>
                <w:noProof/>
                <w:sz w:val="24"/>
              </w:rPr>
              <w:t>posvetovanje z lastniki zemljišč ter drugimi deležniki o izzivih, povezanih z izvajanjem</w:t>
            </w:r>
          </w:p>
        </w:tc>
        <w:tc>
          <w:tcPr>
            <w:tcW w:w="1320" w:type="dxa"/>
            <w:shd w:val="clear" w:color="auto" w:fill="auto"/>
          </w:tcPr>
          <w:p w:rsidR="00130B9A" w:rsidRDefault="00EA013D">
            <w:pPr>
              <w:spacing w:before="60" w:after="60"/>
              <w:ind w:left="-57" w:right="-57"/>
              <w:jc w:val="center"/>
              <w:rPr>
                <w:rFonts w:ascii="Times New Roman" w:hAnsi="Times New Roman"/>
                <w:noProof/>
                <w:sz w:val="24"/>
              </w:rPr>
            </w:pPr>
            <w:r>
              <w:rPr>
                <w:rFonts w:ascii="Times New Roman" w:hAnsi="Times New Roman"/>
                <w:noProof/>
                <w:sz w:val="24"/>
              </w:rPr>
              <w:t>2017–2019</w:t>
            </w:r>
          </w:p>
        </w:tc>
        <w:tc>
          <w:tcPr>
            <w:tcW w:w="2160" w:type="dxa"/>
          </w:tcPr>
          <w:p w:rsidR="00130B9A" w:rsidRDefault="00EA013D">
            <w:pPr>
              <w:spacing w:before="60" w:after="60"/>
              <w:ind w:left="-57" w:right="-57"/>
              <w:jc w:val="center"/>
              <w:rPr>
                <w:rFonts w:ascii="Times New Roman" w:hAnsi="Times New Roman"/>
                <w:b/>
                <w:noProof/>
                <w:sz w:val="24"/>
              </w:rPr>
            </w:pPr>
            <w:r>
              <w:rPr>
                <w:rFonts w:ascii="Times New Roman" w:hAnsi="Times New Roman"/>
                <w:b/>
                <w:noProof/>
                <w:sz w:val="24"/>
              </w:rPr>
              <w:t>Komisija / države članice / deležniki</w:t>
            </w:r>
          </w:p>
        </w:tc>
      </w:tr>
      <w:tr w:rsidR="00130B9A">
        <w:trPr>
          <w:tblHeader/>
        </w:trPr>
        <w:tc>
          <w:tcPr>
            <w:tcW w:w="11748" w:type="dxa"/>
            <w:shd w:val="clear" w:color="auto" w:fill="auto"/>
          </w:tcPr>
          <w:p w:rsidR="00130B9A" w:rsidRDefault="00EA013D">
            <w:pPr>
              <w:spacing w:before="60" w:after="60"/>
              <w:ind w:left="284" w:hanging="284"/>
              <w:rPr>
                <w:rFonts w:ascii="Times New Roman" w:hAnsi="Times New Roman" w:cs="Times New Roman"/>
                <w:noProof/>
                <w:sz w:val="24"/>
                <w:szCs w:val="24"/>
              </w:rPr>
            </w:pPr>
            <w:r>
              <w:rPr>
                <w:rFonts w:ascii="Times New Roman" w:hAnsi="Times New Roman"/>
                <w:noProof/>
                <w:sz w:val="24"/>
              </w:rPr>
              <w:t>6. Združevanje javnih organov in deležnikov iz različnih držav članic na ravni biogeografske regije z namenom obravnav</w:t>
            </w:r>
            <w:r>
              <w:rPr>
                <w:rFonts w:ascii="Times New Roman" w:hAnsi="Times New Roman"/>
                <w:noProof/>
                <w:sz w:val="24"/>
              </w:rPr>
              <w:t xml:space="preserve">anja skupnih izzivov, vključno s čezmejnimi vprašanji </w:t>
            </w:r>
          </w:p>
        </w:tc>
        <w:tc>
          <w:tcPr>
            <w:tcW w:w="1320" w:type="dxa"/>
            <w:shd w:val="clear" w:color="auto" w:fill="auto"/>
          </w:tcPr>
          <w:p w:rsidR="00130B9A" w:rsidRDefault="00EA013D">
            <w:pPr>
              <w:spacing w:before="60" w:after="60"/>
              <w:jc w:val="center"/>
              <w:rPr>
                <w:rFonts w:ascii="Times New Roman" w:hAnsi="Times New Roman"/>
                <w:noProof/>
                <w:sz w:val="24"/>
              </w:rPr>
            </w:pPr>
            <w:r>
              <w:rPr>
                <w:rFonts w:ascii="Times New Roman" w:hAnsi="Times New Roman"/>
                <w:noProof/>
                <w:sz w:val="24"/>
              </w:rPr>
              <w:t>2017–2019</w:t>
            </w:r>
          </w:p>
        </w:tc>
        <w:tc>
          <w:tcPr>
            <w:tcW w:w="2160" w:type="dxa"/>
          </w:tcPr>
          <w:p w:rsidR="00130B9A" w:rsidRDefault="00EA013D">
            <w:pPr>
              <w:spacing w:before="60" w:after="60"/>
              <w:ind w:left="-57" w:right="-57"/>
              <w:jc w:val="center"/>
              <w:rPr>
                <w:rFonts w:ascii="Times New Roman" w:hAnsi="Times New Roman"/>
                <w:b/>
                <w:noProof/>
                <w:sz w:val="24"/>
              </w:rPr>
            </w:pPr>
            <w:r>
              <w:rPr>
                <w:rFonts w:ascii="Times New Roman" w:hAnsi="Times New Roman"/>
                <w:b/>
                <w:noProof/>
                <w:sz w:val="24"/>
              </w:rPr>
              <w:t>Komisija / Odbor regij / države članice / deležniki</w:t>
            </w:r>
          </w:p>
        </w:tc>
      </w:tr>
      <w:tr w:rsidR="00130B9A">
        <w:trPr>
          <w:tblHeader/>
        </w:trPr>
        <w:tc>
          <w:tcPr>
            <w:tcW w:w="11748" w:type="dxa"/>
            <w:shd w:val="clear" w:color="auto" w:fill="auto"/>
          </w:tcPr>
          <w:p w:rsidR="00130B9A" w:rsidRDefault="00EA013D">
            <w:pPr>
              <w:spacing w:before="60" w:after="60"/>
              <w:ind w:left="284" w:hanging="284"/>
              <w:rPr>
                <w:rFonts w:ascii="Times New Roman" w:hAnsi="Times New Roman"/>
                <w:noProof/>
                <w:sz w:val="24"/>
                <w:szCs w:val="24"/>
              </w:rPr>
            </w:pPr>
            <w:r>
              <w:rPr>
                <w:rFonts w:ascii="Times New Roman" w:hAnsi="Times New Roman"/>
                <w:noProof/>
                <w:sz w:val="24"/>
              </w:rPr>
              <w:t xml:space="preserve">7. Nadaljnji razvoj akcijskih načrtov za vrste in habitate za najbolj ogrožene vrste in naravne habitate, kakor tudi deležniških platform </w:t>
            </w:r>
            <w:r>
              <w:rPr>
                <w:rFonts w:ascii="Times New Roman" w:hAnsi="Times New Roman"/>
                <w:noProof/>
                <w:sz w:val="24"/>
              </w:rPr>
              <w:t>o sobivanju s konfliktnimi vrstami (npr. velikimi zvermi)</w:t>
            </w:r>
          </w:p>
        </w:tc>
        <w:tc>
          <w:tcPr>
            <w:tcW w:w="1320" w:type="dxa"/>
            <w:shd w:val="clear" w:color="auto" w:fill="auto"/>
          </w:tcPr>
          <w:p w:rsidR="00130B9A" w:rsidRDefault="00EA013D">
            <w:pPr>
              <w:spacing w:before="60" w:after="60"/>
              <w:ind w:left="284" w:hanging="284"/>
              <w:jc w:val="center"/>
              <w:rPr>
                <w:rFonts w:ascii="Times New Roman" w:hAnsi="Times New Roman"/>
                <w:noProof/>
                <w:sz w:val="24"/>
              </w:rPr>
            </w:pPr>
            <w:r>
              <w:rPr>
                <w:rFonts w:ascii="Times New Roman" w:hAnsi="Times New Roman"/>
                <w:noProof/>
                <w:sz w:val="24"/>
              </w:rPr>
              <w:t>2017–2019</w:t>
            </w:r>
          </w:p>
        </w:tc>
        <w:tc>
          <w:tcPr>
            <w:tcW w:w="2160" w:type="dxa"/>
          </w:tcPr>
          <w:p w:rsidR="00130B9A" w:rsidRDefault="00EA013D">
            <w:pPr>
              <w:spacing w:before="60" w:after="60"/>
              <w:ind w:left="-57" w:right="-57"/>
              <w:jc w:val="center"/>
              <w:rPr>
                <w:rFonts w:ascii="Times New Roman" w:hAnsi="Times New Roman"/>
                <w:b/>
                <w:noProof/>
                <w:sz w:val="24"/>
              </w:rPr>
            </w:pPr>
            <w:r>
              <w:rPr>
                <w:rFonts w:ascii="Times New Roman" w:hAnsi="Times New Roman"/>
                <w:b/>
                <w:noProof/>
                <w:sz w:val="24"/>
              </w:rPr>
              <w:t>Komisija / države članice / deležniki</w:t>
            </w:r>
          </w:p>
        </w:tc>
      </w:tr>
    </w:tbl>
    <w:p w:rsidR="00130B9A" w:rsidRDefault="00130B9A">
      <w:pPr>
        <w:rPr>
          <w:rFonts w:ascii="Times New Roman" w:hAnsi="Times New Roman"/>
          <w:b/>
          <w:noProof/>
          <w:sz w:val="24"/>
          <w:szCs w:val="24"/>
        </w:rPr>
      </w:pPr>
    </w:p>
    <w:p w:rsidR="00130B9A" w:rsidRDefault="00130B9A">
      <w:pPr>
        <w:rPr>
          <w:rFonts w:ascii="Times New Roman" w:hAnsi="Times New Roman"/>
          <w:b/>
          <w:noProof/>
          <w:sz w:val="24"/>
          <w:szCs w:val="24"/>
        </w:rPr>
      </w:pPr>
    </w:p>
    <w:p w:rsidR="00130B9A" w:rsidRDefault="00EA013D">
      <w:pPr>
        <w:keepNext/>
        <w:spacing w:before="240" w:after="120" w:line="240" w:lineRule="auto"/>
        <w:jc w:val="both"/>
        <w:rPr>
          <w:rFonts w:ascii="Times New Roman" w:hAnsi="Times New Roman"/>
          <w:b/>
          <w:noProof/>
          <w:sz w:val="24"/>
        </w:rPr>
      </w:pPr>
      <w:r>
        <w:rPr>
          <w:rFonts w:ascii="Times New Roman" w:hAnsi="Times New Roman"/>
          <w:b/>
          <w:noProof/>
          <w:sz w:val="24"/>
        </w:rPr>
        <w:t>Krepitev naložb v omrežje Natura 2000 in izboljšanje sinergij z instrumenti financiranja EU</w:t>
      </w:r>
    </w:p>
    <w:tbl>
      <w:tblPr>
        <w:tblStyle w:val="TableGrid"/>
        <w:tblW w:w="15228" w:type="dxa"/>
        <w:tblLayout w:type="fixed"/>
        <w:tblLook w:val="04A0" w:firstRow="1" w:lastRow="0" w:firstColumn="1" w:lastColumn="0" w:noHBand="0" w:noVBand="1"/>
      </w:tblPr>
      <w:tblGrid>
        <w:gridCol w:w="11748"/>
        <w:gridCol w:w="1320"/>
        <w:gridCol w:w="2160"/>
      </w:tblGrid>
      <w:tr w:rsidR="00130B9A">
        <w:trPr>
          <w:tblHeader/>
        </w:trPr>
        <w:tc>
          <w:tcPr>
            <w:tcW w:w="11748" w:type="dxa"/>
            <w:shd w:val="clear" w:color="auto" w:fill="auto"/>
          </w:tcPr>
          <w:p w:rsidR="00130B9A" w:rsidRDefault="00EA013D">
            <w:pPr>
              <w:keepNext/>
              <w:spacing w:before="60" w:after="60"/>
              <w:jc w:val="center"/>
              <w:rPr>
                <w:rFonts w:ascii="Times New Roman" w:hAnsi="Times New Roman"/>
                <w:b/>
                <w:noProof/>
                <w:sz w:val="24"/>
              </w:rPr>
            </w:pPr>
            <w:r>
              <w:rPr>
                <w:rFonts w:ascii="Times New Roman" w:hAnsi="Times New Roman"/>
                <w:b/>
                <w:noProof/>
                <w:sz w:val="24"/>
              </w:rPr>
              <w:t>Ukrepi</w:t>
            </w:r>
          </w:p>
        </w:tc>
        <w:tc>
          <w:tcPr>
            <w:tcW w:w="1320" w:type="dxa"/>
            <w:shd w:val="clear" w:color="auto" w:fill="auto"/>
          </w:tcPr>
          <w:p w:rsidR="00130B9A" w:rsidRDefault="00EA013D">
            <w:pPr>
              <w:keepNext/>
              <w:spacing w:before="60" w:after="60"/>
              <w:jc w:val="center"/>
              <w:rPr>
                <w:rFonts w:ascii="Times New Roman" w:hAnsi="Times New Roman"/>
                <w:b/>
                <w:noProof/>
                <w:sz w:val="24"/>
              </w:rPr>
            </w:pPr>
            <w:r>
              <w:rPr>
                <w:rFonts w:ascii="Times New Roman" w:hAnsi="Times New Roman"/>
                <w:b/>
                <w:noProof/>
                <w:sz w:val="24"/>
              </w:rPr>
              <w:t>Časovni okvir</w:t>
            </w:r>
          </w:p>
        </w:tc>
        <w:tc>
          <w:tcPr>
            <w:tcW w:w="2160" w:type="dxa"/>
          </w:tcPr>
          <w:p w:rsidR="00130B9A" w:rsidRDefault="00EA013D">
            <w:pPr>
              <w:keepNext/>
              <w:spacing w:before="60" w:after="60"/>
              <w:ind w:left="-57" w:right="-57"/>
              <w:jc w:val="center"/>
              <w:rPr>
                <w:rFonts w:ascii="Times New Roman" w:hAnsi="Times New Roman"/>
                <w:b/>
                <w:noProof/>
                <w:sz w:val="24"/>
              </w:rPr>
            </w:pPr>
            <w:r>
              <w:rPr>
                <w:rFonts w:ascii="Times New Roman" w:hAnsi="Times New Roman"/>
                <w:b/>
                <w:noProof/>
                <w:sz w:val="24"/>
              </w:rPr>
              <w:t>Pristojni organi</w:t>
            </w:r>
          </w:p>
        </w:tc>
      </w:tr>
      <w:tr w:rsidR="00130B9A">
        <w:trPr>
          <w:tblHeader/>
        </w:trPr>
        <w:tc>
          <w:tcPr>
            <w:tcW w:w="11748" w:type="dxa"/>
            <w:shd w:val="clear" w:color="auto" w:fill="auto"/>
          </w:tcPr>
          <w:p w:rsidR="00130B9A" w:rsidRDefault="00EA013D">
            <w:pPr>
              <w:spacing w:before="60" w:after="60"/>
              <w:ind w:left="284" w:hanging="284"/>
              <w:rPr>
                <w:rFonts w:ascii="Times New Roman" w:hAnsi="Times New Roman" w:cs="Times New Roman"/>
                <w:noProof/>
                <w:sz w:val="24"/>
              </w:rPr>
            </w:pPr>
            <w:r>
              <w:rPr>
                <w:rFonts w:ascii="Times New Roman" w:hAnsi="Times New Roman"/>
                <w:noProof/>
                <w:sz w:val="24"/>
              </w:rPr>
              <w:t xml:space="preserve">8. </w:t>
            </w:r>
            <w:r>
              <w:rPr>
                <w:noProof/>
              </w:rPr>
              <w:tab/>
            </w:r>
            <w:r>
              <w:rPr>
                <w:rFonts w:ascii="Times New Roman" w:hAnsi="Times New Roman"/>
                <w:noProof/>
                <w:sz w:val="24"/>
              </w:rPr>
              <w:t xml:space="preserve">Krepitev </w:t>
            </w:r>
            <w:r>
              <w:rPr>
                <w:rFonts w:ascii="Times New Roman" w:hAnsi="Times New Roman"/>
                <w:noProof/>
                <w:sz w:val="24"/>
              </w:rPr>
              <w:t>naložb v naravo</w:t>
            </w:r>
          </w:p>
          <w:p w:rsidR="00130B9A" w:rsidRDefault="00EA013D">
            <w:pPr>
              <w:spacing w:after="0"/>
              <w:ind w:left="624" w:hanging="340"/>
              <w:rPr>
                <w:rFonts w:ascii="Times New Roman" w:hAnsi="Times New Roman"/>
                <w:noProof/>
                <w:sz w:val="24"/>
                <w:szCs w:val="24"/>
              </w:rPr>
            </w:pPr>
            <w:r>
              <w:rPr>
                <w:rFonts w:ascii="Times New Roman" w:hAnsi="Times New Roman"/>
                <w:noProof/>
                <w:sz w:val="24"/>
              </w:rPr>
              <w:t>(a)</w:t>
            </w:r>
            <w:r>
              <w:rPr>
                <w:noProof/>
              </w:rPr>
              <w:tab/>
            </w:r>
            <w:r>
              <w:rPr>
                <w:rFonts w:ascii="Times New Roman" w:hAnsi="Times New Roman"/>
                <w:noProof/>
                <w:sz w:val="24"/>
              </w:rPr>
              <w:t xml:space="preserve">pomoč državam članicam pri izboljšanju večletnih finančnih načrtov za omrežje Natura 2000 s posodobitvijo prednostnih okvirov ukrepanja (POU) </w:t>
            </w:r>
          </w:p>
          <w:p w:rsidR="00130B9A" w:rsidRDefault="00EA013D">
            <w:pPr>
              <w:spacing w:after="0"/>
              <w:ind w:left="624" w:hanging="340"/>
              <w:rPr>
                <w:rFonts w:ascii="Times New Roman" w:hAnsi="Times New Roman"/>
                <w:noProof/>
                <w:sz w:val="24"/>
                <w:szCs w:val="24"/>
              </w:rPr>
            </w:pPr>
            <w:r>
              <w:rPr>
                <w:rFonts w:ascii="Times New Roman" w:hAnsi="Times New Roman"/>
                <w:noProof/>
                <w:sz w:val="24"/>
              </w:rPr>
              <w:t>(b)</w:t>
            </w:r>
            <w:r>
              <w:rPr>
                <w:noProof/>
              </w:rPr>
              <w:tab/>
            </w:r>
            <w:r>
              <w:rPr>
                <w:rFonts w:ascii="Times New Roman" w:hAnsi="Times New Roman"/>
                <w:noProof/>
                <w:sz w:val="24"/>
              </w:rPr>
              <w:t>predlog 10-odstotnega povečanja proračuna za program LIFE, namenjenega projektom, ki podp</w:t>
            </w:r>
            <w:r>
              <w:rPr>
                <w:rFonts w:ascii="Times New Roman" w:hAnsi="Times New Roman"/>
                <w:noProof/>
                <w:sz w:val="24"/>
              </w:rPr>
              <w:t>irajo ohranjanje narave in biotske raznovrstnosti, pri čemer se skupna proračunska sredstva za program LIFE ne spremenijo</w:t>
            </w:r>
          </w:p>
          <w:p w:rsidR="00130B9A" w:rsidRDefault="00EA013D">
            <w:pPr>
              <w:spacing w:after="0"/>
              <w:ind w:left="624" w:hanging="340"/>
              <w:rPr>
                <w:rFonts w:ascii="Times New Roman" w:hAnsi="Times New Roman"/>
                <w:noProof/>
                <w:sz w:val="24"/>
                <w:szCs w:val="24"/>
              </w:rPr>
            </w:pPr>
            <w:r>
              <w:rPr>
                <w:rFonts w:ascii="Times New Roman" w:hAnsi="Times New Roman"/>
                <w:noProof/>
                <w:sz w:val="24"/>
              </w:rPr>
              <w:t>(c)</w:t>
            </w:r>
            <w:r>
              <w:rPr>
                <w:noProof/>
              </w:rPr>
              <w:tab/>
            </w:r>
            <w:r>
              <w:rPr>
                <w:rFonts w:ascii="Times New Roman" w:hAnsi="Times New Roman"/>
                <w:noProof/>
                <w:sz w:val="24"/>
              </w:rPr>
              <w:t>spodbujanje vlaganja zasebnih naložb v projekte, povezane z naravo</w:t>
            </w:r>
          </w:p>
        </w:tc>
        <w:tc>
          <w:tcPr>
            <w:tcW w:w="1320" w:type="dxa"/>
            <w:shd w:val="clear" w:color="auto" w:fill="auto"/>
          </w:tcPr>
          <w:p w:rsidR="00130B9A" w:rsidRDefault="00EA013D">
            <w:pPr>
              <w:spacing w:before="60" w:after="60"/>
              <w:jc w:val="center"/>
              <w:rPr>
                <w:rFonts w:ascii="Times New Roman" w:hAnsi="Times New Roman"/>
                <w:noProof/>
                <w:sz w:val="24"/>
              </w:rPr>
            </w:pPr>
            <w:r>
              <w:rPr>
                <w:rFonts w:ascii="Times New Roman" w:hAnsi="Times New Roman"/>
                <w:noProof/>
                <w:sz w:val="24"/>
              </w:rPr>
              <w:t>2017–2019</w:t>
            </w:r>
          </w:p>
        </w:tc>
        <w:tc>
          <w:tcPr>
            <w:tcW w:w="2160" w:type="dxa"/>
          </w:tcPr>
          <w:p w:rsidR="00130B9A" w:rsidRDefault="00EA013D">
            <w:pPr>
              <w:spacing w:before="60" w:after="60"/>
              <w:ind w:left="-57" w:right="-57"/>
              <w:jc w:val="center"/>
              <w:rPr>
                <w:rFonts w:ascii="Times New Roman" w:hAnsi="Times New Roman" w:cs="Times New Roman"/>
                <w:b/>
                <w:noProof/>
                <w:sz w:val="24"/>
                <w:szCs w:val="24"/>
              </w:rPr>
            </w:pPr>
            <w:r>
              <w:rPr>
                <w:rFonts w:ascii="Times New Roman" w:hAnsi="Times New Roman"/>
                <w:b/>
                <w:noProof/>
                <w:sz w:val="24"/>
              </w:rPr>
              <w:t>Komisija / Evropska investicijska banka / države član</w:t>
            </w:r>
            <w:r>
              <w:rPr>
                <w:rFonts w:ascii="Times New Roman" w:hAnsi="Times New Roman"/>
                <w:b/>
                <w:noProof/>
                <w:sz w:val="24"/>
              </w:rPr>
              <w:t xml:space="preserve">ice / deležniki </w:t>
            </w:r>
          </w:p>
          <w:p w:rsidR="00130B9A" w:rsidRDefault="00130B9A">
            <w:pPr>
              <w:spacing w:before="60" w:after="60"/>
              <w:ind w:left="-57" w:right="-57"/>
              <w:jc w:val="center"/>
              <w:rPr>
                <w:rFonts w:ascii="Times New Roman" w:hAnsi="Times New Roman"/>
                <w:b/>
                <w:noProof/>
                <w:sz w:val="24"/>
              </w:rPr>
            </w:pPr>
          </w:p>
        </w:tc>
      </w:tr>
      <w:tr w:rsidR="00130B9A">
        <w:trPr>
          <w:tblHeader/>
        </w:trPr>
        <w:tc>
          <w:tcPr>
            <w:tcW w:w="11748" w:type="dxa"/>
            <w:shd w:val="clear" w:color="auto" w:fill="auto"/>
          </w:tcPr>
          <w:p w:rsidR="00130B9A" w:rsidRDefault="00EA013D">
            <w:pPr>
              <w:spacing w:before="60" w:after="60"/>
              <w:ind w:left="369" w:hanging="369"/>
              <w:rPr>
                <w:rFonts w:ascii="Times New Roman" w:hAnsi="Times New Roman"/>
                <w:noProof/>
                <w:sz w:val="24"/>
                <w:szCs w:val="24"/>
              </w:rPr>
            </w:pPr>
            <w:r>
              <w:rPr>
                <w:rFonts w:ascii="Times New Roman" w:hAnsi="Times New Roman"/>
                <w:noProof/>
                <w:sz w:val="24"/>
              </w:rPr>
              <w:t xml:space="preserve">9. </w:t>
            </w:r>
            <w:r>
              <w:rPr>
                <w:noProof/>
              </w:rPr>
              <w:tab/>
            </w:r>
            <w:r>
              <w:rPr>
                <w:rFonts w:ascii="Times New Roman" w:hAnsi="Times New Roman"/>
                <w:noProof/>
                <w:sz w:val="24"/>
              </w:rPr>
              <w:t xml:space="preserve">Spodbujanje sinergij s financiranjem iz skupne kmetijske politike, vključno z uspešno uporabo plačil v okviru omrežja Natura 2000 in okoljsko-kmetijsko-podnebnih ukrepov, razvoja programov, ki temeljijo na rezultatih, podpore kmetom </w:t>
            </w:r>
            <w:r>
              <w:rPr>
                <w:rFonts w:ascii="Times New Roman" w:hAnsi="Times New Roman"/>
                <w:noProof/>
                <w:sz w:val="24"/>
              </w:rPr>
              <w:t>prek službe za kmetijsko svetovanje ter inovacij in prenosa znanja s pomočjo evropskega partnerstva za inovacije na področju kmetijske produktivnosti in trajnosti</w:t>
            </w:r>
          </w:p>
        </w:tc>
        <w:tc>
          <w:tcPr>
            <w:tcW w:w="1320" w:type="dxa"/>
            <w:shd w:val="clear" w:color="auto" w:fill="auto"/>
          </w:tcPr>
          <w:p w:rsidR="00130B9A" w:rsidRDefault="00EA013D">
            <w:pPr>
              <w:spacing w:before="60" w:after="60"/>
              <w:jc w:val="center"/>
              <w:rPr>
                <w:rFonts w:ascii="Times New Roman" w:hAnsi="Times New Roman"/>
                <w:noProof/>
                <w:sz w:val="24"/>
              </w:rPr>
            </w:pPr>
            <w:r>
              <w:rPr>
                <w:rFonts w:ascii="Times New Roman" w:hAnsi="Times New Roman"/>
                <w:noProof/>
                <w:sz w:val="24"/>
              </w:rPr>
              <w:t>2017–2019</w:t>
            </w:r>
          </w:p>
        </w:tc>
        <w:tc>
          <w:tcPr>
            <w:tcW w:w="2160" w:type="dxa"/>
          </w:tcPr>
          <w:p w:rsidR="00130B9A" w:rsidRDefault="00EA013D">
            <w:pPr>
              <w:spacing w:before="60" w:after="60"/>
              <w:ind w:left="-57" w:right="-57"/>
              <w:jc w:val="center"/>
              <w:rPr>
                <w:rFonts w:ascii="Times New Roman" w:hAnsi="Times New Roman"/>
                <w:b/>
                <w:noProof/>
                <w:sz w:val="24"/>
              </w:rPr>
            </w:pPr>
            <w:r>
              <w:rPr>
                <w:rFonts w:ascii="Times New Roman" w:hAnsi="Times New Roman"/>
                <w:b/>
                <w:noProof/>
                <w:sz w:val="24"/>
              </w:rPr>
              <w:t>Komisija / države članice / deležniki</w:t>
            </w:r>
          </w:p>
        </w:tc>
      </w:tr>
      <w:tr w:rsidR="00130B9A">
        <w:trPr>
          <w:trHeight w:val="590"/>
          <w:tblHeader/>
        </w:trPr>
        <w:tc>
          <w:tcPr>
            <w:tcW w:w="11748" w:type="dxa"/>
            <w:shd w:val="clear" w:color="auto" w:fill="auto"/>
          </w:tcPr>
          <w:p w:rsidR="00130B9A" w:rsidRDefault="00EA013D">
            <w:pPr>
              <w:spacing w:before="60" w:after="60"/>
              <w:ind w:left="369" w:hanging="369"/>
              <w:rPr>
                <w:rFonts w:ascii="Times New Roman" w:hAnsi="Times New Roman"/>
                <w:noProof/>
                <w:sz w:val="24"/>
                <w:szCs w:val="24"/>
              </w:rPr>
            </w:pPr>
            <w:r>
              <w:rPr>
                <w:rFonts w:ascii="Times New Roman" w:hAnsi="Times New Roman"/>
                <w:noProof/>
                <w:sz w:val="24"/>
              </w:rPr>
              <w:t xml:space="preserve">10. </w:t>
            </w:r>
            <w:r>
              <w:rPr>
                <w:noProof/>
              </w:rPr>
              <w:tab/>
            </w:r>
            <w:r>
              <w:rPr>
                <w:rFonts w:ascii="Times New Roman" w:hAnsi="Times New Roman"/>
                <w:noProof/>
                <w:sz w:val="24"/>
              </w:rPr>
              <w:t xml:space="preserve">Povečanje ozaveščenosti o možnostih </w:t>
            </w:r>
            <w:r>
              <w:rPr>
                <w:rFonts w:ascii="Times New Roman" w:hAnsi="Times New Roman"/>
                <w:noProof/>
                <w:sz w:val="24"/>
              </w:rPr>
              <w:t>financiranja iz kohezijske politike in izboljšanje sinergij</w:t>
            </w:r>
          </w:p>
          <w:p w:rsidR="00130B9A" w:rsidRDefault="00130B9A">
            <w:pPr>
              <w:spacing w:before="60" w:after="60"/>
              <w:ind w:left="426" w:hanging="426"/>
              <w:rPr>
                <w:rFonts w:ascii="Times New Roman" w:hAnsi="Times New Roman"/>
                <w:noProof/>
                <w:sz w:val="24"/>
                <w:szCs w:val="24"/>
              </w:rPr>
            </w:pPr>
          </w:p>
        </w:tc>
        <w:tc>
          <w:tcPr>
            <w:tcW w:w="1320" w:type="dxa"/>
            <w:shd w:val="clear" w:color="auto" w:fill="auto"/>
          </w:tcPr>
          <w:p w:rsidR="00130B9A" w:rsidRDefault="00EA013D">
            <w:pPr>
              <w:spacing w:before="60" w:after="60"/>
              <w:ind w:left="284" w:hanging="284"/>
              <w:jc w:val="center"/>
              <w:rPr>
                <w:rFonts w:ascii="Times New Roman" w:hAnsi="Times New Roman"/>
                <w:noProof/>
                <w:sz w:val="24"/>
              </w:rPr>
            </w:pPr>
            <w:r>
              <w:rPr>
                <w:rFonts w:ascii="Times New Roman" w:hAnsi="Times New Roman"/>
                <w:noProof/>
                <w:sz w:val="24"/>
              </w:rPr>
              <w:t>2017–2019</w:t>
            </w:r>
          </w:p>
        </w:tc>
        <w:tc>
          <w:tcPr>
            <w:tcW w:w="2160" w:type="dxa"/>
          </w:tcPr>
          <w:p w:rsidR="00130B9A" w:rsidRDefault="00EA013D">
            <w:pPr>
              <w:spacing w:before="60" w:after="60"/>
              <w:ind w:left="-57" w:right="-57"/>
              <w:jc w:val="center"/>
              <w:rPr>
                <w:rFonts w:ascii="Times New Roman" w:hAnsi="Times New Roman"/>
                <w:b/>
                <w:noProof/>
                <w:sz w:val="24"/>
              </w:rPr>
            </w:pPr>
            <w:r>
              <w:rPr>
                <w:rFonts w:ascii="Times New Roman" w:hAnsi="Times New Roman"/>
                <w:b/>
                <w:noProof/>
                <w:sz w:val="24"/>
              </w:rPr>
              <w:t>Komisija / države članice / deležniki</w:t>
            </w:r>
          </w:p>
        </w:tc>
      </w:tr>
      <w:tr w:rsidR="00130B9A">
        <w:trPr>
          <w:trHeight w:val="53"/>
          <w:tblHeader/>
        </w:trPr>
        <w:tc>
          <w:tcPr>
            <w:tcW w:w="11748" w:type="dxa"/>
            <w:shd w:val="clear" w:color="auto" w:fill="auto"/>
          </w:tcPr>
          <w:p w:rsidR="00130B9A" w:rsidRDefault="00EA013D">
            <w:pPr>
              <w:spacing w:before="60" w:after="60"/>
              <w:ind w:left="369" w:hanging="369"/>
              <w:rPr>
                <w:rFonts w:ascii="Times New Roman" w:hAnsi="Times New Roman"/>
                <w:noProof/>
                <w:sz w:val="24"/>
                <w:szCs w:val="24"/>
              </w:rPr>
            </w:pPr>
            <w:r>
              <w:rPr>
                <w:rFonts w:ascii="Times New Roman" w:hAnsi="Times New Roman"/>
                <w:noProof/>
                <w:sz w:val="24"/>
              </w:rPr>
              <w:t xml:space="preserve">11. </w:t>
            </w:r>
            <w:r>
              <w:rPr>
                <w:noProof/>
              </w:rPr>
              <w:tab/>
            </w:r>
            <w:r>
              <w:rPr>
                <w:rFonts w:ascii="Times New Roman" w:hAnsi="Times New Roman"/>
                <w:noProof/>
                <w:sz w:val="24"/>
              </w:rPr>
              <w:t xml:space="preserve">Izboljšanje sinergij s skupno ribiško politiko in celostno pomorsko politiko, vključno z učinkovitejšo uporabo priložnosti financiranja, ki </w:t>
            </w:r>
            <w:r>
              <w:rPr>
                <w:rFonts w:ascii="Times New Roman" w:hAnsi="Times New Roman"/>
                <w:noProof/>
                <w:sz w:val="24"/>
              </w:rPr>
              <w:t>so na voljo</w:t>
            </w:r>
          </w:p>
        </w:tc>
        <w:tc>
          <w:tcPr>
            <w:tcW w:w="1320" w:type="dxa"/>
            <w:shd w:val="clear" w:color="auto" w:fill="auto"/>
          </w:tcPr>
          <w:p w:rsidR="00130B9A" w:rsidRDefault="00EA013D">
            <w:pPr>
              <w:spacing w:before="60" w:after="60"/>
              <w:ind w:left="284" w:hanging="284"/>
              <w:jc w:val="center"/>
              <w:rPr>
                <w:rFonts w:ascii="Times New Roman" w:hAnsi="Times New Roman"/>
                <w:noProof/>
                <w:sz w:val="24"/>
              </w:rPr>
            </w:pPr>
            <w:r>
              <w:rPr>
                <w:rFonts w:ascii="Times New Roman" w:hAnsi="Times New Roman"/>
                <w:noProof/>
                <w:sz w:val="24"/>
              </w:rPr>
              <w:t>2017–2019</w:t>
            </w:r>
          </w:p>
        </w:tc>
        <w:tc>
          <w:tcPr>
            <w:tcW w:w="2160" w:type="dxa"/>
          </w:tcPr>
          <w:p w:rsidR="00130B9A" w:rsidRDefault="00EA013D">
            <w:pPr>
              <w:spacing w:before="60" w:after="60"/>
              <w:ind w:left="-57" w:right="-57"/>
              <w:jc w:val="center"/>
              <w:rPr>
                <w:rFonts w:ascii="Times New Roman" w:hAnsi="Times New Roman"/>
                <w:b/>
                <w:noProof/>
                <w:sz w:val="24"/>
              </w:rPr>
            </w:pPr>
            <w:r>
              <w:rPr>
                <w:rFonts w:ascii="Times New Roman" w:hAnsi="Times New Roman"/>
                <w:b/>
                <w:noProof/>
                <w:sz w:val="24"/>
              </w:rPr>
              <w:t>Komisija / države članice / deležniki</w:t>
            </w:r>
          </w:p>
        </w:tc>
      </w:tr>
      <w:tr w:rsidR="00130B9A">
        <w:trPr>
          <w:trHeight w:val="53"/>
          <w:tblHeader/>
        </w:trPr>
        <w:tc>
          <w:tcPr>
            <w:tcW w:w="11748" w:type="dxa"/>
            <w:shd w:val="clear" w:color="auto" w:fill="auto"/>
          </w:tcPr>
          <w:p w:rsidR="00130B9A" w:rsidRDefault="00EA013D">
            <w:pPr>
              <w:spacing w:before="60" w:after="60"/>
              <w:ind w:left="369" w:hanging="369"/>
              <w:rPr>
                <w:rFonts w:ascii="Times New Roman" w:hAnsi="Times New Roman"/>
                <w:noProof/>
                <w:sz w:val="24"/>
                <w:szCs w:val="24"/>
              </w:rPr>
            </w:pPr>
            <w:r>
              <w:rPr>
                <w:rFonts w:ascii="Times New Roman" w:hAnsi="Times New Roman"/>
                <w:noProof/>
                <w:sz w:val="24"/>
              </w:rPr>
              <w:t xml:space="preserve">12. </w:t>
            </w:r>
            <w:r>
              <w:rPr>
                <w:noProof/>
              </w:rPr>
              <w:tab/>
            </w:r>
            <w:r>
              <w:rPr>
                <w:rFonts w:ascii="Times New Roman" w:hAnsi="Times New Roman"/>
                <w:noProof/>
                <w:sz w:val="24"/>
              </w:rPr>
              <w:t>Priprava smernic za podporo uvajanja zelene infrastrukture za boljšo povezljivost med območji Natura 2000; podpiranje projektov za rešitve, ki temeljijo na naravi, v okviru raziskav in inova</w:t>
            </w:r>
            <w:r>
              <w:rPr>
                <w:rFonts w:ascii="Times New Roman" w:hAnsi="Times New Roman"/>
                <w:noProof/>
                <w:sz w:val="24"/>
              </w:rPr>
              <w:t xml:space="preserve">cij EU ter sredstev iz programa Obzorje 2020 </w:t>
            </w:r>
          </w:p>
        </w:tc>
        <w:tc>
          <w:tcPr>
            <w:tcW w:w="1320" w:type="dxa"/>
            <w:shd w:val="clear" w:color="auto" w:fill="auto"/>
          </w:tcPr>
          <w:p w:rsidR="00130B9A" w:rsidRDefault="00EA013D">
            <w:pPr>
              <w:spacing w:before="60" w:after="60"/>
              <w:ind w:left="34" w:hanging="34"/>
              <w:jc w:val="center"/>
              <w:rPr>
                <w:rFonts w:ascii="Times New Roman" w:hAnsi="Times New Roman"/>
                <w:noProof/>
                <w:sz w:val="24"/>
              </w:rPr>
            </w:pPr>
            <w:r>
              <w:rPr>
                <w:rFonts w:ascii="Times New Roman" w:hAnsi="Times New Roman"/>
                <w:noProof/>
                <w:sz w:val="24"/>
              </w:rPr>
              <w:t>2017–2019</w:t>
            </w:r>
          </w:p>
        </w:tc>
        <w:tc>
          <w:tcPr>
            <w:tcW w:w="2160" w:type="dxa"/>
          </w:tcPr>
          <w:p w:rsidR="00130B9A" w:rsidRDefault="00EA013D">
            <w:pPr>
              <w:spacing w:before="60" w:after="60"/>
              <w:ind w:left="-57" w:right="-57"/>
              <w:jc w:val="center"/>
              <w:rPr>
                <w:rFonts w:ascii="Times New Roman" w:hAnsi="Times New Roman"/>
                <w:b/>
                <w:noProof/>
                <w:sz w:val="24"/>
              </w:rPr>
            </w:pPr>
            <w:r>
              <w:rPr>
                <w:rFonts w:ascii="Times New Roman" w:hAnsi="Times New Roman"/>
                <w:b/>
                <w:noProof/>
                <w:sz w:val="24"/>
              </w:rPr>
              <w:t>Komisija / deležniki</w:t>
            </w:r>
          </w:p>
        </w:tc>
      </w:tr>
    </w:tbl>
    <w:p w:rsidR="00130B9A" w:rsidRDefault="00EA013D">
      <w:pPr>
        <w:keepNext/>
        <w:spacing w:before="240" w:after="120" w:line="240" w:lineRule="auto"/>
        <w:jc w:val="both"/>
        <w:rPr>
          <w:rFonts w:ascii="Times New Roman" w:hAnsi="Times New Roman"/>
          <w:b/>
          <w:noProof/>
          <w:sz w:val="24"/>
        </w:rPr>
      </w:pPr>
      <w:r>
        <w:rPr>
          <w:rFonts w:ascii="Times New Roman" w:hAnsi="Times New Roman"/>
          <w:b/>
          <w:noProof/>
          <w:sz w:val="24"/>
        </w:rPr>
        <w:t>Boljša komunikacija in ozaveščanje, vključevanje državljanov, deležnikov in skupnosti</w:t>
      </w:r>
    </w:p>
    <w:tbl>
      <w:tblPr>
        <w:tblStyle w:val="TableGrid"/>
        <w:tblW w:w="15276" w:type="dxa"/>
        <w:tblLayout w:type="fixed"/>
        <w:tblLook w:val="04A0" w:firstRow="1" w:lastRow="0" w:firstColumn="1" w:lastColumn="0" w:noHBand="0" w:noVBand="1"/>
      </w:tblPr>
      <w:tblGrid>
        <w:gridCol w:w="11748"/>
        <w:gridCol w:w="1320"/>
        <w:gridCol w:w="2208"/>
      </w:tblGrid>
      <w:tr w:rsidR="00130B9A">
        <w:trPr>
          <w:tblHeader/>
        </w:trPr>
        <w:tc>
          <w:tcPr>
            <w:tcW w:w="11748" w:type="dxa"/>
            <w:shd w:val="clear" w:color="auto" w:fill="auto"/>
          </w:tcPr>
          <w:p w:rsidR="00130B9A" w:rsidRDefault="00EA013D">
            <w:pPr>
              <w:keepNext/>
              <w:spacing w:before="60" w:after="60"/>
              <w:jc w:val="center"/>
              <w:rPr>
                <w:rFonts w:ascii="Times New Roman" w:hAnsi="Times New Roman"/>
                <w:b/>
                <w:noProof/>
                <w:sz w:val="24"/>
              </w:rPr>
            </w:pPr>
            <w:r>
              <w:rPr>
                <w:rFonts w:ascii="Times New Roman" w:hAnsi="Times New Roman"/>
                <w:b/>
                <w:noProof/>
                <w:sz w:val="24"/>
              </w:rPr>
              <w:t>Ukrepi</w:t>
            </w:r>
          </w:p>
        </w:tc>
        <w:tc>
          <w:tcPr>
            <w:tcW w:w="1320" w:type="dxa"/>
            <w:shd w:val="clear" w:color="auto" w:fill="auto"/>
          </w:tcPr>
          <w:p w:rsidR="00130B9A" w:rsidRDefault="00EA013D">
            <w:pPr>
              <w:keepNext/>
              <w:spacing w:before="60" w:after="60"/>
              <w:jc w:val="center"/>
              <w:rPr>
                <w:rFonts w:ascii="Times New Roman" w:hAnsi="Times New Roman"/>
                <w:b/>
                <w:noProof/>
                <w:sz w:val="24"/>
              </w:rPr>
            </w:pPr>
            <w:r>
              <w:rPr>
                <w:rFonts w:ascii="Times New Roman" w:hAnsi="Times New Roman"/>
                <w:b/>
                <w:noProof/>
                <w:sz w:val="24"/>
              </w:rPr>
              <w:t>Časovni okvir</w:t>
            </w:r>
          </w:p>
        </w:tc>
        <w:tc>
          <w:tcPr>
            <w:tcW w:w="2208" w:type="dxa"/>
          </w:tcPr>
          <w:p w:rsidR="00130B9A" w:rsidRDefault="00EA013D">
            <w:pPr>
              <w:keepNext/>
              <w:spacing w:before="60" w:after="60"/>
              <w:ind w:left="-57" w:right="-57"/>
              <w:jc w:val="center"/>
              <w:rPr>
                <w:rFonts w:ascii="Times New Roman" w:hAnsi="Times New Roman"/>
                <w:b/>
                <w:noProof/>
                <w:sz w:val="24"/>
              </w:rPr>
            </w:pPr>
            <w:r>
              <w:rPr>
                <w:rFonts w:ascii="Times New Roman" w:hAnsi="Times New Roman"/>
                <w:b/>
                <w:noProof/>
                <w:sz w:val="24"/>
              </w:rPr>
              <w:t>Pristojni organi</w:t>
            </w:r>
          </w:p>
        </w:tc>
      </w:tr>
      <w:tr w:rsidR="00130B9A">
        <w:trPr>
          <w:tblHeader/>
        </w:trPr>
        <w:tc>
          <w:tcPr>
            <w:tcW w:w="11748" w:type="dxa"/>
            <w:shd w:val="clear" w:color="auto" w:fill="auto"/>
          </w:tcPr>
          <w:p w:rsidR="00130B9A" w:rsidRDefault="00EA013D">
            <w:pPr>
              <w:spacing w:before="60" w:after="60"/>
              <w:ind w:left="369" w:hanging="369"/>
              <w:rPr>
                <w:rFonts w:ascii="Times New Roman" w:hAnsi="Times New Roman"/>
                <w:noProof/>
                <w:sz w:val="24"/>
                <w:szCs w:val="24"/>
              </w:rPr>
            </w:pPr>
            <w:r>
              <w:rPr>
                <w:rFonts w:ascii="Times New Roman" w:hAnsi="Times New Roman"/>
                <w:noProof/>
                <w:sz w:val="24"/>
              </w:rPr>
              <w:t xml:space="preserve">13. </w:t>
            </w:r>
            <w:r>
              <w:rPr>
                <w:noProof/>
              </w:rPr>
              <w:tab/>
            </w:r>
            <w:r>
              <w:rPr>
                <w:rFonts w:ascii="Times New Roman" w:hAnsi="Times New Roman"/>
                <w:noProof/>
                <w:sz w:val="24"/>
              </w:rPr>
              <w:t xml:space="preserve">Podpiranje izmenjave znanja in vključenosti </w:t>
            </w:r>
            <w:r>
              <w:rPr>
                <w:rFonts w:ascii="Times New Roman" w:hAnsi="Times New Roman"/>
                <w:noProof/>
                <w:sz w:val="24"/>
              </w:rPr>
              <w:t>lokalnih ter regionalnih organov prek skupne platforme z Odborom regij</w:t>
            </w:r>
          </w:p>
        </w:tc>
        <w:tc>
          <w:tcPr>
            <w:tcW w:w="1320" w:type="dxa"/>
            <w:shd w:val="clear" w:color="auto" w:fill="auto"/>
          </w:tcPr>
          <w:p w:rsidR="00130B9A" w:rsidRDefault="00EA013D">
            <w:pPr>
              <w:spacing w:before="60" w:after="60"/>
              <w:jc w:val="center"/>
              <w:rPr>
                <w:rFonts w:ascii="Times New Roman" w:hAnsi="Times New Roman"/>
                <w:noProof/>
                <w:sz w:val="24"/>
              </w:rPr>
            </w:pPr>
            <w:r>
              <w:rPr>
                <w:rFonts w:ascii="Times New Roman" w:hAnsi="Times New Roman"/>
                <w:noProof/>
                <w:sz w:val="24"/>
              </w:rPr>
              <w:t>2017–2019</w:t>
            </w:r>
          </w:p>
        </w:tc>
        <w:tc>
          <w:tcPr>
            <w:tcW w:w="2208" w:type="dxa"/>
          </w:tcPr>
          <w:p w:rsidR="00130B9A" w:rsidRDefault="00EA013D">
            <w:pPr>
              <w:spacing w:before="60" w:after="60"/>
              <w:ind w:left="-57" w:right="-57"/>
              <w:jc w:val="center"/>
              <w:rPr>
                <w:rFonts w:ascii="Times New Roman" w:hAnsi="Times New Roman"/>
                <w:b/>
                <w:noProof/>
                <w:sz w:val="24"/>
              </w:rPr>
            </w:pPr>
            <w:r>
              <w:rPr>
                <w:rFonts w:ascii="Times New Roman" w:hAnsi="Times New Roman"/>
                <w:b/>
                <w:noProof/>
                <w:sz w:val="24"/>
              </w:rPr>
              <w:t>Odbor regij / Komisija</w:t>
            </w:r>
          </w:p>
        </w:tc>
      </w:tr>
      <w:tr w:rsidR="00130B9A">
        <w:trPr>
          <w:tblHeader/>
        </w:trPr>
        <w:tc>
          <w:tcPr>
            <w:tcW w:w="11748" w:type="dxa"/>
            <w:shd w:val="clear" w:color="auto" w:fill="auto"/>
          </w:tcPr>
          <w:p w:rsidR="00130B9A" w:rsidRDefault="00EA013D">
            <w:pPr>
              <w:spacing w:before="60" w:after="60"/>
              <w:ind w:left="369" w:hanging="369"/>
              <w:rPr>
                <w:rFonts w:ascii="Times New Roman" w:hAnsi="Times New Roman"/>
                <w:noProof/>
                <w:sz w:val="24"/>
                <w:szCs w:val="24"/>
              </w:rPr>
            </w:pPr>
            <w:r>
              <w:rPr>
                <w:rFonts w:ascii="Times New Roman" w:hAnsi="Times New Roman"/>
                <w:noProof/>
                <w:sz w:val="24"/>
              </w:rPr>
              <w:t>14.</w:t>
            </w:r>
            <w:r>
              <w:rPr>
                <w:noProof/>
              </w:rPr>
              <w:tab/>
            </w:r>
            <w:r>
              <w:rPr>
                <w:rFonts w:ascii="Times New Roman" w:hAnsi="Times New Roman"/>
                <w:noProof/>
                <w:sz w:val="24"/>
              </w:rPr>
              <w:t xml:space="preserve">Podpiranje priznavanja dobrega upravljanja območij Natura 2000 in ozaveščanja v zvezi z direktivama o naravi prek ustreznih forumov, uporabe novih </w:t>
            </w:r>
            <w:r>
              <w:rPr>
                <w:rFonts w:ascii="Times New Roman" w:hAnsi="Times New Roman"/>
                <w:noProof/>
                <w:sz w:val="24"/>
              </w:rPr>
              <w:t>tehnologij in dejavnosti ozaveščanja ter okrepitev vezi med naravno in kulturno dediščino, zlasti z vidika leta 2018 kot evropskega leta kulturne dediščine</w:t>
            </w:r>
          </w:p>
        </w:tc>
        <w:tc>
          <w:tcPr>
            <w:tcW w:w="1320" w:type="dxa"/>
            <w:shd w:val="clear" w:color="auto" w:fill="auto"/>
          </w:tcPr>
          <w:p w:rsidR="00130B9A" w:rsidRDefault="00EA013D">
            <w:pPr>
              <w:spacing w:before="60" w:after="60"/>
              <w:jc w:val="center"/>
              <w:rPr>
                <w:rFonts w:ascii="Times New Roman" w:hAnsi="Times New Roman"/>
                <w:noProof/>
                <w:sz w:val="24"/>
              </w:rPr>
            </w:pPr>
            <w:r>
              <w:rPr>
                <w:rFonts w:ascii="Times New Roman" w:hAnsi="Times New Roman"/>
                <w:noProof/>
                <w:sz w:val="24"/>
              </w:rPr>
              <w:t>2017–2019</w:t>
            </w:r>
          </w:p>
        </w:tc>
        <w:tc>
          <w:tcPr>
            <w:tcW w:w="2208" w:type="dxa"/>
          </w:tcPr>
          <w:p w:rsidR="00130B9A" w:rsidRDefault="00EA013D">
            <w:pPr>
              <w:spacing w:before="60" w:after="60"/>
              <w:ind w:left="-57" w:right="-57"/>
              <w:jc w:val="center"/>
              <w:rPr>
                <w:rFonts w:ascii="Times New Roman" w:hAnsi="Times New Roman"/>
                <w:b/>
                <w:noProof/>
                <w:sz w:val="24"/>
              </w:rPr>
            </w:pPr>
            <w:r>
              <w:rPr>
                <w:rFonts w:ascii="Times New Roman" w:hAnsi="Times New Roman"/>
                <w:b/>
                <w:noProof/>
                <w:sz w:val="24"/>
              </w:rPr>
              <w:t>Komisija / Odbor regij / države članice</w:t>
            </w:r>
            <w:r>
              <w:rPr>
                <w:rFonts w:ascii="Times New Roman" w:hAnsi="Times New Roman"/>
                <w:b/>
                <w:noProof/>
                <w:sz w:val="24"/>
              </w:rPr>
              <w:br/>
              <w:t>deležniki</w:t>
            </w:r>
          </w:p>
        </w:tc>
      </w:tr>
      <w:tr w:rsidR="00130B9A">
        <w:trPr>
          <w:tblHeader/>
        </w:trPr>
        <w:tc>
          <w:tcPr>
            <w:tcW w:w="11748" w:type="dxa"/>
            <w:shd w:val="clear" w:color="auto" w:fill="auto"/>
          </w:tcPr>
          <w:p w:rsidR="00130B9A" w:rsidRDefault="00EA013D">
            <w:pPr>
              <w:spacing w:before="60" w:after="60"/>
              <w:ind w:left="369" w:hanging="369"/>
              <w:rPr>
                <w:rFonts w:ascii="Times New Roman" w:hAnsi="Times New Roman" w:cs="Times New Roman"/>
                <w:noProof/>
                <w:sz w:val="24"/>
                <w:szCs w:val="24"/>
              </w:rPr>
            </w:pPr>
            <w:r>
              <w:rPr>
                <w:rFonts w:ascii="Times New Roman" w:hAnsi="Times New Roman"/>
                <w:noProof/>
                <w:sz w:val="24"/>
              </w:rPr>
              <w:t xml:space="preserve">15. </w:t>
            </w:r>
            <w:r>
              <w:rPr>
                <w:noProof/>
              </w:rPr>
              <w:tab/>
            </w:r>
            <w:r>
              <w:rPr>
                <w:rFonts w:ascii="Times New Roman" w:hAnsi="Times New Roman"/>
                <w:noProof/>
                <w:sz w:val="24"/>
              </w:rPr>
              <w:t>Aktivno vključevanje mladih pri uk</w:t>
            </w:r>
            <w:r>
              <w:rPr>
                <w:rFonts w:ascii="Times New Roman" w:hAnsi="Times New Roman"/>
                <w:noProof/>
                <w:sz w:val="24"/>
              </w:rPr>
              <w:t>repih, ki zadevajo družbene potrebe, tako da se jim ponudi možnost vključevanja v zaščito narave na območjih Natura 2000 (evropske solidarnostne enote)</w:t>
            </w:r>
          </w:p>
        </w:tc>
        <w:tc>
          <w:tcPr>
            <w:tcW w:w="1320" w:type="dxa"/>
            <w:shd w:val="clear" w:color="auto" w:fill="auto"/>
          </w:tcPr>
          <w:p w:rsidR="00130B9A" w:rsidRDefault="00EA013D">
            <w:pPr>
              <w:spacing w:before="60" w:after="60"/>
              <w:jc w:val="center"/>
              <w:rPr>
                <w:rFonts w:ascii="Times New Roman" w:hAnsi="Times New Roman"/>
                <w:noProof/>
                <w:sz w:val="24"/>
              </w:rPr>
            </w:pPr>
            <w:r>
              <w:rPr>
                <w:rFonts w:ascii="Times New Roman" w:hAnsi="Times New Roman"/>
                <w:noProof/>
                <w:sz w:val="24"/>
              </w:rPr>
              <w:t>2017–2019</w:t>
            </w:r>
          </w:p>
        </w:tc>
        <w:tc>
          <w:tcPr>
            <w:tcW w:w="2208" w:type="dxa"/>
          </w:tcPr>
          <w:p w:rsidR="00130B9A" w:rsidRDefault="00EA013D">
            <w:pPr>
              <w:spacing w:before="60" w:after="60"/>
              <w:ind w:left="-57" w:right="-57"/>
              <w:jc w:val="center"/>
              <w:rPr>
                <w:rFonts w:ascii="Times New Roman" w:hAnsi="Times New Roman"/>
                <w:b/>
                <w:noProof/>
                <w:sz w:val="24"/>
              </w:rPr>
            </w:pPr>
            <w:r>
              <w:rPr>
                <w:rFonts w:ascii="Times New Roman" w:hAnsi="Times New Roman"/>
                <w:b/>
                <w:noProof/>
                <w:sz w:val="24"/>
              </w:rPr>
              <w:t>Komisija / države članice / deležniki</w:t>
            </w:r>
          </w:p>
        </w:tc>
      </w:tr>
    </w:tbl>
    <w:p w:rsidR="00130B9A" w:rsidRDefault="00130B9A">
      <w:pPr>
        <w:rPr>
          <w:rFonts w:ascii="Times New Roman" w:hAnsi="Times New Roman"/>
          <w:b/>
          <w:noProof/>
          <w:sz w:val="8"/>
          <w:u w:val="single"/>
        </w:rPr>
      </w:pPr>
    </w:p>
    <w:sectPr w:rsidR="00130B9A">
      <w:headerReference w:type="even" r:id="rId22"/>
      <w:headerReference w:type="default" r:id="rId23"/>
      <w:footerReference w:type="even" r:id="rId24"/>
      <w:footerReference w:type="default" r:id="rId25"/>
      <w:headerReference w:type="first" r:id="rId26"/>
      <w:footerReference w:type="first" r:id="rId27"/>
      <w:pgSz w:w="16838" w:h="11906" w:orient="landscape"/>
      <w:pgMar w:top="238" w:right="1418" w:bottom="964" w:left="1134"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0B9A" w:rsidRDefault="00EA013D">
      <w:pPr>
        <w:spacing w:after="0" w:line="240" w:lineRule="auto"/>
      </w:pPr>
      <w:r>
        <w:separator/>
      </w:r>
    </w:p>
  </w:endnote>
  <w:endnote w:type="continuationSeparator" w:id="0">
    <w:p w:rsidR="00130B9A" w:rsidRDefault="00EA013D">
      <w:pPr>
        <w:spacing w:after="0" w:line="240" w:lineRule="auto"/>
      </w:pPr>
      <w:r>
        <w:continuationSeparator/>
      </w:r>
    </w:p>
  </w:endnote>
  <w:endnote w:type="continuationNotice" w:id="1">
    <w:p w:rsidR="00130B9A" w:rsidRDefault="00130B9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0B9A" w:rsidRDefault="00130B9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0B9A" w:rsidRDefault="00EA013D">
    <w:pPr>
      <w:pStyle w:val="FooterCoverPage"/>
      <w:rPr>
        <w:rFonts w:ascii="Arial" w:hAnsi="Arial" w:cs="Arial"/>
        <w:b/>
        <w:sz w:val="48"/>
      </w:rPr>
    </w:pPr>
    <w:r>
      <w:rPr>
        <w:rFonts w:ascii="Arial" w:hAnsi="Arial" w:cs="Arial"/>
        <w:b/>
        <w:sz w:val="48"/>
      </w:rPr>
      <w:t>SL</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SL</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0B9A" w:rsidRDefault="00130B9A">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0B9A" w:rsidRDefault="00130B9A">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86029655"/>
      <w:docPartObj>
        <w:docPartGallery w:val="Page Numbers (Bottom of Page)"/>
        <w:docPartUnique/>
      </w:docPartObj>
    </w:sdtPr>
    <w:sdtEndPr>
      <w:rPr>
        <w:rFonts w:ascii="Times New Roman" w:hAnsi="Times New Roman" w:cs="Times New Roman"/>
      </w:rPr>
    </w:sdtEndPr>
    <w:sdtContent>
      <w:p w:rsidR="00130B9A" w:rsidRDefault="00EA013D">
        <w:pPr>
          <w:pStyle w:val="Footer"/>
          <w:jc w:val="right"/>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noProof/>
          </w:rPr>
          <w:t>2</w:t>
        </w:r>
        <w:r>
          <w:rPr>
            <w:rFonts w:ascii="Times New Roman" w:hAnsi="Times New Roman" w:cs="Times New Roman"/>
          </w:rPr>
          <w:fldChar w:fldCharType="end"/>
        </w:r>
      </w:p>
    </w:sdtContent>
  </w:sdt>
  <w:p w:rsidR="00130B9A" w:rsidRDefault="00130B9A">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0B9A" w:rsidRDefault="00130B9A">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0B9A" w:rsidRDefault="00130B9A">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60275962"/>
      <w:docPartObj>
        <w:docPartGallery w:val="Page Numbers (Bottom of Page)"/>
        <w:docPartUnique/>
      </w:docPartObj>
    </w:sdtPr>
    <w:sdtEndPr>
      <w:rPr>
        <w:rFonts w:ascii="Times New Roman" w:hAnsi="Times New Roman" w:cs="Times New Roman"/>
      </w:rPr>
    </w:sdtEndPr>
    <w:sdtContent>
      <w:p w:rsidR="00130B9A" w:rsidRDefault="00EA013D">
        <w:pPr>
          <w:pStyle w:val="Footer"/>
          <w:jc w:val="right"/>
          <w:rPr>
            <w:rFonts w:ascii="Times New Roman" w:hAnsi="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noProof/>
          </w:rPr>
          <w:t>7</w:t>
        </w:r>
        <w:r>
          <w:rPr>
            <w:rFonts w:ascii="Times New Roman" w:hAnsi="Times New Roman" w:cs="Times New Roman"/>
          </w:rPr>
          <w:fldChar w:fldCharType="end"/>
        </w:r>
      </w:p>
    </w:sdtContent>
  </w:sdt>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0B9A" w:rsidRDefault="00130B9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0B9A" w:rsidRDefault="00EA013D">
      <w:pPr>
        <w:spacing w:after="0" w:line="240" w:lineRule="auto"/>
      </w:pPr>
      <w:r>
        <w:separator/>
      </w:r>
    </w:p>
  </w:footnote>
  <w:footnote w:type="continuationSeparator" w:id="0">
    <w:p w:rsidR="00130B9A" w:rsidRDefault="00EA013D">
      <w:pPr>
        <w:spacing w:after="0" w:line="240" w:lineRule="auto"/>
      </w:pPr>
      <w:r>
        <w:continuationSeparator/>
      </w:r>
    </w:p>
  </w:footnote>
  <w:footnote w:type="continuationNotice" w:id="1">
    <w:p w:rsidR="00130B9A" w:rsidRDefault="00130B9A">
      <w:pPr>
        <w:spacing w:after="0" w:line="240" w:lineRule="auto"/>
      </w:pPr>
    </w:p>
  </w:footnote>
  <w:footnote w:id="2">
    <w:p w:rsidR="00130B9A" w:rsidRDefault="00EA013D">
      <w:pPr>
        <w:pStyle w:val="FootnoteText"/>
        <w:ind w:left="142" w:hanging="142"/>
        <w:jc w:val="both"/>
        <w:rPr>
          <w:rFonts w:ascii="Times New Roman" w:hAnsi="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 xml:space="preserve">Direktiva </w:t>
      </w:r>
      <w:r>
        <w:rPr>
          <w:rFonts w:ascii="Times New Roman" w:hAnsi="Times New Roman"/>
        </w:rPr>
        <w:t>92/43/EGS o ohranjanju naravnih habitatov ter prosto živečih živalskih in rastlinskih vrst (direktiva o habitatih) (UL L 206, 22.7.1992, str. 7) in Direktiva 2009/147/ES o ohranjanju prosto živečih ptic (direktiva o pticah) (UL L 20, 26.1.2010, str. 7).</w:t>
      </w:r>
    </w:p>
  </w:footnote>
  <w:footnote w:id="3">
    <w:p w:rsidR="00130B9A" w:rsidRDefault="00EA013D">
      <w:pPr>
        <w:pStyle w:val="Default"/>
        <w:ind w:left="142" w:hanging="142"/>
        <w:rPr>
          <w:sz w:val="20"/>
          <w:szCs w:val="20"/>
        </w:rPr>
      </w:pPr>
      <w:r>
        <w:rPr>
          <w:rStyle w:val="FootnoteReference"/>
          <w:sz w:val="20"/>
        </w:rPr>
        <w:footnoteRef/>
      </w:r>
      <w:r>
        <w:rPr>
          <w:sz w:val="20"/>
        </w:rPr>
        <w:t xml:space="preserve"> </w:t>
      </w:r>
      <w:r>
        <w:rPr>
          <w:sz w:val="20"/>
        </w:rPr>
        <w:t xml:space="preserve">Delovni dokument služb Komisije (2016) 472 final z dne 16. decembra 2016 o preverjanju ustreznosti naravovarstvene zakonodaje EU (direktivi o pticah in habitatih), </w:t>
      </w:r>
      <w:hyperlink r:id="rId1">
        <w:r>
          <w:rPr>
            <w:rStyle w:val="Hyperlink"/>
            <w:sz w:val="20"/>
          </w:rPr>
          <w:t>http://ec.europa.eu/environment/nature/legislation/fitness_check/index_en.htm</w:t>
        </w:r>
      </w:hyperlink>
      <w:r>
        <w:rPr>
          <w:rStyle w:val="Hyperlink"/>
          <w:color w:val="auto"/>
          <w:sz w:val="20"/>
          <w:u w:val="none"/>
        </w:rPr>
        <w:t>.</w:t>
      </w:r>
    </w:p>
  </w:footnote>
  <w:footnote w:id="4">
    <w:p w:rsidR="00130B9A" w:rsidRDefault="00EA013D">
      <w:pPr>
        <w:pStyle w:val="FootnoteText"/>
        <w:ind w:left="120" w:hanging="120"/>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Sporočilo Komisije: Naše življenjsko zavarovanje, naš naravni kapital: strategija EU za biotsko raznovrstnost do leta 2020 (COM(2011) 244).</w:t>
      </w:r>
    </w:p>
  </w:footnote>
  <w:footnote w:id="5">
    <w:p w:rsidR="00130B9A" w:rsidRDefault="00EA013D">
      <w:pPr>
        <w:pStyle w:val="FootnoteText"/>
        <w:ind w:left="142" w:hanging="142"/>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Ocena preverjanja ustreznost</w:t>
      </w:r>
      <w:r>
        <w:rPr>
          <w:rFonts w:ascii="Times New Roman" w:hAnsi="Times New Roman"/>
        </w:rPr>
        <w:t xml:space="preserve">i regulativnega spremljanja in obveznosti poročanja iz okoljskega pravnega reda EU ter njihovo nadaljnje spremljanje — glej </w:t>
      </w:r>
      <w:hyperlink r:id="rId2">
        <w:r>
          <w:rPr>
            <w:rStyle w:val="Hyperlink"/>
            <w:rFonts w:ascii="Times New Roman" w:hAnsi="Times New Roman"/>
          </w:rPr>
          <w:t>http://ec.europa.eu/environment/legal/reportin</w:t>
        </w:r>
        <w:r>
          <w:rPr>
            <w:rStyle w:val="Hyperlink"/>
            <w:rFonts w:ascii="Times New Roman" w:hAnsi="Times New Roman"/>
          </w:rPr>
          <w:t>g/fc_overview_en.htm</w:t>
        </w:r>
      </w:hyperlink>
      <w:r>
        <w:rPr>
          <w:rFonts w:ascii="Times New Roman" w:hAnsi="Times New Roman"/>
        </w:rPr>
        <w:t xml:space="preserve">. </w:t>
      </w:r>
    </w:p>
  </w:footnote>
  <w:footnote w:id="6">
    <w:p w:rsidR="00130B9A" w:rsidRDefault="00EA013D">
      <w:pPr>
        <w:autoSpaceDE w:val="0"/>
        <w:autoSpaceDN w:val="0"/>
        <w:adjustRightInd w:val="0"/>
        <w:spacing w:after="0" w:line="240" w:lineRule="auto"/>
        <w:ind w:left="142" w:hanging="142"/>
        <w:jc w:val="both"/>
        <w:rPr>
          <w:rFonts w:ascii="Times New Roman" w:hAnsi="Times New Roman" w:cs="Times New Roman"/>
          <w:sz w:val="20"/>
          <w:szCs w:val="20"/>
        </w:rPr>
      </w:pPr>
      <w:r>
        <w:rPr>
          <w:rStyle w:val="FootnoteReference"/>
          <w:rFonts w:ascii="Times New Roman" w:hAnsi="Times New Roman"/>
          <w:sz w:val="20"/>
        </w:rPr>
        <w:footnoteRef/>
      </w:r>
      <w:r>
        <w:rPr>
          <w:rStyle w:val="FootnoteReference"/>
          <w:rFonts w:ascii="Times New Roman" w:hAnsi="Times New Roman"/>
          <w:sz w:val="20"/>
        </w:rPr>
        <w:t xml:space="preserve"> </w:t>
      </w:r>
      <w:r>
        <w:rPr>
          <w:rFonts w:ascii="Times New Roman" w:hAnsi="Times New Roman"/>
          <w:sz w:val="20"/>
        </w:rPr>
        <w:t>Glej delovni program Komisije za leto 2017 – Za Evropo, ki varuje, opolnomoča in ščiti (Sporočilo Komisije COM(2016) 710 final).</w:t>
      </w:r>
    </w:p>
  </w:footnote>
  <w:footnote w:id="7">
    <w:p w:rsidR="00130B9A" w:rsidRDefault="00EA013D">
      <w:pPr>
        <w:pStyle w:val="FootnoteText"/>
        <w:ind w:left="142" w:hanging="142"/>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Več informacij o </w:t>
      </w:r>
      <w:r>
        <w:rPr>
          <w:rFonts w:ascii="Times New Roman" w:hAnsi="Times New Roman"/>
          <w:color w:val="000000"/>
        </w:rPr>
        <w:t xml:space="preserve">posvetovanju o posodobitvi in poenostavitvi SKP je na voljo na spletnih straneh: </w:t>
      </w:r>
      <w:hyperlink r:id="rId3">
        <w:r>
          <w:rPr>
            <w:rStyle w:val="Hyperlink"/>
            <w:rFonts w:ascii="Times New Roman" w:hAnsi="Times New Roman"/>
          </w:rPr>
          <w:t>https://ec.europa.eu/agriculture/consultations/cap-modernising/2017_sl</w:t>
        </w:r>
      </w:hyperlink>
      <w:r>
        <w:rPr>
          <w:rFonts w:ascii="Times New Roman" w:hAnsi="Times New Roman"/>
        </w:rPr>
        <w:t xml:space="preserve"> in </w:t>
      </w:r>
      <w:hyperlink r:id="rId4">
        <w:r>
          <w:rPr>
            <w:rStyle w:val="Hyperlink"/>
            <w:rFonts w:ascii="Times New Roman" w:hAnsi="Times New Roman"/>
          </w:rPr>
          <w:t>https://ec.europa.eu/agriculture/simplification_sl</w:t>
        </w:r>
      </w:hyperlink>
      <w:r>
        <w:rPr>
          <w:rFonts w:ascii="Times New Roman" w:hAnsi="Times New Roman"/>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0B9A" w:rsidRDefault="00130B9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0B9A" w:rsidRDefault="00130B9A" w:rsidP="00EA013D">
    <w:pPr>
      <w:pStyle w:val="HeaderCoverPage"/>
      <w:numPr>
        <w:ilvl w:val="0"/>
        <w:numId w:val="0"/>
      </w:numPr>
    </w:pPr>
    <w:bookmarkStart w:id="1" w:name="_GoBack"/>
    <w:bookmarkEnd w:id="1"/>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0B9A" w:rsidRDefault="00130B9A">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0B9A" w:rsidRDefault="00130B9A">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0B9A" w:rsidRDefault="00130B9A">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0B9A" w:rsidRDefault="00130B9A">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0B9A" w:rsidRDefault="00130B9A">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0B9A" w:rsidRDefault="00130B9A">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0B9A" w:rsidRDefault="00130B9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D11FC3"/>
    <w:multiLevelType w:val="hybridMultilevel"/>
    <w:tmpl w:val="275425FA"/>
    <w:lvl w:ilvl="0" w:tplc="6ABE8D72">
      <w:start w:val="1"/>
      <w:numFmt w:val="decimal"/>
      <w:pStyle w:val="HeaderCoverPage"/>
      <w:lvlText w:val="%1."/>
      <w:lvlJc w:val="left"/>
      <w:pPr>
        <w:ind w:left="360" w:hanging="360"/>
      </w:pPr>
      <w:rPr>
        <w:b/>
        <w:i w:val="0"/>
      </w:rPr>
    </w:lvl>
    <w:lvl w:ilvl="1" w:tplc="478AD89E">
      <w:start w:val="1"/>
      <w:numFmt w:val="upperLetter"/>
      <w:lvlText w:val="%2."/>
      <w:lvlJc w:val="left"/>
      <w:pPr>
        <w:ind w:left="1440" w:hanging="360"/>
      </w:pPr>
      <w:rPr>
        <w:rFonts w:hint="default"/>
        <w:b/>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hideGrammaticalErrors/>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ocStatus" w:val="Green"/>
    <w:docVar w:name="LW_CONFIDENCE" w:val=" "/>
    <w:docVar w:name="LW_CONST_RESTREINT_UE" w:val="RESTREINT UE"/>
    <w:docVar w:name="LW_CORRIGENDUM" w:val="&lt;UNUSED&gt;"/>
    <w:docVar w:name="LW_COVERPAGE_GUID" w:val="FC816D0E8904444C9E35B34FC03150B7"/>
    <w:docVar w:name="LW_CROSSREFERENCE" w:val="{SWD(2017) 139 final}"/>
    <w:docVar w:name="LW_DocType" w:val="NORMAL"/>
    <w:docVar w:name="LW_EMISSION" w:val="27.4.2017"/>
    <w:docVar w:name="LW_EMISSION_ISODATE" w:val="2017-04-27"/>
    <w:docVar w:name="LW_EMISSION_LOCATION" w:val="BRX"/>
    <w:docVar w:name="LW_EMISSION_PREFIX" w:val="Bruselj, "/>
    <w:docVar w:name="LW_EMISSION_SUFFIX" w:val=" "/>
    <w:docVar w:name="LW_ID_DOCTYPE_NONLW" w:val="CP-014"/>
    <w:docVar w:name="LW_LANGUE" w:val="SL"/>
    <w:docVar w:name="LW_MARKING" w:val="&lt;UNUSED&gt;"/>
    <w:docVar w:name="LW_NOM.INST" w:val="EVROPSKA KOMISIJA"/>
    <w:docVar w:name="LW_NOM.INST_JOINTDOC" w:val="&lt;EMPTY&gt;"/>
    <w:docVar w:name="LW_PART_NBR" w:val="1"/>
    <w:docVar w:name="LW_PART_NBR_TOTAL" w:val="1"/>
    <w:docVar w:name="LW_REF.INST.NEW" w:val="COM"/>
    <w:docVar w:name="LW_REF.INST.NEW_ADOPTED" w:val="final"/>
    <w:docVar w:name="LW_REF.INST.NEW_TEXT" w:val="(2017) 198"/>
    <w:docVar w:name="LW_REF.INTERNE" w:val="&lt;UNUSED&gt;"/>
    <w:docVar w:name="LW_SOUS.TITRE.OBJ.CP" w:val="&lt;UNUSED&gt;"/>
    <w:docVar w:name="LW_SUPERTITRE" w:val="&lt;UNUSED&gt;"/>
    <w:docVar w:name="LW_TITRE.OBJ.CP" w:val="Akcijski na\u269?rt za naravo, ljudi in gospodarstvo"/>
    <w:docVar w:name="LW_TYPE.DOC.CP" w:val="SPORO\u268?ILO KOMISIJE EVROPSKEMU PARLAMENTU, SVETU, EVROPSKEMU EKONOMSKO-SOCIALNEMU ODBORU IN ODBORU REGIJ"/>
    <w:docVar w:name="LW_TYPE.DOC.CP.USERTEXT" w:val="&lt;EMPTY&gt;"/>
  </w:docVars>
  <w:rsids>
    <w:rsidRoot w:val="00130B9A"/>
    <w:rsid w:val="00130B9A"/>
    <w:rsid w:val="00EA01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sl-SI" w:bidi="sl-SI"/>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pPr>
      <w:spacing w:after="0" w:line="240" w:lineRule="auto"/>
      <w:ind w:left="720"/>
    </w:pPr>
    <w:rPr>
      <w:rFonts w:ascii="Calibri" w:eastAsiaTheme="minorEastAsia" w:hAnsi="Calibri" w:cs="Times New Roman"/>
    </w:rPr>
  </w:style>
  <w:style w:type="character" w:styleId="Hyperlink">
    <w:name w:val="Hyperlink"/>
    <w:basedOn w:val="DefaultParagraphFont"/>
    <w:uiPriority w:val="99"/>
    <w:unhideWhenUsed/>
    <w:rPr>
      <w:color w:val="0000FF" w:themeColor="hyperlink"/>
      <w:u w:val="single"/>
    </w:rPr>
  </w:style>
  <w:style w:type="paragraph" w:styleId="FootnoteText">
    <w:name w:val="footnote text"/>
    <w:aliases w:val="Fußnotentext Char,Fußnotentext Char1 Char1,Fußnotentext Char Char Char Char,Fußnotentext Char1 Char Char Char,Fußnotentext Char Char,Fußnotentext Char1 Char Char Char Char,Fußnotentext Char Char Char Char Char Char,Fußnotentext Char1,fn"/>
    <w:basedOn w:val="Normal"/>
    <w:uiPriority w:val="99"/>
    <w:unhideWhenUsed/>
    <w:qFormat/>
    <w:pPr>
      <w:spacing w:after="0" w:line="240" w:lineRule="auto"/>
    </w:pPr>
    <w:rPr>
      <w:sz w:val="20"/>
      <w:szCs w:val="20"/>
    </w:rPr>
  </w:style>
  <w:style w:type="character" w:customStyle="1" w:styleId="FootnoteTextChar">
    <w:name w:val="Footnote Text Char"/>
    <w:aliases w:val="Fußnotentext Char Char1,Fußnotentext Char1 Char1 Char,Fußnotentext Char Char Char Char Char,Fußnotentext Char1 Char Char Char Char1,Fußnotentext Char Char Char,Fußnotentext Char1 Char Char Char Char Char,Fußnotentext Char1 Char"/>
    <w:basedOn w:val="DefaultParagraphFont"/>
    <w:uiPriority w:val="99"/>
    <w:rPr>
      <w:sz w:val="20"/>
      <w:szCs w:val="20"/>
      <w:lang w:val="sl-SI"/>
    </w:rPr>
  </w:style>
  <w:style w:type="character" w:styleId="FootnoteReference">
    <w:name w:val="footnote reference"/>
    <w:aliases w:val="Voetnoot verwijzing,number,Footnote reference number,Footnote symbol,note TESI,-E Fußnotenzeichen,SUPERS,stylish,Footnote Reference_EP-LCA,BVI fnr,Odwołanie przypisu,Footnote Reference2,Footnote Reference Number,E FNZ,Footnote#,Ref,FR"/>
    <w:basedOn w:val="DefaultParagraphFont"/>
    <w:link w:val="SUPERSChar"/>
    <w:uiPriority w:val="99"/>
    <w:unhideWhenUsed/>
    <w:qFormat/>
    <w:rPr>
      <w:vertAlign w:val="superscript"/>
    </w:rPr>
  </w:style>
  <w:style w:type="paragraph" w:customStyle="1" w:styleId="SUPERSChar">
    <w:name w:val="SUPERS Char"/>
    <w:aliases w:val="EN Footnote Reference Char"/>
    <w:basedOn w:val="Normal"/>
    <w:link w:val="FootnoteReference"/>
    <w:uiPriority w:val="99"/>
    <w:pPr>
      <w:widowControl w:val="0"/>
      <w:adjustRightInd w:val="0"/>
      <w:spacing w:line="240" w:lineRule="exact"/>
      <w:jc w:val="both"/>
    </w:pPr>
    <w:rPr>
      <w:vertAlign w:val="superscript"/>
    </w:rPr>
  </w:style>
  <w:style w:type="paragraph" w:styleId="Header">
    <w:name w:val="header"/>
    <w:basedOn w:val="Normal"/>
    <w:link w:val="HeaderChar"/>
    <w:uiPriority w:val="99"/>
    <w:unhideWhenUsed/>
    <w:pPr>
      <w:tabs>
        <w:tab w:val="center" w:pos="4536"/>
        <w:tab w:val="right" w:pos="9072"/>
      </w:tabs>
      <w:spacing w:after="0" w:line="240" w:lineRule="auto"/>
    </w:pPr>
  </w:style>
  <w:style w:type="character" w:customStyle="1" w:styleId="HeaderChar">
    <w:name w:val="Header Char"/>
    <w:basedOn w:val="DefaultParagraphFont"/>
    <w:link w:val="Header"/>
    <w:uiPriority w:val="99"/>
    <w:rPr>
      <w:lang w:val="sl-SI"/>
    </w:rPr>
  </w:style>
  <w:style w:type="paragraph" w:styleId="Footer">
    <w:name w:val="footer"/>
    <w:basedOn w:val="Normal"/>
    <w:link w:val="FooterChar"/>
    <w:uiPriority w:val="99"/>
    <w:unhideWhenUsed/>
    <w:pPr>
      <w:tabs>
        <w:tab w:val="center" w:pos="4536"/>
        <w:tab w:val="right" w:pos="9072"/>
      </w:tabs>
      <w:spacing w:after="0" w:line="240" w:lineRule="auto"/>
    </w:pPr>
  </w:style>
  <w:style w:type="character" w:customStyle="1" w:styleId="FooterChar">
    <w:name w:val="Footer Char"/>
    <w:basedOn w:val="DefaultParagraphFont"/>
    <w:link w:val="Footer"/>
    <w:uiPriority w:val="99"/>
    <w:rPr>
      <w:lang w:val="sl-SI"/>
    </w:r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hanging="360"/>
    </w:pPr>
    <w:rPr>
      <w:rFonts w:ascii="Times New Roman" w:eastAsiaTheme="minorEastAsia" w:hAnsi="Times New Roman" w:cs="Times New Roman"/>
      <w:sz w:val="24"/>
      <w:szCs w:val="24"/>
    </w:rPr>
  </w:style>
  <w:style w:type="character" w:customStyle="1" w:styleId="ListParagraphChar">
    <w:name w:val="List Paragraph Char"/>
    <w:basedOn w:val="DefaultParagraphFont"/>
    <w:link w:val="ListParagraph"/>
    <w:uiPriority w:val="34"/>
    <w:rPr>
      <w:rFonts w:ascii="Calibri" w:eastAsiaTheme="minorEastAsia" w:hAnsi="Calibri" w:cs="Times New Roman"/>
    </w:rPr>
  </w:style>
  <w:style w:type="character" w:customStyle="1" w:styleId="FooterCoverPageChar">
    <w:name w:val="Footer Cover Page Char"/>
    <w:basedOn w:val="ListParagraphChar"/>
    <w:link w:val="FooterCoverPage"/>
    <w:rPr>
      <w:rFonts w:ascii="Times New Roman" w:eastAsiaTheme="minorEastAsia" w:hAnsi="Times New Roman" w:cs="Times New Roman"/>
      <w:sz w:val="24"/>
      <w:szCs w:val="24"/>
    </w:rPr>
  </w:style>
  <w:style w:type="paragraph" w:customStyle="1" w:styleId="HeaderCoverPage">
    <w:name w:val="Header Cover Page"/>
    <w:basedOn w:val="Normal"/>
    <w:link w:val="HeaderCoverPageChar"/>
    <w:pPr>
      <w:numPr>
        <w:numId w:val="1"/>
      </w:numPr>
      <w:tabs>
        <w:tab w:val="center" w:pos="4535"/>
        <w:tab w:val="right" w:pos="9071"/>
      </w:tabs>
      <w:spacing w:after="120" w:line="240" w:lineRule="auto"/>
      <w:ind w:left="0"/>
      <w:jc w:val="both"/>
    </w:pPr>
    <w:rPr>
      <w:rFonts w:ascii="Times New Roman" w:eastAsiaTheme="minorEastAsia" w:hAnsi="Times New Roman" w:cs="Times New Roman"/>
      <w:sz w:val="24"/>
      <w:szCs w:val="24"/>
    </w:rPr>
  </w:style>
  <w:style w:type="character" w:customStyle="1" w:styleId="HeaderCoverPageChar">
    <w:name w:val="Header Cover Page Char"/>
    <w:basedOn w:val="ListParagraphChar"/>
    <w:link w:val="HeaderCoverPage"/>
    <w:rPr>
      <w:rFonts w:ascii="Times New Roman" w:eastAsiaTheme="minorEastAsia" w:hAnsi="Times New Roman" w:cs="Times New Roman"/>
      <w:sz w:val="24"/>
      <w:szCs w:val="24"/>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sl-SI"/>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Revision">
    <w:name w:val="Revision"/>
    <w:hidden/>
    <w:uiPriority w:val="99"/>
    <w:semiHidden/>
    <w:pPr>
      <w:spacing w:after="0" w:line="240" w:lineRule="auto"/>
    </w:pPr>
  </w:style>
  <w:style w:type="character" w:styleId="FollowedHyperlink">
    <w:name w:val="FollowedHyperlink"/>
    <w:basedOn w:val="DefaultParagraphFont"/>
    <w:uiPriority w:val="99"/>
    <w:semiHidden/>
    <w:unhideWhenUsed/>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sl-SI" w:bidi="sl-SI"/>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pPr>
      <w:spacing w:after="0" w:line="240" w:lineRule="auto"/>
      <w:ind w:left="720"/>
    </w:pPr>
    <w:rPr>
      <w:rFonts w:ascii="Calibri" w:eastAsiaTheme="minorEastAsia" w:hAnsi="Calibri" w:cs="Times New Roman"/>
    </w:rPr>
  </w:style>
  <w:style w:type="character" w:styleId="Hyperlink">
    <w:name w:val="Hyperlink"/>
    <w:basedOn w:val="DefaultParagraphFont"/>
    <w:uiPriority w:val="99"/>
    <w:unhideWhenUsed/>
    <w:rPr>
      <w:color w:val="0000FF" w:themeColor="hyperlink"/>
      <w:u w:val="single"/>
    </w:rPr>
  </w:style>
  <w:style w:type="paragraph" w:styleId="FootnoteText">
    <w:name w:val="footnote text"/>
    <w:aliases w:val="Fußnotentext Char,Fußnotentext Char1 Char1,Fußnotentext Char Char Char Char,Fußnotentext Char1 Char Char Char,Fußnotentext Char Char,Fußnotentext Char1 Char Char Char Char,Fußnotentext Char Char Char Char Char Char,Fußnotentext Char1,fn"/>
    <w:basedOn w:val="Normal"/>
    <w:uiPriority w:val="99"/>
    <w:unhideWhenUsed/>
    <w:qFormat/>
    <w:pPr>
      <w:spacing w:after="0" w:line="240" w:lineRule="auto"/>
    </w:pPr>
    <w:rPr>
      <w:sz w:val="20"/>
      <w:szCs w:val="20"/>
    </w:rPr>
  </w:style>
  <w:style w:type="character" w:customStyle="1" w:styleId="FootnoteTextChar">
    <w:name w:val="Footnote Text Char"/>
    <w:aliases w:val="Fußnotentext Char Char1,Fußnotentext Char1 Char1 Char,Fußnotentext Char Char Char Char Char,Fußnotentext Char1 Char Char Char Char1,Fußnotentext Char Char Char,Fußnotentext Char1 Char Char Char Char Char,Fußnotentext Char1 Char"/>
    <w:basedOn w:val="DefaultParagraphFont"/>
    <w:uiPriority w:val="99"/>
    <w:rPr>
      <w:sz w:val="20"/>
      <w:szCs w:val="20"/>
      <w:lang w:val="sl-SI"/>
    </w:rPr>
  </w:style>
  <w:style w:type="character" w:styleId="FootnoteReference">
    <w:name w:val="footnote reference"/>
    <w:aliases w:val="Voetnoot verwijzing,number,Footnote reference number,Footnote symbol,note TESI,-E Fußnotenzeichen,SUPERS,stylish,Footnote Reference_EP-LCA,BVI fnr,Odwołanie przypisu,Footnote Reference2,Footnote Reference Number,E FNZ,Footnote#,Ref,FR"/>
    <w:basedOn w:val="DefaultParagraphFont"/>
    <w:link w:val="SUPERSChar"/>
    <w:uiPriority w:val="99"/>
    <w:unhideWhenUsed/>
    <w:qFormat/>
    <w:rPr>
      <w:vertAlign w:val="superscript"/>
    </w:rPr>
  </w:style>
  <w:style w:type="paragraph" w:customStyle="1" w:styleId="SUPERSChar">
    <w:name w:val="SUPERS Char"/>
    <w:aliases w:val="EN Footnote Reference Char"/>
    <w:basedOn w:val="Normal"/>
    <w:link w:val="FootnoteReference"/>
    <w:uiPriority w:val="99"/>
    <w:pPr>
      <w:widowControl w:val="0"/>
      <w:adjustRightInd w:val="0"/>
      <w:spacing w:line="240" w:lineRule="exact"/>
      <w:jc w:val="both"/>
    </w:pPr>
    <w:rPr>
      <w:vertAlign w:val="superscript"/>
    </w:rPr>
  </w:style>
  <w:style w:type="paragraph" w:styleId="Header">
    <w:name w:val="header"/>
    <w:basedOn w:val="Normal"/>
    <w:link w:val="HeaderChar"/>
    <w:uiPriority w:val="99"/>
    <w:unhideWhenUsed/>
    <w:pPr>
      <w:tabs>
        <w:tab w:val="center" w:pos="4536"/>
        <w:tab w:val="right" w:pos="9072"/>
      </w:tabs>
      <w:spacing w:after="0" w:line="240" w:lineRule="auto"/>
    </w:pPr>
  </w:style>
  <w:style w:type="character" w:customStyle="1" w:styleId="HeaderChar">
    <w:name w:val="Header Char"/>
    <w:basedOn w:val="DefaultParagraphFont"/>
    <w:link w:val="Header"/>
    <w:uiPriority w:val="99"/>
    <w:rPr>
      <w:lang w:val="sl-SI"/>
    </w:rPr>
  </w:style>
  <w:style w:type="paragraph" w:styleId="Footer">
    <w:name w:val="footer"/>
    <w:basedOn w:val="Normal"/>
    <w:link w:val="FooterChar"/>
    <w:uiPriority w:val="99"/>
    <w:unhideWhenUsed/>
    <w:pPr>
      <w:tabs>
        <w:tab w:val="center" w:pos="4536"/>
        <w:tab w:val="right" w:pos="9072"/>
      </w:tabs>
      <w:spacing w:after="0" w:line="240" w:lineRule="auto"/>
    </w:pPr>
  </w:style>
  <w:style w:type="character" w:customStyle="1" w:styleId="FooterChar">
    <w:name w:val="Footer Char"/>
    <w:basedOn w:val="DefaultParagraphFont"/>
    <w:link w:val="Footer"/>
    <w:uiPriority w:val="99"/>
    <w:rPr>
      <w:lang w:val="sl-SI"/>
    </w:r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hanging="360"/>
    </w:pPr>
    <w:rPr>
      <w:rFonts w:ascii="Times New Roman" w:eastAsiaTheme="minorEastAsia" w:hAnsi="Times New Roman" w:cs="Times New Roman"/>
      <w:sz w:val="24"/>
      <w:szCs w:val="24"/>
    </w:rPr>
  </w:style>
  <w:style w:type="character" w:customStyle="1" w:styleId="ListParagraphChar">
    <w:name w:val="List Paragraph Char"/>
    <w:basedOn w:val="DefaultParagraphFont"/>
    <w:link w:val="ListParagraph"/>
    <w:uiPriority w:val="34"/>
    <w:rPr>
      <w:rFonts w:ascii="Calibri" w:eastAsiaTheme="minorEastAsia" w:hAnsi="Calibri" w:cs="Times New Roman"/>
    </w:rPr>
  </w:style>
  <w:style w:type="character" w:customStyle="1" w:styleId="FooterCoverPageChar">
    <w:name w:val="Footer Cover Page Char"/>
    <w:basedOn w:val="ListParagraphChar"/>
    <w:link w:val="FooterCoverPage"/>
    <w:rPr>
      <w:rFonts w:ascii="Times New Roman" w:eastAsiaTheme="minorEastAsia" w:hAnsi="Times New Roman" w:cs="Times New Roman"/>
      <w:sz w:val="24"/>
      <w:szCs w:val="24"/>
    </w:rPr>
  </w:style>
  <w:style w:type="paragraph" w:customStyle="1" w:styleId="HeaderCoverPage">
    <w:name w:val="Header Cover Page"/>
    <w:basedOn w:val="Normal"/>
    <w:link w:val="HeaderCoverPageChar"/>
    <w:pPr>
      <w:numPr>
        <w:numId w:val="1"/>
      </w:numPr>
      <w:tabs>
        <w:tab w:val="center" w:pos="4535"/>
        <w:tab w:val="right" w:pos="9071"/>
      </w:tabs>
      <w:spacing w:after="120" w:line="240" w:lineRule="auto"/>
      <w:ind w:left="0"/>
      <w:jc w:val="both"/>
    </w:pPr>
    <w:rPr>
      <w:rFonts w:ascii="Times New Roman" w:eastAsiaTheme="minorEastAsia" w:hAnsi="Times New Roman" w:cs="Times New Roman"/>
      <w:sz w:val="24"/>
      <w:szCs w:val="24"/>
    </w:rPr>
  </w:style>
  <w:style w:type="character" w:customStyle="1" w:styleId="HeaderCoverPageChar">
    <w:name w:val="Header Cover Page Char"/>
    <w:basedOn w:val="ListParagraphChar"/>
    <w:link w:val="HeaderCoverPage"/>
    <w:rPr>
      <w:rFonts w:ascii="Times New Roman" w:eastAsiaTheme="minorEastAsia" w:hAnsi="Times New Roman" w:cs="Times New Roman"/>
      <w:sz w:val="24"/>
      <w:szCs w:val="24"/>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sl-SI"/>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Revision">
    <w:name w:val="Revision"/>
    <w:hidden/>
    <w:uiPriority w:val="99"/>
    <w:semiHidden/>
    <w:pPr>
      <w:spacing w:after="0" w:line="240" w:lineRule="auto"/>
    </w:pPr>
  </w:style>
  <w:style w:type="character" w:styleId="FollowedHyperlink">
    <w:name w:val="FollowedHyperlink"/>
    <w:basedOn w:val="DefaultParagraphFont"/>
    <w:uiPriority w:val="99"/>
    <w:semiHidden/>
    <w:unhideWhenUse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eader" Target="header9.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oter" Target="footer7.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footer" Target="footer9.xml"/></Relationships>
</file>

<file path=word/_rels/footnotes.xml.rels><?xml version='1.0' encoding='UTF-8' standalone='yes'?>
<Relationships xmlns="http://schemas.openxmlformats.org/package/2006/relationships"><Relationship Id="rId3" Type="http://schemas.openxmlformats.org/officeDocument/2006/relationships/hyperlink" Target="https://ec.europa.eu/agriculture/consultations/cap-modernising/2017_sl" TargetMode="External"/><Relationship Id="rId2" Type="http://schemas.openxmlformats.org/officeDocument/2006/relationships/hyperlink" Target="http://ec.europa.eu/environment/legal/reporting/fc_overview_en.htm" TargetMode="External"/><Relationship Id="rId1" Type="http://schemas.openxmlformats.org/officeDocument/2006/relationships/hyperlink" Target="http://ec.europa.eu/environment/nature/legislation/fitness_check/index_en.htm" TargetMode="External"/><Relationship Id="rId4" Type="http://schemas.openxmlformats.org/officeDocument/2006/relationships/hyperlink" Target="https://ec.europa.eu/agriculture/simplification_s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11949B-1091-46EC-AD20-E016228FDF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2093</Words>
  <Characters>12186</Characters>
  <Application>Microsoft Office Word</Application>
  <DocSecurity>0</DocSecurity>
  <Lines>234</Lines>
  <Paragraphs>107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14172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19</cp:revision>
  <cp:lastPrinted>2017-04-07T11:28:00Z</cp:lastPrinted>
  <dcterms:created xsi:type="dcterms:W3CDTF">2017-04-25T13:24:00Z</dcterms:created>
  <dcterms:modified xsi:type="dcterms:W3CDTF">2017-04-26T14:31:00Z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rt">
    <vt:lpwstr>1</vt:lpwstr>
  </property>
  <property fmtid="{D5CDD505-2E9C-101B-9397-08002B2CF9AE}" pid="3" name="Total parts">
    <vt:lpwstr>1</vt:lpwstr>
  </property>
  <property fmtid="{D5CDD505-2E9C-101B-9397-08002B2CF9AE}" pid="4" name="Classification">
    <vt:lpwstr> </vt:lpwstr>
  </property>
  <property fmtid="{D5CDD505-2E9C-101B-9397-08002B2CF9AE}" pid="5" name="DocStatus">
    <vt:lpwstr>Green</vt:lpwstr>
  </property>
  <property name="OP_sanitized" fmtid="{D5CDD505-2E9C-101B-9397-08002B2CF9AE}" pid="6">
    <vt:lpwstr>True</vt:lpwstr>
  </property>
</Properties>
</file>