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1B5C491CFF64EC2BB709A528446F51F" style="width:450.75pt;height:418.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9"/>
      </w:tblGrid>
      <w:tr>
        <w:tc>
          <w:tcPr>
            <w:tcW w:w="9889" w:type="dxa"/>
            <w:tcBorders>
              <w:right w:val="single" w:sz="4" w:space="0" w:color="auto"/>
            </w:tcBorders>
            <w:shd w:val="clear" w:color="auto" w:fill="0000FF"/>
            <w:vAlign w:val="center"/>
          </w:tcPr>
          <w:p>
            <w:pPr>
              <w:jc w:val="center"/>
              <w:rPr>
                <w:b/>
                <w:noProof/>
              </w:rPr>
            </w:pPr>
            <w:bookmarkStart w:id="1" w:name="_GoBack"/>
            <w:bookmarkEnd w:id="1"/>
            <w:r>
              <w:rPr>
                <w:b/>
                <w:noProof/>
              </w:rPr>
              <w:lastRenderedPageBreak/>
              <w:t>A. Nujnost ukrepanja</w:t>
            </w:r>
          </w:p>
        </w:tc>
      </w:tr>
      <w:tr>
        <w:tc>
          <w:tcPr>
            <w:tcW w:w="9889" w:type="dxa"/>
            <w:tcBorders>
              <w:right w:val="single" w:sz="4" w:space="0" w:color="auto"/>
            </w:tcBorders>
            <w:shd w:val="clear" w:color="auto" w:fill="E6E6E6"/>
            <w:vAlign w:val="center"/>
          </w:tcPr>
          <w:p>
            <w:pPr>
              <w:rPr>
                <w:b/>
                <w:noProof/>
              </w:rPr>
            </w:pPr>
            <w:r>
              <w:rPr>
                <w:b/>
                <w:noProof/>
              </w:rPr>
              <w:t>V čem je težava in zakaj je to težava?</w:t>
            </w:r>
          </w:p>
        </w:tc>
      </w:tr>
      <w:tr>
        <w:tc>
          <w:tcPr>
            <w:tcW w:w="9889" w:type="dxa"/>
            <w:tcBorders>
              <w:right w:val="single" w:sz="4" w:space="0" w:color="auto"/>
            </w:tcBorders>
            <w:shd w:val="clear" w:color="auto" w:fill="auto"/>
            <w:vAlign w:val="center"/>
          </w:tcPr>
          <w:p>
            <w:pPr>
              <w:spacing w:after="120"/>
              <w:jc w:val="both"/>
              <w:rPr>
                <w:noProof/>
              </w:rPr>
            </w:pPr>
            <w:r>
              <w:rPr>
                <w:noProof/>
              </w:rPr>
              <w:t xml:space="preserve">Ocena učinka je bila izvedena hkrati z naknadno oceno direktive o avdiovizualnih medijskih storitvah v okviru programa ustreznosti in uspešnosti predpisov (REFIT). </w:t>
            </w:r>
          </w:p>
          <w:p>
            <w:pPr>
              <w:spacing w:after="120"/>
              <w:jc w:val="both"/>
              <w:rPr>
                <w:rFonts w:eastAsia="Times New Roman"/>
                <w:noProof/>
                <w:color w:val="000000"/>
              </w:rPr>
            </w:pPr>
            <w:r>
              <w:rPr>
                <w:noProof/>
              </w:rPr>
              <w:t xml:space="preserve">Splošna sklepna ugotovitev je, da </w:t>
            </w:r>
            <w:r>
              <w:rPr>
                <w:noProof/>
                <w:color w:val="000000"/>
              </w:rPr>
              <w:t xml:space="preserve">so cilji direktive o avdiovizualnih medijskih storitvah še vedno relevantni. </w:t>
            </w:r>
          </w:p>
          <w:p>
            <w:pPr>
              <w:jc w:val="both"/>
              <w:rPr>
                <w:noProof/>
              </w:rPr>
            </w:pPr>
            <w:r>
              <w:rPr>
                <w:noProof/>
              </w:rPr>
              <w:t>Ocena REFIT je opredelila tri glavne sklope težav:</w:t>
            </w:r>
          </w:p>
          <w:p>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nezadostna zaščita mladoletnikov in potrošnikov pri gledanju videov na platformah za izmenjavo videov; </w:t>
            </w:r>
          </w:p>
          <w:p>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 xml:space="preserve">pomanjkanje enakih konkurenčnih pogojev med tradicionalnim razširjanjem televizijskih programov in storitvami na zahtevo ter pomanjkljivosti notranjega trga, ki izhajajo iz nezadostne natančnosti nekaterih pravil direktive o avdiovizualnih medijskih storitvah;  </w:t>
            </w:r>
          </w:p>
          <w:p>
            <w:pPr>
              <w:pStyle w:val="ListParagraph"/>
              <w:numPr>
                <w:ilvl w:val="0"/>
                <w:numId w:val="2"/>
              </w:numPr>
              <w:spacing w:line="240" w:lineRule="auto"/>
              <w:jc w:val="both"/>
              <w:rPr>
                <w:rFonts w:ascii="Times New Roman" w:hAnsi="Times New Roman" w:cs="Times New Roman"/>
                <w:noProof/>
                <w:sz w:val="24"/>
                <w:szCs w:val="24"/>
              </w:rPr>
            </w:pPr>
            <w:r>
              <w:rPr>
                <w:rFonts w:ascii="Times New Roman" w:hAnsi="Times New Roman"/>
                <w:noProof/>
                <w:sz w:val="24"/>
              </w:rPr>
              <w:t>pravila o komercialnih sporočilih niso več primerna za svoj namen.</w:t>
            </w:r>
          </w:p>
          <w:p>
            <w:pPr>
              <w:spacing w:after="120"/>
              <w:jc w:val="both"/>
              <w:rPr>
                <w:b/>
                <w:i/>
                <w:noProof/>
              </w:rPr>
            </w:pPr>
            <w:r>
              <w:rPr>
                <w:noProof/>
                <w:color w:val="000000"/>
              </w:rPr>
              <w:t>Sklepna ugotovitev ocene REFIT je tudi bila, da obstaja prostor za  poenostavitve, zlasti postopkov, ki podpirajo uporabo načela države izvora, in nekaterih pravil za komercialna sporočila.</w:t>
            </w:r>
          </w:p>
        </w:tc>
      </w:tr>
      <w:tr>
        <w:tc>
          <w:tcPr>
            <w:tcW w:w="9889" w:type="dxa"/>
            <w:tcBorders>
              <w:right w:val="single" w:sz="4" w:space="0" w:color="auto"/>
            </w:tcBorders>
            <w:shd w:val="clear" w:color="auto" w:fill="E6E6E6"/>
            <w:vAlign w:val="center"/>
          </w:tcPr>
          <w:p>
            <w:pPr>
              <w:rPr>
                <w:b/>
                <w:noProof/>
              </w:rPr>
            </w:pPr>
            <w:r>
              <w:rPr>
                <w:b/>
                <w:noProof/>
              </w:rPr>
              <w:t>Kaj bi bilo treba doseči?</w:t>
            </w:r>
          </w:p>
        </w:tc>
      </w:tr>
      <w:tr>
        <w:tc>
          <w:tcPr>
            <w:tcW w:w="9889" w:type="dxa"/>
            <w:tcBorders>
              <w:right w:val="single" w:sz="4" w:space="0" w:color="auto"/>
            </w:tcBorders>
            <w:shd w:val="clear" w:color="auto" w:fill="auto"/>
            <w:vAlign w:val="center"/>
          </w:tcPr>
          <w:p>
            <w:pPr>
              <w:jc w:val="both"/>
              <w:rPr>
                <w:rFonts w:eastAsia="Times New Roman"/>
                <w:bCs/>
                <w:noProof/>
              </w:rPr>
            </w:pPr>
            <w:r>
              <w:rPr>
                <w:noProof/>
              </w:rPr>
              <w:t>Glavni cilji so:</w:t>
            </w:r>
          </w:p>
          <w:p>
            <w:pPr>
              <w:pStyle w:val="ListParagraph"/>
              <w:numPr>
                <w:ilvl w:val="0"/>
                <w:numId w:val="15"/>
              </w:numPr>
              <w:spacing w:after="0" w:line="240" w:lineRule="auto"/>
              <w:jc w:val="both"/>
              <w:rPr>
                <w:rFonts w:ascii="Times New Roman" w:hAnsi="Times New Roman" w:cs="Times New Roman"/>
                <w:noProof/>
                <w:sz w:val="24"/>
                <w:szCs w:val="24"/>
              </w:rPr>
            </w:pPr>
            <w:r>
              <w:rPr>
                <w:rFonts w:ascii="Times New Roman" w:hAnsi="Times New Roman"/>
                <w:noProof/>
                <w:sz w:val="24"/>
              </w:rPr>
              <w:t xml:space="preserve">okrepiti zaščito potrošnikov in mladoletnikov; </w:t>
            </w:r>
          </w:p>
          <w:p>
            <w:pPr>
              <w:pStyle w:val="ListParagraph"/>
              <w:numPr>
                <w:ilvl w:val="0"/>
                <w:numId w:val="15"/>
              </w:numPr>
              <w:spacing w:after="0" w:line="240" w:lineRule="auto"/>
              <w:jc w:val="both"/>
              <w:rPr>
                <w:rFonts w:ascii="Times New Roman" w:hAnsi="Times New Roman" w:cs="Times New Roman"/>
                <w:noProof/>
              </w:rPr>
            </w:pPr>
            <w:r>
              <w:rPr>
                <w:rFonts w:ascii="Times New Roman" w:hAnsi="Times New Roman"/>
                <w:noProof/>
                <w:sz w:val="24"/>
              </w:rPr>
              <w:t>zagotoviti enake konkurenčne pogoje, ohraniti celovitost notranjega trga in okrepiti pravno varnost;</w:t>
            </w:r>
          </w:p>
          <w:p>
            <w:pPr>
              <w:pStyle w:val="ListParagraph"/>
              <w:numPr>
                <w:ilvl w:val="0"/>
                <w:numId w:val="15"/>
              </w:numPr>
              <w:spacing w:after="0" w:line="240" w:lineRule="auto"/>
              <w:jc w:val="both"/>
              <w:rPr>
                <w:rFonts w:ascii="Times New Roman" w:hAnsi="Times New Roman" w:cs="Times New Roman"/>
                <w:noProof/>
              </w:rPr>
            </w:pPr>
            <w:r>
              <w:rPr>
                <w:rFonts w:ascii="Times New Roman" w:hAnsi="Times New Roman"/>
                <w:noProof/>
              </w:rPr>
              <w:t>poenostaviti zakonodajni okvir.</w:t>
            </w:r>
          </w:p>
        </w:tc>
      </w:tr>
      <w:tr>
        <w:trPr>
          <w:trHeight w:val="351"/>
        </w:trPr>
        <w:tc>
          <w:tcPr>
            <w:tcW w:w="9889" w:type="dxa"/>
            <w:tcBorders>
              <w:right w:val="single" w:sz="4" w:space="0" w:color="auto"/>
            </w:tcBorders>
            <w:shd w:val="clear" w:color="auto" w:fill="E6E6E6"/>
            <w:vAlign w:val="center"/>
          </w:tcPr>
          <w:p>
            <w:pPr>
              <w:rPr>
                <w:b/>
                <w:noProof/>
              </w:rPr>
            </w:pPr>
            <w:r>
              <w:rPr>
                <w:b/>
                <w:noProof/>
              </w:rPr>
              <w:t>Kakšna je dodana vrednost ukrepanja na ravni EU?</w:t>
            </w:r>
          </w:p>
        </w:tc>
      </w:tr>
      <w:tr>
        <w:tc>
          <w:tcPr>
            <w:tcW w:w="9889" w:type="dxa"/>
            <w:tcBorders>
              <w:right w:val="single" w:sz="4" w:space="0" w:color="auto"/>
            </w:tcBorders>
            <w:shd w:val="clear" w:color="auto" w:fill="auto"/>
            <w:vAlign w:val="center"/>
          </w:tcPr>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jc w:val="both"/>
              <w:rPr>
                <w:rFonts w:eastAsia="Times New Roman"/>
                <w:bCs/>
                <w:noProof/>
                <w:color w:val="000000"/>
              </w:rPr>
            </w:pPr>
            <w:r>
              <w:rPr>
                <w:noProof/>
                <w:color w:val="000000"/>
              </w:rPr>
              <w:t xml:space="preserve">Direktiva o avdiovizualnih medijskih storitvah je regulativni okvir, na katerem temelji enotni evropski avdiovizualni trg. Razvoj storitev na zahtevo in platform za izmenjavo videov ter s tem povezani, spreminjajoči se vzorci gledanja in tveganja so pojav, ki vpliva na vse države članice. </w:t>
            </w:r>
          </w:p>
          <w:p>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40"/>
              <w:jc w:val="both"/>
              <w:rPr>
                <w:b/>
                <w:i/>
                <w:noProof/>
              </w:rPr>
            </w:pPr>
            <w:r>
              <w:rPr>
                <w:noProof/>
                <w:color w:val="000000"/>
              </w:rPr>
              <w:t xml:space="preserve">Prihodnji pregled direktive o avdiovizualnih medijskih storitvah naj bi bila skladen z načelom subsidiarnosti in sorazmernosti, pri čemer se ohranja pristop harmonizacije in mehanizmov sodelovanja, ki državam članicam omogočajo upoštevanje nacionalnih posebnosti. </w:t>
            </w:r>
          </w:p>
        </w:tc>
      </w:tr>
      <w:tr>
        <w:trPr>
          <w:trHeight w:val="338"/>
        </w:trPr>
        <w:tc>
          <w:tcPr>
            <w:tcW w:w="9889" w:type="dxa"/>
            <w:tcBorders>
              <w:right w:val="single" w:sz="4" w:space="0" w:color="auto"/>
            </w:tcBorders>
            <w:shd w:val="clear" w:color="auto" w:fill="0000FF"/>
            <w:vAlign w:val="center"/>
          </w:tcPr>
          <w:p>
            <w:pPr>
              <w:jc w:val="center"/>
              <w:rPr>
                <w:b/>
                <w:noProof/>
              </w:rPr>
            </w:pPr>
            <w:r>
              <w:rPr>
                <w:b/>
                <w:noProof/>
              </w:rPr>
              <w:t>B. Rešitve</w:t>
            </w:r>
          </w:p>
        </w:tc>
      </w:tr>
      <w:tr>
        <w:tc>
          <w:tcPr>
            <w:tcW w:w="9889" w:type="dxa"/>
            <w:tcBorders>
              <w:right w:val="single" w:sz="4" w:space="0" w:color="auto"/>
            </w:tcBorders>
            <w:shd w:val="clear" w:color="auto" w:fill="E6E6E6"/>
            <w:vAlign w:val="center"/>
          </w:tcPr>
          <w:p>
            <w:pPr>
              <w:rPr>
                <w:b/>
                <w:noProof/>
              </w:rPr>
            </w:pPr>
            <w:r>
              <w:rPr>
                <w:b/>
                <w:noProof/>
              </w:rPr>
              <w:t>Katere so različne možnosti za dosego ciljev? Ali obstaja najprimernejša možnost ali ne? Če ne, zakaj?</w:t>
            </w:r>
          </w:p>
        </w:tc>
      </w:tr>
      <w:tr>
        <w:tc>
          <w:tcPr>
            <w:tcW w:w="9889" w:type="dxa"/>
            <w:tcBorders>
              <w:right w:val="single" w:sz="4" w:space="0" w:color="auto"/>
            </w:tcBorders>
            <w:shd w:val="clear" w:color="auto" w:fill="auto"/>
            <w:vAlign w:val="center"/>
          </w:tcPr>
          <w:p>
            <w:pPr>
              <w:spacing w:after="120"/>
              <w:jc w:val="both"/>
              <w:rPr>
                <w:rFonts w:eastAsia="Times New Roman"/>
                <w:bCs/>
                <w:noProof/>
                <w:color w:val="000000"/>
              </w:rPr>
            </w:pPr>
            <w:r>
              <w:rPr>
                <w:noProof/>
                <w:color w:val="000000"/>
              </w:rPr>
              <w:t>Možnosti so razvrščene v skupine glede na določeno težavo, ki jo nameravajo v prvi vrsti obravnavati. V vsakem razdelku je poudarjena najprimernejša možnost.</w:t>
            </w:r>
          </w:p>
          <w:p>
            <w:pPr>
              <w:pStyle w:val="ListParagraph"/>
              <w:numPr>
                <w:ilvl w:val="0"/>
                <w:numId w:val="8"/>
              </w:numPr>
              <w:spacing w:after="0"/>
              <w:jc w:val="both"/>
              <w:rPr>
                <w:rFonts w:ascii="Times New Roman" w:hAnsi="Times New Roman" w:cs="Times New Roman"/>
                <w:b/>
                <w:noProof/>
                <w:sz w:val="24"/>
                <w:szCs w:val="24"/>
              </w:rPr>
            </w:pPr>
            <w:r>
              <w:rPr>
                <w:rFonts w:ascii="Times New Roman" w:hAnsi="Times New Roman"/>
                <w:b/>
                <w:noProof/>
                <w:sz w:val="24"/>
              </w:rPr>
              <w:t>Možnosti, ki obravnavajo vprašanje nezadostne zaščite mladoletnikov in potrošnikov na platformah za izmenjavo videov</w:t>
            </w:r>
          </w:p>
          <w:p>
            <w:pPr>
              <w:jc w:val="both"/>
              <w:rPr>
                <w:rFonts w:eastAsia="Times New Roman"/>
                <w:bCs/>
                <w:noProof/>
                <w:color w:val="000000"/>
              </w:rPr>
            </w:pPr>
            <w:r>
              <w:rPr>
                <w:noProof/>
                <w:color w:val="000000"/>
                <w:u w:val="single"/>
              </w:rPr>
              <w:t>Možnost A</w:t>
            </w:r>
            <w:r>
              <w:rPr>
                <w:noProof/>
                <w:color w:val="000000"/>
              </w:rPr>
              <w:t xml:space="preserve"> spodbuja samourejanje za zaščito mladoletnikov in potrošnikov na platformah za izmenjavo videov.</w:t>
            </w:r>
          </w:p>
          <w:p>
            <w:pPr>
              <w:jc w:val="both"/>
              <w:rPr>
                <w:rFonts w:eastAsia="Times New Roman"/>
                <w:bCs/>
                <w:noProof/>
                <w:color w:val="000000"/>
              </w:rPr>
            </w:pPr>
            <w:r>
              <w:rPr>
                <w:noProof/>
                <w:color w:val="000000"/>
                <w:highlight w:val="lightGray"/>
                <w:u w:val="single"/>
                <w:shd w:val="clear" w:color="auto" w:fill="D9D9D9" w:themeFill="background1" w:themeFillShade="D9"/>
              </w:rPr>
              <w:t>Možnost B</w:t>
            </w:r>
            <w:r>
              <w:rPr>
                <w:noProof/>
                <w:color w:val="000000"/>
                <w:highlight w:val="lightGray"/>
                <w:shd w:val="clear" w:color="auto" w:fill="D9D9D9" w:themeFill="background1" w:themeFillShade="D9"/>
              </w:rPr>
              <w:t xml:space="preserve"> </w:t>
            </w:r>
            <w:r>
              <w:rPr>
                <w:noProof/>
                <w:color w:val="000000"/>
                <w:shd w:val="clear" w:color="auto" w:fill="D9D9D9" w:themeFill="background1" w:themeFillShade="D9"/>
              </w:rPr>
              <w:t>nalaga obveznost ustreznega ukrepanja v zvezi s platformami za izmenjavo videov za zaščito mladoletnikov in boj proti sovražnemu govoru, ki bi se izvajala na podlagi sourejanja</w:t>
            </w:r>
            <w:r>
              <w:rPr>
                <w:noProof/>
                <w:color w:val="000000"/>
                <w:highlight w:val="lightGray"/>
                <w:shd w:val="clear" w:color="auto" w:fill="D9D9D9" w:themeFill="background1" w:themeFillShade="D9"/>
              </w:rPr>
              <w:t>.</w:t>
            </w:r>
            <w:r>
              <w:rPr>
                <w:noProof/>
                <w:color w:val="000000"/>
              </w:rPr>
              <w:t xml:space="preserve"> </w:t>
            </w:r>
          </w:p>
          <w:p>
            <w:pPr>
              <w:jc w:val="both"/>
              <w:rPr>
                <w:rFonts w:eastAsia="Times New Roman"/>
                <w:bCs/>
                <w:noProof/>
                <w:color w:val="000000"/>
                <w:sz w:val="12"/>
                <w:szCs w:val="12"/>
              </w:rPr>
            </w:pPr>
          </w:p>
          <w:p>
            <w:pPr>
              <w:pStyle w:val="ListParagraph"/>
              <w:numPr>
                <w:ilvl w:val="0"/>
                <w:numId w:val="8"/>
              </w:numPr>
              <w:spacing w:after="0"/>
              <w:jc w:val="both"/>
              <w:rPr>
                <w:rFonts w:ascii="Times New Roman" w:hAnsi="Times New Roman" w:cs="Times New Roman"/>
                <w:b/>
                <w:noProof/>
                <w:sz w:val="24"/>
                <w:szCs w:val="24"/>
              </w:rPr>
            </w:pPr>
            <w:r>
              <w:rPr>
                <w:rFonts w:ascii="Times New Roman" w:hAnsi="Times New Roman"/>
                <w:b/>
                <w:noProof/>
                <w:sz w:val="24"/>
              </w:rPr>
              <w:t>Možnosti, ki obravnavajo vprašanje pomanjkanja enakih konkurenčnih pogojev in pomanjkljivosti notranjega trga</w:t>
            </w:r>
          </w:p>
          <w:p>
            <w:pPr>
              <w:pStyle w:val="ListParagraph"/>
              <w:spacing w:after="0"/>
              <w:jc w:val="both"/>
              <w:rPr>
                <w:rFonts w:ascii="Times New Roman" w:hAnsi="Times New Roman" w:cs="Times New Roman"/>
                <w:b/>
                <w:noProof/>
                <w:sz w:val="24"/>
                <w:szCs w:val="24"/>
              </w:rPr>
            </w:pPr>
            <w:r>
              <w:rPr>
                <w:rFonts w:ascii="Times New Roman" w:hAnsi="Times New Roman"/>
                <w:b/>
                <w:noProof/>
                <w:sz w:val="24"/>
              </w:rPr>
              <w:t>a) Spodbujanje evropskih del</w:t>
            </w:r>
          </w:p>
          <w:p>
            <w:pPr>
              <w:jc w:val="both"/>
              <w:rPr>
                <w:rFonts w:eastAsia="Times New Roman"/>
                <w:bCs/>
                <w:noProof/>
                <w:color w:val="000000"/>
              </w:rPr>
            </w:pPr>
            <w:r>
              <w:rPr>
                <w:noProof/>
                <w:color w:val="000000"/>
                <w:u w:val="single"/>
              </w:rPr>
              <w:t>Možnost A</w:t>
            </w:r>
            <w:r>
              <w:rPr>
                <w:noProof/>
                <w:color w:val="000000"/>
              </w:rPr>
              <w:t xml:space="preserve"> zagotavlja več prilagodljivosti tako za razširjanje televizijskih programov kot storitve na zahtevo v okviru načina izvajanja obveznosti spodbujanja evropskih del. </w:t>
            </w:r>
          </w:p>
          <w:p>
            <w:pPr>
              <w:jc w:val="both"/>
              <w:rPr>
                <w:rFonts w:eastAsia="Times New Roman"/>
                <w:bCs/>
                <w:noProof/>
                <w:color w:val="000000"/>
              </w:rPr>
            </w:pPr>
            <w:r>
              <w:rPr>
                <w:noProof/>
                <w:color w:val="000000"/>
                <w:highlight w:val="lightGray"/>
                <w:u w:val="single"/>
              </w:rPr>
              <w:t>Možnost B</w:t>
            </w:r>
            <w:r>
              <w:rPr>
                <w:noProof/>
                <w:color w:val="000000"/>
                <w:highlight w:val="lightGray"/>
              </w:rPr>
              <w:t xml:space="preserve"> ohranja sedanje stanje za razširjanje televizijskih programov in krepi pravila za ponudnike storitev na zahtevo.</w:t>
            </w:r>
          </w:p>
          <w:p>
            <w:pPr>
              <w:pStyle w:val="ListParagraph"/>
              <w:spacing w:after="0"/>
              <w:jc w:val="both"/>
              <w:rPr>
                <w:rFonts w:ascii="Times New Roman" w:hAnsi="Times New Roman" w:cs="Times New Roman"/>
                <w:b/>
                <w:noProof/>
                <w:sz w:val="24"/>
                <w:szCs w:val="24"/>
              </w:rPr>
            </w:pPr>
            <w:r>
              <w:rPr>
                <w:rFonts w:ascii="Times New Roman" w:hAnsi="Times New Roman"/>
                <w:b/>
                <w:noProof/>
                <w:sz w:val="24"/>
              </w:rPr>
              <w:t>b) Zaščita mladoletnikov pri storitvah na zahtevo</w:t>
            </w:r>
          </w:p>
          <w:p>
            <w:pPr>
              <w:pStyle w:val="ListParagraph"/>
              <w:spacing w:after="0"/>
              <w:ind w:left="0"/>
              <w:jc w:val="both"/>
              <w:rPr>
                <w:rFonts w:ascii="Times New Roman" w:hAnsi="Times New Roman" w:cs="Times New Roman"/>
                <w:bCs/>
                <w:noProof/>
                <w:sz w:val="24"/>
                <w:szCs w:val="24"/>
                <w:shd w:val="clear" w:color="auto" w:fill="D9D9D9" w:themeFill="background1" w:themeFillShade="D9"/>
              </w:rPr>
            </w:pPr>
            <w:r>
              <w:rPr>
                <w:rFonts w:ascii="Times New Roman" w:hAnsi="Times New Roman"/>
                <w:noProof/>
                <w:sz w:val="24"/>
                <w:u w:val="single"/>
                <w:shd w:val="clear" w:color="auto" w:fill="D9D9D9" w:themeFill="background1" w:themeFillShade="D9"/>
              </w:rPr>
              <w:t>Možnost A</w:t>
            </w:r>
            <w:r>
              <w:rPr>
                <w:rFonts w:ascii="Times New Roman" w:hAnsi="Times New Roman"/>
                <w:noProof/>
                <w:sz w:val="24"/>
                <w:shd w:val="clear" w:color="auto" w:fill="D9D9D9" w:themeFill="background1" w:themeFillShade="D9"/>
              </w:rPr>
              <w:t xml:space="preserve"> krepi raven zaščite mladoletnikov za avdiovizualne medijske storitve na zahtevo, poenostavlja pojem škodljive vsebine in spodbuja sourejanje EU v zvezi z deskriptorji vsebine.</w:t>
            </w:r>
          </w:p>
          <w:p>
            <w:pPr>
              <w:pStyle w:val="ListParagraph"/>
              <w:spacing w:after="0"/>
              <w:jc w:val="both"/>
              <w:rPr>
                <w:rFonts w:ascii="Times New Roman" w:hAnsi="Times New Roman" w:cs="Times New Roman"/>
                <w:b/>
                <w:noProof/>
                <w:sz w:val="24"/>
                <w:szCs w:val="24"/>
              </w:rPr>
            </w:pPr>
            <w:r>
              <w:rPr>
                <w:rFonts w:ascii="Times New Roman" w:hAnsi="Times New Roman"/>
                <w:b/>
                <w:noProof/>
                <w:sz w:val="24"/>
              </w:rPr>
              <w:t>c) Načelo države izvora</w:t>
            </w:r>
          </w:p>
          <w:p>
            <w:pPr>
              <w:pStyle w:val="ListParagraph"/>
              <w:spacing w:after="0"/>
              <w:ind w:left="0"/>
              <w:jc w:val="both"/>
              <w:rPr>
                <w:rFonts w:ascii="Times New Roman" w:hAnsi="Times New Roman" w:cs="Times New Roman"/>
                <w:bCs/>
                <w:noProof/>
                <w:sz w:val="24"/>
                <w:szCs w:val="24"/>
                <w:u w:val="single"/>
                <w:shd w:val="clear" w:color="auto" w:fill="D9D9D9" w:themeFill="background1" w:themeFillShade="D9"/>
              </w:rPr>
            </w:pPr>
            <w:r>
              <w:rPr>
                <w:rFonts w:ascii="Times New Roman" w:hAnsi="Times New Roman"/>
                <w:noProof/>
                <w:sz w:val="24"/>
                <w:u w:val="single"/>
                <w:shd w:val="clear" w:color="auto" w:fill="D9D9D9" w:themeFill="background1" w:themeFillShade="D9"/>
              </w:rPr>
              <w:t>Možnost A</w:t>
            </w:r>
            <w:r>
              <w:rPr>
                <w:rFonts w:ascii="Times New Roman" w:hAnsi="Times New Roman"/>
                <w:noProof/>
                <w:sz w:val="24"/>
                <w:shd w:val="clear" w:color="auto" w:fill="D9D9D9" w:themeFill="background1" w:themeFillShade="D9"/>
              </w:rPr>
              <w:t xml:space="preserve"> poenostavlja in izboljšuje pravila o pristojnosti ter postopke sodelovanja.</w:t>
            </w:r>
          </w:p>
          <w:p>
            <w:pPr>
              <w:pStyle w:val="ListParagraph"/>
              <w:spacing w:after="0"/>
              <w:jc w:val="both"/>
              <w:rPr>
                <w:rFonts w:ascii="Times New Roman" w:hAnsi="Times New Roman" w:cs="Times New Roman"/>
                <w:b/>
                <w:noProof/>
                <w:sz w:val="24"/>
                <w:szCs w:val="24"/>
              </w:rPr>
            </w:pPr>
            <w:r>
              <w:rPr>
                <w:rFonts w:ascii="Times New Roman" w:hAnsi="Times New Roman"/>
                <w:b/>
                <w:noProof/>
                <w:sz w:val="24"/>
              </w:rPr>
              <w:t>d) Neodvisnost regulatorjev</w:t>
            </w:r>
          </w:p>
          <w:p>
            <w:pPr>
              <w:pStyle w:val="ListParagraph"/>
              <w:spacing w:after="0"/>
              <w:ind w:left="0"/>
              <w:jc w:val="both"/>
              <w:rPr>
                <w:rFonts w:ascii="Times New Roman" w:hAnsi="Times New Roman" w:cs="Times New Roman"/>
                <w:noProof/>
                <w:sz w:val="24"/>
                <w:szCs w:val="24"/>
                <w:shd w:val="clear" w:color="auto" w:fill="D9D9D9" w:themeFill="background1" w:themeFillShade="D9"/>
              </w:rPr>
            </w:pPr>
            <w:r>
              <w:rPr>
                <w:rFonts w:ascii="Times New Roman" w:hAnsi="Times New Roman"/>
                <w:noProof/>
                <w:sz w:val="24"/>
                <w:u w:val="single"/>
                <w:shd w:val="clear" w:color="auto" w:fill="D9D9D9" w:themeFill="background1" w:themeFillShade="D9"/>
              </w:rPr>
              <w:t>Možnost A</w:t>
            </w:r>
            <w:r>
              <w:rPr>
                <w:rFonts w:ascii="Times New Roman" w:hAnsi="Times New Roman"/>
                <w:noProof/>
                <w:sz w:val="24"/>
                <w:shd w:val="clear" w:color="auto" w:fill="D9D9D9" w:themeFill="background1" w:themeFillShade="D9"/>
              </w:rPr>
              <w:t xml:space="preserve"> zahteva od držav članic, da imajo neodvisen regulativni organ, in določa več zahtev, ki podpirajo neodvisnost in učinkovitost takih organov. Vloga skupine ERGA v zvezi z usklajevanjem in svetovanjem je okrepljena in vključena v direktivo o avdiovizualnih medijskih storitvah.</w:t>
            </w:r>
          </w:p>
          <w:p>
            <w:pPr>
              <w:pStyle w:val="ListParagraph"/>
              <w:numPr>
                <w:ilvl w:val="0"/>
                <w:numId w:val="8"/>
              </w:numPr>
              <w:spacing w:after="0"/>
              <w:jc w:val="both"/>
              <w:rPr>
                <w:b/>
                <w:noProof/>
                <w:sz w:val="24"/>
                <w:szCs w:val="24"/>
              </w:rPr>
            </w:pPr>
            <w:r>
              <w:rPr>
                <w:rFonts w:ascii="Times New Roman" w:hAnsi="Times New Roman"/>
                <w:b/>
                <w:noProof/>
                <w:sz w:val="24"/>
              </w:rPr>
              <w:t>Možnost, ki obravnava vprašanje pravil o komercialnih sporočilih, ki ne služijo več svojemu namenu</w:t>
            </w:r>
          </w:p>
          <w:p>
            <w:pPr>
              <w:pStyle w:val="Body"/>
              <w:rPr>
                <w:b/>
                <w:noProof/>
              </w:rPr>
            </w:pPr>
            <w:r>
              <w:rPr>
                <w:rStyle w:val="None"/>
                <w:noProof/>
                <w:highlight w:val="lightGray"/>
                <w:u w:val="single"/>
              </w:rPr>
              <w:t>Možnost A</w:t>
            </w:r>
            <w:r>
              <w:rPr>
                <w:rStyle w:val="None"/>
                <w:noProof/>
                <w:highlight w:val="lightGray"/>
              </w:rPr>
              <w:t xml:space="preserve"> omogoča večjo prožnost nekaterih pravil za avdiovizualna komercialna sporočila.</w:t>
            </w:r>
          </w:p>
        </w:tc>
      </w:tr>
      <w:tr>
        <w:tc>
          <w:tcPr>
            <w:tcW w:w="9889" w:type="dxa"/>
            <w:tcBorders>
              <w:right w:val="single" w:sz="4" w:space="0" w:color="auto"/>
            </w:tcBorders>
            <w:shd w:val="clear" w:color="auto" w:fill="F2F2F2" w:themeFill="background1" w:themeFillShade="F2"/>
            <w:vAlign w:val="center"/>
          </w:tcPr>
          <w:p>
            <w:pPr>
              <w:rPr>
                <w:b/>
                <w:noProof/>
              </w:rPr>
            </w:pPr>
            <w:r>
              <w:rPr>
                <w:b/>
                <w:noProof/>
              </w:rPr>
              <w:t>Kdo so različne zainteresirane strani? Kdo podpira katero možnost?</w:t>
            </w:r>
          </w:p>
        </w:tc>
      </w:tr>
      <w:tr>
        <w:tc>
          <w:tcPr>
            <w:tcW w:w="9889" w:type="dxa"/>
            <w:tcBorders>
              <w:right w:val="single" w:sz="4" w:space="0" w:color="auto"/>
            </w:tcBorders>
            <w:shd w:val="clear" w:color="auto" w:fill="auto"/>
            <w:vAlign w:val="center"/>
          </w:tcPr>
          <w:p>
            <w:pPr>
              <w:jc w:val="both"/>
              <w:rPr>
                <w:rFonts w:eastAsia="Times New Roman"/>
                <w:bCs/>
                <w:noProof/>
                <w:color w:val="000000"/>
              </w:rPr>
            </w:pPr>
            <w:r>
              <w:rPr>
                <w:noProof/>
                <w:color w:val="000000"/>
              </w:rPr>
              <w:t>Zainteresirane strani, na katere bodo najbolj vplivale kakršne koli morebitne spremembe direktive o avdiovizualnih medijskih storitvah, so: nacionalni regulatorji, javni izdajatelji televizijskih programov, komercialni izdajatelji televizijskih programov, storitve na zahtevo (storitev časovno zamaknjene televizije, storitve videa na zahtevo, poročila/portali), platforme za izmenjavo videov (ki trenutno ne sodijo v področje uporabe direktive o avdiovizualnih medijskih storitvah), samoregulativne organizacije, potrošniki, vključno z mladoletniki, oglaševalci in oglaševalske agencije (zlasti v zvezi s komercialnimi sporočili) ter neodvisni producenti vsebine in distributerji (zlasti v zvezi s spodbujanjem evropskih del).</w:t>
            </w:r>
          </w:p>
          <w:p>
            <w:pPr>
              <w:spacing w:after="120"/>
              <w:jc w:val="both"/>
              <w:rPr>
                <w:noProof/>
              </w:rPr>
            </w:pPr>
            <w:r>
              <w:rPr>
                <w:noProof/>
              </w:rPr>
              <w:t>Glavni elementi, ki so bili na splošno ugotovljeni v vseh kategorijah zainteresiranih strani v zvezi z možnostmi prihodnje politike:</w:t>
            </w:r>
          </w:p>
          <w:p>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noProof/>
              </w:rPr>
            </w:pPr>
            <w:r>
              <w:rPr>
                <w:noProof/>
              </w:rPr>
              <w:t>zbliževanje mnenj med zainteresiranimi stranmi v zvezi s potrebo po morebitnih spremembah pravil o področju uporabe direktive, čeprav med zainteresiranimi stranmi ni bilo skupnega vzorca ali jasnosti glede prihodnjih ukrepov, ter neodvisnost nacionalnih regulatorjev;</w:t>
            </w:r>
          </w:p>
          <w:p>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tabs>
                <w:tab w:val="left" w:pos="4395"/>
              </w:tabs>
              <w:jc w:val="both"/>
              <w:rPr>
                <w:noProof/>
              </w:rPr>
            </w:pPr>
            <w:r>
              <w:rPr>
                <w:noProof/>
              </w:rPr>
              <w:t>podpora vseh zainteresiranih strani za ohranitev sedanjega stanja v zvezi z načelom države izvora; obveznost prenosa/najdljivost; dostopnost za invalide; pomembni dogodki za družbo, kratka poročila in pravica do odgovora;</w:t>
            </w:r>
          </w:p>
          <w:p>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b/>
                <w:i/>
                <w:noProof/>
              </w:rPr>
            </w:pPr>
            <w:r>
              <w:rPr>
                <w:noProof/>
              </w:rPr>
              <w:t>med zainteresiranimi stranmi ni bilo jasnega soglasja o komercialnih sporočilih, zaščiti mladoletnikov ali spodbujanju evropskih del.</w:t>
            </w:r>
          </w:p>
        </w:tc>
      </w:tr>
      <w:tr>
        <w:trPr>
          <w:trHeight w:val="338"/>
        </w:trPr>
        <w:tc>
          <w:tcPr>
            <w:tcW w:w="9889" w:type="dxa"/>
            <w:tcBorders>
              <w:right w:val="single" w:sz="4" w:space="0" w:color="auto"/>
            </w:tcBorders>
            <w:shd w:val="clear" w:color="auto" w:fill="0000FF"/>
            <w:vAlign w:val="center"/>
          </w:tcPr>
          <w:p>
            <w:pPr>
              <w:jc w:val="center"/>
              <w:rPr>
                <w:b/>
                <w:noProof/>
              </w:rPr>
            </w:pPr>
            <w:r>
              <w:rPr>
                <w:b/>
                <w:noProof/>
              </w:rPr>
              <w:t>C. Učinki najprimernejše možnosti</w:t>
            </w:r>
          </w:p>
        </w:tc>
      </w:tr>
      <w:tr>
        <w:tc>
          <w:tcPr>
            <w:tcW w:w="9889" w:type="dxa"/>
            <w:tcBorders>
              <w:right w:val="single" w:sz="4" w:space="0" w:color="auto"/>
            </w:tcBorders>
            <w:shd w:val="clear" w:color="auto" w:fill="E6E6E6"/>
            <w:vAlign w:val="center"/>
          </w:tcPr>
          <w:p>
            <w:pPr>
              <w:rPr>
                <w:b/>
                <w:noProof/>
              </w:rPr>
            </w:pPr>
            <w:r>
              <w:rPr>
                <w:b/>
                <w:noProof/>
              </w:rPr>
              <w:t xml:space="preserve">Katere so koristi najprimernejše možnosti (če obstaja, sicer glavnih možnosti)? </w:t>
            </w:r>
          </w:p>
        </w:tc>
      </w:tr>
      <w:tr>
        <w:tc>
          <w:tcPr>
            <w:tcW w:w="9889" w:type="dxa"/>
            <w:tcBorders>
              <w:right w:val="single" w:sz="4" w:space="0" w:color="auto"/>
            </w:tcBorders>
            <w:shd w:val="clear" w:color="auto" w:fill="auto"/>
            <w:vAlign w:val="center"/>
          </w:tcPr>
          <w:p>
            <w:pPr>
              <w:jc w:val="both"/>
              <w:rPr>
                <w:noProof/>
              </w:rPr>
            </w:pPr>
            <w:r>
              <w:rPr>
                <w:noProof/>
              </w:rPr>
              <w:t>Najprimernejša možnost je kombinacija poudarjenih možnosti v razdelku B. Glavne koristi so:</w:t>
            </w:r>
          </w:p>
          <w:p>
            <w:pPr>
              <w:numPr>
                <w:ilvl w:val="0"/>
                <w:numId w:val="13"/>
              </w:numPr>
              <w:jc w:val="both"/>
              <w:rPr>
                <w:noProof/>
              </w:rPr>
            </w:pPr>
            <w:r>
              <w:rPr>
                <w:noProof/>
              </w:rPr>
              <w:t>okrepitev zaščite mladoletnikov, vključno z uvedbo obveznosti zaščite pred vsebino, škodljivo za mladoletnike, in sovražnim govorom na platformah za izmenjavo videov;</w:t>
            </w:r>
          </w:p>
          <w:p>
            <w:pPr>
              <w:numPr>
                <w:ilvl w:val="0"/>
                <w:numId w:val="13"/>
              </w:numPr>
              <w:jc w:val="both"/>
              <w:rPr>
                <w:noProof/>
              </w:rPr>
            </w:pPr>
            <w:r>
              <w:rPr>
                <w:noProof/>
              </w:rPr>
              <w:t>zagotovitev prispevanja medijskih storitev h kulturni raznolikosti, ki je prilagojeno različnim poslovnim modelom;</w:t>
            </w:r>
          </w:p>
          <w:p>
            <w:pPr>
              <w:numPr>
                <w:ilvl w:val="0"/>
                <w:numId w:val="13"/>
              </w:numPr>
              <w:jc w:val="both"/>
              <w:rPr>
                <w:noProof/>
              </w:rPr>
            </w:pPr>
            <w:r>
              <w:rPr>
                <w:noProof/>
              </w:rPr>
              <w:t>odpravljanje pomanjkanja enakega obravnavanja med razširjanjem televizijskih programov in storitvami na zahtevo, tudi na področju zaščite mladoletnikov, spodbujanja evropskih del in komercialnih sporočil;</w:t>
            </w:r>
          </w:p>
          <w:p>
            <w:pPr>
              <w:numPr>
                <w:ilvl w:val="0"/>
                <w:numId w:val="13"/>
              </w:numPr>
              <w:jc w:val="both"/>
              <w:rPr>
                <w:noProof/>
              </w:rPr>
            </w:pPr>
            <w:r>
              <w:rPr>
                <w:noProof/>
              </w:rPr>
              <w:t>ohranjanje določene prožnosti pri načinu izvajanja direktive o avdiovizualnih medijskih storitvah v državah članicah ter omogočanje upoštevanja načela subsidiarnosti in nacionalnih posebnosti;</w:t>
            </w:r>
          </w:p>
          <w:p>
            <w:pPr>
              <w:numPr>
                <w:ilvl w:val="0"/>
                <w:numId w:val="13"/>
              </w:numPr>
              <w:jc w:val="both"/>
              <w:rPr>
                <w:noProof/>
              </w:rPr>
            </w:pPr>
            <w:r>
              <w:rPr>
                <w:noProof/>
              </w:rPr>
              <w:t>izboljšanje izvajanja direktive.</w:t>
            </w:r>
          </w:p>
        </w:tc>
      </w:tr>
      <w:tr>
        <w:tc>
          <w:tcPr>
            <w:tcW w:w="9889" w:type="dxa"/>
            <w:tcBorders>
              <w:right w:val="single" w:sz="4" w:space="0" w:color="auto"/>
            </w:tcBorders>
            <w:shd w:val="clear" w:color="auto" w:fill="E6E6E6"/>
            <w:vAlign w:val="center"/>
          </w:tcPr>
          <w:p>
            <w:pPr>
              <w:rPr>
                <w:b/>
                <w:noProof/>
              </w:rPr>
            </w:pPr>
            <w:r>
              <w:rPr>
                <w:b/>
                <w:noProof/>
              </w:rPr>
              <w:t>Kakšni so stroški prednostne možnosti (če obstaja, sicer glavnih možnosti)?</w:t>
            </w:r>
          </w:p>
        </w:tc>
      </w:tr>
      <w:tr>
        <w:tc>
          <w:tcPr>
            <w:tcW w:w="9889" w:type="dxa"/>
            <w:tcBorders>
              <w:right w:val="single" w:sz="4" w:space="0" w:color="auto"/>
            </w:tcBorders>
            <w:shd w:val="clear" w:color="auto" w:fill="auto"/>
            <w:vAlign w:val="center"/>
          </w:tcPr>
          <w:p>
            <w:pPr>
              <w:jc w:val="both"/>
              <w:rPr>
                <w:b/>
                <w:i/>
                <w:noProof/>
              </w:rPr>
            </w:pPr>
            <w:r>
              <w:rPr>
                <w:noProof/>
              </w:rPr>
              <w:t>Glavni stroški najprimernejše možnosti bi nastali za storitve na zahtevo in platforme za izmenjavo videov. Povezani bi bili predvsem z izvajanjem določb, katerih namen je okrepiti varstvo potrošnikov. Te stroške pa bi zmanjšalo dejstvo, da so nekatere države članice že uvedle strožja pravila in da so velike platforme za izmenjavo videov v skladu s svojo finančno politiko že prostovoljno ukrepale v zvezi z varstvom potrošnikov.</w:t>
            </w:r>
          </w:p>
        </w:tc>
      </w:tr>
      <w:tr>
        <w:tc>
          <w:tcPr>
            <w:tcW w:w="9889" w:type="dxa"/>
            <w:tcBorders>
              <w:right w:val="single" w:sz="4" w:space="0" w:color="auto"/>
            </w:tcBorders>
            <w:shd w:val="clear" w:color="auto" w:fill="E6E6E6"/>
            <w:vAlign w:val="center"/>
          </w:tcPr>
          <w:p>
            <w:pPr>
              <w:rPr>
                <w:b/>
                <w:noProof/>
              </w:rPr>
            </w:pPr>
            <w:r>
              <w:rPr>
                <w:b/>
                <w:noProof/>
              </w:rPr>
              <w:t>Ali bo prišlo do znatnih učinkov na nacionalne proračune in uprave?</w:t>
            </w:r>
          </w:p>
        </w:tc>
      </w:tr>
      <w:tr>
        <w:tc>
          <w:tcPr>
            <w:tcW w:w="9889" w:type="dxa"/>
            <w:tcBorders>
              <w:right w:val="single" w:sz="4" w:space="0" w:color="auto"/>
            </w:tcBorders>
            <w:shd w:val="clear" w:color="auto" w:fill="auto"/>
            <w:vAlign w:val="center"/>
          </w:tcPr>
          <w:p>
            <w:pPr>
              <w:jc w:val="both"/>
              <w:rPr>
                <w:b/>
                <w:i/>
                <w:noProof/>
              </w:rPr>
            </w:pPr>
            <w:r>
              <w:rPr>
                <w:noProof/>
              </w:rPr>
              <w:t>Glavni učinki na nacionalne proračune in uprave bi izhajali iz izvajanja sourejanja za zaščito mladoletnikov na platformah za izmenjavo videov ter uvedbe pravne zahteve v zvezi z neodvisnostjo nacionalnih regulativnih organov in minimalnega nabora značilnosti, ki jih morajo izpolnjevati regulatorji. V slednjem primeru bodo učinki odvisni od obstoječe ravni usklajenosti nacionalnih regulativnih organov z naborom značilnosti.</w:t>
            </w:r>
          </w:p>
        </w:tc>
      </w:tr>
      <w:tr>
        <w:tc>
          <w:tcPr>
            <w:tcW w:w="9889" w:type="dxa"/>
            <w:tcBorders>
              <w:right w:val="single" w:sz="4" w:space="0" w:color="auto"/>
            </w:tcBorders>
            <w:shd w:val="clear" w:color="auto" w:fill="E6E6E6"/>
            <w:vAlign w:val="center"/>
          </w:tcPr>
          <w:p>
            <w:pPr>
              <w:rPr>
                <w:b/>
                <w:noProof/>
              </w:rPr>
            </w:pPr>
            <w:r>
              <w:rPr>
                <w:b/>
                <w:noProof/>
              </w:rPr>
              <w:t>Ali bo prišlo do drugih znatnih učinkov?</w:t>
            </w:r>
          </w:p>
        </w:tc>
      </w:tr>
      <w:tr>
        <w:tc>
          <w:tcPr>
            <w:tcW w:w="9889" w:type="dxa"/>
            <w:tcBorders>
              <w:right w:val="single" w:sz="4" w:space="0" w:color="auto"/>
            </w:tcBorders>
            <w:shd w:val="clear" w:color="auto" w:fill="auto"/>
            <w:vAlign w:val="center"/>
          </w:tcPr>
          <w:p>
            <w:pPr>
              <w:rPr>
                <w:b/>
                <w:noProof/>
              </w:rPr>
            </w:pPr>
            <w:r>
              <w:rPr>
                <w:b/>
                <w:noProof/>
              </w:rPr>
              <w:t>Ne</w:t>
            </w:r>
          </w:p>
        </w:tc>
      </w:tr>
      <w:tr>
        <w:tc>
          <w:tcPr>
            <w:tcW w:w="9889" w:type="dxa"/>
            <w:tcBorders>
              <w:right w:val="single" w:sz="4" w:space="0" w:color="auto"/>
            </w:tcBorders>
            <w:shd w:val="clear" w:color="auto" w:fill="F2F2F2" w:themeFill="background1" w:themeFillShade="F2"/>
            <w:vAlign w:val="center"/>
          </w:tcPr>
          <w:p>
            <w:pPr>
              <w:rPr>
                <w:b/>
                <w:noProof/>
              </w:rPr>
            </w:pPr>
            <w:r>
              <w:rPr>
                <w:b/>
                <w:noProof/>
              </w:rPr>
              <w:t>Sorazmernost?</w:t>
            </w:r>
          </w:p>
        </w:tc>
      </w:tr>
      <w:tr>
        <w:tc>
          <w:tcPr>
            <w:tcW w:w="9889" w:type="dxa"/>
            <w:tcBorders>
              <w:right w:val="single" w:sz="4" w:space="0" w:color="auto"/>
            </w:tcBorders>
            <w:shd w:val="clear" w:color="auto" w:fill="auto"/>
            <w:vAlign w:val="center"/>
          </w:tcPr>
          <w:p>
            <w:pPr>
              <w:rPr>
                <w:noProof/>
              </w:rPr>
            </w:pPr>
            <w:r>
              <w:rPr>
                <w:noProof/>
              </w:rPr>
              <w:t>Minimalna harmonizacije direktive bo zagotovila sorazmernost ukrepov EU.</w:t>
            </w:r>
          </w:p>
        </w:tc>
      </w:tr>
      <w:tr>
        <w:trPr>
          <w:trHeight w:val="338"/>
        </w:trPr>
        <w:tc>
          <w:tcPr>
            <w:tcW w:w="9889" w:type="dxa"/>
            <w:tcBorders>
              <w:right w:val="single" w:sz="4" w:space="0" w:color="auto"/>
            </w:tcBorders>
            <w:shd w:val="clear" w:color="auto" w:fill="0000FF"/>
            <w:vAlign w:val="center"/>
          </w:tcPr>
          <w:p>
            <w:pPr>
              <w:jc w:val="center"/>
              <w:rPr>
                <w:b/>
                <w:noProof/>
              </w:rPr>
            </w:pPr>
            <w:r>
              <w:rPr>
                <w:b/>
                <w:noProof/>
              </w:rPr>
              <w:t>D. Spremljanje</w:t>
            </w:r>
          </w:p>
        </w:tc>
      </w:tr>
      <w:tr>
        <w:tc>
          <w:tcPr>
            <w:tcW w:w="9889" w:type="dxa"/>
            <w:tcBorders>
              <w:right w:val="single" w:sz="4" w:space="0" w:color="auto"/>
            </w:tcBorders>
            <w:shd w:val="clear" w:color="auto" w:fill="E6E6E6"/>
            <w:vAlign w:val="center"/>
          </w:tcPr>
          <w:p>
            <w:pPr>
              <w:rPr>
                <w:b/>
                <w:noProof/>
              </w:rPr>
            </w:pPr>
            <w:r>
              <w:rPr>
                <w:b/>
                <w:noProof/>
              </w:rPr>
              <w:t>Kdaj se bo politika pregledala?</w:t>
            </w:r>
          </w:p>
        </w:tc>
      </w:tr>
      <w:tr>
        <w:tc>
          <w:tcPr>
            <w:tcW w:w="9889" w:type="dxa"/>
            <w:tcBorders>
              <w:right w:val="single" w:sz="4" w:space="0" w:color="auto"/>
            </w:tcBorders>
            <w:shd w:val="clear" w:color="auto" w:fill="auto"/>
            <w:vAlign w:val="center"/>
          </w:tcPr>
          <w:p>
            <w:pPr>
              <w:jc w:val="both"/>
              <w:rPr>
                <w:noProof/>
              </w:rPr>
            </w:pPr>
            <w:r>
              <w:rPr>
                <w:noProof/>
              </w:rPr>
              <w:t>Stalno spremljanje bo zagotovljeno s poročanjem držav članic Komisiji ter poročanjem Komisije Evropskemu parlamentu, Svetu in Evropskemu ekonomsko-socialnemu odboru.</w:t>
            </w:r>
          </w:p>
        </w:tc>
      </w:tr>
    </w:tbl>
    <w:p>
      <w:pPr>
        <w:jc w:val="cente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AD6"/>
    <w:multiLevelType w:val="hybridMultilevel"/>
    <w:tmpl w:val="B4EC6802"/>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FD0CCF"/>
    <w:multiLevelType w:val="hybridMultilevel"/>
    <w:tmpl w:val="5AF8765A"/>
    <w:lvl w:ilvl="0" w:tplc="0B063BE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EE4226"/>
    <w:multiLevelType w:val="hybridMultilevel"/>
    <w:tmpl w:val="D680A046"/>
    <w:lvl w:ilvl="0" w:tplc="4412C506">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8773241"/>
    <w:multiLevelType w:val="hybridMultilevel"/>
    <w:tmpl w:val="3C30499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911969"/>
    <w:multiLevelType w:val="hybridMultilevel"/>
    <w:tmpl w:val="5AF8765A"/>
    <w:lvl w:ilvl="0" w:tplc="0B063BE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BE94ACC"/>
    <w:multiLevelType w:val="hybridMultilevel"/>
    <w:tmpl w:val="6F72F900"/>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A23C0F"/>
    <w:multiLevelType w:val="hybridMultilevel"/>
    <w:tmpl w:val="7A64AF26"/>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F2F3B3C"/>
    <w:multiLevelType w:val="hybridMultilevel"/>
    <w:tmpl w:val="6A8A8CB0"/>
    <w:lvl w:ilvl="0" w:tplc="CB5864D6">
      <w:numFmt w:val="bullet"/>
      <w:lvlText w:val="-"/>
      <w:lvlJc w:val="left"/>
      <w:pPr>
        <w:ind w:left="780" w:hanging="360"/>
      </w:pPr>
      <w:rPr>
        <w:rFonts w:ascii="Calibri" w:eastAsiaTheme="minorHAnsi" w:hAnsi="Calibri"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nsid w:val="52D16975"/>
    <w:multiLevelType w:val="hybridMultilevel"/>
    <w:tmpl w:val="00E81232"/>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3994A5D"/>
    <w:multiLevelType w:val="multilevel"/>
    <w:tmpl w:val="259A0B20"/>
    <w:styleLink w:val="List0"/>
    <w:lvl w:ilvl="0">
      <w:start w:val="1"/>
      <w:numFmt w:val="decimal"/>
      <w:lvlText w:val="%1."/>
      <w:lvlJc w:val="left"/>
      <w:pPr>
        <w:tabs>
          <w:tab w:val="num" w:pos="360"/>
        </w:tabs>
        <w:ind w:left="360" w:hanging="36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1">
      <w:start w:val="1"/>
      <w:numFmt w:val="lowerLetter"/>
      <w:lvlText w:val="%2."/>
      <w:lvlJc w:val="left"/>
      <w:pPr>
        <w:tabs>
          <w:tab w:val="num" w:pos="1020"/>
        </w:tabs>
        <w:ind w:left="102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2">
      <w:start w:val="1"/>
      <w:numFmt w:val="lowerRoman"/>
      <w:lvlText w:val="%3."/>
      <w:lvlJc w:val="left"/>
      <w:pPr>
        <w:tabs>
          <w:tab w:val="num" w:pos="1751"/>
        </w:tabs>
        <w:ind w:left="1751" w:hanging="247"/>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3">
      <w:start w:val="1"/>
      <w:numFmt w:val="decimal"/>
      <w:lvlText w:val="%4."/>
      <w:lvlJc w:val="left"/>
      <w:pPr>
        <w:tabs>
          <w:tab w:val="num" w:pos="2460"/>
        </w:tabs>
        <w:ind w:left="246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4">
      <w:start w:val="1"/>
      <w:numFmt w:val="lowerLetter"/>
      <w:lvlText w:val="%5."/>
      <w:lvlJc w:val="left"/>
      <w:pPr>
        <w:tabs>
          <w:tab w:val="num" w:pos="3180"/>
        </w:tabs>
        <w:ind w:left="318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5">
      <w:start w:val="1"/>
      <w:numFmt w:val="lowerRoman"/>
      <w:lvlText w:val="%6."/>
      <w:lvlJc w:val="left"/>
      <w:pPr>
        <w:tabs>
          <w:tab w:val="num" w:pos="3911"/>
        </w:tabs>
        <w:ind w:left="3911" w:hanging="247"/>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6">
      <w:start w:val="1"/>
      <w:numFmt w:val="decimal"/>
      <w:lvlText w:val="%7."/>
      <w:lvlJc w:val="left"/>
      <w:pPr>
        <w:tabs>
          <w:tab w:val="num" w:pos="4620"/>
        </w:tabs>
        <w:ind w:left="462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7">
      <w:start w:val="1"/>
      <w:numFmt w:val="lowerLetter"/>
      <w:lvlText w:val="%8."/>
      <w:lvlJc w:val="left"/>
      <w:pPr>
        <w:tabs>
          <w:tab w:val="num" w:pos="5340"/>
        </w:tabs>
        <w:ind w:left="5340" w:hanging="300"/>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lvl w:ilvl="8">
      <w:start w:val="1"/>
      <w:numFmt w:val="lowerRoman"/>
      <w:lvlText w:val="%9."/>
      <w:lvlJc w:val="left"/>
      <w:pPr>
        <w:tabs>
          <w:tab w:val="num" w:pos="6071"/>
        </w:tabs>
        <w:ind w:left="6071" w:hanging="247"/>
      </w:pPr>
      <w:rPr>
        <w:b w:val="0"/>
        <w:bCs w:val="0"/>
        <w:i w:val="0"/>
        <w:iCs w:val="0"/>
        <w:caps w:val="0"/>
        <w:smallCaps w:val="0"/>
        <w:strike w:val="0"/>
        <w:dstrike w:val="0"/>
        <w:outline w:val="0"/>
        <w:color w:val="000000"/>
        <w:spacing w:val="0"/>
        <w:kern w:val="0"/>
        <w:position w:val="0"/>
        <w:sz w:val="20"/>
        <w:szCs w:val="20"/>
        <w:u w:val="none" w:color="000000"/>
        <w:vertAlign w:val="baseline"/>
        <w:lang w:val="en-US"/>
      </w:rPr>
    </w:lvl>
  </w:abstractNum>
  <w:abstractNum w:abstractNumId="10">
    <w:nsid w:val="54672B2F"/>
    <w:multiLevelType w:val="hybridMultilevel"/>
    <w:tmpl w:val="CE96FC44"/>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8950AE3"/>
    <w:multiLevelType w:val="multilevel"/>
    <w:tmpl w:val="A33A53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58C132BC"/>
    <w:multiLevelType w:val="hybridMultilevel"/>
    <w:tmpl w:val="44665F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73863789"/>
    <w:multiLevelType w:val="multilevel"/>
    <w:tmpl w:val="A57E5CD4"/>
    <w:lvl w:ilvl="0">
      <w:numFmt w:val="bullet"/>
      <w:lvlText w:val="-"/>
      <w:lvlJc w:val="left"/>
      <w:pPr>
        <w:tabs>
          <w:tab w:val="num" w:pos="360"/>
        </w:tabs>
        <w:ind w:left="360" w:hanging="360"/>
      </w:pPr>
      <w:rPr>
        <w:rFonts w:ascii="Calibri" w:eastAsiaTheme="minorHAnsi" w:hAnsi="Calibri" w:cstheme="minorBidi"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78702F7B"/>
    <w:multiLevelType w:val="hybridMultilevel"/>
    <w:tmpl w:val="9D066F42"/>
    <w:lvl w:ilvl="0" w:tplc="CB5864D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0"/>
  </w:num>
  <w:num w:numId="5">
    <w:abstractNumId w:val="6"/>
  </w:num>
  <w:num w:numId="6">
    <w:abstractNumId w:val="1"/>
  </w:num>
  <w:num w:numId="7">
    <w:abstractNumId w:val="3"/>
  </w:num>
  <w:num w:numId="8">
    <w:abstractNumId w:val="2"/>
  </w:num>
  <w:num w:numId="9">
    <w:abstractNumId w:val="4"/>
  </w:num>
  <w:num w:numId="10">
    <w:abstractNumId w:val="14"/>
  </w:num>
  <w:num w:numId="11">
    <w:abstractNumId w:val="10"/>
  </w:num>
  <w:num w:numId="12">
    <w:abstractNumId w:val="11"/>
  </w:num>
  <w:num w:numId="13">
    <w:abstractNumId w:val="13"/>
  </w:num>
  <w:num w:numId="14">
    <w:abstractNumId w:val="9"/>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Spremni dokument"/>
    <w:docVar w:name="LW_CONFIDENCE" w:val=" "/>
    <w:docVar w:name="LW_CONST_RESTREINT_UE" w:val="RESTREINT UE"/>
    <w:docVar w:name="LW_CORRIGENDUM" w:val="&lt;UNUSED&gt;"/>
    <w:docVar w:name="LW_COVERPAGE_GUID" w:val="61B5C491CFF64EC2BB709A528446F51F"/>
    <w:docVar w:name="LW_CROSSREFERENCE" w:val="{COM(2016) 287 final}_x000b_{SWD(2016) 168 final}_x000b_{SWD(2016) 170 final}_x000b_{SWD(2016) 171 final}"/>
    <w:docVar w:name="LW_DocType" w:val="NORMAL"/>
    <w:docVar w:name="LW_EMISSION" w:val="25.5.2016"/>
    <w:docVar w:name="LW_EMISSION_ISODATE" w:val="2016-05-25"/>
    <w:docVar w:name="LW_EMISSION_LOCATION" w:val="BRX"/>
    <w:docVar w:name="LW_EMISSION_PREFIX" w:val="Bruselj, "/>
    <w:docVar w:name="LW_EMISSION_SUFFIX" w:val=" "/>
    <w:docVar w:name="LW_ID_DOCTYPE_NONLW" w:val="CP-027"/>
    <w:docVar w:name="LW_LANGUE" w:val="SL"/>
    <w:docVar w:name="LW_MARKING" w:val="&lt;UNUSED&gt;"/>
    <w:docVar w:name="LW_NOM.INST" w:val="EVROPSKA KOMISIJA"/>
    <w:docVar w:name="LW_NOM.INST_JOINTDOC" w:val="&lt;EMPTY&gt;"/>
    <w:docVar w:name="LW_OBJETACTEPRINCIPAL.CP" w:val="&lt;UNUSED&gt;"/>
    <w:docVar w:name="LW_PART_NBR" w:val="1"/>
    <w:docVar w:name="LW_PART_NBR_TOTAL" w:val="1"/>
    <w:docVar w:name="LW_REF.INST.NEW" w:val="SWD"/>
    <w:docVar w:name="LW_REF.INST.NEW_ADOPTED" w:val="final"/>
    <w:docVar w:name="LW_REF.INST.NEW_TEXT" w:val="(2016) 169"/>
    <w:docVar w:name="LW_REF.INTERNE" w:val="&lt;UNUSED&gt;"/>
    <w:docVar w:name="LW_SUPERTITRE" w:val="&lt;UNUSED&gt;"/>
    <w:docVar w:name="LW_TITRE.OBJ.CP" w:val="&lt;UNUSED&gt;"/>
    <w:docVar w:name="LW_TYPE.DOC.CP" w:val="DELOVNI DOKUMENT SLU\u381?B KOMISIJE_x000b__x000b_POVZETEK OCENE U\u268?INKA_x000b_"/>
    <w:docVar w:name="LW_TYPEACTEPRINCIPAL.CP" w:val="Predlog direktive Evropskega parlamenta in Sveta o spremembi Direktive 2010/13/EU o usklajevanju nekaterih zakonov in drugih predpisov dr\u382?av \u269?lanic o opravljanju avdiovizualnih medijskih storitev glede na spreminjajo\u269?e se tr\u382?ne razmer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next w:val="ZDGName"/>
    <w:uiPriority w:val="99"/>
    <w:pPr>
      <w:widowControl w:val="0"/>
      <w:pBdr>
        <w:top w:val="nil"/>
        <w:left w:val="nil"/>
        <w:bottom w:val="nil"/>
        <w:right w:val="nil"/>
        <w:between w:val="nil"/>
        <w:bar w:val="nil"/>
      </w:pBdr>
      <w:spacing w:after="0" w:line="240" w:lineRule="auto"/>
      <w:ind w:right="85"/>
      <w:jc w:val="both"/>
    </w:pPr>
    <w:rPr>
      <w:rFonts w:ascii="Arial" w:eastAsia="Arial Unicode MS" w:hAnsi="Arial Unicode MS" w:cs="Arial Unicode MS"/>
      <w:color w:val="000000"/>
      <w:sz w:val="24"/>
      <w:szCs w:val="24"/>
      <w:u w:color="000000"/>
      <w:bdr w:val="nil"/>
    </w:rPr>
  </w:style>
  <w:style w:type="paragraph" w:customStyle="1" w:styleId="ZDGName">
    <w:name w:val="Z_DGName"/>
    <w:uiPriority w:val="99"/>
    <w:pPr>
      <w:widowControl w:val="0"/>
      <w:pBdr>
        <w:top w:val="nil"/>
        <w:left w:val="nil"/>
        <w:bottom w:val="nil"/>
        <w:right w:val="nil"/>
        <w:between w:val="nil"/>
        <w:bar w:val="nil"/>
      </w:pBdr>
      <w:spacing w:after="0" w:line="240" w:lineRule="auto"/>
      <w:ind w:right="85"/>
    </w:pPr>
    <w:rPr>
      <w:rFonts w:ascii="Arial" w:eastAsia="Arial Unicode MS" w:hAnsi="Arial Unicode MS" w:cs="Arial Unicode MS"/>
      <w:color w:val="000000"/>
      <w:sz w:val="16"/>
      <w:szCs w:val="16"/>
      <w:u w:color="000000"/>
      <w:bdr w:val="nil"/>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sl-SI"/>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qFormat/>
    <w:pPr>
      <w:pBdr>
        <w:top w:val="nil"/>
        <w:left w:val="nil"/>
        <w:bottom w:val="nil"/>
        <w:right w:val="nil"/>
        <w:between w:val="nil"/>
        <w:bar w:val="nil"/>
      </w:pBdr>
      <w:spacing w:after="240" w:line="240" w:lineRule="auto"/>
      <w:ind w:left="357" w:hanging="357"/>
      <w:jc w:val="both"/>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cs="Times New Roman"/>
      <w:color w:val="000000"/>
      <w:sz w:val="20"/>
      <w:szCs w:val="20"/>
      <w:u w:color="000000"/>
      <w:bdr w:val="nil"/>
      <w:lang w:val="sl-SI" w:eastAsia="sl-SI"/>
    </w:rPr>
  </w:style>
  <w:style w:type="paragraph" w:styleId="ListParagraph">
    <w:name w:val="List Paragraph"/>
    <w:aliases w:val="Paragraphe de liste 2,Reference list,Normal bullet 2,Bullet list,Numbered List,List Paragraph1,1st level - Bullet List Paragraph,Lettre d'introduction,Paragrafo elenco,Paragraph,Bullet EY,List Paragraph11,Normal bullet 21,O-1 List bullets"/>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ootnoteReferenceCharCarCharCharCarCharCarCharCarCharCarCharCharCarCarCharCharCharCharCharCarCharCarCharCharCarCharCar"/>
    <w:uiPriority w:val="99"/>
    <w:unhideWhenUsed/>
    <w:qFormat/>
    <w:rPr>
      <w:vertAlign w:val="superscript"/>
    </w:rPr>
  </w:style>
  <w:style w:type="character" w:customStyle="1" w:styleId="ListParagraphChar">
    <w:name w:val="List Paragraph Char"/>
    <w:aliases w:val="Paragraphe de liste 2 Char,Reference list Char,Normal bullet 2 Char,Bullet list Char,Numbered List Char,List Paragraph1 Char,1st level - Bullet List Paragraph Char,Lettre d'introduction Char,Paragrafo elenco Char,Paragraph Char"/>
    <w:basedOn w:val="DefaultParagraphFont"/>
    <w:link w:val="ListParagraph"/>
    <w:uiPriority w:val="34"/>
    <w:qFormat/>
    <w:locked/>
    <w:rPr>
      <w:rFonts w:ascii="Calibri" w:eastAsia="Calibri" w:hAnsi="Calibri" w:cs="Calibri"/>
      <w:color w:val="000000"/>
      <w:u w:color="000000"/>
      <w:bdr w:val="nil"/>
      <w:lang w:val="sl-SI" w:eastAsia="sl-SI"/>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heme="minorHAnsi" w:eastAsiaTheme="minorHAnsi" w:hAnsiTheme="minorHAnsi" w:cstheme="minorBidi"/>
      <w:sz w:val="22"/>
      <w:szCs w:val="22"/>
      <w:bdr w:val="none" w:sz="0" w:space="0" w:color="auto"/>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lang w:val="sl-SI"/>
    </w:rPr>
  </w:style>
  <w:style w:type="paragraph" w:styleId="TOCHeading">
    <w:name w:val="TOC Heading"/>
    <w:next w:val="Normal"/>
    <w:uiPriority w:val="39"/>
    <w:qFormat/>
    <w:pPr>
      <w:keepNext/>
      <w:pBdr>
        <w:top w:val="nil"/>
        <w:left w:val="nil"/>
        <w:bottom w:val="nil"/>
        <w:right w:val="nil"/>
        <w:between w:val="nil"/>
        <w:bar w:val="nil"/>
      </w:pBdr>
      <w:spacing w:before="240" w:after="240" w:line="240" w:lineRule="auto"/>
      <w:jc w:val="center"/>
    </w:pPr>
    <w:rPr>
      <w:rFonts w:ascii="Times New Roman" w:eastAsia="Arial Unicode MS" w:hAnsi="Arial Unicode MS" w:cs="Arial Unicode MS"/>
      <w:b/>
      <w:bCs/>
      <w:color w:val="000000"/>
      <w:sz w:val="24"/>
      <w:szCs w:val="24"/>
      <w:u w:color="000000"/>
      <w:bdr w:val="nil"/>
    </w:rPr>
  </w:style>
  <w:style w:type="numbering" w:customStyle="1" w:styleId="List0">
    <w:name w:val="List 0"/>
    <w:basedOn w:val="NoList"/>
    <w:pPr>
      <w:numPr>
        <w:numId w:val="14"/>
      </w:numPr>
    </w:p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character" w:customStyle="1" w:styleId="None">
    <w:name w:val="Non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lang w:val="sl-SI"/>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Times New Roman" w:eastAsia="Arial Unicode MS" w:hAnsi="Times New Roman" w:cs="Times New Roman"/>
      <w:sz w:val="24"/>
      <w:szCs w:val="24"/>
      <w:bdr w:val="nil"/>
      <w:lang w:val="sl-SI"/>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rFonts w:ascii="Times New Roman" w:eastAsia="Arial Unicode MS" w:hAnsi="Times New Roman" w:cs="Times New Roman"/>
      <w:sz w:val="24"/>
      <w:szCs w:val="24"/>
      <w:bdr w:val="nil"/>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rFonts w:ascii="Times New Roman" w:eastAsia="Arial Unicode MS" w:hAnsi="Times New Roman" w:cs="Times New Roman"/>
      <w:sz w:val="24"/>
      <w:szCs w:val="24"/>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next w:val="ZDGName"/>
    <w:uiPriority w:val="99"/>
    <w:pPr>
      <w:widowControl w:val="0"/>
      <w:pBdr>
        <w:top w:val="nil"/>
        <w:left w:val="nil"/>
        <w:bottom w:val="nil"/>
        <w:right w:val="nil"/>
        <w:between w:val="nil"/>
        <w:bar w:val="nil"/>
      </w:pBdr>
      <w:spacing w:after="0" w:line="240" w:lineRule="auto"/>
      <w:ind w:right="85"/>
      <w:jc w:val="both"/>
    </w:pPr>
    <w:rPr>
      <w:rFonts w:ascii="Arial" w:eastAsia="Arial Unicode MS" w:hAnsi="Arial Unicode MS" w:cs="Arial Unicode MS"/>
      <w:color w:val="000000"/>
      <w:sz w:val="24"/>
      <w:szCs w:val="24"/>
      <w:u w:color="000000"/>
      <w:bdr w:val="nil"/>
    </w:rPr>
  </w:style>
  <w:style w:type="paragraph" w:customStyle="1" w:styleId="ZDGName">
    <w:name w:val="Z_DGName"/>
    <w:uiPriority w:val="99"/>
    <w:pPr>
      <w:widowControl w:val="0"/>
      <w:pBdr>
        <w:top w:val="nil"/>
        <w:left w:val="nil"/>
        <w:bottom w:val="nil"/>
        <w:right w:val="nil"/>
        <w:between w:val="nil"/>
        <w:bar w:val="nil"/>
      </w:pBdr>
      <w:spacing w:after="0" w:line="240" w:lineRule="auto"/>
      <w:ind w:right="85"/>
    </w:pPr>
    <w:rPr>
      <w:rFonts w:ascii="Arial" w:eastAsia="Arial Unicode MS" w:hAnsi="Arial Unicode MS" w:cs="Arial Unicode MS"/>
      <w:color w:val="000000"/>
      <w:sz w:val="16"/>
      <w:szCs w:val="16"/>
      <w:u w:color="000000"/>
      <w:bdr w:val="nil"/>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lang w:val="sl-SI"/>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link w:val="FootnoteTextChar"/>
    <w:uiPriority w:val="99"/>
    <w:qFormat/>
    <w:pPr>
      <w:pBdr>
        <w:top w:val="nil"/>
        <w:left w:val="nil"/>
        <w:bottom w:val="nil"/>
        <w:right w:val="nil"/>
        <w:between w:val="nil"/>
        <w:bar w:val="nil"/>
      </w:pBdr>
      <w:spacing w:after="240" w:line="240" w:lineRule="auto"/>
      <w:ind w:left="357" w:hanging="357"/>
      <w:jc w:val="both"/>
    </w:pPr>
    <w:rPr>
      <w:rFonts w:ascii="Times New Roman" w:eastAsia="Times New Roman" w:hAnsi="Times New Roman" w:cs="Times New Roman"/>
      <w:color w:val="000000"/>
      <w:sz w:val="20"/>
      <w:szCs w:val="20"/>
      <w:u w:color="000000"/>
      <w:bdr w:val="nil"/>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rPr>
      <w:rFonts w:ascii="Times New Roman" w:eastAsia="Times New Roman" w:hAnsi="Times New Roman" w:cs="Times New Roman"/>
      <w:color w:val="000000"/>
      <w:sz w:val="20"/>
      <w:szCs w:val="20"/>
      <w:u w:color="000000"/>
      <w:bdr w:val="nil"/>
      <w:lang w:val="sl-SI" w:eastAsia="sl-SI"/>
    </w:rPr>
  </w:style>
  <w:style w:type="paragraph" w:styleId="ListParagraph">
    <w:name w:val="List Paragraph"/>
    <w:aliases w:val="Paragraphe de liste 2,Reference list,Normal bullet 2,Bullet list,Numbered List,List Paragraph1,1st level - Bullet List Paragraph,Lettre d'introduction,Paragrafo elenco,Paragraph,Bullet EY,List Paragraph11,Normal bullet 21,O-1 List bullets"/>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ootnoteReferenceCharCarCharCharCarCharCarCharCarCharCarCharCharCarCarCharCharCharCharCharCarCharCarCharCharCarCharCar"/>
    <w:uiPriority w:val="99"/>
    <w:unhideWhenUsed/>
    <w:qFormat/>
    <w:rPr>
      <w:vertAlign w:val="superscript"/>
    </w:rPr>
  </w:style>
  <w:style w:type="character" w:customStyle="1" w:styleId="ListParagraphChar">
    <w:name w:val="List Paragraph Char"/>
    <w:aliases w:val="Paragraphe de liste 2 Char,Reference list Char,Normal bullet 2 Char,Bullet list Char,Numbered List Char,List Paragraph1 Char,1st level - Bullet List Paragraph Char,Lettre d'introduction Char,Paragrafo elenco Char,Paragraph Char"/>
    <w:basedOn w:val="DefaultParagraphFont"/>
    <w:link w:val="ListParagraph"/>
    <w:uiPriority w:val="34"/>
    <w:qFormat/>
    <w:locked/>
    <w:rPr>
      <w:rFonts w:ascii="Calibri" w:eastAsia="Calibri" w:hAnsi="Calibri" w:cs="Calibri"/>
      <w:color w:val="000000"/>
      <w:u w:color="000000"/>
      <w:bdr w:val="nil"/>
      <w:lang w:val="sl-SI" w:eastAsia="sl-SI"/>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heme="minorHAnsi" w:eastAsiaTheme="minorHAnsi" w:hAnsiTheme="minorHAnsi" w:cstheme="minorBidi"/>
      <w:sz w:val="22"/>
      <w:szCs w:val="22"/>
      <w:bdr w:val="none" w:sz="0" w:space="0" w:color="auto"/>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lang w:val="sl-SI"/>
    </w:rPr>
  </w:style>
  <w:style w:type="paragraph" w:styleId="TOCHeading">
    <w:name w:val="TOC Heading"/>
    <w:next w:val="Normal"/>
    <w:uiPriority w:val="39"/>
    <w:qFormat/>
    <w:pPr>
      <w:keepNext/>
      <w:pBdr>
        <w:top w:val="nil"/>
        <w:left w:val="nil"/>
        <w:bottom w:val="nil"/>
        <w:right w:val="nil"/>
        <w:between w:val="nil"/>
        <w:bar w:val="nil"/>
      </w:pBdr>
      <w:spacing w:before="240" w:after="240" w:line="240" w:lineRule="auto"/>
      <w:jc w:val="center"/>
    </w:pPr>
    <w:rPr>
      <w:rFonts w:ascii="Times New Roman" w:eastAsia="Arial Unicode MS" w:hAnsi="Arial Unicode MS" w:cs="Arial Unicode MS"/>
      <w:b/>
      <w:bCs/>
      <w:color w:val="000000"/>
      <w:sz w:val="24"/>
      <w:szCs w:val="24"/>
      <w:u w:color="000000"/>
      <w:bdr w:val="nil"/>
    </w:rPr>
  </w:style>
  <w:style w:type="numbering" w:customStyle="1" w:styleId="List0">
    <w:name w:val="List 0"/>
    <w:basedOn w:val="NoList"/>
    <w:pPr>
      <w:numPr>
        <w:numId w:val="14"/>
      </w:numPr>
    </w:pPr>
  </w:style>
  <w:style w:type="paragraph" w:customStyle="1" w:styleId="Body">
    <w:name w:val="Body"/>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character" w:customStyle="1" w:styleId="None">
    <w:name w:val="None"/>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lang w:val="sl-SI"/>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rPr>
      <w:rFonts w:ascii="Times New Roman" w:eastAsia="Arial Unicode MS" w:hAnsi="Times New Roman" w:cs="Times New Roman"/>
      <w:sz w:val="24"/>
      <w:szCs w:val="24"/>
      <w:bdr w:val="nil"/>
      <w:lang w:val="sl-SI"/>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rFonts w:ascii="Times New Roman" w:eastAsia="Arial Unicode MS" w:hAnsi="Times New Roman" w:cs="Times New Roman"/>
      <w:sz w:val="24"/>
      <w:szCs w:val="24"/>
      <w:bdr w:val="nil"/>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932204">
      <w:bodyDiv w:val="1"/>
      <w:marLeft w:val="0"/>
      <w:marRight w:val="0"/>
      <w:marTop w:val="0"/>
      <w:marBottom w:val="0"/>
      <w:divBdr>
        <w:top w:val="none" w:sz="0" w:space="0" w:color="auto"/>
        <w:left w:val="none" w:sz="0" w:space="0" w:color="auto"/>
        <w:bottom w:val="none" w:sz="0" w:space="0" w:color="auto"/>
        <w:right w:val="none" w:sz="0" w:space="0" w:color="auto"/>
      </w:divBdr>
    </w:div>
    <w:div w:id="540089815">
      <w:bodyDiv w:val="1"/>
      <w:marLeft w:val="0"/>
      <w:marRight w:val="0"/>
      <w:marTop w:val="0"/>
      <w:marBottom w:val="0"/>
      <w:divBdr>
        <w:top w:val="none" w:sz="0" w:space="0" w:color="auto"/>
        <w:left w:val="none" w:sz="0" w:space="0" w:color="auto"/>
        <w:bottom w:val="none" w:sz="0" w:space="0" w:color="auto"/>
        <w:right w:val="none" w:sz="0" w:space="0" w:color="auto"/>
      </w:divBdr>
    </w:div>
    <w:div w:id="575018908">
      <w:bodyDiv w:val="1"/>
      <w:marLeft w:val="0"/>
      <w:marRight w:val="0"/>
      <w:marTop w:val="0"/>
      <w:marBottom w:val="0"/>
      <w:divBdr>
        <w:top w:val="none" w:sz="0" w:space="0" w:color="auto"/>
        <w:left w:val="none" w:sz="0" w:space="0" w:color="auto"/>
        <w:bottom w:val="none" w:sz="0" w:space="0" w:color="auto"/>
        <w:right w:val="none" w:sz="0" w:space="0" w:color="auto"/>
      </w:divBdr>
    </w:div>
    <w:div w:id="695887559">
      <w:bodyDiv w:val="1"/>
      <w:marLeft w:val="0"/>
      <w:marRight w:val="0"/>
      <w:marTop w:val="0"/>
      <w:marBottom w:val="0"/>
      <w:divBdr>
        <w:top w:val="none" w:sz="0" w:space="0" w:color="auto"/>
        <w:left w:val="none" w:sz="0" w:space="0" w:color="auto"/>
        <w:bottom w:val="none" w:sz="0" w:space="0" w:color="auto"/>
        <w:right w:val="none" w:sz="0" w:space="0" w:color="auto"/>
      </w:divBdr>
    </w:div>
    <w:div w:id="741871096">
      <w:bodyDiv w:val="1"/>
      <w:marLeft w:val="0"/>
      <w:marRight w:val="0"/>
      <w:marTop w:val="0"/>
      <w:marBottom w:val="0"/>
      <w:divBdr>
        <w:top w:val="none" w:sz="0" w:space="0" w:color="auto"/>
        <w:left w:val="none" w:sz="0" w:space="0" w:color="auto"/>
        <w:bottom w:val="none" w:sz="0" w:space="0" w:color="auto"/>
        <w:right w:val="none" w:sz="0" w:space="0" w:color="auto"/>
      </w:divBdr>
    </w:div>
    <w:div w:id="141068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1014</Words>
  <Characters>6648</Characters>
  <Application>Microsoft Office Word</Application>
  <DocSecurity>0</DocSecurity>
  <Lines>114</Lines>
  <Paragraphs>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27</cp:revision>
  <cp:lastPrinted>2016-05-13T16:02:00Z</cp:lastPrinted>
  <dcterms:created xsi:type="dcterms:W3CDTF">2016-05-13T13:57:00Z</dcterms:created>
  <dcterms:modified xsi:type="dcterms:W3CDTF">2016-05-30T07:38:00Z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