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128C62E5D0C4B62A067BE44F60224B4" style="width:450.8pt;height:409.4pt">
            <v:imagedata r:id="rId9" o:title=""/>
          </v:shape>
        </w:pict>
      </w:r>
    </w:p>
    <w:p>
      <w:pPr>
        <w:pStyle w:val="Pagedecouverture"/>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OBRAZLOŽITVENI MEMORANDUM</w:t>
      </w:r>
    </w:p>
    <w:p>
      <w:pPr>
        <w:widowControl w:val="0"/>
        <w:shd w:val="clear" w:color="auto" w:fill="FFFFFF"/>
        <w:autoSpaceDE w:val="0"/>
        <w:autoSpaceDN w:val="0"/>
        <w:adjustRightInd w:val="0"/>
        <w:spacing w:before="230" w:after="0" w:line="269" w:lineRule="exact"/>
        <w:ind w:right="86"/>
        <w:rPr>
          <w:noProof/>
        </w:rPr>
      </w:pPr>
    </w:p>
    <w:p>
      <w:pPr>
        <w:pStyle w:val="ManualHeading1"/>
        <w:rPr>
          <w:noProof/>
        </w:rPr>
      </w:pPr>
      <w:r>
        <w:rPr>
          <w:noProof/>
        </w:rPr>
        <w:t>1.</w:t>
      </w:r>
      <w:r>
        <w:rPr>
          <w:noProof/>
        </w:rPr>
        <w:tab/>
        <w:t>OZADJE PREDLOGA</w:t>
      </w:r>
    </w:p>
    <w:p>
      <w:pPr>
        <w:pStyle w:val="Text1"/>
        <w:rPr>
          <w:noProof/>
        </w:rPr>
      </w:pPr>
    </w:p>
    <w:p>
      <w:pPr>
        <w:pStyle w:val="ManualHeading2"/>
        <w:rPr>
          <w:rFonts w:eastAsia="Arial Unicode MS"/>
          <w:noProof/>
          <w:u w:color="000000"/>
          <w:bdr w:val="nil"/>
        </w:rPr>
      </w:pPr>
      <w:r>
        <w:rPr>
          <w:noProof/>
        </w:rPr>
        <w:t>Razlogi za predlog</w:t>
      </w:r>
    </w:p>
    <w:p>
      <w:pPr>
        <w:widowControl w:val="0"/>
        <w:shd w:val="clear" w:color="auto" w:fill="FFFFFF"/>
        <w:autoSpaceDE w:val="0"/>
        <w:autoSpaceDN w:val="0"/>
        <w:adjustRightInd w:val="0"/>
        <w:spacing w:before="230" w:after="0" w:line="269" w:lineRule="exact"/>
        <w:ind w:right="86"/>
        <w:rPr>
          <w:noProof/>
        </w:rPr>
      </w:pPr>
      <w:r>
        <w:rPr>
          <w:noProof/>
        </w:rPr>
        <w:t xml:space="preserve">Uredba (EU) št. 1286/2014 je bila sprejeta 26. novembra 2014 zaradi povečanja zaščite malih vlagateljev, ki vlagajo v paketne naložbene produkte za male vlagatelje in zavarovalne naložbene produkte (PRIIP). Cilj uredbe je tudi povrniti zaupanje potrošnikov v sektor finančnih storitev po finančni krizi. </w:t>
      </w:r>
    </w:p>
    <w:p>
      <w:pPr>
        <w:widowControl w:val="0"/>
        <w:shd w:val="clear" w:color="auto" w:fill="FFFFFF"/>
        <w:autoSpaceDE w:val="0"/>
        <w:autoSpaceDN w:val="0"/>
        <w:adjustRightInd w:val="0"/>
        <w:spacing w:before="230" w:after="0" w:line="269" w:lineRule="exact"/>
        <w:ind w:right="86"/>
        <w:rPr>
          <w:noProof/>
        </w:rPr>
      </w:pPr>
      <w:r>
        <w:rPr>
          <w:noProof/>
        </w:rPr>
        <w:t xml:space="preserve">Da bi se to doseglo, Uredba (EU) št. 1286/2014 zahteva, da proizvajalci PRIIP izpolnjujejo enoten sklop zahtev glede razkritij o produktih in da mali vlagatelji prejmejo dokument s ključnimi informacijami (KID) o ponujenem PRIIP. Razkrite informacije bi morale malim vlagateljem omogočiti, da bolje razumejo ekonomske značilnosti in tveganja določenega produkta ter primerjajo različne ponudbe. Poleg tega bosta večja preglednost in harmonizacija koristili tudi notranjemu trgu finančnih storitev, saj bosta zagotovili enake konkurenčne pogoje za različne produkte in distribucijske kanale. </w:t>
      </w:r>
    </w:p>
    <w:p>
      <w:pPr>
        <w:rPr>
          <w:noProof/>
        </w:rPr>
      </w:pPr>
      <w:r>
        <w:rPr>
          <w:noProof/>
        </w:rPr>
        <w:t>Uredba (EU) št. 1286/2014 določa obliko in vsebino KID. Da bi se dodatno standardizirali različni elementi KID in upoštevale pomembne razlike med vrstami PRIIP, imajo evropski nadzorni organi (tj. Evropski organ za zavarovanja in poklicne pokojnine, Evropski bančni organ in Evropski organ za vrednostne papirje in trge) nalogo, da pripravijo regulativne tehnične standarde (RTS), ki določajo prikaz in vsebino KID, standardizirano obliko KID, metodologijo, na podlagi katere so predstavljena tveganja in nagrade ter izračunani stroški, kot tudi pogoje in najmanjšo pogostost pregledovanja informacij v KID ter pogoje za izpolnitev zahteve po zagotovitvi KID malim vlagateljem.</w:t>
      </w:r>
    </w:p>
    <w:p>
      <w:pPr>
        <w:rPr>
          <w:noProof/>
        </w:rPr>
      </w:pPr>
      <w:r>
        <w:rPr>
          <w:noProof/>
        </w:rPr>
        <w:t>Evropski nadzorni organi so 6. aprila 2016 Komisiji skupaj predložili osnutke RTS o KID za PRIIP. Komisija je osnutke standardov potrdila 30. junija 2016 s sprejetjem delegirane uredbe o KID</w:t>
      </w:r>
      <w:r>
        <w:rPr>
          <w:rStyle w:val="FootnoteReference"/>
          <w:noProof/>
        </w:rPr>
        <w:footnoteReference w:id="1"/>
      </w:r>
      <w:r>
        <w:rPr>
          <w:noProof/>
        </w:rPr>
        <w:t>.</w:t>
      </w:r>
    </w:p>
    <w:p>
      <w:pPr>
        <w:rPr>
          <w:noProof/>
        </w:rPr>
      </w:pPr>
      <w:r>
        <w:rPr>
          <w:noProof/>
        </w:rPr>
        <w:t>Svet v obdobju pregleda ni izrazil nobenih pomislekov glede delegirane uredbe Komisije. Evropski parlament pa jo je 14. septembra 2016 zavrnil</w:t>
      </w:r>
      <w:r>
        <w:rPr>
          <w:rStyle w:val="FootnoteReference"/>
          <w:noProof/>
        </w:rPr>
        <w:footnoteReference w:id="2"/>
      </w:r>
      <w:r>
        <w:rPr>
          <w:noProof/>
        </w:rPr>
        <w:t>. Evropski parlament je Komisijo pozval, naj pregleda določbe v zvezi s PRIIP, ki ponujajo več možnosti, scenariji uspešnosti ter opozorilom glede kompleksnosti in težke razumljivosti. Poleg tega so Evropski parlament in velika večina držav članic od Komisije zahtevali, naj odloži datum začetka uporabe Uredbe (EU) št. 1286/2014, z utemeljitvijo, da bi odsotnost tehničnih standardov ovirala nemoteno izvajanje navedene uredbe.</w:t>
      </w:r>
    </w:p>
    <w:p>
      <w:pPr>
        <w:rPr>
          <w:noProof/>
        </w:rPr>
      </w:pPr>
      <w:r>
        <w:rPr>
          <w:noProof/>
        </w:rPr>
        <w:t>Uredba (EU) št. 1286/2014 se neposredno uporablja od 31. decembra 2016 in priprave KID ne povezuje s sprejetjem delegiranega akta. Čeprav bi lahko proizvajalci PRIIP uporabljali določbe uredbe, pristojni organi pa zagotavljali njihovo izvrševanje brez sprejetja delegirane uredbe, je zaželeno, da se zagotovi čim večja jasnost tehničnih standardov, ki določajo vsebino nekaterih predpisov.</w:t>
      </w:r>
    </w:p>
    <w:p>
      <w:pPr>
        <w:rPr>
          <w:noProof/>
        </w:rPr>
      </w:pPr>
      <w:r>
        <w:rPr>
          <w:noProof/>
        </w:rPr>
        <w:t xml:space="preserve">Glede na izredne okoliščine, ki so privedle do zamud pri sprejetju delegirane uredbe, Komisija predlaga, da se datum začetka uporabe Uredbe (EU) št. 1286/2014 odloži za 12 mesecev, da se zmanjša pravna negotovost in proizvajalcem PRIIP da več časa za pripravo na uporabo novih predpisov. </w:t>
      </w:r>
    </w:p>
    <w:p>
      <w:pPr>
        <w:rPr>
          <w:noProof/>
        </w:rPr>
      </w:pPr>
    </w:p>
    <w:p>
      <w:pPr>
        <w:pStyle w:val="ManualHeading2"/>
        <w:rPr>
          <w:rFonts w:eastAsia="Arial Unicode MS"/>
          <w:noProof/>
          <w:u w:color="000000"/>
          <w:bdr w:val="nil"/>
        </w:rPr>
      </w:pPr>
      <w:r>
        <w:rPr>
          <w:noProof/>
        </w:rPr>
        <w:t>Trajanje odloga</w:t>
      </w:r>
    </w:p>
    <w:p>
      <w:pPr>
        <w:widowControl w:val="0"/>
        <w:shd w:val="clear" w:color="auto" w:fill="FFFFFF"/>
        <w:autoSpaceDE w:val="0"/>
        <w:autoSpaceDN w:val="0"/>
        <w:adjustRightInd w:val="0"/>
        <w:spacing w:before="230" w:after="0" w:line="269" w:lineRule="exact"/>
        <w:ind w:right="86"/>
        <w:rPr>
          <w:noProof/>
        </w:rPr>
      </w:pPr>
      <w:r>
        <w:rPr>
          <w:noProof/>
        </w:rPr>
        <w:t xml:space="preserve">12-mesečni odlog bi moral pristojnim organom in proizvajalcem PRIIP dati dovolj časa, da bodo lahko zagotovili skladnost z novimi predpisi. </w:t>
      </w:r>
    </w:p>
    <w:p>
      <w:pPr>
        <w:widowControl w:val="0"/>
        <w:shd w:val="clear" w:color="auto" w:fill="FFFFFF"/>
        <w:autoSpaceDE w:val="0"/>
        <w:autoSpaceDN w:val="0"/>
        <w:adjustRightInd w:val="0"/>
        <w:spacing w:before="230" w:after="0" w:line="269" w:lineRule="exact"/>
        <w:ind w:right="86"/>
        <w:rPr>
          <w:noProof/>
        </w:rPr>
      </w:pPr>
    </w:p>
    <w:p>
      <w:pPr>
        <w:pStyle w:val="ManualHeading1"/>
        <w:rPr>
          <w:noProof/>
        </w:rPr>
      </w:pPr>
      <w:r>
        <w:rPr>
          <w:noProof/>
        </w:rPr>
        <w:t>2.</w:t>
      </w:r>
      <w:r>
        <w:rPr>
          <w:noProof/>
        </w:rPr>
        <w:tab/>
        <w:t>PRAVNA PODLAGA, SUBSIDIARNOST IN SORAZMERNOST</w:t>
      </w:r>
    </w:p>
    <w:p>
      <w:pPr>
        <w:pStyle w:val="ManualHeading2"/>
        <w:rPr>
          <w:rFonts w:eastAsia="Arial Unicode MS"/>
          <w:noProof/>
          <w:u w:color="000000"/>
          <w:bdr w:val="nil"/>
        </w:rPr>
      </w:pPr>
    </w:p>
    <w:p>
      <w:pPr>
        <w:pStyle w:val="ManualHeading2"/>
        <w:rPr>
          <w:rFonts w:eastAsia="Arial Unicode MS"/>
          <w:noProof/>
          <w:u w:color="000000"/>
          <w:bdr w:val="nil"/>
        </w:rPr>
      </w:pPr>
      <w:r>
        <w:rPr>
          <w:noProof/>
        </w:rPr>
        <w:t>Pravna podlaga</w:t>
      </w:r>
    </w:p>
    <w:p>
      <w:pPr>
        <w:widowControl w:val="0"/>
        <w:shd w:val="clear" w:color="auto" w:fill="FFFFFF"/>
        <w:autoSpaceDE w:val="0"/>
        <w:autoSpaceDN w:val="0"/>
        <w:adjustRightInd w:val="0"/>
        <w:spacing w:before="230" w:after="0" w:line="269" w:lineRule="exact"/>
        <w:ind w:right="86"/>
        <w:rPr>
          <w:noProof/>
        </w:rPr>
      </w:pPr>
      <w:r>
        <w:rPr>
          <w:noProof/>
        </w:rPr>
        <w:t xml:space="preserve">Ta predlog in Uredba (EU) št. 1286/2014, ki naj bi se z njim spremenila, temeljita na členu 114 PDEU.  </w:t>
      </w:r>
    </w:p>
    <w:p>
      <w:pPr>
        <w:widowControl w:val="0"/>
        <w:shd w:val="clear" w:color="auto" w:fill="FFFFFF"/>
        <w:autoSpaceDE w:val="0"/>
        <w:autoSpaceDN w:val="0"/>
        <w:adjustRightInd w:val="0"/>
        <w:spacing w:before="230" w:after="0" w:line="269" w:lineRule="exact"/>
        <w:ind w:right="86"/>
        <w:rPr>
          <w:noProof/>
        </w:rPr>
      </w:pPr>
    </w:p>
    <w:p>
      <w:pPr>
        <w:pStyle w:val="ManualHeading2"/>
        <w:rPr>
          <w:rFonts w:eastAsia="Arial Unicode MS"/>
          <w:noProof/>
          <w:u w:color="000000"/>
          <w:bdr w:val="nil"/>
        </w:rPr>
      </w:pPr>
      <w:r>
        <w:rPr>
          <w:noProof/>
        </w:rPr>
        <w:t xml:space="preserve">Subsidiarnost (za neizključno pristojnost) </w:t>
      </w:r>
    </w:p>
    <w:p>
      <w:pPr>
        <w:widowControl w:val="0"/>
        <w:shd w:val="clear" w:color="auto" w:fill="FFFFFF"/>
        <w:autoSpaceDE w:val="0"/>
        <w:autoSpaceDN w:val="0"/>
        <w:adjustRightInd w:val="0"/>
        <w:spacing w:before="230" w:after="0" w:line="269" w:lineRule="exact"/>
        <w:ind w:right="86"/>
        <w:rPr>
          <w:noProof/>
        </w:rPr>
      </w:pPr>
      <w:r>
        <w:rPr>
          <w:noProof/>
        </w:rPr>
        <w:t>V skladu z načelom subsidiarnosti se lahko ukrepi na ravni Unije sprejmejo samo, če države članice predvidenih ciljev ne morejo doseči same. Ukrepanje Unije je potrebno, da se odpravijo ovire za notranji trg finančnih storitev in produktov z uvedbo enotnega pristopa za razkritja v zvezi s PRIIP. V zvezi s tem se zakonodaja, ki se spreminja, sprejme ob doslednem upoštevanju načela subsidiarnosti, vsaka njena sprememba pa mora biti narejena na podlagi predloga Komisije.</w:t>
      </w:r>
    </w:p>
    <w:p>
      <w:pPr>
        <w:pStyle w:val="ManualHeading2"/>
        <w:rPr>
          <w:rFonts w:eastAsia="Arial Unicode MS"/>
          <w:noProof/>
          <w:u w:color="000000"/>
          <w:bdr w:val="nil"/>
        </w:rPr>
      </w:pPr>
    </w:p>
    <w:p>
      <w:pPr>
        <w:pStyle w:val="ManualHeading2"/>
        <w:rPr>
          <w:rFonts w:eastAsia="Arial Unicode MS"/>
          <w:noProof/>
          <w:u w:color="000000"/>
          <w:bdr w:val="nil"/>
        </w:rPr>
      </w:pPr>
      <w:r>
        <w:rPr>
          <w:noProof/>
        </w:rPr>
        <w:t>Sorazmernost</w:t>
      </w:r>
    </w:p>
    <w:p>
      <w:pPr>
        <w:widowControl w:val="0"/>
        <w:shd w:val="clear" w:color="auto" w:fill="FFFFFF"/>
        <w:autoSpaceDE w:val="0"/>
        <w:autoSpaceDN w:val="0"/>
        <w:adjustRightInd w:val="0"/>
        <w:spacing w:before="230" w:after="0" w:line="269" w:lineRule="exact"/>
        <w:ind w:right="86"/>
        <w:rPr>
          <w:noProof/>
        </w:rPr>
      </w:pPr>
      <w:r>
        <w:rPr>
          <w:noProof/>
        </w:rPr>
        <w:t>Ukrepanje Unije je potrebno, da se doseže cilj učinkovitega izvajanja predpisov o PRIIP s strani pristojnih organov in proizvajalcev PRIIP. Ta predlog bo zato zagotovil, da se cilji iz Uredbe (EU) št. 1286/2014 dosežejo povsod na notranjem trgu ob zagotavljanju visoke ravni preglednosti trga in zaščite malih vlagateljev.</w:t>
      </w:r>
    </w:p>
    <w:p>
      <w:pPr>
        <w:widowControl w:val="0"/>
        <w:shd w:val="clear" w:color="auto" w:fill="FFFFFF"/>
        <w:autoSpaceDE w:val="0"/>
        <w:autoSpaceDN w:val="0"/>
        <w:adjustRightInd w:val="0"/>
        <w:spacing w:before="230" w:after="0" w:line="269" w:lineRule="exact"/>
        <w:ind w:right="86"/>
        <w:rPr>
          <w:noProof/>
        </w:rPr>
      </w:pPr>
    </w:p>
    <w:p>
      <w:pPr>
        <w:pStyle w:val="ManualHeading1"/>
        <w:rPr>
          <w:noProof/>
        </w:rPr>
      </w:pPr>
      <w:r>
        <w:rPr>
          <w:noProof/>
        </w:rPr>
        <w:t>3.</w:t>
      </w:r>
      <w:r>
        <w:rPr>
          <w:noProof/>
        </w:rPr>
        <w:tab/>
        <w:t>REZULTATI NAKNADNIH OCEN, POSVETOVANJ Z ZAINTERESIRANIMI STRANMI IN OCEN UČINKA</w:t>
      </w:r>
    </w:p>
    <w:p>
      <w:pPr>
        <w:pStyle w:val="Text1"/>
        <w:ind w:left="851"/>
        <w:rPr>
          <w:noProof/>
        </w:rPr>
      </w:pPr>
    </w:p>
    <w:p>
      <w:pPr>
        <w:widowControl w:val="0"/>
        <w:shd w:val="clear" w:color="auto" w:fill="FFFFFF"/>
        <w:autoSpaceDE w:val="0"/>
        <w:autoSpaceDN w:val="0"/>
        <w:adjustRightInd w:val="0"/>
        <w:spacing w:before="230" w:after="0" w:line="269" w:lineRule="exact"/>
        <w:ind w:right="86"/>
        <w:rPr>
          <w:noProof/>
        </w:rPr>
      </w:pPr>
      <w:r>
        <w:rPr>
          <w:noProof/>
        </w:rPr>
        <w:t>Tega predloga ne spremlja ločena ocena učinka, saj je ta že bila izvedena za Uredbo (EU) št. 1286/2014. Ta predlog ne spreminja vsebine uredbe in ne ustvarja novih obveznosti za udeležence na trgu, ki jih zajema njeno področje uporabe. Nanaša se samo na odlog datuma začetka uporabe Uredbe (EU) št. 1286/2014 za 12 mesecev, da se sektorju zagotovi pravna varnost, hkrati pa se njemu in pristojnim organom omogoči, da se pripravijo na nova pravila.</w:t>
      </w:r>
    </w:p>
    <w:p>
      <w:pPr>
        <w:pBdr>
          <w:top w:val="nil"/>
          <w:left w:val="nil"/>
          <w:bottom w:val="nil"/>
          <w:right w:val="nil"/>
          <w:between w:val="nil"/>
          <w:bar w:val="nil"/>
        </w:pBdr>
        <w:spacing w:before="0" w:after="240"/>
        <w:rPr>
          <w:rFonts w:eastAsia="Arial Unicode MS"/>
          <w:noProof/>
          <w:u w:color="000000"/>
          <w:bdr w:val="nil"/>
        </w:rPr>
      </w:pPr>
      <w:r>
        <w:rPr>
          <w:noProof/>
        </w:rPr>
        <w:t xml:space="preserve"> </w:t>
      </w:r>
    </w:p>
    <w:p>
      <w:pPr>
        <w:pStyle w:val="ManualHeading1"/>
        <w:rPr>
          <w:noProof/>
        </w:rPr>
      </w:pPr>
      <w:r>
        <w:rPr>
          <w:noProof/>
        </w:rPr>
        <w:t>4.</w:t>
      </w:r>
      <w:r>
        <w:rPr>
          <w:noProof/>
        </w:rPr>
        <w:tab/>
        <w:t>PRORAČUNSKE POSLEDICE</w:t>
      </w:r>
    </w:p>
    <w:p>
      <w:pPr>
        <w:widowControl w:val="0"/>
        <w:shd w:val="clear" w:color="auto" w:fill="FFFFFF"/>
        <w:autoSpaceDE w:val="0"/>
        <w:autoSpaceDN w:val="0"/>
        <w:adjustRightInd w:val="0"/>
        <w:spacing w:before="230" w:after="0" w:line="269" w:lineRule="exact"/>
        <w:ind w:right="86"/>
        <w:rPr>
          <w:noProof/>
        </w:rPr>
      </w:pPr>
      <w:r>
        <w:rPr>
          <w:noProof/>
        </w:rPr>
        <w:t>Ta predlog ne vpliva na proračun Evropske komisije.</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2016/0355 (COD)</w:t>
      </w:r>
    </w:p>
    <w:p>
      <w:pPr>
        <w:pStyle w:val="Statut"/>
        <w:rPr>
          <w:noProof/>
        </w:rPr>
      </w:pPr>
      <w:r>
        <w:rPr>
          <w:noProof/>
        </w:rPr>
        <w:t>Predlog</w:t>
      </w:r>
    </w:p>
    <w:p>
      <w:pPr>
        <w:pStyle w:val="Typedudocument"/>
        <w:rPr>
          <w:noProof/>
        </w:rPr>
      </w:pPr>
      <w:r>
        <w:rPr>
          <w:noProof/>
        </w:rPr>
        <w:t>UREDBA EVROPSKEGA PARLAMENTA IN SVETA</w:t>
      </w:r>
    </w:p>
    <w:p>
      <w:pPr>
        <w:pStyle w:val="Titreobjet"/>
        <w:rPr>
          <w:noProof/>
        </w:rPr>
      </w:pPr>
      <w:r>
        <w:rPr>
          <w:noProof/>
        </w:rPr>
        <w:t>o spremembi Uredbe (EU) št. 1286/2014 Evropskega parlamenta in Sveta o dokumentih s ključnimi informacijami o paketnih naložbenih produktih za male vlagatelje in zavarovalnih naložbenih produktih v zvezi z datumom začetka njene uporabe</w:t>
      </w:r>
    </w:p>
    <w:p>
      <w:pPr>
        <w:pStyle w:val="IntrtEEE"/>
        <w:rPr>
          <w:noProof/>
        </w:rPr>
      </w:pPr>
      <w:r>
        <w:rPr>
          <w:noProof/>
        </w:rPr>
        <w:t>(Besedilo velja za EGP)</w:t>
      </w:r>
    </w:p>
    <w:p>
      <w:pPr>
        <w:pStyle w:val="Institutionquiagit"/>
        <w:rPr>
          <w:noProof/>
        </w:rPr>
      </w:pPr>
      <w:r>
        <w:rPr>
          <w:noProof/>
        </w:rPr>
        <w:t>EVROPSKI PARLAMENT IN SVET EVROPSKE UNIJE STA –</w:t>
      </w:r>
    </w:p>
    <w:p>
      <w:pPr>
        <w:rPr>
          <w:noProof/>
        </w:rPr>
      </w:pPr>
      <w:r>
        <w:rPr>
          <w:noProof/>
        </w:rPr>
        <w:t>ob upoštevanju Pogodbe o delovanju Evropske unije in zlasti člena 114 Pogodbe,</w:t>
      </w:r>
    </w:p>
    <w:p>
      <w:pPr>
        <w:rPr>
          <w:noProof/>
        </w:rPr>
      </w:pPr>
      <w:r>
        <w:rPr>
          <w:noProof/>
        </w:rPr>
        <w:t>ob upoštevanju predloga Evropske komisije,</w:t>
      </w:r>
    </w:p>
    <w:p>
      <w:pPr>
        <w:rPr>
          <w:noProof/>
        </w:rPr>
      </w:pPr>
      <w:r>
        <w:rPr>
          <w:noProof/>
        </w:rPr>
        <w:t>po posredovanju osnutka zakonodajnega akta nacionalnim parlamentom,</w:t>
      </w:r>
    </w:p>
    <w:p>
      <w:pPr>
        <w:rPr>
          <w:noProof/>
        </w:rPr>
      </w:pPr>
      <w:r>
        <w:rPr>
          <w:noProof/>
        </w:rPr>
        <w:t>ob upoštevanju mnenja Evropske centralne banke,</w:t>
      </w:r>
    </w:p>
    <w:p>
      <w:pPr>
        <w:rPr>
          <w:noProof/>
        </w:rPr>
      </w:pPr>
      <w:r>
        <w:rPr>
          <w:noProof/>
        </w:rPr>
        <w:t>ob upoštevanju mnenja Evropskega ekonomsko-socialnega odbora,</w:t>
      </w:r>
    </w:p>
    <w:p>
      <w:pPr>
        <w:rPr>
          <w:noProof/>
        </w:rPr>
      </w:pPr>
      <w:r>
        <w:rPr>
          <w:noProof/>
        </w:rPr>
        <w:t>v skladu z rednim zakonodajnim postopkom,</w:t>
      </w:r>
    </w:p>
    <w:p>
      <w:pPr>
        <w:rPr>
          <w:noProof/>
        </w:rPr>
      </w:pPr>
      <w:r>
        <w:rPr>
          <w:noProof/>
        </w:rPr>
        <w:t>ob upoštevanju naslednjega:</w:t>
      </w:r>
    </w:p>
    <w:p>
      <w:pPr>
        <w:pStyle w:val="ManualConsidrant"/>
        <w:rPr>
          <w:noProof/>
        </w:rPr>
      </w:pPr>
      <w:r>
        <w:t>(1)</w:t>
      </w:r>
      <w:r>
        <w:tab/>
      </w:r>
      <w:r>
        <w:rPr>
          <w:noProof/>
        </w:rPr>
        <w:t>Uredba (EU) št. 1286/2014 Evropskega parlamenta in Sveta</w:t>
      </w:r>
      <w:r>
        <w:rPr>
          <w:rStyle w:val="FootnoteReference"/>
          <w:noProof/>
        </w:rPr>
        <w:footnoteReference w:id="3"/>
      </w:r>
      <w:r>
        <w:rPr>
          <w:noProof/>
        </w:rPr>
        <w:t xml:space="preserve"> uvaja vrsto ukrepov, usmerjenih v povečanje zaščite vlagateljev in povrnitev zaupanja potrošnikov v sektor finančnih storitev s povečanjem preglednosti na trgu za male vlagatelje. Od proizvajalcev paketnih naložbenih produktov za male vlagatelje in zavarovalnih naložbenih produktov (PRIIP) zahteva pripravo dokumenta s ključnimi informacijami (KID).</w:t>
      </w:r>
    </w:p>
    <w:p>
      <w:pPr>
        <w:pStyle w:val="ManualConsidrant"/>
        <w:rPr>
          <w:noProof/>
        </w:rPr>
      </w:pPr>
      <w:r>
        <w:t>(2)</w:t>
      </w:r>
      <w:r>
        <w:tab/>
      </w:r>
      <w:r>
        <w:rPr>
          <w:noProof/>
        </w:rPr>
        <w:t>Uredba (EU) št. 1286/2014 daje evropskim nadzornim organom pooblastilo za pripravo regulativnih tehničnih standardov, ki določajo elemente KID.</w:t>
      </w:r>
    </w:p>
    <w:p>
      <w:pPr>
        <w:pStyle w:val="ManualConsidrant"/>
        <w:rPr>
          <w:noProof/>
        </w:rPr>
      </w:pPr>
      <w:r>
        <w:t>(3)</w:t>
      </w:r>
      <w:r>
        <w:tab/>
      </w:r>
      <w:r>
        <w:rPr>
          <w:noProof/>
        </w:rPr>
        <w:t>Komisija je 30. junija 2016 sprejela delegirano uredbo</w:t>
      </w:r>
      <w:r>
        <w:rPr>
          <w:rStyle w:val="FootnoteReference"/>
          <w:noProof/>
        </w:rPr>
        <w:footnoteReference w:id="4"/>
      </w:r>
      <w:r>
        <w:rPr>
          <w:noProof/>
        </w:rPr>
        <w:t>, ki določa prikaz in vsebino KID, standardizirano obliko KID, metodologijo, na podlagi katere so predstavljena tveganja in nagrade ter izračunani stroški, kot tudi pogoje in najmanjšo pogostost pregledovanja informacij, vsebovanih v KID, ter pogoje za izpolnitev zahteve po zagotovitvi KID malim vlagateljem.</w:t>
      </w:r>
    </w:p>
    <w:p>
      <w:pPr>
        <w:pStyle w:val="ManualConsidrant"/>
        <w:rPr>
          <w:noProof/>
        </w:rPr>
      </w:pPr>
      <w:r>
        <w:t>(4)</w:t>
      </w:r>
      <w:r>
        <w:tab/>
      </w:r>
      <w:r>
        <w:rPr>
          <w:noProof/>
        </w:rPr>
        <w:t xml:space="preserve">Evropski parlament je nasprotoval delegirani uredbi, ki jo je Komisija sprejela 30. junija 2016, in skupaj z veliko večino držav članic pozval k odlogu začetka uporabe Uredbe (EU) št. 1286/2014. </w:t>
      </w:r>
    </w:p>
    <w:p>
      <w:pPr>
        <w:pStyle w:val="ManualConsidrant"/>
        <w:rPr>
          <w:noProof/>
        </w:rPr>
      </w:pPr>
      <w:r>
        <w:t>(5)</w:t>
      </w:r>
      <w:r>
        <w:tab/>
      </w:r>
      <w:r>
        <w:rPr>
          <w:noProof/>
        </w:rPr>
        <w:t xml:space="preserve">Odlog začetka uporabe za dvanajst mesecev bo zadevnim subjektom zagotovil dodaten čas, da bodo lahko izpolnili nove zahteve. Zaradi teh izrednih okoliščin je primerno in utemeljeno ustrezno spremeniti Uredbo (EU) št. 1286/2014. </w:t>
      </w:r>
    </w:p>
    <w:p>
      <w:pPr>
        <w:pStyle w:val="ManualConsidrant"/>
        <w:rPr>
          <w:noProof/>
        </w:rPr>
      </w:pPr>
      <w:r>
        <w:t>(6)</w:t>
      </w:r>
      <w:r>
        <w:tab/>
      </w:r>
      <w:r>
        <w:rPr>
          <w:noProof/>
        </w:rPr>
        <w:t xml:space="preserve">Ker se bodo morale določbe iz Uredbe (EU) št. 1286/2014 kmalu začeti uporabljati, bi morala ta uredba začeti veljati takoj. </w:t>
      </w:r>
    </w:p>
    <w:p>
      <w:pPr>
        <w:pStyle w:val="ManualConsidrant"/>
        <w:rPr>
          <w:noProof/>
        </w:rPr>
      </w:pPr>
      <w:r>
        <w:t>(7)</w:t>
      </w:r>
      <w:r>
        <w:tab/>
      </w:r>
      <w:r>
        <w:rPr>
          <w:noProof/>
        </w:rPr>
        <w:t>Zato je v tem primeru tudi upravičeno uporabiti izjemo za nujne primere, določeno v členu 4 Protokola (št. 1) o vlogi nacionalnih parlamentov v Evropski uniji –</w:t>
      </w:r>
    </w:p>
    <w:p>
      <w:pPr>
        <w:pStyle w:val="Formuledadoption"/>
        <w:rPr>
          <w:noProof/>
        </w:rPr>
      </w:pPr>
      <w:r>
        <w:rPr>
          <w:noProof/>
        </w:rPr>
        <w:t>SPREJELA NASLEDNJO UREDBO:</w:t>
      </w:r>
    </w:p>
    <w:p>
      <w:pPr>
        <w:pStyle w:val="Titrearticle"/>
        <w:rPr>
          <w:noProof/>
        </w:rPr>
      </w:pPr>
      <w:r>
        <w:rPr>
          <w:noProof/>
        </w:rPr>
        <w:t>Člen 1</w:t>
      </w:r>
    </w:p>
    <w:p>
      <w:pPr>
        <w:rPr>
          <w:noProof/>
        </w:rPr>
      </w:pPr>
      <w:r>
        <w:rPr>
          <w:noProof/>
        </w:rPr>
        <w:t>V Uredbi (EU) št. 1286/2014 se drugi odstavek člena 34 nadomesti z naslednjim:</w:t>
      </w:r>
    </w:p>
    <w:p>
      <w:pPr>
        <w:ind w:firstLine="720"/>
        <w:rPr>
          <w:noProof/>
        </w:rPr>
      </w:pPr>
      <w:r>
        <w:rPr>
          <w:noProof/>
        </w:rPr>
        <w:t>„Uporablja se od 1. januarja 2018.“</w:t>
      </w:r>
    </w:p>
    <w:p>
      <w:pPr>
        <w:pStyle w:val="Titrearticle"/>
        <w:rPr>
          <w:noProof/>
        </w:rPr>
      </w:pPr>
      <w:r>
        <w:rPr>
          <w:noProof/>
        </w:rPr>
        <w:t>Člen 2</w:t>
      </w:r>
    </w:p>
    <w:p>
      <w:pPr>
        <w:rPr>
          <w:noProof/>
        </w:rPr>
      </w:pPr>
      <w:r>
        <w:rPr>
          <w:noProof/>
        </w:rPr>
        <w:t xml:space="preserve">Ta uredba začne veljati dan po objavi v </w:t>
      </w:r>
      <w:r>
        <w:rPr>
          <w:i/>
          <w:noProof/>
        </w:rPr>
        <w:t>Uradnem listu Evropske unije</w:t>
      </w:r>
      <w:r>
        <w:rPr>
          <w:noProof/>
        </w:rPr>
        <w:t>.</w:t>
      </w:r>
    </w:p>
    <w:p>
      <w:pPr>
        <w:pStyle w:val="Applicationdirecte"/>
        <w:rPr>
          <w:noProof/>
        </w:rPr>
      </w:pPr>
      <w:r>
        <w:rPr>
          <w:noProof/>
        </w:rPr>
        <w:t>Ta uredba je v celoti zavezujoča in se neposredno uporablja v vseh državah članicah.</w:t>
      </w:r>
    </w:p>
    <w:p>
      <w:pPr>
        <w:pStyle w:val="Fait"/>
        <w:rPr>
          <w:noProof/>
        </w:rPr>
      </w:pPr>
      <w:r>
        <w:rPr>
          <w:noProof/>
        </w:rPr>
        <w:t>V Bruslju,</w:t>
      </w:r>
    </w:p>
    <w:p>
      <w:pPr>
        <w:pStyle w:val="Institutionquisigne"/>
        <w:rPr>
          <w:noProof/>
        </w:rPr>
      </w:pPr>
      <w:r>
        <w:rPr>
          <w:noProof/>
        </w:rPr>
        <w:t>Za Evropski parlament</w:t>
      </w:r>
      <w:r>
        <w:rPr>
          <w:noProof/>
        </w:rPr>
        <w:tab/>
        <w:t>Za Svet</w:t>
      </w:r>
    </w:p>
    <w:p>
      <w:pPr>
        <w:pStyle w:val="Personnequisigne"/>
        <w:keepNext/>
        <w:rPr>
          <w:noProof/>
        </w:rPr>
      </w:pPr>
      <w:r>
        <w:rPr>
          <w:noProof/>
        </w:rPr>
        <w:t>Predsednik</w:t>
      </w:r>
      <w:r>
        <w:rPr>
          <w:noProof/>
        </w:rPr>
        <w:tab/>
        <w:t>Predsednik</w:t>
      </w:r>
    </w:p>
    <w:p>
      <w:pPr>
        <w:pStyle w:val="Personnequisigne"/>
        <w:rPr>
          <w:noProof/>
        </w:rPr>
      </w:pPr>
      <w:r>
        <w:rPr>
          <w:noProof/>
        </w:rPr>
        <w:t>Martin Schulz</w:t>
      </w:r>
      <w:r>
        <w:rPr>
          <w:noProof/>
        </w:rPr>
        <w:tab/>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C(2016) 3999 final.</w:t>
      </w:r>
    </w:p>
  </w:footnote>
  <w:footnote w:id="2">
    <w:p>
      <w:pPr>
        <w:pStyle w:val="FootnoteText"/>
      </w:pPr>
      <w:r>
        <w:rPr>
          <w:rStyle w:val="FootnoteReference"/>
        </w:rPr>
        <w:footnoteRef/>
      </w:r>
      <w:r>
        <w:tab/>
        <w:t>Resolucija Evropskega parlamenta z dne 14. septembra 2016 o Delegirani uredbi Komisije z dne 30. junija 2016 o dopolnitvi Uredbe (EU) št. 1286/2014 Evropskega parlamenta in Sveta o dokumentih s ključnimi informacijami o paketnih naložbenih produktih za male vlagatelje in zavarovalnih naložbenih produktih (PRIIP) z določitvijo regulativnih tehničnih standardov glede prikaza, vsebine, pregleda in revizije dokumentov s ključnimi informacijami ter pogojev za izpolnitev zahteve po posredovanju takih dokumentov (C(2016) 03999 – 2016/2816 (DEA)).</w:t>
      </w:r>
    </w:p>
  </w:footnote>
  <w:footnote w:id="3">
    <w:p>
      <w:pPr>
        <w:pStyle w:val="FootnoteText"/>
      </w:pPr>
      <w:r>
        <w:rPr>
          <w:rStyle w:val="FootnoteReference"/>
        </w:rPr>
        <w:footnoteRef/>
      </w:r>
      <w:r>
        <w:tab/>
        <w:t>Uredba (EU) št. 1286/2014 Evropskega parlamenta in Sveta z dne 26. novembra 2014 o dokumentih s ključnimi informacijami o paketnih naložbenih produktih za male vlagatelje in zavarovalnih naložbenih produktih (PRIIP) (UL L 352, 9.12.2014, str. 1).</w:t>
      </w:r>
    </w:p>
  </w:footnote>
  <w:footnote w:id="4">
    <w:p>
      <w:pPr>
        <w:pStyle w:val="FootnoteText"/>
      </w:pPr>
      <w:r>
        <w:rPr>
          <w:rStyle w:val="FootnoteReference"/>
        </w:rPr>
        <w:footnoteRef/>
      </w:r>
      <w:r>
        <w:tab/>
        <w:t>C(2016) 3999 final.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7F4581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CA0355A"/>
    <w:lvl w:ilvl="0">
      <w:start w:val="1"/>
      <w:numFmt w:val="decimal"/>
      <w:pStyle w:val="ListNumber3"/>
      <w:lvlText w:val="%1."/>
      <w:lvlJc w:val="left"/>
      <w:pPr>
        <w:tabs>
          <w:tab w:val="num" w:pos="926"/>
        </w:tabs>
        <w:ind w:left="926" w:hanging="360"/>
      </w:pPr>
    </w:lvl>
  </w:abstractNum>
  <w:abstractNum w:abstractNumId="2">
    <w:nsid w:val="FFFFFF7F"/>
    <w:multiLevelType w:val="singleLevel"/>
    <w:tmpl w:val="126AB618"/>
    <w:lvl w:ilvl="0">
      <w:start w:val="1"/>
      <w:numFmt w:val="decimal"/>
      <w:pStyle w:val="ListNumber2"/>
      <w:lvlText w:val="%1."/>
      <w:lvlJc w:val="left"/>
      <w:pPr>
        <w:tabs>
          <w:tab w:val="num" w:pos="643"/>
        </w:tabs>
        <w:ind w:left="643" w:hanging="360"/>
      </w:pPr>
    </w:lvl>
  </w:abstractNum>
  <w:abstractNum w:abstractNumId="3">
    <w:nsid w:val="FFFFFF81"/>
    <w:multiLevelType w:val="singleLevel"/>
    <w:tmpl w:val="AFA02A7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AB85C7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810A26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2ABA9B58"/>
    <w:lvl w:ilvl="0">
      <w:start w:val="1"/>
      <w:numFmt w:val="decimal"/>
      <w:pStyle w:val="ListNumber"/>
      <w:lvlText w:val="%1."/>
      <w:lvlJc w:val="left"/>
      <w:pPr>
        <w:tabs>
          <w:tab w:val="num" w:pos="360"/>
        </w:tabs>
        <w:ind w:left="360" w:hanging="360"/>
      </w:pPr>
    </w:lvl>
  </w:abstractNum>
  <w:abstractNum w:abstractNumId="7">
    <w:nsid w:val="FFFFFF89"/>
    <w:multiLevelType w:val="singleLevel"/>
    <w:tmpl w:val="7B82CD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isplayBackgroundShape/>
  <w:hideSpellingErrors/>
  <w:hideGrammaticalErrors/>
  <w:attachedTemplate r:id="rId1"/>
  <w:revisionView w:markup="0"/>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1-11 17:43:4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3"/>
    <w:docVar w:name="DQCResult_ModifiedMarkers" w:val="0;0"/>
    <w:docVar w:name="DQCResult_ModifiedNumbering" w:val="0;0"/>
    <w:docVar w:name="DQCResult_Objects" w:val="0;0"/>
    <w:docVar w:name="DQCResult_Sections" w:val="0;0"/>
    <w:docVar w:name="DQCResult_StructureCheck" w:val="0;0"/>
    <w:docVar w:name="DQCResult_SuperfluousWhitespace" w:val="0;11"/>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C128C62E5D0C4B62A067BE44F60224B4"/>
    <w:docVar w:name="LW_CROSSREFERENCE" w:val="&lt;UNUSED&gt;"/>
    <w:docVar w:name="LW_DocType" w:val="COM"/>
    <w:docVar w:name="LW_EMISSION" w:val="9.11.2016"/>
    <w:docVar w:name="LW_EMISSION_ISODATE" w:val="2016-11-09"/>
    <w:docVar w:name="LW_EMISSION_LOCATION" w:val="BRX"/>
    <w:docVar w:name="LW_EMISSION_PREFIX" w:val="Bruselj, "/>
    <w:docVar w:name="LW_EMISSION_SUFFIX" w:val=" "/>
    <w:docVar w:name="LW_ID_DOCMODEL" w:val="SJ-023"/>
    <w:docVar w:name="LW_ID_DOCSIGNATURE" w:val="SJ-023"/>
    <w:docVar w:name="LW_ID_DOCSTRUCTURE" w:val="COM/PL/ORG"/>
    <w:docVar w:name="LW_ID_DOCTYPE" w:val="SJ-023"/>
    <w:docVar w:name="LW_ID_STATUT" w:val="SJ-023"/>
    <w:docVar w:name="LW_INTERETEEE.CP" w:val="(Besedilo velja za EGP)"/>
    <w:docVar w:name="LW_LANGUE" w:val="SL"/>
    <w:docVar w:name="LW_MARKING" w:val="&lt;UNUSED&gt;"/>
    <w:docVar w:name="LW_NOM.INST" w:val="EVROPSKA KOMISIJA"/>
    <w:docVar w:name="LW_NOM.INST_JOINTDOC" w:val="&lt;EMPTY&gt;"/>
    <w:docVar w:name="LW_PART_NBR" w:val="1"/>
    <w:docVar w:name="LW_PART_NBR_TOTAL" w:val="1"/>
    <w:docVar w:name="LW_REF.II.NEW.CP" w:val="COD"/>
    <w:docVar w:name="LW_REF.II.NEW.CP_NUMBER" w:val="0355"/>
    <w:docVar w:name="LW_REF.II.NEW.CP_YEAR" w:val="2016"/>
    <w:docVar w:name="LW_REF.INST.NEW" w:val="COM"/>
    <w:docVar w:name="LW_REF.INST.NEW_ADOPTED" w:val="final"/>
    <w:docVar w:name="LW_REF.INST.NEW_TEXT" w:val="(2016) 709"/>
    <w:docVar w:name="LW_REF.INTERNE" w:val="&lt;UNUSED&gt;"/>
    <w:docVar w:name="LW_SOUS.TITRE.OBJ.CP" w:val="&lt;UNUSED&gt;"/>
    <w:docVar w:name="LW_STATUT.CP" w:val="Predlog"/>
    <w:docVar w:name="LW_SUPERTITRE" w:val="&lt;UNUSED&gt;"/>
    <w:docVar w:name="LW_TITRE.OBJ.CP" w:val="o spremembi Uredbe (EU) \u353?t. 1286/2014 Evropskega parlamenta in Sveta o dokumentih s klju\u269?nimi informacijami o paketnih nalo\u382?benih produktih za male vlagatelje in zavarovalnih nalo\u382?benih produktih v zvezi z datumom za\u269?etka njene uporabe"/>
    <w:docVar w:name="LW_TYPE.DOC.CP" w:val="UREDBA EVROPSKEGA PARLAMENTA IN SVETA"/>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spacing w:before="0" w:after="240"/>
      <w:ind w:left="720"/>
      <w:contextualSpacing/>
    </w:pPr>
    <w:rPr>
      <w:rFonts w:eastAsia="Times New Roman"/>
      <w:szCs w:val="20"/>
    </w:rPr>
  </w:style>
  <w:style w:type="character" w:customStyle="1" w:styleId="ListParagraphChar">
    <w:name w:val="List Paragraph Char"/>
    <w:link w:val="ListParagraph"/>
    <w:uiPriority w:val="34"/>
    <w:locked/>
    <w:rPr>
      <w:rFonts w:ascii="Times New Roman" w:eastAsia="Times New Roman" w:hAnsi="Times New Roman" w:cs="Times New Roman"/>
      <w:sz w:val="24"/>
      <w:szCs w:val="20"/>
      <w:lang w:val="sl-S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sl-S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l-SI"/>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l-SI"/>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first-name">
    <w:name w:val="first-name"/>
    <w:basedOn w:val="DefaultParagraphFont"/>
  </w:style>
  <w:style w:type="character" w:customStyle="1" w:styleId="last-name">
    <w:name w:val="last-name"/>
    <w:basedOn w:val="DefaultParagraphFont"/>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spacing w:before="0" w:after="240"/>
      <w:ind w:left="720"/>
      <w:contextualSpacing/>
    </w:pPr>
    <w:rPr>
      <w:rFonts w:eastAsia="Times New Roman"/>
      <w:szCs w:val="20"/>
    </w:rPr>
  </w:style>
  <w:style w:type="character" w:customStyle="1" w:styleId="ListParagraphChar">
    <w:name w:val="List Paragraph Char"/>
    <w:link w:val="ListParagraph"/>
    <w:uiPriority w:val="34"/>
    <w:locked/>
    <w:rPr>
      <w:rFonts w:ascii="Times New Roman" w:eastAsia="Times New Roman" w:hAnsi="Times New Roman" w:cs="Times New Roman"/>
      <w:sz w:val="24"/>
      <w:szCs w:val="20"/>
      <w:lang w:val="sl-S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sl-S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l-SI"/>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l-SI"/>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first-name">
    <w:name w:val="first-name"/>
    <w:basedOn w:val="DefaultParagraphFont"/>
  </w:style>
  <w:style w:type="character" w:customStyle="1" w:styleId="last-name">
    <w:name w:val="last-name"/>
    <w:basedOn w:val="DefaultParagraphFont"/>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92D4A-42FC-429D-B7D2-A4F84E811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6</Pages>
  <Words>1106</Words>
  <Characters>6564</Characters>
  <Application>Microsoft Office Word</Application>
  <DocSecurity>0</DocSecurity>
  <Lines>133</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2016-10-21T09:38:00Z</cp:lastPrinted>
  <dcterms:created xsi:type="dcterms:W3CDTF">2016-11-11T15:50:00Z</dcterms:created>
  <dcterms:modified xsi:type="dcterms:W3CDTF">2016-11-11T16:43:00Z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