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25EC3A3E6B849E9AABAEE18E4EC4C59" style="width:450.8pt;height:365.6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OBRAZLOŽITVENI MEMORANDUM</w:t>
      </w:r>
    </w:p>
    <w:p>
      <w:pPr>
        <w:pStyle w:val="ManualHeading1"/>
        <w:rPr>
          <w:noProof/>
        </w:rPr>
      </w:pPr>
      <w:r>
        <w:rPr>
          <w:noProof/>
        </w:rPr>
        <w:t>1.</w:t>
      </w:r>
      <w:r>
        <w:rPr>
          <w:noProof/>
        </w:rPr>
        <w:tab/>
        <w:t>OZADJE PREDLOGA</w:t>
      </w:r>
    </w:p>
    <w:p>
      <w:pPr>
        <w:pStyle w:val="ManualHeading2"/>
        <w:rPr>
          <w:rFonts w:eastAsia="Arial Unicode MS"/>
          <w:noProof/>
        </w:rPr>
      </w:pPr>
      <w:r>
        <w:rPr>
          <w:noProof/>
        </w:rPr>
        <w:tab/>
        <w:t>Razlogi za predlog in njegovi cilji</w:t>
      </w:r>
    </w:p>
    <w:p>
      <w:pPr>
        <w:pStyle w:val="Text1"/>
        <w:ind w:firstLine="1"/>
        <w:rPr>
          <w:noProof/>
        </w:rPr>
      </w:pPr>
      <w:r>
        <w:rPr>
          <w:noProof/>
        </w:rPr>
        <w:t xml:space="preserve">Še vedno trajajoča finančna in gospodarska kriza močno pritiska na nacionalne finančne vire, medtem ko države članice izvajajo potrebne ukrepe za fiskalno konsolidacijo. V tem okviru je zagotavljanje nemotenega izvajanja programov, ki se financirajo s sredstvi evropskih strukturnih in investicijskih skladov (skladi ESI), velikega pomena za naložbe v rast in delovna mesta. </w:t>
      </w:r>
    </w:p>
    <w:p>
      <w:pPr>
        <w:pStyle w:val="Text1"/>
        <w:rPr>
          <w:noProof/>
        </w:rPr>
      </w:pPr>
      <w:r>
        <w:rPr>
          <w:noProof/>
        </w:rPr>
        <w:t xml:space="preserve">Izvajanje programov je pogosto zahtevno, ne nazadnje tudi zaradi likvidnostih težav, ki izhajajo iz fiskalne konsolidacije. To še zlasti velja za tiste države članice, ki jih je kriza najbolj prizadela in ki so prejele finančno pomoč v okviru programa prilagajanja. </w:t>
      </w:r>
    </w:p>
    <w:p>
      <w:pPr>
        <w:pStyle w:val="Text1"/>
        <w:rPr>
          <w:noProof/>
        </w:rPr>
      </w:pPr>
      <w:r>
        <w:rPr>
          <w:noProof/>
        </w:rPr>
        <w:t>Da bi zagotovili, da bodo te države članice še naprej izvajale programe skladov ESI na terenu in izplačevale sredstva projektom, člen 24 Uredbe (EU) št. 1303/2013 Evropskega parlamenta in Sveta z dne 17. decembra 2013</w:t>
      </w:r>
      <w:r>
        <w:rPr>
          <w:rStyle w:val="FootnoteReference"/>
          <w:noProof/>
        </w:rPr>
        <w:footnoteReference w:id="1"/>
      </w:r>
      <w:r>
        <w:rPr>
          <w:noProof/>
        </w:rPr>
        <w:t xml:space="preserve"> Komisiji omogoča, da državam, ki so prejele finančno pomoč po 21. decembru 2013, nameni višja plačila (v nadaljnjem besedilu: zvišanje) od 1. januarja 2014 do 30. junija 2016.</w:t>
      </w:r>
    </w:p>
    <w:p>
      <w:pPr>
        <w:pStyle w:val="Text1"/>
        <w:rPr>
          <w:noProof/>
        </w:rPr>
      </w:pPr>
      <w:r>
        <w:rPr>
          <w:noProof/>
        </w:rPr>
        <w:t>V navedenem obdobju je bilo do zvišanja upravičenih pet držav, in sicer Ciper, Grčija, Irska, Portugalska in Romunija.</w:t>
      </w:r>
    </w:p>
    <w:p>
      <w:pPr>
        <w:pStyle w:val="Text1"/>
        <w:rPr>
          <w:noProof/>
        </w:rPr>
      </w:pPr>
      <w:r>
        <w:rPr>
          <w:noProof/>
        </w:rPr>
        <w:t>Poleg tega člen 120 Uredbe (EU) št. 1303/2013 določa, da je stopnja sofinanciranja na ravni vsake prednostne osi vseh operativnih programov, ki se financirajo s sredstvi ESRR in ESS, za obdobje od 1. januarja 2014 do 30. junija 2017 na Cipru 85-odstotna, namesto 50-odstotne, ki se uporablja za bolj razvite regije</w:t>
      </w:r>
      <w:r>
        <w:rPr>
          <w:rStyle w:val="FootnoteReference"/>
          <w:noProof/>
        </w:rPr>
        <w:footnoteReference w:id="2"/>
      </w:r>
      <w:r>
        <w:rPr>
          <w:noProof/>
        </w:rPr>
        <w:t>. Ta izjemna stopnja sofinanciranja je bila Cipru dodeljena zaradi nestabilnosti njegovega gospodarstva. Omogoča lažji prehod iz obdobja velikih potreb po javnih naložbah na eni strani k prizadevanjem za konsolidacijo javnih financ na drugi strani, saj povečuje potrebni fiskalni manevrski prostor za naložbe, financirane s sredstvi kohezijske politike.</w:t>
      </w:r>
    </w:p>
    <w:p>
      <w:pPr>
        <w:pStyle w:val="Text1"/>
        <w:rPr>
          <w:noProof/>
        </w:rPr>
      </w:pPr>
      <w:r>
        <w:rPr>
          <w:noProof/>
        </w:rPr>
        <w:t>Komisija mora v skladu s členoma 24(3) in 120(3) Uredbe (EU) št. 1303/2013 ti finančni določbi pregledati ter pred 30. junijem 2016 po potrebi predložiti ustrezen zakonodajni predlog za njuno morebitno podaljšanje.</w:t>
      </w:r>
    </w:p>
    <w:p>
      <w:pPr>
        <w:pStyle w:val="Text1"/>
        <w:rPr>
          <w:noProof/>
        </w:rPr>
      </w:pPr>
      <w:r>
        <w:rPr>
          <w:noProof/>
        </w:rPr>
        <w:t>Trenutni predlog bi Komisiji omogočal nadaljnja višja plačila kateri koli državi članici, ki bo prejemala finančno pomoč po 30. juniju 2016, v obdobju njene vključenosti v ta mehanizem podpore, ne da bi se spremenila skupna dodelitev iz skladov ESI v obdobju 2014–2020. Poleg tega bi predlog Cipru omogočil, da do zaključka programa uporablja najvišjo 85-odstotno stopnjo sofinanciranja za Ciper.</w:t>
      </w:r>
    </w:p>
    <w:p>
      <w:pPr>
        <w:pStyle w:val="Text1"/>
        <w:rPr>
          <w:noProof/>
        </w:rPr>
      </w:pPr>
      <w:r>
        <w:rPr>
          <w:noProof/>
        </w:rPr>
        <w:t>Z ukrepi bi se zagotovila dodatna finančna sredstva ali potrebna prožnost proračuna za lažje izvajanje programov skladov ESI na terenu.</w:t>
      </w:r>
    </w:p>
    <w:p>
      <w:pPr>
        <w:pStyle w:val="ManualHeading2"/>
        <w:rPr>
          <w:noProof/>
        </w:rPr>
      </w:pPr>
      <w:r>
        <w:rPr>
          <w:noProof/>
        </w:rPr>
        <w:tab/>
      </w:r>
      <w:r>
        <w:rPr>
          <w:noProof/>
          <w:color w:val="000000"/>
          <w:u w:color="000000"/>
          <w:bdr w:val="nil"/>
        </w:rPr>
        <w:t>Splošno ozadje in obstoječe določbe na področju, na katero se nanaša predlog</w:t>
      </w:r>
    </w:p>
    <w:p>
      <w:pPr>
        <w:pStyle w:val="Text1"/>
        <w:rPr>
          <w:noProof/>
        </w:rPr>
      </w:pPr>
      <w:r>
        <w:rPr>
          <w:noProof/>
        </w:rPr>
        <w:t xml:space="preserve">Člen 24 Uredbe (EU) št. 1303/2013 določa, da se lahko vmesna plačila na zahtevo države članice z začasnimi proračunskimi težavami, tj. držav članic, ki so prejele finančno podporo v okviru programa prilagajanja po 21. decembru 2013, zvišajo za 10 odstotnih točk nad stopnjo sofinanciranja, ki se uporablja za vsako prednostno nalogo iz ESRR, ESS in Kohezijskega sklada ali vsak ukrep iz skladov EKSRP in ESPR, če država članica predloži ustrezno zahtevo. Ta določba se trenutno uporablja do 30. junija 2016. </w:t>
      </w:r>
    </w:p>
    <w:p>
      <w:pPr>
        <w:pStyle w:val="Text1"/>
        <w:rPr>
          <w:noProof/>
        </w:rPr>
      </w:pPr>
      <w:r>
        <w:rPr>
          <w:noProof/>
        </w:rPr>
        <w:t>Člen 120(3) Uredbe (EU) št. 1303/2013 določa, da je najvišja stopnja sofinanciranja na ravni vsake prednostne osi vseh operativnih programov, ki se financirajo s sredstvi ESRR in ESS, za obdobje od 1. januarja 2014 do 30. junija 2017 na Cipru 85-odstotna, namesto 50-odstotne, ki se uporablja za bolj razvite regije.</w:t>
      </w:r>
    </w:p>
    <w:p>
      <w:pPr>
        <w:pStyle w:val="ManualHeading2"/>
        <w:rPr>
          <w:rFonts w:eastAsia="Arial Unicode MS"/>
          <w:noProof/>
        </w:rPr>
      </w:pPr>
      <w:r>
        <w:rPr>
          <w:noProof/>
        </w:rPr>
        <w:tab/>
        <w:t>Skladnost z drugimi politikami Unije</w:t>
      </w:r>
    </w:p>
    <w:p>
      <w:pPr>
        <w:pStyle w:val="Text1"/>
        <w:rPr>
          <w:noProof/>
        </w:rPr>
      </w:pPr>
      <w:r>
        <w:rPr>
          <w:noProof/>
        </w:rPr>
        <w:t>Predlog je skladen z drugimi cilji in pobudami, ki jih je Evropska komisija sprejela kot odziv na finančno krizo.</w:t>
      </w:r>
    </w:p>
    <w:p>
      <w:pPr>
        <w:pStyle w:val="ManualHeading1"/>
        <w:rPr>
          <w:noProof/>
        </w:rPr>
      </w:pPr>
      <w:r>
        <w:rPr>
          <w:noProof/>
        </w:rPr>
        <w:t>2.</w:t>
      </w:r>
      <w:r>
        <w:rPr>
          <w:noProof/>
        </w:rPr>
        <w:tab/>
        <w:t>PRAVNA PODLAGA, SUBSIDIARNOST IN SORAZMERNOST</w:t>
      </w:r>
    </w:p>
    <w:p>
      <w:pPr>
        <w:pStyle w:val="ManualHeading2"/>
        <w:rPr>
          <w:rFonts w:eastAsia="Arial Unicode MS"/>
          <w:noProof/>
          <w:u w:color="000000"/>
          <w:bdr w:val="nil"/>
        </w:rPr>
      </w:pPr>
      <w:r>
        <w:rPr>
          <w:noProof/>
        </w:rPr>
        <w:tab/>
        <w:t>Pravna podlaga</w:t>
      </w:r>
    </w:p>
    <w:p>
      <w:pPr>
        <w:pStyle w:val="Text1"/>
        <w:rPr>
          <w:noProof/>
        </w:rPr>
      </w:pPr>
      <w:r>
        <w:rPr>
          <w:noProof/>
        </w:rPr>
        <w:t>Uredba (EU) št. 1303/2013 določa skupna pravila, ki se uporabljajo za sklade ESI. Na podlagi načela deljenega upravljanja med Komisijo in državami članicami zajema ta uredba določbe o postopku načrtovanja programov ter pravila za upravljanje programa (vključno s finančnim upravljanjem), spremljanje, finančni nadzor in vrednotenje projektov.</w:t>
      </w:r>
    </w:p>
    <w:p>
      <w:pPr>
        <w:pStyle w:val="Text1"/>
        <w:rPr>
          <w:noProof/>
        </w:rPr>
      </w:pPr>
      <w:r>
        <w:rPr>
          <w:noProof/>
        </w:rPr>
        <w:t>Komisija mora v skladu s členoma 24(3) in 120(3) Uredbe (EU) št. 1303/2013 ti finančni določbi pregledati in pred 30. junijem 2016 po potrebi predložiti ustrezen zakonodajni predlog za njuno morebitno podaljšanje.</w:t>
      </w:r>
    </w:p>
    <w:p>
      <w:pPr>
        <w:pStyle w:val="ManualHeading2"/>
        <w:rPr>
          <w:rFonts w:eastAsia="Arial Unicode MS"/>
          <w:noProof/>
          <w:u w:color="000000"/>
          <w:bdr w:val="nil"/>
        </w:rPr>
      </w:pPr>
      <w:r>
        <w:rPr>
          <w:noProof/>
        </w:rPr>
        <w:tab/>
        <w:t xml:space="preserve">Subsidiarnost (za neizključno pristojnost) </w:t>
      </w:r>
    </w:p>
    <w:p>
      <w:pPr>
        <w:pStyle w:val="Text1"/>
        <w:rPr>
          <w:noProof/>
        </w:rPr>
      </w:pPr>
      <w:r>
        <w:rPr>
          <w:noProof/>
        </w:rPr>
        <w:t>Predlog je v skladu z načelom subsidiarnosti, saj zagotavlja nadaljnjo povečano podporo prek skladov ESI nekaterim državam članicam, ki imajo resne težave, zlasti z gospodarsko rastjo in finančno stabilnostjo ter povečanjem primanjkljaja in dolgov, tudi zaradi mednarodnih gospodarskih in finančnih razmer. V tem okviru je treba na ravni Evropske unije vzpostaviti začasni mehanizem, ki Evropski komisiji omogoča povečanje povračila na podlagi potrjenih izdatkov v okviru skladov ESI ter zagotovitev višje stopnje sofinanciranja za vse operativne programe, financirane s sredstvi ESRR in ESS, na Cipru.</w:t>
      </w:r>
    </w:p>
    <w:p>
      <w:pPr>
        <w:pStyle w:val="ManualHeading2"/>
        <w:rPr>
          <w:rFonts w:eastAsia="Arial Unicode MS"/>
          <w:noProof/>
          <w:u w:color="000000"/>
          <w:bdr w:val="nil"/>
        </w:rPr>
      </w:pPr>
      <w:r>
        <w:rPr>
          <w:noProof/>
        </w:rPr>
        <w:tab/>
        <w:t>Sorazmernost</w:t>
      </w:r>
    </w:p>
    <w:p>
      <w:pPr>
        <w:pStyle w:val="Text1"/>
        <w:rPr>
          <w:noProof/>
        </w:rPr>
      </w:pPr>
      <w:r>
        <w:rPr>
          <w:noProof/>
        </w:rPr>
        <w:t>Predlog je skladen z načelom sorazmernosti:</w:t>
      </w:r>
    </w:p>
    <w:p>
      <w:pPr>
        <w:pStyle w:val="Text1"/>
        <w:rPr>
          <w:noProof/>
        </w:rPr>
      </w:pPr>
      <w:r>
        <w:rPr>
          <w:noProof/>
        </w:rPr>
        <w:t xml:space="preserve">Podaljšanje obdobja višjih vmesnih izplačil je sorazmerno glede na še vedno trajajočo gospodarsko krizo in druga prizadevanja v podporo državam članicam s proračunskimi težavami, ki so upravičene do finančne pomoči v okviru programa prilagajanja. </w:t>
      </w:r>
    </w:p>
    <w:p>
      <w:pPr>
        <w:pStyle w:val="Text1"/>
        <w:rPr>
          <w:noProof/>
        </w:rPr>
      </w:pPr>
      <w:r>
        <w:rPr>
          <w:noProof/>
        </w:rPr>
        <w:t>Podaljšanje uporabe višje stopnje sofinanciranja za Ciper je sorazmerno glede na negotov položaj ciprskega gospodarstva. Omogočilo bo lažji prehod iz obdobja velikih potreb po javnih naložbah na Cipru na eni strani k prizadevanjem za konsolidacijo javnih financ na drugi strani, saj povečuje potrebni fiskalni manevrski prostor za naložbe.</w:t>
      </w:r>
    </w:p>
    <w:p>
      <w:pPr>
        <w:pStyle w:val="ManualHeading2"/>
        <w:rPr>
          <w:rFonts w:eastAsia="Arial Unicode MS"/>
          <w:noProof/>
          <w:u w:color="000000"/>
          <w:bdr w:val="nil"/>
        </w:rPr>
      </w:pPr>
      <w:r>
        <w:rPr>
          <w:noProof/>
        </w:rPr>
        <w:tab/>
        <w:t>Izbira instrumenta</w:t>
      </w:r>
    </w:p>
    <w:p>
      <w:pPr>
        <w:pStyle w:val="Text1"/>
        <w:rPr>
          <w:noProof/>
        </w:rPr>
      </w:pPr>
      <w:r>
        <w:rPr>
          <w:noProof/>
        </w:rPr>
        <w:t>Predlagani instrument: sprememba trenutno veljavne uredbe.</w:t>
      </w:r>
    </w:p>
    <w:p>
      <w:pPr>
        <w:pStyle w:val="Text1"/>
        <w:rPr>
          <w:noProof/>
        </w:rPr>
      </w:pPr>
      <w:r>
        <w:rPr>
          <w:noProof/>
        </w:rPr>
        <w:t>Komisija je preučila manevrski prostor, ki ga zagotavlja pravni okvir, in meni, da je glede na dosedanje izkušnje treba predlagati spremembe splošne uredbe.</w:t>
      </w:r>
    </w:p>
    <w:p>
      <w:pPr>
        <w:pStyle w:val="ManualHeading1"/>
        <w:rPr>
          <w:noProof/>
        </w:rPr>
      </w:pPr>
      <w:r>
        <w:rPr>
          <w:noProof/>
        </w:rPr>
        <w:t>3.</w:t>
      </w:r>
      <w:r>
        <w:rPr>
          <w:noProof/>
        </w:rPr>
        <w:tab/>
        <w:t>REZULTATI NAKNADNIH OCEN, POSVETOVANJ Z ZAINTERESIRANIMI STRANMI IN OCEN UČINKA</w:t>
      </w:r>
    </w:p>
    <w:p>
      <w:pPr>
        <w:pStyle w:val="ManualHeading2"/>
        <w:rPr>
          <w:rFonts w:eastAsia="Arial Unicode MS"/>
          <w:noProof/>
          <w:u w:color="000000"/>
          <w:bdr w:val="nil"/>
        </w:rPr>
      </w:pPr>
      <w:r>
        <w:rPr>
          <w:noProof/>
        </w:rPr>
        <w:tab/>
        <w:t>Naknadne ocene/preverjanja ustreznosti obstoječe zakonodaje</w:t>
      </w:r>
    </w:p>
    <w:p>
      <w:pPr>
        <w:pStyle w:val="Text1"/>
        <w:rPr>
          <w:noProof/>
        </w:rPr>
      </w:pPr>
      <w:r>
        <w:rPr>
          <w:noProof/>
        </w:rPr>
        <w:t>Naknadnih ocen/preverjanj ustreznosti obstoječe zakonodaje ni bilo.</w:t>
      </w:r>
    </w:p>
    <w:p>
      <w:pPr>
        <w:pStyle w:val="ManualHeading2"/>
        <w:rPr>
          <w:rFonts w:eastAsia="Arial Unicode MS"/>
          <w:noProof/>
          <w:u w:color="000000"/>
          <w:bdr w:val="nil"/>
        </w:rPr>
      </w:pPr>
      <w:r>
        <w:rPr>
          <w:noProof/>
        </w:rPr>
        <w:tab/>
        <w:t>Posvetovanja z zainteresiranimi stranmi</w:t>
      </w:r>
    </w:p>
    <w:p>
      <w:pPr>
        <w:pStyle w:val="Text1"/>
        <w:rPr>
          <w:noProof/>
        </w:rPr>
      </w:pPr>
      <w:r>
        <w:rPr>
          <w:noProof/>
        </w:rPr>
        <w:t>Posvetovanja z zunanjimi zainteresiranimi stranmi ni bilo.</w:t>
      </w:r>
    </w:p>
    <w:p>
      <w:pPr>
        <w:pStyle w:val="ManualHeading2"/>
        <w:rPr>
          <w:rFonts w:eastAsia="Arial Unicode MS"/>
          <w:noProof/>
          <w:u w:color="000000"/>
          <w:bdr w:val="nil"/>
        </w:rPr>
      </w:pPr>
      <w:r>
        <w:rPr>
          <w:noProof/>
        </w:rPr>
        <w:tab/>
        <w:t>Zbiranje in uporaba strokovnih mnenj</w:t>
      </w:r>
    </w:p>
    <w:p>
      <w:pPr>
        <w:pStyle w:val="Text1"/>
        <w:rPr>
          <w:noProof/>
        </w:rPr>
      </w:pPr>
      <w:r>
        <w:rPr>
          <w:noProof/>
        </w:rPr>
        <w:t>Zunanje izvedensko mnenje ni bilo potrebno.</w:t>
      </w:r>
    </w:p>
    <w:p>
      <w:pPr>
        <w:pStyle w:val="ManualHeading2"/>
        <w:rPr>
          <w:rFonts w:eastAsia="Arial Unicode MS"/>
          <w:noProof/>
          <w:u w:color="000000"/>
          <w:bdr w:val="nil"/>
        </w:rPr>
      </w:pPr>
      <w:r>
        <w:rPr>
          <w:noProof/>
        </w:rPr>
        <w:tab/>
        <w:t>Ocena učinka</w:t>
      </w:r>
    </w:p>
    <w:p>
      <w:pPr>
        <w:pStyle w:val="Text1"/>
        <w:rPr>
          <w:noProof/>
        </w:rPr>
      </w:pPr>
      <w:r>
        <w:rPr>
          <w:noProof/>
        </w:rPr>
        <w:t>Predlog bi Komisiji omogočil višja plačila državi članici v okviru programa prilagajanja po 30. juniju 2016. Obsegal bi obdobje do 30. junija leta, ki sledi koledarskemu letu, v katerem država članica preneha prejemati finančno pomoč. Ta pristop je v skladu z obračunskim letom skladov ESI, ki vključuje obdobje od 1. julija do 30. junija. Obdobje upravičenosti bi se podaljšalo do največ 18 mesecev.</w:t>
      </w:r>
    </w:p>
    <w:p>
      <w:pPr>
        <w:pStyle w:val="Text1"/>
        <w:rPr>
          <w:noProof/>
        </w:rPr>
      </w:pPr>
      <w:r>
        <w:rPr>
          <w:noProof/>
        </w:rPr>
        <w:t>Plačila se bodo povečala za znesek, ki bo izračunan tako, da se bodo stopnje sofinanciranja, ki se uporabljajo za prednostne naloge (v okviru ESRR, ESS in Kohezijskega sklada) ali ukrepe programov (v okviru EKSRP in ESPR), povečale za deset odstotnih točk za potrjene izdatke, predložene v zadevnem časovnem obdobju, dokler ne bo dosežena zgornja meja plačil.</w:t>
      </w:r>
    </w:p>
    <w:p>
      <w:pPr>
        <w:pStyle w:val="Text1"/>
        <w:rPr>
          <w:noProof/>
        </w:rPr>
      </w:pPr>
      <w:r>
        <w:rPr>
          <w:noProof/>
        </w:rPr>
        <w:t>Poleg tega bi predlog Komisiji omogočil, da izjemno 85-odstotno stopnjo sofinanciranja za ESRR in ESS na Cipru podaljša do zaključka programa.</w:t>
      </w:r>
    </w:p>
    <w:p>
      <w:pPr>
        <w:pStyle w:val="Text1"/>
        <w:rPr>
          <w:noProof/>
        </w:rPr>
      </w:pPr>
      <w:r>
        <w:rPr>
          <w:noProof/>
        </w:rPr>
        <w:t>Skupna dodeljena finančna sredstva iz skladov za zadevne države in programe se v tem obdobju ne bodo spremenila.</w:t>
      </w:r>
    </w:p>
    <w:p>
      <w:pPr>
        <w:pStyle w:val="ManualHeading2"/>
        <w:rPr>
          <w:rFonts w:eastAsia="Arial Unicode MS"/>
          <w:noProof/>
          <w:u w:color="000000"/>
          <w:bdr w:val="nil"/>
        </w:rPr>
      </w:pPr>
      <w:r>
        <w:rPr>
          <w:noProof/>
        </w:rPr>
        <w:tab/>
        <w:t>Ustreznost in poenostavitev ureditve</w:t>
      </w:r>
    </w:p>
    <w:p>
      <w:pPr>
        <w:pStyle w:val="Text1"/>
        <w:rPr>
          <w:noProof/>
        </w:rPr>
      </w:pPr>
      <w:r>
        <w:rPr>
          <w:noProof/>
        </w:rPr>
        <w:t>To ni pobuda v okviru programa ustreznosti predpisov (REFIT).</w:t>
      </w:r>
    </w:p>
    <w:p>
      <w:pPr>
        <w:pStyle w:val="ManualHeading2"/>
        <w:rPr>
          <w:rFonts w:eastAsia="Arial Unicode MS"/>
          <w:noProof/>
          <w:u w:color="000000"/>
          <w:bdr w:val="nil"/>
        </w:rPr>
      </w:pPr>
      <w:r>
        <w:rPr>
          <w:noProof/>
        </w:rPr>
        <w:tab/>
        <w:t>Temeljne pravice</w:t>
      </w:r>
    </w:p>
    <w:p>
      <w:pPr>
        <w:pStyle w:val="Text1"/>
        <w:rPr>
          <w:noProof/>
        </w:rPr>
      </w:pPr>
      <w:r>
        <w:rPr>
          <w:noProof/>
        </w:rPr>
        <w:t>Predlog nima posledic za varstvo temeljnih pravic.</w:t>
      </w:r>
    </w:p>
    <w:p>
      <w:pPr>
        <w:pStyle w:val="ManualHeading1"/>
        <w:rPr>
          <w:noProof/>
        </w:rPr>
      </w:pPr>
      <w:r>
        <w:rPr>
          <w:noProof/>
        </w:rPr>
        <w:t>4.</w:t>
      </w:r>
      <w:r>
        <w:rPr>
          <w:noProof/>
        </w:rPr>
        <w:tab/>
        <w:t>PRORAČUNSKE POSLEDICE</w:t>
      </w:r>
    </w:p>
    <w:p>
      <w:pPr>
        <w:pStyle w:val="Text1"/>
        <w:rPr>
          <w:noProof/>
        </w:rPr>
      </w:pPr>
      <w:r>
        <w:rPr>
          <w:noProof/>
        </w:rPr>
        <w:t>Posledic za odobritve za prevzem obveznosti ni, ker ni predlagana nobena sprememba najvišjih zneskov financiranja skladov ESI iz operativnih programov za programsko obdobje 2014–2020.</w:t>
      </w:r>
    </w:p>
    <w:p>
      <w:pPr>
        <w:pStyle w:val="Text1"/>
        <w:rPr>
          <w:noProof/>
        </w:rPr>
      </w:pPr>
      <w:r>
        <w:rPr>
          <w:noProof/>
        </w:rPr>
        <w:t>Kar zadeva odobritev plačil v zvezi z razširitvijo določbe o zvišanju v skladu s členom 24, ima lahko predlog za posledico povečanje povračil zadevnim državam članicam. Dodatne odobritve plačil za ta predlog lahko vključujejo začasno povečanje odobritev plačil, kar bi se ob koncu programskega obdobja 2014–2020 izravnalo z nižjimi plačili. Opozoriti je treba, da predlagana sprememba ne pomeni nobene spremembe letnih zgornjih mej prevzemanja obveznosti in plačil v večletnem finančnem okviru, ki so določene v Prilogi I k Uredbi (EU) št. 1311/2013.</w:t>
      </w:r>
    </w:p>
    <w:p>
      <w:pPr>
        <w:pStyle w:val="ManualHeading1"/>
        <w:rPr>
          <w:noProof/>
        </w:rPr>
      </w:pPr>
      <w:r>
        <w:rPr>
          <w:noProof/>
        </w:rPr>
        <w:t>5.</w:t>
      </w:r>
      <w:r>
        <w:rPr>
          <w:noProof/>
        </w:rPr>
        <w:tab/>
        <w:t>DRUGI ELEMENTI</w:t>
      </w:r>
    </w:p>
    <w:p>
      <w:pPr>
        <w:pStyle w:val="ManualHeading2"/>
        <w:rPr>
          <w:rFonts w:eastAsia="Arial Unicode MS"/>
          <w:noProof/>
          <w:u w:color="000000"/>
          <w:bdr w:val="nil"/>
        </w:rPr>
      </w:pPr>
      <w:r>
        <w:rPr>
          <w:noProof/>
        </w:rPr>
        <w:tab/>
        <w:t>Načrti za izvedbo ter ureditev spremljanja, ocenjevanja in poročanja</w:t>
      </w:r>
    </w:p>
    <w:p>
      <w:pPr>
        <w:pStyle w:val="Text1"/>
        <w:rPr>
          <w:noProof/>
        </w:rPr>
      </w:pPr>
      <w:r>
        <w:rPr>
          <w:noProof/>
        </w:rPr>
        <w:t>Ni relevantno. Pri spremljanju izvajanja tega predloga se lahko uporabijo obstoječi sistemi izvajanja skladov ESI.</w:t>
      </w:r>
    </w:p>
    <w:p>
      <w:pPr>
        <w:pStyle w:val="ManualHeading2"/>
        <w:rPr>
          <w:rFonts w:eastAsia="Arial Unicode MS"/>
          <w:noProof/>
          <w:u w:color="000000"/>
          <w:bdr w:val="nil"/>
        </w:rPr>
      </w:pPr>
      <w:r>
        <w:rPr>
          <w:noProof/>
        </w:rPr>
        <w:tab/>
        <w:t>Obrazložitveni dokumenti (za direktive)</w:t>
      </w:r>
    </w:p>
    <w:p>
      <w:pPr>
        <w:pStyle w:val="Text1"/>
        <w:rPr>
          <w:noProof/>
        </w:rPr>
      </w:pPr>
      <w:r>
        <w:rPr>
          <w:noProof/>
        </w:rPr>
        <w:t>Ni relevantno.</w:t>
      </w:r>
    </w:p>
    <w:p>
      <w:pPr>
        <w:pStyle w:val="ManualHeading2"/>
        <w:rPr>
          <w:rFonts w:eastAsia="Arial Unicode MS"/>
          <w:noProof/>
          <w:u w:color="000000"/>
          <w:bdr w:val="nil"/>
        </w:rPr>
      </w:pPr>
      <w:r>
        <w:rPr>
          <w:noProof/>
        </w:rPr>
        <w:tab/>
        <w:t>Natančnejša pojasnitev posameznih določb predloga</w:t>
      </w:r>
    </w:p>
    <w:p>
      <w:pPr>
        <w:pStyle w:val="Text1"/>
        <w:rPr>
          <w:noProof/>
        </w:rPr>
      </w:pPr>
      <w:r>
        <w:rPr>
          <w:noProof/>
        </w:rPr>
        <w:t>Ker so bili Grčija, Ciper, Irska, Romunija in Portugalska po 21. decembru 2013 vključeni v program prilagajanja, kot je opredeljen v členu 24(1) Uredbe (EU) št. 1303/2013, je bilo teh pet držav upravičenih do 10-odstotnega zvišanja vmesnih plačil, predloženih pred 30. junijem 2016. Programi finančne pomoči za Ciper, Irsko, Portugalsko in Romunijo so se že iztekli. To pomeni, da bo Grčija edina država, ki bo 30. junija 2016 vključena v program prilagajanja.</w:t>
      </w:r>
    </w:p>
    <w:p>
      <w:pPr>
        <w:pStyle w:val="Text1"/>
        <w:rPr>
          <w:noProof/>
        </w:rPr>
      </w:pPr>
      <w:r>
        <w:rPr>
          <w:noProof/>
        </w:rPr>
        <w:t>Nadaljnja revizija upravičenosti do zvišanja v obdobju 2014–2020 ne bi bila nujna, saj države, vključene v programe prilagodljivosti, potrebujejo zagotovila v zvezi z obdobjem in višino plačil EU.</w:t>
      </w:r>
    </w:p>
    <w:p>
      <w:pPr>
        <w:pStyle w:val="Text1"/>
        <w:rPr>
          <w:noProof/>
        </w:rPr>
      </w:pPr>
      <w:r>
        <w:rPr>
          <w:noProof/>
        </w:rPr>
        <w:t>Ker je Ciper marca 2013 z EU podpisal program prilagajanja, člen 120(3) Uredbe (EU) št. 1303/2013 določa izjemno 85-odstotno stopnjo sofinanciranja za vse operativne programe, financirane s sredstvi ESRR in ESS, na Cipru od 1. januarja 2014 do 30. junija 2017.</w:t>
      </w:r>
    </w:p>
    <w:p>
      <w:pPr>
        <w:pStyle w:val="Text1"/>
        <w:rPr>
          <w:noProof/>
        </w:rPr>
      </w:pPr>
      <w:r>
        <w:rPr>
          <w:noProof/>
        </w:rPr>
        <w:t>Ciper je svoj program prilagajanja zaključil konec marca 2016. Vendar je njegov gospodarski položaj še vedno negotov, kar se kaže s počasno rastjo, zmanjševanjem naložb, visoko brezposelnostjo in obremenjenim finančnim sektorjem.</w:t>
      </w:r>
    </w:p>
    <w:p>
      <w:pPr>
        <w:pStyle w:val="Text1"/>
        <w:rPr>
          <w:rFonts w:eastAsia="Arial Unicode MS"/>
          <w:noProof/>
        </w:rPr>
      </w:pPr>
      <w:r>
        <w:rPr>
          <w:noProof/>
        </w:rPr>
        <w:t xml:space="preserve">Da bi se zmanjšal pritisk na nacionalni proračun in spodbudile prepotrebne naložbe, je predlagano, da se 85-odstotna stopnja sofinanciranja za vse operativne programe, financirane s sredstvi ESRR in ESS na Cipru, podaljša do zaključka programa.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2016/0193 (COD)</w:t>
      </w:r>
    </w:p>
    <w:p>
      <w:pPr>
        <w:pStyle w:val="Statut"/>
        <w:rPr>
          <w:noProof/>
        </w:rPr>
      </w:pPr>
      <w:r>
        <w:rPr>
          <w:noProof/>
        </w:rPr>
        <w:t>Predlog</w:t>
      </w:r>
    </w:p>
    <w:p>
      <w:pPr>
        <w:pStyle w:val="Typedudocument"/>
        <w:rPr>
          <w:noProof/>
        </w:rPr>
      </w:pPr>
      <w:r>
        <w:rPr>
          <w:noProof/>
        </w:rPr>
        <w:t>UREDBA EVROPSKEGA PARLAMENTA IN SVETA</w:t>
      </w:r>
    </w:p>
    <w:p>
      <w:pPr>
        <w:pStyle w:val="Titreobjet"/>
        <w:rPr>
          <w:noProof/>
        </w:rPr>
      </w:pPr>
      <w:r>
        <w:rPr>
          <w:noProof/>
        </w:rPr>
        <w:t>o spremembi Uredbe (EU) št. 1303/2013 glede nekaterih določb o finančnem upravljanju za nekatere države članice, ki imajo ali jim grozijo resne težave v zvezi z njihovo finančno stabilnostjo</w:t>
      </w:r>
    </w:p>
    <w:p>
      <w:pPr>
        <w:pStyle w:val="Institutionquiagit"/>
        <w:rPr>
          <w:noProof/>
        </w:rPr>
      </w:pPr>
      <w:r>
        <w:rPr>
          <w:noProof/>
        </w:rPr>
        <w:t>EVROPSKI PARLAMENT IN SVET EVROPSKE UNIJE STA –</w:t>
      </w:r>
    </w:p>
    <w:p>
      <w:pPr>
        <w:rPr>
          <w:noProof/>
        </w:rPr>
      </w:pPr>
      <w:r>
        <w:rPr>
          <w:noProof/>
        </w:rPr>
        <w:t>ob upoštevanju Pogodbe o delovanju Evropske unije, in zlasti člena 177 Pogodbe,</w:t>
      </w:r>
    </w:p>
    <w:p>
      <w:pPr>
        <w:rPr>
          <w:noProof/>
        </w:rPr>
      </w:pPr>
      <w:r>
        <w:rPr>
          <w:noProof/>
        </w:rPr>
        <w:t>ob upoštevanju predloga Evropske komisije,</w:t>
      </w:r>
    </w:p>
    <w:p>
      <w:pPr>
        <w:rPr>
          <w:noProof/>
        </w:rPr>
      </w:pPr>
      <w:r>
        <w:rPr>
          <w:noProof/>
        </w:rPr>
        <w:t>po posredovanju osnutka zakonodajnega akta nacionalnim parlamentom,</w:t>
      </w:r>
    </w:p>
    <w:p>
      <w:pPr>
        <w:rPr>
          <w:noProof/>
        </w:rPr>
      </w:pPr>
      <w:r>
        <w:rPr>
          <w:noProof/>
        </w:rPr>
        <w:t>ob upoštevanju mnenja Evropskega ekonomsko-socialnega odbora</w:t>
      </w:r>
      <w:r>
        <w:rPr>
          <w:rStyle w:val="FootnoteReference"/>
          <w:noProof/>
        </w:rPr>
        <w:footnoteReference w:id="3"/>
      </w:r>
      <w:r>
        <w:rPr>
          <w:noProof/>
        </w:rPr>
        <w:t>,</w:t>
      </w:r>
    </w:p>
    <w:p>
      <w:pPr>
        <w:rPr>
          <w:noProof/>
        </w:rPr>
      </w:pPr>
      <w:r>
        <w:rPr>
          <w:noProof/>
        </w:rPr>
        <w:t>ob upoštevanju mnenja Odbora regij</w:t>
      </w:r>
      <w:r>
        <w:rPr>
          <w:rStyle w:val="FootnoteReference"/>
          <w:noProof/>
        </w:rPr>
        <w:footnoteReference w:id="4"/>
      </w:r>
      <w:r>
        <w:rPr>
          <w:noProof/>
        </w:rPr>
        <w:t>,</w:t>
      </w:r>
    </w:p>
    <w:p>
      <w:pPr>
        <w:rPr>
          <w:noProof/>
        </w:rPr>
      </w:pPr>
      <w:r>
        <w:rPr>
          <w:noProof/>
        </w:rPr>
        <w:t>v skladu z rednim zakonodajnim postopkom,</w:t>
      </w:r>
    </w:p>
    <w:p>
      <w:pPr>
        <w:rPr>
          <w:noProof/>
        </w:rPr>
      </w:pPr>
      <w:r>
        <w:rPr>
          <w:noProof/>
        </w:rPr>
        <w:t>ob upoštevanju naslednjega:</w:t>
      </w:r>
    </w:p>
    <w:p>
      <w:pPr>
        <w:pStyle w:val="ManualConsidrant"/>
        <w:rPr>
          <w:noProof/>
        </w:rPr>
      </w:pPr>
      <w:r>
        <w:t>(1)</w:t>
      </w:r>
      <w:r>
        <w:tab/>
      </w:r>
      <w:r>
        <w:rPr>
          <w:noProof/>
        </w:rPr>
        <w:t>Člen 24(3) Uredbe (EU) št. 1303/2013 določa, da mora Komisija pregledati zvišanje vmesnih plačil iz skladov ESI za znesek, ki ustreza 10 odstotnim točkam nad dejansko stopnjo sofinanciranja za vsako prednostno nalogo/ukrep za države članice, ki so bile vključene v program prilagajanja po 21. decembru 2013 in so zaprosile za koriščenje tega ukrepa do 30. junija 2016, kot je določeno v navedeni določbi, ter Evropskemu parlamentu in Svetu pred 30. junijem 2016 predložiti poročilo</w:t>
      </w:r>
      <w:r>
        <w:rPr>
          <w:rStyle w:val="FootnoteReference"/>
          <w:noProof/>
        </w:rPr>
        <w:footnoteReference w:id="5"/>
      </w:r>
      <w:r>
        <w:rPr>
          <w:noProof/>
        </w:rPr>
        <w:t xml:space="preserve"> s svojo oceno in po potrebi ustrezen zakonodajni predlog.</w:t>
      </w:r>
    </w:p>
    <w:p>
      <w:pPr>
        <w:pStyle w:val="ManualConsidrant"/>
        <w:rPr>
          <w:noProof/>
        </w:rPr>
      </w:pPr>
      <w:r>
        <w:t>(2)</w:t>
      </w:r>
      <w:r>
        <w:tab/>
      </w:r>
      <w:r>
        <w:rPr>
          <w:noProof/>
        </w:rPr>
        <w:t>Do zvišanja plačil na podlagi člena 24 Uredbe (EU) št. 1303/2013 je bilo upravičenih pet držav članic, in sicer Romunija, Irska, Portugalska, Ciper in Grčija. Romunija, Irska, Portugalska in Ciper so zaključile svoje programe gospodarskega prilagajanja. Samo Grčija je še vedno vključena v program prilagajanja in je upravičena do s tem povezane finančne pomoči do tretjega četrtletja leta 2018. Ker se Grčija še vedno spopada z resnimi težavami v zvezi s svojo finančno stabilnostjo, bi bilo treba podaljšati uporabo zvišanja plačil za države članice z začasnimi proračunskimi težavami.</w:t>
      </w:r>
    </w:p>
    <w:p>
      <w:pPr>
        <w:pStyle w:val="ManualConsidrant"/>
        <w:rPr>
          <w:noProof/>
        </w:rPr>
      </w:pPr>
      <w:r>
        <w:t>(3)</w:t>
      </w:r>
      <w:r>
        <w:tab/>
      </w:r>
      <w:r>
        <w:rPr>
          <w:noProof/>
        </w:rPr>
        <w:t>Vendar bi se morala možnost zvišanja plačil končati 30. junija leta, ki sledi koledarskemu letu, v katerem država članica preneha prejemati finančno pomoč v okviru programa prilagajanja.</w:t>
      </w:r>
    </w:p>
    <w:p>
      <w:pPr>
        <w:pStyle w:val="ManualConsidrant"/>
        <w:rPr>
          <w:noProof/>
        </w:rPr>
      </w:pPr>
      <w:r>
        <w:t>(4)</w:t>
      </w:r>
      <w:r>
        <w:tab/>
      </w:r>
      <w:r>
        <w:rPr>
          <w:noProof/>
        </w:rPr>
        <w:t>Člen 120(3) Uredbe (EU) št. 1303/2013 določa, da mora Komisija opraviti pregled, da oceni upravičenost ohranitve najvišje 85-odstotne stopnje sofinanciranja na ravni vsake prednostne osi vseh operativnih programov, ki se financirajo s sredstvi ESRR in ESS, na Cipru po 30. juniju 2017, ter do 30. junija 2016 po potrebi predložiti zakonodajni predlog.</w:t>
      </w:r>
    </w:p>
    <w:p>
      <w:pPr>
        <w:pStyle w:val="ManualConsidrant"/>
        <w:rPr>
          <w:noProof/>
        </w:rPr>
      </w:pPr>
      <w:r>
        <w:t>(5)</w:t>
      </w:r>
      <w:r>
        <w:tab/>
      </w:r>
      <w:r>
        <w:rPr>
          <w:noProof/>
        </w:rPr>
        <w:t>Ciper je svoj program prilagajanja zaključil marca 2016. Vendar je njegov gospodarski položaj še vedno negotov, kar se kaže s počasno rastjo, zmanjševanjem naložb, visoko brezposelnostjo in obremenjenim finančnim sektorjem. Da bi se zmanjšal pritisk na nacionalni proračun in spodbudile prepotrebne naložbe, bi bilo zato treba 85-odstotno stopnjo sofinanciranja za vse operativne programe, financirane s sredstvi ESRR in ESS, na Cipru podaljšati do zaključka programa.</w:t>
      </w:r>
    </w:p>
    <w:p>
      <w:pPr>
        <w:pStyle w:val="ManualConsidrant"/>
        <w:rPr>
          <w:noProof/>
        </w:rPr>
      </w:pPr>
      <w:r>
        <w:t>(6)</w:t>
      </w:r>
      <w:r>
        <w:tab/>
      </w:r>
      <w:r>
        <w:rPr>
          <w:noProof/>
        </w:rPr>
        <w:t>Da bi se omogočila takojšnja uporaba ukrepov iz te uredbe, bi ta uredba morala začeti veljati dan po objavi v Uradnem listu Evropske unije –</w:t>
      </w:r>
    </w:p>
    <w:p>
      <w:pPr>
        <w:pStyle w:val="Formuledadoption"/>
        <w:rPr>
          <w:noProof/>
        </w:rPr>
      </w:pPr>
      <w:r>
        <w:rPr>
          <w:noProof/>
        </w:rPr>
        <w:t>SPREJELA NASLEDNJO UREDBO:</w:t>
      </w:r>
    </w:p>
    <w:p>
      <w:pPr>
        <w:pStyle w:val="Titrearticle"/>
        <w:rPr>
          <w:noProof/>
        </w:rPr>
      </w:pPr>
      <w:r>
        <w:rPr>
          <w:noProof/>
        </w:rPr>
        <w:t>Člen 1</w:t>
      </w:r>
    </w:p>
    <w:p>
      <w:pPr>
        <w:spacing w:before="0" w:after="200" w:line="276" w:lineRule="auto"/>
        <w:rPr>
          <w:noProof/>
        </w:rPr>
      </w:pPr>
      <w:r>
        <w:rPr>
          <w:noProof/>
        </w:rPr>
        <w:t>Uredba (EU) št. 1303/2013 se spremeni:</w:t>
      </w:r>
    </w:p>
    <w:p>
      <w:pPr>
        <w:pStyle w:val="ManualNumPar1"/>
        <w:rPr>
          <w:noProof/>
        </w:rPr>
      </w:pPr>
      <w:r>
        <w:t>1.</w:t>
      </w:r>
      <w:r>
        <w:tab/>
      </w:r>
      <w:r>
        <w:rPr>
          <w:noProof/>
        </w:rPr>
        <w:t>člen 24 se nadomesti z</w:t>
      </w:r>
      <w:r>
        <w:rPr>
          <w:b/>
          <w:noProof/>
        </w:rPr>
        <w:t xml:space="preserve"> </w:t>
      </w:r>
      <w:r>
        <w:rPr>
          <w:noProof/>
        </w:rPr>
        <w:t>naslednjim:</w:t>
      </w:r>
    </w:p>
    <w:p>
      <w:pPr>
        <w:pStyle w:val="Text1"/>
        <w:rPr>
          <w:noProof/>
        </w:rPr>
      </w:pPr>
      <w:r>
        <w:rPr>
          <w:noProof/>
        </w:rPr>
        <w:t>„</w:t>
      </w:r>
      <w:r>
        <w:rPr>
          <w:b/>
          <w:noProof/>
        </w:rPr>
        <w:t>Zvišanje plačil za države članice z začasnimi proračunskimi težavami</w:t>
      </w:r>
    </w:p>
    <w:p>
      <w:pPr>
        <w:pStyle w:val="Text1"/>
        <w:rPr>
          <w:noProof/>
        </w:rPr>
      </w:pPr>
      <w:r>
        <w:rPr>
          <w:noProof/>
        </w:rPr>
        <w:t xml:space="preserve">1. Vmesna plačila se lahko na zahtevo države članice zvišajo za 10 odstotnih točk nad stopnjo sofinanciranja, ki se uporablja za vsako prednostno nalogo iz ESRR, ESS in Kohezijskega sklada ali vsak ukrep iz skladov EKSRP in ESPR. </w:t>
      </w:r>
    </w:p>
    <w:p>
      <w:pPr>
        <w:pStyle w:val="Text1"/>
        <w:rPr>
          <w:noProof/>
        </w:rPr>
      </w:pPr>
      <w:r>
        <w:rPr>
          <w:noProof/>
        </w:rPr>
        <w:t>Če država članica izpolni enega od naslednjih pogojev po 21. decembru 2013, se višja stopnja, ki ne sme preseči 100 %, uporablja za zahtevke take države članice za plačila za obdobje do 30. junija 2016:</w:t>
      </w:r>
    </w:p>
    <w:p>
      <w:pPr>
        <w:pStyle w:val="Text1"/>
        <w:rPr>
          <w:noProof/>
        </w:rPr>
      </w:pPr>
      <w:r>
        <w:rPr>
          <w:noProof/>
        </w:rPr>
        <w:t>(a) kadar zadevna država članica prejme posojilo Unije v skladu z Uredbo Sveta (EU) št. 407/2010;</w:t>
      </w:r>
    </w:p>
    <w:p>
      <w:pPr>
        <w:pStyle w:val="Text1"/>
        <w:rPr>
          <w:noProof/>
        </w:rPr>
      </w:pPr>
      <w:r>
        <w:rPr>
          <w:noProof/>
        </w:rPr>
        <w:t>(b) kadar zadevna država članica prejme srednjeročno finančno podporo v skladu z Uredbo (ES) št. 332/2002, pogojeno z izvajanjem programa makroekonomskega prilagajanja;</w:t>
      </w:r>
    </w:p>
    <w:p>
      <w:pPr>
        <w:pStyle w:val="Text1"/>
        <w:rPr>
          <w:noProof/>
        </w:rPr>
      </w:pPr>
      <w:r>
        <w:rPr>
          <w:noProof/>
        </w:rPr>
        <w:t>(c) kadar je zadevni državi članici na voljo finančna podpora, pogojena z izvajanjem programa makroekonomskega prilagajanja, kakor je določeno v Uredbi (EU) št. 472/2013.</w:t>
      </w:r>
    </w:p>
    <w:p>
      <w:pPr>
        <w:pStyle w:val="Text1"/>
        <w:rPr>
          <w:noProof/>
        </w:rPr>
      </w:pPr>
      <w:r>
        <w:rPr>
          <w:noProof/>
        </w:rPr>
        <w:t>Če država članica izpolni enega od pogojev iz drugega pododstavka po 30. juniju 2016, se višja stopnja uporablja za zahtevke take države članice za plačila za obdobje do 30. junija leta, ki sledi koledarskemu letu, v katerem se s tem povezana finančna pomoč konča.</w:t>
      </w:r>
    </w:p>
    <w:p>
      <w:pPr>
        <w:pStyle w:val="Text1"/>
        <w:rPr>
          <w:noProof/>
        </w:rPr>
      </w:pPr>
      <w:r>
        <w:rPr>
          <w:noProof/>
        </w:rPr>
        <w:t>Ta odstavek se ne uporablja za programe iz Uredbe o evropskem teritorialnem sodelovanju.</w:t>
      </w:r>
    </w:p>
    <w:p>
      <w:pPr>
        <w:pStyle w:val="Text1"/>
        <w:rPr>
          <w:noProof/>
        </w:rPr>
      </w:pPr>
      <w:r>
        <w:rPr>
          <w:noProof/>
        </w:rPr>
        <w:t>2. Ne glede na odstavek 1 podpora Unije v obliki vmesnih plačil in končnega plačila ne more biti višja od javne porabe ali najvišjega zneska pomoči iz skladov ESI za vsako prednostno nalogo iz ESRR, ESS in Kohezijskega sklada ali za vsak ukrep iz EKSRP in ESPR, kakor je določeno v sklepu Komisije o potrditvi programa, pri čemer šteje nižji znesek.“;</w:t>
      </w:r>
    </w:p>
    <w:p>
      <w:pPr>
        <w:pStyle w:val="ManualNumPar1"/>
        <w:rPr>
          <w:noProof/>
        </w:rPr>
      </w:pPr>
      <w:r>
        <w:t>2.</w:t>
      </w:r>
      <w:r>
        <w:tab/>
      </w:r>
      <w:r>
        <w:rPr>
          <w:noProof/>
        </w:rPr>
        <w:t>člen 120(3) se spremeni:</w:t>
      </w:r>
    </w:p>
    <w:p>
      <w:pPr>
        <w:pStyle w:val="Text1"/>
        <w:rPr>
          <w:noProof/>
        </w:rPr>
      </w:pPr>
      <w:r>
        <w:rPr>
          <w:noProof/>
        </w:rPr>
        <w:t>Drugi pododstavek se nadomesti z naslednjim:</w:t>
      </w:r>
    </w:p>
    <w:p>
      <w:pPr>
        <w:pStyle w:val="Text1"/>
        <w:rPr>
          <w:noProof/>
        </w:rPr>
      </w:pPr>
      <w:r>
        <w:rPr>
          <w:noProof/>
        </w:rPr>
        <w:t>„Za obdobje od 1. januarja 2014 do zaključka programa stopnja sofinanciranja na ravni vsake prednostne osi vseh operativnih programov na Cipru ne presega 85 %.“</w:t>
      </w:r>
    </w:p>
    <w:p>
      <w:pPr>
        <w:pStyle w:val="Titrearticle"/>
        <w:rPr>
          <w:noProof/>
        </w:rPr>
      </w:pPr>
      <w:r>
        <w:rPr>
          <w:noProof/>
        </w:rPr>
        <w:t>Člen 2</w:t>
      </w:r>
    </w:p>
    <w:p>
      <w:pPr>
        <w:rPr>
          <w:noProof/>
        </w:rPr>
      </w:pPr>
      <w:r>
        <w:rPr>
          <w:noProof/>
        </w:rPr>
        <w:t>Ta uredba začne veljati dan po objavi v Uradnem listu Evropske unije.</w:t>
      </w:r>
    </w:p>
    <w:p>
      <w:pPr>
        <w:pStyle w:val="Applicationdirecte"/>
        <w:rPr>
          <w:noProof/>
        </w:rPr>
      </w:pPr>
      <w:r>
        <w:rPr>
          <w:noProof/>
        </w:rPr>
        <w:t>Ta uredba je v celoti zavezujoča in se neposredno uporablja v vseh državah članicah.</w:t>
      </w:r>
    </w:p>
    <w:p>
      <w:pPr>
        <w:pStyle w:val="Fait"/>
        <w:rPr>
          <w:noProof/>
        </w:rPr>
      </w:pPr>
      <w:r>
        <w:rPr>
          <w:noProof/>
        </w:rPr>
        <w:t>V Bruslju,</w:t>
      </w:r>
    </w:p>
    <w:p>
      <w:pPr>
        <w:pStyle w:val="Institutionquisigne"/>
        <w:rPr>
          <w:noProof/>
        </w:rPr>
      </w:pPr>
      <w:r>
        <w:rPr>
          <w:noProof/>
        </w:rPr>
        <w:t>Za Evropski parlament</w:t>
      </w:r>
      <w:r>
        <w:rPr>
          <w:noProof/>
        </w:rPr>
        <w:tab/>
        <w:t>Za Svet</w:t>
      </w:r>
    </w:p>
    <w:p>
      <w:pPr>
        <w:pStyle w:val="Personnequisigne"/>
        <w:rPr>
          <w:b/>
          <w:noProof/>
          <w:u w:val="single"/>
        </w:rPr>
      </w:pPr>
      <w:r>
        <w:rPr>
          <w:noProof/>
        </w:rPr>
        <w:t>Predsednik</w:t>
      </w:r>
      <w:r>
        <w:rPr>
          <w:noProof/>
        </w:rPr>
        <w:tab/>
        <w:t>Predsednik</w:t>
      </w:r>
      <w:r>
        <w:rPr>
          <w:noProof/>
        </w:rPr>
        <w:br w:type="page"/>
      </w:r>
    </w:p>
    <w:p>
      <w:pPr>
        <w:pStyle w:val="Fichefinanciretitre"/>
        <w:rPr>
          <w:noProof/>
        </w:rPr>
      </w:pPr>
      <w:r>
        <w:rPr>
          <w:noProof/>
        </w:rPr>
        <w:t>OCENA FINANČNIH POSLEDIC ZAKONODAJNEGA PREDLOGA</w:t>
      </w:r>
    </w:p>
    <w:p>
      <w:pPr>
        <w:pStyle w:val="ManualHeading1"/>
        <w:rPr>
          <w:noProof/>
        </w:rPr>
      </w:pPr>
      <w:r>
        <w:rPr>
          <w:noProof/>
        </w:rPr>
        <w:t>1.</w:t>
      </w:r>
      <w:r>
        <w:rPr>
          <w:noProof/>
        </w:rPr>
        <w:tab/>
        <w:t>NASLOV PREDLOGA:</w:t>
      </w:r>
    </w:p>
    <w:p>
      <w:pPr>
        <w:pStyle w:val="Text1"/>
        <w:rPr>
          <w:noProof/>
        </w:rPr>
      </w:pPr>
      <w:r>
        <w:rPr>
          <w:noProof/>
        </w:rPr>
        <w:t>Predlog Uredbe Evropskega parlamenta in Sveta o spremembi Uredbe (EU) št. 1303/2013 Evropskega parlamenta in Sveta glede nekaterih določb o finančnem upravljanju za nekatere države članice, ki imajo ali jim grozijo resne težave v zvezi z njihovo finančno stabilnostjo.</w:t>
      </w:r>
    </w:p>
    <w:p>
      <w:pPr>
        <w:pStyle w:val="ManualHeading1"/>
        <w:rPr>
          <w:noProof/>
        </w:rPr>
      </w:pPr>
      <w:r>
        <w:rPr>
          <w:noProof/>
        </w:rPr>
        <w:t>2.</w:t>
      </w:r>
      <w:r>
        <w:rPr>
          <w:noProof/>
        </w:rPr>
        <w:tab/>
        <w:t>OKVIR ABM/ABB</w:t>
      </w:r>
    </w:p>
    <w:p>
      <w:pPr>
        <w:pStyle w:val="Text1"/>
        <w:rPr>
          <w:noProof/>
        </w:rPr>
      </w:pPr>
      <w:r>
        <w:rPr>
          <w:noProof/>
        </w:rPr>
        <w:t>Zadevna področja in povezane dejavnosti:</w:t>
      </w:r>
    </w:p>
    <w:p>
      <w:pPr>
        <w:pStyle w:val="Text1"/>
        <w:rPr>
          <w:noProof/>
        </w:rPr>
      </w:pPr>
      <w:r>
        <w:rPr>
          <w:noProof/>
        </w:rPr>
        <w:t>Regionalna politika; dejavnost ABB 13 03</w:t>
      </w:r>
    </w:p>
    <w:p>
      <w:pPr>
        <w:pStyle w:val="Text1"/>
        <w:rPr>
          <w:noProof/>
        </w:rPr>
      </w:pPr>
      <w:r>
        <w:rPr>
          <w:noProof/>
        </w:rPr>
        <w:t>Zaposlovanje in socialne zadeve; dejavnost ABB 04 02</w:t>
      </w:r>
    </w:p>
    <w:p>
      <w:pPr>
        <w:pStyle w:val="Text1"/>
        <w:rPr>
          <w:noProof/>
        </w:rPr>
      </w:pPr>
      <w:r>
        <w:rPr>
          <w:noProof/>
        </w:rPr>
        <w:t>Kohezijski sklad; dejavnost ABB 13 04</w:t>
      </w:r>
    </w:p>
    <w:p>
      <w:pPr>
        <w:pStyle w:val="Text1"/>
        <w:rPr>
          <w:noProof/>
        </w:rPr>
      </w:pPr>
      <w:r>
        <w:rPr>
          <w:noProof/>
        </w:rPr>
        <w:t>Razvoj podeželja, dejavnost ABB 05 04</w:t>
      </w:r>
    </w:p>
    <w:p>
      <w:pPr>
        <w:pStyle w:val="Text1"/>
        <w:rPr>
          <w:noProof/>
          <w:highlight w:val="yellow"/>
        </w:rPr>
      </w:pPr>
      <w:r>
        <w:rPr>
          <w:noProof/>
        </w:rPr>
        <w:t>Ribištvo, dejavnost ABB 11 06</w:t>
      </w:r>
    </w:p>
    <w:p>
      <w:pPr>
        <w:pStyle w:val="ManualHeading1"/>
        <w:rPr>
          <w:noProof/>
        </w:rPr>
      </w:pPr>
      <w:r>
        <w:rPr>
          <w:noProof/>
        </w:rPr>
        <w:t>3.</w:t>
      </w:r>
      <w:r>
        <w:rPr>
          <w:noProof/>
        </w:rPr>
        <w:tab/>
        <w:t>PRORAČUNSKE VRSTICE</w:t>
      </w:r>
    </w:p>
    <w:p>
      <w:pPr>
        <w:pStyle w:val="ManualHeading2"/>
        <w:rPr>
          <w:noProof/>
        </w:rPr>
      </w:pPr>
      <w:r>
        <w:rPr>
          <w:noProof/>
        </w:rPr>
        <w:t>3.1</w:t>
      </w:r>
      <w:r>
        <w:rPr>
          <w:noProof/>
        </w:rPr>
        <w:tab/>
        <w:t>Proračunske vrstice (vrstice za poslovanje in z njimi povezane vrstice za tehnično in upravno pomoč (nekdanje vrstice BA)):</w:t>
      </w:r>
    </w:p>
    <w:p>
      <w:pPr>
        <w:pStyle w:val="Text1"/>
        <w:rPr>
          <w:noProof/>
        </w:rPr>
      </w:pPr>
      <w:r>
        <w:rPr>
          <w:noProof/>
        </w:rPr>
        <w:t>Predlagani novi ukrep se bo izvedel na podlagi naslednjih proračunskih vrstic:</w:t>
      </w:r>
    </w:p>
    <w:p>
      <w:pPr>
        <w:pStyle w:val="ListBullet1"/>
        <w:rPr>
          <w:noProof/>
        </w:rPr>
      </w:pPr>
      <w:r>
        <w:rPr>
          <w:noProof/>
        </w:rPr>
        <w:t>13 036000 Manj razvite regije (ESRR)</w:t>
      </w:r>
    </w:p>
    <w:p>
      <w:pPr>
        <w:pStyle w:val="ListBullet1"/>
        <w:rPr>
          <w:noProof/>
        </w:rPr>
      </w:pPr>
      <w:r>
        <w:rPr>
          <w:noProof/>
        </w:rPr>
        <w:t>13 036100 Regije v prehodu (ESRR)</w:t>
      </w:r>
    </w:p>
    <w:p>
      <w:pPr>
        <w:pStyle w:val="ListBullet1"/>
        <w:rPr>
          <w:noProof/>
        </w:rPr>
      </w:pPr>
      <w:r>
        <w:rPr>
          <w:noProof/>
        </w:rPr>
        <w:t>13 036200 Bolj razvite regije (ESRR)</w:t>
      </w:r>
    </w:p>
    <w:p>
      <w:pPr>
        <w:pStyle w:val="ListBullet1"/>
        <w:rPr>
          <w:noProof/>
        </w:rPr>
      </w:pPr>
      <w:r>
        <w:rPr>
          <w:noProof/>
        </w:rPr>
        <w:t>13 036300 Dodatna sredstva za najbolj oddaljene in redko poseljene regije (ESRR)</w:t>
      </w:r>
    </w:p>
    <w:p>
      <w:pPr>
        <w:pStyle w:val="ListBullet1"/>
        <w:rPr>
          <w:noProof/>
        </w:rPr>
      </w:pPr>
      <w:r>
        <w:rPr>
          <w:noProof/>
        </w:rPr>
        <w:t>13 046000 Kohezijski sklad</w:t>
      </w:r>
    </w:p>
    <w:p>
      <w:pPr>
        <w:pStyle w:val="ListBullet1"/>
        <w:rPr>
          <w:noProof/>
        </w:rPr>
      </w:pPr>
      <w:r>
        <w:rPr>
          <w:noProof/>
        </w:rPr>
        <w:t>04 026000 Manj razvite regije (ESS)</w:t>
      </w:r>
    </w:p>
    <w:p>
      <w:pPr>
        <w:pStyle w:val="ListBullet1"/>
        <w:rPr>
          <w:noProof/>
        </w:rPr>
      </w:pPr>
      <w:r>
        <w:rPr>
          <w:noProof/>
        </w:rPr>
        <w:t>04 026100 Regije v prehodu (ESS)</w:t>
      </w:r>
    </w:p>
    <w:p>
      <w:pPr>
        <w:pStyle w:val="ListBullet1"/>
        <w:rPr>
          <w:noProof/>
        </w:rPr>
      </w:pPr>
      <w:r>
        <w:rPr>
          <w:noProof/>
        </w:rPr>
        <w:t>04 026200 Bolj razvite regije (ESS)</w:t>
      </w:r>
    </w:p>
    <w:p>
      <w:pPr>
        <w:pStyle w:val="ListBullet1"/>
        <w:rPr>
          <w:noProof/>
        </w:rPr>
      </w:pPr>
      <w:r>
        <w:rPr>
          <w:noProof/>
        </w:rPr>
        <w:t>04 026400 Pobuda za zaposlovanje mladih (ESS)</w:t>
      </w:r>
    </w:p>
    <w:p>
      <w:pPr>
        <w:pStyle w:val="ListBullet1"/>
        <w:rPr>
          <w:noProof/>
        </w:rPr>
      </w:pPr>
      <w:r>
        <w:rPr>
          <w:noProof/>
        </w:rPr>
        <w:t>05 046001 Razvoj podeželja (EKSRP)</w:t>
      </w:r>
    </w:p>
    <w:p>
      <w:pPr>
        <w:pStyle w:val="ListBullet1"/>
        <w:rPr>
          <w:noProof/>
        </w:rPr>
      </w:pPr>
      <w:r>
        <w:rPr>
          <w:noProof/>
        </w:rPr>
        <w:t>11 066000 Ribištvo in akvakultura (ESPR)</w:t>
      </w:r>
    </w:p>
    <w:p>
      <w:pPr>
        <w:pStyle w:val="ManualHeading2"/>
        <w:rPr>
          <w:noProof/>
        </w:rPr>
      </w:pPr>
      <w:r>
        <w:rPr>
          <w:noProof/>
        </w:rPr>
        <w:t>3.2</w:t>
      </w:r>
      <w:r>
        <w:rPr>
          <w:noProof/>
        </w:rPr>
        <w:tab/>
        <w:t>Trajanje ukrepa in finančnega vpliva:</w:t>
      </w:r>
    </w:p>
    <w:p>
      <w:pPr>
        <w:spacing w:after="240"/>
        <w:rPr>
          <w:noProof/>
        </w:rPr>
      </w:pPr>
      <w:r>
        <w:rPr>
          <w:noProof/>
        </w:rPr>
        <w:br w:type="page"/>
        <w:t>3.3</w:t>
      </w:r>
      <w:r>
        <w:rPr>
          <w:noProof/>
        </w:rPr>
        <w:tab/>
        <w:t>Značilnosti proračuna: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6"/>
        <w:gridCol w:w="1256"/>
        <w:gridCol w:w="962"/>
        <w:gridCol w:w="990"/>
        <w:gridCol w:w="1426"/>
        <w:gridCol w:w="1561"/>
        <w:gridCol w:w="1345"/>
      </w:tblGrid>
      <w:tr>
        <w:trPr>
          <w:jc w:val="center"/>
        </w:trPr>
        <w:tc>
          <w:tcPr>
            <w:tcW w:w="1136" w:type="dxa"/>
            <w:vAlign w:val="center"/>
          </w:tcPr>
          <w:p>
            <w:pPr>
              <w:jc w:val="center"/>
              <w:rPr>
                <w:b/>
                <w:noProof/>
                <w:sz w:val="20"/>
                <w:szCs w:val="20"/>
              </w:rPr>
            </w:pPr>
            <w:r>
              <w:rPr>
                <w:b/>
                <w:noProof/>
                <w:sz w:val="20"/>
              </w:rPr>
              <w:t>Proračunska vrstica</w:t>
            </w:r>
          </w:p>
        </w:tc>
        <w:tc>
          <w:tcPr>
            <w:tcW w:w="2141" w:type="dxa"/>
            <w:gridSpan w:val="2"/>
            <w:vAlign w:val="center"/>
          </w:tcPr>
          <w:p>
            <w:pPr>
              <w:jc w:val="center"/>
              <w:rPr>
                <w:b/>
                <w:noProof/>
                <w:sz w:val="20"/>
                <w:szCs w:val="20"/>
              </w:rPr>
            </w:pPr>
            <w:r>
              <w:rPr>
                <w:b/>
                <w:noProof/>
                <w:sz w:val="20"/>
              </w:rPr>
              <w:t>Vrsta odhodkov</w:t>
            </w:r>
          </w:p>
        </w:tc>
        <w:tc>
          <w:tcPr>
            <w:tcW w:w="1049" w:type="dxa"/>
            <w:vAlign w:val="center"/>
          </w:tcPr>
          <w:p>
            <w:pPr>
              <w:jc w:val="center"/>
              <w:rPr>
                <w:b/>
                <w:noProof/>
                <w:sz w:val="20"/>
                <w:szCs w:val="20"/>
              </w:rPr>
            </w:pPr>
            <w:r>
              <w:rPr>
                <w:b/>
                <w:noProof/>
                <w:sz w:val="20"/>
              </w:rPr>
              <w:t>Novo</w:t>
            </w:r>
          </w:p>
        </w:tc>
        <w:tc>
          <w:tcPr>
            <w:tcW w:w="1497" w:type="dxa"/>
            <w:vAlign w:val="center"/>
          </w:tcPr>
          <w:p>
            <w:pPr>
              <w:jc w:val="center"/>
              <w:rPr>
                <w:b/>
                <w:noProof/>
                <w:sz w:val="20"/>
                <w:szCs w:val="20"/>
              </w:rPr>
            </w:pPr>
            <w:r>
              <w:rPr>
                <w:b/>
                <w:noProof/>
                <w:sz w:val="20"/>
              </w:rPr>
              <w:t>Prispevki Efte</w:t>
            </w:r>
          </w:p>
        </w:tc>
        <w:tc>
          <w:tcPr>
            <w:tcW w:w="1657" w:type="dxa"/>
            <w:vAlign w:val="center"/>
          </w:tcPr>
          <w:p>
            <w:pPr>
              <w:jc w:val="center"/>
              <w:rPr>
                <w:b/>
                <w:noProof/>
                <w:sz w:val="20"/>
                <w:szCs w:val="20"/>
              </w:rPr>
            </w:pPr>
            <w:r>
              <w:rPr>
                <w:b/>
                <w:noProof/>
                <w:sz w:val="20"/>
              </w:rPr>
              <w:t>Prispevki držav prosilk</w:t>
            </w:r>
          </w:p>
        </w:tc>
        <w:tc>
          <w:tcPr>
            <w:tcW w:w="1376" w:type="dxa"/>
            <w:vAlign w:val="center"/>
          </w:tcPr>
          <w:p>
            <w:pPr>
              <w:jc w:val="center"/>
              <w:rPr>
                <w:b/>
                <w:noProof/>
                <w:sz w:val="20"/>
                <w:szCs w:val="20"/>
              </w:rPr>
            </w:pPr>
            <w:r>
              <w:rPr>
                <w:b/>
                <w:noProof/>
                <w:sz w:val="20"/>
              </w:rPr>
              <w:t>Razdelek v finančni perspektivi</w:t>
            </w:r>
          </w:p>
        </w:tc>
      </w:tr>
      <w:tr>
        <w:trPr>
          <w:jc w:val="center"/>
        </w:trPr>
        <w:tc>
          <w:tcPr>
            <w:tcW w:w="1136" w:type="dxa"/>
            <w:vAlign w:val="center"/>
          </w:tcPr>
          <w:p>
            <w:pPr>
              <w:rPr>
                <w:noProof/>
                <w:sz w:val="20"/>
                <w:szCs w:val="20"/>
              </w:rPr>
            </w:pPr>
            <w:r>
              <w:rPr>
                <w:noProof/>
                <w:sz w:val="20"/>
              </w:rPr>
              <w:t>13 031600</w:t>
            </w:r>
          </w:p>
        </w:tc>
        <w:tc>
          <w:tcPr>
            <w:tcW w:w="1103" w:type="dxa"/>
            <w:vAlign w:val="center"/>
          </w:tcPr>
          <w:p>
            <w:pPr>
              <w:jc w:val="center"/>
              <w:rPr>
                <w:noProof/>
                <w:sz w:val="20"/>
                <w:szCs w:val="20"/>
              </w:rPr>
            </w:pPr>
            <w:r>
              <w:rPr>
                <w:noProof/>
              </w:rPr>
              <w:t>Neobvezni</w:t>
            </w:r>
          </w:p>
        </w:tc>
        <w:tc>
          <w:tcPr>
            <w:tcW w:w="1038" w:type="dxa"/>
            <w:vAlign w:val="center"/>
          </w:tcPr>
          <w:p>
            <w:pPr>
              <w:jc w:val="center"/>
              <w:rPr>
                <w:noProof/>
                <w:sz w:val="20"/>
                <w:szCs w:val="20"/>
              </w:rPr>
            </w:pPr>
            <w:r>
              <w:rPr>
                <w:noProof/>
              </w:rPr>
              <w:t>dif.</w:t>
            </w:r>
          </w:p>
        </w:tc>
        <w:tc>
          <w:tcPr>
            <w:tcW w:w="1049" w:type="dxa"/>
            <w:vAlign w:val="center"/>
          </w:tcPr>
          <w:p>
            <w:pPr>
              <w:jc w:val="center"/>
              <w:rPr>
                <w:noProof/>
                <w:sz w:val="20"/>
                <w:szCs w:val="20"/>
              </w:rPr>
            </w:pPr>
            <w:r>
              <w:rPr>
                <w:noProof/>
              </w:rPr>
              <w:t>NE</w:t>
            </w:r>
          </w:p>
        </w:tc>
        <w:tc>
          <w:tcPr>
            <w:tcW w:w="1497" w:type="dxa"/>
            <w:vAlign w:val="center"/>
          </w:tcPr>
          <w:p>
            <w:pPr>
              <w:jc w:val="center"/>
              <w:rPr>
                <w:noProof/>
                <w:sz w:val="20"/>
                <w:szCs w:val="20"/>
              </w:rPr>
            </w:pPr>
            <w:r>
              <w:rPr>
                <w:noProof/>
              </w:rPr>
              <w:t>NE</w:t>
            </w:r>
          </w:p>
        </w:tc>
        <w:tc>
          <w:tcPr>
            <w:tcW w:w="1657" w:type="dxa"/>
            <w:vAlign w:val="center"/>
          </w:tcPr>
          <w:p>
            <w:pPr>
              <w:jc w:val="center"/>
              <w:rPr>
                <w:noProof/>
                <w:sz w:val="20"/>
                <w:szCs w:val="20"/>
              </w:rPr>
            </w:pPr>
            <w:r>
              <w:rPr>
                <w:noProof/>
              </w:rPr>
              <w:t>NE</w:t>
            </w:r>
          </w:p>
        </w:tc>
        <w:tc>
          <w:tcPr>
            <w:tcW w:w="1376" w:type="dxa"/>
            <w:vAlign w:val="center"/>
          </w:tcPr>
          <w:p>
            <w:pPr>
              <w:jc w:val="center"/>
              <w:rPr>
                <w:noProof/>
                <w:sz w:val="20"/>
                <w:szCs w:val="20"/>
              </w:rPr>
            </w:pPr>
            <w:r>
              <w:rPr>
                <w:b/>
                <w:noProof/>
                <w:sz w:val="20"/>
              </w:rPr>
              <w:t xml:space="preserve">Št. </w:t>
            </w:r>
            <w:r>
              <w:rPr>
                <w:noProof/>
              </w:rPr>
              <w:t>1b</w:t>
            </w:r>
          </w:p>
        </w:tc>
      </w:tr>
      <w:tr>
        <w:trPr>
          <w:jc w:val="center"/>
        </w:trPr>
        <w:tc>
          <w:tcPr>
            <w:tcW w:w="1136" w:type="dxa"/>
          </w:tcPr>
          <w:p>
            <w:pPr>
              <w:rPr>
                <w:noProof/>
              </w:rPr>
            </w:pPr>
            <w:r>
              <w:rPr>
                <w:noProof/>
                <w:sz w:val="20"/>
              </w:rPr>
              <w:t>13 031800</w:t>
            </w:r>
          </w:p>
        </w:tc>
        <w:tc>
          <w:tcPr>
            <w:tcW w:w="1103" w:type="dxa"/>
            <w:vAlign w:val="center"/>
          </w:tcPr>
          <w:p>
            <w:pPr>
              <w:jc w:val="center"/>
              <w:rPr>
                <w:noProof/>
                <w:sz w:val="20"/>
                <w:szCs w:val="20"/>
              </w:rPr>
            </w:pPr>
            <w:r>
              <w:rPr>
                <w:noProof/>
              </w:rPr>
              <w:t>Neobvezni</w:t>
            </w:r>
          </w:p>
        </w:tc>
        <w:tc>
          <w:tcPr>
            <w:tcW w:w="1038" w:type="dxa"/>
            <w:vAlign w:val="center"/>
          </w:tcPr>
          <w:p>
            <w:pPr>
              <w:jc w:val="center"/>
              <w:rPr>
                <w:noProof/>
                <w:sz w:val="20"/>
                <w:szCs w:val="20"/>
              </w:rPr>
            </w:pPr>
            <w:r>
              <w:rPr>
                <w:noProof/>
              </w:rPr>
              <w:t>dif.</w:t>
            </w:r>
          </w:p>
        </w:tc>
        <w:tc>
          <w:tcPr>
            <w:tcW w:w="1049" w:type="dxa"/>
            <w:vAlign w:val="center"/>
          </w:tcPr>
          <w:p>
            <w:pPr>
              <w:jc w:val="center"/>
              <w:rPr>
                <w:noProof/>
                <w:sz w:val="20"/>
                <w:szCs w:val="20"/>
              </w:rPr>
            </w:pPr>
            <w:r>
              <w:rPr>
                <w:noProof/>
              </w:rPr>
              <w:t>NE</w:t>
            </w:r>
          </w:p>
        </w:tc>
        <w:tc>
          <w:tcPr>
            <w:tcW w:w="1497" w:type="dxa"/>
            <w:vAlign w:val="center"/>
          </w:tcPr>
          <w:p>
            <w:pPr>
              <w:jc w:val="center"/>
              <w:rPr>
                <w:noProof/>
                <w:sz w:val="20"/>
                <w:szCs w:val="20"/>
              </w:rPr>
            </w:pPr>
            <w:r>
              <w:rPr>
                <w:noProof/>
              </w:rPr>
              <w:t>NE</w:t>
            </w:r>
          </w:p>
        </w:tc>
        <w:tc>
          <w:tcPr>
            <w:tcW w:w="1657" w:type="dxa"/>
            <w:vAlign w:val="center"/>
          </w:tcPr>
          <w:p>
            <w:pPr>
              <w:jc w:val="center"/>
              <w:rPr>
                <w:noProof/>
                <w:sz w:val="20"/>
                <w:szCs w:val="20"/>
              </w:rPr>
            </w:pPr>
            <w:r>
              <w:rPr>
                <w:noProof/>
              </w:rPr>
              <w:t>NE</w:t>
            </w:r>
          </w:p>
        </w:tc>
        <w:tc>
          <w:tcPr>
            <w:tcW w:w="1376" w:type="dxa"/>
            <w:vAlign w:val="center"/>
          </w:tcPr>
          <w:p>
            <w:pPr>
              <w:jc w:val="center"/>
              <w:rPr>
                <w:noProof/>
                <w:sz w:val="20"/>
                <w:szCs w:val="20"/>
              </w:rPr>
            </w:pPr>
            <w:r>
              <w:rPr>
                <w:b/>
                <w:noProof/>
                <w:sz w:val="20"/>
              </w:rPr>
              <w:t xml:space="preserve">Št. </w:t>
            </w:r>
            <w:r>
              <w:rPr>
                <w:noProof/>
              </w:rPr>
              <w:t>1b</w:t>
            </w:r>
          </w:p>
        </w:tc>
      </w:tr>
      <w:tr>
        <w:trPr>
          <w:jc w:val="center"/>
        </w:trPr>
        <w:tc>
          <w:tcPr>
            <w:tcW w:w="1136" w:type="dxa"/>
            <w:vAlign w:val="center"/>
          </w:tcPr>
          <w:p>
            <w:pPr>
              <w:jc w:val="center"/>
              <w:rPr>
                <w:noProof/>
                <w:sz w:val="20"/>
                <w:szCs w:val="20"/>
              </w:rPr>
            </w:pPr>
            <w:r>
              <w:rPr>
                <w:noProof/>
                <w:sz w:val="20"/>
              </w:rPr>
              <w:t>04 0217</w:t>
            </w:r>
          </w:p>
        </w:tc>
        <w:tc>
          <w:tcPr>
            <w:tcW w:w="1103" w:type="dxa"/>
            <w:vAlign w:val="center"/>
          </w:tcPr>
          <w:p>
            <w:pPr>
              <w:jc w:val="center"/>
              <w:rPr>
                <w:noProof/>
                <w:sz w:val="20"/>
                <w:szCs w:val="20"/>
              </w:rPr>
            </w:pPr>
            <w:r>
              <w:rPr>
                <w:noProof/>
              </w:rPr>
              <w:t>Neobvezni</w:t>
            </w:r>
          </w:p>
        </w:tc>
        <w:tc>
          <w:tcPr>
            <w:tcW w:w="1038" w:type="dxa"/>
            <w:vAlign w:val="center"/>
          </w:tcPr>
          <w:p>
            <w:pPr>
              <w:jc w:val="center"/>
              <w:rPr>
                <w:noProof/>
                <w:sz w:val="20"/>
                <w:szCs w:val="20"/>
              </w:rPr>
            </w:pPr>
            <w:r>
              <w:rPr>
                <w:noProof/>
              </w:rPr>
              <w:t>dif.</w:t>
            </w:r>
          </w:p>
        </w:tc>
        <w:tc>
          <w:tcPr>
            <w:tcW w:w="1049" w:type="dxa"/>
            <w:vAlign w:val="center"/>
          </w:tcPr>
          <w:p>
            <w:pPr>
              <w:jc w:val="center"/>
              <w:rPr>
                <w:noProof/>
                <w:sz w:val="20"/>
                <w:szCs w:val="20"/>
              </w:rPr>
            </w:pPr>
            <w:r>
              <w:rPr>
                <w:noProof/>
              </w:rPr>
              <w:t>NE</w:t>
            </w:r>
          </w:p>
        </w:tc>
        <w:tc>
          <w:tcPr>
            <w:tcW w:w="1497" w:type="dxa"/>
            <w:vAlign w:val="center"/>
          </w:tcPr>
          <w:p>
            <w:pPr>
              <w:jc w:val="center"/>
              <w:rPr>
                <w:noProof/>
                <w:sz w:val="20"/>
                <w:szCs w:val="20"/>
              </w:rPr>
            </w:pPr>
            <w:r>
              <w:rPr>
                <w:noProof/>
              </w:rPr>
              <w:t>NE</w:t>
            </w:r>
          </w:p>
        </w:tc>
        <w:tc>
          <w:tcPr>
            <w:tcW w:w="1657" w:type="dxa"/>
            <w:vAlign w:val="center"/>
          </w:tcPr>
          <w:p>
            <w:pPr>
              <w:jc w:val="center"/>
              <w:rPr>
                <w:noProof/>
                <w:sz w:val="20"/>
                <w:szCs w:val="20"/>
              </w:rPr>
            </w:pPr>
            <w:r>
              <w:rPr>
                <w:noProof/>
              </w:rPr>
              <w:t>NE</w:t>
            </w:r>
          </w:p>
        </w:tc>
        <w:tc>
          <w:tcPr>
            <w:tcW w:w="1376" w:type="dxa"/>
            <w:vAlign w:val="center"/>
          </w:tcPr>
          <w:p>
            <w:pPr>
              <w:jc w:val="center"/>
              <w:rPr>
                <w:noProof/>
                <w:sz w:val="20"/>
                <w:szCs w:val="20"/>
              </w:rPr>
            </w:pPr>
            <w:r>
              <w:rPr>
                <w:b/>
                <w:noProof/>
                <w:sz w:val="20"/>
              </w:rPr>
              <w:t xml:space="preserve">Št. </w:t>
            </w:r>
            <w:r>
              <w:rPr>
                <w:noProof/>
              </w:rPr>
              <w:t>1b</w:t>
            </w:r>
          </w:p>
        </w:tc>
      </w:tr>
      <w:tr>
        <w:trPr>
          <w:jc w:val="center"/>
        </w:trPr>
        <w:tc>
          <w:tcPr>
            <w:tcW w:w="1136" w:type="dxa"/>
            <w:vAlign w:val="center"/>
          </w:tcPr>
          <w:p>
            <w:pPr>
              <w:jc w:val="center"/>
              <w:rPr>
                <w:noProof/>
                <w:sz w:val="20"/>
                <w:szCs w:val="20"/>
              </w:rPr>
            </w:pPr>
            <w:r>
              <w:rPr>
                <w:noProof/>
                <w:sz w:val="20"/>
              </w:rPr>
              <w:t>13 04 02</w:t>
            </w:r>
          </w:p>
        </w:tc>
        <w:tc>
          <w:tcPr>
            <w:tcW w:w="1103" w:type="dxa"/>
            <w:vAlign w:val="center"/>
          </w:tcPr>
          <w:p>
            <w:pPr>
              <w:jc w:val="center"/>
              <w:rPr>
                <w:noProof/>
                <w:sz w:val="20"/>
                <w:szCs w:val="20"/>
              </w:rPr>
            </w:pPr>
            <w:r>
              <w:rPr>
                <w:noProof/>
              </w:rPr>
              <w:t>Neobvezni</w:t>
            </w:r>
          </w:p>
        </w:tc>
        <w:tc>
          <w:tcPr>
            <w:tcW w:w="1038" w:type="dxa"/>
            <w:vAlign w:val="center"/>
          </w:tcPr>
          <w:p>
            <w:pPr>
              <w:jc w:val="center"/>
              <w:rPr>
                <w:noProof/>
                <w:sz w:val="20"/>
                <w:szCs w:val="20"/>
              </w:rPr>
            </w:pPr>
            <w:r>
              <w:rPr>
                <w:noProof/>
              </w:rPr>
              <w:t>dif.</w:t>
            </w:r>
          </w:p>
        </w:tc>
        <w:tc>
          <w:tcPr>
            <w:tcW w:w="1049" w:type="dxa"/>
            <w:vAlign w:val="center"/>
          </w:tcPr>
          <w:p>
            <w:pPr>
              <w:jc w:val="center"/>
              <w:rPr>
                <w:noProof/>
                <w:sz w:val="20"/>
                <w:szCs w:val="20"/>
              </w:rPr>
            </w:pPr>
            <w:r>
              <w:rPr>
                <w:noProof/>
              </w:rPr>
              <w:t>NE</w:t>
            </w:r>
          </w:p>
        </w:tc>
        <w:tc>
          <w:tcPr>
            <w:tcW w:w="1497" w:type="dxa"/>
            <w:vAlign w:val="center"/>
          </w:tcPr>
          <w:p>
            <w:pPr>
              <w:jc w:val="center"/>
              <w:rPr>
                <w:noProof/>
                <w:sz w:val="20"/>
                <w:szCs w:val="20"/>
              </w:rPr>
            </w:pPr>
            <w:r>
              <w:rPr>
                <w:noProof/>
              </w:rPr>
              <w:t>NE</w:t>
            </w:r>
          </w:p>
        </w:tc>
        <w:tc>
          <w:tcPr>
            <w:tcW w:w="1657" w:type="dxa"/>
            <w:vAlign w:val="center"/>
          </w:tcPr>
          <w:p>
            <w:pPr>
              <w:jc w:val="center"/>
              <w:rPr>
                <w:noProof/>
                <w:sz w:val="20"/>
                <w:szCs w:val="20"/>
              </w:rPr>
            </w:pPr>
            <w:r>
              <w:rPr>
                <w:noProof/>
              </w:rPr>
              <w:t>NE</w:t>
            </w:r>
          </w:p>
        </w:tc>
        <w:tc>
          <w:tcPr>
            <w:tcW w:w="1376" w:type="dxa"/>
            <w:vAlign w:val="center"/>
          </w:tcPr>
          <w:p>
            <w:pPr>
              <w:jc w:val="center"/>
              <w:rPr>
                <w:noProof/>
                <w:sz w:val="20"/>
                <w:szCs w:val="20"/>
              </w:rPr>
            </w:pPr>
            <w:r>
              <w:rPr>
                <w:b/>
                <w:noProof/>
                <w:sz w:val="20"/>
              </w:rPr>
              <w:t xml:space="preserve">Št. </w:t>
            </w:r>
            <w:r>
              <w:rPr>
                <w:noProof/>
              </w:rPr>
              <w:t>1b</w:t>
            </w:r>
          </w:p>
        </w:tc>
      </w:tr>
      <w:tr>
        <w:trPr>
          <w:jc w:val="center"/>
        </w:trPr>
        <w:tc>
          <w:tcPr>
            <w:tcW w:w="1136" w:type="dxa"/>
            <w:vAlign w:val="center"/>
          </w:tcPr>
          <w:p>
            <w:pPr>
              <w:jc w:val="center"/>
              <w:rPr>
                <w:noProof/>
                <w:sz w:val="20"/>
                <w:szCs w:val="20"/>
              </w:rPr>
            </w:pPr>
            <w:r>
              <w:rPr>
                <w:noProof/>
                <w:sz w:val="20"/>
              </w:rPr>
              <w:t>04 0219</w:t>
            </w:r>
          </w:p>
        </w:tc>
        <w:tc>
          <w:tcPr>
            <w:tcW w:w="1103" w:type="dxa"/>
            <w:vAlign w:val="center"/>
          </w:tcPr>
          <w:p>
            <w:pPr>
              <w:jc w:val="center"/>
              <w:rPr>
                <w:noProof/>
                <w:sz w:val="20"/>
                <w:szCs w:val="20"/>
              </w:rPr>
            </w:pPr>
            <w:r>
              <w:rPr>
                <w:noProof/>
              </w:rPr>
              <w:t>Neobvezni</w:t>
            </w:r>
          </w:p>
        </w:tc>
        <w:tc>
          <w:tcPr>
            <w:tcW w:w="1038" w:type="dxa"/>
            <w:vAlign w:val="center"/>
          </w:tcPr>
          <w:p>
            <w:pPr>
              <w:jc w:val="center"/>
              <w:rPr>
                <w:noProof/>
                <w:sz w:val="20"/>
                <w:szCs w:val="20"/>
              </w:rPr>
            </w:pPr>
            <w:r>
              <w:rPr>
                <w:noProof/>
              </w:rPr>
              <w:t>dif.</w:t>
            </w:r>
          </w:p>
        </w:tc>
        <w:tc>
          <w:tcPr>
            <w:tcW w:w="1049" w:type="dxa"/>
            <w:vAlign w:val="center"/>
          </w:tcPr>
          <w:p>
            <w:pPr>
              <w:jc w:val="center"/>
              <w:rPr>
                <w:noProof/>
                <w:sz w:val="20"/>
                <w:szCs w:val="20"/>
              </w:rPr>
            </w:pPr>
            <w:r>
              <w:rPr>
                <w:noProof/>
              </w:rPr>
              <w:t>NE</w:t>
            </w:r>
          </w:p>
        </w:tc>
        <w:tc>
          <w:tcPr>
            <w:tcW w:w="1497" w:type="dxa"/>
            <w:vAlign w:val="center"/>
          </w:tcPr>
          <w:p>
            <w:pPr>
              <w:jc w:val="center"/>
              <w:rPr>
                <w:noProof/>
                <w:sz w:val="20"/>
                <w:szCs w:val="20"/>
              </w:rPr>
            </w:pPr>
            <w:r>
              <w:rPr>
                <w:noProof/>
              </w:rPr>
              <w:t>NE</w:t>
            </w:r>
          </w:p>
        </w:tc>
        <w:tc>
          <w:tcPr>
            <w:tcW w:w="1657" w:type="dxa"/>
            <w:vAlign w:val="center"/>
          </w:tcPr>
          <w:p>
            <w:pPr>
              <w:jc w:val="center"/>
              <w:rPr>
                <w:noProof/>
                <w:sz w:val="20"/>
                <w:szCs w:val="20"/>
              </w:rPr>
            </w:pPr>
            <w:r>
              <w:rPr>
                <w:noProof/>
              </w:rPr>
              <w:t>NE</w:t>
            </w:r>
          </w:p>
        </w:tc>
        <w:tc>
          <w:tcPr>
            <w:tcW w:w="1376" w:type="dxa"/>
            <w:vAlign w:val="center"/>
          </w:tcPr>
          <w:p>
            <w:pPr>
              <w:jc w:val="center"/>
              <w:rPr>
                <w:noProof/>
                <w:sz w:val="20"/>
                <w:szCs w:val="20"/>
              </w:rPr>
            </w:pPr>
            <w:r>
              <w:rPr>
                <w:b/>
                <w:noProof/>
                <w:sz w:val="20"/>
              </w:rPr>
              <w:t xml:space="preserve">Št. </w:t>
            </w:r>
            <w:r>
              <w:rPr>
                <w:noProof/>
              </w:rPr>
              <w:t>1b</w:t>
            </w:r>
          </w:p>
        </w:tc>
      </w:tr>
    </w:tbl>
    <w:p>
      <w:pPr>
        <w:pStyle w:val="ManualHeading1"/>
        <w:rPr>
          <w:noProof/>
        </w:rPr>
      </w:pPr>
      <w:r>
        <w:rPr>
          <w:noProof/>
        </w:rPr>
        <w:t>4.</w:t>
      </w:r>
      <w:r>
        <w:rPr>
          <w:noProof/>
        </w:rPr>
        <w:tab/>
        <w:t>POVZETEK SREDSTEV</w:t>
      </w:r>
    </w:p>
    <w:p>
      <w:pPr>
        <w:pStyle w:val="ManualHeading2"/>
        <w:rPr>
          <w:noProof/>
        </w:rPr>
      </w:pPr>
      <w:r>
        <w:rPr>
          <w:noProof/>
        </w:rPr>
        <w:t>4.1</w:t>
      </w:r>
      <w:r>
        <w:rPr>
          <w:noProof/>
        </w:rPr>
        <w:tab/>
        <w:t>Finančna sredstva</w:t>
      </w:r>
    </w:p>
    <w:p>
      <w:pPr>
        <w:pStyle w:val="ManualHeading3"/>
        <w:rPr>
          <w:noProof/>
        </w:rPr>
      </w:pPr>
      <w:r>
        <w:rPr>
          <w:noProof/>
        </w:rPr>
        <w:t>4.1.1</w:t>
      </w:r>
      <w:r>
        <w:rPr>
          <w:noProof/>
        </w:rPr>
        <w:tab/>
        <w:t xml:space="preserve">Povzetek odobritev za prevzem obveznosti (OPO) in odobritev plačil (OP) </w:t>
      </w:r>
    </w:p>
    <w:p>
      <w:pPr>
        <w:rPr>
          <w:noProof/>
        </w:rPr>
      </w:pPr>
      <w:r>
        <w:rPr>
          <w:noProof/>
        </w:rPr>
        <w:t xml:space="preserve">Naslednje razpredelnice prikazujejo ocenjeni učinek predlaganih ukrepov v letih od 2016 do 2020. Ker niso predlagani novi finančni viri za odobritve za prevzem obveznosti, ni vnosa številk v razpredelnice, ampak se vpiše n. r. (ni relevantno). Predlog je torej v skladu z večletnim finančnim okvirom za obdobje 2014–2020. </w:t>
      </w:r>
    </w:p>
    <w:p>
      <w:pPr>
        <w:rPr>
          <w:noProof/>
        </w:rPr>
      </w:pPr>
      <w:r>
        <w:rPr>
          <w:noProof/>
        </w:rPr>
        <w:t xml:space="preserve">Pri plačilih lahko predlog povzroči večja povračila zadevnim državam članicam. </w:t>
      </w:r>
    </w:p>
    <w:p>
      <w:pPr>
        <w:rPr>
          <w:noProof/>
        </w:rPr>
      </w:pPr>
      <w:r>
        <w:rPr>
          <w:noProof/>
        </w:rPr>
        <w:t xml:space="preserve">Pri plačilih lahko predlog povzroči večja povračila zadevnim državam članicam. Na podlagi napovedi plačil držav članic, kakor jih je prilagodila Komisija, ter odobritev plačil, vključenih v proračun za leto 2016 in osnutek proračuna za leto 2017, naj bi potrebne odobritve plačil po ocenah znašale približno 544 milijonov EUR. Dodatne odobritve plačil za ta predlog bodo vključevale povečanje odobritev plačil v letih 2016 in 2017, kar se bo izravnalo do konca programskega obdobja. Predlagana sprememba ne pomeni nobene spremembe letnih zgornjih mej prevzemanja obveznosti in plačil v večletnem finančnem okviru, ki so določene v Prilogi I k Uredbi (EU) št. 1311/2013. </w:t>
      </w:r>
    </w:p>
    <w:p>
      <w:pPr>
        <w:rPr>
          <w:noProof/>
        </w:rPr>
      </w:pPr>
      <w:r>
        <w:rPr>
          <w:noProof/>
        </w:rPr>
        <w:t>Na podlagi zahteve držav članic, da bi koristile ta ukrep, in ob upoštevanju napredka pri predlaganju zahtevkov za vmesna plačila bo Komisija v letih 2016 in 2017 ponovno proučila potrebo po odobritvi dodatnih plačilih ter po potrebi proračunskemu organu predlagala ustrezne ukrepe.</w:t>
      </w:r>
    </w:p>
    <w:p>
      <w:pPr>
        <w:rPr>
          <w:noProof/>
        </w:rPr>
      </w:pPr>
      <w:r>
        <w:rPr>
          <w:noProof/>
        </w:rPr>
        <w:t>Za leta od 2018 ni bila opravljena nobena ocena, kakršne koli posledice pa bodo upoštevane v proračunskih postopkih za zadevna leta.</w:t>
      </w:r>
    </w:p>
    <w:p>
      <w:pPr>
        <w:rPr>
          <w:noProof/>
        </w:rPr>
        <w:sectPr>
          <w:pgSz w:w="12240" w:h="15840"/>
          <w:pgMar w:top="1440" w:right="1800" w:bottom="1440" w:left="1800" w:header="708" w:footer="708" w:gutter="0"/>
          <w:cols w:space="708"/>
          <w:docGrid w:linePitch="360"/>
        </w:sectPr>
      </w:pPr>
    </w:p>
    <w:p>
      <w:pPr>
        <w:jc w:val="right"/>
        <w:rPr>
          <w:i/>
          <w:noProof/>
          <w:sz w:val="20"/>
          <w:szCs w:val="20"/>
        </w:rPr>
      </w:pPr>
      <w:r>
        <w:rPr>
          <w:i/>
          <w:noProof/>
          <w:sz w:val="20"/>
        </w:rPr>
        <w:t>v mio. EUR (na tri decimalna mesta natančno)</w:t>
      </w:r>
    </w:p>
    <w:tbl>
      <w:tblPr>
        <w:tblW w:w="8952" w:type="dxa"/>
        <w:tblInd w:w="312" w:type="dxa"/>
        <w:tblLayout w:type="fixed"/>
        <w:tblLook w:val="0000" w:firstRow="0" w:lastRow="0" w:firstColumn="0" w:lastColumn="0" w:noHBand="0" w:noVBand="0"/>
      </w:tblPr>
      <w:tblGrid>
        <w:gridCol w:w="2335"/>
        <w:gridCol w:w="701"/>
        <w:gridCol w:w="720"/>
        <w:gridCol w:w="720"/>
        <w:gridCol w:w="720"/>
        <w:gridCol w:w="720"/>
        <w:gridCol w:w="720"/>
        <w:gridCol w:w="720"/>
        <w:gridCol w:w="840"/>
        <w:gridCol w:w="756"/>
      </w:tblGrid>
      <w:tr>
        <w:trPr>
          <w:cantSplit/>
        </w:trPr>
        <w:tc>
          <w:tcPr>
            <w:tcW w:w="2335" w:type="dxa"/>
            <w:tcBorders>
              <w:top w:val="single" w:sz="8" w:space="0" w:color="auto"/>
              <w:left w:val="single" w:sz="8" w:space="0" w:color="auto"/>
              <w:bottom w:val="single" w:sz="8" w:space="0" w:color="auto"/>
              <w:right w:val="single" w:sz="6" w:space="0" w:color="auto"/>
            </w:tcBorders>
            <w:vAlign w:val="center"/>
          </w:tcPr>
          <w:p>
            <w:pPr>
              <w:jc w:val="center"/>
              <w:rPr>
                <w:noProof/>
                <w:sz w:val="22"/>
              </w:rPr>
            </w:pPr>
          </w:p>
          <w:p>
            <w:pPr>
              <w:jc w:val="center"/>
              <w:rPr>
                <w:b/>
                <w:noProof/>
                <w:sz w:val="20"/>
                <w:szCs w:val="20"/>
              </w:rPr>
            </w:pPr>
            <w:r>
              <w:rPr>
                <w:b/>
                <w:noProof/>
                <w:sz w:val="20"/>
              </w:rPr>
              <w:t>Vrsta odhodkov</w:t>
            </w:r>
          </w:p>
        </w:tc>
        <w:tc>
          <w:tcPr>
            <w:tcW w:w="701" w:type="dxa"/>
            <w:tcBorders>
              <w:top w:val="single" w:sz="8" w:space="0" w:color="auto"/>
              <w:left w:val="single" w:sz="6" w:space="0" w:color="auto"/>
              <w:bottom w:val="single" w:sz="8" w:space="0" w:color="auto"/>
              <w:right w:val="single" w:sz="6" w:space="0" w:color="auto"/>
            </w:tcBorders>
          </w:tcPr>
          <w:p>
            <w:pPr>
              <w:jc w:val="center"/>
              <w:rPr>
                <w:noProof/>
                <w:sz w:val="20"/>
                <w:szCs w:val="20"/>
              </w:rPr>
            </w:pPr>
            <w:r>
              <w:rPr>
                <w:noProof/>
                <w:sz w:val="20"/>
              </w:rPr>
              <w:t>Oddelek</w:t>
            </w:r>
          </w:p>
        </w:tc>
        <w:tc>
          <w:tcPr>
            <w:tcW w:w="720" w:type="dxa"/>
            <w:tcBorders>
              <w:top w:val="single" w:sz="8" w:space="0" w:color="auto"/>
              <w:left w:val="single" w:sz="6" w:space="0" w:color="auto"/>
              <w:bottom w:val="single" w:sz="8" w:space="0" w:color="auto"/>
              <w:right w:val="single" w:sz="6" w:space="0" w:color="auto"/>
            </w:tcBorders>
          </w:tcPr>
          <w:p>
            <w:pPr>
              <w:jc w:val="center"/>
              <w:rPr>
                <w:noProof/>
                <w:sz w:val="22"/>
              </w:rPr>
            </w:pPr>
          </w:p>
        </w:tc>
        <w:tc>
          <w:tcPr>
            <w:tcW w:w="720" w:type="dxa"/>
            <w:tcBorders>
              <w:top w:val="single" w:sz="8" w:space="0" w:color="auto"/>
              <w:left w:val="single" w:sz="6" w:space="0" w:color="auto"/>
              <w:bottom w:val="single" w:sz="8" w:space="0" w:color="auto"/>
              <w:right w:val="single" w:sz="6" w:space="0" w:color="auto"/>
            </w:tcBorders>
          </w:tcPr>
          <w:p>
            <w:pPr>
              <w:jc w:val="center"/>
              <w:rPr>
                <w:noProof/>
                <w:sz w:val="20"/>
                <w:szCs w:val="20"/>
              </w:rPr>
            </w:pPr>
          </w:p>
          <w:p>
            <w:pPr>
              <w:jc w:val="center"/>
              <w:rPr>
                <w:noProof/>
                <w:sz w:val="20"/>
                <w:szCs w:val="20"/>
              </w:rPr>
            </w:pPr>
            <w:r>
              <w:rPr>
                <w:noProof/>
                <w:sz w:val="20"/>
              </w:rPr>
              <w:t>Leto n</w:t>
            </w:r>
          </w:p>
        </w:tc>
        <w:tc>
          <w:tcPr>
            <w:tcW w:w="720" w:type="dxa"/>
            <w:tcBorders>
              <w:top w:val="single" w:sz="8" w:space="0" w:color="auto"/>
              <w:left w:val="single" w:sz="6" w:space="0" w:color="auto"/>
              <w:bottom w:val="single" w:sz="8" w:space="0" w:color="auto"/>
              <w:right w:val="single" w:sz="6" w:space="0" w:color="auto"/>
            </w:tcBorders>
          </w:tcPr>
          <w:p>
            <w:pPr>
              <w:jc w:val="center"/>
              <w:rPr>
                <w:noProof/>
                <w:sz w:val="20"/>
                <w:szCs w:val="20"/>
              </w:rPr>
            </w:pPr>
          </w:p>
          <w:p>
            <w:pPr>
              <w:jc w:val="center"/>
              <w:rPr>
                <w:noProof/>
                <w:sz w:val="20"/>
                <w:szCs w:val="20"/>
              </w:rPr>
            </w:pPr>
            <w:r>
              <w:rPr>
                <w:noProof/>
                <w:sz w:val="20"/>
              </w:rPr>
              <w:t>n + 1</w:t>
            </w:r>
          </w:p>
        </w:tc>
        <w:tc>
          <w:tcPr>
            <w:tcW w:w="720" w:type="dxa"/>
            <w:tcBorders>
              <w:top w:val="single" w:sz="8" w:space="0" w:color="auto"/>
              <w:left w:val="single" w:sz="6" w:space="0" w:color="auto"/>
              <w:bottom w:val="single" w:sz="8" w:space="0" w:color="auto"/>
              <w:right w:val="single" w:sz="6" w:space="0" w:color="auto"/>
            </w:tcBorders>
          </w:tcPr>
          <w:p>
            <w:pPr>
              <w:jc w:val="center"/>
              <w:rPr>
                <w:noProof/>
                <w:sz w:val="20"/>
                <w:szCs w:val="20"/>
              </w:rPr>
            </w:pPr>
          </w:p>
          <w:p>
            <w:pPr>
              <w:jc w:val="center"/>
              <w:rPr>
                <w:noProof/>
                <w:sz w:val="20"/>
                <w:szCs w:val="20"/>
              </w:rPr>
            </w:pPr>
            <w:r>
              <w:rPr>
                <w:noProof/>
                <w:sz w:val="20"/>
              </w:rPr>
              <w:t>n + 2</w:t>
            </w:r>
          </w:p>
        </w:tc>
        <w:tc>
          <w:tcPr>
            <w:tcW w:w="720" w:type="dxa"/>
            <w:tcBorders>
              <w:top w:val="single" w:sz="8" w:space="0" w:color="auto"/>
              <w:left w:val="single" w:sz="6" w:space="0" w:color="auto"/>
              <w:bottom w:val="single" w:sz="8" w:space="0" w:color="auto"/>
              <w:right w:val="single" w:sz="6" w:space="0" w:color="auto"/>
            </w:tcBorders>
          </w:tcPr>
          <w:p>
            <w:pPr>
              <w:jc w:val="center"/>
              <w:rPr>
                <w:noProof/>
                <w:sz w:val="20"/>
                <w:szCs w:val="20"/>
              </w:rPr>
            </w:pPr>
          </w:p>
          <w:p>
            <w:pPr>
              <w:jc w:val="center"/>
              <w:rPr>
                <w:noProof/>
                <w:sz w:val="20"/>
                <w:szCs w:val="20"/>
              </w:rPr>
            </w:pPr>
            <w:r>
              <w:rPr>
                <w:noProof/>
                <w:sz w:val="20"/>
              </w:rPr>
              <w:t>n + 3</w:t>
            </w:r>
          </w:p>
        </w:tc>
        <w:tc>
          <w:tcPr>
            <w:tcW w:w="720" w:type="dxa"/>
            <w:tcBorders>
              <w:top w:val="single" w:sz="8" w:space="0" w:color="auto"/>
              <w:left w:val="single" w:sz="6" w:space="0" w:color="auto"/>
              <w:bottom w:val="single" w:sz="8" w:space="0" w:color="auto"/>
              <w:right w:val="single" w:sz="6" w:space="0" w:color="auto"/>
            </w:tcBorders>
          </w:tcPr>
          <w:p>
            <w:pPr>
              <w:jc w:val="center"/>
              <w:rPr>
                <w:noProof/>
                <w:sz w:val="20"/>
                <w:szCs w:val="20"/>
              </w:rPr>
            </w:pPr>
          </w:p>
          <w:p>
            <w:pPr>
              <w:jc w:val="center"/>
              <w:rPr>
                <w:noProof/>
                <w:sz w:val="20"/>
                <w:szCs w:val="20"/>
              </w:rPr>
            </w:pPr>
            <w:r>
              <w:rPr>
                <w:noProof/>
                <w:sz w:val="20"/>
              </w:rPr>
              <w:t>n + 4</w:t>
            </w:r>
          </w:p>
        </w:tc>
        <w:tc>
          <w:tcPr>
            <w:tcW w:w="840" w:type="dxa"/>
            <w:tcBorders>
              <w:top w:val="single" w:sz="8" w:space="0" w:color="auto"/>
              <w:left w:val="single" w:sz="6" w:space="0" w:color="auto"/>
              <w:bottom w:val="single" w:sz="8" w:space="0" w:color="auto"/>
              <w:right w:val="single" w:sz="8" w:space="0" w:color="auto"/>
            </w:tcBorders>
            <w:vAlign w:val="center"/>
          </w:tcPr>
          <w:p>
            <w:pPr>
              <w:jc w:val="center"/>
              <w:rPr>
                <w:noProof/>
                <w:sz w:val="20"/>
                <w:szCs w:val="20"/>
              </w:rPr>
            </w:pPr>
            <w:r>
              <w:rPr>
                <w:noProof/>
                <w:sz w:val="20"/>
              </w:rPr>
              <w:t>n + 5 in pozneje</w:t>
            </w:r>
          </w:p>
        </w:tc>
        <w:tc>
          <w:tcPr>
            <w:tcW w:w="756" w:type="dxa"/>
            <w:tcBorders>
              <w:top w:val="single" w:sz="8" w:space="0" w:color="auto"/>
              <w:left w:val="single" w:sz="8" w:space="0" w:color="auto"/>
              <w:bottom w:val="single" w:sz="8" w:space="0" w:color="auto"/>
              <w:right w:val="single" w:sz="8" w:space="0" w:color="auto"/>
            </w:tcBorders>
          </w:tcPr>
          <w:p>
            <w:pPr>
              <w:jc w:val="center"/>
              <w:rPr>
                <w:noProof/>
                <w:sz w:val="20"/>
                <w:szCs w:val="20"/>
              </w:rPr>
            </w:pPr>
          </w:p>
          <w:p>
            <w:pPr>
              <w:jc w:val="center"/>
              <w:rPr>
                <w:noProof/>
                <w:sz w:val="20"/>
                <w:szCs w:val="20"/>
              </w:rPr>
            </w:pPr>
            <w:r>
              <w:rPr>
                <w:noProof/>
                <w:sz w:val="20"/>
              </w:rPr>
              <w:t>Skupaj</w:t>
            </w:r>
          </w:p>
        </w:tc>
      </w:tr>
      <w:tr>
        <w:trPr>
          <w:cantSplit/>
        </w:trPr>
        <w:tc>
          <w:tcPr>
            <w:tcW w:w="3036" w:type="dxa"/>
            <w:gridSpan w:val="2"/>
            <w:tcBorders>
              <w:top w:val="single" w:sz="8" w:space="0" w:color="auto"/>
              <w:bottom w:val="single" w:sz="8" w:space="0" w:color="auto"/>
            </w:tcBorders>
          </w:tcPr>
          <w:p>
            <w:pPr>
              <w:spacing w:before="60" w:after="60"/>
              <w:rPr>
                <w:noProof/>
              </w:rPr>
            </w:pPr>
            <w:r>
              <w:rPr>
                <w:b/>
                <w:noProof/>
                <w:sz w:val="22"/>
              </w:rPr>
              <w:t>Odhodki iz poslovanja</w:t>
            </w:r>
            <w:r>
              <w:rPr>
                <w:rStyle w:val="FootnoteReference"/>
                <w:b/>
                <w:noProof/>
                <w:sz w:val="22"/>
              </w:rPr>
              <w:footnoteReference w:id="6"/>
            </w:r>
            <w:r>
              <w:rPr>
                <w:b/>
                <w:noProof/>
                <w:sz w:val="22"/>
              </w:rPr>
              <w:t xml:space="preserve"> </w:t>
            </w:r>
          </w:p>
        </w:tc>
        <w:tc>
          <w:tcPr>
            <w:tcW w:w="720" w:type="dxa"/>
            <w:tcBorders>
              <w:top w:val="single" w:sz="8" w:space="0" w:color="auto"/>
              <w:bottom w:val="single" w:sz="8" w:space="0" w:color="auto"/>
            </w:tcBorders>
            <w:vAlign w:val="center"/>
          </w:tcPr>
          <w:p>
            <w:pPr>
              <w:spacing w:before="60" w:after="60"/>
              <w:jc w:val="center"/>
              <w:rPr>
                <w:noProof/>
                <w:sz w:val="20"/>
                <w:szCs w:val="20"/>
              </w:rPr>
            </w:pPr>
          </w:p>
        </w:tc>
        <w:tc>
          <w:tcPr>
            <w:tcW w:w="720" w:type="dxa"/>
            <w:tcBorders>
              <w:top w:val="single" w:sz="8" w:space="0" w:color="auto"/>
              <w:bottom w:val="single" w:sz="8" w:space="0" w:color="auto"/>
            </w:tcBorders>
          </w:tcPr>
          <w:p>
            <w:pPr>
              <w:spacing w:before="60" w:after="60"/>
              <w:rPr>
                <w:noProof/>
              </w:rPr>
            </w:pPr>
          </w:p>
        </w:tc>
        <w:tc>
          <w:tcPr>
            <w:tcW w:w="720" w:type="dxa"/>
            <w:tcBorders>
              <w:top w:val="single" w:sz="8" w:space="0" w:color="auto"/>
              <w:bottom w:val="single" w:sz="8" w:space="0" w:color="auto"/>
            </w:tcBorders>
          </w:tcPr>
          <w:p>
            <w:pPr>
              <w:spacing w:before="60" w:after="60"/>
              <w:rPr>
                <w:noProof/>
              </w:rPr>
            </w:pPr>
          </w:p>
        </w:tc>
        <w:tc>
          <w:tcPr>
            <w:tcW w:w="720" w:type="dxa"/>
            <w:tcBorders>
              <w:top w:val="single" w:sz="8" w:space="0" w:color="auto"/>
              <w:bottom w:val="single" w:sz="8" w:space="0" w:color="auto"/>
            </w:tcBorders>
          </w:tcPr>
          <w:p>
            <w:pPr>
              <w:spacing w:before="60" w:after="60"/>
              <w:rPr>
                <w:noProof/>
              </w:rPr>
            </w:pPr>
          </w:p>
        </w:tc>
        <w:tc>
          <w:tcPr>
            <w:tcW w:w="720" w:type="dxa"/>
            <w:tcBorders>
              <w:top w:val="single" w:sz="8" w:space="0" w:color="auto"/>
              <w:bottom w:val="single" w:sz="8" w:space="0" w:color="auto"/>
            </w:tcBorders>
          </w:tcPr>
          <w:p>
            <w:pPr>
              <w:spacing w:before="60" w:after="60"/>
              <w:rPr>
                <w:noProof/>
              </w:rPr>
            </w:pPr>
          </w:p>
        </w:tc>
        <w:tc>
          <w:tcPr>
            <w:tcW w:w="720" w:type="dxa"/>
            <w:tcBorders>
              <w:top w:val="single" w:sz="8" w:space="0" w:color="auto"/>
              <w:bottom w:val="single" w:sz="8" w:space="0" w:color="auto"/>
            </w:tcBorders>
          </w:tcPr>
          <w:p>
            <w:pPr>
              <w:spacing w:before="60" w:after="60"/>
              <w:rPr>
                <w:noProof/>
              </w:rPr>
            </w:pPr>
          </w:p>
        </w:tc>
        <w:tc>
          <w:tcPr>
            <w:tcW w:w="840" w:type="dxa"/>
            <w:tcBorders>
              <w:top w:val="single" w:sz="8" w:space="0" w:color="auto"/>
              <w:bottom w:val="single" w:sz="8" w:space="0" w:color="auto"/>
            </w:tcBorders>
          </w:tcPr>
          <w:p>
            <w:pPr>
              <w:spacing w:before="60" w:after="60"/>
              <w:rPr>
                <w:noProof/>
              </w:rPr>
            </w:pPr>
          </w:p>
        </w:tc>
        <w:tc>
          <w:tcPr>
            <w:tcW w:w="756" w:type="dxa"/>
            <w:tcBorders>
              <w:top w:val="single" w:sz="8" w:space="0" w:color="auto"/>
              <w:bottom w:val="single" w:sz="8" w:space="0" w:color="auto"/>
            </w:tcBorders>
          </w:tcPr>
          <w:p>
            <w:pPr>
              <w:spacing w:before="60" w:after="60"/>
              <w:rPr>
                <w:noProof/>
              </w:rPr>
            </w:pPr>
          </w:p>
        </w:tc>
      </w:tr>
      <w:tr>
        <w:trPr>
          <w:cantSplit/>
        </w:trPr>
        <w:tc>
          <w:tcPr>
            <w:tcW w:w="2335" w:type="dxa"/>
            <w:tcBorders>
              <w:top w:val="single" w:sz="8" w:space="0" w:color="auto"/>
              <w:left w:val="single" w:sz="8" w:space="0" w:color="auto"/>
              <w:bottom w:val="single" w:sz="4" w:space="0" w:color="auto"/>
              <w:right w:val="single" w:sz="4" w:space="0" w:color="auto"/>
            </w:tcBorders>
          </w:tcPr>
          <w:p>
            <w:pPr>
              <w:spacing w:before="60" w:after="60"/>
              <w:rPr>
                <w:noProof/>
                <w:sz w:val="20"/>
                <w:szCs w:val="20"/>
              </w:rPr>
            </w:pPr>
            <w:r>
              <w:rPr>
                <w:noProof/>
                <w:sz w:val="20"/>
              </w:rPr>
              <w:t>Odobritve za prevzem obveznosti (OPO)</w:t>
            </w:r>
          </w:p>
        </w:tc>
        <w:tc>
          <w:tcPr>
            <w:tcW w:w="701" w:type="dxa"/>
            <w:tcBorders>
              <w:top w:val="single" w:sz="8" w:space="0" w:color="auto"/>
              <w:left w:val="single" w:sz="4" w:space="0" w:color="auto"/>
              <w:bottom w:val="single" w:sz="4" w:space="0" w:color="auto"/>
              <w:right w:val="single" w:sz="4" w:space="0" w:color="auto"/>
            </w:tcBorders>
            <w:vAlign w:val="center"/>
          </w:tcPr>
          <w:p>
            <w:pPr>
              <w:spacing w:before="60" w:after="60"/>
              <w:jc w:val="center"/>
              <w:rPr>
                <w:noProof/>
                <w:sz w:val="20"/>
                <w:szCs w:val="20"/>
              </w:rPr>
            </w:pPr>
            <w:r>
              <w:rPr>
                <w:noProof/>
                <w:sz w:val="20"/>
              </w:rPr>
              <w:t>8.1</w:t>
            </w:r>
          </w:p>
        </w:tc>
        <w:tc>
          <w:tcPr>
            <w:tcW w:w="720" w:type="dxa"/>
            <w:tcBorders>
              <w:top w:val="single" w:sz="8" w:space="0" w:color="auto"/>
              <w:left w:val="single" w:sz="4" w:space="0" w:color="auto"/>
              <w:bottom w:val="single" w:sz="4" w:space="0" w:color="auto"/>
              <w:right w:val="single" w:sz="4" w:space="0" w:color="auto"/>
            </w:tcBorders>
            <w:vAlign w:val="center"/>
          </w:tcPr>
          <w:p>
            <w:pPr>
              <w:spacing w:before="60" w:after="60"/>
              <w:jc w:val="center"/>
              <w:rPr>
                <w:noProof/>
                <w:sz w:val="20"/>
                <w:szCs w:val="20"/>
              </w:rPr>
            </w:pPr>
            <w:r>
              <w:rPr>
                <w:noProof/>
                <w:sz w:val="20"/>
              </w:rPr>
              <w:t>a</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840" w:type="dxa"/>
            <w:tcBorders>
              <w:top w:val="single" w:sz="8" w:space="0" w:color="auto"/>
              <w:left w:val="single" w:sz="4" w:space="0" w:color="auto"/>
              <w:bottom w:val="single" w:sz="4" w:space="0" w:color="auto"/>
              <w:right w:val="single" w:sz="8" w:space="0" w:color="auto"/>
            </w:tcBorders>
          </w:tcPr>
          <w:p>
            <w:pPr>
              <w:spacing w:before="60" w:after="60"/>
              <w:jc w:val="right"/>
              <w:rPr>
                <w:noProof/>
                <w:sz w:val="20"/>
                <w:szCs w:val="20"/>
              </w:rPr>
            </w:pPr>
            <w:r>
              <w:rPr>
                <w:noProof/>
                <w:sz w:val="20"/>
              </w:rPr>
              <w:t>n. r.</w:t>
            </w:r>
          </w:p>
        </w:tc>
        <w:tc>
          <w:tcPr>
            <w:tcW w:w="756" w:type="dxa"/>
            <w:tcBorders>
              <w:top w:val="single" w:sz="8" w:space="0" w:color="auto"/>
              <w:left w:val="single" w:sz="8" w:space="0" w:color="auto"/>
              <w:bottom w:val="single" w:sz="8" w:space="0" w:color="auto"/>
              <w:right w:val="single" w:sz="8" w:space="0" w:color="auto"/>
            </w:tcBorders>
          </w:tcPr>
          <w:p>
            <w:pPr>
              <w:spacing w:before="60" w:after="60"/>
              <w:jc w:val="right"/>
              <w:rPr>
                <w:noProof/>
                <w:sz w:val="20"/>
                <w:szCs w:val="20"/>
              </w:rPr>
            </w:pPr>
            <w:r>
              <w:rPr>
                <w:noProof/>
                <w:sz w:val="20"/>
              </w:rPr>
              <w:t>n. r.</w:t>
            </w:r>
          </w:p>
        </w:tc>
      </w:tr>
      <w:tr>
        <w:trPr>
          <w:cantSplit/>
        </w:trPr>
        <w:tc>
          <w:tcPr>
            <w:tcW w:w="2335" w:type="dxa"/>
            <w:tcBorders>
              <w:top w:val="single" w:sz="4" w:space="0" w:color="auto"/>
              <w:left w:val="single" w:sz="8" w:space="0" w:color="auto"/>
              <w:bottom w:val="single" w:sz="8" w:space="0" w:color="auto"/>
              <w:right w:val="single" w:sz="4" w:space="0" w:color="auto"/>
            </w:tcBorders>
          </w:tcPr>
          <w:p>
            <w:pPr>
              <w:spacing w:before="60" w:after="60"/>
              <w:rPr>
                <w:noProof/>
                <w:sz w:val="20"/>
                <w:szCs w:val="20"/>
              </w:rPr>
            </w:pPr>
            <w:r>
              <w:rPr>
                <w:noProof/>
                <w:sz w:val="20"/>
              </w:rPr>
              <w:t>Odobritve plačil (OP)</w:t>
            </w:r>
          </w:p>
        </w:tc>
        <w:tc>
          <w:tcPr>
            <w:tcW w:w="701" w:type="dxa"/>
            <w:tcBorders>
              <w:top w:val="single" w:sz="4" w:space="0" w:color="auto"/>
              <w:left w:val="single" w:sz="4" w:space="0" w:color="auto"/>
              <w:bottom w:val="single" w:sz="8" w:space="0" w:color="auto"/>
              <w:right w:val="single" w:sz="4" w:space="0" w:color="auto"/>
            </w:tcBorders>
          </w:tcPr>
          <w:p>
            <w:pPr>
              <w:spacing w:before="60" w:after="60"/>
              <w:jc w:val="center"/>
              <w:rPr>
                <w:noProof/>
              </w:rPr>
            </w:pPr>
          </w:p>
        </w:tc>
        <w:tc>
          <w:tcPr>
            <w:tcW w:w="720" w:type="dxa"/>
            <w:tcBorders>
              <w:top w:val="single" w:sz="4" w:space="0" w:color="auto"/>
              <w:left w:val="single" w:sz="4" w:space="0" w:color="auto"/>
              <w:bottom w:val="single" w:sz="8" w:space="0" w:color="auto"/>
              <w:right w:val="single" w:sz="4" w:space="0" w:color="auto"/>
            </w:tcBorders>
            <w:vAlign w:val="center"/>
          </w:tcPr>
          <w:p>
            <w:pPr>
              <w:spacing w:before="60" w:after="60"/>
              <w:jc w:val="center"/>
              <w:rPr>
                <w:noProof/>
                <w:sz w:val="20"/>
                <w:szCs w:val="20"/>
              </w:rPr>
            </w:pPr>
            <w:r>
              <w:rPr>
                <w:noProof/>
                <w:sz w:val="20"/>
              </w:rPr>
              <w:t>b</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+252</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+292</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 xml:space="preserve"> n. r.</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 r.</w:t>
            </w:r>
          </w:p>
        </w:tc>
        <w:tc>
          <w:tcPr>
            <w:tcW w:w="840" w:type="dxa"/>
            <w:tcBorders>
              <w:top w:val="single" w:sz="4" w:space="0" w:color="auto"/>
              <w:left w:val="single" w:sz="4" w:space="0" w:color="auto"/>
              <w:bottom w:val="single" w:sz="8" w:space="0" w:color="auto"/>
              <w:right w:val="single" w:sz="8" w:space="0" w:color="auto"/>
            </w:tcBorders>
          </w:tcPr>
          <w:p>
            <w:pPr>
              <w:spacing w:before="60" w:after="60"/>
              <w:jc w:val="right"/>
              <w:rPr>
                <w:noProof/>
                <w:sz w:val="20"/>
                <w:szCs w:val="20"/>
              </w:rPr>
            </w:pPr>
            <w:r>
              <w:rPr>
                <w:noProof/>
                <w:sz w:val="20"/>
              </w:rPr>
              <w:t>–544</w:t>
            </w:r>
          </w:p>
        </w:tc>
        <w:tc>
          <w:tcPr>
            <w:tcW w:w="756" w:type="dxa"/>
            <w:tcBorders>
              <w:top w:val="single" w:sz="8" w:space="0" w:color="auto"/>
              <w:left w:val="single" w:sz="8" w:space="0" w:color="auto"/>
              <w:bottom w:val="single" w:sz="8" w:space="0" w:color="auto"/>
              <w:right w:val="single" w:sz="8" w:space="0" w:color="auto"/>
            </w:tcBorders>
          </w:tcPr>
          <w:p>
            <w:pPr>
              <w:spacing w:before="60" w:after="60"/>
              <w:jc w:val="right"/>
              <w:rPr>
                <w:noProof/>
                <w:sz w:val="20"/>
                <w:szCs w:val="20"/>
              </w:rPr>
            </w:pPr>
            <w:r>
              <w:rPr>
                <w:noProof/>
                <w:sz w:val="20"/>
              </w:rPr>
              <w:t>0</w:t>
            </w:r>
          </w:p>
        </w:tc>
      </w:tr>
      <w:tr>
        <w:trPr>
          <w:cantSplit/>
        </w:trPr>
        <w:tc>
          <w:tcPr>
            <w:tcW w:w="5916" w:type="dxa"/>
            <w:gridSpan w:val="6"/>
            <w:tcBorders>
              <w:top w:val="single" w:sz="8" w:space="0" w:color="auto"/>
              <w:bottom w:val="single" w:sz="8" w:space="0" w:color="auto"/>
            </w:tcBorders>
          </w:tcPr>
          <w:p>
            <w:pPr>
              <w:spacing w:before="60" w:after="60"/>
              <w:rPr>
                <w:b/>
                <w:noProof/>
                <w:sz w:val="20"/>
                <w:szCs w:val="20"/>
              </w:rPr>
            </w:pPr>
            <w:r>
              <w:rPr>
                <w:b/>
                <w:noProof/>
                <w:sz w:val="20"/>
              </w:rPr>
              <w:t>Upravni odhodki, vključeni v referenčni znesek</w:t>
            </w:r>
            <w:r>
              <w:rPr>
                <w:rStyle w:val="FootnoteReference"/>
                <w:b/>
                <w:noProof/>
                <w:sz w:val="20"/>
              </w:rPr>
              <w:footnoteReference w:id="7"/>
            </w:r>
          </w:p>
        </w:tc>
        <w:tc>
          <w:tcPr>
            <w:tcW w:w="720" w:type="dxa"/>
            <w:tcBorders>
              <w:top w:val="single" w:sz="8" w:space="0" w:color="auto"/>
              <w:bottom w:val="single" w:sz="8" w:space="0" w:color="auto"/>
            </w:tcBorders>
          </w:tcPr>
          <w:p>
            <w:pPr>
              <w:spacing w:before="60" w:after="60"/>
              <w:rPr>
                <w:b/>
                <w:noProof/>
                <w:sz w:val="20"/>
                <w:szCs w:val="20"/>
              </w:rPr>
            </w:pPr>
          </w:p>
        </w:tc>
        <w:tc>
          <w:tcPr>
            <w:tcW w:w="720" w:type="dxa"/>
            <w:tcBorders>
              <w:top w:val="single" w:sz="8" w:space="0" w:color="auto"/>
              <w:bottom w:val="single" w:sz="8" w:space="0" w:color="auto"/>
            </w:tcBorders>
          </w:tcPr>
          <w:p>
            <w:pPr>
              <w:spacing w:before="60" w:after="60"/>
              <w:rPr>
                <w:b/>
                <w:noProof/>
                <w:sz w:val="20"/>
                <w:szCs w:val="20"/>
              </w:rPr>
            </w:pPr>
          </w:p>
        </w:tc>
        <w:tc>
          <w:tcPr>
            <w:tcW w:w="840" w:type="dxa"/>
            <w:tcBorders>
              <w:top w:val="single" w:sz="8" w:space="0" w:color="auto"/>
              <w:bottom w:val="single" w:sz="8" w:space="0" w:color="auto"/>
            </w:tcBorders>
          </w:tcPr>
          <w:p>
            <w:pPr>
              <w:spacing w:before="60" w:after="60"/>
              <w:rPr>
                <w:b/>
                <w:noProof/>
                <w:sz w:val="20"/>
                <w:szCs w:val="20"/>
              </w:rPr>
            </w:pPr>
          </w:p>
        </w:tc>
        <w:tc>
          <w:tcPr>
            <w:tcW w:w="756" w:type="dxa"/>
            <w:tcBorders>
              <w:top w:val="single" w:sz="8" w:space="0" w:color="auto"/>
              <w:bottom w:val="single" w:sz="8" w:space="0" w:color="auto"/>
            </w:tcBorders>
          </w:tcPr>
          <w:p>
            <w:pPr>
              <w:spacing w:before="60" w:after="60"/>
              <w:rPr>
                <w:b/>
                <w:noProof/>
                <w:sz w:val="20"/>
                <w:szCs w:val="20"/>
              </w:rPr>
            </w:pPr>
          </w:p>
        </w:tc>
      </w:tr>
      <w:tr>
        <w:trPr>
          <w:cantSplit/>
        </w:trPr>
        <w:tc>
          <w:tcPr>
            <w:tcW w:w="2335" w:type="dxa"/>
            <w:tcBorders>
              <w:top w:val="single" w:sz="8" w:space="0" w:color="auto"/>
              <w:left w:val="single" w:sz="8" w:space="0" w:color="auto"/>
              <w:bottom w:val="single" w:sz="8" w:space="0" w:color="auto"/>
              <w:right w:val="single" w:sz="4" w:space="0" w:color="auto"/>
            </w:tcBorders>
          </w:tcPr>
          <w:p>
            <w:pPr>
              <w:spacing w:before="60" w:after="60"/>
              <w:rPr>
                <w:noProof/>
                <w:sz w:val="20"/>
                <w:szCs w:val="20"/>
              </w:rPr>
            </w:pPr>
            <w:r>
              <w:rPr>
                <w:noProof/>
                <w:sz w:val="20"/>
              </w:rPr>
              <w:t>Tehnična in upravna pomoč (NS)</w:t>
            </w:r>
          </w:p>
        </w:tc>
        <w:tc>
          <w:tcPr>
            <w:tcW w:w="701" w:type="dxa"/>
            <w:tcBorders>
              <w:top w:val="single" w:sz="8" w:space="0" w:color="auto"/>
              <w:left w:val="single" w:sz="4" w:space="0" w:color="auto"/>
              <w:bottom w:val="single" w:sz="8" w:space="0" w:color="auto"/>
              <w:right w:val="single" w:sz="4" w:space="0" w:color="auto"/>
            </w:tcBorders>
            <w:vAlign w:val="center"/>
          </w:tcPr>
          <w:p>
            <w:pPr>
              <w:spacing w:before="60" w:after="60"/>
              <w:jc w:val="center"/>
              <w:rPr>
                <w:noProof/>
                <w:sz w:val="20"/>
                <w:szCs w:val="20"/>
              </w:rPr>
            </w:pPr>
            <w:r>
              <w:rPr>
                <w:noProof/>
                <w:sz w:val="20"/>
              </w:rPr>
              <w:t>8.2.4</w:t>
            </w:r>
          </w:p>
        </w:tc>
        <w:tc>
          <w:tcPr>
            <w:tcW w:w="720" w:type="dxa"/>
            <w:tcBorders>
              <w:top w:val="single" w:sz="8" w:space="0" w:color="auto"/>
              <w:left w:val="single" w:sz="4" w:space="0" w:color="auto"/>
              <w:bottom w:val="single" w:sz="8" w:space="0" w:color="auto"/>
              <w:right w:val="single" w:sz="4" w:space="0" w:color="auto"/>
            </w:tcBorders>
            <w:vAlign w:val="center"/>
          </w:tcPr>
          <w:p>
            <w:pPr>
              <w:spacing w:before="60" w:after="60"/>
              <w:jc w:val="center"/>
              <w:rPr>
                <w:noProof/>
                <w:sz w:val="20"/>
                <w:szCs w:val="20"/>
              </w:rPr>
            </w:pPr>
            <w:r>
              <w:rPr>
                <w:noProof/>
                <w:sz w:val="20"/>
              </w:rPr>
              <w:t>c</w:t>
            </w:r>
          </w:p>
        </w:tc>
        <w:tc>
          <w:tcPr>
            <w:tcW w:w="720" w:type="dxa"/>
            <w:tcBorders>
              <w:top w:val="single" w:sz="8"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 xml:space="preserve">n. r. </w:t>
            </w:r>
          </w:p>
        </w:tc>
        <w:tc>
          <w:tcPr>
            <w:tcW w:w="720" w:type="dxa"/>
            <w:tcBorders>
              <w:top w:val="single" w:sz="8"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8"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8"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8"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 r.</w:t>
            </w:r>
          </w:p>
        </w:tc>
        <w:tc>
          <w:tcPr>
            <w:tcW w:w="840" w:type="dxa"/>
            <w:tcBorders>
              <w:top w:val="single" w:sz="8" w:space="0" w:color="auto"/>
              <w:left w:val="single" w:sz="4" w:space="0" w:color="auto"/>
              <w:bottom w:val="single" w:sz="8" w:space="0" w:color="auto"/>
              <w:right w:val="single" w:sz="8" w:space="0" w:color="auto"/>
            </w:tcBorders>
          </w:tcPr>
          <w:p>
            <w:pPr>
              <w:spacing w:before="60" w:after="60"/>
              <w:jc w:val="right"/>
              <w:rPr>
                <w:noProof/>
                <w:sz w:val="20"/>
                <w:szCs w:val="20"/>
              </w:rPr>
            </w:pPr>
            <w:r>
              <w:rPr>
                <w:noProof/>
                <w:sz w:val="20"/>
              </w:rPr>
              <w:t>n. r.</w:t>
            </w:r>
          </w:p>
        </w:tc>
        <w:tc>
          <w:tcPr>
            <w:tcW w:w="756" w:type="dxa"/>
            <w:tcBorders>
              <w:top w:val="single" w:sz="8" w:space="0" w:color="auto"/>
              <w:left w:val="single" w:sz="8" w:space="0" w:color="auto"/>
              <w:bottom w:val="single" w:sz="8" w:space="0" w:color="auto"/>
              <w:right w:val="single" w:sz="8" w:space="0" w:color="auto"/>
            </w:tcBorders>
          </w:tcPr>
          <w:p>
            <w:pPr>
              <w:spacing w:before="60" w:after="60"/>
              <w:jc w:val="right"/>
              <w:rPr>
                <w:noProof/>
                <w:sz w:val="20"/>
                <w:szCs w:val="20"/>
              </w:rPr>
            </w:pPr>
            <w:r>
              <w:rPr>
                <w:noProof/>
                <w:sz w:val="20"/>
              </w:rPr>
              <w:t>n. r.</w:t>
            </w:r>
          </w:p>
        </w:tc>
      </w:tr>
      <w:tr>
        <w:trPr>
          <w:cantSplit/>
        </w:trPr>
        <w:tc>
          <w:tcPr>
            <w:tcW w:w="3756" w:type="dxa"/>
            <w:gridSpan w:val="3"/>
            <w:tcBorders>
              <w:top w:val="single" w:sz="8" w:space="0" w:color="auto"/>
              <w:bottom w:val="single" w:sz="18" w:space="0" w:color="auto"/>
            </w:tcBorders>
          </w:tcPr>
          <w:p>
            <w:pPr>
              <w:spacing w:before="60" w:after="60"/>
              <w:rPr>
                <w:b/>
                <w:noProof/>
                <w:sz w:val="20"/>
                <w:szCs w:val="20"/>
                <w14:shadow w14:blurRad="50800" w14:dist="38100" w14:dir="2700000" w14:sx="100000" w14:sy="100000" w14:kx="0" w14:ky="0" w14:algn="tl">
                  <w14:srgbClr w14:val="000000">
                    <w14:alpha w14:val="60000"/>
                  </w14:srgbClr>
                </w14:shadow>
              </w:rPr>
            </w:pPr>
            <w:r>
              <w:rPr>
                <w:b/>
                <w:noProof/>
                <w:sz w:val="20"/>
                <w14:shadow w14:blurRad="50800" w14:dist="38100" w14:dir="2700000" w14:sx="100000" w14:sy="100000" w14:kx="0" w14:ky="0" w14:algn="tl">
                  <w14:srgbClr w14:val="000000">
                    <w14:alpha w14:val="60000"/>
                  </w14:srgbClr>
                </w14:shadow>
              </w:rPr>
              <w:t>REFERENČNI ZNESEK SKUPAJ</w:t>
            </w:r>
          </w:p>
        </w:tc>
        <w:tc>
          <w:tcPr>
            <w:tcW w:w="72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72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72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72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72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840"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c>
          <w:tcPr>
            <w:tcW w:w="756" w:type="dxa"/>
            <w:tcBorders>
              <w:top w:val="single" w:sz="8" w:space="0" w:color="auto"/>
              <w:bottom w:val="single" w:sz="18" w:space="0" w:color="auto"/>
            </w:tcBorders>
          </w:tcPr>
          <w:p>
            <w:pPr>
              <w:spacing w:before="60" w:after="60"/>
              <w:rPr>
                <w:b/>
                <w:noProof/>
                <w14:shadow w14:blurRad="50800" w14:dist="38100" w14:dir="2700000" w14:sx="100000" w14:sy="100000" w14:kx="0" w14:ky="0" w14:algn="tl">
                  <w14:srgbClr w14:val="000000">
                    <w14:alpha w14:val="60000"/>
                  </w14:srgbClr>
                </w14:shadow>
              </w:rPr>
            </w:pPr>
          </w:p>
        </w:tc>
      </w:tr>
      <w:tr>
        <w:trPr>
          <w:cantSplit/>
        </w:trPr>
        <w:tc>
          <w:tcPr>
            <w:tcW w:w="2335" w:type="dxa"/>
            <w:tcBorders>
              <w:top w:val="single" w:sz="18" w:space="0" w:color="auto"/>
              <w:left w:val="single" w:sz="18" w:space="0" w:color="auto"/>
              <w:bottom w:val="single" w:sz="12" w:space="0" w:color="auto"/>
              <w:right w:val="single" w:sz="4" w:space="0" w:color="auto"/>
            </w:tcBorders>
          </w:tcPr>
          <w:p>
            <w:pPr>
              <w:spacing w:before="60" w:after="60"/>
              <w:rPr>
                <w:b/>
                <w:noProof/>
                <w:sz w:val="20"/>
                <w:szCs w:val="20"/>
              </w:rPr>
            </w:pPr>
            <w:r>
              <w:rPr>
                <w:b/>
                <w:noProof/>
                <w:sz w:val="20"/>
              </w:rPr>
              <w:t>Odobritve za prevzem obveznosti</w:t>
            </w:r>
          </w:p>
        </w:tc>
        <w:tc>
          <w:tcPr>
            <w:tcW w:w="701" w:type="dxa"/>
            <w:tcBorders>
              <w:top w:val="single" w:sz="18" w:space="0" w:color="auto"/>
              <w:left w:val="single" w:sz="4" w:space="0" w:color="auto"/>
              <w:bottom w:val="single" w:sz="12" w:space="0" w:color="auto"/>
              <w:right w:val="single" w:sz="4" w:space="0" w:color="auto"/>
            </w:tcBorders>
          </w:tcPr>
          <w:p>
            <w:pPr>
              <w:spacing w:before="60" w:after="60"/>
              <w:jc w:val="center"/>
              <w:rPr>
                <w:b/>
                <w:noProof/>
              </w:rPr>
            </w:pPr>
          </w:p>
        </w:tc>
        <w:tc>
          <w:tcPr>
            <w:tcW w:w="720" w:type="dxa"/>
            <w:tcBorders>
              <w:top w:val="single" w:sz="18" w:space="0" w:color="auto"/>
              <w:left w:val="single" w:sz="4" w:space="0" w:color="auto"/>
              <w:bottom w:val="single" w:sz="12" w:space="0" w:color="auto"/>
              <w:right w:val="single" w:sz="4" w:space="0" w:color="auto"/>
            </w:tcBorders>
            <w:vAlign w:val="center"/>
          </w:tcPr>
          <w:p>
            <w:pPr>
              <w:spacing w:before="60" w:after="60"/>
              <w:jc w:val="center"/>
              <w:rPr>
                <w:b/>
                <w:noProof/>
                <w:sz w:val="20"/>
                <w:szCs w:val="20"/>
              </w:rPr>
            </w:pPr>
            <w:r>
              <w:rPr>
                <w:b/>
                <w:noProof/>
                <w:sz w:val="20"/>
              </w:rPr>
              <w:t>a + c</w:t>
            </w:r>
          </w:p>
        </w:tc>
        <w:tc>
          <w:tcPr>
            <w:tcW w:w="720" w:type="dxa"/>
            <w:tcBorders>
              <w:top w:val="single" w:sz="18"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18" w:space="0" w:color="auto"/>
              <w:left w:val="single" w:sz="4" w:space="0" w:color="auto"/>
              <w:bottom w:val="single" w:sz="12" w:space="0" w:color="auto"/>
              <w:right w:val="single" w:sz="4" w:space="0" w:color="auto"/>
            </w:tcBorders>
          </w:tcPr>
          <w:p>
            <w:pPr>
              <w:spacing w:before="60" w:after="60"/>
              <w:jc w:val="right"/>
              <w:rPr>
                <w:b/>
                <w:noProof/>
                <w:sz w:val="20"/>
                <w:szCs w:val="20"/>
              </w:rPr>
            </w:pPr>
            <w:r>
              <w:rPr>
                <w:noProof/>
                <w:sz w:val="20"/>
              </w:rPr>
              <w:t>n. r.</w:t>
            </w:r>
          </w:p>
        </w:tc>
        <w:tc>
          <w:tcPr>
            <w:tcW w:w="720" w:type="dxa"/>
            <w:tcBorders>
              <w:top w:val="single" w:sz="18" w:space="0" w:color="auto"/>
              <w:left w:val="single" w:sz="4" w:space="0" w:color="auto"/>
              <w:bottom w:val="single" w:sz="12" w:space="0" w:color="auto"/>
              <w:right w:val="single" w:sz="4" w:space="0" w:color="auto"/>
            </w:tcBorders>
          </w:tcPr>
          <w:p>
            <w:pPr>
              <w:spacing w:before="60" w:after="60"/>
              <w:jc w:val="right"/>
              <w:rPr>
                <w:b/>
                <w:noProof/>
                <w:sz w:val="20"/>
                <w:szCs w:val="20"/>
              </w:rPr>
            </w:pPr>
            <w:r>
              <w:rPr>
                <w:noProof/>
                <w:sz w:val="20"/>
              </w:rPr>
              <w:t>n. r.</w:t>
            </w:r>
          </w:p>
        </w:tc>
        <w:tc>
          <w:tcPr>
            <w:tcW w:w="720" w:type="dxa"/>
            <w:tcBorders>
              <w:top w:val="single" w:sz="18" w:space="0" w:color="auto"/>
              <w:left w:val="single" w:sz="4" w:space="0" w:color="auto"/>
              <w:bottom w:val="single" w:sz="12" w:space="0" w:color="auto"/>
              <w:right w:val="single" w:sz="4" w:space="0" w:color="auto"/>
            </w:tcBorders>
          </w:tcPr>
          <w:p>
            <w:pPr>
              <w:spacing w:before="60" w:after="60"/>
              <w:jc w:val="right"/>
              <w:rPr>
                <w:b/>
                <w:noProof/>
                <w:sz w:val="20"/>
                <w:szCs w:val="20"/>
              </w:rPr>
            </w:pPr>
            <w:r>
              <w:rPr>
                <w:noProof/>
                <w:sz w:val="20"/>
              </w:rPr>
              <w:t>n. r.</w:t>
            </w:r>
          </w:p>
        </w:tc>
        <w:tc>
          <w:tcPr>
            <w:tcW w:w="720" w:type="dxa"/>
            <w:tcBorders>
              <w:top w:val="single" w:sz="18" w:space="0" w:color="auto"/>
              <w:left w:val="single" w:sz="4" w:space="0" w:color="auto"/>
              <w:bottom w:val="single" w:sz="12" w:space="0" w:color="auto"/>
              <w:right w:val="single" w:sz="4" w:space="0" w:color="auto"/>
            </w:tcBorders>
          </w:tcPr>
          <w:p>
            <w:pPr>
              <w:spacing w:before="60" w:after="60"/>
              <w:jc w:val="right"/>
              <w:rPr>
                <w:b/>
                <w:noProof/>
                <w:sz w:val="20"/>
                <w:szCs w:val="20"/>
              </w:rPr>
            </w:pPr>
            <w:r>
              <w:rPr>
                <w:noProof/>
                <w:sz w:val="20"/>
              </w:rPr>
              <w:t>n. r.</w:t>
            </w:r>
          </w:p>
        </w:tc>
        <w:tc>
          <w:tcPr>
            <w:tcW w:w="840" w:type="dxa"/>
            <w:tcBorders>
              <w:top w:val="single" w:sz="18" w:space="0" w:color="auto"/>
              <w:left w:val="single" w:sz="4" w:space="0" w:color="auto"/>
              <w:bottom w:val="single" w:sz="12" w:space="0" w:color="auto"/>
              <w:right w:val="single" w:sz="12" w:space="0" w:color="auto"/>
            </w:tcBorders>
          </w:tcPr>
          <w:p>
            <w:pPr>
              <w:spacing w:before="60" w:after="60"/>
              <w:jc w:val="right"/>
              <w:rPr>
                <w:b/>
                <w:noProof/>
                <w:sz w:val="20"/>
                <w:szCs w:val="20"/>
              </w:rPr>
            </w:pPr>
            <w:r>
              <w:rPr>
                <w:noProof/>
                <w:sz w:val="20"/>
              </w:rPr>
              <w:t>n. r.</w:t>
            </w:r>
          </w:p>
        </w:tc>
        <w:tc>
          <w:tcPr>
            <w:tcW w:w="756" w:type="dxa"/>
            <w:tcBorders>
              <w:top w:val="single" w:sz="18" w:space="0" w:color="auto"/>
              <w:left w:val="nil"/>
              <w:bottom w:val="single" w:sz="12" w:space="0" w:color="auto"/>
              <w:right w:val="single" w:sz="18" w:space="0" w:color="auto"/>
            </w:tcBorders>
          </w:tcPr>
          <w:p>
            <w:pPr>
              <w:spacing w:before="60" w:after="60"/>
              <w:jc w:val="right"/>
              <w:rPr>
                <w:noProof/>
                <w:sz w:val="20"/>
                <w:szCs w:val="20"/>
              </w:rPr>
            </w:pPr>
            <w:r>
              <w:rPr>
                <w:noProof/>
                <w:sz w:val="20"/>
              </w:rPr>
              <w:t>n. r.</w:t>
            </w:r>
          </w:p>
        </w:tc>
      </w:tr>
      <w:tr>
        <w:trPr>
          <w:cantSplit/>
        </w:trPr>
        <w:tc>
          <w:tcPr>
            <w:tcW w:w="2335" w:type="dxa"/>
            <w:tcBorders>
              <w:top w:val="single" w:sz="12" w:space="0" w:color="auto"/>
              <w:left w:val="single" w:sz="18" w:space="0" w:color="auto"/>
              <w:bottom w:val="single" w:sz="18" w:space="0" w:color="auto"/>
              <w:right w:val="single" w:sz="4" w:space="0" w:color="auto"/>
            </w:tcBorders>
          </w:tcPr>
          <w:p>
            <w:pPr>
              <w:spacing w:before="60" w:after="60"/>
              <w:rPr>
                <w:b/>
                <w:noProof/>
                <w:sz w:val="20"/>
                <w:szCs w:val="20"/>
              </w:rPr>
            </w:pPr>
            <w:r>
              <w:rPr>
                <w:b/>
                <w:noProof/>
                <w:sz w:val="20"/>
              </w:rPr>
              <w:t>Odobritve plačil</w:t>
            </w:r>
          </w:p>
        </w:tc>
        <w:tc>
          <w:tcPr>
            <w:tcW w:w="701" w:type="dxa"/>
            <w:tcBorders>
              <w:top w:val="single" w:sz="12" w:space="0" w:color="auto"/>
              <w:left w:val="single" w:sz="4" w:space="0" w:color="auto"/>
              <w:bottom w:val="single" w:sz="18" w:space="0" w:color="auto"/>
              <w:right w:val="single" w:sz="4" w:space="0" w:color="auto"/>
            </w:tcBorders>
          </w:tcPr>
          <w:p>
            <w:pPr>
              <w:spacing w:before="60" w:after="60"/>
              <w:jc w:val="center"/>
              <w:rPr>
                <w:b/>
                <w:noProof/>
              </w:rPr>
            </w:pPr>
          </w:p>
        </w:tc>
        <w:tc>
          <w:tcPr>
            <w:tcW w:w="720" w:type="dxa"/>
            <w:tcBorders>
              <w:top w:val="single" w:sz="12" w:space="0" w:color="auto"/>
              <w:left w:val="single" w:sz="4" w:space="0" w:color="auto"/>
              <w:bottom w:val="single" w:sz="18" w:space="0" w:color="auto"/>
              <w:right w:val="single" w:sz="4" w:space="0" w:color="auto"/>
            </w:tcBorders>
            <w:vAlign w:val="center"/>
          </w:tcPr>
          <w:p>
            <w:pPr>
              <w:spacing w:before="60" w:after="60"/>
              <w:jc w:val="center"/>
              <w:rPr>
                <w:b/>
                <w:noProof/>
                <w:sz w:val="20"/>
                <w:szCs w:val="20"/>
              </w:rPr>
            </w:pPr>
            <w:r>
              <w:rPr>
                <w:b/>
                <w:noProof/>
                <w:sz w:val="20"/>
              </w:rPr>
              <w:t>b + c</w:t>
            </w:r>
          </w:p>
        </w:tc>
        <w:tc>
          <w:tcPr>
            <w:tcW w:w="720" w:type="dxa"/>
            <w:tcBorders>
              <w:top w:val="single" w:sz="12" w:space="0" w:color="auto"/>
              <w:left w:val="single" w:sz="4" w:space="0" w:color="auto"/>
              <w:bottom w:val="single" w:sz="18" w:space="0" w:color="auto"/>
              <w:right w:val="single" w:sz="4" w:space="0" w:color="auto"/>
            </w:tcBorders>
          </w:tcPr>
          <w:p>
            <w:pPr>
              <w:spacing w:before="60" w:after="60"/>
              <w:jc w:val="right"/>
              <w:rPr>
                <w:b/>
                <w:noProof/>
                <w:sz w:val="20"/>
                <w:szCs w:val="20"/>
              </w:rPr>
            </w:pPr>
            <w:r>
              <w:rPr>
                <w:b/>
                <w:noProof/>
                <w:sz w:val="20"/>
              </w:rPr>
              <w:t>n. r.</w:t>
            </w:r>
          </w:p>
        </w:tc>
        <w:tc>
          <w:tcPr>
            <w:tcW w:w="720" w:type="dxa"/>
            <w:tcBorders>
              <w:top w:val="single" w:sz="12" w:space="0" w:color="auto"/>
              <w:left w:val="single" w:sz="4" w:space="0" w:color="auto"/>
              <w:bottom w:val="single" w:sz="18" w:space="0" w:color="auto"/>
              <w:right w:val="single" w:sz="4" w:space="0" w:color="auto"/>
            </w:tcBorders>
          </w:tcPr>
          <w:p>
            <w:pPr>
              <w:spacing w:before="60" w:after="60"/>
              <w:jc w:val="right"/>
              <w:rPr>
                <w:b/>
                <w:noProof/>
                <w:sz w:val="20"/>
                <w:szCs w:val="20"/>
              </w:rPr>
            </w:pPr>
            <w:r>
              <w:rPr>
                <w:b/>
                <w:noProof/>
                <w:sz w:val="20"/>
              </w:rPr>
              <w:t>n. r.</w:t>
            </w:r>
          </w:p>
        </w:tc>
        <w:tc>
          <w:tcPr>
            <w:tcW w:w="720" w:type="dxa"/>
            <w:tcBorders>
              <w:top w:val="single" w:sz="12" w:space="0" w:color="auto"/>
              <w:left w:val="single" w:sz="4" w:space="0" w:color="auto"/>
              <w:bottom w:val="single" w:sz="18" w:space="0" w:color="auto"/>
              <w:right w:val="single" w:sz="4" w:space="0" w:color="auto"/>
            </w:tcBorders>
          </w:tcPr>
          <w:p>
            <w:pPr>
              <w:spacing w:before="60" w:after="60"/>
              <w:jc w:val="right"/>
              <w:rPr>
                <w:b/>
                <w:noProof/>
                <w:sz w:val="20"/>
                <w:szCs w:val="20"/>
              </w:rPr>
            </w:pPr>
            <w:r>
              <w:rPr>
                <w:b/>
                <w:noProof/>
                <w:sz w:val="20"/>
              </w:rPr>
              <w:t>n. r.</w:t>
            </w:r>
          </w:p>
        </w:tc>
        <w:tc>
          <w:tcPr>
            <w:tcW w:w="720" w:type="dxa"/>
            <w:tcBorders>
              <w:top w:val="single" w:sz="12" w:space="0" w:color="auto"/>
              <w:left w:val="single" w:sz="4" w:space="0" w:color="auto"/>
              <w:bottom w:val="single" w:sz="18" w:space="0" w:color="auto"/>
              <w:right w:val="single" w:sz="4" w:space="0" w:color="auto"/>
            </w:tcBorders>
          </w:tcPr>
          <w:p>
            <w:pPr>
              <w:spacing w:before="60" w:after="60"/>
              <w:jc w:val="right"/>
              <w:rPr>
                <w:b/>
                <w:noProof/>
                <w:sz w:val="20"/>
                <w:szCs w:val="20"/>
              </w:rPr>
            </w:pPr>
            <w:r>
              <w:rPr>
                <w:b/>
                <w:noProof/>
                <w:sz w:val="20"/>
              </w:rPr>
              <w:t>n. r.</w:t>
            </w:r>
          </w:p>
        </w:tc>
        <w:tc>
          <w:tcPr>
            <w:tcW w:w="720" w:type="dxa"/>
            <w:tcBorders>
              <w:top w:val="single" w:sz="12" w:space="0" w:color="auto"/>
              <w:left w:val="single" w:sz="4" w:space="0" w:color="auto"/>
              <w:bottom w:val="single" w:sz="18" w:space="0" w:color="auto"/>
              <w:right w:val="single" w:sz="4" w:space="0" w:color="auto"/>
            </w:tcBorders>
          </w:tcPr>
          <w:p>
            <w:pPr>
              <w:spacing w:before="60" w:after="60"/>
              <w:jc w:val="right"/>
              <w:rPr>
                <w:b/>
                <w:noProof/>
                <w:sz w:val="20"/>
                <w:szCs w:val="20"/>
              </w:rPr>
            </w:pPr>
            <w:r>
              <w:rPr>
                <w:b/>
                <w:noProof/>
                <w:sz w:val="20"/>
              </w:rPr>
              <w:t>n. r.</w:t>
            </w:r>
          </w:p>
        </w:tc>
        <w:tc>
          <w:tcPr>
            <w:tcW w:w="840" w:type="dxa"/>
            <w:tcBorders>
              <w:top w:val="single" w:sz="12" w:space="0" w:color="auto"/>
              <w:left w:val="single" w:sz="4" w:space="0" w:color="auto"/>
              <w:bottom w:val="single" w:sz="18" w:space="0" w:color="auto"/>
              <w:right w:val="single" w:sz="12" w:space="0" w:color="auto"/>
            </w:tcBorders>
          </w:tcPr>
          <w:p>
            <w:pPr>
              <w:spacing w:before="60" w:after="60"/>
              <w:jc w:val="right"/>
              <w:rPr>
                <w:b/>
                <w:noProof/>
                <w:sz w:val="20"/>
                <w:szCs w:val="20"/>
              </w:rPr>
            </w:pPr>
            <w:r>
              <w:rPr>
                <w:b/>
                <w:noProof/>
                <w:sz w:val="20"/>
              </w:rPr>
              <w:t>n. r.</w:t>
            </w:r>
          </w:p>
        </w:tc>
        <w:tc>
          <w:tcPr>
            <w:tcW w:w="756" w:type="dxa"/>
            <w:tcBorders>
              <w:top w:val="single" w:sz="12" w:space="0" w:color="auto"/>
              <w:left w:val="nil"/>
              <w:bottom w:val="single" w:sz="18" w:space="0" w:color="auto"/>
              <w:right w:val="single" w:sz="18" w:space="0" w:color="auto"/>
            </w:tcBorders>
          </w:tcPr>
          <w:p>
            <w:pPr>
              <w:spacing w:before="60" w:after="60"/>
              <w:jc w:val="right"/>
              <w:rPr>
                <w:b/>
                <w:noProof/>
                <w:sz w:val="20"/>
                <w:szCs w:val="20"/>
              </w:rPr>
            </w:pPr>
            <w:r>
              <w:rPr>
                <w:b/>
                <w:noProof/>
                <w:sz w:val="20"/>
              </w:rPr>
              <w:t>0,000</w:t>
            </w:r>
          </w:p>
          <w:p>
            <w:pPr>
              <w:spacing w:before="60" w:after="60"/>
              <w:jc w:val="right"/>
              <w:rPr>
                <w:b/>
                <w:noProof/>
                <w:sz w:val="20"/>
                <w:szCs w:val="20"/>
              </w:rPr>
            </w:pPr>
          </w:p>
        </w:tc>
      </w:tr>
      <w:tr>
        <w:trPr>
          <w:cantSplit/>
        </w:trPr>
        <w:tc>
          <w:tcPr>
            <w:tcW w:w="7356" w:type="dxa"/>
            <w:gridSpan w:val="8"/>
            <w:tcBorders>
              <w:top w:val="single" w:sz="18" w:space="0" w:color="auto"/>
              <w:bottom w:val="single" w:sz="8" w:space="0" w:color="auto"/>
            </w:tcBorders>
          </w:tcPr>
          <w:p>
            <w:pPr>
              <w:spacing w:before="60" w:after="60"/>
              <w:rPr>
                <w:noProof/>
              </w:rPr>
            </w:pPr>
            <w:r>
              <w:rPr>
                <w:b/>
                <w:noProof/>
                <w:sz w:val="22"/>
              </w:rPr>
              <w:t xml:space="preserve">Upravni odhodki, ki jih referenčni znesek </w:t>
            </w:r>
            <w:r>
              <w:rPr>
                <w:b/>
                <w:noProof/>
                <w:sz w:val="22"/>
                <w:u w:val="single"/>
              </w:rPr>
              <w:t>ne</w:t>
            </w:r>
            <w:r>
              <w:rPr>
                <w:b/>
                <w:noProof/>
                <w:sz w:val="22"/>
              </w:rPr>
              <w:t xml:space="preserve"> krije</w:t>
            </w:r>
            <w:r>
              <w:rPr>
                <w:rStyle w:val="FootnoteReference"/>
                <w:b/>
                <w:noProof/>
                <w:sz w:val="22"/>
              </w:rPr>
              <w:footnoteReference w:id="8"/>
            </w:r>
          </w:p>
        </w:tc>
        <w:tc>
          <w:tcPr>
            <w:tcW w:w="840" w:type="dxa"/>
            <w:tcBorders>
              <w:top w:val="single" w:sz="18" w:space="0" w:color="auto"/>
              <w:bottom w:val="single" w:sz="8" w:space="0" w:color="auto"/>
            </w:tcBorders>
          </w:tcPr>
          <w:p>
            <w:pPr>
              <w:spacing w:before="60" w:after="60"/>
              <w:rPr>
                <w:noProof/>
              </w:rPr>
            </w:pPr>
          </w:p>
        </w:tc>
        <w:tc>
          <w:tcPr>
            <w:tcW w:w="756" w:type="dxa"/>
            <w:tcBorders>
              <w:top w:val="single" w:sz="18" w:space="0" w:color="auto"/>
              <w:bottom w:val="single" w:sz="8" w:space="0" w:color="auto"/>
            </w:tcBorders>
          </w:tcPr>
          <w:p>
            <w:pPr>
              <w:spacing w:before="60" w:after="60"/>
              <w:rPr>
                <w:noProof/>
              </w:rPr>
            </w:pPr>
          </w:p>
        </w:tc>
      </w:tr>
      <w:tr>
        <w:trPr>
          <w:cantSplit/>
        </w:trPr>
        <w:tc>
          <w:tcPr>
            <w:tcW w:w="2335" w:type="dxa"/>
            <w:tcBorders>
              <w:top w:val="single" w:sz="8" w:space="0" w:color="auto"/>
              <w:left w:val="single" w:sz="8" w:space="0" w:color="auto"/>
              <w:bottom w:val="single" w:sz="4" w:space="0" w:color="auto"/>
              <w:right w:val="single" w:sz="4" w:space="0" w:color="auto"/>
            </w:tcBorders>
          </w:tcPr>
          <w:p>
            <w:pPr>
              <w:spacing w:before="60" w:after="60"/>
              <w:rPr>
                <w:noProof/>
                <w:sz w:val="20"/>
                <w:szCs w:val="20"/>
              </w:rPr>
            </w:pPr>
            <w:r>
              <w:rPr>
                <w:noProof/>
                <w:sz w:val="20"/>
              </w:rPr>
              <w:t>Človeški viri in z njimi povezani odhodki (NS)</w:t>
            </w:r>
          </w:p>
        </w:tc>
        <w:tc>
          <w:tcPr>
            <w:tcW w:w="701" w:type="dxa"/>
            <w:tcBorders>
              <w:top w:val="single" w:sz="8" w:space="0" w:color="auto"/>
              <w:left w:val="single" w:sz="4" w:space="0" w:color="auto"/>
              <w:bottom w:val="single" w:sz="4" w:space="0" w:color="auto"/>
              <w:right w:val="single" w:sz="4" w:space="0" w:color="auto"/>
            </w:tcBorders>
            <w:vAlign w:val="center"/>
          </w:tcPr>
          <w:p>
            <w:pPr>
              <w:spacing w:before="60" w:after="60"/>
              <w:jc w:val="center"/>
              <w:rPr>
                <w:noProof/>
                <w:sz w:val="20"/>
                <w:szCs w:val="20"/>
              </w:rPr>
            </w:pPr>
            <w:r>
              <w:rPr>
                <w:noProof/>
                <w:sz w:val="20"/>
              </w:rPr>
              <w:t>8.2.5</w:t>
            </w:r>
          </w:p>
        </w:tc>
        <w:tc>
          <w:tcPr>
            <w:tcW w:w="720" w:type="dxa"/>
            <w:tcBorders>
              <w:top w:val="single" w:sz="8" w:space="0" w:color="auto"/>
              <w:left w:val="single" w:sz="4" w:space="0" w:color="auto"/>
              <w:bottom w:val="single" w:sz="4" w:space="0" w:color="auto"/>
              <w:right w:val="single" w:sz="4" w:space="0" w:color="auto"/>
            </w:tcBorders>
            <w:vAlign w:val="center"/>
          </w:tcPr>
          <w:p>
            <w:pPr>
              <w:spacing w:before="60" w:after="60"/>
              <w:jc w:val="center"/>
              <w:rPr>
                <w:noProof/>
                <w:sz w:val="20"/>
                <w:szCs w:val="20"/>
              </w:rPr>
            </w:pPr>
            <w:r>
              <w:rPr>
                <w:noProof/>
                <w:sz w:val="20"/>
              </w:rPr>
              <w:t>d</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8"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840" w:type="dxa"/>
            <w:tcBorders>
              <w:top w:val="single" w:sz="8" w:space="0" w:color="auto"/>
              <w:left w:val="single" w:sz="4" w:space="0" w:color="auto"/>
              <w:bottom w:val="single" w:sz="4" w:space="0" w:color="auto"/>
              <w:right w:val="single" w:sz="8" w:space="0" w:color="auto"/>
            </w:tcBorders>
          </w:tcPr>
          <w:p>
            <w:pPr>
              <w:spacing w:before="60" w:after="60"/>
              <w:jc w:val="right"/>
              <w:rPr>
                <w:noProof/>
                <w:sz w:val="20"/>
                <w:szCs w:val="20"/>
              </w:rPr>
            </w:pPr>
            <w:r>
              <w:rPr>
                <w:noProof/>
                <w:sz w:val="20"/>
              </w:rPr>
              <w:t>n. r.</w:t>
            </w:r>
          </w:p>
        </w:tc>
        <w:tc>
          <w:tcPr>
            <w:tcW w:w="756" w:type="dxa"/>
            <w:tcBorders>
              <w:top w:val="single" w:sz="8" w:space="0" w:color="auto"/>
              <w:left w:val="single" w:sz="8" w:space="0" w:color="auto"/>
              <w:bottom w:val="single" w:sz="8" w:space="0" w:color="auto"/>
              <w:right w:val="single" w:sz="8" w:space="0" w:color="auto"/>
            </w:tcBorders>
          </w:tcPr>
          <w:p>
            <w:pPr>
              <w:spacing w:before="60" w:after="60"/>
              <w:jc w:val="right"/>
              <w:rPr>
                <w:noProof/>
                <w:sz w:val="20"/>
                <w:szCs w:val="20"/>
              </w:rPr>
            </w:pPr>
            <w:r>
              <w:rPr>
                <w:noProof/>
                <w:sz w:val="20"/>
              </w:rPr>
              <w:t>n. r.</w:t>
            </w:r>
          </w:p>
        </w:tc>
      </w:tr>
      <w:tr>
        <w:trPr>
          <w:cantSplit/>
        </w:trPr>
        <w:tc>
          <w:tcPr>
            <w:tcW w:w="2335" w:type="dxa"/>
            <w:tcBorders>
              <w:top w:val="single" w:sz="4" w:space="0" w:color="auto"/>
              <w:left w:val="single" w:sz="8" w:space="0" w:color="auto"/>
              <w:bottom w:val="single" w:sz="8" w:space="0" w:color="auto"/>
              <w:right w:val="single" w:sz="4" w:space="0" w:color="auto"/>
            </w:tcBorders>
          </w:tcPr>
          <w:p>
            <w:pPr>
              <w:spacing w:before="60" w:after="60"/>
              <w:rPr>
                <w:noProof/>
                <w:sz w:val="18"/>
                <w:szCs w:val="18"/>
              </w:rPr>
            </w:pPr>
            <w:r>
              <w:rPr>
                <w:noProof/>
                <w:sz w:val="18"/>
              </w:rPr>
              <w:t>Upravni stroški, ki jih referenčni znesek ne krije, razen stroškov za človeške vire in z njimi povezanih stroškov (NS)</w:t>
            </w:r>
          </w:p>
        </w:tc>
        <w:tc>
          <w:tcPr>
            <w:tcW w:w="701" w:type="dxa"/>
            <w:tcBorders>
              <w:top w:val="single" w:sz="4" w:space="0" w:color="auto"/>
              <w:left w:val="single" w:sz="4" w:space="0" w:color="auto"/>
              <w:bottom w:val="single" w:sz="8" w:space="0" w:color="auto"/>
              <w:right w:val="single" w:sz="4" w:space="0" w:color="auto"/>
            </w:tcBorders>
            <w:vAlign w:val="center"/>
          </w:tcPr>
          <w:p>
            <w:pPr>
              <w:spacing w:before="60" w:after="60"/>
              <w:jc w:val="center"/>
              <w:rPr>
                <w:noProof/>
                <w:sz w:val="20"/>
                <w:szCs w:val="20"/>
              </w:rPr>
            </w:pPr>
            <w:r>
              <w:rPr>
                <w:noProof/>
                <w:sz w:val="20"/>
              </w:rPr>
              <w:t>8.2.6</w:t>
            </w:r>
          </w:p>
        </w:tc>
        <w:tc>
          <w:tcPr>
            <w:tcW w:w="720" w:type="dxa"/>
            <w:tcBorders>
              <w:top w:val="single" w:sz="4" w:space="0" w:color="auto"/>
              <w:left w:val="single" w:sz="4" w:space="0" w:color="auto"/>
              <w:bottom w:val="single" w:sz="8" w:space="0" w:color="auto"/>
              <w:right w:val="single" w:sz="4" w:space="0" w:color="auto"/>
            </w:tcBorders>
            <w:vAlign w:val="center"/>
          </w:tcPr>
          <w:p>
            <w:pPr>
              <w:spacing w:before="60" w:after="60"/>
              <w:jc w:val="center"/>
              <w:rPr>
                <w:noProof/>
                <w:sz w:val="20"/>
                <w:szCs w:val="20"/>
              </w:rPr>
            </w:pPr>
            <w:r>
              <w:rPr>
                <w:noProof/>
                <w:sz w:val="20"/>
              </w:rPr>
              <w:t>e</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single" w:sz="8" w:space="0" w:color="auto"/>
              <w:right w:val="single" w:sz="4" w:space="0" w:color="auto"/>
            </w:tcBorders>
          </w:tcPr>
          <w:p>
            <w:pPr>
              <w:spacing w:before="60" w:after="60"/>
              <w:jc w:val="right"/>
              <w:rPr>
                <w:noProof/>
                <w:sz w:val="20"/>
                <w:szCs w:val="20"/>
              </w:rPr>
            </w:pPr>
            <w:r>
              <w:rPr>
                <w:noProof/>
                <w:sz w:val="20"/>
              </w:rPr>
              <w:t>n. r.</w:t>
            </w:r>
          </w:p>
        </w:tc>
        <w:tc>
          <w:tcPr>
            <w:tcW w:w="840" w:type="dxa"/>
            <w:tcBorders>
              <w:top w:val="single" w:sz="4" w:space="0" w:color="auto"/>
              <w:left w:val="single" w:sz="4" w:space="0" w:color="auto"/>
              <w:bottom w:val="single" w:sz="8" w:space="0" w:color="auto"/>
              <w:right w:val="single" w:sz="8" w:space="0" w:color="auto"/>
            </w:tcBorders>
          </w:tcPr>
          <w:p>
            <w:pPr>
              <w:spacing w:before="60" w:after="60"/>
              <w:jc w:val="right"/>
              <w:rPr>
                <w:noProof/>
                <w:sz w:val="20"/>
                <w:szCs w:val="20"/>
              </w:rPr>
            </w:pPr>
            <w:r>
              <w:rPr>
                <w:noProof/>
                <w:sz w:val="20"/>
              </w:rPr>
              <w:t>n. r.</w:t>
            </w:r>
          </w:p>
        </w:tc>
        <w:tc>
          <w:tcPr>
            <w:tcW w:w="756" w:type="dxa"/>
            <w:tcBorders>
              <w:top w:val="single" w:sz="8" w:space="0" w:color="auto"/>
              <w:left w:val="single" w:sz="8" w:space="0" w:color="auto"/>
              <w:bottom w:val="single" w:sz="8" w:space="0" w:color="auto"/>
              <w:right w:val="single" w:sz="8" w:space="0" w:color="auto"/>
            </w:tcBorders>
          </w:tcPr>
          <w:p>
            <w:pPr>
              <w:spacing w:before="60" w:after="60"/>
              <w:jc w:val="right"/>
              <w:rPr>
                <w:noProof/>
                <w:sz w:val="20"/>
                <w:szCs w:val="20"/>
              </w:rPr>
            </w:pPr>
            <w:r>
              <w:rPr>
                <w:noProof/>
                <w:sz w:val="20"/>
              </w:rPr>
              <w:t>n. r.</w:t>
            </w:r>
          </w:p>
        </w:tc>
      </w:tr>
    </w:tbl>
    <w:p>
      <w:pPr>
        <w:rPr>
          <w:b/>
          <w:noProof/>
        </w:rPr>
      </w:pPr>
      <w:r>
        <w:rPr>
          <w:b/>
          <w:noProof/>
        </w:rPr>
        <w:t xml:space="preserve">Predvideni stroški financiranja ukrepa skupaj </w:t>
      </w:r>
    </w:p>
    <w:tbl>
      <w:tblPr>
        <w:tblW w:w="8952" w:type="dxa"/>
        <w:tblInd w:w="312" w:type="dxa"/>
        <w:tblLayout w:type="fixed"/>
        <w:tblLook w:val="0000" w:firstRow="0" w:lastRow="0" w:firstColumn="0" w:lastColumn="0" w:noHBand="0" w:noVBand="0"/>
      </w:tblPr>
      <w:tblGrid>
        <w:gridCol w:w="2335"/>
        <w:gridCol w:w="701"/>
        <w:gridCol w:w="540"/>
        <w:gridCol w:w="720"/>
        <w:gridCol w:w="900"/>
        <w:gridCol w:w="720"/>
        <w:gridCol w:w="720"/>
        <w:gridCol w:w="720"/>
        <w:gridCol w:w="720"/>
        <w:gridCol w:w="876"/>
      </w:tblGrid>
      <w:tr>
        <w:trPr>
          <w:cantSplit/>
        </w:trPr>
        <w:tc>
          <w:tcPr>
            <w:tcW w:w="2335" w:type="dxa"/>
            <w:tcBorders>
              <w:top w:val="double" w:sz="4" w:space="0" w:color="auto"/>
              <w:left w:val="double" w:sz="4" w:space="0" w:color="auto"/>
              <w:bottom w:val="single" w:sz="4" w:space="0" w:color="auto"/>
            </w:tcBorders>
          </w:tcPr>
          <w:p>
            <w:pPr>
              <w:spacing w:before="60" w:after="60"/>
              <w:rPr>
                <w:b/>
                <w:noProof/>
                <w:sz w:val="20"/>
                <w:szCs w:val="20"/>
              </w:rPr>
            </w:pPr>
            <w:r>
              <w:rPr>
                <w:b/>
                <w:noProof/>
                <w:sz w:val="20"/>
              </w:rPr>
              <w:t>OPO, vključno s stroški za človeške vire, SKUPAJ</w:t>
            </w:r>
          </w:p>
        </w:tc>
        <w:tc>
          <w:tcPr>
            <w:tcW w:w="701" w:type="dxa"/>
            <w:tcBorders>
              <w:top w:val="double" w:sz="4" w:space="0" w:color="auto"/>
              <w:left w:val="single" w:sz="4" w:space="0" w:color="auto"/>
              <w:bottom w:val="single" w:sz="4" w:space="0" w:color="auto"/>
              <w:right w:val="single" w:sz="4" w:space="0" w:color="auto"/>
            </w:tcBorders>
          </w:tcPr>
          <w:p>
            <w:pPr>
              <w:spacing w:before="60" w:after="60"/>
              <w:jc w:val="center"/>
              <w:rPr>
                <w:noProof/>
              </w:rPr>
            </w:pPr>
          </w:p>
        </w:tc>
        <w:tc>
          <w:tcPr>
            <w:tcW w:w="540" w:type="dxa"/>
            <w:tcBorders>
              <w:top w:val="double" w:sz="4" w:space="0" w:color="auto"/>
              <w:left w:val="single" w:sz="4" w:space="0" w:color="auto"/>
              <w:bottom w:val="single" w:sz="4" w:space="0" w:color="auto"/>
            </w:tcBorders>
            <w:vAlign w:val="center"/>
          </w:tcPr>
          <w:p>
            <w:pPr>
              <w:spacing w:before="60" w:after="60"/>
              <w:jc w:val="center"/>
              <w:rPr>
                <w:noProof/>
                <w:sz w:val="20"/>
                <w:szCs w:val="20"/>
              </w:rPr>
            </w:pPr>
            <w:r>
              <w:rPr>
                <w:noProof/>
                <w:sz w:val="20"/>
              </w:rPr>
              <w:t>a + c + d + e</w:t>
            </w:r>
          </w:p>
        </w:tc>
        <w:tc>
          <w:tcPr>
            <w:tcW w:w="720" w:type="dxa"/>
            <w:tcBorders>
              <w:top w:val="double" w:sz="4"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900" w:type="dxa"/>
            <w:tcBorders>
              <w:top w:val="double" w:sz="4"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double" w:sz="4"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double" w:sz="4"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double" w:sz="4"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double" w:sz="4" w:space="0" w:color="auto"/>
              <w:left w:val="single" w:sz="4" w:space="0" w:color="auto"/>
              <w:bottom w:val="single" w:sz="4" w:space="0" w:color="auto"/>
              <w:right w:val="double" w:sz="4" w:space="0" w:color="auto"/>
            </w:tcBorders>
          </w:tcPr>
          <w:p>
            <w:pPr>
              <w:spacing w:before="60" w:after="60"/>
              <w:jc w:val="right"/>
              <w:rPr>
                <w:noProof/>
                <w:sz w:val="20"/>
                <w:szCs w:val="20"/>
              </w:rPr>
            </w:pPr>
            <w:r>
              <w:rPr>
                <w:noProof/>
                <w:sz w:val="20"/>
              </w:rPr>
              <w:t>n. r.</w:t>
            </w:r>
          </w:p>
        </w:tc>
        <w:tc>
          <w:tcPr>
            <w:tcW w:w="876" w:type="dxa"/>
            <w:tcBorders>
              <w:top w:val="double" w:sz="4" w:space="0" w:color="auto"/>
              <w:left w:val="double" w:sz="4" w:space="0" w:color="auto"/>
              <w:bottom w:val="single" w:sz="4" w:space="0" w:color="auto"/>
              <w:right w:val="double" w:sz="4" w:space="0" w:color="auto"/>
            </w:tcBorders>
          </w:tcPr>
          <w:p>
            <w:pPr>
              <w:spacing w:before="60" w:after="60"/>
              <w:jc w:val="right"/>
              <w:rPr>
                <w:noProof/>
                <w:sz w:val="20"/>
                <w:szCs w:val="20"/>
              </w:rPr>
            </w:pPr>
            <w:r>
              <w:rPr>
                <w:noProof/>
                <w:sz w:val="20"/>
              </w:rPr>
              <w:t>n. r.</w:t>
            </w:r>
          </w:p>
        </w:tc>
      </w:tr>
      <w:tr>
        <w:trPr>
          <w:cantSplit/>
        </w:trPr>
        <w:tc>
          <w:tcPr>
            <w:tcW w:w="2335" w:type="dxa"/>
            <w:tcBorders>
              <w:top w:val="single" w:sz="4" w:space="0" w:color="auto"/>
              <w:left w:val="double" w:sz="4" w:space="0" w:color="auto"/>
              <w:bottom w:val="double" w:sz="4" w:space="0" w:color="auto"/>
            </w:tcBorders>
          </w:tcPr>
          <w:p>
            <w:pPr>
              <w:spacing w:before="60" w:after="60"/>
              <w:rPr>
                <w:b/>
                <w:noProof/>
                <w:sz w:val="20"/>
                <w:szCs w:val="20"/>
              </w:rPr>
            </w:pPr>
            <w:r>
              <w:rPr>
                <w:b/>
                <w:noProof/>
                <w:sz w:val="20"/>
              </w:rPr>
              <w:t>OP, vključno s stroški za človeške vire, SKUPAJ</w:t>
            </w:r>
          </w:p>
        </w:tc>
        <w:tc>
          <w:tcPr>
            <w:tcW w:w="701" w:type="dxa"/>
            <w:tcBorders>
              <w:top w:val="single" w:sz="4" w:space="0" w:color="auto"/>
              <w:left w:val="single" w:sz="4" w:space="0" w:color="auto"/>
              <w:bottom w:val="double" w:sz="4" w:space="0" w:color="auto"/>
              <w:right w:val="single" w:sz="4" w:space="0" w:color="auto"/>
            </w:tcBorders>
          </w:tcPr>
          <w:p>
            <w:pPr>
              <w:spacing w:before="60" w:after="60"/>
              <w:jc w:val="center"/>
              <w:rPr>
                <w:noProof/>
              </w:rPr>
            </w:pPr>
          </w:p>
        </w:tc>
        <w:tc>
          <w:tcPr>
            <w:tcW w:w="540" w:type="dxa"/>
            <w:tcBorders>
              <w:top w:val="single" w:sz="4" w:space="0" w:color="auto"/>
              <w:left w:val="single" w:sz="4" w:space="0" w:color="auto"/>
              <w:bottom w:val="double" w:sz="4" w:space="0" w:color="auto"/>
            </w:tcBorders>
            <w:vAlign w:val="center"/>
          </w:tcPr>
          <w:p>
            <w:pPr>
              <w:spacing w:before="60" w:after="60"/>
              <w:jc w:val="center"/>
              <w:rPr>
                <w:noProof/>
                <w:sz w:val="20"/>
                <w:szCs w:val="20"/>
              </w:rPr>
            </w:pPr>
            <w:r>
              <w:rPr>
                <w:noProof/>
                <w:sz w:val="20"/>
              </w:rPr>
              <w:t>b + c + d + e</w:t>
            </w:r>
          </w:p>
        </w:tc>
        <w:tc>
          <w:tcPr>
            <w:tcW w:w="720" w:type="dxa"/>
            <w:tcBorders>
              <w:top w:val="single" w:sz="4" w:space="0" w:color="auto"/>
              <w:left w:val="single" w:sz="4" w:space="0" w:color="auto"/>
              <w:bottom w:val="double" w:sz="4" w:space="0" w:color="auto"/>
              <w:right w:val="single" w:sz="4" w:space="0" w:color="auto"/>
            </w:tcBorders>
          </w:tcPr>
          <w:p>
            <w:pPr>
              <w:spacing w:before="60" w:after="60"/>
              <w:jc w:val="right"/>
              <w:rPr>
                <w:noProof/>
                <w:sz w:val="20"/>
                <w:szCs w:val="20"/>
              </w:rPr>
            </w:pPr>
            <w:r>
              <w:rPr>
                <w:noProof/>
                <w:sz w:val="20"/>
              </w:rPr>
              <w:t>n. r.</w:t>
            </w:r>
          </w:p>
        </w:tc>
        <w:tc>
          <w:tcPr>
            <w:tcW w:w="900" w:type="dxa"/>
            <w:tcBorders>
              <w:top w:val="single" w:sz="4" w:space="0" w:color="auto"/>
              <w:left w:val="single" w:sz="4" w:space="0" w:color="auto"/>
              <w:bottom w:val="doub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doub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doub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doub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double" w:sz="4" w:space="0" w:color="auto"/>
              <w:right w:val="double" w:sz="4" w:space="0" w:color="auto"/>
            </w:tcBorders>
          </w:tcPr>
          <w:p>
            <w:pPr>
              <w:spacing w:before="60" w:after="60"/>
              <w:jc w:val="right"/>
              <w:rPr>
                <w:noProof/>
                <w:sz w:val="20"/>
                <w:szCs w:val="20"/>
              </w:rPr>
            </w:pPr>
            <w:r>
              <w:rPr>
                <w:noProof/>
                <w:sz w:val="20"/>
              </w:rPr>
              <w:t>n. r.</w:t>
            </w:r>
          </w:p>
        </w:tc>
        <w:tc>
          <w:tcPr>
            <w:tcW w:w="876" w:type="dxa"/>
            <w:tcBorders>
              <w:top w:val="single" w:sz="4" w:space="0" w:color="auto"/>
              <w:left w:val="double" w:sz="4" w:space="0" w:color="auto"/>
              <w:bottom w:val="double" w:sz="4" w:space="0" w:color="auto"/>
              <w:right w:val="double" w:sz="4" w:space="0" w:color="auto"/>
            </w:tcBorders>
          </w:tcPr>
          <w:p>
            <w:pPr>
              <w:spacing w:before="60" w:after="60"/>
              <w:jc w:val="right"/>
              <w:rPr>
                <w:noProof/>
                <w:sz w:val="20"/>
                <w:szCs w:val="20"/>
              </w:rPr>
            </w:pPr>
            <w:r>
              <w:rPr>
                <w:noProof/>
                <w:sz w:val="20"/>
              </w:rPr>
              <w:t>n. r.</w:t>
            </w:r>
          </w:p>
        </w:tc>
      </w:tr>
    </w:tbl>
    <w:p>
      <w:pPr>
        <w:rPr>
          <w:b/>
          <w:noProof/>
        </w:rPr>
        <w:sectPr>
          <w:pgSz w:w="12240" w:h="15840"/>
          <w:pgMar w:top="1440" w:right="1800" w:bottom="1440" w:left="1800" w:header="708" w:footer="708" w:gutter="0"/>
          <w:cols w:space="708"/>
          <w:docGrid w:linePitch="360"/>
        </w:sectPr>
      </w:pPr>
    </w:p>
    <w:p>
      <w:pPr>
        <w:rPr>
          <w:b/>
          <w:noProof/>
        </w:rPr>
      </w:pPr>
      <w:r>
        <w:rPr>
          <w:b/>
          <w:noProof/>
        </w:rPr>
        <w:t>Podrobnosti o sofinanciranju</w:t>
      </w:r>
    </w:p>
    <w:p>
      <w:pPr>
        <w:jc w:val="right"/>
        <w:rPr>
          <w:i/>
          <w:noProof/>
          <w:sz w:val="20"/>
          <w:szCs w:val="20"/>
        </w:rPr>
      </w:pPr>
      <w:r>
        <w:rPr>
          <w:i/>
          <w:noProof/>
          <w:sz w:val="20"/>
        </w:rPr>
        <w:t>v mio. EUR (na tri decimalna mesta natančno)</w:t>
      </w:r>
    </w:p>
    <w:tbl>
      <w:tblPr>
        <w:tblW w:w="8076" w:type="dxa"/>
        <w:tblInd w:w="312" w:type="dxa"/>
        <w:tblLayout w:type="fixed"/>
        <w:tblLook w:val="0000" w:firstRow="0" w:lastRow="0" w:firstColumn="0" w:lastColumn="0" w:noHBand="0" w:noVBand="0"/>
      </w:tblPr>
      <w:tblGrid>
        <w:gridCol w:w="2335"/>
        <w:gridCol w:w="584"/>
        <w:gridCol w:w="681"/>
        <w:gridCol w:w="720"/>
        <w:gridCol w:w="720"/>
        <w:gridCol w:w="720"/>
        <w:gridCol w:w="720"/>
        <w:gridCol w:w="720"/>
        <w:gridCol w:w="876"/>
      </w:tblGrid>
      <w:tr>
        <w:trPr>
          <w:cantSplit/>
        </w:trPr>
        <w:tc>
          <w:tcPr>
            <w:tcW w:w="2335" w:type="dxa"/>
            <w:tcBorders>
              <w:top w:val="single" w:sz="12" w:space="0" w:color="auto"/>
              <w:left w:val="single" w:sz="12" w:space="0" w:color="auto"/>
              <w:bottom w:val="single" w:sz="12" w:space="0" w:color="auto"/>
              <w:right w:val="single" w:sz="12" w:space="0" w:color="auto"/>
            </w:tcBorders>
          </w:tcPr>
          <w:p>
            <w:pPr>
              <w:spacing w:before="60" w:after="60"/>
              <w:rPr>
                <w:noProof/>
                <w:sz w:val="20"/>
                <w:szCs w:val="20"/>
              </w:rPr>
            </w:pPr>
            <w:r>
              <w:rPr>
                <w:noProof/>
                <w:sz w:val="20"/>
              </w:rPr>
              <w:t>Organ, ki sofinancira ukrep</w:t>
            </w:r>
          </w:p>
        </w:tc>
        <w:tc>
          <w:tcPr>
            <w:tcW w:w="584" w:type="dxa"/>
            <w:tcBorders>
              <w:top w:val="single" w:sz="12" w:space="0" w:color="auto"/>
              <w:left w:val="single" w:sz="12" w:space="0" w:color="auto"/>
              <w:bottom w:val="single" w:sz="12" w:space="0" w:color="auto"/>
              <w:right w:val="single" w:sz="12" w:space="0" w:color="auto"/>
            </w:tcBorders>
            <w:vAlign w:val="center"/>
          </w:tcPr>
          <w:p>
            <w:pPr>
              <w:spacing w:before="60" w:after="60"/>
              <w:jc w:val="center"/>
              <w:rPr>
                <w:noProof/>
                <w:sz w:val="20"/>
                <w:szCs w:val="20"/>
              </w:rPr>
            </w:pPr>
          </w:p>
        </w:tc>
        <w:tc>
          <w:tcPr>
            <w:tcW w:w="681"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Leto n</w:t>
            </w:r>
          </w:p>
        </w:tc>
        <w:tc>
          <w:tcPr>
            <w:tcW w:w="720"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n + 1</w:t>
            </w:r>
          </w:p>
        </w:tc>
        <w:tc>
          <w:tcPr>
            <w:tcW w:w="720"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n + 2</w:t>
            </w:r>
          </w:p>
        </w:tc>
        <w:tc>
          <w:tcPr>
            <w:tcW w:w="720"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n + 3</w:t>
            </w:r>
          </w:p>
        </w:tc>
        <w:tc>
          <w:tcPr>
            <w:tcW w:w="720"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n + 4</w:t>
            </w:r>
          </w:p>
        </w:tc>
        <w:tc>
          <w:tcPr>
            <w:tcW w:w="720" w:type="dxa"/>
            <w:tcBorders>
              <w:top w:val="single" w:sz="12" w:space="0" w:color="auto"/>
              <w:left w:val="single" w:sz="12" w:space="0" w:color="auto"/>
              <w:bottom w:val="single" w:sz="12" w:space="0" w:color="auto"/>
              <w:right w:val="single" w:sz="12" w:space="0" w:color="auto"/>
            </w:tcBorders>
            <w:vAlign w:val="center"/>
          </w:tcPr>
          <w:p>
            <w:pPr>
              <w:spacing w:before="60" w:after="60"/>
              <w:rPr>
                <w:noProof/>
                <w:sz w:val="20"/>
                <w:szCs w:val="20"/>
              </w:rPr>
            </w:pPr>
            <w:r>
              <w:rPr>
                <w:noProof/>
                <w:sz w:val="20"/>
              </w:rPr>
              <w:t>n + 5 in pozneje</w:t>
            </w:r>
          </w:p>
        </w:tc>
        <w:tc>
          <w:tcPr>
            <w:tcW w:w="876" w:type="dxa"/>
            <w:tcBorders>
              <w:top w:val="single" w:sz="12" w:space="0" w:color="auto"/>
              <w:left w:val="single" w:sz="12" w:space="0" w:color="auto"/>
              <w:bottom w:val="single" w:sz="12" w:space="0" w:color="auto"/>
              <w:right w:val="single" w:sz="12" w:space="0" w:color="auto"/>
            </w:tcBorders>
          </w:tcPr>
          <w:p>
            <w:pPr>
              <w:jc w:val="center"/>
              <w:rPr>
                <w:noProof/>
                <w:sz w:val="20"/>
                <w:szCs w:val="20"/>
              </w:rPr>
            </w:pPr>
          </w:p>
          <w:p>
            <w:pPr>
              <w:spacing w:before="60" w:after="60"/>
              <w:rPr>
                <w:noProof/>
                <w:sz w:val="20"/>
                <w:szCs w:val="20"/>
              </w:rPr>
            </w:pPr>
            <w:r>
              <w:rPr>
                <w:noProof/>
                <w:sz w:val="20"/>
              </w:rPr>
              <w:t>Skupaj</w:t>
            </w:r>
          </w:p>
        </w:tc>
      </w:tr>
      <w:tr>
        <w:trPr>
          <w:cantSplit/>
        </w:trPr>
        <w:tc>
          <w:tcPr>
            <w:tcW w:w="2335" w:type="dxa"/>
            <w:tcBorders>
              <w:top w:val="single" w:sz="12" w:space="0" w:color="auto"/>
              <w:left w:val="single" w:sz="12" w:space="0" w:color="auto"/>
              <w:bottom w:val="single" w:sz="4" w:space="0" w:color="auto"/>
              <w:right w:val="single" w:sz="4" w:space="0" w:color="auto"/>
            </w:tcBorders>
          </w:tcPr>
          <w:p>
            <w:pPr>
              <w:spacing w:before="60" w:after="60"/>
              <w:rPr>
                <w:noProof/>
                <w:sz w:val="20"/>
                <w:szCs w:val="20"/>
              </w:rPr>
            </w:pPr>
            <w:r>
              <w:rPr>
                <w:noProof/>
                <w:sz w:val="20"/>
              </w:rPr>
              <w:t>……………………</w:t>
            </w:r>
          </w:p>
        </w:tc>
        <w:tc>
          <w:tcPr>
            <w:tcW w:w="584" w:type="dxa"/>
            <w:tcBorders>
              <w:top w:val="single" w:sz="12" w:space="0" w:color="auto"/>
              <w:left w:val="single" w:sz="4" w:space="0" w:color="auto"/>
              <w:bottom w:val="single" w:sz="4" w:space="0" w:color="auto"/>
              <w:right w:val="single" w:sz="4" w:space="0" w:color="auto"/>
            </w:tcBorders>
            <w:vAlign w:val="center"/>
          </w:tcPr>
          <w:p>
            <w:pPr>
              <w:spacing w:before="60" w:after="60"/>
              <w:jc w:val="center"/>
              <w:rPr>
                <w:noProof/>
                <w:sz w:val="20"/>
                <w:szCs w:val="20"/>
              </w:rPr>
            </w:pPr>
            <w:r>
              <w:rPr>
                <w:noProof/>
                <w:sz w:val="20"/>
              </w:rPr>
              <w:t>f</w:t>
            </w:r>
          </w:p>
        </w:tc>
        <w:tc>
          <w:tcPr>
            <w:tcW w:w="681" w:type="dxa"/>
            <w:tcBorders>
              <w:top w:val="single" w:sz="12"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12"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12"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12"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12" w:space="0" w:color="auto"/>
              <w:left w:val="single" w:sz="4" w:space="0" w:color="auto"/>
              <w:bottom w:val="single" w:sz="4"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12" w:space="0" w:color="auto"/>
              <w:left w:val="single" w:sz="4" w:space="0" w:color="auto"/>
              <w:bottom w:val="single" w:sz="4" w:space="0" w:color="auto"/>
              <w:right w:val="single" w:sz="12" w:space="0" w:color="auto"/>
            </w:tcBorders>
          </w:tcPr>
          <w:p>
            <w:pPr>
              <w:spacing w:before="60" w:after="60"/>
              <w:jc w:val="right"/>
              <w:rPr>
                <w:noProof/>
                <w:sz w:val="20"/>
                <w:szCs w:val="20"/>
              </w:rPr>
            </w:pPr>
            <w:r>
              <w:rPr>
                <w:noProof/>
                <w:sz w:val="20"/>
              </w:rPr>
              <w:t>n. r.</w:t>
            </w:r>
          </w:p>
        </w:tc>
        <w:tc>
          <w:tcPr>
            <w:tcW w:w="876" w:type="dxa"/>
            <w:tcBorders>
              <w:top w:val="single" w:sz="12" w:space="0" w:color="auto"/>
              <w:left w:val="nil"/>
              <w:bottom w:val="single" w:sz="12" w:space="0" w:color="auto"/>
              <w:right w:val="single" w:sz="12" w:space="0" w:color="auto"/>
            </w:tcBorders>
          </w:tcPr>
          <w:p>
            <w:pPr>
              <w:spacing w:before="60" w:after="60"/>
              <w:jc w:val="right"/>
              <w:rPr>
                <w:noProof/>
                <w:sz w:val="20"/>
                <w:szCs w:val="20"/>
              </w:rPr>
            </w:pPr>
            <w:r>
              <w:rPr>
                <w:noProof/>
                <w:sz w:val="20"/>
              </w:rPr>
              <w:t>n. r.</w:t>
            </w:r>
          </w:p>
        </w:tc>
      </w:tr>
      <w:tr>
        <w:trPr>
          <w:cantSplit/>
        </w:trPr>
        <w:tc>
          <w:tcPr>
            <w:tcW w:w="2335" w:type="dxa"/>
            <w:tcBorders>
              <w:top w:val="single" w:sz="4" w:space="0" w:color="auto"/>
              <w:left w:val="single" w:sz="12" w:space="0" w:color="auto"/>
              <w:bottom w:val="single" w:sz="12" w:space="0" w:color="auto"/>
              <w:right w:val="single" w:sz="4" w:space="0" w:color="auto"/>
            </w:tcBorders>
          </w:tcPr>
          <w:p>
            <w:pPr>
              <w:spacing w:before="60" w:after="60"/>
              <w:rPr>
                <w:noProof/>
                <w:sz w:val="20"/>
                <w:szCs w:val="20"/>
              </w:rPr>
            </w:pPr>
            <w:r>
              <w:rPr>
                <w:noProof/>
                <w:sz w:val="20"/>
              </w:rPr>
              <w:t>OP, vključno s sofinanciranjem, SKUPAJ</w:t>
            </w:r>
          </w:p>
        </w:tc>
        <w:tc>
          <w:tcPr>
            <w:tcW w:w="584" w:type="dxa"/>
            <w:tcBorders>
              <w:top w:val="single" w:sz="4" w:space="0" w:color="auto"/>
              <w:left w:val="single" w:sz="4" w:space="0" w:color="auto"/>
              <w:bottom w:val="single" w:sz="12" w:space="0" w:color="auto"/>
              <w:right w:val="single" w:sz="4" w:space="0" w:color="auto"/>
            </w:tcBorders>
            <w:vAlign w:val="center"/>
          </w:tcPr>
          <w:p>
            <w:pPr>
              <w:spacing w:before="60" w:after="60"/>
              <w:jc w:val="center"/>
              <w:rPr>
                <w:noProof/>
                <w:sz w:val="20"/>
                <w:szCs w:val="20"/>
              </w:rPr>
            </w:pPr>
            <w:r>
              <w:rPr>
                <w:noProof/>
                <w:sz w:val="20"/>
              </w:rPr>
              <w:t>a + c + d + e + f</w:t>
            </w:r>
          </w:p>
        </w:tc>
        <w:tc>
          <w:tcPr>
            <w:tcW w:w="681" w:type="dxa"/>
            <w:tcBorders>
              <w:top w:val="single" w:sz="4"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single" w:sz="12" w:space="0" w:color="auto"/>
              <w:right w:val="single" w:sz="4" w:space="0" w:color="auto"/>
            </w:tcBorders>
          </w:tcPr>
          <w:p>
            <w:pPr>
              <w:spacing w:before="60" w:after="60"/>
              <w:jc w:val="right"/>
              <w:rPr>
                <w:noProof/>
                <w:sz w:val="20"/>
                <w:szCs w:val="20"/>
              </w:rPr>
            </w:pPr>
            <w:r>
              <w:rPr>
                <w:noProof/>
                <w:sz w:val="20"/>
              </w:rPr>
              <w:t>n. r.</w:t>
            </w:r>
          </w:p>
        </w:tc>
        <w:tc>
          <w:tcPr>
            <w:tcW w:w="720" w:type="dxa"/>
            <w:tcBorders>
              <w:top w:val="single" w:sz="4" w:space="0" w:color="auto"/>
              <w:left w:val="single" w:sz="4" w:space="0" w:color="auto"/>
              <w:bottom w:val="single" w:sz="12" w:space="0" w:color="auto"/>
              <w:right w:val="single" w:sz="12" w:space="0" w:color="auto"/>
            </w:tcBorders>
          </w:tcPr>
          <w:p>
            <w:pPr>
              <w:spacing w:before="60" w:after="60"/>
              <w:jc w:val="right"/>
              <w:rPr>
                <w:noProof/>
                <w:sz w:val="20"/>
                <w:szCs w:val="20"/>
              </w:rPr>
            </w:pPr>
            <w:r>
              <w:rPr>
                <w:noProof/>
                <w:sz w:val="20"/>
              </w:rPr>
              <w:t>n. r.</w:t>
            </w:r>
          </w:p>
        </w:tc>
        <w:tc>
          <w:tcPr>
            <w:tcW w:w="876" w:type="dxa"/>
            <w:tcBorders>
              <w:top w:val="single" w:sz="12" w:space="0" w:color="auto"/>
              <w:left w:val="nil"/>
              <w:bottom w:val="single" w:sz="12" w:space="0" w:color="auto"/>
              <w:right w:val="single" w:sz="12" w:space="0" w:color="auto"/>
            </w:tcBorders>
          </w:tcPr>
          <w:p>
            <w:pPr>
              <w:spacing w:before="60" w:after="60"/>
              <w:jc w:val="right"/>
              <w:rPr>
                <w:noProof/>
                <w:sz w:val="20"/>
                <w:szCs w:val="20"/>
              </w:rPr>
            </w:pPr>
            <w:r>
              <w:rPr>
                <w:noProof/>
                <w:sz w:val="20"/>
              </w:rPr>
              <w:t>n. r.</w:t>
            </w:r>
          </w:p>
        </w:tc>
      </w:tr>
    </w:tbl>
    <w:p>
      <w:pPr>
        <w:pStyle w:val="ManualHeading3"/>
        <w:spacing w:before="360"/>
        <w:ind w:left="851" w:hanging="851"/>
        <w:rPr>
          <w:noProof/>
        </w:rPr>
      </w:pPr>
      <w:r>
        <w:rPr>
          <w:noProof/>
        </w:rPr>
        <w:t>4.1.2</w:t>
      </w:r>
      <w:r>
        <w:rPr>
          <w:noProof/>
        </w:rPr>
        <w:tab/>
        <w:t>Skladnost s finančnim načrtovanjem</w:t>
      </w:r>
    </w:p>
    <w:p>
      <w:pPr>
        <w:pStyle w:val="Point1"/>
        <w:rPr>
          <w:noProof/>
        </w:rPr>
      </w:pPr>
      <w:r>
        <w:rPr>
          <w:noProof/>
        </w:rPr>
        <w:sym w:font="Wingdings" w:char="F078"/>
      </w:r>
      <w:r>
        <w:rPr>
          <w:noProof/>
        </w:rPr>
        <w:tab/>
      </w:r>
      <w:r>
        <w:rPr>
          <w:noProof/>
        </w:rPr>
        <w:sym w:font="Wingdings" w:char="F078"/>
      </w:r>
      <w:r>
        <w:rPr>
          <w:noProof/>
        </w:rPr>
        <w:t>Predlog je skladen s sedanjim finančnim načrtovanjem.</w:t>
      </w:r>
    </w:p>
    <w:p>
      <w:pPr>
        <w:pStyle w:val="Text1"/>
        <w:rPr>
          <w:noProof/>
        </w:rPr>
      </w:pPr>
      <w:r>
        <w:rPr>
          <w:noProof/>
        </w:rPr>
        <w:sym w:font="Wingdings" w:char="F0A8"/>
      </w:r>
      <w:r>
        <w:rPr>
          <w:noProof/>
        </w:rPr>
        <w:tab/>
      </w:r>
      <w:r>
        <w:rPr>
          <w:noProof/>
        </w:rPr>
        <w:sym w:font="Wingdings" w:char="F0A8"/>
      </w:r>
      <w:r>
        <w:rPr>
          <w:noProof/>
        </w:rPr>
        <w:t>Predlog bo zahteval ponovno načrtovanje ustreznega razdelka v finančnem okviru.</w:t>
      </w:r>
    </w:p>
    <w:p>
      <w:pPr>
        <w:pStyle w:val="Text1"/>
        <w:spacing w:after="240"/>
        <w:rPr>
          <w:noProof/>
        </w:rPr>
      </w:pPr>
      <w:r>
        <w:rPr>
          <w:noProof/>
        </w:rPr>
        <w:sym w:font="Wingdings" w:char="F0A8"/>
      </w:r>
      <w:r>
        <w:rPr>
          <w:noProof/>
        </w:rPr>
        <w:tab/>
      </w:r>
      <w:r>
        <w:rPr>
          <w:noProof/>
        </w:rPr>
        <w:sym w:font="Wingdings" w:char="F0A8"/>
      </w:r>
      <w:r>
        <w:rPr>
          <w:noProof/>
        </w:rPr>
        <w:t>Predlog lahko zahteva uporabo določb Medinstitucionalnega sporazuma</w:t>
      </w:r>
      <w:r>
        <w:rPr>
          <w:rStyle w:val="FootnoteReference"/>
          <w:noProof/>
        </w:rPr>
        <w:footnoteReference w:id="9"/>
      </w:r>
      <w:r>
        <w:rPr>
          <w:noProof/>
        </w:rPr>
        <w:t xml:space="preserve"> (tj. instrumenta prilagodljivosti ali spremembe finančnega okvira).</w:t>
      </w:r>
    </w:p>
    <w:p>
      <w:pPr>
        <w:pStyle w:val="ManualHeading3"/>
        <w:rPr>
          <w:noProof/>
        </w:rPr>
      </w:pPr>
      <w:r>
        <w:rPr>
          <w:noProof/>
        </w:rPr>
        <w:t>4.1.3</w:t>
      </w:r>
      <w:r>
        <w:rPr>
          <w:noProof/>
        </w:rPr>
        <w:tab/>
        <w:t>Finančni vpliv na prihodke</w:t>
      </w:r>
    </w:p>
    <w:p>
      <w:pPr>
        <w:pStyle w:val="Text1"/>
        <w:rPr>
          <w:noProof/>
        </w:rPr>
      </w:pPr>
      <w:r>
        <w:rPr>
          <w:noProof/>
        </w:rPr>
        <w:sym w:font="Wingdings" w:char="F078"/>
      </w:r>
      <w:r>
        <w:rPr>
          <w:noProof/>
        </w:rPr>
        <w:tab/>
      </w:r>
      <w:r>
        <w:rPr>
          <w:noProof/>
        </w:rPr>
        <w:sym w:font="Wingdings" w:char="F078"/>
      </w:r>
      <w:r>
        <w:rPr>
          <w:noProof/>
        </w:rPr>
        <w:t>Predlog nima finančnih posledic za prihodke.</w:t>
      </w:r>
    </w:p>
    <w:p>
      <w:pPr>
        <w:pStyle w:val="Text1"/>
        <w:rPr>
          <w:noProof/>
        </w:rPr>
      </w:pPr>
      <w:r>
        <w:rPr>
          <w:noProof/>
        </w:rPr>
        <w:sym w:font="Wingdings" w:char="F0A8"/>
      </w:r>
      <w:r>
        <w:rPr>
          <w:noProof/>
        </w:rPr>
        <w:tab/>
      </w:r>
      <w:r>
        <w:rPr>
          <w:noProof/>
        </w:rPr>
        <w:sym w:font="Wingdings" w:char="F0A8"/>
      </w:r>
      <w:r>
        <w:rPr>
          <w:noProof/>
        </w:rPr>
        <w:t>Predlog ima finančni vpliv – učinek na prihodke je naslednji:</w:t>
      </w:r>
    </w:p>
    <w:p>
      <w:pPr>
        <w:pStyle w:val="NormalRight"/>
        <w:rPr>
          <w:i/>
          <w:noProof/>
          <w:sz w:val="20"/>
        </w:rPr>
      </w:pPr>
      <w:r>
        <w:rPr>
          <w:i/>
          <w:noProof/>
          <w:sz w:val="20"/>
        </w:rPr>
        <w:t>v mio. EUR (na eno decimalno mesto natančno)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4"/>
        <w:gridCol w:w="2268"/>
        <w:gridCol w:w="685"/>
        <w:gridCol w:w="141"/>
        <w:gridCol w:w="647"/>
        <w:gridCol w:w="648"/>
        <w:gridCol w:w="648"/>
        <w:gridCol w:w="647"/>
        <w:gridCol w:w="648"/>
        <w:gridCol w:w="648"/>
      </w:tblGrid>
      <w:tr>
        <w:trPr>
          <w:cantSplit/>
        </w:trPr>
        <w:tc>
          <w:tcPr>
            <w:tcW w:w="964" w:type="dxa"/>
            <w:tcBorders>
              <w:right w:val="nil"/>
            </w:tcBorders>
          </w:tcPr>
          <w:p>
            <w:pPr>
              <w:rPr>
                <w:noProof/>
                <w:sz w:val="18"/>
              </w:rPr>
            </w:pPr>
          </w:p>
        </w:tc>
        <w:tc>
          <w:tcPr>
            <w:tcW w:w="2268" w:type="dxa"/>
            <w:tcBorders>
              <w:left w:val="nil"/>
            </w:tcBorders>
          </w:tcPr>
          <w:p>
            <w:pPr>
              <w:rPr>
                <w:noProof/>
                <w:sz w:val="18"/>
              </w:rPr>
            </w:pPr>
          </w:p>
        </w:tc>
        <w:tc>
          <w:tcPr>
            <w:tcW w:w="685" w:type="dxa"/>
            <w:vMerge w:val="restart"/>
            <w:tcBorders>
              <w:left w:val="nil"/>
              <w:bottom w:val="nil"/>
            </w:tcBorders>
          </w:tcPr>
          <w:p>
            <w:pPr>
              <w:jc w:val="center"/>
              <w:rPr>
                <w:noProof/>
                <w:sz w:val="16"/>
              </w:rPr>
            </w:pPr>
            <w:r>
              <w:rPr>
                <w:noProof/>
                <w:sz w:val="16"/>
              </w:rPr>
              <w:t>Pred</w:t>
            </w:r>
            <w:r>
              <w:rPr>
                <w:noProof/>
                <w:sz w:val="16"/>
              </w:rPr>
              <w:br/>
              <w:t xml:space="preserve">ukrepom </w:t>
            </w:r>
            <w:r>
              <w:rPr>
                <w:noProof/>
                <w:sz w:val="16"/>
              </w:rPr>
              <w:br/>
            </w:r>
            <w:r>
              <w:rPr>
                <w:noProof/>
              </w:rPr>
              <w:t>[Leto n - 1]</w:t>
            </w:r>
          </w:p>
        </w:tc>
        <w:tc>
          <w:tcPr>
            <w:tcW w:w="141" w:type="dxa"/>
            <w:tcBorders>
              <w:left w:val="nil"/>
              <w:bottom w:val="nil"/>
              <w:right w:val="nil"/>
            </w:tcBorders>
          </w:tcPr>
          <w:p>
            <w:pPr>
              <w:jc w:val="center"/>
              <w:rPr>
                <w:noProof/>
                <w:sz w:val="18"/>
              </w:rPr>
            </w:pPr>
          </w:p>
        </w:tc>
        <w:tc>
          <w:tcPr>
            <w:tcW w:w="3886" w:type="dxa"/>
            <w:gridSpan w:val="6"/>
            <w:tcBorders>
              <w:bottom w:val="nil"/>
            </w:tcBorders>
          </w:tcPr>
          <w:p>
            <w:pPr>
              <w:jc w:val="center"/>
              <w:rPr>
                <w:noProof/>
                <w:sz w:val="18"/>
              </w:rPr>
            </w:pPr>
            <w:r>
              <w:rPr>
                <w:noProof/>
                <w:sz w:val="18"/>
              </w:rPr>
              <w:t>Stanje po ukrepu</w:t>
            </w:r>
          </w:p>
        </w:tc>
      </w:tr>
      <w:tr>
        <w:trPr>
          <w:cantSplit/>
        </w:trPr>
        <w:tc>
          <w:tcPr>
            <w:tcW w:w="964" w:type="dxa"/>
            <w:tcBorders>
              <w:top w:val="nil"/>
              <w:bottom w:val="nil"/>
            </w:tcBorders>
          </w:tcPr>
          <w:p>
            <w:pPr>
              <w:rPr>
                <w:noProof/>
                <w:sz w:val="18"/>
              </w:rPr>
            </w:pPr>
            <w:r>
              <w:rPr>
                <w:noProof/>
                <w:sz w:val="18"/>
              </w:rPr>
              <w:t>Proračunska vrstica</w:t>
            </w:r>
          </w:p>
        </w:tc>
        <w:tc>
          <w:tcPr>
            <w:tcW w:w="2268" w:type="dxa"/>
            <w:tcBorders>
              <w:top w:val="nil"/>
              <w:left w:val="nil"/>
              <w:bottom w:val="nil"/>
            </w:tcBorders>
          </w:tcPr>
          <w:p>
            <w:pPr>
              <w:jc w:val="center"/>
              <w:rPr>
                <w:noProof/>
                <w:sz w:val="18"/>
              </w:rPr>
            </w:pPr>
            <w:r>
              <w:rPr>
                <w:noProof/>
                <w:sz w:val="18"/>
              </w:rPr>
              <w:t>Prihodki</w:t>
            </w:r>
          </w:p>
        </w:tc>
        <w:tc>
          <w:tcPr>
            <w:tcW w:w="685" w:type="dxa"/>
            <w:vMerge/>
            <w:tcBorders>
              <w:bottom w:val="nil"/>
            </w:tcBorders>
          </w:tcPr>
          <w:p>
            <w:pPr>
              <w:jc w:val="center"/>
              <w:rPr>
                <w:noProof/>
                <w:sz w:val="18"/>
              </w:rPr>
            </w:pPr>
          </w:p>
        </w:tc>
        <w:tc>
          <w:tcPr>
            <w:tcW w:w="141" w:type="dxa"/>
            <w:tcBorders>
              <w:top w:val="nil"/>
              <w:left w:val="nil"/>
              <w:bottom w:val="nil"/>
              <w:right w:val="nil"/>
            </w:tcBorders>
          </w:tcPr>
          <w:p>
            <w:pPr>
              <w:jc w:val="center"/>
              <w:rPr>
                <w:noProof/>
                <w:sz w:val="18"/>
              </w:rPr>
            </w:pPr>
          </w:p>
        </w:tc>
        <w:tc>
          <w:tcPr>
            <w:tcW w:w="647" w:type="dxa"/>
            <w:tcBorders>
              <w:bottom w:val="nil"/>
            </w:tcBorders>
          </w:tcPr>
          <w:p>
            <w:pPr>
              <w:jc w:val="center"/>
              <w:rPr>
                <w:noProof/>
                <w:sz w:val="18"/>
              </w:rPr>
            </w:pPr>
            <w:r>
              <w:rPr>
                <w:noProof/>
              </w:rPr>
              <w:t>[Leto n]</w:t>
            </w:r>
          </w:p>
        </w:tc>
        <w:tc>
          <w:tcPr>
            <w:tcW w:w="648" w:type="dxa"/>
            <w:tcBorders>
              <w:bottom w:val="nil"/>
            </w:tcBorders>
          </w:tcPr>
          <w:p>
            <w:pPr>
              <w:jc w:val="center"/>
              <w:rPr>
                <w:noProof/>
                <w:sz w:val="18"/>
              </w:rPr>
            </w:pPr>
            <w:r>
              <w:rPr>
                <w:noProof/>
              </w:rPr>
              <w:t>[n + 1]</w:t>
            </w:r>
          </w:p>
        </w:tc>
        <w:tc>
          <w:tcPr>
            <w:tcW w:w="648" w:type="dxa"/>
            <w:tcBorders>
              <w:bottom w:val="nil"/>
            </w:tcBorders>
          </w:tcPr>
          <w:p>
            <w:pPr>
              <w:jc w:val="center"/>
              <w:rPr>
                <w:noProof/>
                <w:sz w:val="18"/>
              </w:rPr>
            </w:pPr>
            <w:r>
              <w:rPr>
                <w:noProof/>
              </w:rPr>
              <w:t>[n + 2]</w:t>
            </w:r>
          </w:p>
        </w:tc>
        <w:tc>
          <w:tcPr>
            <w:tcW w:w="647" w:type="dxa"/>
            <w:tcBorders>
              <w:bottom w:val="nil"/>
            </w:tcBorders>
          </w:tcPr>
          <w:p>
            <w:pPr>
              <w:jc w:val="center"/>
              <w:rPr>
                <w:noProof/>
                <w:sz w:val="18"/>
              </w:rPr>
            </w:pPr>
            <w:r>
              <w:rPr>
                <w:noProof/>
              </w:rPr>
              <w:t>[n + 3]</w:t>
            </w:r>
          </w:p>
        </w:tc>
        <w:tc>
          <w:tcPr>
            <w:tcW w:w="648" w:type="dxa"/>
            <w:tcBorders>
              <w:bottom w:val="nil"/>
            </w:tcBorders>
          </w:tcPr>
          <w:p>
            <w:pPr>
              <w:jc w:val="center"/>
              <w:rPr>
                <w:noProof/>
                <w:sz w:val="18"/>
              </w:rPr>
            </w:pPr>
            <w:r>
              <w:rPr>
                <w:noProof/>
              </w:rPr>
              <w:t>[n + 4]</w:t>
            </w:r>
          </w:p>
        </w:tc>
        <w:tc>
          <w:tcPr>
            <w:tcW w:w="648" w:type="dxa"/>
            <w:tcBorders>
              <w:bottom w:val="nil"/>
            </w:tcBorders>
          </w:tcPr>
          <w:p>
            <w:pPr>
              <w:jc w:val="center"/>
              <w:rPr>
                <w:noProof/>
                <w:sz w:val="18"/>
              </w:rPr>
            </w:pPr>
            <w:r>
              <w:rPr>
                <w:noProof/>
              </w:rPr>
              <w:t>[n + 5]</w:t>
            </w:r>
            <w:r>
              <w:rPr>
                <w:rStyle w:val="FootnoteReference"/>
                <w:noProof/>
              </w:rPr>
              <w:footnoteReference w:id="10"/>
            </w:r>
          </w:p>
        </w:tc>
      </w:tr>
      <w:tr>
        <w:trPr>
          <w:cantSplit/>
        </w:trPr>
        <w:tc>
          <w:tcPr>
            <w:tcW w:w="964" w:type="dxa"/>
            <w:vMerge w:val="restart"/>
            <w:tcBorders>
              <w:top w:val="double" w:sz="4" w:space="0" w:color="auto"/>
              <w:left w:val="double" w:sz="4" w:space="0" w:color="auto"/>
              <w:bottom w:val="nil"/>
              <w:right w:val="nil"/>
            </w:tcBorders>
          </w:tcPr>
          <w:p>
            <w:pPr>
              <w:jc w:val="center"/>
              <w:rPr>
                <w:noProof/>
                <w:sz w:val="16"/>
              </w:rPr>
            </w:pPr>
          </w:p>
        </w:tc>
        <w:tc>
          <w:tcPr>
            <w:tcW w:w="2268" w:type="dxa"/>
            <w:tcBorders>
              <w:top w:val="double" w:sz="4" w:space="0" w:color="auto"/>
              <w:bottom w:val="nil"/>
            </w:tcBorders>
          </w:tcPr>
          <w:p>
            <w:pPr>
              <w:rPr>
                <w:i/>
                <w:noProof/>
                <w:sz w:val="18"/>
              </w:rPr>
            </w:pPr>
            <w:r>
              <w:rPr>
                <w:i/>
                <w:noProof/>
                <w:sz w:val="18"/>
              </w:rPr>
              <w:t>(a) Prihodki, izraženi absolutno</w:t>
            </w:r>
          </w:p>
        </w:tc>
        <w:tc>
          <w:tcPr>
            <w:tcW w:w="685" w:type="dxa"/>
            <w:tcBorders>
              <w:top w:val="double" w:sz="4" w:space="0" w:color="auto"/>
              <w:left w:val="nil"/>
              <w:bottom w:val="nil"/>
              <w:right w:val="double" w:sz="4" w:space="0" w:color="auto"/>
            </w:tcBorders>
          </w:tcPr>
          <w:p>
            <w:pPr>
              <w:rPr>
                <w:noProof/>
              </w:rPr>
            </w:pPr>
          </w:p>
        </w:tc>
        <w:tc>
          <w:tcPr>
            <w:tcW w:w="141" w:type="dxa"/>
            <w:tcBorders>
              <w:top w:val="nil"/>
              <w:left w:val="nil"/>
              <w:bottom w:val="nil"/>
              <w:right w:val="nil"/>
            </w:tcBorders>
          </w:tcPr>
          <w:p>
            <w:pPr>
              <w:rPr>
                <w:noProof/>
              </w:rPr>
            </w:pPr>
          </w:p>
        </w:tc>
        <w:tc>
          <w:tcPr>
            <w:tcW w:w="647" w:type="dxa"/>
            <w:tcBorders>
              <w:bottom w:val="nil"/>
            </w:tcBorders>
          </w:tcPr>
          <w:p>
            <w:pPr>
              <w:jc w:val="right"/>
              <w:rPr>
                <w:noProof/>
                <w:sz w:val="20"/>
                <w:szCs w:val="20"/>
              </w:rPr>
            </w:pPr>
            <w:r>
              <w:rPr>
                <w:noProof/>
                <w:sz w:val="20"/>
              </w:rPr>
              <w:t>n. r.</w:t>
            </w:r>
          </w:p>
        </w:tc>
        <w:tc>
          <w:tcPr>
            <w:tcW w:w="648" w:type="dxa"/>
            <w:tcBorders>
              <w:bottom w:val="nil"/>
            </w:tcBorders>
          </w:tcPr>
          <w:p>
            <w:pPr>
              <w:jc w:val="right"/>
              <w:rPr>
                <w:noProof/>
                <w:sz w:val="20"/>
                <w:szCs w:val="20"/>
              </w:rPr>
            </w:pPr>
            <w:r>
              <w:rPr>
                <w:noProof/>
                <w:sz w:val="20"/>
              </w:rPr>
              <w:t>n. r.</w:t>
            </w:r>
          </w:p>
        </w:tc>
        <w:tc>
          <w:tcPr>
            <w:tcW w:w="648" w:type="dxa"/>
            <w:tcBorders>
              <w:bottom w:val="nil"/>
            </w:tcBorders>
          </w:tcPr>
          <w:p>
            <w:pPr>
              <w:jc w:val="right"/>
              <w:rPr>
                <w:noProof/>
                <w:sz w:val="20"/>
                <w:szCs w:val="20"/>
              </w:rPr>
            </w:pPr>
            <w:r>
              <w:rPr>
                <w:noProof/>
                <w:sz w:val="20"/>
              </w:rPr>
              <w:t>n. r.</w:t>
            </w:r>
          </w:p>
        </w:tc>
        <w:tc>
          <w:tcPr>
            <w:tcW w:w="647" w:type="dxa"/>
            <w:tcBorders>
              <w:bottom w:val="nil"/>
            </w:tcBorders>
          </w:tcPr>
          <w:p>
            <w:pPr>
              <w:jc w:val="right"/>
              <w:rPr>
                <w:noProof/>
                <w:sz w:val="20"/>
                <w:szCs w:val="20"/>
              </w:rPr>
            </w:pPr>
            <w:r>
              <w:rPr>
                <w:noProof/>
                <w:sz w:val="20"/>
              </w:rPr>
              <w:t>n. r.</w:t>
            </w:r>
          </w:p>
        </w:tc>
        <w:tc>
          <w:tcPr>
            <w:tcW w:w="648" w:type="dxa"/>
            <w:tcBorders>
              <w:bottom w:val="nil"/>
            </w:tcBorders>
          </w:tcPr>
          <w:p>
            <w:pPr>
              <w:jc w:val="right"/>
              <w:rPr>
                <w:noProof/>
                <w:sz w:val="20"/>
                <w:szCs w:val="20"/>
              </w:rPr>
            </w:pPr>
            <w:r>
              <w:rPr>
                <w:noProof/>
                <w:sz w:val="20"/>
              </w:rPr>
              <w:t>n. r.</w:t>
            </w:r>
          </w:p>
        </w:tc>
        <w:tc>
          <w:tcPr>
            <w:tcW w:w="648" w:type="dxa"/>
            <w:tcBorders>
              <w:bottom w:val="nil"/>
            </w:tcBorders>
          </w:tcPr>
          <w:p>
            <w:pPr>
              <w:jc w:val="right"/>
              <w:rPr>
                <w:noProof/>
                <w:sz w:val="20"/>
                <w:szCs w:val="20"/>
              </w:rPr>
            </w:pPr>
            <w:r>
              <w:rPr>
                <w:noProof/>
                <w:sz w:val="20"/>
              </w:rPr>
              <w:t>n. r.</w:t>
            </w:r>
          </w:p>
        </w:tc>
      </w:tr>
      <w:tr>
        <w:trPr>
          <w:cantSplit/>
        </w:trPr>
        <w:tc>
          <w:tcPr>
            <w:tcW w:w="964" w:type="dxa"/>
            <w:vMerge/>
            <w:tcBorders>
              <w:top w:val="nil"/>
              <w:left w:val="double" w:sz="4" w:space="0" w:color="auto"/>
              <w:bottom w:val="double" w:sz="4" w:space="0" w:color="auto"/>
              <w:right w:val="nil"/>
            </w:tcBorders>
          </w:tcPr>
          <w:p>
            <w:pPr>
              <w:rPr>
                <w:noProof/>
              </w:rPr>
            </w:pPr>
          </w:p>
        </w:tc>
        <w:tc>
          <w:tcPr>
            <w:tcW w:w="2268" w:type="dxa"/>
            <w:tcBorders>
              <w:top w:val="nil"/>
              <w:bottom w:val="double" w:sz="4" w:space="0" w:color="auto"/>
              <w:right w:val="nil"/>
            </w:tcBorders>
          </w:tcPr>
          <w:p>
            <w:pPr>
              <w:rPr>
                <w:i/>
                <w:noProof/>
                <w:sz w:val="18"/>
              </w:rPr>
            </w:pPr>
            <w:r>
              <w:rPr>
                <w:i/>
                <w:noProof/>
                <w:sz w:val="18"/>
              </w:rPr>
              <w:t>(b) Sprememba v prihodkih</w:t>
            </w:r>
          </w:p>
        </w:tc>
        <w:tc>
          <w:tcPr>
            <w:tcW w:w="685" w:type="dxa"/>
            <w:tcBorders>
              <w:left w:val="nil"/>
              <w:bottom w:val="double" w:sz="4" w:space="0" w:color="auto"/>
              <w:right w:val="double" w:sz="4" w:space="0" w:color="auto"/>
            </w:tcBorders>
          </w:tcPr>
          <w:p>
            <w:pPr>
              <w:rPr>
                <w:noProof/>
              </w:rPr>
            </w:pPr>
            <w:r>
              <w:rPr>
                <w:i/>
                <w:noProof/>
                <w:sz w:val="18"/>
              </w:rPr>
              <w:t xml:space="preserve"> </w:t>
            </w:r>
            <w:r>
              <w:rPr>
                <w:i/>
                <w:noProof/>
                <w:sz w:val="18"/>
                <w:szCs w:val="18"/>
              </w:rPr>
              <w:sym w:font="Symbol" w:char="F044"/>
            </w:r>
          </w:p>
        </w:tc>
        <w:tc>
          <w:tcPr>
            <w:tcW w:w="141" w:type="dxa"/>
            <w:tcBorders>
              <w:top w:val="nil"/>
              <w:left w:val="nil"/>
              <w:bottom w:val="nil"/>
              <w:right w:val="nil"/>
            </w:tcBorders>
          </w:tcPr>
          <w:p>
            <w:pPr>
              <w:rPr>
                <w:noProof/>
              </w:rPr>
            </w:pPr>
          </w:p>
        </w:tc>
        <w:tc>
          <w:tcPr>
            <w:tcW w:w="647" w:type="dxa"/>
            <w:tcBorders>
              <w:top w:val="single" w:sz="12" w:space="0" w:color="auto"/>
              <w:left w:val="single" w:sz="12" w:space="0" w:color="auto"/>
              <w:bottom w:val="single" w:sz="12" w:space="0" w:color="auto"/>
              <w:right w:val="single" w:sz="12" w:space="0" w:color="auto"/>
            </w:tcBorders>
          </w:tcPr>
          <w:p>
            <w:pPr>
              <w:jc w:val="right"/>
              <w:rPr>
                <w:noProof/>
                <w:sz w:val="20"/>
                <w:szCs w:val="20"/>
              </w:rPr>
            </w:pPr>
            <w:r>
              <w:rPr>
                <w:noProof/>
                <w:sz w:val="20"/>
              </w:rPr>
              <w:t>n. r.</w:t>
            </w:r>
          </w:p>
        </w:tc>
        <w:tc>
          <w:tcPr>
            <w:tcW w:w="648" w:type="dxa"/>
            <w:tcBorders>
              <w:top w:val="single" w:sz="12" w:space="0" w:color="auto"/>
              <w:left w:val="nil"/>
              <w:bottom w:val="single" w:sz="12" w:space="0" w:color="auto"/>
              <w:right w:val="single" w:sz="12" w:space="0" w:color="auto"/>
            </w:tcBorders>
          </w:tcPr>
          <w:p>
            <w:pPr>
              <w:jc w:val="right"/>
              <w:rPr>
                <w:noProof/>
                <w:sz w:val="20"/>
                <w:szCs w:val="20"/>
              </w:rPr>
            </w:pPr>
            <w:r>
              <w:rPr>
                <w:noProof/>
                <w:sz w:val="20"/>
              </w:rPr>
              <w:t>n. r.</w:t>
            </w:r>
          </w:p>
        </w:tc>
        <w:tc>
          <w:tcPr>
            <w:tcW w:w="648" w:type="dxa"/>
            <w:tcBorders>
              <w:top w:val="single" w:sz="12" w:space="0" w:color="auto"/>
              <w:left w:val="single" w:sz="12" w:space="0" w:color="auto"/>
              <w:bottom w:val="single" w:sz="12" w:space="0" w:color="auto"/>
              <w:right w:val="single" w:sz="12" w:space="0" w:color="auto"/>
            </w:tcBorders>
          </w:tcPr>
          <w:p>
            <w:pPr>
              <w:jc w:val="right"/>
              <w:rPr>
                <w:noProof/>
                <w:sz w:val="20"/>
                <w:szCs w:val="20"/>
              </w:rPr>
            </w:pPr>
            <w:r>
              <w:rPr>
                <w:noProof/>
                <w:sz w:val="20"/>
              </w:rPr>
              <w:t>n. r.</w:t>
            </w:r>
          </w:p>
        </w:tc>
        <w:tc>
          <w:tcPr>
            <w:tcW w:w="647" w:type="dxa"/>
            <w:tcBorders>
              <w:top w:val="single" w:sz="12" w:space="0" w:color="auto"/>
              <w:left w:val="single" w:sz="12" w:space="0" w:color="auto"/>
              <w:bottom w:val="single" w:sz="12" w:space="0" w:color="auto"/>
              <w:right w:val="single" w:sz="12" w:space="0" w:color="auto"/>
            </w:tcBorders>
          </w:tcPr>
          <w:p>
            <w:pPr>
              <w:jc w:val="right"/>
              <w:rPr>
                <w:noProof/>
                <w:sz w:val="20"/>
                <w:szCs w:val="20"/>
              </w:rPr>
            </w:pPr>
            <w:r>
              <w:rPr>
                <w:noProof/>
                <w:sz w:val="20"/>
              </w:rPr>
              <w:t>n. r.</w:t>
            </w:r>
          </w:p>
        </w:tc>
        <w:tc>
          <w:tcPr>
            <w:tcW w:w="648" w:type="dxa"/>
            <w:tcBorders>
              <w:top w:val="single" w:sz="12" w:space="0" w:color="auto"/>
              <w:left w:val="single" w:sz="12" w:space="0" w:color="auto"/>
              <w:bottom w:val="single" w:sz="12" w:space="0" w:color="auto"/>
              <w:right w:val="single" w:sz="12" w:space="0" w:color="auto"/>
            </w:tcBorders>
          </w:tcPr>
          <w:p>
            <w:pPr>
              <w:jc w:val="right"/>
              <w:rPr>
                <w:noProof/>
                <w:sz w:val="20"/>
                <w:szCs w:val="20"/>
              </w:rPr>
            </w:pPr>
            <w:r>
              <w:rPr>
                <w:noProof/>
                <w:sz w:val="20"/>
              </w:rPr>
              <w:t>n. r.</w:t>
            </w:r>
          </w:p>
        </w:tc>
        <w:tc>
          <w:tcPr>
            <w:tcW w:w="648" w:type="dxa"/>
            <w:tcBorders>
              <w:top w:val="single" w:sz="12" w:space="0" w:color="auto"/>
              <w:left w:val="single" w:sz="12" w:space="0" w:color="auto"/>
              <w:bottom w:val="single" w:sz="12" w:space="0" w:color="auto"/>
              <w:right w:val="single" w:sz="12" w:space="0" w:color="auto"/>
            </w:tcBorders>
          </w:tcPr>
          <w:p>
            <w:pPr>
              <w:jc w:val="right"/>
              <w:rPr>
                <w:noProof/>
                <w:sz w:val="20"/>
                <w:szCs w:val="20"/>
              </w:rPr>
            </w:pPr>
            <w:r>
              <w:rPr>
                <w:noProof/>
                <w:sz w:val="20"/>
              </w:rPr>
              <w:t>n. r.</w:t>
            </w:r>
          </w:p>
        </w:tc>
      </w:tr>
    </w:tbl>
    <w:p>
      <w:pPr>
        <w:pStyle w:val="Text1"/>
        <w:rPr>
          <w:noProof/>
        </w:rPr>
      </w:pPr>
      <w:r>
        <w:rPr>
          <w:b/>
          <w:i/>
          <w:noProof/>
        </w:rPr>
        <w:t>(Navedejo se vse zadevne proračunske vrstice za prihodke, pri čemer se v razpredelnico doda ustrezno število vrstic, če gre za učinek na več kot eno proračunsko vrstico.)</w:t>
      </w:r>
    </w:p>
    <w:p>
      <w:pPr>
        <w:pStyle w:val="ManualHeading2"/>
        <w:spacing w:after="240"/>
        <w:ind w:left="851" w:hanging="851"/>
        <w:rPr>
          <w:noProof/>
        </w:rPr>
      </w:pPr>
      <w:r>
        <w:rPr>
          <w:noProof/>
        </w:rPr>
        <w:t>4.2</w:t>
      </w:r>
      <w:r>
        <w:rPr>
          <w:noProof/>
        </w:rPr>
        <w:tab/>
        <w:t>EPDČ za človeške vire (vključno z uradniki, začasnim in zunanjim osebjem) – glej podrobnosti v točki 8.2.1.</w:t>
      </w:r>
    </w:p>
    <w:tbl>
      <w:tblPr>
        <w:tblW w:w="0" w:type="auto"/>
        <w:tblInd w:w="3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268"/>
        <w:gridCol w:w="930"/>
        <w:gridCol w:w="772"/>
        <w:gridCol w:w="851"/>
        <w:gridCol w:w="851"/>
        <w:gridCol w:w="851"/>
        <w:gridCol w:w="851"/>
      </w:tblGrid>
      <w:tr>
        <w:trPr>
          <w:cantSplit/>
        </w:trPr>
        <w:tc>
          <w:tcPr>
            <w:tcW w:w="2268" w:type="dxa"/>
            <w:tcBorders>
              <w:top w:val="single" w:sz="12" w:space="0" w:color="auto"/>
            </w:tcBorders>
          </w:tcPr>
          <w:p>
            <w:pPr>
              <w:rPr>
                <w:noProof/>
                <w:sz w:val="20"/>
                <w:szCs w:val="20"/>
              </w:rPr>
            </w:pPr>
          </w:p>
          <w:p>
            <w:pPr>
              <w:rPr>
                <w:b/>
                <w:noProof/>
                <w:sz w:val="20"/>
                <w:szCs w:val="20"/>
              </w:rPr>
            </w:pPr>
            <w:r>
              <w:rPr>
                <w:b/>
                <w:noProof/>
                <w:sz w:val="20"/>
              </w:rPr>
              <w:t>Letne potrebe</w:t>
            </w:r>
          </w:p>
        </w:tc>
        <w:tc>
          <w:tcPr>
            <w:tcW w:w="930" w:type="dxa"/>
            <w:tcBorders>
              <w:top w:val="single" w:sz="12" w:space="0" w:color="auto"/>
            </w:tcBorders>
          </w:tcPr>
          <w:p>
            <w:pPr>
              <w:jc w:val="center"/>
              <w:rPr>
                <w:noProof/>
                <w:sz w:val="20"/>
                <w:szCs w:val="20"/>
              </w:rPr>
            </w:pPr>
          </w:p>
          <w:p>
            <w:pPr>
              <w:jc w:val="center"/>
              <w:rPr>
                <w:noProof/>
                <w:sz w:val="20"/>
                <w:szCs w:val="20"/>
              </w:rPr>
            </w:pPr>
            <w:r>
              <w:rPr>
                <w:noProof/>
                <w:sz w:val="20"/>
              </w:rPr>
              <w:t>Leto n</w:t>
            </w:r>
          </w:p>
        </w:tc>
        <w:tc>
          <w:tcPr>
            <w:tcW w:w="772" w:type="dxa"/>
            <w:tcBorders>
              <w:top w:val="single" w:sz="12" w:space="0" w:color="auto"/>
            </w:tcBorders>
          </w:tcPr>
          <w:p>
            <w:pPr>
              <w:jc w:val="center"/>
              <w:rPr>
                <w:noProof/>
                <w:sz w:val="20"/>
                <w:szCs w:val="20"/>
              </w:rPr>
            </w:pPr>
          </w:p>
          <w:p>
            <w:pPr>
              <w:jc w:val="center"/>
              <w:rPr>
                <w:noProof/>
                <w:sz w:val="20"/>
                <w:szCs w:val="20"/>
              </w:rPr>
            </w:pPr>
            <w:r>
              <w:rPr>
                <w:noProof/>
                <w:sz w:val="20"/>
              </w:rPr>
              <w:t>n + 1</w:t>
            </w:r>
          </w:p>
        </w:tc>
        <w:tc>
          <w:tcPr>
            <w:tcW w:w="851" w:type="dxa"/>
            <w:tcBorders>
              <w:top w:val="single" w:sz="12" w:space="0" w:color="auto"/>
            </w:tcBorders>
          </w:tcPr>
          <w:p>
            <w:pPr>
              <w:jc w:val="center"/>
              <w:rPr>
                <w:noProof/>
                <w:sz w:val="20"/>
                <w:szCs w:val="20"/>
              </w:rPr>
            </w:pPr>
          </w:p>
          <w:p>
            <w:pPr>
              <w:jc w:val="center"/>
              <w:rPr>
                <w:noProof/>
                <w:sz w:val="20"/>
                <w:szCs w:val="20"/>
              </w:rPr>
            </w:pPr>
            <w:r>
              <w:rPr>
                <w:noProof/>
                <w:sz w:val="20"/>
              </w:rPr>
              <w:t>n + 2</w:t>
            </w:r>
          </w:p>
        </w:tc>
        <w:tc>
          <w:tcPr>
            <w:tcW w:w="851" w:type="dxa"/>
            <w:tcBorders>
              <w:top w:val="single" w:sz="12" w:space="0" w:color="auto"/>
            </w:tcBorders>
          </w:tcPr>
          <w:p>
            <w:pPr>
              <w:jc w:val="center"/>
              <w:rPr>
                <w:noProof/>
                <w:sz w:val="20"/>
                <w:szCs w:val="20"/>
              </w:rPr>
            </w:pPr>
          </w:p>
          <w:p>
            <w:pPr>
              <w:jc w:val="center"/>
              <w:rPr>
                <w:noProof/>
                <w:sz w:val="20"/>
                <w:szCs w:val="20"/>
              </w:rPr>
            </w:pPr>
            <w:r>
              <w:rPr>
                <w:noProof/>
                <w:sz w:val="20"/>
              </w:rPr>
              <w:t>n + 3</w:t>
            </w:r>
          </w:p>
        </w:tc>
        <w:tc>
          <w:tcPr>
            <w:tcW w:w="851" w:type="dxa"/>
            <w:tcBorders>
              <w:top w:val="single" w:sz="12" w:space="0" w:color="auto"/>
            </w:tcBorders>
          </w:tcPr>
          <w:p>
            <w:pPr>
              <w:jc w:val="center"/>
              <w:rPr>
                <w:noProof/>
                <w:sz w:val="20"/>
                <w:szCs w:val="20"/>
              </w:rPr>
            </w:pPr>
          </w:p>
          <w:p>
            <w:pPr>
              <w:jc w:val="center"/>
              <w:rPr>
                <w:noProof/>
                <w:sz w:val="20"/>
                <w:szCs w:val="20"/>
              </w:rPr>
            </w:pPr>
            <w:r>
              <w:rPr>
                <w:noProof/>
                <w:sz w:val="20"/>
              </w:rPr>
              <w:t>n + 4</w:t>
            </w:r>
          </w:p>
        </w:tc>
        <w:tc>
          <w:tcPr>
            <w:tcW w:w="851" w:type="dxa"/>
            <w:tcBorders>
              <w:top w:val="single" w:sz="12" w:space="0" w:color="auto"/>
            </w:tcBorders>
          </w:tcPr>
          <w:p>
            <w:pPr>
              <w:jc w:val="center"/>
              <w:rPr>
                <w:noProof/>
                <w:sz w:val="20"/>
                <w:szCs w:val="20"/>
              </w:rPr>
            </w:pPr>
          </w:p>
          <w:p>
            <w:pPr>
              <w:jc w:val="center"/>
              <w:rPr>
                <w:noProof/>
                <w:sz w:val="20"/>
                <w:szCs w:val="20"/>
              </w:rPr>
            </w:pPr>
            <w:r>
              <w:rPr>
                <w:noProof/>
                <w:sz w:val="20"/>
              </w:rPr>
              <w:t>n + 5 in pozneje</w:t>
            </w:r>
          </w:p>
        </w:tc>
      </w:tr>
      <w:tr>
        <w:trPr>
          <w:cantSplit/>
        </w:trPr>
        <w:tc>
          <w:tcPr>
            <w:tcW w:w="2268" w:type="dxa"/>
            <w:tcBorders>
              <w:bottom w:val="single" w:sz="12" w:space="0" w:color="auto"/>
            </w:tcBorders>
          </w:tcPr>
          <w:p>
            <w:pPr>
              <w:spacing w:before="60" w:after="60"/>
              <w:rPr>
                <w:noProof/>
                <w:sz w:val="20"/>
                <w:szCs w:val="20"/>
              </w:rPr>
            </w:pPr>
            <w:r>
              <w:rPr>
                <w:noProof/>
                <w:sz w:val="20"/>
              </w:rPr>
              <w:t>Število potrebnih človeških virov skupaj</w:t>
            </w:r>
          </w:p>
        </w:tc>
        <w:tc>
          <w:tcPr>
            <w:tcW w:w="930" w:type="dxa"/>
            <w:tcBorders>
              <w:bottom w:val="single" w:sz="12" w:space="0" w:color="auto"/>
            </w:tcBorders>
          </w:tcPr>
          <w:p>
            <w:pPr>
              <w:spacing w:before="60" w:after="60"/>
              <w:jc w:val="right"/>
              <w:rPr>
                <w:noProof/>
                <w:sz w:val="20"/>
                <w:szCs w:val="20"/>
              </w:rPr>
            </w:pPr>
            <w:r>
              <w:rPr>
                <w:noProof/>
                <w:sz w:val="20"/>
              </w:rPr>
              <w:t>n. r.</w:t>
            </w:r>
          </w:p>
        </w:tc>
        <w:tc>
          <w:tcPr>
            <w:tcW w:w="772" w:type="dxa"/>
            <w:tcBorders>
              <w:bottom w:val="single" w:sz="12" w:space="0" w:color="auto"/>
            </w:tcBorders>
          </w:tcPr>
          <w:p>
            <w:pPr>
              <w:spacing w:before="60" w:after="60"/>
              <w:jc w:val="right"/>
              <w:rPr>
                <w:noProof/>
                <w:sz w:val="20"/>
                <w:szCs w:val="20"/>
              </w:rPr>
            </w:pPr>
            <w:r>
              <w:rPr>
                <w:noProof/>
                <w:sz w:val="20"/>
              </w:rPr>
              <w:t>n. r.</w:t>
            </w:r>
          </w:p>
        </w:tc>
        <w:tc>
          <w:tcPr>
            <w:tcW w:w="851" w:type="dxa"/>
            <w:tcBorders>
              <w:bottom w:val="single" w:sz="12" w:space="0" w:color="auto"/>
            </w:tcBorders>
          </w:tcPr>
          <w:p>
            <w:pPr>
              <w:spacing w:before="60" w:after="60"/>
              <w:jc w:val="right"/>
              <w:rPr>
                <w:noProof/>
                <w:sz w:val="20"/>
                <w:szCs w:val="20"/>
              </w:rPr>
            </w:pPr>
            <w:r>
              <w:rPr>
                <w:noProof/>
                <w:sz w:val="20"/>
              </w:rPr>
              <w:t>n. r.</w:t>
            </w:r>
          </w:p>
        </w:tc>
        <w:tc>
          <w:tcPr>
            <w:tcW w:w="851" w:type="dxa"/>
            <w:tcBorders>
              <w:bottom w:val="single" w:sz="12" w:space="0" w:color="auto"/>
            </w:tcBorders>
          </w:tcPr>
          <w:p>
            <w:pPr>
              <w:spacing w:before="60" w:after="60"/>
              <w:jc w:val="right"/>
              <w:rPr>
                <w:noProof/>
                <w:sz w:val="20"/>
                <w:szCs w:val="20"/>
              </w:rPr>
            </w:pPr>
            <w:r>
              <w:rPr>
                <w:noProof/>
                <w:sz w:val="20"/>
              </w:rPr>
              <w:t>n. r.</w:t>
            </w:r>
          </w:p>
        </w:tc>
        <w:tc>
          <w:tcPr>
            <w:tcW w:w="851" w:type="dxa"/>
            <w:tcBorders>
              <w:bottom w:val="single" w:sz="12" w:space="0" w:color="auto"/>
            </w:tcBorders>
          </w:tcPr>
          <w:p>
            <w:pPr>
              <w:spacing w:before="60" w:after="60"/>
              <w:jc w:val="right"/>
              <w:rPr>
                <w:noProof/>
                <w:sz w:val="20"/>
                <w:szCs w:val="20"/>
              </w:rPr>
            </w:pPr>
            <w:r>
              <w:rPr>
                <w:noProof/>
                <w:sz w:val="20"/>
              </w:rPr>
              <w:t>n. r.</w:t>
            </w:r>
          </w:p>
        </w:tc>
        <w:tc>
          <w:tcPr>
            <w:tcW w:w="851" w:type="dxa"/>
            <w:tcBorders>
              <w:bottom w:val="single" w:sz="12" w:space="0" w:color="auto"/>
            </w:tcBorders>
          </w:tcPr>
          <w:p>
            <w:pPr>
              <w:spacing w:before="60" w:after="60"/>
              <w:jc w:val="right"/>
              <w:rPr>
                <w:noProof/>
                <w:sz w:val="20"/>
                <w:szCs w:val="20"/>
              </w:rPr>
            </w:pPr>
            <w:r>
              <w:rPr>
                <w:noProof/>
                <w:sz w:val="20"/>
              </w:rPr>
              <w:t>n. r.</w:t>
            </w:r>
          </w:p>
        </w:tc>
      </w:tr>
    </w:tbl>
    <w:p>
      <w:pPr>
        <w:pStyle w:val="ManualHeading1"/>
        <w:rPr>
          <w:noProof/>
        </w:rPr>
      </w:pPr>
      <w:r>
        <w:rPr>
          <w:noProof/>
        </w:rPr>
        <w:t>5.</w:t>
      </w:r>
      <w:r>
        <w:rPr>
          <w:noProof/>
        </w:rPr>
        <w:tab/>
        <w:t>ZNAČILNOSTI IN CILJI</w:t>
      </w:r>
    </w:p>
    <w:p>
      <w:pPr>
        <w:pStyle w:val="ManualHeading2"/>
        <w:rPr>
          <w:noProof/>
        </w:rPr>
      </w:pPr>
      <w:r>
        <w:rPr>
          <w:noProof/>
        </w:rPr>
        <w:t>5.1</w:t>
      </w:r>
      <w:r>
        <w:rPr>
          <w:noProof/>
        </w:rPr>
        <w:tab/>
        <w:t>Potreba, ki jo je treba kratkoročno ali dolgoročno kriti</w:t>
      </w:r>
    </w:p>
    <w:p>
      <w:pPr>
        <w:spacing w:after="240"/>
        <w:rPr>
          <w:noProof/>
        </w:rPr>
      </w:pPr>
      <w:r>
        <w:rPr>
          <w:noProof/>
        </w:rPr>
        <w:t xml:space="preserve">Dolgotrajna finančna in gospodarska kriza povečuje pritisk na nacionalne finančne vire, saj države članice krčijo svoje proračune. Pri tem ima zagotavljanje nemotenega izvajanja programov skladov ESI poseben pomen kot orodje za dovajanje sredstev v gospodarstvo. Da bi zagotovili, da bodo te države nadaljevale izvajanje programov skladov ESI in izplačevale sredstva projektom, ta predlog Komisiji omogoča, da tem državam nameni povečana plačila, če so upravičene do finančne pomoči v okviru programa prilagajanja. </w:t>
      </w:r>
    </w:p>
    <w:p>
      <w:pPr>
        <w:pStyle w:val="ManualHeading2"/>
        <w:rPr>
          <w:noProof/>
        </w:rPr>
      </w:pPr>
      <w:r>
        <w:rPr>
          <w:noProof/>
        </w:rPr>
        <w:t>5.2</w:t>
      </w:r>
      <w:r>
        <w:rPr>
          <w:noProof/>
        </w:rPr>
        <w:tab/>
        <w:t>Dodana vrednost zaradi vključitve Skupnosti, skladnost predloga z drugimi finančnimi instrumenti in mogoče sinergije</w:t>
      </w:r>
    </w:p>
    <w:p>
      <w:pPr>
        <w:spacing w:after="240"/>
        <w:rPr>
          <w:noProof/>
        </w:rPr>
      </w:pPr>
      <w:r>
        <w:rPr>
          <w:noProof/>
        </w:rPr>
        <w:t>Predlog bo omogočil nadaljevanje izvajanja programov z dovajanjem denarja gospodarstvu, obenem pa bo pomagal zmanjšati breme javnih izdatkov.</w:t>
      </w:r>
    </w:p>
    <w:p>
      <w:pPr>
        <w:pStyle w:val="ManualHeading2"/>
        <w:rPr>
          <w:noProof/>
        </w:rPr>
      </w:pPr>
      <w:r>
        <w:rPr>
          <w:noProof/>
        </w:rPr>
        <w:t>5.3</w:t>
      </w:r>
      <w:r>
        <w:rPr>
          <w:noProof/>
        </w:rPr>
        <w:tab/>
        <w:t>Cilji in pričakovani rezultati predloga ter z njimi povezani kazalniki v okviru ABM</w:t>
      </w:r>
    </w:p>
    <w:p>
      <w:pPr>
        <w:rPr>
          <w:noProof/>
        </w:rPr>
      </w:pPr>
      <w:r>
        <w:rPr>
          <w:noProof/>
        </w:rPr>
        <w:t>Cilj je pomagati tistim državam članicam, ki jih je finančna kriza najbolj prizadela, da bodo lahko še naprej izvajale programe na terenu, in tako zagotoviti finančne prilive v gospodarstvo.</w:t>
      </w:r>
    </w:p>
    <w:p>
      <w:pPr>
        <w:pStyle w:val="ManualHeading2"/>
        <w:rPr>
          <w:noProof/>
        </w:rPr>
      </w:pPr>
      <w:r>
        <w:rPr>
          <w:noProof/>
        </w:rPr>
        <w:t>5.4</w:t>
      </w:r>
      <w:r>
        <w:rPr>
          <w:noProof/>
        </w:rPr>
        <w:tab/>
        <w:t>Metoda izvedbe (okvirno)</w:t>
      </w:r>
    </w:p>
    <w:p>
      <w:pPr>
        <w:rPr>
          <w:noProof/>
        </w:rPr>
      </w:pPr>
      <w:r>
        <w:rPr>
          <w:noProof/>
        </w:rPr>
        <w:t>Spodaj se prikaže(jo) izbrana(e) metoda(e) izvedbe ukrepa:</w:t>
      </w:r>
    </w:p>
    <w:p>
      <w:pPr>
        <w:pStyle w:val="Bullet0"/>
        <w:numPr>
          <w:ilvl w:val="0"/>
          <w:numId w:val="9"/>
        </w:numPr>
        <w:rPr>
          <w:noProof/>
        </w:rPr>
      </w:pPr>
      <w:r>
        <w:rPr>
          <w:noProof/>
        </w:rPr>
        <w:t>z državami članicami.</w:t>
      </w:r>
    </w:p>
    <w:p>
      <w:pPr>
        <w:pStyle w:val="ManualHeading1"/>
        <w:rPr>
          <w:noProof/>
        </w:rPr>
      </w:pPr>
      <w:r>
        <w:rPr>
          <w:noProof/>
        </w:rPr>
        <w:t>6.</w:t>
      </w:r>
      <w:r>
        <w:rPr>
          <w:noProof/>
        </w:rPr>
        <w:tab/>
        <w:t>SPREMLJANJE IN VREDNOTENJE</w:t>
      </w:r>
    </w:p>
    <w:p>
      <w:pPr>
        <w:pStyle w:val="ManualHeading2"/>
        <w:rPr>
          <w:noProof/>
        </w:rPr>
      </w:pPr>
      <w:r>
        <w:rPr>
          <w:noProof/>
        </w:rPr>
        <w:t>6.1</w:t>
      </w:r>
      <w:r>
        <w:rPr>
          <w:noProof/>
        </w:rPr>
        <w:tab/>
        <w:t>Sistem spremljanja</w:t>
      </w:r>
    </w:p>
    <w:p>
      <w:pPr>
        <w:spacing w:after="240"/>
        <w:rPr>
          <w:noProof/>
        </w:rPr>
      </w:pPr>
      <w:r>
        <w:rPr>
          <w:noProof/>
        </w:rPr>
        <w:t>Ni potreben, ker spada pod vzpostavljeno spremljanje evropskih strukturnih in investicijskih skladov.</w:t>
      </w:r>
    </w:p>
    <w:p>
      <w:pPr>
        <w:pStyle w:val="ManualHeading2"/>
        <w:rPr>
          <w:noProof/>
        </w:rPr>
      </w:pPr>
      <w:r>
        <w:rPr>
          <w:noProof/>
        </w:rPr>
        <w:t>6.2</w:t>
      </w:r>
      <w:r>
        <w:rPr>
          <w:noProof/>
        </w:rPr>
        <w:tab/>
        <w:t>Vrednotenje</w:t>
      </w:r>
    </w:p>
    <w:p>
      <w:pPr>
        <w:pStyle w:val="ManualHeading3"/>
        <w:rPr>
          <w:noProof/>
        </w:rPr>
      </w:pPr>
      <w:r>
        <w:rPr>
          <w:noProof/>
        </w:rPr>
        <w:t>6.2.1</w:t>
      </w:r>
      <w:r>
        <w:rPr>
          <w:noProof/>
        </w:rPr>
        <w:tab/>
        <w:t>Predhodno vrednotenje</w:t>
      </w:r>
    </w:p>
    <w:p>
      <w:pPr>
        <w:rPr>
          <w:noProof/>
        </w:rPr>
      </w:pPr>
      <w:r>
        <w:rPr>
          <w:noProof/>
        </w:rPr>
        <w:t>Ni relevantno.</w:t>
      </w:r>
    </w:p>
    <w:p>
      <w:pPr>
        <w:pStyle w:val="ManualHeading3"/>
        <w:rPr>
          <w:noProof/>
        </w:rPr>
      </w:pPr>
      <w:r>
        <w:rPr>
          <w:noProof/>
        </w:rPr>
        <w:t>6.2.2</w:t>
      </w:r>
      <w:r>
        <w:rPr>
          <w:noProof/>
        </w:rPr>
        <w:tab/>
        <w:t>Ukrepi, sprejeti po vmesnem/naknadnem vrednotenju (na podlagi podobnih preteklih izkušenj)</w:t>
      </w:r>
    </w:p>
    <w:p>
      <w:pPr>
        <w:rPr>
          <w:noProof/>
        </w:rPr>
      </w:pPr>
      <w:r>
        <w:rPr>
          <w:noProof/>
        </w:rPr>
        <w:t>Ni relevantno.</w:t>
      </w:r>
    </w:p>
    <w:p>
      <w:pPr>
        <w:pStyle w:val="ManualHeading3"/>
        <w:rPr>
          <w:noProof/>
        </w:rPr>
      </w:pPr>
      <w:r>
        <w:rPr>
          <w:noProof/>
        </w:rPr>
        <w:t>6.2.3</w:t>
      </w:r>
      <w:r>
        <w:rPr>
          <w:noProof/>
        </w:rPr>
        <w:tab/>
        <w:t>Oblika in pogostnost prihodnjega vrednotenja</w:t>
      </w:r>
    </w:p>
    <w:p>
      <w:pPr>
        <w:spacing w:after="240"/>
        <w:rPr>
          <w:noProof/>
        </w:rPr>
      </w:pPr>
      <w:r>
        <w:rPr>
          <w:noProof/>
        </w:rPr>
        <w:t>Ni relevantno.</w:t>
      </w:r>
    </w:p>
    <w:p>
      <w:pPr>
        <w:pStyle w:val="ManualHeading1"/>
        <w:spacing w:before="240"/>
        <w:ind w:left="851" w:hanging="851"/>
        <w:rPr>
          <w:smallCaps w:val="0"/>
          <w:noProof/>
        </w:rPr>
      </w:pPr>
      <w:r>
        <w:rPr>
          <w:noProof/>
        </w:rPr>
        <w:t>7.</w:t>
      </w:r>
      <w:r>
        <w:rPr>
          <w:noProof/>
        </w:rPr>
        <w:tab/>
        <w:t xml:space="preserve">UKREPI PROTI GOLJUFIJAM </w:t>
      </w:r>
    </w:p>
    <w:p>
      <w:pPr>
        <w:rPr>
          <w:b/>
          <w:caps/>
          <w:noProof/>
        </w:rPr>
      </w:pPr>
      <w:r>
        <w:rPr>
          <w:b/>
          <w:caps/>
          <w:noProof/>
        </w:rPr>
        <w:t>Ni relevantno.</w:t>
      </w:r>
    </w:p>
    <w:p>
      <w:pPr>
        <w:rPr>
          <w:i/>
          <w:noProof/>
        </w:rPr>
        <w:sectPr>
          <w:pgSz w:w="12240" w:h="15840"/>
          <w:pgMar w:top="1440" w:right="1800" w:bottom="1440" w:left="1800" w:header="708" w:footer="708" w:gutter="0"/>
          <w:cols w:space="708"/>
          <w:docGrid w:linePitch="360"/>
        </w:sectPr>
      </w:pPr>
    </w:p>
    <w:p>
      <w:pPr>
        <w:pStyle w:val="ManualHeading1"/>
        <w:rPr>
          <w:noProof/>
        </w:rPr>
      </w:pPr>
      <w:r>
        <w:rPr>
          <w:noProof/>
        </w:rPr>
        <w:t>8.</w:t>
      </w:r>
      <w:r>
        <w:rPr>
          <w:noProof/>
        </w:rPr>
        <w:tab/>
        <w:t>PODROBNOSTI O SREDSTVIH</w:t>
      </w:r>
    </w:p>
    <w:p>
      <w:pPr>
        <w:pStyle w:val="ManualHeading2"/>
        <w:rPr>
          <w:noProof/>
        </w:rPr>
      </w:pPr>
      <w:r>
        <w:rPr>
          <w:noProof/>
        </w:rPr>
        <w:t>8.1</w:t>
      </w:r>
      <w:r>
        <w:rPr>
          <w:noProof/>
        </w:rPr>
        <w:tab/>
        <w:t>Cilji predloga z vidika stroškov financiranja</w:t>
      </w:r>
    </w:p>
    <w:p>
      <w:pPr>
        <w:jc w:val="right"/>
        <w:rPr>
          <w:i/>
          <w:noProof/>
          <w:sz w:val="20"/>
          <w:szCs w:val="20"/>
        </w:rPr>
      </w:pPr>
      <w:r>
        <w:rPr>
          <w:i/>
          <w:noProof/>
          <w:sz w:val="20"/>
        </w:rPr>
        <w:t>odobritve za prevzem obveznosti v mio. EUR (na tri decimalna mesta natančno)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4"/>
        <w:gridCol w:w="919"/>
        <w:gridCol w:w="911"/>
        <w:gridCol w:w="806"/>
        <w:gridCol w:w="646"/>
        <w:gridCol w:w="805"/>
        <w:gridCol w:w="645"/>
        <w:gridCol w:w="805"/>
        <w:gridCol w:w="645"/>
        <w:gridCol w:w="805"/>
        <w:gridCol w:w="645"/>
        <w:gridCol w:w="805"/>
        <w:gridCol w:w="645"/>
        <w:gridCol w:w="805"/>
        <w:gridCol w:w="645"/>
        <w:gridCol w:w="805"/>
        <w:gridCol w:w="645"/>
      </w:tblGrid>
      <w:tr>
        <w:trPr>
          <w:trHeight w:val="378"/>
        </w:trPr>
        <w:tc>
          <w:tcPr>
            <w:tcW w:w="0" w:type="auto"/>
            <w:vMerge w:val="restart"/>
          </w:tcPr>
          <w:p>
            <w:pPr>
              <w:jc w:val="left"/>
              <w:rPr>
                <w:b/>
                <w:noProof/>
                <w:sz w:val="16"/>
                <w:szCs w:val="16"/>
              </w:rPr>
            </w:pPr>
            <w:r>
              <w:rPr>
                <w:b/>
                <w:noProof/>
                <w:sz w:val="16"/>
              </w:rPr>
              <w:t>(Navedba ciljev, ukrepov in realizacij)</w:t>
            </w:r>
          </w:p>
        </w:tc>
        <w:tc>
          <w:tcPr>
            <w:tcW w:w="780" w:type="dxa"/>
            <w:vMerge w:val="restart"/>
          </w:tcPr>
          <w:p>
            <w:pPr>
              <w:jc w:val="center"/>
              <w:rPr>
                <w:b/>
                <w:noProof/>
                <w:sz w:val="16"/>
                <w:szCs w:val="16"/>
              </w:rPr>
            </w:pPr>
            <w:r>
              <w:rPr>
                <w:b/>
                <w:noProof/>
                <w:sz w:val="16"/>
              </w:rPr>
              <w:t>Vrsta realizacije</w:t>
            </w:r>
          </w:p>
        </w:tc>
        <w:tc>
          <w:tcPr>
            <w:tcW w:w="537" w:type="dxa"/>
            <w:vMerge w:val="restart"/>
          </w:tcPr>
          <w:p>
            <w:pPr>
              <w:jc w:val="center"/>
              <w:rPr>
                <w:b/>
                <w:noProof/>
                <w:sz w:val="16"/>
                <w:szCs w:val="16"/>
              </w:rPr>
            </w:pPr>
            <w:r>
              <w:rPr>
                <w:b/>
                <w:noProof/>
                <w:sz w:val="16"/>
              </w:rPr>
              <w:t>Povprečni stroški</w:t>
            </w:r>
          </w:p>
        </w:tc>
        <w:tc>
          <w:tcPr>
            <w:tcW w:w="0" w:type="auto"/>
            <w:gridSpan w:val="2"/>
          </w:tcPr>
          <w:p>
            <w:pPr>
              <w:jc w:val="center"/>
              <w:rPr>
                <w:b/>
                <w:noProof/>
                <w:sz w:val="16"/>
                <w:szCs w:val="16"/>
              </w:rPr>
            </w:pPr>
            <w:r>
              <w:rPr>
                <w:b/>
                <w:noProof/>
                <w:sz w:val="16"/>
              </w:rPr>
              <w:t>Leto n</w:t>
            </w:r>
          </w:p>
        </w:tc>
        <w:tc>
          <w:tcPr>
            <w:tcW w:w="0" w:type="auto"/>
            <w:gridSpan w:val="2"/>
          </w:tcPr>
          <w:p>
            <w:pPr>
              <w:jc w:val="center"/>
              <w:rPr>
                <w:b/>
                <w:noProof/>
                <w:sz w:val="16"/>
                <w:szCs w:val="16"/>
              </w:rPr>
            </w:pPr>
            <w:r>
              <w:rPr>
                <w:b/>
                <w:noProof/>
                <w:sz w:val="16"/>
              </w:rPr>
              <w:t>Leto n + 1</w:t>
            </w:r>
          </w:p>
        </w:tc>
        <w:tc>
          <w:tcPr>
            <w:tcW w:w="0" w:type="auto"/>
            <w:gridSpan w:val="2"/>
          </w:tcPr>
          <w:p>
            <w:pPr>
              <w:jc w:val="center"/>
              <w:rPr>
                <w:b/>
                <w:noProof/>
                <w:sz w:val="16"/>
                <w:szCs w:val="16"/>
              </w:rPr>
            </w:pPr>
            <w:r>
              <w:rPr>
                <w:b/>
                <w:noProof/>
                <w:sz w:val="16"/>
              </w:rPr>
              <w:t>Leto n + 2</w:t>
            </w:r>
          </w:p>
        </w:tc>
        <w:tc>
          <w:tcPr>
            <w:tcW w:w="0" w:type="auto"/>
            <w:gridSpan w:val="2"/>
          </w:tcPr>
          <w:p>
            <w:pPr>
              <w:jc w:val="center"/>
              <w:rPr>
                <w:b/>
                <w:noProof/>
                <w:sz w:val="16"/>
                <w:szCs w:val="16"/>
              </w:rPr>
            </w:pPr>
            <w:r>
              <w:rPr>
                <w:b/>
                <w:noProof/>
                <w:sz w:val="16"/>
              </w:rPr>
              <w:t>Leto n + 3</w:t>
            </w:r>
          </w:p>
        </w:tc>
        <w:tc>
          <w:tcPr>
            <w:tcW w:w="0" w:type="auto"/>
            <w:gridSpan w:val="2"/>
          </w:tcPr>
          <w:p>
            <w:pPr>
              <w:jc w:val="center"/>
              <w:rPr>
                <w:b/>
                <w:noProof/>
                <w:sz w:val="16"/>
                <w:szCs w:val="16"/>
              </w:rPr>
            </w:pPr>
            <w:r>
              <w:rPr>
                <w:b/>
                <w:noProof/>
                <w:sz w:val="16"/>
              </w:rPr>
              <w:t>Leto n + 4</w:t>
            </w:r>
          </w:p>
        </w:tc>
        <w:tc>
          <w:tcPr>
            <w:tcW w:w="0" w:type="auto"/>
            <w:gridSpan w:val="2"/>
          </w:tcPr>
          <w:p>
            <w:pPr>
              <w:jc w:val="center"/>
              <w:rPr>
                <w:b/>
                <w:noProof/>
                <w:sz w:val="16"/>
                <w:szCs w:val="16"/>
              </w:rPr>
            </w:pPr>
            <w:r>
              <w:rPr>
                <w:b/>
                <w:noProof/>
                <w:sz w:val="16"/>
              </w:rPr>
              <w:t>Leto n + 5 in pozneje</w:t>
            </w:r>
          </w:p>
        </w:tc>
        <w:tc>
          <w:tcPr>
            <w:tcW w:w="0" w:type="auto"/>
            <w:gridSpan w:val="2"/>
          </w:tcPr>
          <w:p>
            <w:pPr>
              <w:jc w:val="center"/>
              <w:rPr>
                <w:b/>
                <w:noProof/>
                <w:sz w:val="16"/>
                <w:szCs w:val="16"/>
              </w:rPr>
            </w:pPr>
            <w:r>
              <w:rPr>
                <w:b/>
                <w:noProof/>
                <w:sz w:val="16"/>
              </w:rPr>
              <w:t>SKUPAJ</w:t>
            </w:r>
          </w:p>
        </w:tc>
      </w:tr>
      <w:tr>
        <w:trPr>
          <w:trHeight w:val="482"/>
        </w:trPr>
        <w:tc>
          <w:tcPr>
            <w:tcW w:w="0" w:type="auto"/>
            <w:vMerge/>
          </w:tcPr>
          <w:p>
            <w:pPr>
              <w:jc w:val="left"/>
              <w:rPr>
                <w:noProof/>
                <w:sz w:val="16"/>
                <w:szCs w:val="16"/>
              </w:rPr>
            </w:pPr>
          </w:p>
        </w:tc>
        <w:tc>
          <w:tcPr>
            <w:tcW w:w="780" w:type="dxa"/>
            <w:vMerge/>
          </w:tcPr>
          <w:p>
            <w:pPr>
              <w:rPr>
                <w:noProof/>
                <w:sz w:val="16"/>
                <w:szCs w:val="16"/>
              </w:rPr>
            </w:pPr>
          </w:p>
        </w:tc>
        <w:tc>
          <w:tcPr>
            <w:tcW w:w="537" w:type="dxa"/>
            <w:vMerge/>
          </w:tcPr>
          <w:p>
            <w:pPr>
              <w:rPr>
                <w:noProof/>
                <w:sz w:val="16"/>
                <w:szCs w:val="16"/>
              </w:rPr>
            </w:pPr>
          </w:p>
        </w:tc>
        <w:tc>
          <w:tcPr>
            <w:tcW w:w="0" w:type="auto"/>
          </w:tcPr>
          <w:p>
            <w:pPr>
              <w:rPr>
                <w:noProof/>
                <w:sz w:val="16"/>
                <w:szCs w:val="16"/>
              </w:rPr>
            </w:pPr>
            <w:r>
              <w:rPr>
                <w:noProof/>
                <w:sz w:val="16"/>
              </w:rPr>
              <w:t>število realizacij</w:t>
            </w:r>
          </w:p>
        </w:tc>
        <w:tc>
          <w:tcPr>
            <w:tcW w:w="0" w:type="auto"/>
          </w:tcPr>
          <w:p>
            <w:pPr>
              <w:rPr>
                <w:noProof/>
                <w:sz w:val="16"/>
                <w:szCs w:val="16"/>
              </w:rPr>
            </w:pPr>
            <w:r>
              <w:rPr>
                <w:noProof/>
                <w:sz w:val="16"/>
              </w:rPr>
              <w:t>stroški skupaj</w:t>
            </w:r>
          </w:p>
        </w:tc>
        <w:tc>
          <w:tcPr>
            <w:tcW w:w="0" w:type="auto"/>
          </w:tcPr>
          <w:p>
            <w:pPr>
              <w:rPr>
                <w:noProof/>
                <w:sz w:val="16"/>
                <w:szCs w:val="16"/>
              </w:rPr>
            </w:pPr>
            <w:r>
              <w:rPr>
                <w:noProof/>
                <w:sz w:val="16"/>
              </w:rPr>
              <w:t>število realizacij</w:t>
            </w:r>
          </w:p>
        </w:tc>
        <w:tc>
          <w:tcPr>
            <w:tcW w:w="0" w:type="auto"/>
          </w:tcPr>
          <w:p>
            <w:pPr>
              <w:rPr>
                <w:noProof/>
                <w:sz w:val="16"/>
                <w:szCs w:val="16"/>
              </w:rPr>
            </w:pPr>
            <w:r>
              <w:rPr>
                <w:noProof/>
                <w:sz w:val="16"/>
              </w:rPr>
              <w:t>stroški skupaj</w:t>
            </w:r>
          </w:p>
        </w:tc>
        <w:tc>
          <w:tcPr>
            <w:tcW w:w="0" w:type="auto"/>
          </w:tcPr>
          <w:p>
            <w:pPr>
              <w:rPr>
                <w:noProof/>
                <w:sz w:val="16"/>
                <w:szCs w:val="16"/>
              </w:rPr>
            </w:pPr>
            <w:r>
              <w:rPr>
                <w:noProof/>
                <w:sz w:val="16"/>
              </w:rPr>
              <w:t>število realizacij</w:t>
            </w:r>
          </w:p>
        </w:tc>
        <w:tc>
          <w:tcPr>
            <w:tcW w:w="0" w:type="auto"/>
          </w:tcPr>
          <w:p>
            <w:pPr>
              <w:rPr>
                <w:noProof/>
                <w:sz w:val="16"/>
                <w:szCs w:val="16"/>
              </w:rPr>
            </w:pPr>
            <w:r>
              <w:rPr>
                <w:noProof/>
                <w:sz w:val="16"/>
              </w:rPr>
              <w:t>stroški skupaj</w:t>
            </w:r>
          </w:p>
        </w:tc>
        <w:tc>
          <w:tcPr>
            <w:tcW w:w="0" w:type="auto"/>
          </w:tcPr>
          <w:p>
            <w:pPr>
              <w:rPr>
                <w:noProof/>
                <w:sz w:val="16"/>
                <w:szCs w:val="16"/>
              </w:rPr>
            </w:pPr>
            <w:r>
              <w:rPr>
                <w:noProof/>
                <w:sz w:val="16"/>
              </w:rPr>
              <w:t>število realizacij</w:t>
            </w:r>
          </w:p>
        </w:tc>
        <w:tc>
          <w:tcPr>
            <w:tcW w:w="0" w:type="auto"/>
          </w:tcPr>
          <w:p>
            <w:pPr>
              <w:rPr>
                <w:noProof/>
                <w:sz w:val="16"/>
                <w:szCs w:val="16"/>
              </w:rPr>
            </w:pPr>
            <w:r>
              <w:rPr>
                <w:noProof/>
                <w:sz w:val="16"/>
              </w:rPr>
              <w:t>stroški skupaj</w:t>
            </w:r>
          </w:p>
        </w:tc>
        <w:tc>
          <w:tcPr>
            <w:tcW w:w="0" w:type="auto"/>
          </w:tcPr>
          <w:p>
            <w:pPr>
              <w:rPr>
                <w:noProof/>
                <w:sz w:val="16"/>
                <w:szCs w:val="16"/>
              </w:rPr>
            </w:pPr>
            <w:r>
              <w:rPr>
                <w:noProof/>
                <w:sz w:val="16"/>
              </w:rPr>
              <w:t>število realizacij</w:t>
            </w:r>
          </w:p>
        </w:tc>
        <w:tc>
          <w:tcPr>
            <w:tcW w:w="0" w:type="auto"/>
          </w:tcPr>
          <w:p>
            <w:pPr>
              <w:rPr>
                <w:noProof/>
                <w:sz w:val="16"/>
                <w:szCs w:val="16"/>
              </w:rPr>
            </w:pPr>
            <w:r>
              <w:rPr>
                <w:noProof/>
                <w:sz w:val="16"/>
              </w:rPr>
              <w:t>stroški skupaj</w:t>
            </w:r>
          </w:p>
        </w:tc>
        <w:tc>
          <w:tcPr>
            <w:tcW w:w="0" w:type="auto"/>
          </w:tcPr>
          <w:p>
            <w:pPr>
              <w:rPr>
                <w:noProof/>
                <w:sz w:val="16"/>
                <w:szCs w:val="16"/>
              </w:rPr>
            </w:pPr>
            <w:r>
              <w:rPr>
                <w:noProof/>
                <w:sz w:val="16"/>
              </w:rPr>
              <w:t>število realizacij</w:t>
            </w:r>
          </w:p>
        </w:tc>
        <w:tc>
          <w:tcPr>
            <w:tcW w:w="0" w:type="auto"/>
          </w:tcPr>
          <w:p>
            <w:pPr>
              <w:rPr>
                <w:noProof/>
                <w:sz w:val="16"/>
                <w:szCs w:val="16"/>
              </w:rPr>
            </w:pPr>
            <w:r>
              <w:rPr>
                <w:noProof/>
                <w:sz w:val="16"/>
              </w:rPr>
              <w:t>stroški skupaj</w:t>
            </w:r>
          </w:p>
        </w:tc>
        <w:tc>
          <w:tcPr>
            <w:tcW w:w="0" w:type="auto"/>
          </w:tcPr>
          <w:p>
            <w:pPr>
              <w:rPr>
                <w:noProof/>
                <w:sz w:val="16"/>
                <w:szCs w:val="16"/>
              </w:rPr>
            </w:pPr>
            <w:r>
              <w:rPr>
                <w:noProof/>
                <w:sz w:val="16"/>
              </w:rPr>
              <w:t>število realizacij</w:t>
            </w:r>
          </w:p>
        </w:tc>
        <w:tc>
          <w:tcPr>
            <w:tcW w:w="0" w:type="auto"/>
          </w:tcPr>
          <w:p>
            <w:pPr>
              <w:rPr>
                <w:noProof/>
                <w:sz w:val="16"/>
                <w:szCs w:val="16"/>
              </w:rPr>
            </w:pPr>
            <w:r>
              <w:rPr>
                <w:noProof/>
                <w:sz w:val="16"/>
              </w:rPr>
              <w:t>stroški skupaj</w:t>
            </w:r>
          </w:p>
        </w:tc>
      </w:tr>
      <w:tr>
        <w:tc>
          <w:tcPr>
            <w:tcW w:w="0" w:type="auto"/>
          </w:tcPr>
          <w:p>
            <w:pPr>
              <w:jc w:val="left"/>
              <w:rPr>
                <w:noProof/>
                <w:sz w:val="16"/>
                <w:szCs w:val="16"/>
              </w:rPr>
            </w:pPr>
            <w:r>
              <w:rPr>
                <w:noProof/>
                <w:sz w:val="16"/>
              </w:rPr>
              <w:t>OPERATIVNI CILJ št. 1 Podpreti izvajanje operativnih programov</w:t>
            </w:r>
          </w:p>
        </w:tc>
        <w:tc>
          <w:tcPr>
            <w:tcW w:w="780" w:type="dxa"/>
            <w:tcBorders>
              <w:right w:val="nil"/>
            </w:tcBorders>
            <w:shd w:val="pct10" w:color="auto" w:fill="auto"/>
          </w:tcPr>
          <w:p>
            <w:pPr>
              <w:rPr>
                <w:noProof/>
                <w:sz w:val="16"/>
                <w:szCs w:val="16"/>
              </w:rPr>
            </w:pPr>
          </w:p>
        </w:tc>
        <w:tc>
          <w:tcPr>
            <w:tcW w:w="537" w:type="dxa"/>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right w:val="nil"/>
            </w:tcBorders>
            <w:shd w:val="pct10" w:color="auto" w:fill="auto"/>
          </w:tcPr>
          <w:p>
            <w:pPr>
              <w:rPr>
                <w:noProof/>
                <w:sz w:val="16"/>
                <w:szCs w:val="16"/>
              </w:rPr>
            </w:pPr>
          </w:p>
        </w:tc>
        <w:tc>
          <w:tcPr>
            <w:tcW w:w="0" w:type="auto"/>
            <w:tcBorders>
              <w:left w:val="nil"/>
            </w:tcBorders>
            <w:shd w:val="pct10" w:color="auto" w:fill="auto"/>
          </w:tcPr>
          <w:p>
            <w:pPr>
              <w:rPr>
                <w:noProof/>
                <w:sz w:val="16"/>
                <w:szCs w:val="16"/>
              </w:rPr>
            </w:pPr>
          </w:p>
        </w:tc>
      </w:tr>
      <w:tr>
        <w:trPr>
          <w:trHeight w:val="271"/>
        </w:trPr>
        <w:tc>
          <w:tcPr>
            <w:tcW w:w="0" w:type="auto"/>
          </w:tcPr>
          <w:p>
            <w:pPr>
              <w:jc w:val="left"/>
              <w:rPr>
                <w:b/>
                <w:noProof/>
                <w:sz w:val="16"/>
                <w:szCs w:val="16"/>
              </w:rPr>
            </w:pPr>
          </w:p>
        </w:tc>
        <w:tc>
          <w:tcPr>
            <w:tcW w:w="780" w:type="dxa"/>
          </w:tcPr>
          <w:p>
            <w:pPr>
              <w:rPr>
                <w:noProof/>
                <w:sz w:val="16"/>
                <w:szCs w:val="16"/>
              </w:rPr>
            </w:pPr>
          </w:p>
        </w:tc>
        <w:tc>
          <w:tcPr>
            <w:tcW w:w="537" w:type="dxa"/>
          </w:tcPr>
          <w:p>
            <w:pPr>
              <w:rPr>
                <w:noProof/>
                <w:sz w:val="16"/>
                <w:szCs w:val="16"/>
              </w:rPr>
            </w:pPr>
          </w:p>
        </w:tc>
        <w:tc>
          <w:tcPr>
            <w:tcW w:w="0" w:type="auto"/>
          </w:tcPr>
          <w:p>
            <w:pPr>
              <w:rPr>
                <w:noProof/>
                <w:sz w:val="16"/>
                <w:szCs w:val="16"/>
              </w:rPr>
            </w:pPr>
          </w:p>
        </w:tc>
        <w:tc>
          <w:tcPr>
            <w:tcW w:w="0" w:type="auto"/>
          </w:tcPr>
          <w:p>
            <w:pPr>
              <w:jc w:val="right"/>
              <w:rPr>
                <w:noProof/>
                <w:sz w:val="16"/>
                <w:szCs w:val="16"/>
              </w:rPr>
            </w:pPr>
          </w:p>
          <w:p>
            <w:pPr>
              <w:jc w:val="right"/>
              <w:rPr>
                <w:noProof/>
                <w:sz w:val="16"/>
                <w:szCs w:val="16"/>
              </w:rPr>
            </w:pPr>
            <w:r>
              <w:rPr>
                <w:noProof/>
                <w:sz w:val="16"/>
              </w:rPr>
              <w:t>0,000</w:t>
            </w:r>
          </w:p>
        </w:tc>
        <w:tc>
          <w:tcPr>
            <w:tcW w:w="0" w:type="auto"/>
          </w:tcPr>
          <w:p>
            <w:pPr>
              <w:jc w:val="right"/>
              <w:rPr>
                <w:noProof/>
                <w:sz w:val="16"/>
                <w:szCs w:val="16"/>
              </w:rPr>
            </w:pPr>
          </w:p>
        </w:tc>
        <w:tc>
          <w:tcPr>
            <w:tcW w:w="0" w:type="auto"/>
          </w:tcPr>
          <w:p>
            <w:pPr>
              <w:jc w:val="right"/>
              <w:rPr>
                <w:noProof/>
                <w:sz w:val="16"/>
                <w:szCs w:val="16"/>
              </w:rPr>
            </w:pPr>
          </w:p>
          <w:p>
            <w:pPr>
              <w:jc w:val="right"/>
              <w:rPr>
                <w:noProof/>
                <w:sz w:val="16"/>
                <w:szCs w:val="16"/>
              </w:rPr>
            </w:pPr>
            <w:r>
              <w:rPr>
                <w:noProof/>
                <w:sz w:val="16"/>
              </w:rPr>
              <w:t>0,000</w:t>
            </w: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tc>
        <w:tc>
          <w:tcPr>
            <w:tcW w:w="0" w:type="auto"/>
          </w:tcPr>
          <w:p>
            <w:pPr>
              <w:jc w:val="right"/>
              <w:rPr>
                <w:noProof/>
                <w:sz w:val="16"/>
                <w:szCs w:val="16"/>
              </w:rPr>
            </w:pPr>
          </w:p>
          <w:p>
            <w:pPr>
              <w:jc w:val="right"/>
              <w:rPr>
                <w:noProof/>
                <w:sz w:val="16"/>
                <w:szCs w:val="16"/>
              </w:rPr>
            </w:pPr>
            <w:r>
              <w:rPr>
                <w:noProof/>
                <w:sz w:val="16"/>
              </w:rPr>
              <w:t>0,000</w:t>
            </w:r>
          </w:p>
        </w:tc>
      </w:tr>
      <w:tr>
        <w:tc>
          <w:tcPr>
            <w:tcW w:w="0" w:type="auto"/>
          </w:tcPr>
          <w:p>
            <w:pPr>
              <w:rPr>
                <w:b/>
                <w:noProof/>
                <w:sz w:val="16"/>
                <w:szCs w:val="16"/>
              </w:rPr>
            </w:pPr>
            <w:r>
              <w:rPr>
                <w:b/>
                <w:noProof/>
                <w:sz w:val="16"/>
              </w:rPr>
              <w:t>STROŠKI SKUPAJ</w:t>
            </w:r>
          </w:p>
        </w:tc>
        <w:tc>
          <w:tcPr>
            <w:tcW w:w="780" w:type="dxa"/>
          </w:tcPr>
          <w:p>
            <w:pPr>
              <w:rPr>
                <w:b/>
                <w:noProof/>
                <w:sz w:val="16"/>
                <w:szCs w:val="16"/>
              </w:rPr>
            </w:pPr>
          </w:p>
        </w:tc>
        <w:tc>
          <w:tcPr>
            <w:tcW w:w="537" w:type="dxa"/>
          </w:tcPr>
          <w:p>
            <w:pPr>
              <w:rPr>
                <w:b/>
                <w:noProof/>
                <w:sz w:val="16"/>
                <w:szCs w:val="16"/>
              </w:rPr>
            </w:pPr>
          </w:p>
        </w:tc>
        <w:tc>
          <w:tcPr>
            <w:tcW w:w="0" w:type="auto"/>
          </w:tcPr>
          <w:p>
            <w:pPr>
              <w:rPr>
                <w:b/>
                <w:noProof/>
                <w:sz w:val="16"/>
                <w:szCs w:val="16"/>
              </w:rPr>
            </w:pPr>
          </w:p>
        </w:tc>
        <w:tc>
          <w:tcPr>
            <w:tcW w:w="0" w:type="auto"/>
          </w:tcPr>
          <w:p>
            <w:pPr>
              <w:jc w:val="right"/>
              <w:rPr>
                <w:b/>
                <w:noProof/>
                <w:sz w:val="16"/>
                <w:szCs w:val="16"/>
              </w:rPr>
            </w:pPr>
          </w:p>
          <w:p>
            <w:pPr>
              <w:jc w:val="right"/>
              <w:rPr>
                <w:b/>
                <w:noProof/>
                <w:sz w:val="16"/>
                <w:szCs w:val="16"/>
              </w:rPr>
            </w:pPr>
            <w:r>
              <w:rPr>
                <w:b/>
                <w:noProof/>
                <w:sz w:val="16"/>
              </w:rPr>
              <w:t>0,000</w:t>
            </w:r>
          </w:p>
        </w:tc>
        <w:tc>
          <w:tcPr>
            <w:tcW w:w="0" w:type="auto"/>
          </w:tcPr>
          <w:p>
            <w:pPr>
              <w:jc w:val="right"/>
              <w:rPr>
                <w:b/>
                <w:noProof/>
                <w:sz w:val="16"/>
                <w:szCs w:val="16"/>
              </w:rPr>
            </w:pPr>
          </w:p>
        </w:tc>
        <w:tc>
          <w:tcPr>
            <w:tcW w:w="0" w:type="auto"/>
          </w:tcPr>
          <w:p>
            <w:pPr>
              <w:jc w:val="right"/>
              <w:rPr>
                <w:b/>
                <w:noProof/>
                <w:sz w:val="16"/>
                <w:szCs w:val="16"/>
              </w:rPr>
            </w:pPr>
          </w:p>
          <w:p>
            <w:pPr>
              <w:jc w:val="right"/>
              <w:rPr>
                <w:b/>
                <w:noProof/>
                <w:sz w:val="16"/>
                <w:szCs w:val="16"/>
              </w:rPr>
            </w:pPr>
            <w:r>
              <w:rPr>
                <w:b/>
                <w:noProof/>
                <w:sz w:val="16"/>
              </w:rPr>
              <w:t>0,000</w:t>
            </w: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tc>
        <w:tc>
          <w:tcPr>
            <w:tcW w:w="0" w:type="auto"/>
          </w:tcPr>
          <w:p>
            <w:pPr>
              <w:jc w:val="right"/>
              <w:rPr>
                <w:b/>
                <w:noProof/>
                <w:sz w:val="16"/>
                <w:szCs w:val="16"/>
              </w:rPr>
            </w:pPr>
          </w:p>
          <w:p>
            <w:pPr>
              <w:jc w:val="right"/>
              <w:rPr>
                <w:b/>
                <w:noProof/>
                <w:sz w:val="16"/>
                <w:szCs w:val="16"/>
              </w:rPr>
            </w:pPr>
            <w:r>
              <w:rPr>
                <w:b/>
                <w:noProof/>
                <w:sz w:val="16"/>
              </w:rPr>
              <w:t>0,000</w:t>
            </w:r>
          </w:p>
        </w:tc>
      </w:tr>
    </w:tbl>
    <w:p>
      <w:pPr>
        <w:rPr>
          <w:noProof/>
        </w:rPr>
        <w:sectPr>
          <w:headerReference w:type="default" r:id="rId13"/>
          <w:footerReference w:type="default" r:id="rId14"/>
          <w:headerReference w:type="first" r:id="rId15"/>
          <w:footerReference w:type="first" r:id="rId16"/>
          <w:pgSz w:w="15840" w:h="12240" w:orient="landscape"/>
          <w:pgMar w:top="1259" w:right="1440" w:bottom="1259" w:left="1440" w:header="709" w:footer="709" w:gutter="0"/>
          <w:cols w:space="708"/>
          <w:docGrid w:linePitch="360"/>
        </w:sectPr>
      </w:pPr>
    </w:p>
    <w:p>
      <w:pPr>
        <w:pStyle w:val="ManualHeading2"/>
        <w:rPr>
          <w:noProof/>
        </w:rPr>
      </w:pPr>
      <w:r>
        <w:rPr>
          <w:noProof/>
        </w:rPr>
        <w:t>8.2</w:t>
      </w:r>
      <w:r>
        <w:rPr>
          <w:noProof/>
        </w:rPr>
        <w:tab/>
        <w:t>Upravni odhodki</w:t>
      </w:r>
    </w:p>
    <w:p>
      <w:pPr>
        <w:pStyle w:val="ManualHeading3"/>
        <w:rPr>
          <w:noProof/>
        </w:rPr>
      </w:pPr>
      <w:r>
        <w:rPr>
          <w:noProof/>
        </w:rPr>
        <w:t>8.2.1</w:t>
      </w:r>
      <w:r>
        <w:rPr>
          <w:noProof/>
        </w:rPr>
        <w:tab/>
        <w:t>Človeški viri – število in vrsta delovnih mest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
        <w:gridCol w:w="884"/>
        <w:gridCol w:w="1154"/>
        <w:gridCol w:w="1154"/>
        <w:gridCol w:w="1156"/>
        <w:gridCol w:w="1156"/>
        <w:gridCol w:w="1156"/>
        <w:gridCol w:w="1156"/>
      </w:tblGrid>
      <w:tr>
        <w:trPr>
          <w:trHeight w:val="678"/>
        </w:trPr>
        <w:tc>
          <w:tcPr>
            <w:tcW w:w="1040" w:type="dxa"/>
            <w:vAlign w:val="center"/>
          </w:tcPr>
          <w:p>
            <w:pPr>
              <w:jc w:val="center"/>
              <w:rPr>
                <w:noProof/>
                <w:sz w:val="20"/>
                <w:szCs w:val="20"/>
              </w:rPr>
            </w:pPr>
            <w:r>
              <w:rPr>
                <w:noProof/>
                <w:sz w:val="20"/>
              </w:rPr>
              <w:t>Vrsta delovnega mesta</w:t>
            </w:r>
          </w:p>
        </w:tc>
        <w:tc>
          <w:tcPr>
            <w:tcW w:w="884" w:type="dxa"/>
          </w:tcPr>
          <w:p>
            <w:pPr>
              <w:rPr>
                <w:noProof/>
                <w:sz w:val="20"/>
                <w:szCs w:val="20"/>
              </w:rPr>
            </w:pPr>
          </w:p>
        </w:tc>
        <w:tc>
          <w:tcPr>
            <w:tcW w:w="6932" w:type="dxa"/>
            <w:gridSpan w:val="6"/>
            <w:vAlign w:val="center"/>
          </w:tcPr>
          <w:p>
            <w:pPr>
              <w:jc w:val="center"/>
              <w:rPr>
                <w:noProof/>
                <w:sz w:val="20"/>
                <w:szCs w:val="20"/>
              </w:rPr>
            </w:pPr>
            <w:r>
              <w:rPr>
                <w:noProof/>
                <w:sz w:val="20"/>
              </w:rPr>
              <w:t>Osebje, potrebno za upravljanje ukrepa – obstoječi in/ali dodatni človeški viri (</w:t>
            </w:r>
            <w:r>
              <w:rPr>
                <w:b/>
                <w:noProof/>
                <w:sz w:val="20"/>
              </w:rPr>
              <w:t>število delovnih mest/EPDČ</w:t>
            </w:r>
            <w:r>
              <w:rPr>
                <w:noProof/>
                <w:sz w:val="20"/>
              </w:rPr>
              <w:t>)</w:t>
            </w:r>
          </w:p>
        </w:tc>
      </w:tr>
      <w:tr>
        <w:trPr>
          <w:trHeight w:val="383"/>
        </w:trPr>
        <w:tc>
          <w:tcPr>
            <w:tcW w:w="1040" w:type="dxa"/>
          </w:tcPr>
          <w:p>
            <w:pPr>
              <w:rPr>
                <w:noProof/>
                <w:sz w:val="20"/>
                <w:szCs w:val="20"/>
              </w:rPr>
            </w:pPr>
          </w:p>
        </w:tc>
        <w:tc>
          <w:tcPr>
            <w:tcW w:w="884" w:type="dxa"/>
          </w:tcPr>
          <w:p>
            <w:pPr>
              <w:rPr>
                <w:noProof/>
                <w:sz w:val="20"/>
                <w:szCs w:val="20"/>
              </w:rPr>
            </w:pPr>
          </w:p>
        </w:tc>
        <w:tc>
          <w:tcPr>
            <w:tcW w:w="1154" w:type="dxa"/>
            <w:vAlign w:val="center"/>
          </w:tcPr>
          <w:p>
            <w:pPr>
              <w:jc w:val="center"/>
              <w:rPr>
                <w:noProof/>
                <w:sz w:val="20"/>
                <w:szCs w:val="20"/>
              </w:rPr>
            </w:pPr>
            <w:r>
              <w:rPr>
                <w:noProof/>
                <w:sz w:val="20"/>
              </w:rPr>
              <w:t>Leto n</w:t>
            </w:r>
          </w:p>
        </w:tc>
        <w:tc>
          <w:tcPr>
            <w:tcW w:w="1154" w:type="dxa"/>
            <w:vAlign w:val="center"/>
          </w:tcPr>
          <w:p>
            <w:pPr>
              <w:jc w:val="center"/>
              <w:rPr>
                <w:noProof/>
                <w:sz w:val="20"/>
                <w:szCs w:val="20"/>
              </w:rPr>
            </w:pPr>
            <w:r>
              <w:rPr>
                <w:noProof/>
                <w:sz w:val="20"/>
              </w:rPr>
              <w:t>Leto n + 1</w:t>
            </w:r>
          </w:p>
        </w:tc>
        <w:tc>
          <w:tcPr>
            <w:tcW w:w="1156" w:type="dxa"/>
            <w:vAlign w:val="center"/>
          </w:tcPr>
          <w:p>
            <w:pPr>
              <w:jc w:val="center"/>
              <w:rPr>
                <w:noProof/>
                <w:sz w:val="20"/>
                <w:szCs w:val="20"/>
              </w:rPr>
            </w:pPr>
            <w:r>
              <w:rPr>
                <w:noProof/>
                <w:sz w:val="20"/>
              </w:rPr>
              <w:t>Leto n + 2</w:t>
            </w:r>
          </w:p>
        </w:tc>
        <w:tc>
          <w:tcPr>
            <w:tcW w:w="1156" w:type="dxa"/>
            <w:vAlign w:val="center"/>
          </w:tcPr>
          <w:p>
            <w:pPr>
              <w:jc w:val="center"/>
              <w:rPr>
                <w:noProof/>
                <w:sz w:val="20"/>
                <w:szCs w:val="20"/>
              </w:rPr>
            </w:pPr>
            <w:r>
              <w:rPr>
                <w:noProof/>
                <w:sz w:val="20"/>
              </w:rPr>
              <w:t>Leto n + 3</w:t>
            </w:r>
          </w:p>
        </w:tc>
        <w:tc>
          <w:tcPr>
            <w:tcW w:w="1156" w:type="dxa"/>
            <w:vAlign w:val="center"/>
          </w:tcPr>
          <w:p>
            <w:pPr>
              <w:jc w:val="center"/>
              <w:rPr>
                <w:noProof/>
                <w:sz w:val="20"/>
                <w:szCs w:val="20"/>
              </w:rPr>
            </w:pPr>
            <w:r>
              <w:rPr>
                <w:noProof/>
                <w:sz w:val="20"/>
              </w:rPr>
              <w:t>Leto n + 4</w:t>
            </w:r>
          </w:p>
        </w:tc>
        <w:tc>
          <w:tcPr>
            <w:tcW w:w="1156" w:type="dxa"/>
            <w:vAlign w:val="center"/>
          </w:tcPr>
          <w:p>
            <w:pPr>
              <w:jc w:val="center"/>
              <w:rPr>
                <w:noProof/>
                <w:sz w:val="20"/>
                <w:szCs w:val="20"/>
              </w:rPr>
            </w:pPr>
            <w:r>
              <w:rPr>
                <w:noProof/>
                <w:sz w:val="20"/>
              </w:rPr>
              <w:t>Leto n + 5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40" w:type="dxa"/>
            <w:vMerge w:val="restart"/>
          </w:tcPr>
          <w:p>
            <w:pPr>
              <w:jc w:val="center"/>
              <w:rPr>
                <w:noProof/>
                <w:sz w:val="20"/>
                <w:szCs w:val="20"/>
              </w:rPr>
            </w:pPr>
            <w:r>
              <w:rPr>
                <w:noProof/>
                <w:sz w:val="20"/>
              </w:rPr>
              <w:t>Uradniki ali začasno osebje</w:t>
            </w:r>
            <w:r>
              <w:rPr>
                <w:noProof/>
              </w:rPr>
              <w:t xml:space="preserve"> </w:t>
            </w:r>
            <w:r>
              <w:rPr>
                <w:noProof/>
                <w:sz w:val="20"/>
              </w:rPr>
              <w:t>(XX 01 01)</w:t>
            </w:r>
          </w:p>
        </w:tc>
        <w:tc>
          <w:tcPr>
            <w:tcW w:w="884" w:type="dxa"/>
          </w:tcPr>
          <w:p>
            <w:pPr>
              <w:rPr>
                <w:noProof/>
                <w:sz w:val="20"/>
                <w:szCs w:val="20"/>
              </w:rPr>
            </w:pPr>
            <w:r>
              <w:rPr>
                <w:noProof/>
                <w:sz w:val="20"/>
              </w:rPr>
              <w:t>A*/AD</w:t>
            </w:r>
          </w:p>
        </w:tc>
        <w:tc>
          <w:tcPr>
            <w:tcW w:w="1154" w:type="dxa"/>
          </w:tcPr>
          <w:p>
            <w:pPr>
              <w:jc w:val="right"/>
              <w:rPr>
                <w:noProof/>
                <w:sz w:val="20"/>
                <w:szCs w:val="20"/>
              </w:rPr>
            </w:pPr>
            <w:r>
              <w:rPr>
                <w:noProof/>
                <w:sz w:val="20"/>
              </w:rPr>
              <w:t>n. r.</w:t>
            </w:r>
          </w:p>
        </w:tc>
        <w:tc>
          <w:tcPr>
            <w:tcW w:w="1154"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40" w:type="dxa"/>
            <w:vMerge/>
          </w:tcPr>
          <w:p>
            <w:pPr>
              <w:rPr>
                <w:noProof/>
                <w:sz w:val="20"/>
                <w:szCs w:val="20"/>
              </w:rPr>
            </w:pPr>
          </w:p>
        </w:tc>
        <w:tc>
          <w:tcPr>
            <w:tcW w:w="884" w:type="dxa"/>
          </w:tcPr>
          <w:p>
            <w:pPr>
              <w:rPr>
                <w:noProof/>
                <w:sz w:val="20"/>
                <w:szCs w:val="20"/>
              </w:rPr>
            </w:pPr>
            <w:r>
              <w:rPr>
                <w:noProof/>
                <w:sz w:val="20"/>
              </w:rPr>
              <w:t>B*, C*/AST</w:t>
            </w:r>
          </w:p>
        </w:tc>
        <w:tc>
          <w:tcPr>
            <w:tcW w:w="1154" w:type="dxa"/>
          </w:tcPr>
          <w:p>
            <w:pPr>
              <w:jc w:val="right"/>
              <w:rPr>
                <w:noProof/>
                <w:sz w:val="20"/>
                <w:szCs w:val="20"/>
              </w:rPr>
            </w:pPr>
            <w:r>
              <w:rPr>
                <w:noProof/>
                <w:sz w:val="20"/>
              </w:rPr>
              <w:t>n. r.</w:t>
            </w:r>
          </w:p>
        </w:tc>
        <w:tc>
          <w:tcPr>
            <w:tcW w:w="1154"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r>
      <w:tr>
        <w:tc>
          <w:tcPr>
            <w:tcW w:w="1924" w:type="dxa"/>
            <w:gridSpan w:val="2"/>
          </w:tcPr>
          <w:p>
            <w:pPr>
              <w:rPr>
                <w:noProof/>
                <w:sz w:val="20"/>
                <w:szCs w:val="20"/>
              </w:rPr>
            </w:pPr>
            <w:r>
              <w:rPr>
                <w:noProof/>
                <w:sz w:val="20"/>
              </w:rPr>
              <w:t>Osebje, financirano iz člena XX 01 02</w:t>
            </w:r>
          </w:p>
        </w:tc>
        <w:tc>
          <w:tcPr>
            <w:tcW w:w="1154" w:type="dxa"/>
          </w:tcPr>
          <w:p>
            <w:pPr>
              <w:jc w:val="right"/>
              <w:rPr>
                <w:noProof/>
                <w:sz w:val="20"/>
                <w:szCs w:val="20"/>
              </w:rPr>
            </w:pPr>
            <w:r>
              <w:rPr>
                <w:noProof/>
                <w:sz w:val="20"/>
              </w:rPr>
              <w:t>n. r.</w:t>
            </w:r>
          </w:p>
        </w:tc>
        <w:tc>
          <w:tcPr>
            <w:tcW w:w="1154"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r>
      <w:tr>
        <w:tc>
          <w:tcPr>
            <w:tcW w:w="1924" w:type="dxa"/>
            <w:gridSpan w:val="2"/>
          </w:tcPr>
          <w:p>
            <w:pPr>
              <w:rPr>
                <w:noProof/>
                <w:sz w:val="20"/>
                <w:szCs w:val="20"/>
              </w:rPr>
            </w:pPr>
            <w:r>
              <w:rPr>
                <w:noProof/>
                <w:sz w:val="20"/>
              </w:rPr>
              <w:t>Drugo osebje, financirano iz člena XX 01 04/05</w:t>
            </w:r>
          </w:p>
        </w:tc>
        <w:tc>
          <w:tcPr>
            <w:tcW w:w="1154" w:type="dxa"/>
          </w:tcPr>
          <w:p>
            <w:pPr>
              <w:jc w:val="right"/>
              <w:rPr>
                <w:noProof/>
                <w:sz w:val="20"/>
                <w:szCs w:val="20"/>
              </w:rPr>
            </w:pPr>
            <w:r>
              <w:rPr>
                <w:noProof/>
                <w:sz w:val="20"/>
              </w:rPr>
              <w:t>n. r.</w:t>
            </w:r>
          </w:p>
        </w:tc>
        <w:tc>
          <w:tcPr>
            <w:tcW w:w="1154"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r>
      <w:tr>
        <w:trPr>
          <w:trHeight w:val="547"/>
        </w:trPr>
        <w:tc>
          <w:tcPr>
            <w:tcW w:w="1924" w:type="dxa"/>
            <w:gridSpan w:val="2"/>
            <w:vAlign w:val="center"/>
          </w:tcPr>
          <w:p>
            <w:pPr>
              <w:rPr>
                <w:noProof/>
                <w:sz w:val="20"/>
                <w:szCs w:val="20"/>
              </w:rPr>
            </w:pPr>
            <w:r>
              <w:rPr>
                <w:b/>
                <w:noProof/>
                <w:sz w:val="20"/>
              </w:rPr>
              <w:t>SKUPAJ</w:t>
            </w:r>
          </w:p>
        </w:tc>
        <w:tc>
          <w:tcPr>
            <w:tcW w:w="1154" w:type="dxa"/>
          </w:tcPr>
          <w:p>
            <w:pPr>
              <w:jc w:val="right"/>
              <w:rPr>
                <w:noProof/>
                <w:sz w:val="20"/>
                <w:szCs w:val="20"/>
              </w:rPr>
            </w:pPr>
            <w:r>
              <w:rPr>
                <w:noProof/>
                <w:sz w:val="20"/>
              </w:rPr>
              <w:t>n. r.</w:t>
            </w:r>
          </w:p>
        </w:tc>
        <w:tc>
          <w:tcPr>
            <w:tcW w:w="1154"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c>
          <w:tcPr>
            <w:tcW w:w="1156" w:type="dxa"/>
          </w:tcPr>
          <w:p>
            <w:pPr>
              <w:jc w:val="right"/>
              <w:rPr>
                <w:noProof/>
                <w:sz w:val="20"/>
                <w:szCs w:val="20"/>
              </w:rPr>
            </w:pPr>
            <w:r>
              <w:rPr>
                <w:noProof/>
                <w:sz w:val="20"/>
              </w:rPr>
              <w:t>n. r.</w:t>
            </w:r>
          </w:p>
        </w:tc>
      </w:tr>
    </w:tbl>
    <w:p>
      <w:pPr>
        <w:pStyle w:val="ManualHeading3"/>
        <w:spacing w:before="360"/>
        <w:ind w:left="851" w:hanging="851"/>
        <w:rPr>
          <w:noProof/>
        </w:rPr>
      </w:pPr>
      <w:r>
        <w:rPr>
          <w:noProof/>
        </w:rPr>
        <w:t>8.2.2</w:t>
      </w:r>
      <w:r>
        <w:rPr>
          <w:noProof/>
        </w:rPr>
        <w:tab/>
        <w:t>Opis nalog, ki izhajajo iz ukrepa</w:t>
      </w:r>
    </w:p>
    <w:p>
      <w:pPr>
        <w:rPr>
          <w:noProof/>
        </w:rPr>
      </w:pPr>
      <w:r>
        <w:rPr>
          <w:noProof/>
        </w:rPr>
        <w:t>Ni relevantno.</w:t>
      </w:r>
    </w:p>
    <w:p>
      <w:pPr>
        <w:pStyle w:val="ManualHeading3"/>
        <w:rPr>
          <w:noProof/>
        </w:rPr>
      </w:pPr>
      <w:r>
        <w:rPr>
          <w:noProof/>
        </w:rPr>
        <w:t>8.2.3</w:t>
      </w:r>
      <w:r>
        <w:rPr>
          <w:noProof/>
        </w:rPr>
        <w:tab/>
        <w:t>Človeški viri – viri delovnih mest (po sistematizaciji)</w:t>
      </w:r>
    </w:p>
    <w:p>
      <w:pPr>
        <w:rPr>
          <w:i/>
          <w:noProof/>
        </w:rPr>
      </w:pPr>
      <w:r>
        <w:rPr>
          <w:i/>
          <w:noProof/>
        </w:rPr>
        <w:t>(Pri navedbi več virov delovnih mest se navede število delovnih mest iz vsakega vira)</w:t>
      </w:r>
    </w:p>
    <w:p>
      <w:pPr>
        <w:pStyle w:val="Text1"/>
        <w:rPr>
          <w:noProof/>
        </w:rPr>
      </w:pPr>
      <w:r>
        <w:rPr>
          <w:noProof/>
        </w:rPr>
        <w:sym w:font="Wingdings" w:char="F0A8"/>
      </w:r>
      <w:r>
        <w:rPr>
          <w:noProof/>
        </w:rPr>
        <w:tab/>
      </w:r>
      <w:r>
        <w:rPr>
          <w:noProof/>
        </w:rPr>
        <w:sym w:font="Wingdings" w:char="F0A8"/>
      </w:r>
      <w:r>
        <w:rPr>
          <w:noProof/>
        </w:rPr>
        <w:t>Delovna mesta, trenutno dodeljena za upravljanje programa, ki se nadomesti ali podaljša</w:t>
      </w:r>
    </w:p>
    <w:p>
      <w:pPr>
        <w:pStyle w:val="Text1"/>
        <w:rPr>
          <w:noProof/>
          <w:sz w:val="20"/>
          <w:szCs w:val="20"/>
        </w:rPr>
      </w:pPr>
      <w:r>
        <w:rPr>
          <w:noProof/>
        </w:rPr>
        <w:sym w:font="Wingdings" w:char="F0A8"/>
      </w:r>
      <w:r>
        <w:rPr>
          <w:noProof/>
        </w:rPr>
        <w:tab/>
        <w:t>Delovna mesta, ki so bila predhodno dodeljena pri izvajanju LSP/PPP za leto n</w:t>
      </w:r>
    </w:p>
    <w:p>
      <w:pPr>
        <w:pStyle w:val="Text1"/>
        <w:rPr>
          <w:noProof/>
        </w:rPr>
      </w:pPr>
      <w:r>
        <w:rPr>
          <w:noProof/>
        </w:rPr>
        <w:sym w:font="Wingdings" w:char="F0A8"/>
      </w:r>
      <w:r>
        <w:rPr>
          <w:noProof/>
        </w:rPr>
        <w:tab/>
      </w:r>
      <w:r>
        <w:rPr>
          <w:noProof/>
        </w:rPr>
        <w:sym w:font="Wingdings" w:char="F0A8"/>
      </w:r>
      <w:r>
        <w:rPr>
          <w:noProof/>
        </w:rPr>
        <w:t>Delovna mesta, potrebna v naslednjem postopku LSP/PPP</w:t>
      </w:r>
    </w:p>
    <w:p>
      <w:pPr>
        <w:pStyle w:val="Text1"/>
        <w:rPr>
          <w:noProof/>
        </w:rPr>
      </w:pPr>
      <w:r>
        <w:rPr>
          <w:noProof/>
        </w:rPr>
        <w:sym w:font="Wingdings" w:char="F0A8"/>
      </w:r>
      <w:r>
        <w:rPr>
          <w:noProof/>
        </w:rPr>
        <w:tab/>
      </w:r>
      <w:r>
        <w:rPr>
          <w:noProof/>
        </w:rPr>
        <w:sym w:font="Wingdings" w:char="F0A8"/>
      </w:r>
      <w:r>
        <w:rPr>
          <w:noProof/>
        </w:rPr>
        <w:t>Delovna mesta, ki bodo zapolnjena s prerazporeditvijo obstoječih človeških virov znotraj službe (notranja prerazporeditev)</w:t>
      </w:r>
    </w:p>
    <w:p>
      <w:pPr>
        <w:pStyle w:val="Text1"/>
        <w:rPr>
          <w:noProof/>
        </w:rPr>
      </w:pPr>
      <w:r>
        <w:rPr>
          <w:noProof/>
        </w:rPr>
        <w:sym w:font="Wingdings" w:char="F0A8"/>
      </w:r>
      <w:r>
        <w:rPr>
          <w:noProof/>
        </w:rPr>
        <w:tab/>
      </w:r>
      <w:r>
        <w:rPr>
          <w:noProof/>
        </w:rPr>
        <w:sym w:font="Wingdings" w:char="F0A8"/>
      </w:r>
      <w:r>
        <w:rPr>
          <w:noProof/>
        </w:rPr>
        <w:t>Delovna mesta, potrebna za leto n, ki niso predvidena pri izvajanju LSP/PPP za zadevno leto</w:t>
      </w:r>
    </w:p>
    <w:p>
      <w:pPr>
        <w:pStyle w:val="Text1"/>
        <w:spacing w:after="0"/>
        <w:rPr>
          <w:noProof/>
        </w:rPr>
        <w:sectPr>
          <w:headerReference w:type="default" r:id="rId17"/>
          <w:footerReference w:type="default" r:id="rId18"/>
          <w:headerReference w:type="first" r:id="rId19"/>
          <w:footerReference w:type="first" r:id="rId20"/>
          <w:pgSz w:w="12240" w:h="15840"/>
          <w:pgMar w:top="1440" w:right="1800" w:bottom="1440" w:left="1800" w:header="708" w:footer="708" w:gutter="0"/>
          <w:cols w:space="708"/>
          <w:docGrid w:linePitch="360"/>
        </w:sectPr>
      </w:pPr>
    </w:p>
    <w:p>
      <w:pPr>
        <w:pStyle w:val="ManualHeading3"/>
        <w:rPr>
          <w:noProof/>
        </w:rPr>
      </w:pPr>
      <w:r>
        <w:rPr>
          <w:noProof/>
        </w:rPr>
        <w:t>8.2.4</w:t>
      </w:r>
      <w:r>
        <w:rPr>
          <w:noProof/>
        </w:rPr>
        <w:tab/>
        <w:t>Drugi upravni odhodki, ki jih referenčni znesek krije (XX 01 04/05 – Odhodki za upravno poslovodenje)</w:t>
      </w:r>
    </w:p>
    <w:p>
      <w:pPr>
        <w:jc w:val="right"/>
        <w:rPr>
          <w:i/>
          <w:noProof/>
          <w:sz w:val="20"/>
          <w:szCs w:val="20"/>
        </w:rPr>
      </w:pPr>
      <w:r>
        <w:rPr>
          <w:i/>
          <w:noProof/>
          <w:sz w:val="20"/>
        </w:rPr>
        <w:t>v mio. EUR (na tri decimalna mesta natančno)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9"/>
        <w:gridCol w:w="701"/>
        <w:gridCol w:w="652"/>
        <w:gridCol w:w="652"/>
        <w:gridCol w:w="652"/>
        <w:gridCol w:w="691"/>
        <w:gridCol w:w="869"/>
        <w:gridCol w:w="950"/>
      </w:tblGrid>
      <w:tr>
        <w:trPr>
          <w:trHeight w:val="625"/>
        </w:trPr>
        <w:tc>
          <w:tcPr>
            <w:tcW w:w="3688" w:type="dxa"/>
          </w:tcPr>
          <w:p>
            <w:pPr>
              <w:rPr>
                <w:noProof/>
                <w:sz w:val="20"/>
              </w:rPr>
            </w:pPr>
            <w:r>
              <w:rPr>
                <w:noProof/>
                <w:sz w:val="20"/>
              </w:rPr>
              <w:t>Proračunska vrstica</w:t>
            </w:r>
          </w:p>
          <w:p>
            <w:pPr>
              <w:rPr>
                <w:noProof/>
                <w:sz w:val="20"/>
              </w:rPr>
            </w:pPr>
            <w:r>
              <w:rPr>
                <w:noProof/>
                <w:sz w:val="20"/>
              </w:rPr>
              <w:t>(številka in ime postavke)</w:t>
            </w:r>
          </w:p>
        </w:tc>
        <w:tc>
          <w:tcPr>
            <w:tcW w:w="701" w:type="dxa"/>
            <w:vAlign w:val="center"/>
          </w:tcPr>
          <w:p>
            <w:pPr>
              <w:jc w:val="center"/>
              <w:rPr>
                <w:noProof/>
                <w:sz w:val="20"/>
              </w:rPr>
            </w:pPr>
            <w:r>
              <w:rPr>
                <w:noProof/>
                <w:sz w:val="20"/>
              </w:rPr>
              <w:t>Leto n</w:t>
            </w:r>
          </w:p>
        </w:tc>
        <w:tc>
          <w:tcPr>
            <w:tcW w:w="0" w:type="auto"/>
            <w:vAlign w:val="center"/>
          </w:tcPr>
          <w:p>
            <w:pPr>
              <w:jc w:val="center"/>
              <w:rPr>
                <w:noProof/>
                <w:sz w:val="20"/>
              </w:rPr>
            </w:pPr>
            <w:r>
              <w:rPr>
                <w:noProof/>
                <w:sz w:val="20"/>
              </w:rPr>
              <w:t>Leto n + 1</w:t>
            </w:r>
          </w:p>
        </w:tc>
        <w:tc>
          <w:tcPr>
            <w:tcW w:w="0" w:type="auto"/>
            <w:vAlign w:val="center"/>
          </w:tcPr>
          <w:p>
            <w:pPr>
              <w:jc w:val="center"/>
              <w:rPr>
                <w:noProof/>
                <w:sz w:val="20"/>
              </w:rPr>
            </w:pPr>
            <w:r>
              <w:rPr>
                <w:noProof/>
                <w:sz w:val="20"/>
              </w:rPr>
              <w:t>Leto n + 2</w:t>
            </w:r>
          </w:p>
        </w:tc>
        <w:tc>
          <w:tcPr>
            <w:tcW w:w="0" w:type="auto"/>
            <w:vAlign w:val="center"/>
          </w:tcPr>
          <w:p>
            <w:pPr>
              <w:jc w:val="center"/>
              <w:rPr>
                <w:noProof/>
                <w:sz w:val="20"/>
              </w:rPr>
            </w:pPr>
            <w:r>
              <w:rPr>
                <w:noProof/>
                <w:sz w:val="20"/>
              </w:rPr>
              <w:t>Leto n + 3</w:t>
            </w:r>
          </w:p>
        </w:tc>
        <w:tc>
          <w:tcPr>
            <w:tcW w:w="0" w:type="auto"/>
            <w:vAlign w:val="center"/>
          </w:tcPr>
          <w:p>
            <w:pPr>
              <w:jc w:val="center"/>
              <w:rPr>
                <w:noProof/>
                <w:sz w:val="20"/>
              </w:rPr>
            </w:pPr>
            <w:r>
              <w:rPr>
                <w:noProof/>
                <w:sz w:val="20"/>
              </w:rPr>
              <w:t>Leto n + 4</w:t>
            </w:r>
          </w:p>
        </w:tc>
        <w:tc>
          <w:tcPr>
            <w:tcW w:w="0" w:type="auto"/>
          </w:tcPr>
          <w:p>
            <w:pPr>
              <w:jc w:val="center"/>
              <w:rPr>
                <w:noProof/>
                <w:sz w:val="20"/>
              </w:rPr>
            </w:pPr>
            <w:r>
              <w:rPr>
                <w:noProof/>
                <w:sz w:val="20"/>
              </w:rPr>
              <w:t xml:space="preserve">Leto n + 5 </w:t>
            </w:r>
          </w:p>
          <w:p>
            <w:pPr>
              <w:jc w:val="center"/>
              <w:rPr>
                <w:noProof/>
                <w:sz w:val="20"/>
              </w:rPr>
            </w:pPr>
            <w:r>
              <w:rPr>
                <w:noProof/>
                <w:sz w:val="20"/>
              </w:rPr>
              <w:t>in pozneje</w:t>
            </w:r>
          </w:p>
        </w:tc>
        <w:tc>
          <w:tcPr>
            <w:tcW w:w="0" w:type="auto"/>
            <w:vAlign w:val="center"/>
          </w:tcPr>
          <w:p>
            <w:pPr>
              <w:jc w:val="center"/>
              <w:rPr>
                <w:noProof/>
                <w:sz w:val="20"/>
              </w:rPr>
            </w:pPr>
            <w:r>
              <w:rPr>
                <w:noProof/>
                <w:sz w:val="20"/>
              </w:rPr>
              <w:t>SKUPAJ</w:t>
            </w:r>
          </w:p>
        </w:tc>
      </w:tr>
      <w:tr>
        <w:trPr>
          <w:trHeight w:val="420"/>
        </w:trPr>
        <w:tc>
          <w:tcPr>
            <w:tcW w:w="3688" w:type="dxa"/>
            <w:vAlign w:val="center"/>
          </w:tcPr>
          <w:p>
            <w:pPr>
              <w:ind w:left="360" w:hanging="360"/>
              <w:jc w:val="left"/>
              <w:rPr>
                <w:b/>
                <w:noProof/>
                <w:sz w:val="20"/>
              </w:rPr>
            </w:pPr>
            <w:r>
              <w:rPr>
                <w:b/>
                <w:noProof/>
                <w:sz w:val="20"/>
              </w:rPr>
              <w:t>1</w:t>
            </w:r>
            <w:r>
              <w:rPr>
                <w:noProof/>
              </w:rPr>
              <w:tab/>
            </w:r>
            <w:r>
              <w:rPr>
                <w:b/>
                <w:noProof/>
                <w:sz w:val="20"/>
              </w:rPr>
              <w:t>Tehnična in upravna pomoč (vključno s povezanimi stroški za osebje)</w:t>
            </w:r>
          </w:p>
        </w:tc>
        <w:tc>
          <w:tcPr>
            <w:tcW w:w="701" w:type="dxa"/>
            <w:tcBorders>
              <w:right w:val="nil"/>
            </w:tcBorders>
            <w:shd w:val="pct10" w:color="auto" w:fill="auto"/>
            <w:vAlign w:val="center"/>
          </w:tcPr>
          <w:p>
            <w:pPr>
              <w:rPr>
                <w:noProof/>
                <w:sz w:val="20"/>
              </w:rPr>
            </w:pPr>
          </w:p>
        </w:tc>
        <w:tc>
          <w:tcPr>
            <w:tcW w:w="0" w:type="auto"/>
            <w:tcBorders>
              <w:left w:val="nil"/>
              <w:right w:val="nil"/>
            </w:tcBorders>
            <w:shd w:val="pct10" w:color="auto" w:fill="auto"/>
          </w:tcPr>
          <w:p>
            <w:pPr>
              <w:rPr>
                <w:noProof/>
                <w:sz w:val="20"/>
              </w:rPr>
            </w:pPr>
          </w:p>
        </w:tc>
        <w:tc>
          <w:tcPr>
            <w:tcW w:w="0" w:type="auto"/>
            <w:tcBorders>
              <w:left w:val="nil"/>
              <w:right w:val="nil"/>
            </w:tcBorders>
            <w:shd w:val="pct10" w:color="auto" w:fill="auto"/>
          </w:tcPr>
          <w:p>
            <w:pPr>
              <w:rPr>
                <w:noProof/>
                <w:sz w:val="20"/>
              </w:rPr>
            </w:pPr>
          </w:p>
        </w:tc>
        <w:tc>
          <w:tcPr>
            <w:tcW w:w="0" w:type="auto"/>
            <w:tcBorders>
              <w:left w:val="nil"/>
              <w:right w:val="nil"/>
            </w:tcBorders>
            <w:shd w:val="pct10" w:color="auto" w:fill="auto"/>
          </w:tcPr>
          <w:p>
            <w:pPr>
              <w:rPr>
                <w:noProof/>
                <w:sz w:val="20"/>
              </w:rPr>
            </w:pPr>
          </w:p>
        </w:tc>
        <w:tc>
          <w:tcPr>
            <w:tcW w:w="0" w:type="auto"/>
            <w:tcBorders>
              <w:left w:val="nil"/>
              <w:right w:val="nil"/>
            </w:tcBorders>
            <w:shd w:val="pct10" w:color="auto" w:fill="auto"/>
          </w:tcPr>
          <w:p>
            <w:pPr>
              <w:rPr>
                <w:noProof/>
                <w:sz w:val="20"/>
              </w:rPr>
            </w:pPr>
          </w:p>
        </w:tc>
        <w:tc>
          <w:tcPr>
            <w:tcW w:w="0" w:type="auto"/>
            <w:tcBorders>
              <w:left w:val="nil"/>
              <w:right w:val="nil"/>
            </w:tcBorders>
            <w:shd w:val="pct10" w:color="auto" w:fill="auto"/>
          </w:tcPr>
          <w:p>
            <w:pPr>
              <w:rPr>
                <w:noProof/>
                <w:sz w:val="20"/>
              </w:rPr>
            </w:pPr>
          </w:p>
        </w:tc>
        <w:tc>
          <w:tcPr>
            <w:tcW w:w="0" w:type="auto"/>
            <w:tcBorders>
              <w:left w:val="nil"/>
            </w:tcBorders>
            <w:shd w:val="pct10" w:color="auto" w:fill="auto"/>
            <w:vAlign w:val="center"/>
          </w:tcPr>
          <w:p>
            <w:pPr>
              <w:rPr>
                <w:noProof/>
                <w:sz w:val="20"/>
              </w:rPr>
            </w:pPr>
          </w:p>
        </w:tc>
      </w:tr>
      <w:tr>
        <w:trPr>
          <w:trHeight w:val="420"/>
        </w:trPr>
        <w:tc>
          <w:tcPr>
            <w:tcW w:w="3688" w:type="dxa"/>
            <w:vAlign w:val="center"/>
          </w:tcPr>
          <w:p>
            <w:pPr>
              <w:jc w:val="left"/>
              <w:rPr>
                <w:noProof/>
                <w:sz w:val="20"/>
              </w:rPr>
            </w:pPr>
            <w:r>
              <w:rPr>
                <w:noProof/>
                <w:sz w:val="20"/>
              </w:rPr>
              <w:t>Izvajalske agencije</w:t>
            </w:r>
          </w:p>
        </w:tc>
        <w:tc>
          <w:tcPr>
            <w:tcW w:w="701" w:type="dxa"/>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r>
      <w:tr>
        <w:trPr>
          <w:trHeight w:val="420"/>
        </w:trPr>
        <w:tc>
          <w:tcPr>
            <w:tcW w:w="3688" w:type="dxa"/>
            <w:vAlign w:val="center"/>
          </w:tcPr>
          <w:p>
            <w:pPr>
              <w:jc w:val="left"/>
              <w:rPr>
                <w:noProof/>
                <w:sz w:val="20"/>
              </w:rPr>
            </w:pPr>
            <w:r>
              <w:rPr>
                <w:noProof/>
                <w:sz w:val="20"/>
              </w:rPr>
              <w:t>Druga tehnična in upravna pomoč</w:t>
            </w:r>
          </w:p>
        </w:tc>
        <w:tc>
          <w:tcPr>
            <w:tcW w:w="701" w:type="dxa"/>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r>
      <w:tr>
        <w:trPr>
          <w:trHeight w:val="420"/>
        </w:trPr>
        <w:tc>
          <w:tcPr>
            <w:tcW w:w="3688" w:type="dxa"/>
            <w:vAlign w:val="center"/>
          </w:tcPr>
          <w:p>
            <w:pPr>
              <w:pStyle w:val="Text1"/>
              <w:ind w:left="600"/>
              <w:rPr>
                <w:b/>
                <w:noProof/>
              </w:rPr>
            </w:pPr>
            <w:r>
              <w:rPr>
                <w:b/>
                <w:noProof/>
              </w:rPr>
              <w:t xml:space="preserve">– </w:t>
            </w:r>
            <w:r>
              <w:rPr>
                <w:noProof/>
              </w:rPr>
              <w:t>notranja</w:t>
            </w:r>
            <w:r>
              <w:rPr>
                <w:b/>
                <w:noProof/>
              </w:rPr>
              <w:t xml:space="preserve"> </w:t>
            </w:r>
          </w:p>
        </w:tc>
        <w:tc>
          <w:tcPr>
            <w:tcW w:w="701" w:type="dxa"/>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r>
      <w:tr>
        <w:trPr>
          <w:trHeight w:val="420"/>
        </w:trPr>
        <w:tc>
          <w:tcPr>
            <w:tcW w:w="3688" w:type="dxa"/>
            <w:vAlign w:val="center"/>
          </w:tcPr>
          <w:p>
            <w:pPr>
              <w:pStyle w:val="Text1"/>
              <w:ind w:left="600"/>
              <w:rPr>
                <w:b/>
                <w:noProof/>
              </w:rPr>
            </w:pPr>
            <w:r>
              <w:rPr>
                <w:b/>
                <w:noProof/>
              </w:rPr>
              <w:t xml:space="preserve">– </w:t>
            </w:r>
            <w:r>
              <w:rPr>
                <w:noProof/>
              </w:rPr>
              <w:t>zunanja</w:t>
            </w:r>
          </w:p>
        </w:tc>
        <w:tc>
          <w:tcPr>
            <w:tcW w:w="701" w:type="dxa"/>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r>
      <w:tr>
        <w:trPr>
          <w:trHeight w:val="420"/>
        </w:trPr>
        <w:tc>
          <w:tcPr>
            <w:tcW w:w="3688" w:type="dxa"/>
            <w:vAlign w:val="center"/>
          </w:tcPr>
          <w:p>
            <w:pPr>
              <w:jc w:val="left"/>
              <w:rPr>
                <w:b/>
                <w:noProof/>
                <w:sz w:val="20"/>
              </w:rPr>
            </w:pPr>
            <w:r>
              <w:rPr>
                <w:b/>
                <w:noProof/>
                <w:sz w:val="20"/>
              </w:rPr>
              <w:t>Tehnična in upravna pomoč SKUPAJ</w:t>
            </w:r>
          </w:p>
        </w:tc>
        <w:tc>
          <w:tcPr>
            <w:tcW w:w="701" w:type="dxa"/>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c>
          <w:tcPr>
            <w:tcW w:w="0" w:type="auto"/>
            <w:vAlign w:val="center"/>
          </w:tcPr>
          <w:p>
            <w:pPr>
              <w:jc w:val="right"/>
              <w:rPr>
                <w:noProof/>
                <w:sz w:val="20"/>
                <w:szCs w:val="20"/>
              </w:rPr>
            </w:pPr>
            <w:r>
              <w:rPr>
                <w:noProof/>
                <w:sz w:val="20"/>
              </w:rPr>
              <w:t>n. r.</w:t>
            </w:r>
          </w:p>
        </w:tc>
      </w:tr>
    </w:tbl>
    <w:p>
      <w:pPr>
        <w:pStyle w:val="ManualHeading3"/>
        <w:spacing w:before="360"/>
        <w:ind w:left="851" w:hanging="851"/>
        <w:rPr>
          <w:noProof/>
        </w:rPr>
      </w:pPr>
      <w:r>
        <w:rPr>
          <w:noProof/>
        </w:rPr>
        <w:t>8.2.5</w:t>
      </w:r>
      <w:r>
        <w:rPr>
          <w:noProof/>
        </w:rPr>
        <w:tab/>
        <w:t>Stroški financiranja človeških virov in z njimi povezani stroški, ki jih referenčni znesek ne krije</w:t>
      </w:r>
    </w:p>
    <w:p>
      <w:pPr>
        <w:jc w:val="right"/>
        <w:rPr>
          <w:i/>
          <w:noProof/>
          <w:sz w:val="20"/>
          <w:szCs w:val="20"/>
        </w:rPr>
      </w:pPr>
      <w:r>
        <w:rPr>
          <w:i/>
          <w:noProof/>
          <w:sz w:val="20"/>
        </w:rPr>
        <w:t>v mio. EUR (na tri decimalna mesta natančno)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5"/>
        <w:gridCol w:w="1008"/>
        <w:gridCol w:w="1009"/>
        <w:gridCol w:w="1008"/>
        <w:gridCol w:w="1009"/>
        <w:gridCol w:w="1008"/>
        <w:gridCol w:w="1009"/>
      </w:tblGrid>
      <w:tr>
        <w:trPr>
          <w:trHeight w:val="391"/>
        </w:trPr>
        <w:tc>
          <w:tcPr>
            <w:tcW w:w="0" w:type="auto"/>
            <w:vAlign w:val="center"/>
          </w:tcPr>
          <w:p>
            <w:pPr>
              <w:jc w:val="center"/>
              <w:rPr>
                <w:noProof/>
                <w:sz w:val="20"/>
              </w:rPr>
            </w:pPr>
            <w:r>
              <w:rPr>
                <w:noProof/>
                <w:sz w:val="20"/>
              </w:rPr>
              <w:t>Vrsta človeških virov</w:t>
            </w:r>
          </w:p>
        </w:tc>
        <w:tc>
          <w:tcPr>
            <w:tcW w:w="1008" w:type="dxa"/>
            <w:vAlign w:val="center"/>
          </w:tcPr>
          <w:p>
            <w:pPr>
              <w:jc w:val="center"/>
              <w:rPr>
                <w:noProof/>
                <w:sz w:val="20"/>
              </w:rPr>
            </w:pPr>
            <w:r>
              <w:rPr>
                <w:noProof/>
                <w:sz w:val="20"/>
              </w:rPr>
              <w:t>Leto n</w:t>
            </w:r>
          </w:p>
        </w:tc>
        <w:tc>
          <w:tcPr>
            <w:tcW w:w="1009" w:type="dxa"/>
            <w:vAlign w:val="center"/>
          </w:tcPr>
          <w:p>
            <w:pPr>
              <w:jc w:val="center"/>
              <w:rPr>
                <w:noProof/>
                <w:sz w:val="20"/>
              </w:rPr>
            </w:pPr>
            <w:r>
              <w:rPr>
                <w:noProof/>
                <w:sz w:val="20"/>
              </w:rPr>
              <w:t>Leto n + 1</w:t>
            </w:r>
          </w:p>
        </w:tc>
        <w:tc>
          <w:tcPr>
            <w:tcW w:w="1008" w:type="dxa"/>
            <w:vAlign w:val="center"/>
          </w:tcPr>
          <w:p>
            <w:pPr>
              <w:jc w:val="center"/>
              <w:rPr>
                <w:noProof/>
                <w:sz w:val="20"/>
              </w:rPr>
            </w:pPr>
            <w:r>
              <w:rPr>
                <w:noProof/>
                <w:sz w:val="20"/>
              </w:rPr>
              <w:t>Leto n + 2</w:t>
            </w:r>
          </w:p>
        </w:tc>
        <w:tc>
          <w:tcPr>
            <w:tcW w:w="1009" w:type="dxa"/>
            <w:vAlign w:val="center"/>
          </w:tcPr>
          <w:p>
            <w:pPr>
              <w:jc w:val="center"/>
              <w:rPr>
                <w:noProof/>
                <w:sz w:val="20"/>
              </w:rPr>
            </w:pPr>
            <w:r>
              <w:rPr>
                <w:noProof/>
                <w:sz w:val="20"/>
              </w:rPr>
              <w:t>Leto n + 3</w:t>
            </w:r>
          </w:p>
        </w:tc>
        <w:tc>
          <w:tcPr>
            <w:tcW w:w="1008" w:type="dxa"/>
            <w:vAlign w:val="center"/>
          </w:tcPr>
          <w:p>
            <w:pPr>
              <w:jc w:val="center"/>
              <w:rPr>
                <w:noProof/>
                <w:sz w:val="20"/>
              </w:rPr>
            </w:pPr>
            <w:r>
              <w:rPr>
                <w:noProof/>
                <w:sz w:val="20"/>
              </w:rPr>
              <w:t>Leto n + 4</w:t>
            </w:r>
          </w:p>
        </w:tc>
        <w:tc>
          <w:tcPr>
            <w:tcW w:w="1009" w:type="dxa"/>
          </w:tcPr>
          <w:p>
            <w:pPr>
              <w:jc w:val="center"/>
              <w:rPr>
                <w:noProof/>
                <w:sz w:val="20"/>
              </w:rPr>
            </w:pPr>
            <w:r>
              <w:rPr>
                <w:noProof/>
                <w:sz w:val="20"/>
              </w:rPr>
              <w:t xml:space="preserve">Leto n + 5 </w:t>
            </w:r>
          </w:p>
          <w:p>
            <w:pPr>
              <w:jc w:val="center"/>
              <w:rPr>
                <w:noProof/>
                <w:sz w:val="20"/>
              </w:rPr>
            </w:pPr>
            <w:r>
              <w:rPr>
                <w:noProof/>
                <w:sz w:val="20"/>
              </w:rPr>
              <w:t>in pozneje</w:t>
            </w:r>
          </w:p>
        </w:tc>
      </w:tr>
      <w:tr>
        <w:trPr>
          <w:cantSplit/>
          <w:trHeight w:val="684"/>
        </w:trPr>
        <w:tc>
          <w:tcPr>
            <w:tcW w:w="0" w:type="auto"/>
            <w:vAlign w:val="center"/>
          </w:tcPr>
          <w:p>
            <w:pPr>
              <w:rPr>
                <w:noProof/>
                <w:sz w:val="20"/>
              </w:rPr>
            </w:pPr>
            <w:r>
              <w:rPr>
                <w:noProof/>
                <w:sz w:val="20"/>
              </w:rPr>
              <w:t>Uradniki in začasno osebje (XX 01 01)</w:t>
            </w:r>
          </w:p>
        </w:tc>
        <w:tc>
          <w:tcPr>
            <w:tcW w:w="0" w:type="auto"/>
          </w:tcPr>
          <w:p>
            <w:pPr>
              <w:jc w:val="right"/>
              <w:rPr>
                <w:noProof/>
                <w:sz w:val="20"/>
                <w:szCs w:val="20"/>
              </w:rPr>
            </w:pPr>
            <w:r>
              <w:rPr>
                <w:noProof/>
                <w:sz w:val="20"/>
              </w:rPr>
              <w:t>n. r.</w:t>
            </w:r>
          </w:p>
        </w:tc>
        <w:tc>
          <w:tcPr>
            <w:tcW w:w="0" w:type="auto"/>
          </w:tcPr>
          <w:p>
            <w:pPr>
              <w:jc w:val="right"/>
              <w:rPr>
                <w:noProof/>
                <w:sz w:val="20"/>
                <w:szCs w:val="20"/>
              </w:rPr>
            </w:pPr>
            <w:r>
              <w:rPr>
                <w:noProof/>
                <w:sz w:val="20"/>
              </w:rPr>
              <w:t>n. r.</w:t>
            </w:r>
          </w:p>
        </w:tc>
        <w:tc>
          <w:tcPr>
            <w:tcW w:w="0" w:type="auto"/>
          </w:tcPr>
          <w:p>
            <w:pPr>
              <w:jc w:val="right"/>
              <w:rPr>
                <w:noProof/>
                <w:sz w:val="20"/>
                <w:szCs w:val="20"/>
              </w:rPr>
            </w:pPr>
            <w:r>
              <w:rPr>
                <w:noProof/>
                <w:sz w:val="20"/>
              </w:rPr>
              <w:t>n. r.</w:t>
            </w:r>
          </w:p>
        </w:tc>
        <w:tc>
          <w:tcPr>
            <w:tcW w:w="0" w:type="auto"/>
          </w:tcPr>
          <w:p>
            <w:pPr>
              <w:jc w:val="right"/>
              <w:rPr>
                <w:noProof/>
                <w:sz w:val="20"/>
                <w:szCs w:val="20"/>
              </w:rPr>
            </w:pPr>
            <w:r>
              <w:rPr>
                <w:noProof/>
                <w:sz w:val="20"/>
              </w:rPr>
              <w:t>n. r.</w:t>
            </w:r>
          </w:p>
        </w:tc>
        <w:tc>
          <w:tcPr>
            <w:tcW w:w="0" w:type="auto"/>
          </w:tcPr>
          <w:p>
            <w:pPr>
              <w:jc w:val="right"/>
              <w:rPr>
                <w:noProof/>
                <w:sz w:val="20"/>
                <w:szCs w:val="20"/>
              </w:rPr>
            </w:pPr>
            <w:r>
              <w:rPr>
                <w:noProof/>
                <w:sz w:val="20"/>
              </w:rPr>
              <w:t>n. r.</w:t>
            </w:r>
          </w:p>
        </w:tc>
        <w:tc>
          <w:tcPr>
            <w:tcW w:w="0" w:type="auto"/>
          </w:tcPr>
          <w:p>
            <w:pPr>
              <w:jc w:val="right"/>
              <w:rPr>
                <w:noProof/>
                <w:sz w:val="20"/>
                <w:szCs w:val="20"/>
              </w:rPr>
            </w:pPr>
            <w:r>
              <w:rPr>
                <w:noProof/>
                <w:sz w:val="20"/>
              </w:rPr>
              <w:t>n. r.</w:t>
            </w:r>
          </w:p>
        </w:tc>
      </w:tr>
      <w:tr>
        <w:trPr>
          <w:cantSplit/>
          <w:trHeight w:val="684"/>
        </w:trPr>
        <w:tc>
          <w:tcPr>
            <w:tcW w:w="0" w:type="auto"/>
            <w:vAlign w:val="center"/>
          </w:tcPr>
          <w:p>
            <w:pPr>
              <w:rPr>
                <w:noProof/>
                <w:sz w:val="20"/>
              </w:rPr>
            </w:pPr>
            <w:r>
              <w:rPr>
                <w:noProof/>
                <w:sz w:val="20"/>
              </w:rPr>
              <w:t>Osebje, financirano iz člena XX 01 02 (pomožno osebje, napoteni nacionalni izvedenci, pogodbeno osebje itd.)</w:t>
            </w:r>
          </w:p>
          <w:p>
            <w:pPr>
              <w:jc w:val="right"/>
              <w:rPr>
                <w:noProof/>
                <w:sz w:val="20"/>
              </w:rPr>
            </w:pPr>
            <w:r>
              <w:rPr>
                <w:noProof/>
                <w:sz w:val="20"/>
              </w:rPr>
              <w:t>(navesti proračunsko vrstico)</w:t>
            </w:r>
          </w:p>
        </w:tc>
        <w:tc>
          <w:tcPr>
            <w:tcW w:w="1008" w:type="dxa"/>
          </w:tcPr>
          <w:p>
            <w:pPr>
              <w:jc w:val="right"/>
              <w:rPr>
                <w:noProof/>
                <w:sz w:val="20"/>
                <w:szCs w:val="20"/>
              </w:rPr>
            </w:pPr>
            <w:r>
              <w:rPr>
                <w:noProof/>
                <w:sz w:val="20"/>
              </w:rPr>
              <w:t>n. r.</w:t>
            </w:r>
          </w:p>
        </w:tc>
        <w:tc>
          <w:tcPr>
            <w:tcW w:w="1009" w:type="dxa"/>
          </w:tcPr>
          <w:p>
            <w:pPr>
              <w:jc w:val="right"/>
              <w:rPr>
                <w:noProof/>
                <w:sz w:val="20"/>
                <w:szCs w:val="20"/>
              </w:rPr>
            </w:pPr>
            <w:r>
              <w:rPr>
                <w:noProof/>
                <w:sz w:val="20"/>
              </w:rPr>
              <w:t>n. r.</w:t>
            </w:r>
          </w:p>
        </w:tc>
        <w:tc>
          <w:tcPr>
            <w:tcW w:w="1008" w:type="dxa"/>
          </w:tcPr>
          <w:p>
            <w:pPr>
              <w:jc w:val="right"/>
              <w:rPr>
                <w:noProof/>
                <w:sz w:val="20"/>
                <w:szCs w:val="20"/>
              </w:rPr>
            </w:pPr>
            <w:r>
              <w:rPr>
                <w:noProof/>
                <w:sz w:val="20"/>
              </w:rPr>
              <w:t>n. r.</w:t>
            </w:r>
          </w:p>
        </w:tc>
        <w:tc>
          <w:tcPr>
            <w:tcW w:w="1009" w:type="dxa"/>
          </w:tcPr>
          <w:p>
            <w:pPr>
              <w:jc w:val="right"/>
              <w:rPr>
                <w:noProof/>
                <w:sz w:val="20"/>
                <w:szCs w:val="20"/>
              </w:rPr>
            </w:pPr>
            <w:r>
              <w:rPr>
                <w:noProof/>
                <w:sz w:val="20"/>
              </w:rPr>
              <w:t>n. r.</w:t>
            </w:r>
          </w:p>
        </w:tc>
        <w:tc>
          <w:tcPr>
            <w:tcW w:w="1008" w:type="dxa"/>
          </w:tcPr>
          <w:p>
            <w:pPr>
              <w:jc w:val="right"/>
              <w:rPr>
                <w:noProof/>
                <w:sz w:val="20"/>
                <w:szCs w:val="20"/>
              </w:rPr>
            </w:pPr>
            <w:r>
              <w:rPr>
                <w:noProof/>
                <w:sz w:val="20"/>
              </w:rPr>
              <w:t>n. r.</w:t>
            </w:r>
          </w:p>
        </w:tc>
        <w:tc>
          <w:tcPr>
            <w:tcW w:w="1009" w:type="dxa"/>
          </w:tcPr>
          <w:p>
            <w:pPr>
              <w:jc w:val="right"/>
              <w:rPr>
                <w:noProof/>
                <w:sz w:val="20"/>
                <w:szCs w:val="20"/>
              </w:rPr>
            </w:pPr>
            <w:r>
              <w:rPr>
                <w:noProof/>
                <w:sz w:val="20"/>
              </w:rPr>
              <w:t>n. r.</w:t>
            </w:r>
          </w:p>
        </w:tc>
      </w:tr>
      <w:tr>
        <w:trPr>
          <w:cantSplit/>
          <w:trHeight w:val="303"/>
        </w:trPr>
        <w:tc>
          <w:tcPr>
            <w:tcW w:w="0" w:type="auto"/>
            <w:vAlign w:val="center"/>
          </w:tcPr>
          <w:p>
            <w:pPr>
              <w:jc w:val="left"/>
              <w:rPr>
                <w:b/>
                <w:noProof/>
                <w:sz w:val="20"/>
              </w:rPr>
            </w:pPr>
            <w:r>
              <w:rPr>
                <w:b/>
                <w:noProof/>
                <w:sz w:val="20"/>
              </w:rPr>
              <w:t>Stroški za človeške vire in z njimi povezani stroški (ki jih referenčni znesek NE krije) skupaj</w:t>
            </w:r>
          </w:p>
        </w:tc>
        <w:tc>
          <w:tcPr>
            <w:tcW w:w="1008" w:type="dxa"/>
          </w:tcPr>
          <w:p>
            <w:pPr>
              <w:jc w:val="right"/>
              <w:rPr>
                <w:b/>
                <w:noProof/>
                <w:sz w:val="20"/>
                <w:szCs w:val="20"/>
              </w:rPr>
            </w:pPr>
            <w:r>
              <w:rPr>
                <w:noProof/>
                <w:sz w:val="20"/>
              </w:rPr>
              <w:t>n. r.</w:t>
            </w:r>
          </w:p>
        </w:tc>
        <w:tc>
          <w:tcPr>
            <w:tcW w:w="1009" w:type="dxa"/>
          </w:tcPr>
          <w:p>
            <w:pPr>
              <w:jc w:val="right"/>
              <w:rPr>
                <w:b/>
                <w:noProof/>
                <w:sz w:val="20"/>
                <w:szCs w:val="20"/>
              </w:rPr>
            </w:pPr>
            <w:r>
              <w:rPr>
                <w:noProof/>
                <w:sz w:val="20"/>
              </w:rPr>
              <w:t>n. r.</w:t>
            </w:r>
          </w:p>
        </w:tc>
        <w:tc>
          <w:tcPr>
            <w:tcW w:w="1008" w:type="dxa"/>
          </w:tcPr>
          <w:p>
            <w:pPr>
              <w:jc w:val="right"/>
              <w:rPr>
                <w:b/>
                <w:noProof/>
                <w:sz w:val="20"/>
                <w:szCs w:val="20"/>
              </w:rPr>
            </w:pPr>
            <w:r>
              <w:rPr>
                <w:noProof/>
                <w:sz w:val="20"/>
              </w:rPr>
              <w:t>n. r.</w:t>
            </w:r>
          </w:p>
        </w:tc>
        <w:tc>
          <w:tcPr>
            <w:tcW w:w="1009" w:type="dxa"/>
          </w:tcPr>
          <w:p>
            <w:pPr>
              <w:jc w:val="right"/>
              <w:rPr>
                <w:b/>
                <w:noProof/>
                <w:sz w:val="20"/>
                <w:szCs w:val="20"/>
              </w:rPr>
            </w:pPr>
            <w:r>
              <w:rPr>
                <w:noProof/>
                <w:sz w:val="20"/>
              </w:rPr>
              <w:t>n. r.</w:t>
            </w:r>
          </w:p>
        </w:tc>
        <w:tc>
          <w:tcPr>
            <w:tcW w:w="1008" w:type="dxa"/>
          </w:tcPr>
          <w:p>
            <w:pPr>
              <w:jc w:val="right"/>
              <w:rPr>
                <w:b/>
                <w:noProof/>
                <w:sz w:val="20"/>
                <w:szCs w:val="20"/>
              </w:rPr>
            </w:pPr>
            <w:r>
              <w:rPr>
                <w:noProof/>
                <w:sz w:val="20"/>
              </w:rPr>
              <w:t>n. r.</w:t>
            </w:r>
          </w:p>
        </w:tc>
        <w:tc>
          <w:tcPr>
            <w:tcW w:w="1009" w:type="dxa"/>
          </w:tcPr>
          <w:p>
            <w:pPr>
              <w:jc w:val="right"/>
              <w:rPr>
                <w:b/>
                <w:noProof/>
                <w:sz w:val="20"/>
                <w:szCs w:val="20"/>
              </w:rPr>
            </w:pPr>
            <w:r>
              <w:rPr>
                <w:noProof/>
                <w:sz w:val="20"/>
              </w:rPr>
              <w:t>n. r.</w:t>
            </w:r>
          </w:p>
        </w:tc>
      </w:tr>
    </w:tbl>
    <w:p>
      <w:pPr>
        <w:rPr>
          <w:noProof/>
        </w:rPr>
        <w:sectPr>
          <w:pgSz w:w="12240" w:h="15840"/>
          <w:pgMar w:top="1440" w:right="1800" w:bottom="1440" w:left="1800" w:header="708" w:footer="708" w:gutter="0"/>
          <w:cols w:space="708"/>
          <w:docGrid w:linePitch="360"/>
        </w:sectPr>
      </w:pPr>
    </w:p>
    <w:p>
      <w:pPr>
        <w:pBdr>
          <w:top w:val="single" w:sz="4" w:space="1" w:color="auto"/>
          <w:left w:val="single" w:sz="4" w:space="4" w:color="auto"/>
          <w:bottom w:val="single" w:sz="4" w:space="1" w:color="auto"/>
          <w:right w:val="single" w:sz="4" w:space="4" w:color="auto"/>
        </w:pBdr>
        <w:rPr>
          <w:noProof/>
        </w:rPr>
      </w:pPr>
      <w:r>
        <w:rPr>
          <w:noProof/>
        </w:rPr>
        <w:t xml:space="preserve">Izračun – </w:t>
      </w:r>
      <w:r>
        <w:rPr>
          <w:b/>
          <w:i/>
          <w:noProof/>
        </w:rPr>
        <w:t>Uradniki in začasno osebje</w:t>
      </w:r>
    </w:p>
    <w:p>
      <w:pPr>
        <w:pBdr>
          <w:top w:val="single" w:sz="4" w:space="1" w:color="auto"/>
          <w:left w:val="single" w:sz="4" w:space="4" w:color="auto"/>
          <w:bottom w:val="single" w:sz="4" w:space="1" w:color="auto"/>
          <w:right w:val="single" w:sz="4" w:space="4" w:color="auto"/>
        </w:pBdr>
        <w:rPr>
          <w:i/>
          <w:noProof/>
        </w:rPr>
      </w:pPr>
      <w:r>
        <w:rPr>
          <w:i/>
          <w:noProof/>
        </w:rPr>
        <w:t>Po potrebi s sklicem na točko 8.2.1.</w:t>
      </w:r>
    </w:p>
    <w:p>
      <w:pPr>
        <w:pBdr>
          <w:top w:val="single" w:sz="4" w:space="1" w:color="auto"/>
          <w:left w:val="single" w:sz="4" w:space="4" w:color="auto"/>
          <w:bottom w:val="single" w:sz="4" w:space="1" w:color="auto"/>
          <w:right w:val="single" w:sz="4" w:space="4" w:color="auto"/>
        </w:pBdr>
        <w:rPr>
          <w:i/>
          <w:noProof/>
        </w:rPr>
      </w:pPr>
      <w:r>
        <w:rPr>
          <w:noProof/>
        </w:rPr>
        <w:t>n. r.</w:t>
      </w:r>
    </w:p>
    <w:p>
      <w:pPr>
        <w:pBdr>
          <w:top w:val="single" w:sz="4" w:space="1" w:color="auto"/>
          <w:left w:val="single" w:sz="4" w:space="4" w:color="auto"/>
          <w:bottom w:val="single" w:sz="4" w:space="1" w:color="auto"/>
          <w:right w:val="single" w:sz="4" w:space="4" w:color="auto"/>
        </w:pBdr>
        <w:rPr>
          <w:noProof/>
        </w:rPr>
      </w:pPr>
      <w:r>
        <w:rPr>
          <w:noProof/>
        </w:rPr>
        <w:t xml:space="preserve">Izračun – </w:t>
      </w:r>
      <w:r>
        <w:rPr>
          <w:b/>
          <w:i/>
          <w:noProof/>
        </w:rPr>
        <w:t>Osebje, financirano iz člena XX 01 02</w:t>
      </w:r>
    </w:p>
    <w:p>
      <w:pPr>
        <w:pBdr>
          <w:top w:val="single" w:sz="4" w:space="1" w:color="auto"/>
          <w:left w:val="single" w:sz="4" w:space="4" w:color="auto"/>
          <w:bottom w:val="single" w:sz="4" w:space="1" w:color="auto"/>
          <w:right w:val="single" w:sz="4" w:space="4" w:color="auto"/>
        </w:pBdr>
        <w:rPr>
          <w:i/>
          <w:noProof/>
        </w:rPr>
      </w:pPr>
      <w:r>
        <w:rPr>
          <w:i/>
          <w:noProof/>
        </w:rPr>
        <w:t>Po potrebi s sklicem na točko 8.2.1.</w:t>
      </w:r>
    </w:p>
    <w:p>
      <w:pPr>
        <w:pBdr>
          <w:top w:val="single" w:sz="4" w:space="1" w:color="auto"/>
          <w:left w:val="single" w:sz="4" w:space="4" w:color="auto"/>
          <w:bottom w:val="single" w:sz="4" w:space="1" w:color="auto"/>
          <w:right w:val="single" w:sz="4" w:space="4" w:color="auto"/>
        </w:pBdr>
        <w:rPr>
          <w:noProof/>
        </w:rPr>
      </w:pPr>
      <w:r>
        <w:rPr>
          <w:noProof/>
        </w:rPr>
        <w:t>n. r.</w:t>
      </w:r>
    </w:p>
    <w:p>
      <w:pPr>
        <w:pStyle w:val="ManualHeading3"/>
        <w:rPr>
          <w:noProof/>
        </w:rPr>
      </w:pPr>
      <w:r>
        <w:rPr>
          <w:noProof/>
        </w:rPr>
        <w:t>8.2.6</w:t>
      </w:r>
      <w:r>
        <w:rPr>
          <w:noProof/>
        </w:rPr>
        <w:tab/>
        <w:t>Drugi upravni odhodki, ki jih referenčni znesek ne krije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703"/>
        <w:gridCol w:w="703"/>
        <w:gridCol w:w="703"/>
        <w:gridCol w:w="703"/>
        <w:gridCol w:w="703"/>
        <w:gridCol w:w="703"/>
        <w:gridCol w:w="907"/>
      </w:tblGrid>
      <w:tr>
        <w:trPr>
          <w:trHeight w:val="420"/>
        </w:trPr>
        <w:tc>
          <w:tcPr>
            <w:tcW w:w="8811" w:type="dxa"/>
            <w:gridSpan w:val="8"/>
            <w:tcBorders>
              <w:top w:val="nil"/>
              <w:left w:val="nil"/>
              <w:right w:val="nil"/>
            </w:tcBorders>
            <w:vAlign w:val="center"/>
          </w:tcPr>
          <w:p>
            <w:pPr>
              <w:jc w:val="right"/>
              <w:rPr>
                <w:i/>
                <w:noProof/>
                <w:sz w:val="20"/>
                <w:szCs w:val="20"/>
              </w:rPr>
            </w:pPr>
            <w:r>
              <w:rPr>
                <w:i/>
                <w:noProof/>
                <w:sz w:val="20"/>
              </w:rPr>
              <w:t>v mio. EUR (na tri decimalna mesta natančno)</w:t>
            </w:r>
          </w:p>
        </w:tc>
      </w:tr>
      <w:tr>
        <w:trPr>
          <w:trHeight w:val="420"/>
        </w:trPr>
        <w:tc>
          <w:tcPr>
            <w:tcW w:w="3686" w:type="dxa"/>
            <w:vAlign w:val="center"/>
          </w:tcPr>
          <w:p>
            <w:pPr>
              <w:ind w:left="360" w:hanging="360"/>
              <w:rPr>
                <w:b/>
                <w:noProof/>
                <w:sz w:val="20"/>
              </w:rPr>
            </w:pPr>
          </w:p>
        </w:tc>
        <w:tc>
          <w:tcPr>
            <w:tcW w:w="703" w:type="dxa"/>
            <w:vAlign w:val="center"/>
          </w:tcPr>
          <w:p>
            <w:pPr>
              <w:jc w:val="center"/>
              <w:rPr>
                <w:noProof/>
                <w:sz w:val="20"/>
              </w:rPr>
            </w:pPr>
          </w:p>
          <w:p>
            <w:pPr>
              <w:jc w:val="center"/>
              <w:rPr>
                <w:noProof/>
                <w:sz w:val="20"/>
              </w:rPr>
            </w:pPr>
            <w:r>
              <w:rPr>
                <w:noProof/>
                <w:sz w:val="20"/>
              </w:rPr>
              <w:t>Leto n</w:t>
            </w:r>
          </w:p>
        </w:tc>
        <w:tc>
          <w:tcPr>
            <w:tcW w:w="703" w:type="dxa"/>
            <w:vAlign w:val="center"/>
          </w:tcPr>
          <w:p>
            <w:pPr>
              <w:jc w:val="center"/>
              <w:rPr>
                <w:noProof/>
                <w:sz w:val="20"/>
              </w:rPr>
            </w:pPr>
            <w:r>
              <w:rPr>
                <w:noProof/>
                <w:sz w:val="20"/>
              </w:rPr>
              <w:t>Leto n + 1</w:t>
            </w:r>
          </w:p>
        </w:tc>
        <w:tc>
          <w:tcPr>
            <w:tcW w:w="703" w:type="dxa"/>
            <w:vAlign w:val="center"/>
          </w:tcPr>
          <w:p>
            <w:pPr>
              <w:jc w:val="center"/>
              <w:rPr>
                <w:noProof/>
                <w:sz w:val="20"/>
              </w:rPr>
            </w:pPr>
            <w:r>
              <w:rPr>
                <w:noProof/>
                <w:sz w:val="20"/>
              </w:rPr>
              <w:t>Leto n + 2</w:t>
            </w:r>
          </w:p>
        </w:tc>
        <w:tc>
          <w:tcPr>
            <w:tcW w:w="703" w:type="dxa"/>
            <w:vAlign w:val="center"/>
          </w:tcPr>
          <w:p>
            <w:pPr>
              <w:jc w:val="center"/>
              <w:rPr>
                <w:noProof/>
                <w:sz w:val="20"/>
              </w:rPr>
            </w:pPr>
            <w:r>
              <w:rPr>
                <w:noProof/>
                <w:sz w:val="20"/>
              </w:rPr>
              <w:t>Leto n + 3</w:t>
            </w:r>
          </w:p>
        </w:tc>
        <w:tc>
          <w:tcPr>
            <w:tcW w:w="703" w:type="dxa"/>
            <w:vAlign w:val="center"/>
          </w:tcPr>
          <w:p>
            <w:pPr>
              <w:jc w:val="center"/>
              <w:rPr>
                <w:noProof/>
                <w:sz w:val="20"/>
              </w:rPr>
            </w:pPr>
            <w:r>
              <w:rPr>
                <w:noProof/>
                <w:sz w:val="20"/>
              </w:rPr>
              <w:t>Leto n + 4</w:t>
            </w:r>
          </w:p>
        </w:tc>
        <w:tc>
          <w:tcPr>
            <w:tcW w:w="703" w:type="dxa"/>
          </w:tcPr>
          <w:p>
            <w:pPr>
              <w:jc w:val="center"/>
              <w:rPr>
                <w:noProof/>
                <w:sz w:val="20"/>
              </w:rPr>
            </w:pPr>
            <w:r>
              <w:rPr>
                <w:noProof/>
                <w:sz w:val="20"/>
              </w:rPr>
              <w:t>Leto n + 5</w:t>
            </w:r>
          </w:p>
          <w:p>
            <w:pPr>
              <w:jc w:val="center"/>
              <w:rPr>
                <w:noProof/>
                <w:sz w:val="20"/>
              </w:rPr>
            </w:pPr>
            <w:r>
              <w:rPr>
                <w:noProof/>
                <w:sz w:val="20"/>
              </w:rPr>
              <w:t>in pozneje</w:t>
            </w:r>
          </w:p>
        </w:tc>
        <w:tc>
          <w:tcPr>
            <w:tcW w:w="907" w:type="dxa"/>
            <w:vAlign w:val="center"/>
          </w:tcPr>
          <w:p>
            <w:pPr>
              <w:jc w:val="center"/>
              <w:rPr>
                <w:noProof/>
                <w:sz w:val="20"/>
              </w:rPr>
            </w:pPr>
            <w:r>
              <w:rPr>
                <w:noProof/>
                <w:sz w:val="20"/>
              </w:rPr>
              <w:t>SKUPAJ</w:t>
            </w:r>
          </w:p>
        </w:tc>
      </w:tr>
      <w:tr>
        <w:trPr>
          <w:trHeight w:val="455"/>
        </w:trPr>
        <w:tc>
          <w:tcPr>
            <w:tcW w:w="3686" w:type="dxa"/>
            <w:vAlign w:val="center"/>
          </w:tcPr>
          <w:p>
            <w:pPr>
              <w:rPr>
                <w:noProof/>
                <w:sz w:val="18"/>
                <w:szCs w:val="18"/>
              </w:rPr>
            </w:pPr>
            <w:r>
              <w:rPr>
                <w:noProof/>
                <w:sz w:val="18"/>
              </w:rPr>
              <w:t>XX 01 02 11 01 – Misije</w:t>
            </w:r>
          </w:p>
        </w:tc>
        <w:tc>
          <w:tcPr>
            <w:tcW w:w="703" w:type="dxa"/>
            <w:vAlign w:val="center"/>
          </w:tcPr>
          <w:p>
            <w:pPr>
              <w:jc w:val="right"/>
              <w:rPr>
                <w:noProof/>
                <w:sz w:val="20"/>
                <w:szCs w:val="20"/>
              </w:rPr>
            </w:pPr>
            <w:r>
              <w:rPr>
                <w:noProof/>
                <w:sz w:val="20"/>
              </w:rPr>
              <w:t>n. r.</w:t>
            </w:r>
          </w:p>
        </w:tc>
        <w:tc>
          <w:tcPr>
            <w:tcW w:w="703" w:type="dxa"/>
            <w:vAlign w:val="center"/>
          </w:tcPr>
          <w:p>
            <w:pPr>
              <w:jc w:val="right"/>
              <w:rPr>
                <w:noProof/>
                <w:sz w:val="20"/>
                <w:szCs w:val="20"/>
              </w:rPr>
            </w:pPr>
            <w:r>
              <w:rPr>
                <w:noProof/>
                <w:sz w:val="20"/>
              </w:rPr>
              <w:t>n. r.</w:t>
            </w:r>
          </w:p>
        </w:tc>
        <w:tc>
          <w:tcPr>
            <w:tcW w:w="703" w:type="dxa"/>
            <w:vAlign w:val="center"/>
          </w:tcPr>
          <w:p>
            <w:pPr>
              <w:jc w:val="right"/>
              <w:rPr>
                <w:noProof/>
                <w:sz w:val="20"/>
                <w:szCs w:val="20"/>
              </w:rPr>
            </w:pPr>
            <w:r>
              <w:rPr>
                <w:noProof/>
                <w:sz w:val="20"/>
              </w:rPr>
              <w:t>n. r.</w:t>
            </w:r>
          </w:p>
        </w:tc>
        <w:tc>
          <w:tcPr>
            <w:tcW w:w="703" w:type="dxa"/>
            <w:vAlign w:val="center"/>
          </w:tcPr>
          <w:p>
            <w:pPr>
              <w:jc w:val="right"/>
              <w:rPr>
                <w:noProof/>
                <w:sz w:val="20"/>
                <w:szCs w:val="20"/>
              </w:rPr>
            </w:pPr>
            <w:r>
              <w:rPr>
                <w:noProof/>
                <w:sz w:val="20"/>
              </w:rPr>
              <w:t>n. r.</w:t>
            </w:r>
          </w:p>
        </w:tc>
        <w:tc>
          <w:tcPr>
            <w:tcW w:w="703" w:type="dxa"/>
            <w:vAlign w:val="center"/>
          </w:tcPr>
          <w:p>
            <w:pPr>
              <w:jc w:val="right"/>
              <w:rPr>
                <w:noProof/>
                <w:sz w:val="20"/>
                <w:szCs w:val="20"/>
              </w:rPr>
            </w:pPr>
            <w:r>
              <w:rPr>
                <w:noProof/>
                <w:sz w:val="20"/>
              </w:rPr>
              <w:t>n. r.</w:t>
            </w:r>
          </w:p>
        </w:tc>
        <w:tc>
          <w:tcPr>
            <w:tcW w:w="703" w:type="dxa"/>
            <w:vAlign w:val="center"/>
          </w:tcPr>
          <w:p>
            <w:pPr>
              <w:jc w:val="right"/>
              <w:rPr>
                <w:noProof/>
                <w:sz w:val="20"/>
                <w:szCs w:val="20"/>
              </w:rPr>
            </w:pPr>
            <w:r>
              <w:rPr>
                <w:noProof/>
                <w:sz w:val="20"/>
              </w:rPr>
              <w:t>n. r.</w:t>
            </w:r>
          </w:p>
        </w:tc>
        <w:tc>
          <w:tcPr>
            <w:tcW w:w="907" w:type="dxa"/>
            <w:vAlign w:val="center"/>
          </w:tcPr>
          <w:p>
            <w:pPr>
              <w:jc w:val="right"/>
              <w:rPr>
                <w:noProof/>
                <w:sz w:val="20"/>
                <w:szCs w:val="20"/>
              </w:rPr>
            </w:pPr>
            <w:r>
              <w:rPr>
                <w:noProof/>
                <w:sz w:val="20"/>
              </w:rPr>
              <w:t>n. r.</w:t>
            </w:r>
          </w:p>
        </w:tc>
      </w:tr>
      <w:tr>
        <w:trPr>
          <w:trHeight w:val="454"/>
        </w:trPr>
        <w:tc>
          <w:tcPr>
            <w:tcW w:w="3686" w:type="dxa"/>
            <w:vAlign w:val="center"/>
          </w:tcPr>
          <w:p>
            <w:pPr>
              <w:rPr>
                <w:noProof/>
                <w:sz w:val="18"/>
                <w:szCs w:val="18"/>
              </w:rPr>
            </w:pPr>
            <w:r>
              <w:rPr>
                <w:noProof/>
                <w:sz w:val="18"/>
              </w:rPr>
              <w:t>XX 01 02 11 02 – Sestanki in konference</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907" w:type="dxa"/>
          </w:tcPr>
          <w:p>
            <w:pPr>
              <w:jc w:val="right"/>
              <w:rPr>
                <w:noProof/>
                <w:sz w:val="20"/>
                <w:szCs w:val="20"/>
              </w:rPr>
            </w:pPr>
            <w:r>
              <w:rPr>
                <w:noProof/>
                <w:sz w:val="20"/>
              </w:rPr>
              <w:t>n. r.</w:t>
            </w:r>
          </w:p>
        </w:tc>
      </w:tr>
      <w:tr>
        <w:trPr>
          <w:trHeight w:val="454"/>
        </w:trPr>
        <w:tc>
          <w:tcPr>
            <w:tcW w:w="3686" w:type="dxa"/>
            <w:vAlign w:val="center"/>
          </w:tcPr>
          <w:p>
            <w:pPr>
              <w:rPr>
                <w:noProof/>
                <w:sz w:val="18"/>
                <w:szCs w:val="18"/>
              </w:rPr>
            </w:pPr>
            <w:r>
              <w:rPr>
                <w:noProof/>
                <w:sz w:val="18"/>
              </w:rPr>
              <w:t xml:space="preserve">XX 01 02 11 03 – Odbori </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907" w:type="dxa"/>
          </w:tcPr>
          <w:p>
            <w:pPr>
              <w:jc w:val="right"/>
              <w:rPr>
                <w:noProof/>
                <w:sz w:val="20"/>
                <w:szCs w:val="20"/>
              </w:rPr>
            </w:pPr>
            <w:r>
              <w:rPr>
                <w:noProof/>
                <w:sz w:val="20"/>
              </w:rPr>
              <w:t>n. r.</w:t>
            </w:r>
          </w:p>
        </w:tc>
      </w:tr>
      <w:tr>
        <w:trPr>
          <w:trHeight w:val="454"/>
        </w:trPr>
        <w:tc>
          <w:tcPr>
            <w:tcW w:w="3686" w:type="dxa"/>
            <w:vAlign w:val="center"/>
          </w:tcPr>
          <w:p>
            <w:pPr>
              <w:rPr>
                <w:noProof/>
                <w:sz w:val="18"/>
                <w:szCs w:val="18"/>
              </w:rPr>
            </w:pPr>
            <w:r>
              <w:rPr>
                <w:noProof/>
                <w:sz w:val="18"/>
              </w:rPr>
              <w:t>XX 01 02 11 04 – Študije in konzultacije</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907" w:type="dxa"/>
          </w:tcPr>
          <w:p>
            <w:pPr>
              <w:jc w:val="right"/>
              <w:rPr>
                <w:noProof/>
                <w:sz w:val="20"/>
                <w:szCs w:val="20"/>
              </w:rPr>
            </w:pPr>
            <w:r>
              <w:rPr>
                <w:noProof/>
                <w:sz w:val="20"/>
              </w:rPr>
              <w:t>n. r.</w:t>
            </w:r>
          </w:p>
        </w:tc>
      </w:tr>
      <w:tr>
        <w:trPr>
          <w:trHeight w:val="435"/>
        </w:trPr>
        <w:tc>
          <w:tcPr>
            <w:tcW w:w="3686" w:type="dxa"/>
            <w:vAlign w:val="center"/>
          </w:tcPr>
          <w:p>
            <w:pPr>
              <w:rPr>
                <w:noProof/>
                <w:sz w:val="18"/>
                <w:szCs w:val="18"/>
              </w:rPr>
            </w:pPr>
            <w:r>
              <w:rPr>
                <w:noProof/>
                <w:sz w:val="18"/>
              </w:rPr>
              <w:t>XX 01 02 11 05 – Informacijski sistemi</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907" w:type="dxa"/>
          </w:tcPr>
          <w:p>
            <w:pPr>
              <w:jc w:val="right"/>
              <w:rPr>
                <w:noProof/>
                <w:sz w:val="20"/>
                <w:szCs w:val="20"/>
              </w:rPr>
            </w:pPr>
            <w:r>
              <w:rPr>
                <w:noProof/>
                <w:sz w:val="20"/>
              </w:rPr>
              <w:t>n. r.</w:t>
            </w:r>
          </w:p>
        </w:tc>
      </w:tr>
      <w:tr>
        <w:trPr>
          <w:trHeight w:val="426"/>
        </w:trPr>
        <w:tc>
          <w:tcPr>
            <w:tcW w:w="3686" w:type="dxa"/>
            <w:vAlign w:val="center"/>
          </w:tcPr>
          <w:p>
            <w:pPr>
              <w:ind w:left="360" w:hanging="360"/>
              <w:jc w:val="left"/>
              <w:rPr>
                <w:b/>
                <w:noProof/>
                <w:sz w:val="20"/>
              </w:rPr>
            </w:pPr>
            <w:r>
              <w:rPr>
                <w:b/>
                <w:noProof/>
                <w:sz w:val="20"/>
              </w:rPr>
              <w:t xml:space="preserve"> 2</w:t>
            </w:r>
            <w:r>
              <w:rPr>
                <w:noProof/>
              </w:rPr>
              <w:tab/>
            </w:r>
            <w:r>
              <w:rPr>
                <w:b/>
                <w:noProof/>
                <w:sz w:val="20"/>
              </w:rPr>
              <w:t>Drugi odhodki za poslovodenje skupaj (XX 01 02 11)</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907" w:type="dxa"/>
          </w:tcPr>
          <w:p>
            <w:pPr>
              <w:jc w:val="right"/>
              <w:rPr>
                <w:noProof/>
                <w:sz w:val="20"/>
                <w:szCs w:val="20"/>
              </w:rPr>
            </w:pPr>
            <w:r>
              <w:rPr>
                <w:noProof/>
                <w:sz w:val="20"/>
              </w:rPr>
              <w:t>n. r.</w:t>
            </w:r>
          </w:p>
        </w:tc>
      </w:tr>
      <w:tr>
        <w:trPr>
          <w:trHeight w:val="426"/>
        </w:trPr>
        <w:tc>
          <w:tcPr>
            <w:tcW w:w="3686" w:type="dxa"/>
            <w:vAlign w:val="center"/>
          </w:tcPr>
          <w:p>
            <w:pPr>
              <w:ind w:left="360" w:hanging="360"/>
              <w:jc w:val="left"/>
              <w:rPr>
                <w:noProof/>
                <w:sz w:val="20"/>
              </w:rPr>
            </w:pPr>
            <w:r>
              <w:rPr>
                <w:b/>
                <w:noProof/>
                <w:sz w:val="20"/>
              </w:rPr>
              <w:t>3</w:t>
            </w:r>
            <w:r>
              <w:rPr>
                <w:noProof/>
              </w:rPr>
              <w:tab/>
            </w:r>
            <w:r>
              <w:rPr>
                <w:b/>
                <w:noProof/>
                <w:sz w:val="20"/>
              </w:rPr>
              <w:t xml:space="preserve">Drugi odhodki upravne narave </w:t>
            </w:r>
            <w:r>
              <w:rPr>
                <w:noProof/>
                <w:sz w:val="18"/>
              </w:rPr>
              <w:t>(opredeliti, vključno s sklicem na proračunsko vrstico)</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703" w:type="dxa"/>
          </w:tcPr>
          <w:p>
            <w:pPr>
              <w:jc w:val="right"/>
              <w:rPr>
                <w:noProof/>
                <w:sz w:val="20"/>
                <w:szCs w:val="20"/>
              </w:rPr>
            </w:pPr>
            <w:r>
              <w:rPr>
                <w:noProof/>
                <w:sz w:val="20"/>
              </w:rPr>
              <w:t>n. r.</w:t>
            </w:r>
          </w:p>
        </w:tc>
        <w:tc>
          <w:tcPr>
            <w:tcW w:w="907" w:type="dxa"/>
          </w:tcPr>
          <w:p>
            <w:pPr>
              <w:jc w:val="right"/>
              <w:rPr>
                <w:noProof/>
                <w:sz w:val="20"/>
                <w:szCs w:val="20"/>
              </w:rPr>
            </w:pPr>
            <w:r>
              <w:rPr>
                <w:noProof/>
                <w:sz w:val="20"/>
              </w:rPr>
              <w:t>n. r.</w:t>
            </w:r>
          </w:p>
        </w:tc>
      </w:tr>
      <w:tr>
        <w:trPr>
          <w:trHeight w:val="473"/>
        </w:trPr>
        <w:tc>
          <w:tcPr>
            <w:tcW w:w="3686" w:type="dxa"/>
            <w:vAlign w:val="center"/>
          </w:tcPr>
          <w:p>
            <w:pPr>
              <w:jc w:val="left"/>
              <w:rPr>
                <w:b/>
                <w:noProof/>
                <w:sz w:val="20"/>
              </w:rPr>
            </w:pPr>
            <w:r>
              <w:rPr>
                <w:b/>
                <w:noProof/>
                <w:sz w:val="20"/>
              </w:rPr>
              <w:t>Upravni odhodki, razen stroškov za človeške vire in z njimi povezanih stroškov (ki jih referenčni znesek NE krije), skupaj</w:t>
            </w:r>
          </w:p>
        </w:tc>
        <w:tc>
          <w:tcPr>
            <w:tcW w:w="703" w:type="dxa"/>
            <w:vAlign w:val="center"/>
          </w:tcPr>
          <w:p>
            <w:pPr>
              <w:jc w:val="right"/>
              <w:rPr>
                <w:noProof/>
                <w:sz w:val="20"/>
                <w:szCs w:val="20"/>
              </w:rPr>
            </w:pPr>
            <w:r>
              <w:rPr>
                <w:noProof/>
                <w:sz w:val="20"/>
              </w:rPr>
              <w:t>n. r.</w:t>
            </w:r>
          </w:p>
        </w:tc>
        <w:tc>
          <w:tcPr>
            <w:tcW w:w="703" w:type="dxa"/>
            <w:vAlign w:val="center"/>
          </w:tcPr>
          <w:p>
            <w:pPr>
              <w:jc w:val="right"/>
              <w:rPr>
                <w:noProof/>
                <w:sz w:val="20"/>
                <w:szCs w:val="20"/>
              </w:rPr>
            </w:pPr>
            <w:r>
              <w:rPr>
                <w:noProof/>
                <w:sz w:val="20"/>
              </w:rPr>
              <w:t>n. r.</w:t>
            </w:r>
          </w:p>
        </w:tc>
        <w:tc>
          <w:tcPr>
            <w:tcW w:w="703" w:type="dxa"/>
            <w:vAlign w:val="center"/>
          </w:tcPr>
          <w:p>
            <w:pPr>
              <w:jc w:val="right"/>
              <w:rPr>
                <w:noProof/>
                <w:sz w:val="20"/>
                <w:szCs w:val="20"/>
              </w:rPr>
            </w:pPr>
            <w:r>
              <w:rPr>
                <w:noProof/>
                <w:sz w:val="20"/>
              </w:rPr>
              <w:t>n. r.</w:t>
            </w:r>
          </w:p>
        </w:tc>
        <w:tc>
          <w:tcPr>
            <w:tcW w:w="703" w:type="dxa"/>
            <w:vAlign w:val="center"/>
          </w:tcPr>
          <w:p>
            <w:pPr>
              <w:jc w:val="right"/>
              <w:rPr>
                <w:noProof/>
                <w:sz w:val="20"/>
                <w:szCs w:val="20"/>
              </w:rPr>
            </w:pPr>
            <w:r>
              <w:rPr>
                <w:noProof/>
                <w:sz w:val="20"/>
              </w:rPr>
              <w:t>n. r.</w:t>
            </w:r>
          </w:p>
        </w:tc>
        <w:tc>
          <w:tcPr>
            <w:tcW w:w="703" w:type="dxa"/>
            <w:vAlign w:val="center"/>
          </w:tcPr>
          <w:p>
            <w:pPr>
              <w:jc w:val="right"/>
              <w:rPr>
                <w:noProof/>
                <w:sz w:val="20"/>
                <w:szCs w:val="20"/>
              </w:rPr>
            </w:pPr>
            <w:r>
              <w:rPr>
                <w:noProof/>
                <w:sz w:val="20"/>
              </w:rPr>
              <w:t>n. r.</w:t>
            </w:r>
          </w:p>
        </w:tc>
        <w:tc>
          <w:tcPr>
            <w:tcW w:w="703" w:type="dxa"/>
            <w:vAlign w:val="center"/>
          </w:tcPr>
          <w:p>
            <w:pPr>
              <w:jc w:val="right"/>
              <w:rPr>
                <w:noProof/>
                <w:sz w:val="20"/>
                <w:szCs w:val="20"/>
              </w:rPr>
            </w:pPr>
            <w:r>
              <w:rPr>
                <w:noProof/>
                <w:sz w:val="20"/>
              </w:rPr>
              <w:t>n. r.</w:t>
            </w:r>
          </w:p>
        </w:tc>
        <w:tc>
          <w:tcPr>
            <w:tcW w:w="907" w:type="dxa"/>
            <w:vAlign w:val="center"/>
          </w:tcPr>
          <w:p>
            <w:pPr>
              <w:jc w:val="right"/>
              <w:rPr>
                <w:noProof/>
                <w:sz w:val="20"/>
                <w:szCs w:val="20"/>
              </w:rPr>
            </w:pPr>
            <w:r>
              <w:rPr>
                <w:noProof/>
                <w:sz w:val="20"/>
              </w:rPr>
              <w:t>n. r.</w:t>
            </w:r>
          </w:p>
        </w:tc>
      </w:tr>
    </w:tbl>
    <w:p>
      <w:pPr>
        <w:pBdr>
          <w:top w:val="single" w:sz="4" w:space="1" w:color="auto"/>
          <w:left w:val="single" w:sz="4" w:space="4" w:color="auto"/>
          <w:bottom w:val="single" w:sz="4" w:space="1" w:color="auto"/>
          <w:right w:val="single" w:sz="4" w:space="4" w:color="auto"/>
        </w:pBdr>
        <w:rPr>
          <w:noProof/>
        </w:rPr>
      </w:pPr>
      <w:r>
        <w:rPr>
          <w:noProof/>
        </w:rPr>
        <w:t xml:space="preserve">Izračun – </w:t>
      </w:r>
      <w:r>
        <w:rPr>
          <w:b/>
          <w:i/>
          <w:noProof/>
        </w:rPr>
        <w:t xml:space="preserve">Drugi upravni odhodki, ki jih referenčni znesek </w:t>
      </w:r>
      <w:r>
        <w:rPr>
          <w:b/>
          <w:i/>
          <w:noProof/>
          <w:u w:val="single"/>
        </w:rPr>
        <w:t>ne</w:t>
      </w:r>
      <w:r>
        <w:rPr>
          <w:b/>
          <w:i/>
          <w:noProof/>
        </w:rPr>
        <w:t xml:space="preserve"> krije</w:t>
      </w:r>
    </w:p>
    <w:p>
      <w:pPr>
        <w:pBdr>
          <w:top w:val="single" w:sz="4" w:space="1" w:color="auto"/>
          <w:left w:val="single" w:sz="4" w:space="4" w:color="auto"/>
          <w:bottom w:val="single" w:sz="4" w:space="1" w:color="auto"/>
          <w:right w:val="single" w:sz="4" w:space="4" w:color="auto"/>
        </w:pBdr>
        <w:rPr>
          <w:noProof/>
          <w:u w:val="single"/>
        </w:rPr>
      </w:pPr>
      <w:r>
        <w:rPr>
          <w:noProof/>
        </w:rPr>
        <w:t>n. r.</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18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851" w:hanging="851"/>
      </w:pPr>
      <w:r>
        <w:rPr>
          <w:rStyle w:val="FootnoteReference"/>
        </w:rPr>
        <w:footnoteRef/>
      </w:r>
      <w:r>
        <w:tab/>
        <w:t>Uredba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347, 20.12.2013, str. 320.</w:t>
      </w:r>
    </w:p>
  </w:footnote>
  <w:footnote w:id="2">
    <w:p>
      <w:pPr>
        <w:pStyle w:val="FootnoteText"/>
        <w:ind w:left="851" w:hanging="851"/>
      </w:pPr>
      <w:r>
        <w:rPr>
          <w:rStyle w:val="FootnoteReference"/>
        </w:rPr>
        <w:footnoteRef/>
      </w:r>
      <w:r>
        <w:tab/>
        <w:t>Glej člen 120(3)(e) Uredbe (EU) št. 1303/2013. Ciper je za programsko obdobje 2014–2020 uvrščen med bolj razvite regije. Glej: Priloga III k Izvedbenemu sklepu Komisije z dne 18. februarja 2014 o določitvi seznama regij, upravičenih do financiranja iz Evropskega sklada za regionalni razvoj in Evropskega socialnega sklada, ter držav članic, upravičenih do financiranja iz Kohezijskega sklada, za obdobje 2014–2020 (notificirano pod dokumentarno številko C(2014) 974), UL L 50, 20.2.2014, str. 22.</w:t>
      </w:r>
    </w:p>
  </w:footnote>
  <w:footnote w:id="3">
    <w:p>
      <w:pPr>
        <w:pStyle w:val="FootnoteText"/>
        <w:rPr>
          <w:lang w:val="pl-PL"/>
        </w:rPr>
      </w:pPr>
      <w:r>
        <w:rPr>
          <w:rStyle w:val="FootnoteReference"/>
        </w:rPr>
        <w:footnoteRef/>
      </w:r>
      <w:r>
        <w:rPr>
          <w:lang w:val="pl-PL"/>
        </w:rPr>
        <w:tab/>
        <w:t>UL C , , str. .</w:t>
      </w:r>
    </w:p>
  </w:footnote>
  <w:footnote w:id="4">
    <w:p>
      <w:pPr>
        <w:pStyle w:val="FootnoteText"/>
        <w:rPr>
          <w:lang w:val="pl-PL"/>
        </w:rPr>
      </w:pPr>
      <w:r>
        <w:rPr>
          <w:rStyle w:val="FootnoteReference"/>
        </w:rPr>
        <w:footnoteRef/>
      </w:r>
      <w:r>
        <w:rPr>
          <w:lang w:val="pl-PL"/>
        </w:rPr>
        <w:tab/>
        <w:t>UL C , , str. .</w:t>
      </w:r>
    </w:p>
  </w:footnote>
  <w:footnote w:id="5">
    <w:p>
      <w:pPr>
        <w:pStyle w:val="FootnoteText"/>
        <w:rPr>
          <w:lang w:val="pl-PL"/>
        </w:rPr>
      </w:pPr>
      <w:r>
        <w:rPr>
          <w:rStyle w:val="FootnoteReference"/>
        </w:rPr>
        <w:footnoteRef/>
      </w:r>
      <w:r>
        <w:rPr>
          <w:lang w:val="pl-PL"/>
        </w:rPr>
        <w:tab/>
        <w:t>COM (2016) 414 final.</w:t>
      </w:r>
    </w:p>
  </w:footnote>
  <w:footnote w:id="6">
    <w:p>
      <w:pPr>
        <w:pStyle w:val="FootnoteText"/>
        <w:rPr>
          <w:lang w:val="pl-PL"/>
        </w:rPr>
      </w:pPr>
      <w:r>
        <w:rPr>
          <w:rStyle w:val="FootnoteReference"/>
        </w:rPr>
        <w:footnoteRef/>
      </w:r>
      <w:r>
        <w:rPr>
          <w:lang w:val="pl-PL"/>
        </w:rPr>
        <w:tab/>
        <w:t>Odhodki, ki ne spadajo v poglavje xx 01 zadevnega naslova xx.</w:t>
      </w:r>
    </w:p>
  </w:footnote>
  <w:footnote w:id="7">
    <w:p>
      <w:pPr>
        <w:pStyle w:val="FootnoteText"/>
        <w:rPr>
          <w:lang w:val="pl-PL"/>
        </w:rPr>
      </w:pPr>
      <w:r>
        <w:rPr>
          <w:rStyle w:val="FootnoteReference"/>
        </w:rPr>
        <w:footnoteRef/>
      </w:r>
      <w:r>
        <w:rPr>
          <w:lang w:val="pl-PL"/>
        </w:rPr>
        <w:tab/>
        <w:t>Odhodki iz člena xx 01 04 naslova xx.</w:t>
      </w:r>
    </w:p>
  </w:footnote>
  <w:footnote w:id="8">
    <w:p>
      <w:pPr>
        <w:pStyle w:val="FootnoteText"/>
        <w:rPr>
          <w:lang w:val="pl-PL"/>
        </w:rPr>
      </w:pPr>
      <w:r>
        <w:rPr>
          <w:rStyle w:val="FootnoteReference"/>
        </w:rPr>
        <w:footnoteRef/>
      </w:r>
      <w:r>
        <w:rPr>
          <w:lang w:val="pl-PL"/>
        </w:rPr>
        <w:tab/>
        <w:t>Odhodki iz poglavja xx 01, razen odhodkov iz člena xx 01 04 ali xx 01 05.</w:t>
      </w:r>
    </w:p>
  </w:footnote>
  <w:footnote w:id="9">
    <w:p>
      <w:pPr>
        <w:pStyle w:val="FootnoteText"/>
        <w:rPr>
          <w:lang w:val="pl-PL"/>
        </w:rPr>
      </w:pPr>
      <w:r>
        <w:rPr>
          <w:rStyle w:val="FootnoteReference"/>
        </w:rPr>
        <w:footnoteRef/>
      </w:r>
      <w:r>
        <w:rPr>
          <w:lang w:val="pl-PL"/>
        </w:rPr>
        <w:tab/>
        <w:t>Glej točki 19 in 24 Medinstitucionalnega sporazuma.</w:t>
      </w:r>
    </w:p>
  </w:footnote>
  <w:footnote w:id="10">
    <w:p>
      <w:pPr>
        <w:pStyle w:val="FootnoteText"/>
        <w:rPr>
          <w:lang w:val="pl-PL"/>
        </w:rPr>
      </w:pPr>
      <w:r>
        <w:rPr>
          <w:rStyle w:val="FootnoteReference"/>
        </w:rPr>
        <w:footnoteRef/>
      </w:r>
      <w:r>
        <w:rPr>
          <w:lang w:val="pl-PL"/>
        </w:rPr>
        <w:tab/>
        <w:t>Po potrebi, tj. če ukrep traja več kot šest let, se dodajo stolpci.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0DABCB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6CE8E4C"/>
    <w:lvl w:ilvl="0">
      <w:start w:val="1"/>
      <w:numFmt w:val="decimal"/>
      <w:pStyle w:val="ListNumber3"/>
      <w:lvlText w:val="%1."/>
      <w:lvlJc w:val="left"/>
      <w:pPr>
        <w:tabs>
          <w:tab w:val="num" w:pos="926"/>
        </w:tabs>
        <w:ind w:left="926" w:hanging="360"/>
      </w:pPr>
    </w:lvl>
  </w:abstractNum>
  <w:abstractNum w:abstractNumId="2">
    <w:nsid w:val="FFFFFF7F"/>
    <w:multiLevelType w:val="singleLevel"/>
    <w:tmpl w:val="F01ADD1C"/>
    <w:lvl w:ilvl="0">
      <w:start w:val="1"/>
      <w:numFmt w:val="decimal"/>
      <w:pStyle w:val="ListNumber2"/>
      <w:lvlText w:val="%1."/>
      <w:lvlJc w:val="left"/>
      <w:pPr>
        <w:tabs>
          <w:tab w:val="num" w:pos="643"/>
        </w:tabs>
        <w:ind w:left="643" w:hanging="360"/>
      </w:pPr>
    </w:lvl>
  </w:abstractNum>
  <w:abstractNum w:abstractNumId="3">
    <w:nsid w:val="FFFFFF81"/>
    <w:multiLevelType w:val="singleLevel"/>
    <w:tmpl w:val="4EBA95F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11EF3F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3A66EF4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88896C4"/>
    <w:lvl w:ilvl="0">
      <w:start w:val="1"/>
      <w:numFmt w:val="decimal"/>
      <w:pStyle w:val="ListNumber"/>
      <w:lvlText w:val="%1."/>
      <w:lvlJc w:val="left"/>
      <w:pPr>
        <w:tabs>
          <w:tab w:val="num" w:pos="360"/>
        </w:tabs>
        <w:ind w:left="360" w:hanging="360"/>
      </w:pPr>
    </w:lvl>
  </w:abstractNum>
  <w:abstractNum w:abstractNumId="7">
    <w:nsid w:val="FFFFFF89"/>
    <w:multiLevelType w:val="singleLevel"/>
    <w:tmpl w:val="C0CCD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A6901C1"/>
    <w:multiLevelType w:val="singleLevel"/>
    <w:tmpl w:val="208841AE"/>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4"/>
    <w:lvlOverride w:ilvl="0">
      <w:startOverride w:val="1"/>
    </w:lvlOverride>
  </w:num>
  <w:num w:numId="10">
    <w:abstractNumId w:val="21"/>
  </w:num>
  <w:num w:numId="11">
    <w:abstractNumId w:val="22"/>
    <w:lvlOverride w:ilvl="0">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2"/>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6-17 18:31:3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625EC3A3E6B849E9AABAEE18E4EC4C59"/>
    <w:docVar w:name="LW_CROSSREFERENCE" w:val="&lt;UNUSED&gt;"/>
    <w:docVar w:name="LW_DocType" w:val="COM"/>
    <w:docVar w:name="LW_EMISSION" w:val="27.6.2016"/>
    <w:docVar w:name="LW_EMISSION_ISODATE" w:val="2016-06-27"/>
    <w:docVar w:name="LW_EMISSION_LOCATION" w:val="BRX"/>
    <w:docVar w:name="LW_EMISSION_PREFIX" w:val="Bruselj,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SL"/>
    <w:docVar w:name="LW_MARKING" w:val="&lt;UNUSED&gt;"/>
    <w:docVar w:name="LW_NOM.INST" w:val="EVROPSKA KOMISIJA"/>
    <w:docVar w:name="LW_NOM.INST_JOINTDOC" w:val="&lt;EMPTY&gt;"/>
    <w:docVar w:name="LW_PART_NBR" w:val="1"/>
    <w:docVar w:name="LW_PART_NBR_TOTAL" w:val="1"/>
    <w:docVar w:name="LW_REF.II.NEW.CP" w:val="COD"/>
    <w:docVar w:name="LW_REF.II.NEW.CP_NUMBER" w:val="0193"/>
    <w:docVar w:name="LW_REF.II.NEW.CP_YEAR" w:val="2016"/>
    <w:docVar w:name="LW_REF.INST.NEW" w:val="COM"/>
    <w:docVar w:name="LW_REF.INST.NEW_ADOPTED" w:val="final"/>
    <w:docVar w:name="LW_REF.INST.NEW_TEXT" w:val="(2016) 418"/>
    <w:docVar w:name="LW_REF.INTERNE" w:val="&lt;UNUSED&gt;"/>
    <w:docVar w:name="LW_SOUS.TITRE.OBJ.CP" w:val="&lt;UNUSED&gt;"/>
    <w:docVar w:name="LW_STATUT.CP" w:val="Predlog"/>
    <w:docVar w:name="LW_SUPERTITRE" w:val="&lt;UNUSED&gt;"/>
    <w:docVar w:name="LW_TITRE.OBJ.CP" w:val="o spremembi Uredbe (EU) \u353?t. 1303/2013 glede nekaterih dolo\u269?b o finan\u269?nem upravljanju za nekatere dr\u382?ave \u269?lanice, ki imajo ali jim grozijo resne te\u382?ave v zvezi z njihovo finan\u269?no stabilnostjo"/>
    <w:docVar w:name="LW_TYPE.DOC.CP" w:val="UREDBA EVROPSKEGA PARLAMENTA IN SVETA"/>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l-SI"/>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nhideWhenUsed/>
    <w:pPr>
      <w:numPr>
        <w:numId w:val="4"/>
      </w:numPr>
      <w:contextualSpacing/>
    </w:pPr>
  </w:style>
  <w:style w:type="paragraph" w:styleId="ListNumber">
    <w:name w:val="List Number"/>
    <w:basedOn w:val="Normal"/>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ListBullet1">
    <w:name w:val="List Bullet 1"/>
    <w:basedOn w:val="Normal"/>
    <w:pPr>
      <w:numPr>
        <w:numId w:val="10"/>
      </w:numPr>
    </w:pPr>
    <w:rPr>
      <w:rFonts w:eastAsia="Times New Roman"/>
      <w:szCs w:val="24"/>
      <w:lang w:eastAsia="de-DE"/>
    </w:rPr>
  </w:style>
  <w:style w:type="paragraph" w:customStyle="1" w:styleId="ListNumberLevel2">
    <w:name w:val="List Number (Level 2)"/>
    <w:basedOn w:val="Normal"/>
    <w:pPr>
      <w:tabs>
        <w:tab w:val="num" w:pos="1417"/>
      </w:tabs>
      <w:ind w:left="1417" w:hanging="708"/>
    </w:pPr>
    <w:rPr>
      <w:rFonts w:eastAsia="Times New Roman"/>
      <w:szCs w:val="24"/>
      <w:lang w:eastAsia="de-DE"/>
    </w:rPr>
  </w:style>
  <w:style w:type="paragraph" w:customStyle="1" w:styleId="ListNumberLevel3">
    <w:name w:val="List Number (Level 3)"/>
    <w:basedOn w:val="Normal"/>
    <w:pPr>
      <w:tabs>
        <w:tab w:val="num" w:pos="2126"/>
      </w:tabs>
      <w:ind w:left="2126" w:hanging="709"/>
    </w:pPr>
    <w:rPr>
      <w:rFonts w:eastAsia="Times New Roman"/>
      <w:szCs w:val="24"/>
      <w:lang w:eastAsia="de-DE"/>
    </w:rPr>
  </w:style>
  <w:style w:type="paragraph" w:customStyle="1" w:styleId="ListNumberLevel4">
    <w:name w:val="List Number (Level 4)"/>
    <w:basedOn w:val="Normal"/>
    <w:pPr>
      <w:tabs>
        <w:tab w:val="num" w:pos="2835"/>
      </w:tabs>
      <w:ind w:left="2835" w:hanging="709"/>
    </w:pPr>
    <w:rPr>
      <w:rFonts w:eastAsia="Times New Roman"/>
      <w:szCs w:val="24"/>
      <w:lang w:eastAsia="de-DE"/>
    </w:rPr>
  </w:style>
  <w:style w:type="paragraph" w:customStyle="1" w:styleId="stitle-article-norm">
    <w:name w:val="stitle-article-norm"/>
    <w:basedOn w:val="Normal"/>
    <w:pPr>
      <w:spacing w:before="100" w:beforeAutospacing="1" w:after="100" w:afterAutospacing="1"/>
      <w:jc w:val="left"/>
    </w:pPr>
    <w:rPr>
      <w:rFonts w:eastAsia="Times New Roman"/>
      <w:szCs w:val="24"/>
      <w:lang w:eastAsia="en-GB"/>
    </w:rPr>
  </w:style>
  <w:style w:type="paragraph" w:customStyle="1" w:styleId="norm">
    <w:name w:val="norm"/>
    <w:basedOn w:val="Normal"/>
    <w:pPr>
      <w:spacing w:before="100" w:beforeAutospacing="1" w:after="100" w:afterAutospacing="1"/>
      <w:jc w:val="left"/>
    </w:pPr>
    <w:rPr>
      <w:rFonts w:eastAsia="Times New Roman"/>
      <w:szCs w:val="24"/>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l-SI"/>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l-SI"/>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nhideWhenUsed/>
    <w:pPr>
      <w:numPr>
        <w:numId w:val="4"/>
      </w:numPr>
      <w:contextualSpacing/>
    </w:pPr>
  </w:style>
  <w:style w:type="paragraph" w:styleId="ListNumber">
    <w:name w:val="List Number"/>
    <w:basedOn w:val="Normal"/>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ListBullet1">
    <w:name w:val="List Bullet 1"/>
    <w:basedOn w:val="Normal"/>
    <w:pPr>
      <w:numPr>
        <w:numId w:val="10"/>
      </w:numPr>
    </w:pPr>
    <w:rPr>
      <w:rFonts w:eastAsia="Times New Roman"/>
      <w:szCs w:val="24"/>
      <w:lang w:eastAsia="de-DE"/>
    </w:rPr>
  </w:style>
  <w:style w:type="paragraph" w:customStyle="1" w:styleId="ListNumberLevel2">
    <w:name w:val="List Number (Level 2)"/>
    <w:basedOn w:val="Normal"/>
    <w:pPr>
      <w:tabs>
        <w:tab w:val="num" w:pos="1417"/>
      </w:tabs>
      <w:ind w:left="1417" w:hanging="708"/>
    </w:pPr>
    <w:rPr>
      <w:rFonts w:eastAsia="Times New Roman"/>
      <w:szCs w:val="24"/>
      <w:lang w:eastAsia="de-DE"/>
    </w:rPr>
  </w:style>
  <w:style w:type="paragraph" w:customStyle="1" w:styleId="ListNumberLevel3">
    <w:name w:val="List Number (Level 3)"/>
    <w:basedOn w:val="Normal"/>
    <w:pPr>
      <w:tabs>
        <w:tab w:val="num" w:pos="2126"/>
      </w:tabs>
      <w:ind w:left="2126" w:hanging="709"/>
    </w:pPr>
    <w:rPr>
      <w:rFonts w:eastAsia="Times New Roman"/>
      <w:szCs w:val="24"/>
      <w:lang w:eastAsia="de-DE"/>
    </w:rPr>
  </w:style>
  <w:style w:type="paragraph" w:customStyle="1" w:styleId="ListNumberLevel4">
    <w:name w:val="List Number (Level 4)"/>
    <w:basedOn w:val="Normal"/>
    <w:pPr>
      <w:tabs>
        <w:tab w:val="num" w:pos="2835"/>
      </w:tabs>
      <w:ind w:left="2835" w:hanging="709"/>
    </w:pPr>
    <w:rPr>
      <w:rFonts w:eastAsia="Times New Roman"/>
      <w:szCs w:val="24"/>
      <w:lang w:eastAsia="de-DE"/>
    </w:rPr>
  </w:style>
  <w:style w:type="paragraph" w:customStyle="1" w:styleId="stitle-article-norm">
    <w:name w:val="stitle-article-norm"/>
    <w:basedOn w:val="Normal"/>
    <w:pPr>
      <w:spacing w:before="100" w:beforeAutospacing="1" w:after="100" w:afterAutospacing="1"/>
      <w:jc w:val="left"/>
    </w:pPr>
    <w:rPr>
      <w:rFonts w:eastAsia="Times New Roman"/>
      <w:szCs w:val="24"/>
      <w:lang w:eastAsia="en-GB"/>
    </w:rPr>
  </w:style>
  <w:style w:type="paragraph" w:customStyle="1" w:styleId="norm">
    <w:name w:val="norm"/>
    <w:basedOn w:val="Normal"/>
    <w:pPr>
      <w:spacing w:before="100" w:beforeAutospacing="1" w:after="100" w:afterAutospacing="1"/>
      <w:jc w:val="left"/>
    </w:pPr>
    <w:rPr>
      <w:rFonts w:eastAsia="Times New Roman"/>
      <w:szCs w:val="24"/>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l-SI"/>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712162">
      <w:bodyDiv w:val="1"/>
      <w:marLeft w:val="0"/>
      <w:marRight w:val="0"/>
      <w:marTop w:val="0"/>
      <w:marBottom w:val="0"/>
      <w:divBdr>
        <w:top w:val="none" w:sz="0" w:space="0" w:color="auto"/>
        <w:left w:val="none" w:sz="0" w:space="0" w:color="auto"/>
        <w:bottom w:val="none" w:sz="0" w:space="0" w:color="auto"/>
        <w:right w:val="none" w:sz="0" w:space="0" w:color="auto"/>
      </w:divBdr>
      <w:divsChild>
        <w:div w:id="1045376724">
          <w:marLeft w:val="600"/>
          <w:marRight w:val="0"/>
          <w:marTop w:val="0"/>
          <w:marBottom w:val="0"/>
          <w:divBdr>
            <w:top w:val="none" w:sz="0" w:space="0" w:color="auto"/>
            <w:left w:val="none" w:sz="0" w:space="0" w:color="auto"/>
            <w:bottom w:val="none" w:sz="0" w:space="0" w:color="auto"/>
            <w:right w:val="none" w:sz="0" w:space="0" w:color="auto"/>
          </w:divBdr>
        </w:div>
        <w:div w:id="566036875">
          <w:marLeft w:val="600"/>
          <w:marRight w:val="0"/>
          <w:marTop w:val="0"/>
          <w:marBottom w:val="0"/>
          <w:divBdr>
            <w:top w:val="none" w:sz="0" w:space="0" w:color="auto"/>
            <w:left w:val="none" w:sz="0" w:space="0" w:color="auto"/>
            <w:bottom w:val="none" w:sz="0" w:space="0" w:color="auto"/>
            <w:right w:val="none" w:sz="0" w:space="0" w:color="auto"/>
          </w:divBdr>
        </w:div>
        <w:div w:id="770048975">
          <w:marLeft w:val="600"/>
          <w:marRight w:val="0"/>
          <w:marTop w:val="0"/>
          <w:marBottom w:val="0"/>
          <w:divBdr>
            <w:top w:val="none" w:sz="0" w:space="0" w:color="auto"/>
            <w:left w:val="none" w:sz="0" w:space="0" w:color="auto"/>
            <w:bottom w:val="none" w:sz="0" w:space="0" w:color="auto"/>
            <w:right w:val="none" w:sz="0" w:space="0" w:color="auto"/>
          </w:divBdr>
        </w:div>
      </w:divsChild>
    </w:div>
    <w:div w:id="799225877">
      <w:bodyDiv w:val="1"/>
      <w:marLeft w:val="0"/>
      <w:marRight w:val="0"/>
      <w:marTop w:val="0"/>
      <w:marBottom w:val="0"/>
      <w:divBdr>
        <w:top w:val="none" w:sz="0" w:space="0" w:color="auto"/>
        <w:left w:val="none" w:sz="0" w:space="0" w:color="auto"/>
        <w:bottom w:val="none" w:sz="0" w:space="0" w:color="auto"/>
        <w:right w:val="none" w:sz="0" w:space="0" w:color="auto"/>
      </w:divBdr>
      <w:divsChild>
        <w:div w:id="905339269">
          <w:marLeft w:val="600"/>
          <w:marRight w:val="0"/>
          <w:marTop w:val="0"/>
          <w:marBottom w:val="0"/>
          <w:divBdr>
            <w:top w:val="none" w:sz="0" w:space="0" w:color="auto"/>
            <w:left w:val="none" w:sz="0" w:space="0" w:color="auto"/>
            <w:bottom w:val="none" w:sz="0" w:space="0" w:color="auto"/>
            <w:right w:val="none" w:sz="0" w:space="0" w:color="auto"/>
          </w:divBdr>
        </w:div>
        <w:div w:id="1585993108">
          <w:marLeft w:val="600"/>
          <w:marRight w:val="0"/>
          <w:marTop w:val="0"/>
          <w:marBottom w:val="0"/>
          <w:divBdr>
            <w:top w:val="none" w:sz="0" w:space="0" w:color="auto"/>
            <w:left w:val="none" w:sz="0" w:space="0" w:color="auto"/>
            <w:bottom w:val="none" w:sz="0" w:space="0" w:color="auto"/>
            <w:right w:val="none" w:sz="0" w:space="0" w:color="auto"/>
          </w:divBdr>
        </w:div>
        <w:div w:id="898395721">
          <w:marLeft w:val="600"/>
          <w:marRight w:val="0"/>
          <w:marTop w:val="0"/>
          <w:marBottom w:val="0"/>
          <w:divBdr>
            <w:top w:val="none" w:sz="0" w:space="0" w:color="auto"/>
            <w:left w:val="none" w:sz="0" w:space="0" w:color="auto"/>
            <w:bottom w:val="none" w:sz="0" w:space="0" w:color="auto"/>
            <w:right w:val="none" w:sz="0" w:space="0" w:color="auto"/>
          </w:divBdr>
        </w:div>
        <w:div w:id="121116899">
          <w:marLeft w:val="600"/>
          <w:marRight w:val="0"/>
          <w:marTop w:val="0"/>
          <w:marBottom w:val="0"/>
          <w:divBdr>
            <w:top w:val="none" w:sz="0" w:space="0" w:color="auto"/>
            <w:left w:val="none" w:sz="0" w:space="0" w:color="auto"/>
            <w:bottom w:val="none" w:sz="0" w:space="0" w:color="auto"/>
            <w:right w:val="none" w:sz="0" w:space="0" w:color="auto"/>
          </w:divBdr>
        </w:div>
        <w:div w:id="1257128899">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BB433-917F-4CAE-BB58-7F0B188E5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18</Pages>
  <Words>4435</Words>
  <Characters>22888</Characters>
  <Application>Microsoft Office Word</Application>
  <DocSecurity>0</DocSecurity>
  <Lines>1089</Lines>
  <Paragraphs>738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2016-06-10T09:00:00Z</cp:lastPrinted>
  <dcterms:created xsi:type="dcterms:W3CDTF">2016-06-16T14:27:00Z</dcterms:created>
  <dcterms:modified xsi:type="dcterms:W3CDTF">2016-06-17T16:31:00Z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