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86F334CB75740C6B6A7F9EF5CA4EA77" style="width:450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Heading1"/>
        <w:rPr>
          <w:noProof/>
        </w:rPr>
      </w:pPr>
      <w:bookmarkStart w:id="1" w:name="_GoBack"/>
      <w:bookmarkEnd w:id="1"/>
      <w:r>
        <w:rPr>
          <w:noProof/>
        </w:rPr>
        <w:lastRenderedPageBreak/>
        <w:t>Uvod</w:t>
      </w:r>
    </w:p>
    <w:p>
      <w:pPr>
        <w:rPr>
          <w:noProof/>
        </w:rPr>
      </w:pPr>
      <w:r>
        <w:rPr>
          <w:noProof/>
        </w:rPr>
        <w:t>To poročilo in priloženi delovni dokument služb Komisije sestavljata poročilo, ki omogoča izračun dodeljene količine Evropske unije (EU), in poročilo, ki omogoča izračun skupne dodeljene količine Unije, njenih držav članic in Islandije, v skladu s členom 3(7a), (8) in (8a) Kjotskega protokola za drugo ciljno obdobje, ter ki prikazuje sposobnost EU, njenih držav članic in Islandije za izračun njihovih emisije in dodeljene količine v skladu s Sklepom 2/CMP.8 Konference pogodbenic kot sestanka pogodbenic Kjotskega protokola, kakor se zahteva v skladu s členom 3(2) Sklepa Sveta (EU) 2015/1339</w:t>
      </w:r>
      <w:r>
        <w:rPr>
          <w:rStyle w:val="FootnoteReference"/>
          <w:noProof/>
        </w:rPr>
        <w:footnoteReference w:id="1"/>
      </w:r>
      <w:r>
        <w:rPr>
          <w:noProof/>
        </w:rPr>
        <w:t xml:space="preserve">. Poročili bosta poslani sekretariatu Okvirne konvencije Združenih narodov o spremembi podnebja (UNFCCC). </w:t>
      </w:r>
    </w:p>
    <w:p>
      <w:pPr>
        <w:rPr>
          <w:noProof/>
        </w:rPr>
      </w:pPr>
      <w:r>
        <w:rPr>
          <w:noProof/>
        </w:rPr>
        <w:t>Izračun dodeljene količine v okviru Kjotskega protokola v tem poročilu je osnovni pogoj za obračunavanje v zvezi s ciljem EU za zmanjšanje emisij toplogrednih plinov v drugem ciljnem obdobju Kjotskega protokola. To poročilo vključuje tudi informacije o izbiri posameznih možnosti obračunavanja v okviru Kjotskega protokola.</w:t>
      </w:r>
    </w:p>
    <w:p>
      <w:pPr>
        <w:pStyle w:val="Heading1"/>
        <w:rPr>
          <w:noProof/>
        </w:rPr>
      </w:pPr>
      <w:r>
        <w:rPr>
          <w:noProof/>
        </w:rPr>
        <w:t>Evidence antropogenih emisij toplogrednih plinov iz virov in po ponorih odstranjenih toplogrednih plinov, za katere se ne uporablja nadzor na podlagi Montrealskega protokola</w:t>
      </w:r>
    </w:p>
    <w:p>
      <w:pPr>
        <w:rPr>
          <w:noProof/>
        </w:rPr>
      </w:pPr>
      <w:r>
        <w:rPr>
          <w:noProof/>
        </w:rPr>
        <w:t>Celotna skupna evidenca antropogenih emisij iz virov in po ponorih odstranjenih toplogrednih plinov, za katere se ne uporablja nadzor na podlagi Montrealskega protokola, za vsa leta od izhodiščnega leta do leta 2014 za EU, njene države članice in Islandijo je predložena UNFCCC kot ločen dokument v povezavi s tem poročilom v skladu z odstavkom 1(a) Priloge I k Sklepu 2/CMP.8.</w:t>
      </w:r>
    </w:p>
    <w:p>
      <w:pPr>
        <w:pStyle w:val="Heading1"/>
        <w:rPr>
          <w:noProof/>
        </w:rPr>
      </w:pPr>
      <w:r>
        <w:rPr>
          <w:noProof/>
        </w:rPr>
        <w:t>Določitev izhodiščnih let za drugo ciljno obdobje</w:t>
      </w:r>
    </w:p>
    <w:p>
      <w:pPr>
        <w:rPr>
          <w:noProof/>
        </w:rPr>
      </w:pPr>
      <w:r>
        <w:rPr>
          <w:noProof/>
        </w:rPr>
        <w:t xml:space="preserve">V skupni evidenci so navedena izhodiščna leta, ki so jih države članice in Islandija izbrale v svojih nacionalnih evidencah. Pregled je predstavljen v nadaljevanju: </w:t>
      </w:r>
    </w:p>
    <w:p>
      <w:pPr>
        <w:rPr>
          <w:noProof/>
        </w:rPr>
      </w:pPr>
    </w:p>
    <w:p>
      <w:pPr>
        <w:pStyle w:val="Caption"/>
        <w:keepNext/>
        <w:rPr>
          <w:noProof/>
        </w:rPr>
      </w:pPr>
      <w:r>
        <w:rPr>
          <w:noProof/>
        </w:rPr>
        <w:t xml:space="preserve">Tabela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xml:space="preserve"> </w:t>
      </w:r>
      <w:r>
        <w:rPr>
          <w:noProof/>
        </w:rPr>
        <w:tab/>
      </w:r>
      <w:r>
        <w:rPr>
          <w:noProof/>
          <w:sz w:val="22"/>
        </w:rPr>
        <w:t>Izbira izhodiščnih let za različne toplogredne pline za države članice EU in Islandijo za drugo ciljno obdobje Kjotskega protokola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5"/>
        <w:gridCol w:w="2168"/>
        <w:gridCol w:w="2168"/>
        <w:gridCol w:w="2167"/>
      </w:tblGrid>
      <w:tr>
        <w:trPr>
          <w:cantSplit/>
          <w:trHeight w:val="120"/>
          <w:tblHeader/>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b/>
                <w:noProof/>
                <w:sz w:val="20"/>
              </w:rPr>
            </w:pPr>
            <w:r>
              <w:rPr>
                <w:b/>
                <w:noProof/>
                <w:sz w:val="20"/>
              </w:rPr>
              <w:t>Država članica</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b/>
                <w:noProof/>
                <w:sz w:val="20"/>
              </w:rPr>
            </w:pPr>
            <w:r>
              <w:rPr>
                <w:b/>
                <w:noProof/>
                <w:sz w:val="20"/>
              </w:rPr>
              <w:t>Izhodiščno leto za CO</w:t>
            </w:r>
            <w:r>
              <w:rPr>
                <w:b/>
                <w:noProof/>
                <w:sz w:val="20"/>
                <w:vertAlign w:val="subscript"/>
              </w:rPr>
              <w:t>2</w:t>
            </w:r>
            <w:r>
              <w:rPr>
                <w:b/>
                <w:noProof/>
                <w:sz w:val="20"/>
              </w:rPr>
              <w:t>, CH</w:t>
            </w:r>
            <w:r>
              <w:rPr>
                <w:b/>
                <w:noProof/>
                <w:sz w:val="20"/>
                <w:vertAlign w:val="subscript"/>
              </w:rPr>
              <w:t>4</w:t>
            </w:r>
            <w:r>
              <w:rPr>
                <w:b/>
                <w:noProof/>
                <w:sz w:val="20"/>
              </w:rPr>
              <w:t xml:space="preserve"> in N</w:t>
            </w:r>
            <w:r>
              <w:rPr>
                <w:b/>
                <w:noProof/>
                <w:sz w:val="20"/>
                <w:vertAlign w:val="subscript"/>
              </w:rPr>
              <w:t>2</w:t>
            </w:r>
            <w:r>
              <w:rPr>
                <w:b/>
                <w:noProof/>
                <w:sz w:val="20"/>
              </w:rPr>
              <w:t>O</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b/>
                <w:noProof/>
                <w:sz w:val="20"/>
              </w:rPr>
            </w:pPr>
            <w:r>
              <w:rPr>
                <w:b/>
                <w:noProof/>
                <w:sz w:val="20"/>
              </w:rPr>
              <w:t xml:space="preserve">Izhodiščno leto za HFC, PFC </w:t>
            </w:r>
            <w:r>
              <w:rPr>
                <w:b/>
                <w:noProof/>
                <w:sz w:val="20"/>
              </w:rPr>
              <w:br/>
              <w:t>in SF</w:t>
            </w:r>
            <w:r>
              <w:rPr>
                <w:b/>
                <w:noProof/>
                <w:sz w:val="20"/>
                <w:vertAlign w:val="subscript"/>
              </w:rPr>
              <w:t>6</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b/>
                <w:noProof/>
                <w:sz w:val="20"/>
              </w:rPr>
            </w:pPr>
            <w:r>
              <w:rPr>
                <w:b/>
                <w:noProof/>
                <w:sz w:val="20"/>
              </w:rPr>
              <w:t>Izhodiščno leto za NF</w:t>
            </w:r>
            <w:r>
              <w:rPr>
                <w:b/>
                <w:noProof/>
                <w:sz w:val="20"/>
                <w:vertAlign w:val="subscript"/>
              </w:rPr>
              <w:t>3</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Avstrija</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2000</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Belgija</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Bolgarija</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1988</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Hrvaška</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2000</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Ciper</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Češka republika</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Danska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Estonija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Finska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pStyle w:val="BalloonText1"/>
              <w:keepNext/>
              <w:keepLines/>
              <w:rPr>
                <w:rFonts w:ascii="Times New Roman" w:hAnsi="Times New Roman" w:cs="Times New Roman"/>
                <w:noProof/>
                <w:sz w:val="20"/>
                <w:szCs w:val="20"/>
              </w:rPr>
            </w:pPr>
            <w:r>
              <w:rPr>
                <w:rFonts w:ascii="Times New Roman" w:hAnsi="Times New Roman"/>
                <w:noProof/>
                <w:sz w:val="20"/>
              </w:rPr>
              <w:t>Francija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Nemčija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Grčija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2000</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Madžarska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1985–1987</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Irska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Italija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Latvija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Litva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Luksemburg</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Malta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Nizozemska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Poljska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1988</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2000</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Portugalska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2000</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Romunija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1989</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1989</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2000</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Slovaška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2000</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Slovenija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1986</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Španija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Švedska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Združeno kraljestvo</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r>
        <w:trPr>
          <w:cantSplit/>
          <w:trHeight w:val="120"/>
          <w:jc w:val="center"/>
        </w:trPr>
        <w:tc>
          <w:tcPr>
            <w:tcW w:w="1287" w:type="pct"/>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Islandija</w:t>
            </w:r>
          </w:p>
        </w:tc>
        <w:tc>
          <w:tcPr>
            <w:tcW w:w="1238" w:type="pct"/>
            <w:tcBorders>
              <w:top w:val="single" w:sz="4" w:space="0" w:color="auto"/>
              <w:left w:val="single" w:sz="4" w:space="0" w:color="auto"/>
              <w:bottom w:val="single" w:sz="4" w:space="0" w:color="auto"/>
              <w:right w:val="single" w:sz="4" w:space="0" w:color="auto"/>
            </w:tcBorders>
            <w:hideMark/>
          </w:tcPr>
          <w:p>
            <w:pPr>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1990</w:t>
            </w:r>
          </w:p>
        </w:tc>
        <w:tc>
          <w:tcPr>
            <w:tcW w:w="1238" w:type="pct"/>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1995</w:t>
            </w:r>
          </w:p>
        </w:tc>
      </w:tr>
    </w:tbl>
    <w:p>
      <w:pPr>
        <w:pStyle w:val="Heading1"/>
        <w:rPr>
          <w:noProof/>
        </w:rPr>
      </w:pPr>
      <w:r>
        <w:rPr>
          <w:noProof/>
        </w:rPr>
        <w:t>Pogoji skupnega izpolnjevanja v skladu s členom 4 Kjotskega protokola za drugo ciljno obdobje</w:t>
      </w:r>
    </w:p>
    <w:p>
      <w:pPr>
        <w:rPr>
          <w:noProof/>
        </w:rPr>
      </w:pPr>
      <w:r>
        <w:rPr>
          <w:noProof/>
        </w:rPr>
        <w:t xml:space="preserve">EU, njene države članice in Islandija so se dogovorile, da bodo svoje obveznosti količinskega omejevanja in zmanjševanja emisij iz člena 3 Kjotskega protokola za drugo ciljno obdobje Kjotskega protokola izpolnjevale skupaj, v skladu z določbami člena 4 Protokola. Unija, njene države članice in Islandija so se dogovorile o obveznosti količinskega zmanjšanja emisij, ki njihove povprečne letne emisije toplogrednih plinov v drugem ciljnem obdobju omejuje na 80 % vsote njihovih emisij v izhodiščnem letu, kar je zajeto v spremembi iz Dohe. </w:t>
      </w:r>
    </w:p>
    <w:p>
      <w:pPr>
        <w:rPr>
          <w:noProof/>
        </w:rPr>
      </w:pPr>
      <w:r>
        <w:rPr>
          <w:noProof/>
        </w:rPr>
        <w:t>Pogodbenice, ki se dogovorijo o skupnem izpolnjevanju obveznosti iz člena 3 Kjotskega protokola, morajo v skladu s členom 4 Kjotskega protokola v ustreznem sporazumu o skupnem izpolnjevanju določiti zadevno raven emisij, dodeljeno vsaki pogodbenici. Sklep Sveta (EU) 2015/1339 določa pogoje sporazuma o skupnem izpolnjevanju in zadevne ravni emisij za vsako pogodbenico navedenega sporazuma. Sporazum med EU, njenimi državami članicami in Islandijo glede sodelovanja Islandije pri skupnem izpolnjevanju obveznosti Evropske unije, njenih držav članic in Islandije v drugem ciljnem obdobju Kjotskega protokola določa pogoje, ki urejajo sodelovanje Islandije</w:t>
      </w:r>
      <w:r>
        <w:rPr>
          <w:rStyle w:val="FootnoteReference"/>
          <w:noProof/>
        </w:rPr>
        <w:footnoteReference w:id="2"/>
      </w:r>
      <w:r>
        <w:rPr>
          <w:noProof/>
        </w:rPr>
        <w:t>.   Ravni emisij določajo dodeljene količine držav članic in Islandije za drugo ciljno obdobje.  Te ravni emisij so bile določene na podlagi obstoječe zakonodaje Unije za obdobje 2013–2020 v okviru „svežnja ukrepov za podnebne spremembe in obnovljivo energijo“</w:t>
      </w:r>
      <w:r>
        <w:rPr>
          <w:rStyle w:val="FootnoteReference"/>
          <w:noProof/>
        </w:rPr>
        <w:footnoteReference w:id="3"/>
      </w:r>
      <w:r>
        <w:rPr>
          <w:noProof/>
        </w:rPr>
        <w:t xml:space="preserve">. </w:t>
      </w:r>
    </w:p>
    <w:p>
      <w:pPr>
        <w:pStyle w:val="Heading1"/>
        <w:rPr>
          <w:noProof/>
        </w:rPr>
      </w:pPr>
      <w:r>
        <w:rPr>
          <w:noProof/>
        </w:rPr>
        <w:tab/>
        <w:t xml:space="preserve">Izračun dodeljenih količin v skladu s členom 3(7a), (8) in (8a) </w:t>
      </w:r>
    </w:p>
    <w:p>
      <w:pPr>
        <w:rPr>
          <w:noProof/>
        </w:rPr>
      </w:pPr>
      <w:r>
        <w:rPr>
          <w:noProof/>
        </w:rPr>
        <w:t xml:space="preserve">Skupna dodeljena količina EU, njenih držav članic in Islandije za drugo ciljno obdobje Kjotskega protokola je enaka odstotku, določenemu za Unijo, njene države članice in Islandijo v tretjem stolpcu Priloge B h Kjotskemu protokolu, kot je bil nadomeščen s spremembo iz Dohe (80 %), emisij v izhodiščnem letu, pomnoženem z osem. Tako izračunana skupna dodeljena količina znaša </w:t>
      </w:r>
      <w:r>
        <w:rPr>
          <w:noProof/>
        </w:rPr>
        <w:br/>
        <w:t>37 625 402 324 ton ekvivalenta CO</w:t>
      </w:r>
      <w:r>
        <w:rPr>
          <w:noProof/>
          <w:vertAlign w:val="subscript"/>
        </w:rPr>
        <w:t>2</w:t>
      </w:r>
      <w:r>
        <w:rPr>
          <w:noProof/>
        </w:rPr>
        <w:t xml:space="preserve">. </w:t>
      </w:r>
    </w:p>
    <w:p>
      <w:pPr>
        <w:rPr>
          <w:noProof/>
        </w:rPr>
      </w:pPr>
      <w:r>
        <w:rPr>
          <w:noProof/>
        </w:rPr>
        <w:t>Ta dodeljena količina EU je določena v skladu s pogoji sporazuma o skupnem izpolnjevanju in znaša 15 834 334 860 ton ekvivalenta CO</w:t>
      </w:r>
      <w:r>
        <w:rPr>
          <w:noProof/>
          <w:vertAlign w:val="subscript"/>
        </w:rPr>
        <w:t>2</w:t>
      </w:r>
      <w:r>
        <w:rPr>
          <w:noProof/>
        </w:rPr>
        <w:t xml:space="preserve">. </w:t>
      </w:r>
    </w:p>
    <w:p>
      <w:pPr>
        <w:rPr>
          <w:noProof/>
        </w:rPr>
      </w:pPr>
      <w:r>
        <w:rPr>
          <w:noProof/>
        </w:rPr>
        <w:t xml:space="preserve">Dodeljene količine držav članic in Islandije so prav tako določene v skladu s pogoji sporazuma o skupnem izpolnjevanju in so navedene v tabeli 2. </w:t>
      </w:r>
    </w:p>
    <w:p>
      <w:pPr>
        <w:pStyle w:val="Caption"/>
        <w:keepNext/>
        <w:keepLines/>
        <w:rPr>
          <w:noProof/>
        </w:rPr>
      </w:pPr>
      <w:bookmarkStart w:id="2" w:name="_Ref408472957"/>
      <w:r>
        <w:rPr>
          <w:noProof/>
        </w:rPr>
        <w:t xml:space="preserve">Tabela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2"/>
      <w:r>
        <w:rPr>
          <w:noProof/>
        </w:rPr>
        <w:tab/>
        <w:t>Dodeljene količine držav članic in Islandije (ob upoštevanju odstavka 7a člena 3 Kjotskega protokola)</w:t>
      </w:r>
    </w:p>
    <w:tbl>
      <w:tblPr>
        <w:tblW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53"/>
        <w:gridCol w:w="1982"/>
      </w:tblGrid>
      <w:tr>
        <w:trPr>
          <w:trHeight w:val="20"/>
          <w:tblHeader/>
        </w:trPr>
        <w:tc>
          <w:tcPr>
            <w:tcW w:w="2353" w:type="dxa"/>
            <w:tcBorders>
              <w:top w:val="single" w:sz="4" w:space="0" w:color="auto"/>
              <w:left w:val="single" w:sz="4" w:space="0" w:color="auto"/>
              <w:bottom w:val="single" w:sz="4" w:space="0" w:color="auto"/>
              <w:right w:val="single" w:sz="4" w:space="0" w:color="auto"/>
            </w:tcBorders>
            <w:hideMark/>
          </w:tcPr>
          <w:p>
            <w:pPr>
              <w:pStyle w:val="Legend"/>
              <w:keepLines/>
              <w:widowControl/>
              <w:tabs>
                <w:tab w:val="left" w:pos="720"/>
              </w:tabs>
              <w:jc w:val="center"/>
              <w:rPr>
                <w:rFonts w:ascii="Times New Roman" w:hAnsi="Times New Roman"/>
                <w:bCs/>
                <w:noProof/>
                <w:sz w:val="20"/>
              </w:rPr>
            </w:pPr>
            <w:r>
              <w:rPr>
                <w:rFonts w:ascii="Times New Roman" w:hAnsi="Times New Roman"/>
                <w:noProof/>
                <w:sz w:val="20"/>
              </w:rPr>
              <w:t>Država članica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b/>
                <w:bCs/>
                <w:noProof/>
                <w:sz w:val="20"/>
              </w:rPr>
            </w:pPr>
            <w:r>
              <w:rPr>
                <w:b/>
                <w:noProof/>
                <w:sz w:val="20"/>
              </w:rPr>
              <w:t>t ekvivalenta CO</w:t>
            </w:r>
            <w:r>
              <w:rPr>
                <w:b/>
                <w:noProof/>
                <w:sz w:val="20"/>
                <w:vertAlign w:val="subscript"/>
              </w:rPr>
              <w:t>2</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Avstrija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405 712 317</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Belgija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584 228 513</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Bolgarija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222 945 983</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Hrvaška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162 271 086</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Ciper</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47 450 128</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Češka republika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520 515 203</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Danska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269 363 657</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rPr>
                <w:noProof/>
                <w:sz w:val="20"/>
              </w:rPr>
            </w:pPr>
            <w:r>
              <w:rPr>
                <w:noProof/>
                <w:sz w:val="20"/>
              </w:rPr>
              <w:t>Estonija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51 056 976</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Finska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240 544 599</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Francija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3 014 714 832</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Nemčija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3 592 699 888</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Grčija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480 791 166</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Madžarska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434 486 280</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Irska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343 520 594</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Italija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2 410 291 421</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Latvija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76 633 439</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Litva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113 600 821</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Luksemburg</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72 191 526</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Malta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9 299 769</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Nizozemska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924 777 902</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Poljska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1 583 938 824</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Portugalska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429 581 969</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Romunija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656 059 490</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Slovaška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202 268 939</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Slovenija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99 425 782</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Španija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1 766 877 232</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Švedska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315 554 578</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Združeno kraljestvo</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2 744 937 332</w:t>
            </w:r>
          </w:p>
        </w:tc>
      </w:tr>
      <w:tr>
        <w:trPr>
          <w:trHeight w:val="20"/>
        </w:trPr>
        <w:tc>
          <w:tcPr>
            <w:tcW w:w="2353" w:type="dxa"/>
            <w:tcBorders>
              <w:top w:val="single" w:sz="4" w:space="0" w:color="auto"/>
              <w:left w:val="single" w:sz="4" w:space="0" w:color="auto"/>
              <w:bottom w:val="single" w:sz="4" w:space="0" w:color="auto"/>
              <w:right w:val="single" w:sz="4" w:space="0" w:color="auto"/>
            </w:tcBorders>
            <w:hideMark/>
          </w:tcPr>
          <w:p>
            <w:pPr>
              <w:keepNext/>
              <w:keepLines/>
              <w:spacing w:after="0"/>
              <w:jc w:val="left"/>
              <w:rPr>
                <w:noProof/>
                <w:sz w:val="20"/>
              </w:rPr>
            </w:pPr>
            <w:r>
              <w:rPr>
                <w:noProof/>
                <w:sz w:val="20"/>
              </w:rPr>
              <w:t>Islandija</w:t>
            </w:r>
          </w:p>
        </w:tc>
        <w:tc>
          <w:tcPr>
            <w:tcW w:w="1982"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right"/>
              <w:rPr>
                <w:noProof/>
                <w:sz w:val="20"/>
              </w:rPr>
            </w:pPr>
            <w:r>
              <w:rPr>
                <w:noProof/>
                <w:sz w:val="20"/>
              </w:rPr>
              <w:t>15 327 217</w:t>
            </w:r>
          </w:p>
        </w:tc>
      </w:tr>
    </w:tbl>
    <w:p>
      <w:pPr>
        <w:keepNext/>
        <w:keepLines/>
        <w:rPr>
          <w:noProof/>
        </w:rPr>
      </w:pPr>
    </w:p>
    <w:p>
      <w:pPr>
        <w:pStyle w:val="Heading1"/>
        <w:rPr>
          <w:noProof/>
        </w:rPr>
      </w:pPr>
      <w:r>
        <w:rPr>
          <w:noProof/>
        </w:rPr>
        <w:t>Izračun rezerve ciljnega obdobja v skladu s Sklepom 11/CMP.1</w:t>
      </w:r>
    </w:p>
    <w:p>
      <w:pPr>
        <w:rPr>
          <w:noProof/>
        </w:rPr>
      </w:pPr>
      <w:r>
        <w:rPr>
          <w:noProof/>
        </w:rPr>
        <w:t xml:space="preserve">Za namene skupnega izpolnjevanja se rezerva ciljnega obdobja za Evropsko unijo, njene države članice in Islandijo uporablja posamično. Tabela 3 prikazuje izračunane rezerve ciljnega obdobja za Evropsko unijo, njene države članice in Islandijo. </w:t>
      </w:r>
    </w:p>
    <w:p>
      <w:pPr>
        <w:pStyle w:val="Caption"/>
        <w:keepNext/>
        <w:rPr>
          <w:noProof/>
          <w:sz w:val="22"/>
          <w:szCs w:val="22"/>
        </w:rPr>
      </w:pPr>
      <w:bookmarkStart w:id="3" w:name="_Ref450829174"/>
      <w:r>
        <w:rPr>
          <w:noProof/>
        </w:rPr>
        <w:t xml:space="preserve">Tabela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3"/>
      <w:r>
        <w:rPr>
          <w:noProof/>
        </w:rPr>
        <w:tab/>
        <w:t>Rezerve ciljnega obdobja za Evropsko unijo, njene države članice in Islandijo</w:t>
      </w:r>
    </w:p>
    <w:tbl>
      <w:tblPr>
        <w:tblW w:w="0" w:type="auto"/>
        <w:tblInd w:w="60" w:type="dxa"/>
        <w:tblCellMar>
          <w:left w:w="60" w:type="dxa"/>
          <w:right w:w="60" w:type="dxa"/>
        </w:tblCellMar>
        <w:tblLook w:val="04A0" w:firstRow="1" w:lastRow="0" w:firstColumn="1" w:lastColumn="0" w:noHBand="0" w:noVBand="1"/>
      </w:tblPr>
      <w:tblGrid>
        <w:gridCol w:w="1725"/>
        <w:gridCol w:w="2287"/>
      </w:tblGrid>
      <w:tr>
        <w:trPr>
          <w:trHeight w:val="120"/>
        </w:trPr>
        <w:tc>
          <w:tcPr>
            <w:tcW w:w="0" w:type="auto"/>
            <w:tcBorders>
              <w:top w:val="single" w:sz="4" w:space="0" w:color="auto"/>
              <w:left w:val="single" w:sz="4" w:space="0" w:color="auto"/>
              <w:bottom w:val="single" w:sz="4" w:space="0" w:color="auto"/>
              <w:right w:val="single" w:sz="4" w:space="0" w:color="auto"/>
            </w:tcBorders>
            <w:hideMark/>
          </w:tcPr>
          <w:p>
            <w:pPr>
              <w:keepNext/>
              <w:spacing w:after="0"/>
              <w:jc w:val="left"/>
              <w:rPr>
                <w:noProof/>
                <w:sz w:val="20"/>
              </w:rPr>
            </w:pPr>
            <w:r>
              <w:rPr>
                <w:noProof/>
                <w:sz w:val="20"/>
              </w:rPr>
              <w:t>Država</w:t>
            </w:r>
          </w:p>
        </w:tc>
        <w:tc>
          <w:tcPr>
            <w:tcW w:w="0" w:type="auto"/>
            <w:tcBorders>
              <w:top w:val="single" w:sz="4" w:space="0" w:color="auto"/>
              <w:left w:val="single" w:sz="4" w:space="0" w:color="auto"/>
              <w:bottom w:val="single" w:sz="4" w:space="0" w:color="auto"/>
              <w:right w:val="single" w:sz="4" w:space="0" w:color="auto"/>
            </w:tcBorders>
            <w:hideMark/>
          </w:tcPr>
          <w:p>
            <w:pPr>
              <w:keepNext/>
              <w:spacing w:after="0"/>
              <w:jc w:val="left"/>
              <w:rPr>
                <w:b/>
                <w:bCs/>
                <w:noProof/>
                <w:sz w:val="20"/>
              </w:rPr>
            </w:pPr>
            <w:r>
              <w:rPr>
                <w:b/>
                <w:noProof/>
                <w:sz w:val="20"/>
              </w:rPr>
              <w:t>Rezerva ciljnega obdobja</w:t>
            </w:r>
          </w:p>
          <w:p>
            <w:pPr>
              <w:keepNext/>
              <w:spacing w:after="0"/>
              <w:jc w:val="left"/>
              <w:rPr>
                <w:b/>
                <w:bCs/>
                <w:noProof/>
                <w:sz w:val="20"/>
              </w:rPr>
            </w:pPr>
            <w:r>
              <w:rPr>
                <w:b/>
                <w:noProof/>
                <w:sz w:val="20"/>
              </w:rPr>
              <w:t>[t ekvivalenta CO</w:t>
            </w:r>
            <w:r>
              <w:rPr>
                <w:b/>
                <w:noProof/>
                <w:sz w:val="20"/>
                <w:vertAlign w:val="subscript"/>
              </w:rPr>
              <w:t>2</w:t>
            </w:r>
            <w:r>
              <w:rPr>
                <w:b/>
                <w:noProof/>
                <w:sz w:val="20"/>
              </w:rPr>
              <w:t>]</w:t>
            </w:r>
          </w:p>
        </w:tc>
      </w:tr>
      <w:tr>
        <w:trPr>
          <w:trHeight w:val="120"/>
        </w:trPr>
        <w:tc>
          <w:tcPr>
            <w:tcW w:w="0" w:type="auto"/>
            <w:tcBorders>
              <w:top w:val="single" w:sz="4" w:space="0" w:color="auto"/>
              <w:left w:val="single" w:sz="8" w:space="0" w:color="auto"/>
              <w:bottom w:val="single" w:sz="8" w:space="0" w:color="auto"/>
              <w:right w:val="single" w:sz="8" w:space="0" w:color="auto"/>
            </w:tcBorders>
            <w:hideMark/>
          </w:tcPr>
          <w:p>
            <w:pPr>
              <w:keepNext/>
              <w:spacing w:after="0"/>
              <w:jc w:val="left"/>
              <w:rPr>
                <w:b/>
                <w:bCs/>
                <w:noProof/>
                <w:sz w:val="20"/>
              </w:rPr>
            </w:pPr>
            <w:r>
              <w:rPr>
                <w:b/>
                <w:noProof/>
                <w:sz w:val="20"/>
              </w:rPr>
              <w:t>Evropska unija</w:t>
            </w:r>
          </w:p>
        </w:tc>
        <w:tc>
          <w:tcPr>
            <w:tcW w:w="0" w:type="auto"/>
            <w:tcBorders>
              <w:top w:val="single" w:sz="4" w:space="0" w:color="auto"/>
              <w:left w:val="nil"/>
              <w:bottom w:val="single" w:sz="4" w:space="0" w:color="auto"/>
              <w:right w:val="single" w:sz="8" w:space="0" w:color="auto"/>
            </w:tcBorders>
            <w:hideMark/>
          </w:tcPr>
          <w:p>
            <w:pPr>
              <w:keepNext/>
              <w:spacing w:after="0"/>
              <w:ind w:right="170"/>
              <w:jc w:val="right"/>
              <w:rPr>
                <w:noProof/>
                <w:sz w:val="20"/>
              </w:rPr>
            </w:pPr>
            <w:r>
              <w:rPr>
                <w:noProof/>
                <w:sz w:val="20"/>
              </w:rPr>
              <w:t>21 777 272 968</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b/>
                <w:bCs/>
                <w:noProof/>
                <w:sz w:val="20"/>
              </w:rPr>
            </w:pPr>
            <w:r>
              <w:rPr>
                <w:b/>
                <w:noProof/>
                <w:sz w:val="20"/>
              </w:rPr>
              <w:t> </w:t>
            </w:r>
          </w:p>
        </w:tc>
        <w:tc>
          <w:tcPr>
            <w:tcW w:w="0" w:type="auto"/>
            <w:tcBorders>
              <w:top w:val="single" w:sz="4" w:space="0" w:color="auto"/>
              <w:left w:val="nil"/>
              <w:bottom w:val="single" w:sz="8" w:space="0" w:color="auto"/>
              <w:right w:val="single" w:sz="8" w:space="0" w:color="auto"/>
            </w:tcBorders>
            <w:hideMark/>
          </w:tcPr>
          <w:p>
            <w:pPr>
              <w:keepNext/>
              <w:spacing w:after="0"/>
              <w:ind w:right="170"/>
              <w:jc w:val="right"/>
              <w:rPr>
                <w:noProof/>
                <w:sz w:val="20"/>
              </w:rPr>
            </w:pP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Avstrija</w:t>
            </w:r>
          </w:p>
        </w:tc>
        <w:tc>
          <w:tcPr>
            <w:tcW w:w="0" w:type="auto"/>
            <w:tcBorders>
              <w:top w:val="single" w:sz="8" w:space="0" w:color="auto"/>
              <w:left w:val="nil"/>
              <w:bottom w:val="single" w:sz="8" w:space="0" w:color="auto"/>
              <w:right w:val="single" w:sz="8" w:space="0" w:color="auto"/>
            </w:tcBorders>
            <w:hideMark/>
          </w:tcPr>
          <w:p>
            <w:pPr>
              <w:keepNext/>
              <w:spacing w:after="0"/>
              <w:ind w:right="170"/>
              <w:jc w:val="right"/>
              <w:rPr>
                <w:noProof/>
                <w:sz w:val="20"/>
              </w:rPr>
            </w:pPr>
            <w:r>
              <w:rPr>
                <w:noProof/>
                <w:sz w:val="20"/>
              </w:rPr>
              <w:t>365 141 085</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Belgija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525 805 662</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Bolgarija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200 651 385</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Hrvaška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146 043 977</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Ciper</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42 705 115</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Češka republika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468 463 683</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Danska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242 427 291</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Estonija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45 951 278</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Finska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216 490 139</w:t>
            </w:r>
          </w:p>
        </w:tc>
      </w:tr>
      <w:tr>
        <w:trPr>
          <w:trHeight w:val="328"/>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Francija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2 713 243 349</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Nemčija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3 233 429 899</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Grčija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432 712 049</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Madžarska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391 037 652</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Irska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309 168 535</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Italija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2 169 262 279</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Latvija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68 970 095</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Litva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102 240 739</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 xml:space="preserve">Luksemburg </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64 972 374</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Malta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8 369 792</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Nizozemska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832 300 112</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Poljska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1 425 544 942</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Portugalska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386 623 772</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Romunija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590 453 541</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Slovaška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182 042 045</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Slovenija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89 483 204</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Španija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1 590 189 509</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Švedska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283 999 120</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Združeno kraljestvo</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2 470 443 599</w:t>
            </w:r>
          </w:p>
        </w:tc>
      </w:tr>
      <w:tr>
        <w:trPr>
          <w:trHeight w:val="120"/>
        </w:trPr>
        <w:tc>
          <w:tcPr>
            <w:tcW w:w="0" w:type="auto"/>
            <w:tcBorders>
              <w:top w:val="nil"/>
              <w:left w:val="single" w:sz="8" w:space="0" w:color="auto"/>
              <w:bottom w:val="single" w:sz="8" w:space="0" w:color="auto"/>
              <w:right w:val="single" w:sz="8" w:space="0" w:color="auto"/>
            </w:tcBorders>
            <w:hideMark/>
          </w:tcPr>
          <w:p>
            <w:pPr>
              <w:keepNext/>
              <w:spacing w:after="0"/>
              <w:jc w:val="left"/>
              <w:rPr>
                <w:noProof/>
                <w:sz w:val="20"/>
              </w:rPr>
            </w:pPr>
            <w:r>
              <w:rPr>
                <w:noProof/>
                <w:sz w:val="20"/>
              </w:rPr>
              <w:t>Islandija</w:t>
            </w:r>
          </w:p>
        </w:tc>
        <w:tc>
          <w:tcPr>
            <w:tcW w:w="0" w:type="auto"/>
            <w:tcBorders>
              <w:top w:val="nil"/>
              <w:left w:val="nil"/>
              <w:bottom w:val="single" w:sz="8" w:space="0" w:color="auto"/>
              <w:right w:val="single" w:sz="8" w:space="0" w:color="auto"/>
            </w:tcBorders>
            <w:hideMark/>
          </w:tcPr>
          <w:p>
            <w:pPr>
              <w:keepNext/>
              <w:spacing w:after="0"/>
              <w:ind w:right="170"/>
              <w:jc w:val="right"/>
              <w:rPr>
                <w:noProof/>
                <w:sz w:val="20"/>
              </w:rPr>
            </w:pPr>
            <w:r>
              <w:rPr>
                <w:noProof/>
                <w:sz w:val="20"/>
              </w:rPr>
              <w:t>13 794 495</w:t>
            </w:r>
          </w:p>
        </w:tc>
      </w:tr>
    </w:tbl>
    <w:p>
      <w:pPr>
        <w:pStyle w:val="Heading1"/>
        <w:rPr>
          <w:noProof/>
        </w:rPr>
      </w:pPr>
      <w:r>
        <w:rPr>
          <w:noProof/>
        </w:rPr>
        <w:t>Opredelitev izbire posameznih minimalnih vrednosti za drevesno zastrtost, zemljišča in višino dreves za uporabo pri obračunih v skladu s členom 3(3) in (4)</w:t>
      </w:r>
    </w:p>
    <w:p>
      <w:pPr>
        <w:rPr>
          <w:noProof/>
        </w:rPr>
      </w:pPr>
      <w:r>
        <w:rPr>
          <w:noProof/>
        </w:rPr>
        <w:t xml:space="preserve">Države članice so izbrale mejne vrednosti za opredelitev gozdov za namene poročanja o dejavnostih pogozdovanja, ponovnega pogozdovanja in krčenja gozdov v skladu s členom 3(3) ter upravljanja gozdov, če so bile izbrane v skladu s členom 3(4) Kjotskega protokola za prvo ciljno obdobje. Ker EU združuje informacije držav članic, so uporabljene enake vrednosti, kot so jih izbrale države članice za zahtevane posamezne minimalne vrednosti za drevesno zastrtost, zemljišča in višino dreves v skladu z opredelitvijo gozdov za poročanje FAO. </w:t>
      </w: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rPr>
          <w:noProof/>
          <w:sz w:val="22"/>
        </w:rPr>
        <w:t xml:space="preserve"> – Izbira držav članic in Islandije glede mejnih vrednosti za opredelitev gozdov za poročanje v skladu s členom 3(3) in (4)</w:t>
      </w: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1985"/>
        <w:gridCol w:w="1985"/>
        <w:gridCol w:w="1985"/>
      </w:tblGrid>
      <w:tr>
        <w:trPr>
          <w:tblHeader/>
          <w:jc w:val="center"/>
        </w:trPr>
        <w:tc>
          <w:tcPr>
            <w:tcW w:w="1770" w:type="dxa"/>
            <w:tcBorders>
              <w:top w:val="single" w:sz="4" w:space="0" w:color="auto"/>
              <w:left w:val="single" w:sz="4" w:space="0" w:color="auto"/>
              <w:bottom w:val="single" w:sz="4" w:space="0" w:color="auto"/>
              <w:right w:val="single" w:sz="4" w:space="0" w:color="auto"/>
            </w:tcBorders>
            <w:hideMark/>
          </w:tcPr>
          <w:p>
            <w:pPr>
              <w:pStyle w:val="Legend"/>
              <w:widowControl/>
              <w:tabs>
                <w:tab w:val="left" w:pos="720"/>
              </w:tabs>
              <w:jc w:val="center"/>
              <w:rPr>
                <w:rFonts w:ascii="Times New Roman" w:hAnsi="Times New Roman"/>
                <w:bCs/>
                <w:noProof/>
                <w:sz w:val="20"/>
              </w:rPr>
            </w:pPr>
            <w:r>
              <w:rPr>
                <w:rFonts w:ascii="Times New Roman" w:hAnsi="Times New Roman"/>
                <w:noProof/>
                <w:sz w:val="20"/>
              </w:rPr>
              <w:t>Država članica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b/>
                <w:bCs/>
                <w:noProof/>
                <w:sz w:val="20"/>
              </w:rPr>
            </w:pPr>
            <w:r>
              <w:rPr>
                <w:b/>
                <w:noProof/>
                <w:sz w:val="20"/>
              </w:rPr>
              <w:t>Minimalna vrednost za drevesno zastrtost</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b/>
                <w:bCs/>
                <w:noProof/>
                <w:sz w:val="20"/>
              </w:rPr>
            </w:pPr>
            <w:r>
              <w:rPr>
                <w:b/>
                <w:noProof/>
                <w:sz w:val="20"/>
              </w:rPr>
              <w:t>Minimalna višina dreves</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b/>
                <w:bCs/>
                <w:noProof/>
                <w:sz w:val="20"/>
              </w:rPr>
            </w:pPr>
            <w:r>
              <w:rPr>
                <w:b/>
                <w:noProof/>
                <w:sz w:val="20"/>
              </w:rPr>
              <w:t>Minimalna površina gozdnega zemljišča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Avstrija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30 %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Belgija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20 %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Bolgarija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Hrvaška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Ciper</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0,3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Češka republika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30 %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Danska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Estonija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30%</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Finska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trHeight w:val="70"/>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Francija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Nemčija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Grčija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25 %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0,3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Madžarska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30 %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Irska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20 %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Italija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Latvija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20 %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0,1 ha</w:t>
            </w:r>
          </w:p>
        </w:tc>
      </w:tr>
      <w:tr>
        <w:trPr>
          <w:trHeight w:val="70"/>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Litva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30 %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Luksemburg</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Malta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30 %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Nizozemska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20 %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Poljska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Portugalska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Romunija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0,25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Slovaška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20 %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0,3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Slovenija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30 %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0,25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Španija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20 %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3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Švedska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5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Združeno kraljestvo</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20 %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0,1 ha</w:t>
            </w:r>
          </w:p>
        </w:tc>
      </w:tr>
      <w:tr>
        <w:trPr>
          <w:jc w:val="center"/>
        </w:trPr>
        <w:tc>
          <w:tcPr>
            <w:tcW w:w="1770"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Islandija</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10 %</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2 m</w:t>
            </w:r>
          </w:p>
        </w:tc>
        <w:tc>
          <w:tcPr>
            <w:tcW w:w="1985"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noProof/>
                <w:sz w:val="20"/>
              </w:rPr>
            </w:pPr>
            <w:r>
              <w:rPr>
                <w:noProof/>
                <w:sz w:val="20"/>
              </w:rPr>
              <w:t>0,5 ha</w:t>
            </w:r>
          </w:p>
        </w:tc>
      </w:tr>
    </w:tbl>
    <w:p>
      <w:pPr>
        <w:pStyle w:val="Heading1"/>
        <w:rPr>
          <w:noProof/>
        </w:rPr>
      </w:pPr>
      <w:r>
        <w:rPr>
          <w:noProof/>
        </w:rPr>
        <w:t>Izbira dejavnosti v skladu s členom 3(4) za vključitev v obračun za drugo ciljno obdobje</w:t>
      </w:r>
    </w:p>
    <w:p>
      <w:pPr>
        <w:rPr>
          <w:noProof/>
        </w:rPr>
      </w:pPr>
      <w:r>
        <w:rPr>
          <w:noProof/>
        </w:rPr>
        <w:t>Tabela 5 prikazuje pregled izbire držav članic in Islandije glede dejavnosti v skladu s členom 3(4), kot so jo sporočile v svojih poročilih, ki omogočajo izračun dodeljene količine za drugo ciljno obdobje.</w:t>
      </w:r>
    </w:p>
    <w:p>
      <w:pPr>
        <w:pStyle w:val="Caption"/>
        <w:keepNext/>
        <w:rPr>
          <w:noProof/>
          <w:sz w:val="22"/>
        </w:rPr>
      </w:pPr>
      <w:bookmarkStart w:id="4" w:name="_Ref450831361"/>
      <w:r>
        <w:rPr>
          <w:noProof/>
        </w:rPr>
        <w:t xml:space="preserve">Tabela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4"/>
      <w:r>
        <w:rPr>
          <w:noProof/>
        </w:rPr>
        <w:t xml:space="preserve"> </w:t>
      </w:r>
      <w:r>
        <w:rPr>
          <w:noProof/>
        </w:rPr>
        <w:tab/>
        <w:t>Pregled izbire držav članic in Islandije glede dejavnosti rabe zemljišč, spremembe rabe zemljišč in gozdarstva (LULUCF) v skladu s členom 3(4) Kjotskega protokola</w:t>
      </w: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00"/>
        <w:gridCol w:w="1699"/>
        <w:gridCol w:w="1416"/>
        <w:gridCol w:w="1417"/>
        <w:gridCol w:w="1498"/>
      </w:tblGrid>
      <w:tr>
        <w:trPr>
          <w:tblHeader/>
        </w:trPr>
        <w:tc>
          <w:tcPr>
            <w:tcW w:w="1502" w:type="dxa"/>
            <w:tcBorders>
              <w:top w:val="single" w:sz="4" w:space="0" w:color="auto"/>
              <w:left w:val="single" w:sz="4" w:space="0" w:color="auto"/>
              <w:bottom w:val="single" w:sz="4" w:space="0" w:color="auto"/>
              <w:right w:val="single" w:sz="4" w:space="0" w:color="auto"/>
            </w:tcBorders>
            <w:hideMark/>
          </w:tcPr>
          <w:p>
            <w:pPr>
              <w:pStyle w:val="Legend"/>
              <w:widowControl/>
              <w:tabs>
                <w:tab w:val="left" w:pos="720"/>
              </w:tabs>
              <w:jc w:val="center"/>
              <w:rPr>
                <w:rFonts w:ascii="Times New Roman" w:hAnsi="Times New Roman"/>
                <w:bCs/>
                <w:noProof/>
                <w:sz w:val="20"/>
              </w:rPr>
            </w:pPr>
            <w:r>
              <w:rPr>
                <w:rFonts w:ascii="Times New Roman" w:hAnsi="Times New Roman"/>
                <w:noProof/>
                <w:sz w:val="20"/>
              </w:rPr>
              <w:t>Država članica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b/>
                <w:bCs/>
                <w:noProof/>
                <w:sz w:val="20"/>
              </w:rPr>
            </w:pPr>
            <w:r>
              <w:rPr>
                <w:b/>
                <w:noProof/>
                <w:sz w:val="20"/>
              </w:rPr>
              <w:t>Gospodarjenje z njivskimi površinami</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b/>
                <w:bCs/>
                <w:noProof/>
                <w:sz w:val="20"/>
              </w:rPr>
            </w:pPr>
            <w:r>
              <w:rPr>
                <w:b/>
                <w:noProof/>
                <w:sz w:val="20"/>
              </w:rPr>
              <w:t>Gospodarjenje s travnimi površinami</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b/>
                <w:bCs/>
                <w:noProof/>
                <w:sz w:val="20"/>
              </w:rPr>
            </w:pPr>
            <w:r>
              <w:rPr>
                <w:b/>
                <w:noProof/>
                <w:sz w:val="20"/>
              </w:rPr>
              <w:t>Obnova vegetacije</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b/>
                <w:bCs/>
                <w:noProof/>
                <w:sz w:val="20"/>
              </w:rPr>
            </w:pPr>
            <w:r>
              <w:rPr>
                <w:b/>
                <w:noProof/>
                <w:sz w:val="20"/>
              </w:rPr>
              <w:t>Osuševanje in ponovna vzpostavitev mokrišč</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Avstrija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Belgija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Bolgarija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 xml:space="preserve">ni izbrano </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 xml:space="preserve">ni izbrano </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 xml:space="preserve">ni izbrano </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 xml:space="preserve">ni izbrano </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Hrvaška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Ciper</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Češka republika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Danska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Estonija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Finska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rPr>
          <w:trHeight w:val="70"/>
        </w:trP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Francija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Nemčija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Grčija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Madžarska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rPr>
          <w:trHeight w:val="191"/>
        </w:trP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Irska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Italija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Latvija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rPr>
          <w:trHeight w:val="70"/>
        </w:trP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Litva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Luksemburg</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Malta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Nizozemska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Poljska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Portugalska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Romunija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Slovaška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Slovenija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Španija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Švedska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Združeno kraljestvo</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r>
      <w:tr>
        <w:tc>
          <w:tcPr>
            <w:tcW w:w="1502"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Islandija</w:t>
            </w:r>
          </w:p>
        </w:tc>
        <w:tc>
          <w:tcPr>
            <w:tcW w:w="1701" w:type="dxa"/>
            <w:tcBorders>
              <w:top w:val="single" w:sz="4" w:space="0" w:color="auto"/>
              <w:left w:val="single" w:sz="4" w:space="0" w:color="auto"/>
              <w:bottom w:val="single" w:sz="4" w:space="0" w:color="auto"/>
              <w:right w:val="single" w:sz="4" w:space="0" w:color="auto"/>
            </w:tcBorders>
            <w:hideMark/>
          </w:tcPr>
          <w:p>
            <w:pPr>
              <w:keepNext/>
              <w:keepLines/>
              <w:spacing w:after="0"/>
              <w:jc w:val="center"/>
              <w:rPr>
                <w:noProof/>
                <w:sz w:val="20"/>
              </w:rPr>
            </w:pPr>
            <w:r>
              <w:rPr>
                <w:noProof/>
                <w:sz w:val="20"/>
              </w:rPr>
              <w:t>ni izbrano</w:t>
            </w:r>
          </w:p>
        </w:tc>
        <w:tc>
          <w:tcPr>
            <w:tcW w:w="1417"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c>
          <w:tcPr>
            <w:tcW w:w="1418"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izbrano</w:t>
            </w:r>
          </w:p>
        </w:tc>
        <w:tc>
          <w:tcPr>
            <w:tcW w:w="1499" w:type="dxa"/>
            <w:tcBorders>
              <w:top w:val="single" w:sz="4" w:space="0" w:color="auto"/>
              <w:left w:val="single" w:sz="4" w:space="0" w:color="auto"/>
              <w:bottom w:val="single" w:sz="4" w:space="0" w:color="auto"/>
              <w:right w:val="single" w:sz="4" w:space="0" w:color="auto"/>
            </w:tcBorders>
            <w:hideMark/>
          </w:tcPr>
          <w:p>
            <w:pPr>
              <w:keepNext/>
              <w:keepLines/>
              <w:spacing w:after="0"/>
              <w:ind w:left="170" w:right="170"/>
              <w:jc w:val="center"/>
              <w:rPr>
                <w:noProof/>
                <w:sz w:val="20"/>
              </w:rPr>
            </w:pPr>
            <w:r>
              <w:rPr>
                <w:noProof/>
                <w:sz w:val="20"/>
              </w:rPr>
              <w:t>ni izbrano</w:t>
            </w:r>
          </w:p>
        </w:tc>
      </w:tr>
    </w:tbl>
    <w:p>
      <w:pPr>
        <w:keepNext/>
        <w:rPr>
          <w:noProof/>
        </w:rPr>
      </w:pPr>
    </w:p>
    <w:p>
      <w:pPr>
        <w:pStyle w:val="Heading1"/>
        <w:rPr>
          <w:noProof/>
        </w:rPr>
      </w:pPr>
      <w:r>
        <w:rPr>
          <w:noProof/>
        </w:rPr>
        <w:t>Določitev pogostosti obračunavanja za dejavnosti v skladu s členom 3(3) in (4)</w:t>
      </w:r>
    </w:p>
    <w:p>
      <w:pPr>
        <w:rPr>
          <w:noProof/>
        </w:rPr>
      </w:pPr>
      <w:r>
        <w:rPr>
          <w:noProof/>
        </w:rPr>
        <w:t>Države članice in Islandija določijo pogostost obračunavanja za dejavnosti v skladu s členom 3(3) in (4) v svojih poročilih, ki omogočajo izračun dodeljene količine. Vse države članice so se odločile za obračun na koncu ciljnega obdobja, z izjemo Danske in Madžarske, ki sta izbrali letno obračunavanje.</w:t>
      </w:r>
    </w:p>
    <w:p>
      <w:pPr>
        <w:pStyle w:val="Heading1"/>
        <w:rPr>
          <w:noProof/>
        </w:rPr>
      </w:pPr>
      <w:r>
        <w:rPr>
          <w:noProof/>
        </w:rPr>
        <w:t xml:space="preserve">Referenčne ravni upravljanja gozdov, kakor so navedene v Dodatku k Prilogi k Sklepu 2/CMP.7 </w:t>
      </w:r>
    </w:p>
    <w:p>
      <w:pPr>
        <w:rPr>
          <w:noProof/>
        </w:rPr>
      </w:pPr>
      <w:r>
        <w:rPr>
          <w:noProof/>
        </w:rPr>
        <w:t>V odstavku 1(i) Priloge I k Sklepu 2/CMP.8 se zahteva poročanje o ravni upravljanja gozdov in morebitnih tehničnih popravkih, kakor je navedeno v poročilu o evidenci. Države članice EU in Islandija so te informacije sporočile v svojih poročilih, ki omogočajo izračun dodeljene količine, in v svojih najnovejših evidencah toplogrednih plinov.</w:t>
      </w:r>
    </w:p>
    <w:p>
      <w:pPr>
        <w:pStyle w:val="Heading1"/>
        <w:rPr>
          <w:noProof/>
        </w:rPr>
      </w:pPr>
      <w:r>
        <w:rPr>
          <w:noProof/>
        </w:rPr>
        <w:t>Informacije o tem, kako so bile emisije iz pridobljenih lesenih proizvodov iz gozdov pred začetkom drugega ciljnega obdobja izračunane na referenčni ravni v skladu z odstavkom 16 Priloge k Sklepu 2/CMP.7</w:t>
      </w:r>
    </w:p>
    <w:p>
      <w:pPr>
        <w:rPr>
          <w:noProof/>
        </w:rPr>
      </w:pPr>
      <w:r>
        <w:rPr>
          <w:noProof/>
        </w:rPr>
        <w:t xml:space="preserve">Informacije o tem, kako so bile emisije iz pridobljenih lesenih proizvodov iz gozdov pred začetkom drugega ciljnega obdobja izračunane na referenčni ravni v skladu z odstavkom 16 Priloge k Sklepu 2/CMP.7, so navedene v poročilih držav članic EU in Islandije, ki omogočajo izračun dodeljene količine, ter v njihovih najnovejših evidencah. </w:t>
      </w:r>
    </w:p>
    <w:p>
      <w:pPr>
        <w:pStyle w:val="Heading1"/>
        <w:rPr>
          <w:noProof/>
        </w:rPr>
      </w:pPr>
      <w:r>
        <w:rPr>
          <w:noProof/>
        </w:rPr>
        <w:t>Obračunavanje glede naravnih motenj</w:t>
      </w:r>
    </w:p>
    <w:p>
      <w:pPr>
        <w:rPr>
          <w:noProof/>
        </w:rPr>
      </w:pPr>
      <w:r>
        <w:rPr>
          <w:noProof/>
        </w:rPr>
        <w:t>Pregled odločitev držav članic, ali nameravajo uporabiti določbe o izključitvi emisij zaradi naravnih motenj, ki je prikazan v nadaljevanju.</w:t>
      </w:r>
    </w:p>
    <w:p>
      <w:pPr>
        <w:pStyle w:val="Caption"/>
        <w:keepNext/>
        <w:rPr>
          <w:noProof/>
        </w:rPr>
      </w:pPr>
      <w:r>
        <w:rPr>
          <w:noProof/>
        </w:rPr>
        <w:t xml:space="preserve">Tabela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Pr>
          <w:noProof/>
        </w:rPr>
        <w:tab/>
        <w:t xml:space="preserve"> Informacije o uporabi določbe o izključitvi emisij zaradi naravnih motenj</w:t>
      </w: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17"/>
        <w:gridCol w:w="2619"/>
        <w:gridCol w:w="2394"/>
      </w:tblGrid>
      <w:tr>
        <w:tc>
          <w:tcPr>
            <w:tcW w:w="2517" w:type="dxa"/>
            <w:tcBorders>
              <w:top w:val="single" w:sz="4" w:space="0" w:color="auto"/>
              <w:left w:val="single" w:sz="4" w:space="0" w:color="auto"/>
              <w:bottom w:val="single" w:sz="4" w:space="0" w:color="auto"/>
              <w:right w:val="single" w:sz="4" w:space="0" w:color="auto"/>
            </w:tcBorders>
            <w:hideMark/>
          </w:tcPr>
          <w:p>
            <w:pPr>
              <w:keepNext/>
              <w:spacing w:after="0"/>
              <w:jc w:val="center"/>
              <w:rPr>
                <w:b/>
                <w:noProof/>
                <w:sz w:val="20"/>
              </w:rPr>
            </w:pPr>
            <w:r>
              <w:rPr>
                <w:b/>
                <w:noProof/>
                <w:sz w:val="20"/>
              </w:rPr>
              <w:t>Države</w:t>
            </w:r>
          </w:p>
        </w:tc>
        <w:tc>
          <w:tcPr>
            <w:tcW w:w="2619" w:type="dxa"/>
            <w:tcBorders>
              <w:top w:val="single" w:sz="4" w:space="0" w:color="auto"/>
              <w:left w:val="single" w:sz="4" w:space="0" w:color="auto"/>
              <w:bottom w:val="single" w:sz="4" w:space="0" w:color="auto"/>
              <w:right w:val="single" w:sz="4" w:space="0" w:color="auto"/>
            </w:tcBorders>
          </w:tcPr>
          <w:p>
            <w:pPr>
              <w:keepNext/>
              <w:spacing w:after="0"/>
              <w:jc w:val="center"/>
              <w:rPr>
                <w:b/>
                <w:noProof/>
                <w:sz w:val="20"/>
              </w:rPr>
            </w:pPr>
            <w:r>
              <w:rPr>
                <w:b/>
                <w:noProof/>
                <w:sz w:val="20"/>
              </w:rPr>
              <w:t>Pogozdovanje/ponovno pogozdovanje</w:t>
            </w:r>
          </w:p>
          <w:p>
            <w:pPr>
              <w:keepNext/>
              <w:spacing w:after="0"/>
              <w:jc w:val="center"/>
              <w:rPr>
                <w:b/>
                <w:noProof/>
                <w:sz w:val="20"/>
              </w:rPr>
            </w:pP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ind w:left="170" w:right="170"/>
              <w:jc w:val="center"/>
              <w:rPr>
                <w:b/>
                <w:noProof/>
                <w:sz w:val="20"/>
              </w:rPr>
            </w:pPr>
            <w:r>
              <w:rPr>
                <w:b/>
                <w:noProof/>
                <w:sz w:val="20"/>
              </w:rPr>
              <w:t>Upravljanje gozdov</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Avstrija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Belgija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Bolgarija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 xml:space="preserve">da </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Hrvaška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Ciper</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rPr>
          <w:trHeight w:val="170"/>
        </w:trP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Češka republika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Danska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Estonija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Finska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rPr>
          <w:trHeight w:val="70"/>
        </w:trP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Francija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Nemčija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Grčija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rPr>
          <w:trHeight w:val="77"/>
        </w:trP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Madžarska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Irska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Italija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Latvija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rPr>
          <w:trHeight w:val="70"/>
        </w:trP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Litva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Luksemburg</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Malta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Nizozemska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Poljska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Portugalska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Romunija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Slovaška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Slovenija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ne</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Španija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Švedska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Združeno kraljestvo</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r>
        <w:tc>
          <w:tcPr>
            <w:tcW w:w="2517" w:type="dxa"/>
            <w:tcBorders>
              <w:top w:val="single" w:sz="4" w:space="0" w:color="auto"/>
              <w:left w:val="single" w:sz="4" w:space="0" w:color="auto"/>
              <w:bottom w:val="single" w:sz="4" w:space="0" w:color="auto"/>
              <w:right w:val="single" w:sz="4" w:space="0" w:color="auto"/>
            </w:tcBorders>
            <w:hideMark/>
          </w:tcPr>
          <w:p>
            <w:pPr>
              <w:keepNext/>
              <w:spacing w:after="0"/>
              <w:rPr>
                <w:noProof/>
                <w:sz w:val="20"/>
              </w:rPr>
            </w:pPr>
            <w:r>
              <w:rPr>
                <w:noProof/>
                <w:sz w:val="20"/>
              </w:rPr>
              <w:t>Islandija</w:t>
            </w:r>
          </w:p>
        </w:tc>
        <w:tc>
          <w:tcPr>
            <w:tcW w:w="2619"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c>
          <w:tcPr>
            <w:tcW w:w="2394" w:type="dxa"/>
            <w:tcBorders>
              <w:top w:val="single" w:sz="4" w:space="0" w:color="auto"/>
              <w:left w:val="single" w:sz="4" w:space="0" w:color="auto"/>
              <w:bottom w:val="single" w:sz="4" w:space="0" w:color="auto"/>
              <w:right w:val="single" w:sz="4" w:space="0" w:color="auto"/>
            </w:tcBorders>
            <w:hideMark/>
          </w:tcPr>
          <w:p>
            <w:pPr>
              <w:keepNext/>
              <w:spacing w:after="0"/>
              <w:jc w:val="center"/>
              <w:rPr>
                <w:noProof/>
                <w:sz w:val="20"/>
              </w:rPr>
            </w:pPr>
            <w:r>
              <w:rPr>
                <w:noProof/>
                <w:sz w:val="20"/>
              </w:rPr>
              <w:t>da</w:t>
            </w:r>
          </w:p>
        </w:tc>
      </w:tr>
    </w:tbl>
    <w:p>
      <w:pPr>
        <w:pStyle w:val="Heading1"/>
        <w:rPr>
          <w:noProof/>
        </w:rPr>
      </w:pPr>
      <w:r>
        <w:rPr>
          <w:noProof/>
        </w:rPr>
        <w:t>Opis nacionalnega sistema</w:t>
      </w:r>
    </w:p>
    <w:p>
      <w:pPr>
        <w:rPr>
          <w:noProof/>
        </w:rPr>
      </w:pPr>
      <w:r>
        <w:rPr>
          <w:noProof/>
        </w:rPr>
        <w:t xml:space="preserve">Evropska unija je imela cilj količinskega omejevanja in zmanjševanja emisij že za prvo ciljno obdobje ter je opisala svoj nacionalni sistem v poročilu za izračun dodeljene količine za prvo ciljno obdobje. Pozneje so bile vse spremembe nacionalnega sistema EU sporočene v okviru letnih dodatnih informacij v skladu s členom 7 Kjotskega protokola in vključene tudi v nacionalno poročilo o evidenci. </w:t>
      </w:r>
    </w:p>
    <w:p>
      <w:pPr>
        <w:rPr>
          <w:noProof/>
        </w:rPr>
      </w:pPr>
      <w:r>
        <w:rPr>
          <w:noProof/>
        </w:rPr>
        <w:t>Institucije, ki so bile del sistema evidenc EU in odgovorne za pripravo evidence EU v prvem ciljnem obdobju, so svojo vlogo obdržale tudi na začetku drugega ciljnega obdobja. Generalni direktorat Evropske komisije za podnebno politiko (GD CLIMA) ima splošno odgovornost glede evidence EU, medtem ko je vsaka država članica odgovorna za pripravo svoje evidence, ki je osnovni prispevek v evidenco EU. GD CLIMA pri pripravi evidence pomagajo naslednje glavne institucije: Evropska agencija za okolje (EEA) in njen Evropski tematski center za blaženje posledic onesnaženosti zraka in podnebnih sprememb (ETC/ACM) ter naslednja generalna direktorata Evropske komisije: Eurostat in Skupno raziskovalno središče (JRC).</w:t>
      </w:r>
    </w:p>
    <w:p>
      <w:pPr>
        <w:pStyle w:val="Heading1"/>
        <w:rPr>
          <w:noProof/>
        </w:rPr>
      </w:pPr>
      <w:r>
        <w:rPr>
          <w:noProof/>
        </w:rPr>
        <w:t xml:space="preserve">Opis nacionalnega registra </w:t>
      </w:r>
    </w:p>
    <w:p>
      <w:pPr>
        <w:rPr>
          <w:noProof/>
        </w:rPr>
      </w:pPr>
      <w:r>
        <w:rPr>
          <w:noProof/>
        </w:rPr>
        <w:t>Za izpolnjevanje obveznosti pogodbenic Kjotskega protokola in obveznosti iz člena 10 Uredbe (EU) št. 525/2013</w:t>
      </w:r>
      <w:r>
        <w:rPr>
          <w:rStyle w:val="FootnoteReference"/>
          <w:noProof/>
        </w:rPr>
        <w:footnoteReference w:id="4"/>
      </w:r>
      <w:r>
        <w:rPr>
          <w:noProof/>
        </w:rPr>
        <w:t xml:space="preserve"> (uredba o mehanizmu za spremljanje) morajo vsaka država članica in EU upravljati nacionalni register Kjotskega protokola. V skladu s sklepoma 13/CMP.l in 24/CP.8 države članice in Unija usklajeno upravljajo svoje nacionalne registre. </w:t>
      </w:r>
    </w:p>
    <w:p>
      <w:pPr>
        <w:rPr>
          <w:noProof/>
        </w:rPr>
      </w:pP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Bskvll B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Sklep Sveta (EU) 2015/1339 z dne 13. julija 2015 o sklenitvi, v imenu Evropske unije, spremembe iz Dohe Kjotskega protokola k Okvirni konvenciji Združenih narodov o spremembi podnebja in skupnem izpolnjevanju obveznosti v okviru te spremembe (UL L 207, 4.8.2015, str. 1–14).</w:t>
      </w:r>
    </w:p>
  </w:footnote>
  <w:footnote w:id="2">
    <w:p>
      <w:pPr>
        <w:pStyle w:val="FootnoteText"/>
      </w:pPr>
      <w:r>
        <w:rPr>
          <w:rStyle w:val="FootnoteReference"/>
        </w:rPr>
        <w:footnoteRef/>
      </w:r>
      <w:r>
        <w:t xml:space="preserve"> UL L 207, 4.8.2015, str. 17.</w:t>
      </w:r>
      <w:r>
        <w:tab/>
      </w:r>
    </w:p>
  </w:footnote>
  <w:footnote w:id="3">
    <w:p>
      <w:pPr>
        <w:pStyle w:val="FootnoteText"/>
      </w:pPr>
      <w:r>
        <w:rPr>
          <w:rStyle w:val="FootnoteReference"/>
        </w:rPr>
        <w:footnoteRef/>
      </w:r>
      <w:r>
        <w:t xml:space="preserve"> </w:t>
      </w:r>
      <w:r>
        <w:tab/>
        <w:t>Direktiva 2009/29/ES Evropskega parlamenta in Sveta o spremembi Direktive 2003/87/ES z namenom izboljšanja in razširitve sistema Skupnosti za trgovanje s pravicami do emisije toplogrednih plinov ter Odločba št. 406/2009/ES Evropskega parlamenta in Sveta z dne 23. aprila 2009 o prizadevanju držav članic za zmanjšanje emisij toplogrednih plinov, da do leta 2020 izpolnijo zavezo Skupnosti za zmanjšanje emisij toplogrednih plinov (UL L 140, 5.6.2009).</w:t>
      </w:r>
    </w:p>
  </w:footnote>
  <w:footnote w:id="4">
    <w:p>
      <w:pPr>
        <w:pStyle w:val="FootnoteText"/>
      </w:pPr>
      <w:r>
        <w:rPr>
          <w:rStyle w:val="FootnoteReference"/>
        </w:rPr>
        <w:footnoteRef/>
      </w:r>
      <w:r>
        <w:t xml:space="preserve"> Uredba (EU) št. 525/2013 Evropskega parlamenta in Sveta z dne 21. maja 2013 o mehanizmu za spremljanje emisij toplogrednih plinov in poročanje o njih ter za sporočanje drugih informacij v zvezi s podnebnimi spremembami na nacionalni ravni in ravni Unije ter o razveljavitvi Sklepa št. 280/2004/ES (UL L 165, 18.6.2013, str.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471215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8"/>
  </w:num>
  <w:num w:numId="20">
    <w:abstractNumId w:val="20"/>
  </w:num>
  <w:num w:numId="21">
    <w:abstractNumId w:val="2"/>
  </w:num>
  <w:num w:numId="22">
    <w:abstractNumId w:val="8"/>
  </w:num>
  <w:num w:numId="23">
    <w:abstractNumId w:val="8"/>
  </w:num>
  <w:num w:numId="24">
    <w:abstractNumId w:val="8"/>
  </w:num>
  <w:num w:numId="25">
    <w:abstractNumId w:val="8"/>
  </w:num>
  <w:num w:numId="26">
    <w:abstractNumId w:val="8"/>
  </w:num>
  <w:num w:numId="2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86F334CB75740C6B6A7F9EF5CA4EA77"/>
    <w:docVar w:name="LW_CROSSREFERENCE" w:val="{SWD(2016) 316 final}"/>
    <w:docVar w:name="LW_DocType" w:val="REP"/>
    <w:docVar w:name="LW_EMISSION" w:val="23.9.2016"/>
    <w:docVar w:name="LW_EMISSION_ISODATE" w:val="2016-09-23"/>
    <w:docVar w:name="LW_EMISSION_LOCATION" w:val="BRX"/>
    <w:docVar w:name="LW_EMISSION_PREFIX" w:val="Bruselj, "/>
    <w:docVar w:name="LW_EMISSION_SUFFIX" w:val=" "/>
    <w:docVar w:name="LW_ID_DOCTYPE_NONLW" w:val="CP-003"/>
    <w:docVar w:name="LW_LANGUE" w:val="SL"/>
    <w:docVar w:name="LW_MARKING" w:val="&lt;UNUSED&g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6) 618"/>
    <w:docVar w:name="LW_REF.INTERNE" w:val="&lt;UNUSED&gt;"/>
    <w:docVar w:name="LW_SOUS.TITRE.OBJ.CP" w:val="&lt;UNUSED&gt;"/>
    <w:docVar w:name="LW_SUPERTITRE" w:val="&lt;UNUSED&gt;"/>
    <w:docVar w:name="LW_TITRE.OBJ.CP" w:val="Poro\u269?ilo, ki omogo\u269?a izra\u269?un dodeljene koli\u269?ine Evropske unije, in poro\u269?ilo, ki omogo\u269?a izra\u269?un skupne dodeljene koli\u269?ine Unije, njenih dr\u382?av \u269?lanic in Islandije, v skladu s \u269?lenom 3(7a), (8) in (8a) Kjotskega protokola za drugo ciljno obdobje, kakor se zahteva v skladu s \u269?lenom 3(2) Sklepa Sveta (EU) 2015/1339"/>
    <w:docVar w:name="LW_TYPE.DOC.CP" w:val="PORO\u268?ILO KOMISIJ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sl-S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aliases w:val="Beschriftung Char"/>
    <w:basedOn w:val="Normal"/>
    <w:next w:val="Normal"/>
    <w:link w:val="CaptionChar"/>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sl-SI"/>
    </w:rPr>
  </w:style>
  <w:style w:type="character" w:customStyle="1" w:styleId="HeaderChar">
    <w:name w:val="Header Char"/>
    <w:basedOn w:val="DefaultParagraphFont"/>
    <w:link w:val="Header"/>
    <w:uiPriority w:val="99"/>
    <w:rPr>
      <w:sz w:val="24"/>
      <w:lang w:eastAsia="sl-SI"/>
    </w:rPr>
  </w:style>
  <w:style w:type="character" w:customStyle="1" w:styleId="CaptionChar">
    <w:name w:val="Caption Char"/>
    <w:aliases w:val="Beschriftung Char Char"/>
    <w:link w:val="Caption"/>
    <w:uiPriority w:val="35"/>
    <w:rPr>
      <w:b/>
      <w:sz w:val="24"/>
      <w:lang w:eastAsia="sl-SI"/>
    </w:rPr>
  </w:style>
  <w:style w:type="paragraph" w:customStyle="1" w:styleId="BalloonText1">
    <w:name w:val="Balloon Text1"/>
    <w:basedOn w:val="Normal"/>
    <w:semiHidden/>
    <w:pPr>
      <w:spacing w:after="0"/>
      <w:jc w:val="left"/>
    </w:pPr>
    <w:rPr>
      <w:rFonts w:ascii="Tahoma" w:hAnsi="Tahoma" w:cs="Tahoma"/>
      <w:sz w:val="16"/>
      <w:szCs w:val="16"/>
    </w:rPr>
  </w:style>
  <w:style w:type="paragraph" w:customStyle="1" w:styleId="Legend">
    <w:name w:val="Legend"/>
    <w:basedOn w:val="Normal"/>
    <w:next w:val="Normal"/>
    <w:pPr>
      <w:keepNext/>
      <w:widowControl w:val="0"/>
      <w:tabs>
        <w:tab w:val="left" w:pos="1789"/>
        <w:tab w:val="left" w:pos="3579"/>
        <w:tab w:val="left" w:pos="5368"/>
        <w:tab w:val="left" w:pos="7158"/>
        <w:tab w:val="left" w:pos="8948"/>
      </w:tabs>
      <w:spacing w:after="0"/>
      <w:jc w:val="left"/>
    </w:pPr>
    <w:rPr>
      <w:rFonts w:ascii="NewBskvll BT" w:hAnsi="NewBskvll BT"/>
      <w:b/>
      <w:sz w:val="16"/>
    </w:rPr>
  </w:style>
  <w:style w:type="character" w:styleId="FootnoteReference">
    <w:name w:val="footnote reference"/>
    <w:basedOn w:val="DefaultParagraphFont"/>
    <w:unhideWhenUsed/>
    <w:rPr>
      <w:vertAlign w:val="superscript"/>
    </w:rPr>
  </w:style>
  <w:style w:type="character" w:customStyle="1" w:styleId="FootnoteTextChar">
    <w:name w:val="Footnote Text Char"/>
    <w:aliases w:val="Footnote Char"/>
    <w:basedOn w:val="DefaultParagraphFont"/>
    <w:link w:val="FootnoteText"/>
    <w:semiHidden/>
    <w:rPr>
      <w:lang w:eastAsia="sl-S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sl-SI"/>
    </w:rPr>
  </w:style>
  <w:style w:type="character" w:customStyle="1" w:styleId="FooterCoverPageChar">
    <w:name w:val="Footer Cover Page Char"/>
    <w:basedOn w:val="Heading1Char"/>
    <w:link w:val="FooterCoverPage"/>
    <w:rPr>
      <w:b w:val="0"/>
      <w:smallCaps w:val="0"/>
      <w:sz w:val="24"/>
      <w:lang w:eastAsia="sl-SI"/>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sl-SI"/>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sl-S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aliases w:val="Beschriftung Char"/>
    <w:basedOn w:val="Normal"/>
    <w:next w:val="Normal"/>
    <w:link w:val="CaptionChar"/>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sl-SI"/>
    </w:rPr>
  </w:style>
  <w:style w:type="character" w:customStyle="1" w:styleId="HeaderChar">
    <w:name w:val="Header Char"/>
    <w:basedOn w:val="DefaultParagraphFont"/>
    <w:link w:val="Header"/>
    <w:uiPriority w:val="99"/>
    <w:rPr>
      <w:sz w:val="24"/>
      <w:lang w:eastAsia="sl-SI"/>
    </w:rPr>
  </w:style>
  <w:style w:type="character" w:customStyle="1" w:styleId="CaptionChar">
    <w:name w:val="Caption Char"/>
    <w:aliases w:val="Beschriftung Char Char"/>
    <w:link w:val="Caption"/>
    <w:uiPriority w:val="35"/>
    <w:rPr>
      <w:b/>
      <w:sz w:val="24"/>
      <w:lang w:eastAsia="sl-SI"/>
    </w:rPr>
  </w:style>
  <w:style w:type="paragraph" w:customStyle="1" w:styleId="BalloonText1">
    <w:name w:val="Balloon Text1"/>
    <w:basedOn w:val="Normal"/>
    <w:semiHidden/>
    <w:pPr>
      <w:spacing w:after="0"/>
      <w:jc w:val="left"/>
    </w:pPr>
    <w:rPr>
      <w:rFonts w:ascii="Tahoma" w:hAnsi="Tahoma" w:cs="Tahoma"/>
      <w:sz w:val="16"/>
      <w:szCs w:val="16"/>
    </w:rPr>
  </w:style>
  <w:style w:type="paragraph" w:customStyle="1" w:styleId="Legend">
    <w:name w:val="Legend"/>
    <w:basedOn w:val="Normal"/>
    <w:next w:val="Normal"/>
    <w:pPr>
      <w:keepNext/>
      <w:widowControl w:val="0"/>
      <w:tabs>
        <w:tab w:val="left" w:pos="1789"/>
        <w:tab w:val="left" w:pos="3579"/>
        <w:tab w:val="left" w:pos="5368"/>
        <w:tab w:val="left" w:pos="7158"/>
        <w:tab w:val="left" w:pos="8948"/>
      </w:tabs>
      <w:spacing w:after="0"/>
      <w:jc w:val="left"/>
    </w:pPr>
    <w:rPr>
      <w:rFonts w:ascii="NewBskvll BT" w:hAnsi="NewBskvll BT"/>
      <w:b/>
      <w:sz w:val="16"/>
    </w:rPr>
  </w:style>
  <w:style w:type="character" w:styleId="FootnoteReference">
    <w:name w:val="footnote reference"/>
    <w:basedOn w:val="DefaultParagraphFont"/>
    <w:unhideWhenUsed/>
    <w:rPr>
      <w:vertAlign w:val="superscript"/>
    </w:rPr>
  </w:style>
  <w:style w:type="character" w:customStyle="1" w:styleId="FootnoteTextChar">
    <w:name w:val="Footnote Text Char"/>
    <w:aliases w:val="Footnote Char"/>
    <w:basedOn w:val="DefaultParagraphFont"/>
    <w:link w:val="FootnoteText"/>
    <w:semiHidden/>
    <w:rPr>
      <w:lang w:eastAsia="sl-S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sl-SI"/>
    </w:rPr>
  </w:style>
  <w:style w:type="character" w:customStyle="1" w:styleId="FooterCoverPageChar">
    <w:name w:val="Footer Cover Page Char"/>
    <w:basedOn w:val="Heading1Char"/>
    <w:link w:val="FooterCoverPage"/>
    <w:rPr>
      <w:b w:val="0"/>
      <w:smallCaps w:val="0"/>
      <w:sz w:val="24"/>
      <w:lang w:eastAsia="sl-SI"/>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sl-SI"/>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FD36-5E27-4EAB-A047-4C4E2C84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17</TotalTime>
  <Pages>10</Pages>
  <Words>2389</Words>
  <Characters>12285</Characters>
  <Application>Microsoft Office Word</Application>
  <DocSecurity>0</DocSecurity>
  <PresentationFormat>Microsoft Word 14.0</PresentationFormat>
  <Lines>819</Lines>
  <Paragraphs>772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19</cp:revision>
  <dcterms:created xsi:type="dcterms:W3CDTF">2016-08-26T11:10:00Z</dcterms:created>
  <dcterms:modified xsi:type="dcterms:W3CDTF">2016-09-16T18:13:00Z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Ana Maria Danila</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y name="OP_sanitized" fmtid="{D5CDD505-2E9C-101B-9397-08002B2CF9AE}" pid="17">
    <vt:lpwstr>True</vt:lpwstr>
  </property>
</Properties>
</file>