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26C" w:rsidRDefault="00C677E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DBF8F74C1384C959B2803C59222CB8A" style="width:450.7pt;height:416.1pt">
            <v:imagedata r:id="rId9" o:title=""/>
          </v:shape>
        </w:pict>
      </w:r>
    </w:p>
    <w:bookmarkEnd w:id="0"/>
    <w:p w:rsidR="009F726C" w:rsidRDefault="009F726C">
      <w:pPr>
        <w:rPr>
          <w:noProof/>
        </w:rPr>
        <w:sectPr w:rsidR="009F726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9F726C" w:rsidRDefault="00C677E5">
      <w:pPr>
        <w:pStyle w:val="Heading1"/>
        <w:rPr>
          <w:noProof/>
          <w:szCs w:val="24"/>
        </w:rPr>
      </w:pPr>
      <w:r>
        <w:rPr>
          <w:noProof/>
        </w:rPr>
        <w:lastRenderedPageBreak/>
        <w:t>Uvod</w:t>
      </w:r>
    </w:p>
    <w:p w:rsidR="009F726C" w:rsidRDefault="00C677E5">
      <w:pPr>
        <w:pStyle w:val="CommentText"/>
        <w:spacing w:line="276" w:lineRule="auto"/>
        <w:rPr>
          <w:rFonts w:ascii="Times New Roman" w:hAnsi="Times New Roman"/>
          <w:noProof/>
          <w:sz w:val="24"/>
          <w:szCs w:val="24"/>
        </w:rPr>
      </w:pPr>
      <w:r>
        <w:rPr>
          <w:rFonts w:ascii="Times New Roman" w:hAnsi="Times New Roman"/>
          <w:noProof/>
          <w:sz w:val="24"/>
        </w:rPr>
        <w:t xml:space="preserve">Elektronske upravne storitve (e-uprava) podpirajo upravne postopke, izboljšujejo kakovost </w:t>
      </w:r>
      <w:r>
        <w:rPr>
          <w:rFonts w:ascii="Times New Roman" w:hAnsi="Times New Roman"/>
          <w:noProof/>
          <w:sz w:val="24"/>
        </w:rPr>
        <w:t>storitev in povečujejo notranjo učinkovitost javnega sektorja. S hitrejšimi, učinkovitejšimi, lažjimi, preglednejšimi in cenejšimi stiki z javnimi upravami digitalne javne storitve zmanjšujejo upravno breme za podjetja in državljane. Poleg tega lahko upora</w:t>
      </w:r>
      <w:r>
        <w:rPr>
          <w:rFonts w:ascii="Times New Roman" w:hAnsi="Times New Roman"/>
          <w:noProof/>
          <w:sz w:val="24"/>
        </w:rPr>
        <w:t>ba digitalnih tehnologij kot sestavnega dela vladnih strategij modernizacije družbi kot celoti prinese še dodatne gospodarske in družbene koristi</w:t>
      </w:r>
      <w:r>
        <w:rPr>
          <w:rStyle w:val="FootnoteReference"/>
          <w:noProof/>
          <w:sz w:val="22"/>
        </w:rPr>
        <w:footnoteReference w:id="1"/>
      </w:r>
      <w:r>
        <w:rPr>
          <w:rFonts w:ascii="Times New Roman" w:hAnsi="Times New Roman"/>
          <w:noProof/>
          <w:sz w:val="24"/>
        </w:rPr>
        <w:t>. Digitalna preobrazba uprave je za uspeh enotnega digitalnega trga ključnega pomena.</w:t>
      </w:r>
    </w:p>
    <w:p w:rsidR="009F726C" w:rsidRDefault="00C677E5">
      <w:pPr>
        <w:pStyle w:val="CommentText"/>
        <w:spacing w:line="276" w:lineRule="auto"/>
        <w:rPr>
          <w:rFonts w:ascii="Times New Roman" w:hAnsi="Times New Roman"/>
          <w:noProof/>
          <w:sz w:val="24"/>
          <w:szCs w:val="24"/>
        </w:rPr>
      </w:pPr>
      <w:r>
        <w:rPr>
          <w:rFonts w:ascii="Times New Roman" w:hAnsi="Times New Roman"/>
          <w:noProof/>
          <w:sz w:val="24"/>
        </w:rPr>
        <w:t>Akcijski načrti za e-upr</w:t>
      </w:r>
      <w:r>
        <w:rPr>
          <w:rFonts w:ascii="Times New Roman" w:hAnsi="Times New Roman"/>
          <w:noProof/>
          <w:sz w:val="24"/>
        </w:rPr>
        <w:t>avo</w:t>
      </w:r>
      <w:r>
        <w:rPr>
          <w:rStyle w:val="FootnoteReference"/>
          <w:noProof/>
          <w:sz w:val="22"/>
        </w:rPr>
        <w:footnoteReference w:id="2"/>
      </w:r>
      <w:r>
        <w:rPr>
          <w:rFonts w:ascii="Times New Roman" w:hAnsi="Times New Roman"/>
          <w:noProof/>
          <w:sz w:val="24"/>
        </w:rPr>
        <w:t xml:space="preserve"> so kot politični instrumenti prispevali k modernizaciji javnih uprav v Evropski uniji. Podpirali so usklajevanje in sodelovanje med državami članicami in Komisijo ter vodili k skupnemu ukrepanju na področju e-uprave. </w:t>
      </w:r>
    </w:p>
    <w:p w:rsidR="009F726C" w:rsidRDefault="00C677E5">
      <w:pPr>
        <w:pStyle w:val="CommentText"/>
        <w:spacing w:line="276" w:lineRule="auto"/>
        <w:rPr>
          <w:noProof/>
        </w:rPr>
      </w:pPr>
      <w:r>
        <w:rPr>
          <w:rFonts w:ascii="Times New Roman" w:hAnsi="Times New Roman"/>
          <w:noProof/>
          <w:sz w:val="24"/>
        </w:rPr>
        <w:t>Kot kažejo rezultati evalvacij pr</w:t>
      </w:r>
      <w:r>
        <w:rPr>
          <w:rFonts w:ascii="Times New Roman" w:hAnsi="Times New Roman"/>
          <w:noProof/>
          <w:sz w:val="24"/>
        </w:rPr>
        <w:t>eteklih akcijskih načrtov za e-upravo za obdobje 2011–2015</w:t>
      </w:r>
      <w:r>
        <w:rPr>
          <w:rStyle w:val="FootnoteReference"/>
          <w:noProof/>
          <w:sz w:val="22"/>
        </w:rPr>
        <w:footnoteReference w:id="3"/>
      </w:r>
      <w:r>
        <w:rPr>
          <w:rStyle w:val="FootnoteReference"/>
          <w:noProof/>
          <w:sz w:val="22"/>
        </w:rPr>
        <w:footnoteReference w:id="4"/>
      </w:r>
      <w:r>
        <w:rPr>
          <w:rFonts w:ascii="Times New Roman" w:hAnsi="Times New Roman"/>
          <w:noProof/>
          <w:sz w:val="24"/>
        </w:rPr>
        <w:t>, je akcijski načrt</w:t>
      </w:r>
      <w:r>
        <w:rPr>
          <w:rStyle w:val="FootnoteReference"/>
          <w:rFonts w:ascii="Times New Roman" w:hAnsi="Times New Roman"/>
          <w:noProof/>
          <w:sz w:val="24"/>
        </w:rPr>
        <w:footnoteReference w:id="5"/>
      </w:r>
      <w:r>
        <w:rPr>
          <w:rFonts w:ascii="Times New Roman" w:hAnsi="Times New Roman"/>
          <w:noProof/>
          <w:sz w:val="24"/>
        </w:rPr>
        <w:t xml:space="preserve"> pozitivno vplival na razvoj e-uprave na evropski ravni in na ravni držav članic. Prispeval je k skladnosti nacionalnih strategij za e-upravo ter izmenjavi najboljših praks in </w:t>
      </w:r>
      <w:r>
        <w:rPr>
          <w:rFonts w:ascii="Times New Roman" w:hAnsi="Times New Roman"/>
          <w:noProof/>
          <w:sz w:val="24"/>
        </w:rPr>
        <w:t>interoperabilnosti rešitev med državami članicami. Zlasti je povzročil razvoj tehnoloških dejavnikov, ki so ključni za lažji dostop do javnih storitev in njihovo uporabo. Vendar državljani in podjetja še niso deležni vseh koristi digitalnih storitev, ki bi</w:t>
      </w:r>
      <w:r>
        <w:rPr>
          <w:rFonts w:ascii="Times New Roman" w:hAnsi="Times New Roman"/>
          <w:noProof/>
          <w:sz w:val="24"/>
        </w:rPr>
        <w:t xml:space="preserve"> jim morale biti na voljo nemoteno po vsej EU.</w:t>
      </w:r>
      <w:r>
        <w:rPr>
          <w:noProof/>
        </w:rPr>
        <w:t xml:space="preserve"> </w:t>
      </w:r>
    </w:p>
    <w:p w:rsidR="009F726C" w:rsidRDefault="00C677E5">
      <w:pPr>
        <w:rPr>
          <w:rFonts w:ascii="Times New Roman" w:hAnsi="Times New Roman"/>
          <w:noProof/>
          <w:sz w:val="24"/>
          <w:szCs w:val="24"/>
        </w:rPr>
      </w:pPr>
      <w:r>
        <w:rPr>
          <w:rFonts w:ascii="Times New Roman" w:hAnsi="Times New Roman"/>
          <w:noProof/>
          <w:sz w:val="24"/>
        </w:rPr>
        <w:t xml:space="preserve">S skupnimi prizadevanji na ravni Evropske unije se lahko poveča razpoložljivost in uvajanje storitev e-uprave, zaradi česar bodo digitalne javne storitve hitrejše, cenejše in prijaznejše uporabniku. Nemotene </w:t>
      </w:r>
      <w:r>
        <w:rPr>
          <w:rFonts w:ascii="Times New Roman" w:hAnsi="Times New Roman"/>
          <w:noProof/>
          <w:sz w:val="24"/>
        </w:rPr>
        <w:t>čezmejne in digitalne javne storitve prispevajo h konkurenčnosti in povečujejo privlačnost EU za vlagatelje</w:t>
      </w:r>
      <w:r>
        <w:rPr>
          <w:rStyle w:val="FootnoteReference"/>
          <w:rFonts w:ascii="Times New Roman" w:hAnsi="Times New Roman"/>
          <w:noProof/>
          <w:sz w:val="24"/>
        </w:rPr>
        <w:footnoteReference w:id="6"/>
      </w:r>
      <w:r>
        <w:rPr>
          <w:rFonts w:ascii="Times New Roman" w:hAnsi="Times New Roman"/>
          <w:noProof/>
          <w:sz w:val="24"/>
        </w:rPr>
        <w:t xml:space="preserve"> in prebivalce. </w:t>
      </w:r>
    </w:p>
    <w:p w:rsidR="009F726C" w:rsidRDefault="00C677E5">
      <w:pPr>
        <w:rPr>
          <w:rFonts w:ascii="Times New Roman" w:hAnsi="Times New Roman" w:cs="Times New Roman"/>
          <w:noProof/>
          <w:sz w:val="24"/>
          <w:szCs w:val="24"/>
        </w:rPr>
      </w:pPr>
      <w:r>
        <w:rPr>
          <w:rFonts w:ascii="Times New Roman" w:hAnsi="Times New Roman"/>
          <w:noProof/>
          <w:sz w:val="24"/>
        </w:rPr>
        <w:t>V strategiji za enotni digitalni trg za Evropo</w:t>
      </w:r>
      <w:r>
        <w:rPr>
          <w:rStyle w:val="FootnoteReference"/>
          <w:noProof/>
        </w:rPr>
        <w:footnoteReference w:id="7"/>
      </w:r>
      <w:r>
        <w:rPr>
          <w:rFonts w:ascii="Times New Roman" w:hAnsi="Times New Roman"/>
          <w:noProof/>
          <w:sz w:val="24"/>
        </w:rPr>
        <w:t xml:space="preserve"> je napovedan začetek novega akcijskega načrta za e-upravo za obdobje 2016–2020, kat</w:t>
      </w:r>
      <w:r>
        <w:rPr>
          <w:rFonts w:ascii="Times New Roman" w:hAnsi="Times New Roman"/>
          <w:noProof/>
          <w:sz w:val="24"/>
        </w:rPr>
        <w:t>erega cilj je odprava obstoječih digitalnih ovir za enotni digitalni trg in preprečitev nadaljnje razdrobljenosti v zvezi s posodobitvijo javnih uprav. Namen tega akcijskega načrta EU za e-upravo je združevanje prizadevanj. Čeprav države članice izvajajo s</w:t>
      </w:r>
      <w:r>
        <w:rPr>
          <w:rFonts w:ascii="Times New Roman" w:hAnsi="Times New Roman"/>
          <w:noProof/>
          <w:sz w:val="24"/>
        </w:rPr>
        <w:t>voje lastne strategije in dejavnosti, bi morale prihodnje pobude upoštevati več načel iz tega akcijskega načrta – ki temelji na skupni dolgoročni viziji – s čimer bi se uresničile znatne koristi, ki jih e-uprava lahko prinese podjetjem, državljanom in javn</w:t>
      </w:r>
      <w:r>
        <w:rPr>
          <w:rFonts w:ascii="Times New Roman" w:hAnsi="Times New Roman"/>
          <w:noProof/>
          <w:sz w:val="24"/>
        </w:rPr>
        <w:t>im upravam.</w:t>
      </w:r>
    </w:p>
    <w:p w:rsidR="009F726C" w:rsidRDefault="00C677E5">
      <w:pPr>
        <w:rPr>
          <w:rFonts w:ascii="Times New Roman" w:eastAsia="Calibri" w:hAnsi="Times New Roman" w:cs="Times New Roman"/>
          <w:noProof/>
          <w:sz w:val="24"/>
          <w:szCs w:val="24"/>
        </w:rPr>
      </w:pPr>
      <w:r>
        <w:rPr>
          <w:rFonts w:ascii="Times New Roman" w:hAnsi="Times New Roman"/>
          <w:noProof/>
          <w:sz w:val="24"/>
        </w:rPr>
        <w:t>V akcijskem načrtu je določen dinamičen in prožen pristop, ki sledi hitro spreminjajočemu se okolju</w:t>
      </w:r>
      <w:r>
        <w:rPr>
          <w:rStyle w:val="FootnoteReference"/>
          <w:noProof/>
        </w:rPr>
        <w:footnoteReference w:id="8"/>
      </w:r>
      <w:r>
        <w:rPr>
          <w:rFonts w:ascii="Times New Roman" w:hAnsi="Times New Roman"/>
          <w:noProof/>
          <w:sz w:val="24"/>
        </w:rPr>
        <w:t xml:space="preserve">. Poleg ukrepov iz tega akcijskega načrta lahko Komisija ali zainteresirane strani, </w:t>
      </w:r>
      <w:r>
        <w:rPr>
          <w:rFonts w:ascii="Times New Roman" w:hAnsi="Times New Roman"/>
          <w:noProof/>
          <w:sz w:val="24"/>
        </w:rPr>
        <w:lastRenderedPageBreak/>
        <w:t xml:space="preserve">vključno z državami članicami, predlagajo dodatne ukrepe. </w:t>
      </w:r>
      <w:r>
        <w:rPr>
          <w:rFonts w:ascii="Times New Roman" w:hAnsi="Times New Roman"/>
          <w:noProof/>
          <w:sz w:val="24"/>
        </w:rPr>
        <w:t>Vsi ukrepi pod vodstvom Komisije bodo pripravljeni v skladu s standardi Komisije za boljšo pripravo zakonodaje.</w:t>
      </w:r>
    </w:p>
    <w:p w:rsidR="009F726C" w:rsidRDefault="00C677E5">
      <w:pPr>
        <w:rPr>
          <w:rFonts w:ascii="Times New Roman" w:hAnsi="Times New Roman" w:cs="Times New Roman"/>
          <w:noProof/>
          <w:sz w:val="24"/>
          <w:szCs w:val="24"/>
        </w:rPr>
      </w:pPr>
      <w:r>
        <w:rPr>
          <w:rFonts w:ascii="Times New Roman" w:hAnsi="Times New Roman"/>
          <w:noProof/>
          <w:sz w:val="24"/>
        </w:rPr>
        <w:t>Akcijski načrt bo pospešil usklajevanje prizadevanj za posodobitev javnega sektorja in virov na področju e-uprave. Akcijski načrt ne bo imel nam</w:t>
      </w:r>
      <w:r>
        <w:rPr>
          <w:rFonts w:ascii="Times New Roman" w:hAnsi="Times New Roman"/>
          <w:noProof/>
          <w:sz w:val="24"/>
        </w:rPr>
        <w:t>enskega proračuna ali instrumenta za financiranje, vendar bo pripomogel k usklajevanju virov financiranja in spremljevalnih ukrepov, ki so na voljo državam članicam v okviru različnih programov EU</w:t>
      </w:r>
      <w:r>
        <w:rPr>
          <w:rStyle w:val="FootnoteReference"/>
          <w:noProof/>
        </w:rPr>
        <w:footnoteReference w:id="9"/>
      </w:r>
      <w:r>
        <w:rPr>
          <w:rFonts w:ascii="Times New Roman" w:hAnsi="Times New Roman"/>
          <w:noProof/>
          <w:sz w:val="24"/>
        </w:rPr>
        <w:t xml:space="preserve">. </w:t>
      </w:r>
    </w:p>
    <w:p w:rsidR="009F726C" w:rsidRDefault="00C677E5">
      <w:pPr>
        <w:pStyle w:val="Heading1"/>
        <w:rPr>
          <w:noProof/>
          <w:szCs w:val="24"/>
        </w:rPr>
      </w:pPr>
      <w:r>
        <w:rPr>
          <w:noProof/>
        </w:rPr>
        <w:t>Vizija in temeljna načela</w:t>
      </w:r>
    </w:p>
    <w:p w:rsidR="009F726C" w:rsidRDefault="00C677E5">
      <w:pPr>
        <w:rPr>
          <w:rFonts w:ascii="Times New Roman" w:hAnsi="Times New Roman" w:cs="Times New Roman"/>
          <w:noProof/>
          <w:sz w:val="24"/>
          <w:szCs w:val="24"/>
        </w:rPr>
      </w:pPr>
      <w:r>
        <w:rPr>
          <w:rFonts w:ascii="Times New Roman" w:hAnsi="Times New Roman"/>
          <w:noProof/>
          <w:sz w:val="24"/>
        </w:rPr>
        <w:t>Vlade držav članic v svojih od</w:t>
      </w:r>
      <w:r>
        <w:rPr>
          <w:rFonts w:ascii="Times New Roman" w:hAnsi="Times New Roman"/>
          <w:noProof/>
          <w:sz w:val="24"/>
        </w:rPr>
        <w:t>nosih z državljani in podjetji že dolgo težijo k odprtosti, prožnosti in sodelovanju, pri čemer uporabljajo e-upravo za povečevanje svoje učinkovitosti in uspešnosti ter stalno izboljševanje javnih storitev</w:t>
      </w:r>
      <w:r>
        <w:rPr>
          <w:rStyle w:val="FootnoteReference"/>
          <w:noProof/>
        </w:rPr>
        <w:footnoteReference w:id="10"/>
      </w:r>
      <w:r>
        <w:rPr>
          <w:rFonts w:ascii="Times New Roman" w:hAnsi="Times New Roman"/>
          <w:noProof/>
          <w:sz w:val="24"/>
        </w:rPr>
        <w:t xml:space="preserve">. </w:t>
      </w:r>
    </w:p>
    <w:p w:rsidR="009F726C" w:rsidRDefault="00C677E5">
      <w:pPr>
        <w:rPr>
          <w:noProof/>
        </w:rPr>
      </w:pPr>
      <w:r>
        <w:rPr>
          <w:rFonts w:ascii="Times New Roman" w:hAnsi="Times New Roman"/>
          <w:noProof/>
          <w:sz w:val="24"/>
        </w:rPr>
        <w:t xml:space="preserve">Ta akcijski načrt je usmerjala naslednja </w:t>
      </w:r>
      <w:r>
        <w:rPr>
          <w:rFonts w:ascii="Times New Roman" w:hAnsi="Times New Roman"/>
          <w:noProof/>
          <w:sz w:val="24"/>
        </w:rPr>
        <w:t>vizija:</w:t>
      </w:r>
    </w:p>
    <w:p w:rsidR="009F726C" w:rsidRDefault="00C677E5">
      <w:pPr>
        <w:pBdr>
          <w:top w:val="single" w:sz="4" w:space="1" w:color="auto"/>
          <w:left w:val="single" w:sz="4" w:space="4" w:color="auto"/>
          <w:bottom w:val="single" w:sz="4" w:space="1" w:color="auto"/>
          <w:right w:val="single" w:sz="4" w:space="4" w:color="auto"/>
        </w:pBdr>
        <w:shd w:val="clear" w:color="auto" w:fill="C7C7C7" w:themeFill="background1" w:themeFillShade="D9"/>
        <w:ind w:left="360"/>
        <w:rPr>
          <w:rFonts w:ascii="Times New Roman" w:hAnsi="Times New Roman" w:cs="Times New Roman"/>
          <w:noProof/>
          <w:sz w:val="24"/>
          <w:szCs w:val="24"/>
        </w:rPr>
      </w:pPr>
      <w:r>
        <w:rPr>
          <w:rFonts w:ascii="Times New Roman" w:hAnsi="Times New Roman"/>
          <w:noProof/>
          <w:sz w:val="24"/>
        </w:rPr>
        <w:t>do leta 2020 bi morale biti javne uprave in institucije v Evropski uniji odprte, učinkovite in vključujoče, zagotavljati bi morale brezmejne, personalizirane, uporabniku prijazne, vseobsežne javne storitve vsem državljanom in podjetjem v EU. Za obl</w:t>
      </w:r>
      <w:r>
        <w:rPr>
          <w:rFonts w:ascii="Times New Roman" w:hAnsi="Times New Roman"/>
          <w:noProof/>
          <w:sz w:val="24"/>
        </w:rPr>
        <w:t>ikovanje in zagotavljanje boljših storitev se glede na potrebe in zahteve državljanov in podjetij uporabljajo inovativni pristopi. Javne uprave za olajšanje svojega medsebojnega sodelovanja z zainteresiranimi strani izkoriščajo priložnosti, ki jih ponuja n</w:t>
      </w:r>
      <w:r>
        <w:rPr>
          <w:rFonts w:ascii="Times New Roman" w:hAnsi="Times New Roman"/>
          <w:noProof/>
          <w:sz w:val="24"/>
        </w:rPr>
        <w:t>ovo digitalno okolje.</w:t>
      </w:r>
    </w:p>
    <w:p w:rsidR="009F726C" w:rsidRDefault="00C677E5">
      <w:pPr>
        <w:rPr>
          <w:rFonts w:ascii="Times New Roman" w:hAnsi="Times New Roman" w:cs="Times New Roman"/>
          <w:noProof/>
          <w:sz w:val="24"/>
          <w:szCs w:val="24"/>
        </w:rPr>
      </w:pPr>
      <w:r>
        <w:rPr>
          <w:rFonts w:ascii="Times New Roman" w:hAnsi="Times New Roman"/>
          <w:noProof/>
          <w:sz w:val="24"/>
        </w:rPr>
        <w:t>Odprtje podatkov in storitev med javnimi upravami znotraj države ter čezmejno bo povečalo njihovo učinkovitost in olajšalo prosto gibanje državljanov in podjetij. Življenja državljanov so vedno bolj digitalna, kar zvišuje pričakovanja</w:t>
      </w:r>
      <w:r>
        <w:rPr>
          <w:rFonts w:ascii="Times New Roman" w:hAnsi="Times New Roman"/>
          <w:noProof/>
          <w:sz w:val="24"/>
        </w:rPr>
        <w:t xml:space="preserve"> glede učinkovitosti javne uprave</w:t>
      </w:r>
      <w:r>
        <w:rPr>
          <w:rStyle w:val="FootnoteReference"/>
          <w:noProof/>
        </w:rPr>
        <w:footnoteReference w:id="11"/>
      </w:r>
      <w:r>
        <w:rPr>
          <w:rFonts w:ascii="Times New Roman" w:hAnsi="Times New Roman"/>
          <w:noProof/>
          <w:sz w:val="24"/>
        </w:rPr>
        <w:t>. Uporabniki bi radi razumeli, kako storitev deluje</w:t>
      </w:r>
      <w:r>
        <w:rPr>
          <w:rStyle w:val="FootnoteReference"/>
          <w:noProof/>
        </w:rPr>
        <w:footnoteReference w:id="12"/>
      </w:r>
      <w:r>
        <w:rPr>
          <w:rFonts w:ascii="Times New Roman" w:hAnsi="Times New Roman"/>
          <w:noProof/>
          <w:sz w:val="24"/>
        </w:rPr>
        <w:t>, in pričakujejo večjo preglednost.</w:t>
      </w:r>
      <w:r>
        <w:rPr>
          <w:rFonts w:ascii="Times New Roman" w:hAnsi="Times New Roman"/>
          <w:b/>
          <w:noProof/>
          <w:sz w:val="24"/>
        </w:rPr>
        <w:t xml:space="preserve"> </w:t>
      </w:r>
      <w:r>
        <w:rPr>
          <w:rFonts w:ascii="Times New Roman" w:hAnsi="Times New Roman"/>
          <w:noProof/>
          <w:sz w:val="24"/>
        </w:rPr>
        <w:t>Poleg tega bodo javne uprave z večjo odprtostjo in sodelovanjem z zainteresiranimi stranmi pri odločanju</w:t>
      </w:r>
      <w:r>
        <w:rPr>
          <w:rStyle w:val="FootnoteReference"/>
          <w:noProof/>
        </w:rPr>
        <w:footnoteReference w:id="13"/>
      </w:r>
      <w:r>
        <w:rPr>
          <w:rFonts w:ascii="Times New Roman" w:hAnsi="Times New Roman"/>
          <w:noProof/>
          <w:sz w:val="24"/>
        </w:rPr>
        <w:t xml:space="preserve"> postale bolj verodostojne in</w:t>
      </w:r>
      <w:r>
        <w:rPr>
          <w:rFonts w:ascii="Times New Roman" w:hAnsi="Times New Roman"/>
          <w:noProof/>
          <w:sz w:val="24"/>
        </w:rPr>
        <w:t xml:space="preserve"> odgovorne za svoja dejanja. Odpiranje podatkov in storitev javnega sektorja tretjim stranem lahko poleg tega ob polnem upoštevanju pravnega okvira za varstvo osebnih podatkov in zasebnost prispeva k rasti in konkurenčnosti.</w:t>
      </w:r>
    </w:p>
    <w:p w:rsidR="009F726C" w:rsidRDefault="00C677E5">
      <w:pPr>
        <w:spacing w:before="60" w:after="60"/>
        <w:rPr>
          <w:rFonts w:ascii="Times New Roman" w:hAnsi="Times New Roman" w:cs="Times New Roman"/>
          <w:noProof/>
          <w:sz w:val="24"/>
          <w:szCs w:val="24"/>
        </w:rPr>
      </w:pPr>
      <w:r>
        <w:rPr>
          <w:rFonts w:ascii="Times New Roman" w:hAnsi="Times New Roman"/>
          <w:noProof/>
          <w:sz w:val="24"/>
        </w:rPr>
        <w:t>Sprožene pobude v okviru tega a</w:t>
      </w:r>
      <w:r>
        <w:rPr>
          <w:rFonts w:ascii="Times New Roman" w:hAnsi="Times New Roman"/>
          <w:noProof/>
          <w:sz w:val="24"/>
        </w:rPr>
        <w:t>kcijskega načrta bi morale upoštevati naslednja temeljna načela, ki jih močno podpirajo zainteresirane strani</w:t>
      </w:r>
      <w:r>
        <w:rPr>
          <w:rStyle w:val="FootnoteReference"/>
          <w:noProof/>
        </w:rPr>
        <w:t xml:space="preserve"> </w:t>
      </w:r>
      <w:r>
        <w:rPr>
          <w:rStyle w:val="FootnoteReference"/>
          <w:noProof/>
        </w:rPr>
        <w:footnoteReference w:id="14"/>
      </w:r>
      <w:r>
        <w:rPr>
          <w:rFonts w:ascii="Times New Roman" w:hAnsi="Times New Roman"/>
          <w:noProof/>
          <w:sz w:val="24"/>
        </w:rPr>
        <w:t xml:space="preserve">: </w:t>
      </w:r>
    </w:p>
    <w:p w:rsidR="009F726C" w:rsidRDefault="00C677E5">
      <w:pPr>
        <w:pStyle w:val="ListParagraph"/>
        <w:numPr>
          <w:ilvl w:val="0"/>
          <w:numId w:val="33"/>
        </w:numPr>
        <w:rPr>
          <w:rFonts w:ascii="Times New Roman" w:hAnsi="Times New Roman"/>
          <w:noProof/>
          <w:sz w:val="24"/>
          <w:szCs w:val="24"/>
        </w:rPr>
      </w:pPr>
      <w:r>
        <w:rPr>
          <w:rFonts w:ascii="Times New Roman" w:hAnsi="Times New Roman"/>
          <w:noProof/>
          <w:sz w:val="24"/>
          <w:u w:val="single"/>
        </w:rPr>
        <w:t>Privzeto digitalno</w:t>
      </w:r>
      <w:r>
        <w:rPr>
          <w:rFonts w:ascii="Times New Roman" w:hAnsi="Times New Roman"/>
          <w:noProof/>
          <w:sz w:val="24"/>
        </w:rPr>
        <w:t>: javna uprava bi morala storitve zagotavljati v prvi vrsti digitalno (vključno s strojno berljivimi informacijami), šele na</w:t>
      </w:r>
      <w:r>
        <w:rPr>
          <w:rFonts w:ascii="Times New Roman" w:hAnsi="Times New Roman"/>
          <w:noProof/>
          <w:sz w:val="24"/>
        </w:rPr>
        <w:t>to prek drugih kanalov (ki pa bi bili še vedno odprti za tiste, ki do digitalnih ne želijo ali ne morejo dostopati). Poleg tega bi bilo treba javne storitve izvajati prek enotne kontaktne točke ali sistema vse na enem mestu in prek različnih kanalov.</w:t>
      </w:r>
    </w:p>
    <w:p w:rsidR="009F726C" w:rsidRDefault="00C677E5">
      <w:pPr>
        <w:pStyle w:val="ListParagraph"/>
        <w:numPr>
          <w:ilvl w:val="0"/>
          <w:numId w:val="33"/>
        </w:numPr>
        <w:rPr>
          <w:rFonts w:ascii="Times New Roman" w:hAnsi="Times New Roman"/>
          <w:noProof/>
          <w:sz w:val="24"/>
          <w:szCs w:val="24"/>
        </w:rPr>
      </w:pPr>
      <w:r>
        <w:rPr>
          <w:rFonts w:ascii="Times New Roman" w:hAnsi="Times New Roman"/>
          <w:noProof/>
          <w:sz w:val="24"/>
          <w:u w:val="single"/>
        </w:rPr>
        <w:t>Načel</w:t>
      </w:r>
      <w:r>
        <w:rPr>
          <w:rFonts w:ascii="Times New Roman" w:hAnsi="Times New Roman"/>
          <w:noProof/>
          <w:sz w:val="24"/>
          <w:u w:val="single"/>
        </w:rPr>
        <w:t>o „samo enkrat“</w:t>
      </w:r>
      <w:r>
        <w:rPr>
          <w:rFonts w:ascii="Times New Roman" w:hAnsi="Times New Roman"/>
          <w:noProof/>
          <w:sz w:val="24"/>
        </w:rPr>
        <w:t>: javne uprave bi morale zagotoviti, da državljanom in podjetjem istega podatka javni upravi ni treba predložiti večkrat. Če je to dovoljeno in ob upoštevanju pravil glede varstva podatkov, uradi javne uprave podatek interno ponovno uporabij</w:t>
      </w:r>
      <w:r>
        <w:rPr>
          <w:rFonts w:ascii="Times New Roman" w:hAnsi="Times New Roman"/>
          <w:noProof/>
          <w:sz w:val="24"/>
        </w:rPr>
        <w:t xml:space="preserve">o, s čimer za državljane in podjetja ne nastanejo dodatna bremena. </w:t>
      </w:r>
    </w:p>
    <w:p w:rsidR="009F726C" w:rsidRDefault="00C677E5">
      <w:pPr>
        <w:pStyle w:val="ListParagraph"/>
        <w:numPr>
          <w:ilvl w:val="0"/>
          <w:numId w:val="33"/>
        </w:numPr>
        <w:spacing w:before="60" w:after="60"/>
        <w:rPr>
          <w:rFonts w:ascii="Times New Roman" w:hAnsi="Times New Roman"/>
          <w:noProof/>
          <w:sz w:val="24"/>
          <w:szCs w:val="24"/>
          <w:u w:val="single"/>
        </w:rPr>
      </w:pPr>
      <w:r>
        <w:rPr>
          <w:rFonts w:ascii="Times New Roman" w:hAnsi="Times New Roman"/>
          <w:noProof/>
          <w:sz w:val="24"/>
          <w:u w:val="single"/>
        </w:rPr>
        <w:t>Vključevalnost in dostopnost</w:t>
      </w:r>
      <w:r>
        <w:rPr>
          <w:rFonts w:ascii="Times New Roman" w:hAnsi="Times New Roman"/>
          <w:noProof/>
          <w:sz w:val="24"/>
        </w:rPr>
        <w:t>: javne uprave bi morale oblikovati digitalne javne storitve, ki so privzeto vključujoče in zadovoljujejo različne potrebe, kot so npr. potrebe starejših in inv</w:t>
      </w:r>
      <w:r>
        <w:rPr>
          <w:rFonts w:ascii="Times New Roman" w:hAnsi="Times New Roman"/>
          <w:noProof/>
          <w:sz w:val="24"/>
        </w:rPr>
        <w:t>alidov</w:t>
      </w:r>
      <w:r>
        <w:rPr>
          <w:rStyle w:val="FootnoteReference"/>
          <w:rFonts w:ascii="Times New Roman" w:hAnsi="Times New Roman"/>
          <w:noProof/>
          <w:sz w:val="24"/>
        </w:rPr>
        <w:footnoteReference w:id="15"/>
      </w:r>
      <w:r>
        <w:rPr>
          <w:rFonts w:ascii="Times New Roman" w:hAnsi="Times New Roman"/>
          <w:noProof/>
          <w:sz w:val="24"/>
        </w:rPr>
        <w:t>.</w:t>
      </w:r>
    </w:p>
    <w:p w:rsidR="009F726C" w:rsidRDefault="00C677E5">
      <w:pPr>
        <w:pStyle w:val="ListParagraph"/>
        <w:numPr>
          <w:ilvl w:val="0"/>
          <w:numId w:val="33"/>
        </w:numPr>
        <w:spacing w:before="60" w:after="60"/>
        <w:rPr>
          <w:rFonts w:ascii="Times New Roman" w:hAnsi="Times New Roman"/>
          <w:noProof/>
          <w:sz w:val="24"/>
          <w:szCs w:val="24"/>
        </w:rPr>
      </w:pPr>
      <w:r>
        <w:rPr>
          <w:rFonts w:ascii="Times New Roman" w:hAnsi="Times New Roman"/>
          <w:noProof/>
          <w:sz w:val="24"/>
          <w:u w:val="single"/>
        </w:rPr>
        <w:t>Odprtost in preglednost</w:t>
      </w:r>
      <w:r>
        <w:rPr>
          <w:rFonts w:ascii="Times New Roman" w:hAnsi="Times New Roman"/>
          <w:noProof/>
          <w:sz w:val="24"/>
        </w:rPr>
        <w:t>: javne uprave bi si morale izmenjavati informacije in podatke ter državljanom in podjetjem omogočiti dostop do nadzora in popravljanja svojih podatkov; uporabnikom bi morale omogočati spremljanje upravnih postopkov, ki jih zadevajo; odprto in dejavno bi m</w:t>
      </w:r>
      <w:r>
        <w:rPr>
          <w:rFonts w:ascii="Times New Roman" w:hAnsi="Times New Roman"/>
          <w:noProof/>
          <w:sz w:val="24"/>
        </w:rPr>
        <w:t xml:space="preserve">orale sodelovati z zainteresiranimi stranmi (na primer podjetji, raziskovalci in nepridobitnimi organizacijami) pri oblikovanju in zagotavljanju storitev. </w:t>
      </w:r>
    </w:p>
    <w:p w:rsidR="009F726C" w:rsidRDefault="00C677E5">
      <w:pPr>
        <w:pStyle w:val="ListParagraph"/>
        <w:numPr>
          <w:ilvl w:val="0"/>
          <w:numId w:val="33"/>
        </w:numPr>
        <w:rPr>
          <w:rFonts w:ascii="Times New Roman" w:hAnsi="Times New Roman"/>
          <w:noProof/>
          <w:sz w:val="24"/>
          <w:szCs w:val="24"/>
          <w:u w:val="single"/>
        </w:rPr>
      </w:pPr>
      <w:r>
        <w:rPr>
          <w:rFonts w:ascii="Times New Roman" w:hAnsi="Times New Roman"/>
          <w:noProof/>
          <w:sz w:val="24"/>
          <w:u w:val="single"/>
        </w:rPr>
        <w:t>Privzeta čezmejnost</w:t>
      </w:r>
      <w:r>
        <w:rPr>
          <w:rFonts w:ascii="Times New Roman" w:hAnsi="Times New Roman"/>
          <w:noProof/>
          <w:sz w:val="24"/>
        </w:rPr>
        <w:t>: javne uprave bi morale dati na razpolago ustrezne digitalne javne storitve čezm</w:t>
      </w:r>
      <w:r>
        <w:rPr>
          <w:rFonts w:ascii="Times New Roman" w:hAnsi="Times New Roman"/>
          <w:noProof/>
          <w:sz w:val="24"/>
        </w:rPr>
        <w:t>ejno in preprečiti nadaljnjo razdrobljenost, s čimer bi se olajšala mobilnost znotraj enotnega trga.</w:t>
      </w:r>
      <w:r>
        <w:rPr>
          <w:rFonts w:ascii="Times New Roman" w:hAnsi="Times New Roman"/>
          <w:noProof/>
          <w:sz w:val="24"/>
          <w:u w:val="single"/>
        </w:rPr>
        <w:t xml:space="preserve"> </w:t>
      </w:r>
    </w:p>
    <w:p w:rsidR="009F726C" w:rsidRDefault="00C677E5">
      <w:pPr>
        <w:pStyle w:val="ListParagraph"/>
        <w:numPr>
          <w:ilvl w:val="0"/>
          <w:numId w:val="33"/>
        </w:numPr>
        <w:rPr>
          <w:rFonts w:ascii="Times New Roman" w:hAnsi="Times New Roman"/>
          <w:noProof/>
          <w:sz w:val="24"/>
          <w:szCs w:val="24"/>
        </w:rPr>
      </w:pPr>
      <w:r>
        <w:rPr>
          <w:rFonts w:ascii="Times New Roman" w:hAnsi="Times New Roman"/>
          <w:noProof/>
          <w:sz w:val="24"/>
          <w:u w:val="single"/>
        </w:rPr>
        <w:t>Privzeta interoperabilnost</w:t>
      </w:r>
      <w:r>
        <w:rPr>
          <w:rFonts w:ascii="Times New Roman" w:hAnsi="Times New Roman"/>
          <w:noProof/>
          <w:sz w:val="24"/>
        </w:rPr>
        <w:t>: javne storitve bi morale biti oblikovane tako, da delujejo nemoteno po vsem enotnem trgu in preko ozkih organizacijskih okviro</w:t>
      </w:r>
      <w:r>
        <w:rPr>
          <w:rFonts w:ascii="Times New Roman" w:hAnsi="Times New Roman"/>
          <w:noProof/>
          <w:sz w:val="24"/>
        </w:rPr>
        <w:t>v, pri čemer bi temeljile na prostem pretoku podatkov in digitalnih storitev v Evropski uniji.</w:t>
      </w:r>
    </w:p>
    <w:p w:rsidR="009F726C" w:rsidRDefault="00C677E5">
      <w:pPr>
        <w:pStyle w:val="ListParagraph"/>
        <w:numPr>
          <w:ilvl w:val="0"/>
          <w:numId w:val="33"/>
        </w:numPr>
        <w:rPr>
          <w:rFonts w:ascii="Times New Roman" w:hAnsi="Times New Roman"/>
          <w:noProof/>
          <w:sz w:val="24"/>
          <w:szCs w:val="24"/>
        </w:rPr>
      </w:pPr>
      <w:r>
        <w:rPr>
          <w:rFonts w:ascii="Times New Roman" w:hAnsi="Times New Roman"/>
          <w:noProof/>
          <w:sz w:val="24"/>
          <w:u w:val="single"/>
        </w:rPr>
        <w:t>Verodostojnost in varnost</w:t>
      </w:r>
      <w:r>
        <w:rPr>
          <w:rFonts w:ascii="Times New Roman" w:hAnsi="Times New Roman"/>
          <w:noProof/>
          <w:sz w:val="24"/>
        </w:rPr>
        <w:t>: z vključitvijo navedenih elementov v fazi oblikovanja bi morale vse pobude preseči le golo skladnost s pravnim okvirom o varstvu osebn</w:t>
      </w:r>
      <w:r>
        <w:rPr>
          <w:rFonts w:ascii="Times New Roman" w:hAnsi="Times New Roman"/>
          <w:noProof/>
          <w:sz w:val="24"/>
        </w:rPr>
        <w:t xml:space="preserve">ih podatkov in zasebnosti ter varnosti IT. Ti predpogoji so pomembni za povečanje zaupanja in uvajanje digitalnih storitev. </w:t>
      </w:r>
    </w:p>
    <w:p w:rsidR="009F726C" w:rsidRDefault="00C677E5">
      <w:pPr>
        <w:ind w:left="360"/>
        <w:rPr>
          <w:rFonts w:ascii="Times New Roman" w:hAnsi="Times New Roman"/>
          <w:noProof/>
          <w:sz w:val="24"/>
          <w:szCs w:val="24"/>
        </w:rPr>
      </w:pPr>
      <w:r>
        <w:rPr>
          <w:rFonts w:ascii="Times New Roman" w:hAnsi="Times New Roman"/>
          <w:noProof/>
          <w:sz w:val="24"/>
        </w:rPr>
        <w:t>Uprave, javni organi, podjetja in uporabniki sami najbolje vedo, kaj potrebujejo. Izbira sistemov in tehnologij ter odločitev za ce</w:t>
      </w:r>
      <w:r>
        <w:rPr>
          <w:rFonts w:ascii="Times New Roman" w:hAnsi="Times New Roman"/>
          <w:noProof/>
          <w:sz w:val="24"/>
        </w:rPr>
        <w:t>ntralizirano ali decentralizirano strukturo bi morali biti v celoti odvisni od njihovih odločitev in potreb, vendar popolnoma upoštevati dogovorjene zahteve glede interoperabilnosti.</w:t>
      </w:r>
    </w:p>
    <w:p w:rsidR="009F726C" w:rsidRDefault="00C677E5">
      <w:pPr>
        <w:pStyle w:val="Heading1"/>
        <w:rPr>
          <w:noProof/>
          <w:szCs w:val="24"/>
        </w:rPr>
      </w:pPr>
      <w:bookmarkStart w:id="1" w:name="_Toc435177060"/>
      <w:r>
        <w:rPr>
          <w:noProof/>
        </w:rPr>
        <w:t>Prednostne naloge politike</w:t>
      </w:r>
    </w:p>
    <w:p w:rsidR="009F726C" w:rsidRDefault="00C677E5">
      <w:pPr>
        <w:rPr>
          <w:rFonts w:ascii="Times New Roman" w:hAnsi="Times New Roman" w:cs="Times New Roman"/>
          <w:noProof/>
          <w:sz w:val="24"/>
          <w:szCs w:val="24"/>
        </w:rPr>
      </w:pPr>
      <w:r>
        <w:rPr>
          <w:rFonts w:ascii="Times New Roman" w:hAnsi="Times New Roman"/>
          <w:noProof/>
          <w:sz w:val="24"/>
        </w:rPr>
        <w:t>Strategija za enotni digitalni trg določa stra</w:t>
      </w:r>
      <w:r>
        <w:rPr>
          <w:rFonts w:ascii="Times New Roman" w:hAnsi="Times New Roman"/>
          <w:noProof/>
          <w:sz w:val="24"/>
        </w:rPr>
        <w:t>teške cilje za „posodobitev javne uprave, doseganje čezmejne interoperabilnosti in olajšanje stikov z državljani“, katerih cilj je pospešiti digitalno preoblikovanje javnih uprav v državah članicah in v Komisiji. Glede na te prednostne naloge politike ta a</w:t>
      </w:r>
      <w:r>
        <w:rPr>
          <w:rFonts w:ascii="Times New Roman" w:hAnsi="Times New Roman"/>
          <w:noProof/>
          <w:sz w:val="24"/>
        </w:rPr>
        <w:t xml:space="preserve">kcijski načrt določa konkretne ukrepe za pospešitev izvajanja obstoječe zakonodaje in s tem povezanega uvajanja spletnih javnih storitev. </w:t>
      </w:r>
    </w:p>
    <w:p w:rsidR="009F726C" w:rsidRDefault="00C677E5">
      <w:pPr>
        <w:pStyle w:val="Heading2"/>
        <w:rPr>
          <w:noProof/>
          <w:szCs w:val="24"/>
        </w:rPr>
      </w:pPr>
      <w:r>
        <w:rPr>
          <w:noProof/>
        </w:rPr>
        <w:t>Posodobitev javne uprave z IKT na osnovi ključnih digitalnih dejavnikov</w:t>
      </w:r>
    </w:p>
    <w:p w:rsidR="009F726C" w:rsidRDefault="00C677E5">
      <w:pPr>
        <w:rPr>
          <w:rFonts w:ascii="Times New Roman" w:hAnsi="Times New Roman" w:cs="Times New Roman"/>
          <w:noProof/>
          <w:sz w:val="24"/>
          <w:szCs w:val="24"/>
        </w:rPr>
      </w:pPr>
      <w:r>
        <w:rPr>
          <w:rFonts w:ascii="Times New Roman" w:hAnsi="Times New Roman"/>
          <w:noProof/>
          <w:sz w:val="24"/>
        </w:rPr>
        <w:t>Kot ugotavljajo zadnji letni pregledi rasti</w:t>
      </w:r>
      <w:r>
        <w:rPr>
          <w:rStyle w:val="FootnoteReference"/>
          <w:noProof/>
        </w:rPr>
        <w:footnoteReference w:id="16"/>
      </w:r>
      <w:r>
        <w:rPr>
          <w:rFonts w:ascii="Times New Roman" w:hAnsi="Times New Roman"/>
          <w:noProof/>
          <w:sz w:val="24"/>
        </w:rPr>
        <w:t>,</w:t>
      </w:r>
      <w:r>
        <w:rPr>
          <w:rFonts w:ascii="Times New Roman" w:hAnsi="Times New Roman"/>
          <w:noProof/>
          <w:sz w:val="24"/>
        </w:rPr>
        <w:t xml:space="preserve"> morajo sodobne in učinkovite javne uprave zagotavljati hitre in visokokakovostne storitve za državljane in podjetjem prijazno okolje. Javne uprave morajo preoblikovati svoje zaledne službe, premisliti in preoblikovati obstoječe postopke in storitve, odpre</w:t>
      </w:r>
      <w:r>
        <w:rPr>
          <w:rFonts w:ascii="Times New Roman" w:hAnsi="Times New Roman"/>
          <w:noProof/>
          <w:sz w:val="24"/>
        </w:rPr>
        <w:t>ti svoje podatke in storitve za druge uprave ter, kolikor je mogoče, za podjetja in civilno družbo.</w:t>
      </w:r>
    </w:p>
    <w:p w:rsidR="009F726C" w:rsidRDefault="00C677E5">
      <w:pPr>
        <w:rPr>
          <w:rFonts w:ascii="Times New Roman" w:eastAsia="Times New Roman" w:hAnsi="Times New Roman" w:cs="Times New Roman"/>
          <w:noProof/>
          <w:sz w:val="24"/>
          <w:szCs w:val="24"/>
        </w:rPr>
      </w:pPr>
      <w:r>
        <w:rPr>
          <w:rFonts w:ascii="Times New Roman" w:hAnsi="Times New Roman"/>
          <w:noProof/>
          <w:sz w:val="24"/>
        </w:rPr>
        <w:t xml:space="preserve">Ta prizadevanja morajo temeljiti na ključnih digitalnih dejavnikih. Da se zmanjšajo stroški njihovega razvoja, čas uvajanja in poveča interoperabilnost, bi </w:t>
      </w:r>
      <w:r>
        <w:rPr>
          <w:rFonts w:ascii="Times New Roman" w:hAnsi="Times New Roman"/>
          <w:noProof/>
          <w:sz w:val="24"/>
        </w:rPr>
        <w:t>morale digitalne javne storitve temeljiti na skupnih rešitvah, ki jih je mogoče ponovno uporabiti, in storitvah na podlagi dogovorjenih standardov ter tehničnih specifikacij. Skupno razumevanje interoperabilnosti v vsej Evropski uniji zagotavlja evropski o</w:t>
      </w:r>
      <w:r>
        <w:rPr>
          <w:rFonts w:ascii="Times New Roman" w:hAnsi="Times New Roman"/>
          <w:noProof/>
          <w:sz w:val="24"/>
        </w:rPr>
        <w:t>kvir interoperabilnosti</w:t>
      </w:r>
      <w:r>
        <w:rPr>
          <w:rStyle w:val="FootnoteReference"/>
          <w:noProof/>
        </w:rPr>
        <w:footnoteReference w:id="17"/>
      </w:r>
      <w:r>
        <w:rPr>
          <w:rFonts w:ascii="Times New Roman" w:hAnsi="Times New Roman"/>
          <w:noProof/>
          <w:sz w:val="24"/>
        </w:rPr>
        <w:t>. Čezmejne naložbe imajo lahko od te interoperabilnosti veliko koristi.</w:t>
      </w:r>
    </w:p>
    <w:p w:rsidR="009F726C" w:rsidRDefault="00C677E5">
      <w:pPr>
        <w:rPr>
          <w:rFonts w:ascii="Times New Roman" w:hAnsi="Times New Roman" w:cs="Times New Roman"/>
          <w:noProof/>
          <w:sz w:val="24"/>
          <w:szCs w:val="24"/>
        </w:rPr>
      </w:pPr>
      <w:r>
        <w:rPr>
          <w:rFonts w:ascii="Times New Roman" w:hAnsi="Times New Roman"/>
          <w:noProof/>
          <w:sz w:val="24"/>
        </w:rPr>
        <w:t>Nadaljujejo se prizadevanja, da bi podprli popoln prehod javnih uprav držav članic na e-javna naročila, uporabo pogodbenih registrov in interoperabilnih e-podpi</w:t>
      </w:r>
      <w:r>
        <w:rPr>
          <w:rFonts w:ascii="Times New Roman" w:hAnsi="Times New Roman"/>
          <w:noProof/>
          <w:sz w:val="24"/>
        </w:rPr>
        <w:t>sov</w:t>
      </w:r>
      <w:r>
        <w:rPr>
          <w:rStyle w:val="FootnoteReference"/>
          <w:noProof/>
        </w:rPr>
        <w:footnoteReference w:id="18"/>
      </w:r>
      <w:r>
        <w:rPr>
          <w:rFonts w:ascii="Times New Roman"/>
          <w:noProof/>
          <w:sz w:val="24"/>
        </w:rPr>
        <w:t>.</w:t>
      </w:r>
      <w:r>
        <w:rPr>
          <w:noProof/>
        </w:rPr>
        <w:t xml:space="preserve"> </w:t>
      </w:r>
      <w:r>
        <w:rPr>
          <w:rFonts w:ascii="Times New Roman" w:hAnsi="Times New Roman"/>
          <w:noProof/>
          <w:sz w:val="24"/>
        </w:rPr>
        <w:t>Osrednja pozornost je namenjena enotnemu evropskemu dokumentu v zvezi z oddajo javnega naročila, e-Certisu in izdajanju e-računov ter usklajenemu pristopu k razvoju nacionalnih sistemov e-javnega naročanja. Tako bi morala biti podjetjem do najpozneje</w:t>
      </w:r>
      <w:r>
        <w:rPr>
          <w:rFonts w:ascii="Times New Roman" w:hAnsi="Times New Roman"/>
          <w:noProof/>
          <w:sz w:val="24"/>
        </w:rPr>
        <w:t xml:space="preserve"> leta 2018 omogočena elektronska prijava na razpise za javna naročila kjer koli v Evropski uniji, do leta 2019 pa bodo javne uprave v EU uvedle sprejemanje izdajanja e-računov.</w:t>
      </w:r>
    </w:p>
    <w:p w:rsidR="009F726C" w:rsidRDefault="00C677E5">
      <w:pPr>
        <w:rPr>
          <w:rFonts w:ascii="Times New Roman" w:hAnsi="Times New Roman" w:cs="Times New Roman"/>
          <w:noProof/>
          <w:sz w:val="24"/>
          <w:szCs w:val="24"/>
        </w:rPr>
      </w:pPr>
      <w:r>
        <w:rPr>
          <w:rFonts w:ascii="Times New Roman" w:hAnsi="Times New Roman"/>
          <w:noProof/>
          <w:sz w:val="24"/>
        </w:rPr>
        <w:t>Potrebna so dodatna prizadevanja vseh uprav, da se pospeši uvajanje storitev el</w:t>
      </w:r>
      <w:r>
        <w:rPr>
          <w:rFonts w:ascii="Times New Roman" w:hAnsi="Times New Roman"/>
          <w:noProof/>
          <w:sz w:val="24"/>
        </w:rPr>
        <w:t>ektronske identifikacije in storitev zaupanja za elektronske transakcije na notranjem trgu (storitve eIDAS</w:t>
      </w:r>
      <w:r>
        <w:rPr>
          <w:rStyle w:val="FootnoteReference"/>
          <w:noProof/>
        </w:rPr>
        <w:footnoteReference w:id="19"/>
      </w:r>
      <w:r>
        <w:rPr>
          <w:rFonts w:ascii="Times New Roman" w:hAnsi="Times New Roman"/>
          <w:noProof/>
          <w:sz w:val="24"/>
        </w:rPr>
        <w:t>). V organizacijah, ki uporabljajo digitalne storitve (kot npr. v bančništvu, financah, e-trgovanju in ekonomiji delitve) in v javnem sektorju – zlas</w:t>
      </w:r>
      <w:r>
        <w:rPr>
          <w:rFonts w:ascii="Times New Roman" w:hAnsi="Times New Roman"/>
          <w:noProof/>
          <w:sz w:val="24"/>
        </w:rPr>
        <w:t>ti na portalu evropskega e-pravosodja – bodo sprejeti dodatni ukrepi za pospešitev čezmejne in medsektorske uporabe elektronske identifikacije (eID), vključno s storitvami mobilnih ID in storitev zaupanja (zlasti e-podpisa, avtentikacije spletnih strani in</w:t>
      </w:r>
      <w:r>
        <w:rPr>
          <w:rFonts w:ascii="Times New Roman" w:hAnsi="Times New Roman"/>
          <w:noProof/>
          <w:sz w:val="24"/>
        </w:rPr>
        <w:t xml:space="preserve"> spletnih storitev priporočene dostave). Komisija bo prav tako preučila potrebo po lažji uporabi identifikacije na daljavo in varne avtentikacije na področju maloprodajnih finančnih storitev.</w:t>
      </w:r>
      <w:r>
        <w:rPr>
          <w:rStyle w:val="FootnoteReference"/>
          <w:noProof/>
        </w:rPr>
        <w:footnoteReference w:id="20"/>
      </w:r>
    </w:p>
    <w:p w:rsidR="009F726C" w:rsidRDefault="00C677E5">
      <w:pPr>
        <w:pStyle w:val="ListParagraph"/>
        <w:spacing w:after="240"/>
        <w:ind w:left="0"/>
        <w:rPr>
          <w:rFonts w:ascii="Times New Roman" w:hAnsi="Times New Roman"/>
          <w:noProof/>
          <w:sz w:val="24"/>
          <w:szCs w:val="24"/>
        </w:rPr>
      </w:pPr>
      <w:bookmarkStart w:id="2" w:name="_ftnref1"/>
      <w:bookmarkStart w:id="3" w:name="_ftnref2"/>
      <w:bookmarkStart w:id="4" w:name="_ftnref3"/>
      <w:bookmarkEnd w:id="2"/>
      <w:bookmarkEnd w:id="3"/>
      <w:bookmarkEnd w:id="4"/>
      <w:r>
        <w:rPr>
          <w:rFonts w:ascii="Times New Roman" w:hAnsi="Times New Roman"/>
          <w:noProof/>
          <w:sz w:val="24"/>
        </w:rPr>
        <w:t xml:space="preserve">Za interoperabilnost je ključno, da si države članice </w:t>
      </w:r>
      <w:r>
        <w:rPr>
          <w:rFonts w:ascii="Times New Roman" w:hAnsi="Times New Roman"/>
          <w:noProof/>
          <w:sz w:val="24"/>
        </w:rPr>
        <w:t xml:space="preserve">izmenjujejo odprte storitve in tehnične gradnike (kot so eID, e-podpis, e-dostava in izdajanje e-računov). Razpoložljivost teh storitev trenutno zagotavlja financiranje na podlagi instrumenta za povezovanje Evrope (IPE); vendar je treba zagotoviti njihovo </w:t>
      </w:r>
      <w:r>
        <w:rPr>
          <w:rFonts w:ascii="Times New Roman" w:hAnsi="Times New Roman"/>
          <w:noProof/>
          <w:sz w:val="24"/>
        </w:rPr>
        <w:t>razpoložljivost in dolgoročno trajnost brez tega programa financiranja. Zato bo Evropska komisija predstavila, kako ohraniti njihovo trajnost po letu 2020.</w:t>
      </w:r>
    </w:p>
    <w:p w:rsidR="009F726C" w:rsidRDefault="009F726C">
      <w:pPr>
        <w:pStyle w:val="ListParagraph"/>
        <w:spacing w:after="240"/>
        <w:ind w:left="0"/>
        <w:rPr>
          <w:rFonts w:ascii="Times New Roman" w:hAnsi="Times New Roman"/>
          <w:noProof/>
          <w:sz w:val="24"/>
          <w:szCs w:val="24"/>
        </w:rPr>
      </w:pPr>
    </w:p>
    <w:p w:rsidR="009F726C" w:rsidRDefault="009F726C">
      <w:pPr>
        <w:pStyle w:val="ListParagraph"/>
        <w:spacing w:after="240"/>
        <w:ind w:left="0"/>
        <w:rPr>
          <w:rFonts w:ascii="Times New Roman" w:hAnsi="Times New Roman"/>
          <w:noProof/>
          <w:sz w:val="24"/>
          <w:szCs w:val="24"/>
        </w:rPr>
      </w:pPr>
    </w:p>
    <w:p w:rsidR="009F726C" w:rsidRDefault="009F726C">
      <w:pPr>
        <w:pStyle w:val="ListParagraph"/>
        <w:spacing w:after="240"/>
        <w:ind w:left="0"/>
        <w:rPr>
          <w:rFonts w:ascii="Times New Roman" w:hAnsi="Times New Roman"/>
          <w:noProof/>
          <w:sz w:val="24"/>
          <w:szCs w:val="24"/>
        </w:rPr>
      </w:pPr>
    </w:p>
    <w:tbl>
      <w:tblPr>
        <w:tblStyle w:val="TableGrid"/>
        <w:tblW w:w="9214" w:type="dxa"/>
        <w:tblInd w:w="-34" w:type="dxa"/>
        <w:tblLayout w:type="fixed"/>
        <w:tblLook w:val="04A0" w:firstRow="1" w:lastRow="0" w:firstColumn="1" w:lastColumn="0" w:noHBand="0" w:noVBand="1"/>
      </w:tblPr>
      <w:tblGrid>
        <w:gridCol w:w="7797"/>
        <w:gridCol w:w="1417"/>
      </w:tblGrid>
      <w:tr w:rsidR="009F726C">
        <w:tc>
          <w:tcPr>
            <w:tcW w:w="7797"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 xml:space="preserve">Ukrepi </w:t>
            </w:r>
          </w:p>
          <w:p w:rsidR="009F726C" w:rsidRDefault="00C677E5">
            <w:pPr>
              <w:shd w:val="clear" w:color="auto" w:fill="EBEBEB" w:themeFill="background1"/>
              <w:rPr>
                <w:rFonts w:ascii="Times New Roman" w:hAnsi="Times New Roman" w:cs="Times New Roman"/>
                <w:b/>
                <w:noProof/>
                <w:sz w:val="24"/>
                <w:szCs w:val="24"/>
              </w:rPr>
            </w:pPr>
            <w:r>
              <w:rPr>
                <w:rFonts w:ascii="Times New Roman" w:hAnsi="Times New Roman"/>
                <w:noProof/>
                <w:sz w:val="24"/>
              </w:rPr>
              <w:t>Komisija bo:</w:t>
            </w:r>
          </w:p>
        </w:tc>
        <w:tc>
          <w:tcPr>
            <w:tcW w:w="1417"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Rok</w:t>
            </w:r>
          </w:p>
        </w:tc>
      </w:tr>
      <w:tr w:rsidR="009F726C">
        <w:tc>
          <w:tcPr>
            <w:tcW w:w="7797" w:type="dxa"/>
          </w:tcPr>
          <w:p w:rsidR="009F726C" w:rsidRDefault="00C677E5">
            <w:pPr>
              <w:pStyle w:val="ListParagraph"/>
              <w:numPr>
                <w:ilvl w:val="0"/>
                <w:numId w:val="2"/>
              </w:numPr>
              <w:spacing w:before="120" w:after="120"/>
              <w:ind w:left="714" w:hanging="357"/>
              <w:rPr>
                <w:rFonts w:ascii="Times New Roman" w:hAnsi="Times New Roman"/>
                <w:i/>
                <w:noProof/>
                <w:sz w:val="24"/>
                <w:szCs w:val="24"/>
              </w:rPr>
            </w:pPr>
            <w:r>
              <w:rPr>
                <w:rFonts w:ascii="Times New Roman" w:hAnsi="Times New Roman"/>
                <w:noProof/>
                <w:sz w:val="24"/>
              </w:rPr>
              <w:t xml:space="preserve">podprla popoln prehod držav članic na e-javna naročila in uporabo </w:t>
            </w:r>
            <w:r>
              <w:rPr>
                <w:rFonts w:ascii="Times New Roman" w:hAnsi="Times New Roman"/>
                <w:noProof/>
                <w:sz w:val="24"/>
              </w:rPr>
              <w:t>registrov oddanih javnih naročil.</w:t>
            </w:r>
            <w:r>
              <w:rPr>
                <w:noProof/>
              </w:rPr>
              <w:t xml:space="preserve"> </w:t>
            </w:r>
          </w:p>
        </w:tc>
        <w:tc>
          <w:tcPr>
            <w:tcW w:w="1417"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2019</w:t>
            </w:r>
          </w:p>
        </w:tc>
      </w:tr>
      <w:tr w:rsidR="009F726C">
        <w:tc>
          <w:tcPr>
            <w:tcW w:w="7797" w:type="dxa"/>
          </w:tcPr>
          <w:p w:rsidR="009F726C" w:rsidRDefault="00C677E5">
            <w:pPr>
              <w:pStyle w:val="ListParagraph"/>
              <w:numPr>
                <w:ilvl w:val="0"/>
                <w:numId w:val="2"/>
              </w:numPr>
              <w:spacing w:before="120" w:after="120"/>
              <w:ind w:left="714" w:hanging="357"/>
              <w:rPr>
                <w:rFonts w:ascii="Times New Roman" w:hAnsi="Times New Roman"/>
                <w:i/>
                <w:noProof/>
                <w:sz w:val="24"/>
                <w:szCs w:val="24"/>
              </w:rPr>
            </w:pPr>
            <w:r>
              <w:rPr>
                <w:rFonts w:ascii="Times New Roman" w:hAnsi="Times New Roman"/>
                <w:noProof/>
                <w:sz w:val="24"/>
              </w:rPr>
              <w:t>pospešila uvajanje storitev eIDAS, vključno z elektronsko identifikacijo in e-podpisom.</w:t>
            </w:r>
          </w:p>
        </w:tc>
        <w:tc>
          <w:tcPr>
            <w:tcW w:w="1417"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tc>
      </w:tr>
      <w:tr w:rsidR="009F726C">
        <w:tc>
          <w:tcPr>
            <w:tcW w:w="7797" w:type="dxa"/>
          </w:tcPr>
          <w:p w:rsidR="009F726C" w:rsidRDefault="00C677E5">
            <w:pPr>
              <w:pStyle w:val="ListParagraph"/>
              <w:numPr>
                <w:ilvl w:val="0"/>
                <w:numId w:val="2"/>
              </w:numPr>
              <w:spacing w:before="120" w:after="120"/>
              <w:rPr>
                <w:rFonts w:ascii="Times New Roman" w:hAnsi="Times New Roman"/>
                <w:noProof/>
                <w:sz w:val="24"/>
                <w:szCs w:val="24"/>
              </w:rPr>
            </w:pPr>
            <w:r>
              <w:rPr>
                <w:rFonts w:ascii="Times New Roman" w:hAnsi="Times New Roman"/>
                <w:noProof/>
                <w:sz w:val="24"/>
              </w:rPr>
              <w:t>zagotovila dolgoročno trajnost čezmejne infrastrukture digitalnih storitev.</w:t>
            </w:r>
          </w:p>
        </w:tc>
        <w:tc>
          <w:tcPr>
            <w:tcW w:w="1417"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2018</w:t>
            </w:r>
          </w:p>
        </w:tc>
      </w:tr>
    </w:tbl>
    <w:p w:rsidR="009F726C" w:rsidRDefault="00C677E5">
      <w:pPr>
        <w:rPr>
          <w:rFonts w:ascii="Times New Roman" w:eastAsia="Times New Roman" w:hAnsi="Times New Roman" w:cs="Times New Roman"/>
          <w:noProof/>
          <w:sz w:val="24"/>
          <w:szCs w:val="24"/>
        </w:rPr>
      </w:pPr>
      <w:r>
        <w:rPr>
          <w:rFonts w:ascii="Times New Roman" w:hAnsi="Times New Roman"/>
          <w:noProof/>
          <w:sz w:val="24"/>
        </w:rPr>
        <w:t>V skladu z napovedjo iz strategije za enotni digitalni trg namerava Komisija predlagati pregledani evropski okvir interoperabilnosti do konca leta 2016 in bo podpirala njegovo uvajanje s strani nacionalnih uprav, da se okrepi interoperabilnost javnih stori</w:t>
      </w:r>
      <w:r>
        <w:rPr>
          <w:rFonts w:ascii="Times New Roman" w:hAnsi="Times New Roman"/>
          <w:noProof/>
          <w:sz w:val="24"/>
        </w:rPr>
        <w:t xml:space="preserve">tev v EU. </w:t>
      </w:r>
    </w:p>
    <w:p w:rsidR="009F726C" w:rsidRDefault="00C677E5">
      <w:pPr>
        <w:rPr>
          <w:rFonts w:ascii="Times New Roman" w:hAnsi="Times New Roman" w:cs="Times New Roman"/>
          <w:noProof/>
          <w:sz w:val="24"/>
          <w:szCs w:val="24"/>
        </w:rPr>
      </w:pPr>
      <w:r>
        <w:rPr>
          <w:rFonts w:ascii="Times New Roman" w:hAnsi="Times New Roman"/>
          <w:noProof/>
          <w:sz w:val="24"/>
        </w:rPr>
        <w:t xml:space="preserve">Potrebna so dodatna prizadevanja, da se zagotovi uvedba obstoječih evropskih in mednarodnih standardov ter tehničnih specifikacij, pa tudi novih, ki se pripravljajo na podlagi načrta za prednostne standarde IKT. Komisija bo z državami članicami </w:t>
      </w:r>
      <w:r>
        <w:rPr>
          <w:rFonts w:ascii="Times New Roman" w:hAnsi="Times New Roman"/>
          <w:noProof/>
          <w:sz w:val="24"/>
        </w:rPr>
        <w:t>usklajevala pripravo prototipa za evropski katalog standardov IKT za javno naročanje, ki bo s spodbujanjem sklicevanja na skupni niz standardov IKT in profilov v povabilih javnih naročnikov k oddaji ponudb podpiral interoperabilnost pri pridobivanju digita</w:t>
      </w:r>
      <w:r>
        <w:rPr>
          <w:rFonts w:ascii="Times New Roman" w:hAnsi="Times New Roman"/>
          <w:noProof/>
          <w:sz w:val="24"/>
        </w:rPr>
        <w:t>lnih rešitev.</w:t>
      </w:r>
    </w:p>
    <w:tbl>
      <w:tblPr>
        <w:tblStyle w:val="TableGrid"/>
        <w:tblW w:w="9214" w:type="dxa"/>
        <w:tblInd w:w="-34" w:type="dxa"/>
        <w:tblLayout w:type="fixed"/>
        <w:tblLook w:val="04A0" w:firstRow="1" w:lastRow="0" w:firstColumn="1" w:lastColumn="0" w:noHBand="0" w:noVBand="1"/>
      </w:tblPr>
      <w:tblGrid>
        <w:gridCol w:w="7797"/>
        <w:gridCol w:w="1417"/>
      </w:tblGrid>
      <w:tr w:rsidR="009F726C">
        <w:tc>
          <w:tcPr>
            <w:tcW w:w="7797"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Ukrepi</w:t>
            </w:r>
          </w:p>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noProof/>
                <w:sz w:val="24"/>
              </w:rPr>
              <w:t>Komisija bo:</w:t>
            </w:r>
          </w:p>
        </w:tc>
        <w:tc>
          <w:tcPr>
            <w:tcW w:w="1417"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Rok</w:t>
            </w:r>
          </w:p>
        </w:tc>
      </w:tr>
      <w:tr w:rsidR="009F726C">
        <w:tc>
          <w:tcPr>
            <w:tcW w:w="7797" w:type="dxa"/>
          </w:tcPr>
          <w:p w:rsidR="009F726C" w:rsidRDefault="00C677E5">
            <w:pPr>
              <w:pStyle w:val="ListParagraph"/>
              <w:numPr>
                <w:ilvl w:val="0"/>
                <w:numId w:val="2"/>
              </w:numPr>
              <w:spacing w:before="120" w:after="120"/>
              <w:rPr>
                <w:rFonts w:ascii="Times New Roman" w:hAnsi="Times New Roman"/>
                <w:noProof/>
                <w:sz w:val="24"/>
                <w:szCs w:val="24"/>
              </w:rPr>
            </w:pPr>
            <w:r>
              <w:rPr>
                <w:rFonts w:ascii="Times New Roman" w:hAnsi="Times New Roman"/>
                <w:noProof/>
                <w:sz w:val="24"/>
              </w:rPr>
              <w:t xml:space="preserve">predložila pregledano različico evropskega okvira interoperabilnosti in podpirala njegovo uvajanje s strani nacionalnih uprav. </w:t>
            </w:r>
          </w:p>
        </w:tc>
        <w:tc>
          <w:tcPr>
            <w:tcW w:w="1417" w:type="dxa"/>
          </w:tcPr>
          <w:p w:rsidR="009F726C" w:rsidRDefault="00C677E5">
            <w:pPr>
              <w:shd w:val="clear" w:color="auto" w:fill="EBEBEB" w:themeFill="background1"/>
              <w:ind w:left="360"/>
              <w:jc w:val="center"/>
              <w:rPr>
                <w:rFonts w:ascii="Times New Roman" w:hAnsi="Times New Roman"/>
                <w:noProof/>
                <w:sz w:val="24"/>
                <w:szCs w:val="24"/>
              </w:rPr>
            </w:pPr>
            <w:r>
              <w:rPr>
                <w:rFonts w:ascii="Times New Roman" w:hAnsi="Times New Roman"/>
                <w:noProof/>
                <w:sz w:val="24"/>
              </w:rPr>
              <w:t>2016–2019</w:t>
            </w:r>
          </w:p>
        </w:tc>
      </w:tr>
      <w:tr w:rsidR="009F726C">
        <w:tc>
          <w:tcPr>
            <w:tcW w:w="7797" w:type="dxa"/>
          </w:tcPr>
          <w:p w:rsidR="009F726C" w:rsidRDefault="00C677E5">
            <w:pPr>
              <w:pStyle w:val="ListParagraph"/>
              <w:numPr>
                <w:ilvl w:val="0"/>
                <w:numId w:val="2"/>
              </w:numPr>
              <w:spacing w:before="120" w:after="120"/>
              <w:rPr>
                <w:rFonts w:ascii="Times New Roman" w:hAnsi="Times New Roman"/>
                <w:noProof/>
                <w:sz w:val="24"/>
                <w:szCs w:val="24"/>
              </w:rPr>
            </w:pPr>
            <w:r>
              <w:rPr>
                <w:rStyle w:val="CharAttribute3"/>
                <w:rFonts w:eastAsia="Calibri"/>
                <w:noProof/>
              </w:rPr>
              <w:t>usklajevala razvoj prototipa za evropski katalog standardov IKT za javna naro</w:t>
            </w:r>
            <w:r>
              <w:rPr>
                <w:rStyle w:val="CharAttribute3"/>
                <w:rFonts w:eastAsia="Calibri"/>
                <w:noProof/>
              </w:rPr>
              <w:t>č</w:t>
            </w:r>
            <w:r>
              <w:rPr>
                <w:rStyle w:val="CharAttribute3"/>
                <w:rFonts w:eastAsia="Calibri"/>
                <w:noProof/>
              </w:rPr>
              <w:t>ila.</w:t>
            </w:r>
          </w:p>
        </w:tc>
        <w:tc>
          <w:tcPr>
            <w:tcW w:w="1417" w:type="dxa"/>
          </w:tcPr>
          <w:p w:rsidR="009F726C" w:rsidRDefault="00C677E5">
            <w:pPr>
              <w:shd w:val="clear" w:color="auto" w:fill="EBEBEB" w:themeFill="background1"/>
              <w:ind w:left="360"/>
              <w:jc w:val="center"/>
              <w:rPr>
                <w:rFonts w:ascii="Times New Roman" w:hAnsi="Times New Roman"/>
                <w:noProof/>
                <w:sz w:val="24"/>
                <w:szCs w:val="24"/>
              </w:rPr>
            </w:pPr>
            <w:r>
              <w:rPr>
                <w:rFonts w:ascii="Times New Roman" w:hAnsi="Times New Roman"/>
                <w:noProof/>
                <w:sz w:val="24"/>
              </w:rPr>
              <w:t>2017</w:t>
            </w:r>
          </w:p>
        </w:tc>
      </w:tr>
    </w:tbl>
    <w:p w:rsidR="009F726C" w:rsidRDefault="00C677E5">
      <w:pPr>
        <w:spacing w:before="120"/>
        <w:rPr>
          <w:rFonts w:ascii="Times New Roman" w:hAnsi="Times New Roman" w:cs="Times New Roman"/>
          <w:noProof/>
          <w:sz w:val="24"/>
          <w:szCs w:val="24"/>
        </w:rPr>
      </w:pPr>
      <w:r>
        <w:rPr>
          <w:rFonts w:ascii="Times New Roman" w:hAnsi="Times New Roman"/>
          <w:noProof/>
          <w:sz w:val="24"/>
        </w:rPr>
        <w:t>Glede na svoj prehod na uporabo digitalnih tehnologij in zaradi izpolnjevanja pravnih obveznosti, ki so določene za evropske javne uprave, bo Evropska komisija izvedla tudi številne konkretne ukrepe.</w:t>
      </w:r>
      <w:r>
        <w:rPr>
          <w:rFonts w:ascii="Times New Roman" w:hAnsi="Times New Roman"/>
          <w:noProof/>
          <w:sz w:val="24"/>
          <w:highlight w:val="yellow"/>
        </w:rPr>
        <w:t xml:space="preserve"> </w:t>
      </w:r>
    </w:p>
    <w:p w:rsidR="009F726C" w:rsidRDefault="00C677E5">
      <w:pPr>
        <w:spacing w:before="240"/>
        <w:rPr>
          <w:rFonts w:ascii="Times New Roman" w:hAnsi="Times New Roman" w:cs="Times New Roman"/>
          <w:noProof/>
          <w:sz w:val="24"/>
          <w:szCs w:val="24"/>
        </w:rPr>
      </w:pPr>
      <w:r>
        <w:rPr>
          <w:rFonts w:ascii="Times New Roman" w:hAnsi="Times New Roman"/>
          <w:noProof/>
          <w:sz w:val="24"/>
        </w:rPr>
        <w:t xml:space="preserve">Pri izvajanju programa ustreznosti in </w:t>
      </w:r>
      <w:r>
        <w:rPr>
          <w:rFonts w:ascii="Times New Roman" w:hAnsi="Times New Roman"/>
          <w:noProof/>
          <w:sz w:val="24"/>
        </w:rPr>
        <w:t>uspešnosti predpisov bo Komisija ob pregledu obstoječega pravnega reda na področju notranjega trga in/ali pripravi novih predlogov pozorna zlasti na interoperabilnost in koristi, ki jih lahko prinese učinkovita uporaba digitalnih tehnologij. Namen je odpra</w:t>
      </w:r>
      <w:r>
        <w:rPr>
          <w:rFonts w:ascii="Times New Roman" w:hAnsi="Times New Roman"/>
          <w:noProof/>
          <w:sz w:val="24"/>
        </w:rPr>
        <w:t>viti nepotrebno zapletenost postopkov, njihovo izvajanje v papirni obliki ali podvajanje (npr. številne kontaktne točke, postopki poročanja, izmenjava podatkov ali sistemske zahteve).</w:t>
      </w:r>
    </w:p>
    <w:p w:rsidR="009F726C" w:rsidRDefault="00C677E5">
      <w:pPr>
        <w:spacing w:before="240"/>
        <w:rPr>
          <w:rFonts w:ascii="Times New Roman" w:hAnsi="Times New Roman" w:cs="Times New Roman"/>
          <w:noProof/>
          <w:sz w:val="24"/>
          <w:szCs w:val="24"/>
        </w:rPr>
      </w:pPr>
      <w:r>
        <w:rPr>
          <w:rFonts w:ascii="Times New Roman" w:hAnsi="Times New Roman"/>
          <w:noProof/>
          <w:sz w:val="24"/>
        </w:rPr>
        <w:t xml:space="preserve">Glede na svoj prehod na uporabo digitalnih tehnologij bo Komisija svoje </w:t>
      </w:r>
      <w:r>
        <w:rPr>
          <w:rFonts w:ascii="Times New Roman" w:hAnsi="Times New Roman"/>
          <w:noProof/>
          <w:sz w:val="24"/>
        </w:rPr>
        <w:t>podatke objavila na Portalu odprtih podatkov EU</w:t>
      </w:r>
      <w:r>
        <w:rPr>
          <w:rStyle w:val="FootnoteReference"/>
          <w:noProof/>
        </w:rPr>
        <w:footnoteReference w:id="21"/>
      </w:r>
      <w:r>
        <w:rPr>
          <w:rFonts w:ascii="Times New Roman" w:hAnsi="Times New Roman"/>
          <w:noProof/>
          <w:sz w:val="24"/>
        </w:rPr>
        <w:t>, ki jih bo posredoval v evropski portal odprtih podatkov</w:t>
      </w:r>
      <w:r>
        <w:rPr>
          <w:rStyle w:val="FootnoteReference"/>
          <w:noProof/>
        </w:rPr>
        <w:footnoteReference w:id="22"/>
      </w:r>
      <w:r>
        <w:rPr>
          <w:rFonts w:ascii="Times New Roman" w:hAnsi="Times New Roman"/>
          <w:noProof/>
          <w:sz w:val="24"/>
        </w:rPr>
        <w:t>, po potrebi izmenjevala in ponovno uporabljala operacijske gradnike, kot so infrastrukture za digitalne storitve, in uporabila pregledano različico e</w:t>
      </w:r>
      <w:r>
        <w:rPr>
          <w:rFonts w:ascii="Times New Roman" w:hAnsi="Times New Roman"/>
          <w:noProof/>
          <w:sz w:val="24"/>
        </w:rPr>
        <w:t>vropskega okvira interoperabilnosti. Komisija bo z uporabo storitev eIDAS (leta 2018), izdajanja e-računov (leta 2018) in e-javnih naročil (v letu 2019) postopno uvedla načelo „privzeto digitalno“ pri spletnih stikih z zunanjimi zainteresiranimi stranmi. Z</w:t>
      </w:r>
      <w:r>
        <w:rPr>
          <w:rFonts w:ascii="Times New Roman" w:hAnsi="Times New Roman"/>
          <w:noProof/>
          <w:sz w:val="24"/>
        </w:rPr>
        <w:t>a zmanjšanje upravnega bremena bo Komisija v svojih stikih z dobavitelji in udeleženci programov nepovratnih sredstev postopno prešla na načelo „samo enkrat“ in preučila možnosti za uvedbo načela „samo enkrat“ za druge zainteresirane strani. Komisija bo oc</w:t>
      </w:r>
      <w:r>
        <w:rPr>
          <w:rFonts w:ascii="Times New Roman" w:hAnsi="Times New Roman"/>
          <w:noProof/>
          <w:sz w:val="24"/>
        </w:rPr>
        <w:t>enila posledice morebitnega izvajanja načela „brez podedovanega“ (podaljšanje sistemov informacijske tehnologije po določenem času v skladu z nenehno spreminjajočim se okoljem in razvojem tehnologije) v javnih upravah.</w:t>
      </w:r>
    </w:p>
    <w:tbl>
      <w:tblPr>
        <w:tblStyle w:val="TableGrid"/>
        <w:tblW w:w="9214" w:type="dxa"/>
        <w:tblInd w:w="-34" w:type="dxa"/>
        <w:tblLayout w:type="fixed"/>
        <w:tblLook w:val="04A0" w:firstRow="1" w:lastRow="0" w:firstColumn="1" w:lastColumn="0" w:noHBand="0" w:noVBand="1"/>
      </w:tblPr>
      <w:tblGrid>
        <w:gridCol w:w="7797"/>
        <w:gridCol w:w="1417"/>
      </w:tblGrid>
      <w:tr w:rsidR="009F726C">
        <w:tc>
          <w:tcPr>
            <w:tcW w:w="7797" w:type="dxa"/>
          </w:tcPr>
          <w:p w:rsidR="009F726C" w:rsidRDefault="009F726C">
            <w:pPr>
              <w:shd w:val="clear" w:color="auto" w:fill="EBEBEB" w:themeFill="background1"/>
              <w:rPr>
                <w:rFonts w:ascii="Times New Roman" w:hAnsi="Times New Roman" w:cs="Times New Roman"/>
                <w:b/>
                <w:i/>
                <w:noProof/>
                <w:sz w:val="24"/>
                <w:szCs w:val="24"/>
              </w:rPr>
            </w:pPr>
          </w:p>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Ukrepi</w:t>
            </w:r>
          </w:p>
        </w:tc>
        <w:tc>
          <w:tcPr>
            <w:tcW w:w="1417"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Rok</w:t>
            </w:r>
          </w:p>
        </w:tc>
      </w:tr>
      <w:tr w:rsidR="009F726C">
        <w:tc>
          <w:tcPr>
            <w:tcW w:w="7797" w:type="dxa"/>
          </w:tcPr>
          <w:p w:rsidR="009F726C" w:rsidRDefault="00C677E5">
            <w:pPr>
              <w:pStyle w:val="ListParagraph"/>
              <w:numPr>
                <w:ilvl w:val="0"/>
                <w:numId w:val="2"/>
              </w:numPr>
              <w:spacing w:before="120" w:after="120"/>
              <w:ind w:left="714" w:hanging="357"/>
              <w:rPr>
                <w:rFonts w:ascii="Times New Roman" w:hAnsi="Times New Roman"/>
                <w:noProof/>
                <w:sz w:val="24"/>
                <w:szCs w:val="24"/>
              </w:rPr>
            </w:pPr>
            <w:r>
              <w:rPr>
                <w:rFonts w:ascii="Times New Roman" w:hAnsi="Times New Roman"/>
                <w:noProof/>
                <w:sz w:val="24"/>
              </w:rPr>
              <w:t>Komisija bo uporabila sk</w:t>
            </w:r>
            <w:r>
              <w:rPr>
                <w:rFonts w:ascii="Times New Roman" w:hAnsi="Times New Roman"/>
                <w:noProof/>
                <w:sz w:val="24"/>
              </w:rPr>
              <w:t xml:space="preserve">upne gradnike, kot je IPE-IDS (instrument za povezovanje Evrope-infrastruktura za digitalne storitve) in upoštevala evropski okvir interoperabilnosti. Postopno bo uvedla načeli „privzeto digitalno“ in „samo enkrat“, izdajanje e-računov in e-javna naročila </w:t>
            </w:r>
            <w:r>
              <w:rPr>
                <w:rFonts w:ascii="Times New Roman" w:hAnsi="Times New Roman"/>
                <w:noProof/>
                <w:sz w:val="24"/>
              </w:rPr>
              <w:t>ter ocenila posledice morebitnega izvajanja načela „brez podedovanega“.</w:t>
            </w:r>
          </w:p>
        </w:tc>
        <w:tc>
          <w:tcPr>
            <w:tcW w:w="1417"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2016–2019</w:t>
            </w:r>
          </w:p>
        </w:tc>
      </w:tr>
    </w:tbl>
    <w:p w:rsidR="009F726C" w:rsidRDefault="00C677E5">
      <w:pPr>
        <w:spacing w:before="120"/>
        <w:rPr>
          <w:rFonts w:ascii="Times New Roman" w:hAnsi="Times New Roman" w:cs="Times New Roman"/>
          <w:noProof/>
          <w:sz w:val="24"/>
          <w:szCs w:val="24"/>
        </w:rPr>
      </w:pPr>
      <w:r>
        <w:rPr>
          <w:rFonts w:ascii="Times New Roman" w:hAnsi="Times New Roman"/>
          <w:noProof/>
          <w:sz w:val="24"/>
        </w:rPr>
        <w:t>Za zmanjšanje upravnega bremena in izboljšanje učinkovitosti in uspešnosti javnih uprav bi bil cilj dodatnih pobud lahko prilagoditi digitalne storitve aktualnim potrebam in</w:t>
      </w:r>
      <w:r>
        <w:rPr>
          <w:rFonts w:ascii="Times New Roman" w:hAnsi="Times New Roman"/>
          <w:noProof/>
          <w:sz w:val="24"/>
        </w:rPr>
        <w:t xml:space="preserve"> jih narediti uporabniku prijazne ali podatke in storitve (ob upoštevanju varstva podatkov in pravil glede zasebnosti) dati na voljo za izmenjavo med javnimi upravami. </w:t>
      </w:r>
    </w:p>
    <w:p w:rsidR="009F726C" w:rsidRDefault="00C677E5">
      <w:pPr>
        <w:rPr>
          <w:rFonts w:ascii="Times New Roman" w:hAnsi="Times New Roman"/>
          <w:noProof/>
          <w:sz w:val="24"/>
          <w:szCs w:val="24"/>
        </w:rPr>
      </w:pPr>
      <w:r>
        <w:rPr>
          <w:rFonts w:ascii="Times New Roman" w:hAnsi="Times New Roman"/>
          <w:noProof/>
          <w:sz w:val="24"/>
        </w:rPr>
        <w:t>Namen drugih možnih pobud bi bilo lahko razvijanje novih skupnih gradnikov poleg že obs</w:t>
      </w:r>
      <w:r>
        <w:rPr>
          <w:rFonts w:ascii="Times New Roman" w:hAnsi="Times New Roman"/>
          <w:noProof/>
          <w:sz w:val="24"/>
        </w:rPr>
        <w:t>toječih</w:t>
      </w:r>
      <w:r>
        <w:rPr>
          <w:rStyle w:val="FootnoteReference"/>
          <w:noProof/>
        </w:rPr>
        <w:footnoteReference w:id="23"/>
      </w:r>
      <w:r>
        <w:rPr>
          <w:rFonts w:ascii="Times New Roman" w:hAnsi="Times New Roman"/>
          <w:noProof/>
          <w:sz w:val="24"/>
        </w:rPr>
        <w:t xml:space="preserve">, podpora njihovega uvajanja in spodbujanje uporabe in skupne uporabe podatkovne in računalniške infrastrukture ter infrastrukture računalništva v oblaku. Pobude bi lahko spodbujale tudi uporabo obsežnih podatkov ali interneta stvari, na primer za </w:t>
      </w:r>
      <w:r>
        <w:rPr>
          <w:rFonts w:ascii="Times New Roman" w:hAnsi="Times New Roman"/>
          <w:noProof/>
          <w:sz w:val="24"/>
        </w:rPr>
        <w:t>podatkovno intenzivne storitve in oblikovanje, izvajanje in izvrševanje politik na podlagi dokazov s podporo ustrezne infrastrukture. Skupna infrastruktura v oblaku za gostovanje storitev e-uprave bi lahko prispevala k pomembnim prihrankom zaradi ekonomije</w:t>
      </w:r>
      <w:r>
        <w:rPr>
          <w:rFonts w:ascii="Times New Roman" w:hAnsi="Times New Roman"/>
          <w:noProof/>
          <w:sz w:val="24"/>
        </w:rPr>
        <w:t xml:space="preserve"> obsega, skrajšanja časa do trženja in odprtja podatkov ter storitev javnih uprav. Evropska pobuda za računalništvo v oblaku</w:t>
      </w:r>
      <w:r>
        <w:rPr>
          <w:rStyle w:val="FootnoteReference"/>
          <w:rFonts w:ascii="Times New Roman" w:hAnsi="Times New Roman"/>
          <w:noProof/>
          <w:sz w:val="24"/>
        </w:rPr>
        <w:footnoteReference w:id="24"/>
      </w:r>
      <w:r>
        <w:rPr>
          <w:rFonts w:ascii="Times New Roman" w:hAnsi="Times New Roman"/>
          <w:noProof/>
          <w:sz w:val="24"/>
        </w:rPr>
        <w:t xml:space="preserve"> bo znanosti ponudila infrastrukturo, razširila pa jo bo tudi na javne uprave, s čimer bo omogočen dostop do povsem novih podatkov </w:t>
      </w:r>
      <w:r>
        <w:rPr>
          <w:rFonts w:ascii="Times New Roman" w:hAnsi="Times New Roman"/>
          <w:noProof/>
          <w:sz w:val="24"/>
        </w:rPr>
        <w:t>in računalniških zmogljivosti za zagotavljanje boljših storitev na vseh ravneh (lokalni, nacionalni in ravni EU).</w:t>
      </w:r>
    </w:p>
    <w:p w:rsidR="009F726C" w:rsidRDefault="00C677E5">
      <w:pPr>
        <w:pStyle w:val="Heading2"/>
        <w:rPr>
          <w:noProof/>
          <w:szCs w:val="24"/>
        </w:rPr>
      </w:pPr>
      <w:r>
        <w:rPr>
          <w:noProof/>
        </w:rPr>
        <w:t>Omogočanje čezmejne mobilnosti z interoperabilnimi digitalnimi javnimi storitvami</w:t>
      </w:r>
    </w:p>
    <w:p w:rsidR="009F726C" w:rsidRDefault="00C677E5">
      <w:pPr>
        <w:rPr>
          <w:noProof/>
        </w:rPr>
      </w:pPr>
      <w:r>
        <w:rPr>
          <w:rFonts w:ascii="Times New Roman" w:hAnsi="Times New Roman"/>
          <w:noProof/>
          <w:sz w:val="24"/>
        </w:rPr>
        <w:t>Enotni trg EU ne more učinkovito delovati brez čezmejnih dig</w:t>
      </w:r>
      <w:r>
        <w:rPr>
          <w:rFonts w:ascii="Times New Roman" w:hAnsi="Times New Roman"/>
          <w:noProof/>
          <w:sz w:val="24"/>
        </w:rPr>
        <w:t>italnih javnih storitev. Take storitve olajšujejo dostop do trgov, povečujejo zaupanje in spodbujajo konkurenčnost na enotnem trgu. Uprave bi morale pomagati podjetjem pri spletnem čezmejnem delovanju na enotnem trgu, poenostaviti dostop do podatkov na pod</w:t>
      </w:r>
      <w:r>
        <w:rPr>
          <w:rFonts w:ascii="Times New Roman" w:hAnsi="Times New Roman"/>
          <w:noProof/>
          <w:sz w:val="24"/>
        </w:rPr>
        <w:t>lagi zakonov EU za podjetja in gospodarske družbe ter omogočiti podjetjem enostaven začetek in širitev poslovanja ter delovanje v drugih državah članicah prek javnih vseobsežnih e-storitev.</w:t>
      </w:r>
      <w:r>
        <w:rPr>
          <w:noProof/>
        </w:rPr>
        <w:t xml:space="preserve"> </w:t>
      </w:r>
    </w:p>
    <w:p w:rsidR="009F726C" w:rsidRDefault="00C677E5">
      <w:pPr>
        <w:rPr>
          <w:rFonts w:ascii="Times New Roman" w:hAnsi="Times New Roman" w:cs="Times New Roman"/>
          <w:noProof/>
          <w:sz w:val="24"/>
          <w:szCs w:val="24"/>
        </w:rPr>
      </w:pPr>
      <w:r>
        <w:rPr>
          <w:rFonts w:ascii="Times New Roman" w:hAnsi="Times New Roman"/>
          <w:noProof/>
          <w:sz w:val="24"/>
        </w:rPr>
        <w:t xml:space="preserve">Za uresničitev teh prednostnih nalog politike so v ta akcijski </w:t>
      </w:r>
      <w:r>
        <w:rPr>
          <w:rFonts w:ascii="Times New Roman" w:hAnsi="Times New Roman"/>
          <w:noProof/>
          <w:sz w:val="24"/>
        </w:rPr>
        <w:t>načrt vključeni številni konkretni ukrepi, katerih namen je prispevati k ustvarjanju podjetjem prijaznih čezmejnih javnih uprav in podpirati mobilnost državljanov.</w:t>
      </w:r>
    </w:p>
    <w:p w:rsidR="009F726C" w:rsidRDefault="00C677E5">
      <w:pPr>
        <w:pStyle w:val="Default"/>
        <w:spacing w:after="200" w:line="276" w:lineRule="auto"/>
        <w:jc w:val="both"/>
        <w:rPr>
          <w:rStyle w:val="CharAttribute3"/>
          <w:rFonts w:eastAsia="Batang"/>
          <w:noProof/>
          <w:color w:val="auto"/>
        </w:rPr>
      </w:pPr>
      <w:r>
        <w:rPr>
          <w:rFonts w:ascii="Times New Roman" w:hAnsi="Times New Roman"/>
          <w:noProof/>
        </w:rPr>
        <w:t>Trenutno informacije, nasveti v zvezi z enotnim trgom, mehanizmi za reševanje težav, kontakt</w:t>
      </w:r>
      <w:r>
        <w:rPr>
          <w:rFonts w:ascii="Times New Roman" w:hAnsi="Times New Roman"/>
          <w:noProof/>
        </w:rPr>
        <w:t>ne točke in postopki ne delujejo kot celota, ampak so razpršeni, nepopolni in nezadostno medsebojno povezani ter niso dosledno prijazni za uporabnika – tako na ravni EU kot na nacionalni ravni. Uporabniki zato težko najdejo ustrezne informacije in pomoč. K</w:t>
      </w:r>
      <w:r>
        <w:rPr>
          <w:rFonts w:ascii="Times New Roman" w:hAnsi="Times New Roman"/>
          <w:noProof/>
        </w:rPr>
        <w:t>omisija bo zato p</w:t>
      </w:r>
      <w:r>
        <w:rPr>
          <w:rFonts w:ascii="Times New Roman" w:hAnsi="Times New Roman"/>
          <w:noProof/>
          <w:color w:val="auto"/>
        </w:rPr>
        <w:t xml:space="preserve">redlagala </w:t>
      </w:r>
      <w:r>
        <w:rPr>
          <w:rStyle w:val="CharAttribute3"/>
          <w:rFonts w:eastAsiaTheme="minorHAnsi"/>
          <w:noProof/>
          <w:color w:val="auto"/>
        </w:rPr>
        <w:t>vzpostavitev enotnega digitalnega portala, ki bi na podlagi obstoje</w:t>
      </w:r>
      <w:r>
        <w:rPr>
          <w:rStyle w:val="CharAttribute3"/>
          <w:rFonts w:eastAsiaTheme="minorHAnsi"/>
          <w:noProof/>
          <w:color w:val="auto"/>
        </w:rPr>
        <w:t>č</w:t>
      </w:r>
      <w:r>
        <w:rPr>
          <w:rStyle w:val="CharAttribute3"/>
          <w:rFonts w:eastAsiaTheme="minorHAnsi"/>
          <w:noProof/>
          <w:color w:val="auto"/>
        </w:rPr>
        <w:t>ih portalov, kontaktnih to</w:t>
      </w:r>
      <w:r>
        <w:rPr>
          <w:rStyle w:val="CharAttribute3"/>
          <w:rFonts w:eastAsiaTheme="minorHAnsi"/>
          <w:noProof/>
          <w:color w:val="auto"/>
        </w:rPr>
        <w:t>č</w:t>
      </w:r>
      <w:r>
        <w:rPr>
          <w:rStyle w:val="CharAttribute3"/>
          <w:rFonts w:eastAsiaTheme="minorHAnsi"/>
          <w:noProof/>
          <w:color w:val="auto"/>
        </w:rPr>
        <w:t>k in omre</w:t>
      </w:r>
      <w:r>
        <w:rPr>
          <w:rStyle w:val="CharAttribute3"/>
          <w:rFonts w:eastAsiaTheme="minorHAnsi"/>
          <w:noProof/>
          <w:color w:val="auto"/>
        </w:rPr>
        <w:t>ž</w:t>
      </w:r>
      <w:r>
        <w:rPr>
          <w:rStyle w:val="CharAttribute3"/>
          <w:rFonts w:eastAsiaTheme="minorHAnsi"/>
          <w:noProof/>
          <w:color w:val="auto"/>
        </w:rPr>
        <w:t>ij, raz</w:t>
      </w:r>
      <w:r>
        <w:rPr>
          <w:rStyle w:val="CharAttribute3"/>
          <w:rFonts w:eastAsiaTheme="minorHAnsi"/>
          <w:noProof/>
          <w:color w:val="auto"/>
        </w:rPr>
        <w:t>š</w:t>
      </w:r>
      <w:r>
        <w:rPr>
          <w:rStyle w:val="CharAttribute3"/>
          <w:rFonts w:eastAsiaTheme="minorHAnsi"/>
          <w:noProof/>
          <w:color w:val="auto"/>
        </w:rPr>
        <w:t>iril, izbolj</w:t>
      </w:r>
      <w:r>
        <w:rPr>
          <w:rStyle w:val="CharAttribute3"/>
          <w:rFonts w:eastAsiaTheme="minorHAnsi"/>
          <w:noProof/>
          <w:color w:val="auto"/>
        </w:rPr>
        <w:t>š</w:t>
      </w:r>
      <w:r>
        <w:rPr>
          <w:rStyle w:val="CharAttribute3"/>
          <w:rFonts w:eastAsiaTheme="minorHAnsi"/>
          <w:noProof/>
          <w:color w:val="auto"/>
        </w:rPr>
        <w:t>al in racionaliziral vse storitve za zagotavljanje informacij, pomo</w:t>
      </w:r>
      <w:r>
        <w:rPr>
          <w:rStyle w:val="CharAttribute3"/>
          <w:rFonts w:eastAsiaTheme="minorHAnsi"/>
          <w:noProof/>
          <w:color w:val="auto"/>
        </w:rPr>
        <w:t>č</w:t>
      </w:r>
      <w:r>
        <w:rPr>
          <w:rStyle w:val="CharAttribute3"/>
          <w:rFonts w:eastAsiaTheme="minorHAnsi"/>
          <w:noProof/>
          <w:color w:val="auto"/>
        </w:rPr>
        <w:t>i in odpravljanja te</w:t>
      </w:r>
      <w:r>
        <w:rPr>
          <w:rStyle w:val="CharAttribute3"/>
          <w:rFonts w:eastAsiaTheme="minorHAnsi"/>
          <w:noProof/>
          <w:color w:val="auto"/>
        </w:rPr>
        <w:t>ž</w:t>
      </w:r>
      <w:r>
        <w:rPr>
          <w:rStyle w:val="CharAttribute3"/>
          <w:rFonts w:eastAsiaTheme="minorHAnsi"/>
          <w:noProof/>
          <w:color w:val="auto"/>
        </w:rPr>
        <w:t xml:space="preserve">av, ki so </w:t>
      </w:r>
      <w:r>
        <w:rPr>
          <w:rStyle w:val="CharAttribute3"/>
          <w:rFonts w:eastAsiaTheme="minorHAnsi"/>
          <w:noProof/>
          <w:color w:val="auto"/>
        </w:rPr>
        <w:t>potrebne za u</w:t>
      </w:r>
      <w:r>
        <w:rPr>
          <w:rStyle w:val="CharAttribute3"/>
          <w:rFonts w:eastAsiaTheme="minorHAnsi"/>
          <w:noProof/>
          <w:color w:val="auto"/>
        </w:rPr>
        <w:t>č</w:t>
      </w:r>
      <w:r>
        <w:rPr>
          <w:rStyle w:val="CharAttribute3"/>
          <w:rFonts w:eastAsiaTheme="minorHAnsi"/>
          <w:noProof/>
          <w:color w:val="auto"/>
        </w:rPr>
        <w:t xml:space="preserve">inkovito </w:t>
      </w:r>
      <w:r>
        <w:rPr>
          <w:rStyle w:val="CharAttribute3"/>
          <w:rFonts w:eastAsiaTheme="minorHAnsi"/>
          <w:noProof/>
          <w:color w:val="auto"/>
        </w:rPr>
        <w:t>č</w:t>
      </w:r>
      <w:r>
        <w:rPr>
          <w:rStyle w:val="CharAttribute3"/>
          <w:rFonts w:eastAsiaTheme="minorHAnsi"/>
          <w:noProof/>
          <w:color w:val="auto"/>
        </w:rPr>
        <w:t>ezmejno delovanje, ter uporabnikom omogo</w:t>
      </w:r>
      <w:r>
        <w:rPr>
          <w:rStyle w:val="CharAttribute3"/>
          <w:rFonts w:eastAsiaTheme="minorHAnsi"/>
          <w:noProof/>
          <w:color w:val="auto"/>
        </w:rPr>
        <w:t>č</w:t>
      </w:r>
      <w:r>
        <w:rPr>
          <w:rStyle w:val="CharAttribute3"/>
          <w:rFonts w:eastAsiaTheme="minorHAnsi"/>
          <w:noProof/>
          <w:color w:val="auto"/>
        </w:rPr>
        <w:t>il, da ve</w:t>
      </w:r>
      <w:r>
        <w:rPr>
          <w:rStyle w:val="CharAttribute3"/>
          <w:rFonts w:eastAsiaTheme="minorHAnsi"/>
          <w:noProof/>
          <w:color w:val="auto"/>
        </w:rPr>
        <w:t>č</w:t>
      </w:r>
      <w:r>
        <w:rPr>
          <w:rStyle w:val="CharAttribute3"/>
          <w:rFonts w:eastAsiaTheme="minorHAnsi"/>
          <w:noProof/>
          <w:color w:val="auto"/>
        </w:rPr>
        <w:t>ino najpogosteje uporabljenih nacionalnih postopkov v celoti opravijo prek spleta.</w:t>
      </w:r>
    </w:p>
    <w:p w:rsidR="009F726C" w:rsidRDefault="00C677E5">
      <w:pPr>
        <w:pStyle w:val="Default"/>
        <w:spacing w:after="200" w:line="276" w:lineRule="auto"/>
        <w:jc w:val="both"/>
        <w:rPr>
          <w:rStyle w:val="CharAttribute3"/>
          <w:rFonts w:eastAsia="Batang"/>
          <w:noProof/>
        </w:rPr>
      </w:pPr>
      <w:r>
        <w:rPr>
          <w:rStyle w:val="CharAttribute3"/>
          <w:rFonts w:eastAsiaTheme="minorHAnsi"/>
          <w:noProof/>
        </w:rPr>
        <w:t>Komisija bo iz evropskega portala e-pravosodje ustvarila enotno kontaktno to</w:t>
      </w:r>
      <w:r>
        <w:rPr>
          <w:rStyle w:val="CharAttribute3"/>
          <w:rFonts w:eastAsiaTheme="minorHAnsi"/>
          <w:noProof/>
        </w:rPr>
        <w:t>č</w:t>
      </w:r>
      <w:r>
        <w:rPr>
          <w:rStyle w:val="CharAttribute3"/>
          <w:rFonts w:eastAsiaTheme="minorHAnsi"/>
          <w:noProof/>
        </w:rPr>
        <w:t>ko za informacije o e</w:t>
      </w:r>
      <w:r>
        <w:rPr>
          <w:rStyle w:val="CharAttribute3"/>
          <w:rFonts w:eastAsiaTheme="minorHAnsi"/>
          <w:noProof/>
        </w:rPr>
        <w:t>vropskem pravosodju in dostop do sodnih postopkov v dr</w:t>
      </w:r>
      <w:r>
        <w:rPr>
          <w:rStyle w:val="CharAttribute3"/>
          <w:rFonts w:eastAsiaTheme="minorHAnsi"/>
          <w:noProof/>
        </w:rPr>
        <w:t>ž</w:t>
      </w:r>
      <w:r>
        <w:rPr>
          <w:rStyle w:val="CharAttribute3"/>
          <w:rFonts w:eastAsiaTheme="minorHAnsi"/>
          <w:noProof/>
        </w:rPr>
        <w:t xml:space="preserve">avah </w:t>
      </w:r>
      <w:r>
        <w:rPr>
          <w:rStyle w:val="CharAttribute3"/>
          <w:rFonts w:eastAsiaTheme="minorHAnsi"/>
          <w:noProof/>
        </w:rPr>
        <w:t>č</w:t>
      </w:r>
      <w:r>
        <w:rPr>
          <w:rStyle w:val="CharAttribute3"/>
          <w:rFonts w:eastAsiaTheme="minorHAnsi"/>
          <w:noProof/>
        </w:rPr>
        <w:t>lanicah. V letu 2016 bo to vklju</w:t>
      </w:r>
      <w:r>
        <w:rPr>
          <w:rStyle w:val="CharAttribute3"/>
          <w:rFonts w:eastAsiaTheme="minorHAnsi"/>
          <w:noProof/>
        </w:rPr>
        <w:t>č</w:t>
      </w:r>
      <w:r>
        <w:rPr>
          <w:rStyle w:val="CharAttribute3"/>
          <w:rFonts w:eastAsiaTheme="minorHAnsi"/>
          <w:noProof/>
        </w:rPr>
        <w:t>evalo aktivacijo orodij za neposredno komunikacijo med dr</w:t>
      </w:r>
      <w:r>
        <w:rPr>
          <w:rStyle w:val="CharAttribute3"/>
          <w:rFonts w:eastAsiaTheme="minorHAnsi"/>
          <w:noProof/>
        </w:rPr>
        <w:t>ž</w:t>
      </w:r>
      <w:r>
        <w:rPr>
          <w:rStyle w:val="CharAttribute3"/>
          <w:rFonts w:eastAsiaTheme="minorHAnsi"/>
          <w:noProof/>
        </w:rPr>
        <w:t>avljani in sodi</w:t>
      </w:r>
      <w:r>
        <w:rPr>
          <w:rStyle w:val="CharAttribute3"/>
          <w:rFonts w:eastAsiaTheme="minorHAnsi"/>
          <w:noProof/>
        </w:rPr>
        <w:t>šč</w:t>
      </w:r>
      <w:r>
        <w:rPr>
          <w:rStyle w:val="CharAttribute3"/>
          <w:rFonts w:eastAsiaTheme="minorHAnsi"/>
          <w:noProof/>
        </w:rPr>
        <w:t>i v drugih dr</w:t>
      </w:r>
      <w:r>
        <w:rPr>
          <w:rStyle w:val="CharAttribute3"/>
          <w:rFonts w:eastAsiaTheme="minorHAnsi"/>
          <w:noProof/>
        </w:rPr>
        <w:t>ž</w:t>
      </w:r>
      <w:r>
        <w:rPr>
          <w:rStyle w:val="CharAttribute3"/>
          <w:rFonts w:eastAsiaTheme="minorHAnsi"/>
          <w:noProof/>
        </w:rPr>
        <w:t xml:space="preserve">avah </w:t>
      </w:r>
      <w:r>
        <w:rPr>
          <w:rStyle w:val="CharAttribute3"/>
          <w:rFonts w:eastAsiaTheme="minorHAnsi"/>
          <w:noProof/>
        </w:rPr>
        <w:t>č</w:t>
      </w:r>
      <w:r>
        <w:rPr>
          <w:rStyle w:val="CharAttribute3"/>
          <w:rFonts w:eastAsiaTheme="minorHAnsi"/>
          <w:noProof/>
        </w:rPr>
        <w:t>lanicah (e-CODEX) ter uvedbo iskalnika evropskega identifikatorja s</w:t>
      </w:r>
      <w:r>
        <w:rPr>
          <w:rStyle w:val="CharAttribute3"/>
          <w:rFonts w:eastAsiaTheme="minorHAnsi"/>
          <w:noProof/>
        </w:rPr>
        <w:t>odne prakse. Nadaljnji razvoj bo sledil ve</w:t>
      </w:r>
      <w:r>
        <w:rPr>
          <w:rStyle w:val="CharAttribute3"/>
          <w:rFonts w:eastAsiaTheme="minorHAnsi"/>
          <w:noProof/>
        </w:rPr>
        <w:t>č</w:t>
      </w:r>
      <w:r>
        <w:rPr>
          <w:rStyle w:val="CharAttribute3"/>
          <w:rFonts w:eastAsiaTheme="minorHAnsi"/>
          <w:noProof/>
        </w:rPr>
        <w:t>letnemu evropskemu akcijskemu na</w:t>
      </w:r>
      <w:r>
        <w:rPr>
          <w:rStyle w:val="CharAttribute3"/>
          <w:rFonts w:eastAsiaTheme="minorHAnsi"/>
          <w:noProof/>
        </w:rPr>
        <w:t>č</w:t>
      </w:r>
      <w:r>
        <w:rPr>
          <w:rStyle w:val="CharAttribute3"/>
          <w:rFonts w:eastAsiaTheme="minorHAnsi"/>
          <w:noProof/>
        </w:rPr>
        <w:t>rtu za e-pravosodje za obdobje 2014</w:t>
      </w:r>
      <w:r>
        <w:rPr>
          <w:rStyle w:val="CharAttribute3"/>
          <w:rFonts w:eastAsiaTheme="minorHAnsi"/>
          <w:noProof/>
        </w:rPr>
        <w:t>–</w:t>
      </w:r>
      <w:r>
        <w:rPr>
          <w:rStyle w:val="CharAttribute3"/>
          <w:rFonts w:eastAsiaTheme="minorHAnsi"/>
          <w:noProof/>
        </w:rPr>
        <w:t xml:space="preserve">2018. </w:t>
      </w:r>
    </w:p>
    <w:p w:rsidR="009F726C" w:rsidRDefault="00C677E5">
      <w:pPr>
        <w:pStyle w:val="Default"/>
        <w:spacing w:after="200" w:line="276" w:lineRule="auto"/>
        <w:jc w:val="both"/>
        <w:rPr>
          <w:rFonts w:ascii="Times New Roman" w:eastAsia="Batang" w:hAnsi="Times New Roman"/>
          <w:noProof/>
          <w:kern w:val="2"/>
        </w:rPr>
      </w:pPr>
      <w:r>
        <w:rPr>
          <w:rFonts w:ascii="Times New Roman" w:hAnsi="Times New Roman"/>
          <w:noProof/>
          <w:kern w:val="2"/>
        </w:rPr>
        <w:t>Komisija bo skupaj z državami članicami nadaljevala svoje sedanje delo glede vzpostavitve obveznega medomrežnega povezovanja vseh poslovn</w:t>
      </w:r>
      <w:r>
        <w:rPr>
          <w:rFonts w:ascii="Times New Roman" w:hAnsi="Times New Roman"/>
          <w:noProof/>
          <w:kern w:val="2"/>
        </w:rPr>
        <w:t>ih registrov držav članic</w:t>
      </w:r>
      <w:r>
        <w:rPr>
          <w:rStyle w:val="FootnoteReference"/>
          <w:rFonts w:asciiTheme="minorHAnsi" w:hAnsiTheme="minorHAnsi" w:cstheme="minorBidi"/>
          <w:noProof/>
          <w:color w:val="auto"/>
          <w:sz w:val="22"/>
        </w:rPr>
        <w:footnoteReference w:id="25"/>
      </w:r>
      <w:r>
        <w:rPr>
          <w:rFonts w:ascii="Times New Roman" w:hAnsi="Times New Roman"/>
          <w:noProof/>
          <w:kern w:val="2"/>
        </w:rPr>
        <w:t>, da se omogoči dostop prek evropskega portala e-pravosodje do nekaterih informacij o družbah, registriranih v državah članicah, ter zagotovi, da vsi poslovni registri EU lahko medsebojno varno in zanesljivo elektronsko komunicira</w:t>
      </w:r>
      <w:r>
        <w:rPr>
          <w:rFonts w:ascii="Times New Roman" w:hAnsi="Times New Roman"/>
          <w:noProof/>
          <w:kern w:val="2"/>
        </w:rPr>
        <w:t>jo. To bo s preglednostjo in posodobljenimi podatki o podjetjih okrepilo zaupanje v enotni trg in zmanjšalo bremena za podjetja.</w:t>
      </w:r>
    </w:p>
    <w:p w:rsidR="009F726C" w:rsidRDefault="00C677E5">
      <w:pPr>
        <w:pStyle w:val="Default"/>
        <w:spacing w:after="200" w:line="276" w:lineRule="auto"/>
        <w:jc w:val="both"/>
        <w:rPr>
          <w:rStyle w:val="CharAttribute3"/>
          <w:rFonts w:eastAsia="Batang"/>
          <w:noProof/>
        </w:rPr>
      </w:pPr>
      <w:r>
        <w:rPr>
          <w:rFonts w:ascii="Times New Roman" w:hAnsi="Times New Roman"/>
          <w:noProof/>
        </w:rPr>
        <w:t>Komisija bo tudi dodatno razvijala medomrežno povezovanje registrov nesolventnosti za večjo preglednost in pravno varnost na no</w:t>
      </w:r>
      <w:r>
        <w:rPr>
          <w:rFonts w:ascii="Times New Roman" w:hAnsi="Times New Roman"/>
          <w:noProof/>
        </w:rPr>
        <w:t>tranjem trgu</w:t>
      </w:r>
      <w:r>
        <w:rPr>
          <w:rStyle w:val="FootnoteReference"/>
          <w:rFonts w:asciiTheme="minorHAnsi" w:hAnsiTheme="minorHAnsi" w:cstheme="minorBidi"/>
          <w:noProof/>
          <w:color w:val="auto"/>
          <w:sz w:val="22"/>
        </w:rPr>
        <w:footnoteReference w:id="26"/>
      </w:r>
      <w:r>
        <w:rPr>
          <w:rFonts w:ascii="Times New Roman" w:hAnsi="Times New Roman"/>
          <w:noProof/>
        </w:rPr>
        <w:t xml:space="preserve">. Uredba 2015/848 zavezuje države članice, da vzpostavijo lastne elektronske registre nesolventnosti do leta 2018, medtem ko je vzpostavitev povezave med registri nesolventnosti določena za leto 2019. </w:t>
      </w:r>
      <w:r>
        <w:rPr>
          <w:rStyle w:val="CharAttribute3"/>
          <w:rFonts w:eastAsiaTheme="minorHAnsi"/>
          <w:noProof/>
        </w:rPr>
        <w:t>To bo na voljo na evropskem portalu e-prav</w:t>
      </w:r>
      <w:r>
        <w:rPr>
          <w:rStyle w:val="CharAttribute3"/>
          <w:rFonts w:eastAsiaTheme="minorHAnsi"/>
          <w:noProof/>
        </w:rPr>
        <w:t>osodje.</w:t>
      </w:r>
    </w:p>
    <w:p w:rsidR="009F726C" w:rsidRDefault="00C677E5">
      <w:pPr>
        <w:pStyle w:val="Default"/>
        <w:spacing w:after="200" w:line="276" w:lineRule="auto"/>
        <w:jc w:val="both"/>
        <w:rPr>
          <w:rStyle w:val="CharAttribute3"/>
          <w:rFonts w:eastAsia="Calibri"/>
          <w:noProof/>
        </w:rPr>
      </w:pPr>
      <w:r>
        <w:rPr>
          <w:rFonts w:ascii="Times New Roman" w:hAnsi="Times New Roman"/>
          <w:noProof/>
        </w:rPr>
        <w:t>Z boljšo uporabo digitalnih orodij pri izpolnjevanju zahtev glede prava gospodarskih družb v različnih fazah delovanja podjetja bi se dosegle enostavnejše in manj obremenjujoče rešitve za podjetja</w:t>
      </w:r>
      <w:r>
        <w:rPr>
          <w:rFonts w:ascii="Times New Roman" w:hAnsi="Times New Roman"/>
          <w:noProof/>
          <w:color w:val="auto"/>
        </w:rPr>
        <w:t>. Poleg predloga o družbi z enim družbenikom</w:t>
      </w:r>
      <w:r>
        <w:rPr>
          <w:rFonts w:ascii="Times New Roman" w:hAnsi="Times New Roman"/>
          <w:noProof/>
        </w:rPr>
        <w:t xml:space="preserve"> bo Komi</w:t>
      </w:r>
      <w:r>
        <w:rPr>
          <w:rFonts w:ascii="Times New Roman" w:hAnsi="Times New Roman"/>
          <w:noProof/>
        </w:rPr>
        <w:t>sija v okviru pobude iz strategije enotnega trga preučila še druge možnosti</w:t>
      </w:r>
      <w:r>
        <w:rPr>
          <w:rStyle w:val="FootnoteReference"/>
          <w:rFonts w:asciiTheme="minorHAnsi" w:hAnsiTheme="minorHAnsi" w:cstheme="minorBidi"/>
          <w:noProof/>
          <w:color w:val="auto"/>
          <w:sz w:val="22"/>
        </w:rPr>
        <w:footnoteReference w:id="27"/>
      </w:r>
      <w:r>
        <w:rPr>
          <w:rFonts w:ascii="Times New Roman" w:hAnsi="Times New Roman"/>
          <w:noProof/>
        </w:rPr>
        <w:t xml:space="preserve"> za olajšanje uporabe digitalnih rešitev v življenjskem ciklu podjetja, zlasti v zvezi s postopki za spletno registracijo in elektronsko oddajo dokumentov družbe ter informacij</w:t>
      </w:r>
      <w:r>
        <w:rPr>
          <w:rStyle w:val="FootnoteReference"/>
          <w:rFonts w:asciiTheme="minorHAnsi" w:hAnsiTheme="minorHAnsi" w:cstheme="minorBidi"/>
          <w:noProof/>
          <w:color w:val="auto"/>
          <w:sz w:val="22"/>
        </w:rPr>
        <w:footnoteReference w:id="28"/>
      </w:r>
      <w:r>
        <w:rPr>
          <w:rFonts w:ascii="Times New Roman" w:hAnsi="Times New Roman"/>
          <w:noProof/>
        </w:rPr>
        <w:t xml:space="preserve"> v </w:t>
      </w:r>
      <w:r>
        <w:rPr>
          <w:rFonts w:ascii="Times New Roman" w:hAnsi="Times New Roman"/>
          <w:noProof/>
        </w:rPr>
        <w:t>poslovnih registrih, tudi čezmejno.</w:t>
      </w:r>
    </w:p>
    <w:p w:rsidR="009F726C" w:rsidRDefault="00C677E5">
      <w:pPr>
        <w:rPr>
          <w:rStyle w:val="CharAttribute3"/>
          <w:rFonts w:eastAsia="Batang"/>
          <w:noProof/>
          <w:szCs w:val="24"/>
        </w:rPr>
      </w:pPr>
      <w:r>
        <w:rPr>
          <w:rStyle w:val="CharAttribute3"/>
          <w:rFonts w:eastAsiaTheme="minorHAnsi"/>
          <w:noProof/>
        </w:rPr>
        <w:t>Komisija bo za zmanj</w:t>
      </w:r>
      <w:r>
        <w:rPr>
          <w:rStyle w:val="CharAttribute3"/>
          <w:rFonts w:eastAsiaTheme="minorHAnsi"/>
          <w:noProof/>
        </w:rPr>
        <w:t>š</w:t>
      </w:r>
      <w:r>
        <w:rPr>
          <w:rStyle w:val="CharAttribute3"/>
          <w:rFonts w:eastAsiaTheme="minorHAnsi"/>
          <w:noProof/>
        </w:rPr>
        <w:t>anje upravnega bremena predlagala zakonodajo za raz</w:t>
      </w:r>
      <w:r>
        <w:rPr>
          <w:rStyle w:val="CharAttribute3"/>
          <w:rFonts w:eastAsiaTheme="minorHAnsi"/>
          <w:noProof/>
        </w:rPr>
        <w:t>š</w:t>
      </w:r>
      <w:r>
        <w:rPr>
          <w:rStyle w:val="CharAttribute3"/>
          <w:rFonts w:eastAsiaTheme="minorHAnsi"/>
          <w:noProof/>
        </w:rPr>
        <w:t>iritev enotnega elektronskega mehanizma za registracijo in pla</w:t>
      </w:r>
      <w:r>
        <w:rPr>
          <w:rStyle w:val="CharAttribute3"/>
          <w:rFonts w:eastAsiaTheme="minorHAnsi"/>
          <w:noProof/>
        </w:rPr>
        <w:t>č</w:t>
      </w:r>
      <w:r>
        <w:rPr>
          <w:rStyle w:val="CharAttribute3"/>
          <w:rFonts w:eastAsiaTheme="minorHAnsi"/>
          <w:noProof/>
        </w:rPr>
        <w:t xml:space="preserve">ilo DDV za podjetja, ki poslujejo </w:t>
      </w:r>
      <w:r>
        <w:rPr>
          <w:rStyle w:val="CharAttribute3"/>
          <w:rFonts w:eastAsiaTheme="minorHAnsi"/>
          <w:noProof/>
        </w:rPr>
        <w:t>č</w:t>
      </w:r>
      <w:r>
        <w:rPr>
          <w:rStyle w:val="CharAttribute3"/>
          <w:rFonts w:eastAsiaTheme="minorHAnsi"/>
          <w:noProof/>
        </w:rPr>
        <w:t>ezmejno s spletno prodajo fizi</w:t>
      </w:r>
      <w:r>
        <w:rPr>
          <w:rStyle w:val="CharAttribute3"/>
          <w:rFonts w:eastAsiaTheme="minorHAnsi"/>
          <w:noProof/>
        </w:rPr>
        <w:t>č</w:t>
      </w:r>
      <w:r>
        <w:rPr>
          <w:rStyle w:val="CharAttribute3"/>
          <w:rFonts w:eastAsiaTheme="minorHAnsi"/>
          <w:noProof/>
        </w:rPr>
        <w:t xml:space="preserve">nega blaga </w:t>
      </w:r>
      <w:r>
        <w:rPr>
          <w:rStyle w:val="CharAttribute3"/>
          <w:rFonts w:eastAsiaTheme="minorHAnsi"/>
          <w:noProof/>
        </w:rPr>
        <w:t>–</w:t>
      </w:r>
      <w:r>
        <w:rPr>
          <w:rStyle w:val="CharAttribute3"/>
          <w:rFonts w:eastAsiaTheme="minorHAnsi"/>
          <w:noProof/>
        </w:rPr>
        <w:t xml:space="preserve"> najve</w:t>
      </w:r>
      <w:r>
        <w:rPr>
          <w:rStyle w:val="CharAttribute3"/>
          <w:rFonts w:eastAsiaTheme="minorHAnsi"/>
          <w:noProof/>
        </w:rPr>
        <w:t>č</w:t>
      </w:r>
      <w:r>
        <w:rPr>
          <w:rStyle w:val="CharAttribute3"/>
          <w:rFonts w:eastAsiaTheme="minorHAnsi"/>
          <w:noProof/>
        </w:rPr>
        <w:t xml:space="preserve">jih ovir za podjetja, ki poslujejo </w:t>
      </w:r>
      <w:r>
        <w:rPr>
          <w:rStyle w:val="CharAttribute3"/>
          <w:rFonts w:eastAsiaTheme="minorHAnsi"/>
          <w:noProof/>
        </w:rPr>
        <w:t>č</w:t>
      </w:r>
      <w:r>
        <w:rPr>
          <w:rStyle w:val="CharAttribute3"/>
          <w:rFonts w:eastAsiaTheme="minorHAnsi"/>
          <w:noProof/>
        </w:rPr>
        <w:t>ezmejno.</w:t>
      </w:r>
    </w:p>
    <w:p w:rsidR="009F726C" w:rsidRDefault="00C677E5">
      <w:pPr>
        <w:rPr>
          <w:rStyle w:val="CharAttribute3"/>
          <w:rFonts w:eastAsia="Batang"/>
          <w:noProof/>
        </w:rPr>
      </w:pPr>
      <w:r>
        <w:rPr>
          <w:rStyle w:val="CharAttribute3"/>
          <w:rFonts w:eastAsiaTheme="minorHAnsi"/>
          <w:noProof/>
        </w:rPr>
        <w:t>Kot je napovedano v strategiji za enotni digitalni trg, bo leta 2016 s sodelovanjem dr</w:t>
      </w:r>
      <w:r>
        <w:rPr>
          <w:rStyle w:val="CharAttribute3"/>
          <w:rFonts w:eastAsiaTheme="minorHAnsi"/>
          <w:noProof/>
        </w:rPr>
        <w:t>ž</w:t>
      </w:r>
      <w:r>
        <w:rPr>
          <w:rStyle w:val="CharAttribute3"/>
          <w:rFonts w:eastAsiaTheme="minorHAnsi"/>
          <w:noProof/>
        </w:rPr>
        <w:t xml:space="preserve">av </w:t>
      </w:r>
      <w:r>
        <w:rPr>
          <w:rStyle w:val="CharAttribute3"/>
          <w:rFonts w:eastAsiaTheme="minorHAnsi"/>
          <w:noProof/>
        </w:rPr>
        <w:t>č</w:t>
      </w:r>
      <w:r>
        <w:rPr>
          <w:rStyle w:val="CharAttribute3"/>
          <w:rFonts w:eastAsiaTheme="minorHAnsi"/>
          <w:noProof/>
        </w:rPr>
        <w:t>lanic za</w:t>
      </w:r>
      <w:r>
        <w:rPr>
          <w:rStyle w:val="CharAttribute3"/>
          <w:rFonts w:eastAsiaTheme="minorHAnsi"/>
          <w:noProof/>
        </w:rPr>
        <w:t>č</w:t>
      </w:r>
      <w:r>
        <w:rPr>
          <w:rStyle w:val="CharAttribute3"/>
          <w:rFonts w:eastAsiaTheme="minorHAnsi"/>
          <w:noProof/>
        </w:rPr>
        <w:t>et obse</w:t>
      </w:r>
      <w:r>
        <w:rPr>
          <w:rStyle w:val="CharAttribute3"/>
          <w:rFonts w:eastAsiaTheme="minorHAnsi"/>
          <w:noProof/>
        </w:rPr>
        <w:t>ž</w:t>
      </w:r>
      <w:r>
        <w:rPr>
          <w:rStyle w:val="CharAttribute3"/>
          <w:rFonts w:eastAsiaTheme="minorHAnsi"/>
          <w:noProof/>
        </w:rPr>
        <w:t xml:space="preserve">en pilotni projekt o </w:t>
      </w:r>
      <w:r>
        <w:rPr>
          <w:rStyle w:val="CharAttribute3"/>
          <w:rFonts w:eastAsiaTheme="minorHAnsi"/>
          <w:noProof/>
        </w:rPr>
        <w:t>č</w:t>
      </w:r>
      <w:r>
        <w:rPr>
          <w:rStyle w:val="CharAttribute3"/>
          <w:rFonts w:eastAsiaTheme="minorHAnsi"/>
          <w:noProof/>
        </w:rPr>
        <w:t>ezmejnem izvajanju na</w:t>
      </w:r>
      <w:r>
        <w:rPr>
          <w:rStyle w:val="CharAttribute3"/>
          <w:rFonts w:eastAsiaTheme="minorHAnsi"/>
          <w:noProof/>
        </w:rPr>
        <w:t>č</w:t>
      </w:r>
      <w:r>
        <w:rPr>
          <w:rStyle w:val="CharAttribute3"/>
          <w:rFonts w:eastAsiaTheme="minorHAnsi"/>
          <w:noProof/>
        </w:rPr>
        <w:t xml:space="preserve">ela </w:t>
      </w:r>
      <w:r>
        <w:rPr>
          <w:rStyle w:val="CharAttribute3"/>
          <w:rFonts w:eastAsiaTheme="minorHAnsi"/>
          <w:noProof/>
        </w:rPr>
        <w:t>„</w:t>
      </w:r>
      <w:r>
        <w:rPr>
          <w:rStyle w:val="CharAttribute3"/>
          <w:rFonts w:eastAsiaTheme="minorHAnsi"/>
          <w:noProof/>
        </w:rPr>
        <w:t>samo enkrat</w:t>
      </w:r>
      <w:r>
        <w:rPr>
          <w:rStyle w:val="CharAttribute3"/>
          <w:rFonts w:eastAsiaTheme="minorHAnsi"/>
          <w:noProof/>
        </w:rPr>
        <w:t>“</w:t>
      </w:r>
      <w:r>
        <w:rPr>
          <w:rStyle w:val="CharAttribute3"/>
          <w:rFonts w:eastAsiaTheme="minorHAnsi"/>
          <w:noProof/>
        </w:rPr>
        <w:t xml:space="preserve"> na podro</w:t>
      </w:r>
      <w:r>
        <w:rPr>
          <w:rStyle w:val="CharAttribute3"/>
          <w:rFonts w:eastAsiaTheme="minorHAnsi"/>
          <w:noProof/>
        </w:rPr>
        <w:t>č</w:t>
      </w:r>
      <w:r>
        <w:rPr>
          <w:rStyle w:val="CharAttribute3"/>
          <w:rFonts w:eastAsiaTheme="minorHAnsi"/>
          <w:noProof/>
        </w:rPr>
        <w:t>ju podjetja</w:t>
      </w:r>
      <w:r>
        <w:rPr>
          <w:rStyle w:val="CharAttribute3"/>
          <w:rFonts w:eastAsiaTheme="minorHAnsi"/>
          <w:noProof/>
        </w:rPr>
        <w:t>–</w:t>
      </w:r>
      <w:r>
        <w:rPr>
          <w:rStyle w:val="CharAttribute3"/>
          <w:rFonts w:eastAsiaTheme="minorHAnsi"/>
          <w:noProof/>
        </w:rPr>
        <w:t xml:space="preserve">uprava. </w:t>
      </w:r>
    </w:p>
    <w:p w:rsidR="009F726C" w:rsidRDefault="00C677E5">
      <w:pPr>
        <w:rPr>
          <w:rStyle w:val="CharAttribute3"/>
          <w:rFonts w:eastAsia="Batang"/>
          <w:noProof/>
          <w:szCs w:val="24"/>
        </w:rPr>
      </w:pPr>
      <w:r>
        <w:rPr>
          <w:rStyle w:val="CharAttribute3"/>
          <w:rFonts w:eastAsiaTheme="minorHAnsi"/>
          <w:noProof/>
        </w:rPr>
        <w:t>Poleg tega</w:t>
      </w:r>
      <w:r>
        <w:rPr>
          <w:rStyle w:val="CharAttribute3"/>
          <w:rFonts w:eastAsiaTheme="minorHAnsi"/>
          <w:noProof/>
        </w:rPr>
        <w:t xml:space="preserve"> bo Komisija vzpostavila evropsko enojno okence, ki bo upo</w:t>
      </w:r>
      <w:r>
        <w:rPr>
          <w:rStyle w:val="CharAttribute3"/>
          <w:rFonts w:eastAsiaTheme="minorHAnsi"/>
          <w:noProof/>
        </w:rPr>
        <w:t>š</w:t>
      </w:r>
      <w:r>
        <w:rPr>
          <w:rStyle w:val="CharAttribute3"/>
          <w:rFonts w:eastAsiaTheme="minorHAnsi"/>
          <w:noProof/>
        </w:rPr>
        <w:t>tevalo tudi na</w:t>
      </w:r>
      <w:r>
        <w:rPr>
          <w:rStyle w:val="CharAttribute3"/>
          <w:rFonts w:eastAsiaTheme="minorHAnsi"/>
          <w:noProof/>
        </w:rPr>
        <w:t>č</w:t>
      </w:r>
      <w:r>
        <w:rPr>
          <w:rStyle w:val="CharAttribute3"/>
          <w:rFonts w:eastAsiaTheme="minorHAnsi"/>
          <w:noProof/>
        </w:rPr>
        <w:t xml:space="preserve">elo </w:t>
      </w:r>
      <w:r>
        <w:rPr>
          <w:rStyle w:val="CharAttribute3"/>
          <w:rFonts w:eastAsiaTheme="minorHAnsi"/>
          <w:noProof/>
        </w:rPr>
        <w:t>„</w:t>
      </w:r>
      <w:r>
        <w:rPr>
          <w:rStyle w:val="CharAttribute3"/>
          <w:rFonts w:eastAsiaTheme="minorHAnsi"/>
          <w:noProof/>
        </w:rPr>
        <w:t>samo enkrat</w:t>
      </w:r>
      <w:r>
        <w:rPr>
          <w:rStyle w:val="CharAttribute3"/>
          <w:rFonts w:eastAsiaTheme="minorHAnsi"/>
          <w:noProof/>
        </w:rPr>
        <w:t>“</w:t>
      </w:r>
      <w:r>
        <w:rPr>
          <w:rStyle w:val="CharAttribute3"/>
          <w:rFonts w:eastAsiaTheme="minorHAnsi"/>
          <w:noProof/>
        </w:rPr>
        <w:t xml:space="preserve"> za namene poro</w:t>
      </w:r>
      <w:r>
        <w:rPr>
          <w:rStyle w:val="CharAttribute3"/>
          <w:rFonts w:eastAsiaTheme="minorHAnsi"/>
          <w:noProof/>
        </w:rPr>
        <w:t>č</w:t>
      </w:r>
      <w:r>
        <w:rPr>
          <w:rStyle w:val="CharAttribute3"/>
          <w:rFonts w:eastAsiaTheme="minorHAnsi"/>
          <w:noProof/>
        </w:rPr>
        <w:t xml:space="preserve">anja v pomorskem prometu. V </w:t>
      </w:r>
      <w:r>
        <w:rPr>
          <w:rStyle w:val="CharAttribute3"/>
          <w:rFonts w:eastAsiaTheme="minorHAnsi"/>
          <w:noProof/>
        </w:rPr>
        <w:t>š</w:t>
      </w:r>
      <w:r>
        <w:rPr>
          <w:rStyle w:val="CharAttribute3"/>
          <w:rFonts w:eastAsiaTheme="minorHAnsi"/>
          <w:noProof/>
        </w:rPr>
        <w:t>ir</w:t>
      </w:r>
      <w:r>
        <w:rPr>
          <w:rStyle w:val="CharAttribute3"/>
          <w:rFonts w:eastAsiaTheme="minorHAnsi"/>
          <w:noProof/>
        </w:rPr>
        <w:t>š</w:t>
      </w:r>
      <w:r>
        <w:rPr>
          <w:rStyle w:val="CharAttribute3"/>
          <w:rFonts w:eastAsiaTheme="minorHAnsi"/>
          <w:noProof/>
        </w:rPr>
        <w:t>em kontekstu si Komisija prizadeva za digitalizacijo dokumentov za vse na</w:t>
      </w:r>
      <w:r>
        <w:rPr>
          <w:rStyle w:val="CharAttribute3"/>
          <w:rFonts w:eastAsiaTheme="minorHAnsi"/>
          <w:noProof/>
        </w:rPr>
        <w:t>č</w:t>
      </w:r>
      <w:r>
        <w:rPr>
          <w:rStyle w:val="CharAttribute3"/>
          <w:rFonts w:eastAsiaTheme="minorHAnsi"/>
          <w:noProof/>
        </w:rPr>
        <w:t>ine prevoza ter spodbujanje njihovega sprej</w:t>
      </w:r>
      <w:r>
        <w:rPr>
          <w:rStyle w:val="CharAttribute3"/>
          <w:rFonts w:eastAsiaTheme="minorHAnsi"/>
          <w:noProof/>
        </w:rPr>
        <w:t xml:space="preserve">emanja s strani javnih organov. </w:t>
      </w:r>
    </w:p>
    <w:tbl>
      <w:tblPr>
        <w:tblStyle w:val="TableGrid"/>
        <w:tblW w:w="9039" w:type="dxa"/>
        <w:tblLayout w:type="fixed"/>
        <w:tblLook w:val="04A0" w:firstRow="1" w:lastRow="0" w:firstColumn="1" w:lastColumn="0" w:noHBand="0" w:noVBand="1"/>
      </w:tblPr>
      <w:tblGrid>
        <w:gridCol w:w="7763"/>
        <w:gridCol w:w="1276"/>
      </w:tblGrid>
      <w:tr w:rsidR="009F726C">
        <w:tc>
          <w:tcPr>
            <w:tcW w:w="7763"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Ukrepi</w:t>
            </w:r>
          </w:p>
          <w:p w:rsidR="009F726C" w:rsidRDefault="00C677E5">
            <w:pPr>
              <w:shd w:val="clear" w:color="auto" w:fill="EBEBEB" w:themeFill="background1"/>
              <w:rPr>
                <w:rFonts w:ascii="Times New Roman" w:hAnsi="Times New Roman" w:cs="Times New Roman"/>
                <w:noProof/>
                <w:sz w:val="24"/>
                <w:szCs w:val="24"/>
              </w:rPr>
            </w:pPr>
            <w:r>
              <w:rPr>
                <w:rFonts w:ascii="Times New Roman" w:hAnsi="Times New Roman"/>
                <w:noProof/>
                <w:sz w:val="24"/>
              </w:rPr>
              <w:t>Komisija bo:</w:t>
            </w:r>
          </w:p>
        </w:tc>
        <w:tc>
          <w:tcPr>
            <w:tcW w:w="1276"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Rok</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Fonts w:ascii="Times New Roman" w:hAnsi="Times New Roman"/>
                <w:noProof/>
                <w:sz w:val="24"/>
                <w:szCs w:val="24"/>
              </w:rPr>
            </w:pPr>
            <w:r>
              <w:rPr>
                <w:rFonts w:ascii="Times New Roman" w:hAnsi="Times New Roman"/>
                <w:noProof/>
                <w:sz w:val="24"/>
              </w:rPr>
              <w:t>predstavila predlog enotnega digitalnega portala.</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2017</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Style w:val="CharAttribute3"/>
                <w:rFonts w:eastAsia="Batang" w:hAnsiTheme="minorHAnsi" w:cstheme="minorBidi"/>
                <w:noProof/>
              </w:rPr>
            </w:pPr>
            <w:r>
              <w:rPr>
                <w:rFonts w:ascii="Times New Roman" w:hAnsi="Times New Roman"/>
                <w:noProof/>
                <w:sz w:val="24"/>
              </w:rPr>
              <w:t>iz portala evropskega e-pravosodja ustvarila enotno kontaktno točko za podatke o evropskem pravosodju.</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Fonts w:ascii="Times New Roman" w:hAnsi="Times New Roman"/>
                <w:noProof/>
                <w:sz w:val="24"/>
                <w:szCs w:val="24"/>
              </w:rPr>
            </w:pPr>
            <w:r>
              <w:rPr>
                <w:rFonts w:ascii="Times New Roman" w:hAnsi="Times New Roman"/>
                <w:noProof/>
                <w:kern w:val="2"/>
                <w:sz w:val="24"/>
              </w:rPr>
              <w:t xml:space="preserve">v sodelovanju z državami </w:t>
            </w:r>
            <w:r>
              <w:rPr>
                <w:rFonts w:ascii="Times New Roman" w:hAnsi="Times New Roman"/>
                <w:noProof/>
                <w:kern w:val="2"/>
                <w:sz w:val="24"/>
              </w:rPr>
              <w:t>članicami vzpostavila obvezno povezavo med vsemi poslovnimi registri držav članic.</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2017</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Fonts w:ascii="Times New Roman" w:hAnsi="Times New Roman"/>
                <w:i/>
                <w:noProof/>
                <w:sz w:val="24"/>
                <w:szCs w:val="24"/>
              </w:rPr>
            </w:pPr>
            <w:r>
              <w:rPr>
                <w:rFonts w:ascii="Times New Roman" w:hAnsi="Times New Roman"/>
                <w:noProof/>
                <w:sz w:val="24"/>
              </w:rPr>
              <w:t>dodatno razvila elektronsko povezovanje registrov nesolventnosti.</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2019</w:t>
            </w:r>
          </w:p>
        </w:tc>
      </w:tr>
      <w:tr w:rsidR="009F726C">
        <w:tc>
          <w:tcPr>
            <w:tcW w:w="7763" w:type="dxa"/>
          </w:tcPr>
          <w:p w:rsidR="009F726C" w:rsidRDefault="00C677E5">
            <w:pPr>
              <w:pStyle w:val="ListParagraph"/>
              <w:numPr>
                <w:ilvl w:val="0"/>
                <w:numId w:val="2"/>
              </w:numPr>
              <w:spacing w:before="120" w:after="120"/>
              <w:rPr>
                <w:rFonts w:ascii="Times New Roman" w:hAnsi="Times New Roman"/>
                <w:noProof/>
                <w:sz w:val="24"/>
                <w:szCs w:val="24"/>
              </w:rPr>
            </w:pPr>
            <w:r>
              <w:rPr>
                <w:rFonts w:ascii="Times New Roman" w:hAnsi="Times New Roman"/>
                <w:noProof/>
                <w:kern w:val="2"/>
                <w:sz w:val="24"/>
              </w:rPr>
              <w:t>predstavila pobudo za olajšanje uporabe digitalnih rešitev v vseh fazah življenjskega cikla pod</w:t>
            </w:r>
            <w:r>
              <w:rPr>
                <w:rFonts w:ascii="Times New Roman" w:hAnsi="Times New Roman"/>
                <w:noProof/>
                <w:kern w:val="2"/>
                <w:sz w:val="24"/>
              </w:rPr>
              <w:t>jetja.</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2017</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Fonts w:ascii="Times New Roman" w:hAnsi="Times New Roman"/>
                <w:noProof/>
                <w:sz w:val="24"/>
                <w:szCs w:val="24"/>
              </w:rPr>
            </w:pPr>
            <w:r>
              <w:rPr>
                <w:rStyle w:val="CharAttribute3"/>
                <w:rFonts w:eastAsia="Calibri"/>
                <w:noProof/>
              </w:rPr>
              <w:t>predstavila zakonodajni predlog za raz</w:t>
            </w:r>
            <w:r>
              <w:rPr>
                <w:rStyle w:val="CharAttribute3"/>
                <w:rFonts w:eastAsia="Calibri"/>
                <w:noProof/>
              </w:rPr>
              <w:t>š</w:t>
            </w:r>
            <w:r>
              <w:rPr>
                <w:rStyle w:val="CharAttribute3"/>
                <w:rFonts w:eastAsia="Calibri"/>
                <w:noProof/>
              </w:rPr>
              <w:t>iritev enotnega mehanizma za elektronsko registracijo in pla</w:t>
            </w:r>
            <w:r>
              <w:rPr>
                <w:rStyle w:val="CharAttribute3"/>
                <w:rFonts w:eastAsia="Calibri"/>
                <w:noProof/>
              </w:rPr>
              <w:t>č</w:t>
            </w:r>
            <w:r>
              <w:rPr>
                <w:rStyle w:val="CharAttribute3"/>
                <w:rFonts w:eastAsia="Calibri"/>
                <w:noProof/>
              </w:rPr>
              <w:t>ilo DDV.</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Style w:val="CharAttribute3"/>
                <w:rFonts w:eastAsia="Batang"/>
                <w:noProof/>
              </w:rPr>
            </w:pPr>
            <w:r>
              <w:rPr>
                <w:rStyle w:val="CharAttribute3"/>
                <w:rFonts w:eastAsia="Calibri"/>
                <w:noProof/>
              </w:rPr>
              <w:t>za</w:t>
            </w:r>
            <w:r>
              <w:rPr>
                <w:rStyle w:val="CharAttribute3"/>
                <w:rFonts w:eastAsia="Calibri"/>
                <w:noProof/>
              </w:rPr>
              <w:t>č</w:t>
            </w:r>
            <w:r>
              <w:rPr>
                <w:rStyle w:val="CharAttribute3"/>
                <w:rFonts w:eastAsia="Calibri"/>
                <w:noProof/>
              </w:rPr>
              <w:t>ela izvajati pilotni projekt o na</w:t>
            </w:r>
            <w:r>
              <w:rPr>
                <w:rStyle w:val="CharAttribute3"/>
                <w:rFonts w:eastAsia="Calibri"/>
                <w:noProof/>
              </w:rPr>
              <w:t>č</w:t>
            </w:r>
            <w:r>
              <w:rPr>
                <w:rStyle w:val="CharAttribute3"/>
                <w:rFonts w:eastAsia="Calibri"/>
                <w:noProof/>
              </w:rPr>
              <w:t xml:space="preserve">elu </w:t>
            </w:r>
            <w:r>
              <w:rPr>
                <w:rStyle w:val="CharAttribute3"/>
                <w:rFonts w:eastAsia="Calibri"/>
                <w:noProof/>
              </w:rPr>
              <w:t>„</w:t>
            </w:r>
            <w:r>
              <w:rPr>
                <w:rStyle w:val="CharAttribute3"/>
                <w:rFonts w:eastAsia="Calibri"/>
                <w:noProof/>
              </w:rPr>
              <w:t>samo enkrat</w:t>
            </w:r>
            <w:r>
              <w:rPr>
                <w:rStyle w:val="CharAttribute3"/>
                <w:rFonts w:eastAsia="Calibri"/>
                <w:noProof/>
              </w:rPr>
              <w:t>“</w:t>
            </w:r>
            <w:r>
              <w:rPr>
                <w:rStyle w:val="CharAttribute3"/>
                <w:rFonts w:eastAsia="Calibri"/>
                <w:noProof/>
              </w:rPr>
              <w:t xml:space="preserve"> za podjetja.</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Style w:val="CharAttribute3"/>
                <w:rFonts w:eastAsia="Batang"/>
                <w:noProof/>
              </w:rPr>
            </w:pPr>
            <w:r>
              <w:rPr>
                <w:rStyle w:val="CharAttribute3"/>
                <w:rFonts w:eastAsia="Calibri"/>
                <w:noProof/>
              </w:rPr>
              <w:t>vzpostavila enojno okence za namene poro</w:t>
            </w:r>
            <w:r>
              <w:rPr>
                <w:rStyle w:val="CharAttribute3"/>
                <w:rFonts w:eastAsia="Calibri"/>
                <w:noProof/>
              </w:rPr>
              <w:t>č</w:t>
            </w:r>
            <w:r>
              <w:rPr>
                <w:rStyle w:val="CharAttribute3"/>
                <w:rFonts w:eastAsia="Calibri"/>
                <w:noProof/>
              </w:rPr>
              <w:t xml:space="preserve">anja v </w:t>
            </w:r>
            <w:r>
              <w:rPr>
                <w:rStyle w:val="CharAttribute3"/>
                <w:rFonts w:eastAsia="Calibri"/>
                <w:noProof/>
              </w:rPr>
              <w:t>pomorskem prometu in digitalizirala prevozne e-dokumente.</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2018</w:t>
            </w:r>
          </w:p>
        </w:tc>
      </w:tr>
    </w:tbl>
    <w:p w:rsidR="009F726C" w:rsidRDefault="00C677E5">
      <w:pPr>
        <w:spacing w:before="120"/>
        <w:rPr>
          <w:rFonts w:ascii="Times New Roman" w:hAnsi="Times New Roman" w:cs="Times New Roman"/>
          <w:noProof/>
          <w:sz w:val="24"/>
          <w:szCs w:val="24"/>
        </w:rPr>
      </w:pPr>
      <w:r>
        <w:rPr>
          <w:rStyle w:val="CharAttribute3"/>
          <w:rFonts w:eastAsiaTheme="minorHAnsi"/>
          <w:noProof/>
        </w:rPr>
        <w:t xml:space="preserve">Da bi podprla </w:t>
      </w:r>
      <w:r>
        <w:rPr>
          <w:rStyle w:val="CharAttribute3"/>
          <w:rFonts w:eastAsiaTheme="minorHAnsi"/>
          <w:noProof/>
        </w:rPr>
        <w:t>č</w:t>
      </w:r>
      <w:r>
        <w:rPr>
          <w:rStyle w:val="CharAttribute3"/>
          <w:rFonts w:eastAsiaTheme="minorHAnsi"/>
          <w:noProof/>
        </w:rPr>
        <w:t>ezmejno mobilnost dr</w:t>
      </w:r>
      <w:r>
        <w:rPr>
          <w:rStyle w:val="CharAttribute3"/>
          <w:rFonts w:eastAsiaTheme="minorHAnsi"/>
          <w:noProof/>
        </w:rPr>
        <w:t>ž</w:t>
      </w:r>
      <w:r>
        <w:rPr>
          <w:rStyle w:val="CharAttribute3"/>
          <w:rFonts w:eastAsiaTheme="minorHAnsi"/>
          <w:noProof/>
        </w:rPr>
        <w:t>avljanov, bo Komisija vzpostavila elektronsko izmenjavo informacij o socialni varnosti (EESSI), ki bo omogo</w:t>
      </w:r>
      <w:r>
        <w:rPr>
          <w:rStyle w:val="CharAttribute3"/>
          <w:rFonts w:eastAsiaTheme="minorHAnsi"/>
          <w:noProof/>
        </w:rPr>
        <w:t>č</w:t>
      </w:r>
      <w:r>
        <w:rPr>
          <w:rStyle w:val="CharAttribute3"/>
          <w:rFonts w:eastAsiaTheme="minorHAnsi"/>
          <w:noProof/>
        </w:rPr>
        <w:t>ala medomre</w:t>
      </w:r>
      <w:r>
        <w:rPr>
          <w:rStyle w:val="CharAttribute3"/>
          <w:rFonts w:eastAsiaTheme="minorHAnsi"/>
          <w:noProof/>
        </w:rPr>
        <w:t>ž</w:t>
      </w:r>
      <w:r>
        <w:rPr>
          <w:rStyle w:val="CharAttribute3"/>
          <w:rFonts w:eastAsiaTheme="minorHAnsi"/>
          <w:noProof/>
        </w:rPr>
        <w:t xml:space="preserve">no povezovanje med upravami, ki so </w:t>
      </w:r>
      <w:r>
        <w:rPr>
          <w:rStyle w:val="CharAttribute3"/>
          <w:rFonts w:eastAsiaTheme="minorHAnsi"/>
          <w:noProof/>
        </w:rPr>
        <w:t>pristojne za socialno varnost, za elektronsko izmenjavo podatkov med 32 dr</w:t>
      </w:r>
      <w:r>
        <w:rPr>
          <w:rStyle w:val="CharAttribute3"/>
          <w:rFonts w:eastAsiaTheme="minorHAnsi"/>
          <w:noProof/>
        </w:rPr>
        <w:t>ž</w:t>
      </w:r>
      <w:r>
        <w:rPr>
          <w:rStyle w:val="CharAttribute3"/>
          <w:rFonts w:eastAsiaTheme="minorHAnsi"/>
          <w:noProof/>
        </w:rPr>
        <w:t>avami</w:t>
      </w:r>
      <w:r>
        <w:rPr>
          <w:rStyle w:val="FootnoteReference"/>
          <w:noProof/>
        </w:rPr>
        <w:footnoteReference w:id="29"/>
      </w:r>
      <w:r>
        <w:rPr>
          <w:rStyle w:val="CharAttribute3"/>
          <w:rFonts w:eastAsiaTheme="minorHAnsi"/>
          <w:noProof/>
        </w:rPr>
        <w:t>. Namen EESSI je okrepiti varstvo pravic dr</w:t>
      </w:r>
      <w:r>
        <w:rPr>
          <w:rStyle w:val="CharAttribute3"/>
          <w:rFonts w:eastAsiaTheme="minorHAnsi"/>
          <w:noProof/>
        </w:rPr>
        <w:t>ž</w:t>
      </w:r>
      <w:r>
        <w:rPr>
          <w:rStyle w:val="CharAttribute3"/>
          <w:rFonts w:eastAsiaTheme="minorHAnsi"/>
          <w:noProof/>
        </w:rPr>
        <w:t>avljanov tako, da</w:t>
      </w:r>
      <w:r>
        <w:rPr>
          <w:rFonts w:ascii="Times New Roman"/>
          <w:noProof/>
          <w:sz w:val="24"/>
        </w:rPr>
        <w:t xml:space="preserve"> se omogo</w:t>
      </w:r>
      <w:r>
        <w:rPr>
          <w:rFonts w:ascii="Times New Roman"/>
          <w:noProof/>
          <w:sz w:val="24"/>
        </w:rPr>
        <w:t>č</w:t>
      </w:r>
      <w:r>
        <w:rPr>
          <w:rFonts w:ascii="Times New Roman"/>
          <w:noProof/>
          <w:sz w:val="24"/>
        </w:rPr>
        <w:t>i elektronska izmenjava osebnih informacij o socialni varnosti med pristojnimi upravnimi organi dr</w:t>
      </w:r>
      <w:r>
        <w:rPr>
          <w:rFonts w:ascii="Times New Roman"/>
          <w:noProof/>
          <w:sz w:val="24"/>
        </w:rPr>
        <w:t>ž</w:t>
      </w:r>
      <w:r>
        <w:rPr>
          <w:rFonts w:ascii="Times New Roman"/>
          <w:noProof/>
          <w:sz w:val="24"/>
        </w:rPr>
        <w:t xml:space="preserve">av </w:t>
      </w:r>
      <w:r>
        <w:rPr>
          <w:rFonts w:ascii="Times New Roman"/>
          <w:noProof/>
          <w:sz w:val="24"/>
        </w:rPr>
        <w:t>č</w:t>
      </w:r>
      <w:r>
        <w:rPr>
          <w:rFonts w:ascii="Times New Roman"/>
          <w:noProof/>
          <w:sz w:val="24"/>
        </w:rPr>
        <w:t>l</w:t>
      </w:r>
      <w:r>
        <w:rPr>
          <w:rFonts w:ascii="Times New Roman"/>
          <w:noProof/>
          <w:sz w:val="24"/>
        </w:rPr>
        <w:t xml:space="preserve">anic EU. </w:t>
      </w:r>
    </w:p>
    <w:p w:rsidR="009F726C" w:rsidRDefault="00C677E5">
      <w:pPr>
        <w:widowControl w:val="0"/>
        <w:autoSpaceDE w:val="0"/>
        <w:autoSpaceDN w:val="0"/>
        <w:spacing w:before="120" w:after="120"/>
        <w:rPr>
          <w:rStyle w:val="CharAttribute3"/>
          <w:rFonts w:eastAsia="Batang"/>
          <w:noProof/>
          <w:szCs w:val="24"/>
        </w:rPr>
      </w:pPr>
      <w:r>
        <w:rPr>
          <w:rStyle w:val="CharAttribute3"/>
          <w:rFonts w:eastAsiaTheme="minorHAnsi"/>
          <w:noProof/>
        </w:rPr>
        <w:t xml:space="preserve">Komisija bo </w:t>
      </w:r>
      <w:r>
        <w:rPr>
          <w:rStyle w:val="CharAttribute3"/>
          <w:rFonts w:eastAsiaTheme="minorHAnsi"/>
          <w:noProof/>
        </w:rPr>
        <w:t>š</w:t>
      </w:r>
      <w:r>
        <w:rPr>
          <w:rStyle w:val="CharAttribute3"/>
          <w:rFonts w:eastAsiaTheme="minorHAnsi"/>
          <w:noProof/>
        </w:rPr>
        <w:t>e naprej razvijala Evropski portal za zaposlitveno mobilnost EURES, da bi tudi z izmenjavo profilov iskalcev zaposlitve (</w:t>
      </w:r>
      <w:r>
        <w:rPr>
          <w:rStyle w:val="CharAttribute3"/>
          <w:rFonts w:eastAsiaTheme="minorHAnsi"/>
          <w:noProof/>
        </w:rPr>
        <w:t>ž</w:t>
      </w:r>
      <w:r>
        <w:rPr>
          <w:rStyle w:val="CharAttribute3"/>
          <w:rFonts w:eastAsiaTheme="minorHAnsi"/>
          <w:noProof/>
        </w:rPr>
        <w:t>ivljenjepisov) ponujal ve</w:t>
      </w:r>
      <w:r>
        <w:rPr>
          <w:rStyle w:val="CharAttribute3"/>
          <w:rFonts w:eastAsiaTheme="minorHAnsi"/>
          <w:noProof/>
        </w:rPr>
        <w:t>č</w:t>
      </w:r>
      <w:r>
        <w:rPr>
          <w:rStyle w:val="CharAttribute3"/>
          <w:rFonts w:eastAsiaTheme="minorHAnsi"/>
          <w:noProof/>
        </w:rPr>
        <w:t xml:space="preserve"> storitev za iskalce zaposlitve in delodajalce ter pove</w:t>
      </w:r>
      <w:r>
        <w:rPr>
          <w:rStyle w:val="CharAttribute3"/>
          <w:rFonts w:eastAsiaTheme="minorHAnsi"/>
          <w:noProof/>
        </w:rPr>
        <w:t>č</w:t>
      </w:r>
      <w:r>
        <w:rPr>
          <w:rStyle w:val="CharAttribute3"/>
          <w:rFonts w:eastAsiaTheme="minorHAnsi"/>
          <w:noProof/>
        </w:rPr>
        <w:t>al povezanost med sistemi jav</w:t>
      </w:r>
      <w:r>
        <w:rPr>
          <w:rStyle w:val="CharAttribute3"/>
          <w:rFonts w:eastAsiaTheme="minorHAnsi"/>
          <w:noProof/>
        </w:rPr>
        <w:t>nih zavodov za zaposlovanje in portalom</w:t>
      </w:r>
      <w:r>
        <w:rPr>
          <w:rStyle w:val="FootnoteReference"/>
          <w:noProof/>
        </w:rPr>
        <w:footnoteReference w:id="30"/>
      </w:r>
      <w:r>
        <w:rPr>
          <w:rStyle w:val="CharAttribute3"/>
          <w:rFonts w:eastAsiaTheme="minorHAnsi"/>
          <w:noProof/>
        </w:rPr>
        <w:t>. To bo iskalcem zaposlitve v EU olaj</w:t>
      </w:r>
      <w:r>
        <w:rPr>
          <w:rStyle w:val="CharAttribute3"/>
          <w:rFonts w:eastAsiaTheme="minorHAnsi"/>
          <w:noProof/>
        </w:rPr>
        <w:t>š</w:t>
      </w:r>
      <w:r>
        <w:rPr>
          <w:rStyle w:val="CharAttribute3"/>
          <w:rFonts w:eastAsiaTheme="minorHAnsi"/>
          <w:noProof/>
        </w:rPr>
        <w:t>alo mobilnost.</w:t>
      </w:r>
    </w:p>
    <w:p w:rsidR="009F726C" w:rsidRDefault="00C677E5">
      <w:pPr>
        <w:widowControl w:val="0"/>
        <w:autoSpaceDE w:val="0"/>
        <w:autoSpaceDN w:val="0"/>
        <w:spacing w:before="120" w:after="120"/>
        <w:rPr>
          <w:rFonts w:ascii="Times New Roman" w:hAnsi="Times New Roman" w:cs="Times New Roman"/>
          <w:noProof/>
          <w:sz w:val="24"/>
          <w:szCs w:val="24"/>
        </w:rPr>
      </w:pPr>
      <w:r>
        <w:rPr>
          <w:rStyle w:val="CharAttribute3"/>
          <w:rFonts w:eastAsiaTheme="minorHAnsi"/>
          <w:noProof/>
        </w:rPr>
        <w:t>Komisija bo dr</w:t>
      </w:r>
      <w:r>
        <w:rPr>
          <w:rStyle w:val="CharAttribute3"/>
          <w:rFonts w:eastAsiaTheme="minorHAnsi"/>
          <w:noProof/>
        </w:rPr>
        <w:t>ž</w:t>
      </w:r>
      <w:r>
        <w:rPr>
          <w:rStyle w:val="CharAttribute3"/>
          <w:rFonts w:eastAsiaTheme="minorHAnsi"/>
          <w:noProof/>
        </w:rPr>
        <w:t xml:space="preserve">ave </w:t>
      </w:r>
      <w:r>
        <w:rPr>
          <w:rStyle w:val="CharAttribute3"/>
          <w:rFonts w:eastAsiaTheme="minorHAnsi"/>
          <w:noProof/>
        </w:rPr>
        <w:t>č</w:t>
      </w:r>
      <w:r>
        <w:rPr>
          <w:rStyle w:val="CharAttribute3"/>
          <w:rFonts w:eastAsiaTheme="minorHAnsi"/>
          <w:noProof/>
        </w:rPr>
        <w:t>lanice podpirala pri razvoju storitev e-zdravja, ki omogo</w:t>
      </w:r>
      <w:r>
        <w:rPr>
          <w:rStyle w:val="CharAttribute3"/>
          <w:rFonts w:eastAsiaTheme="minorHAnsi"/>
          <w:noProof/>
        </w:rPr>
        <w:t>č</w:t>
      </w:r>
      <w:r>
        <w:rPr>
          <w:rStyle w:val="CharAttribute3"/>
          <w:rFonts w:eastAsiaTheme="minorHAnsi"/>
          <w:noProof/>
        </w:rPr>
        <w:t xml:space="preserve">ajo tudi </w:t>
      </w:r>
      <w:r>
        <w:rPr>
          <w:rStyle w:val="CharAttribute3"/>
          <w:rFonts w:eastAsiaTheme="minorHAnsi"/>
          <w:noProof/>
        </w:rPr>
        <w:t>č</w:t>
      </w:r>
      <w:r>
        <w:rPr>
          <w:rStyle w:val="CharAttribute3"/>
          <w:rFonts w:eastAsiaTheme="minorHAnsi"/>
          <w:noProof/>
        </w:rPr>
        <w:t>ezmejno izmenjavo e-receptov na podlagi smernic o e-receptih, ki jih je spr</w:t>
      </w:r>
      <w:r>
        <w:rPr>
          <w:rStyle w:val="CharAttribute3"/>
          <w:rFonts w:eastAsiaTheme="minorHAnsi"/>
          <w:noProof/>
        </w:rPr>
        <w:t>ejela mre</w:t>
      </w:r>
      <w:r>
        <w:rPr>
          <w:rStyle w:val="CharAttribute3"/>
          <w:rFonts w:eastAsiaTheme="minorHAnsi"/>
          <w:noProof/>
        </w:rPr>
        <w:t>ž</w:t>
      </w:r>
      <w:r>
        <w:rPr>
          <w:rStyle w:val="CharAttribute3"/>
          <w:rFonts w:eastAsiaTheme="minorHAnsi"/>
          <w:noProof/>
        </w:rPr>
        <w:t>a e-zdravja</w:t>
      </w:r>
      <w:r>
        <w:rPr>
          <w:rStyle w:val="FootnoteReference"/>
          <w:noProof/>
        </w:rPr>
        <w:footnoteReference w:id="31"/>
      </w:r>
      <w:r>
        <w:rPr>
          <w:rStyle w:val="CharAttribute3"/>
          <w:rFonts w:eastAsiaTheme="minorHAnsi"/>
          <w:noProof/>
        </w:rPr>
        <w:t xml:space="preserve"> </w:t>
      </w:r>
      <w:r>
        <w:rPr>
          <w:rFonts w:ascii="Times New Roman" w:hAnsi="Times New Roman"/>
          <w:noProof/>
          <w:sz w:val="24"/>
        </w:rPr>
        <w:t>in rešitev telemedicine ter telespremljanja, zlasti za uspešno zagotavljanje zdravljenja s strani evropskih referenčnih mrež</w:t>
      </w:r>
      <w:r>
        <w:rPr>
          <w:rStyle w:val="FootnoteReference"/>
          <w:noProof/>
        </w:rPr>
        <w:footnoteReference w:id="32"/>
      </w:r>
      <w:r>
        <w:rPr>
          <w:rFonts w:ascii="Times New Roman" w:hAnsi="Times New Roman"/>
          <w:noProof/>
          <w:sz w:val="24"/>
        </w:rPr>
        <w:t xml:space="preserve">. </w:t>
      </w:r>
      <w:r>
        <w:rPr>
          <w:rStyle w:val="CharAttribute3"/>
          <w:rFonts w:eastAsiaTheme="minorHAnsi"/>
          <w:noProof/>
        </w:rPr>
        <w:t>Poleg tega bo podpirala oblikovanje poro</w:t>
      </w:r>
      <w:r>
        <w:rPr>
          <w:rStyle w:val="CharAttribute3"/>
          <w:rFonts w:eastAsiaTheme="minorHAnsi"/>
          <w:noProof/>
        </w:rPr>
        <w:t>č</w:t>
      </w:r>
      <w:r>
        <w:rPr>
          <w:rStyle w:val="CharAttribute3"/>
          <w:rFonts w:eastAsiaTheme="minorHAnsi"/>
          <w:noProof/>
        </w:rPr>
        <w:t>ila in smernic mre</w:t>
      </w:r>
      <w:r>
        <w:rPr>
          <w:rStyle w:val="CharAttribute3"/>
          <w:rFonts w:eastAsiaTheme="minorHAnsi"/>
          <w:noProof/>
        </w:rPr>
        <w:t>ž</w:t>
      </w:r>
      <w:r>
        <w:rPr>
          <w:rStyle w:val="CharAttribute3"/>
          <w:rFonts w:eastAsiaTheme="minorHAnsi"/>
          <w:noProof/>
        </w:rPr>
        <w:t>e e-zdravja o elektronskem dostopu dr</w:t>
      </w:r>
      <w:r>
        <w:rPr>
          <w:rStyle w:val="CharAttribute3"/>
          <w:rFonts w:eastAsiaTheme="minorHAnsi"/>
          <w:noProof/>
        </w:rPr>
        <w:t>ž</w:t>
      </w:r>
      <w:r>
        <w:rPr>
          <w:rStyle w:val="CharAttribute3"/>
          <w:rFonts w:eastAsiaTheme="minorHAnsi"/>
          <w:noProof/>
        </w:rPr>
        <w:t>avljanov</w:t>
      </w:r>
      <w:r>
        <w:rPr>
          <w:rStyle w:val="CharAttribute3"/>
          <w:rFonts w:eastAsiaTheme="minorHAnsi"/>
          <w:noProof/>
        </w:rPr>
        <w:t xml:space="preserve"> do svojih zdravstvenih podatkov.</w:t>
      </w:r>
    </w:p>
    <w:tbl>
      <w:tblPr>
        <w:tblStyle w:val="TableGrid"/>
        <w:tblW w:w="9039" w:type="dxa"/>
        <w:tblLayout w:type="fixed"/>
        <w:tblLook w:val="04A0" w:firstRow="1" w:lastRow="0" w:firstColumn="1" w:lastColumn="0" w:noHBand="0" w:noVBand="1"/>
      </w:tblPr>
      <w:tblGrid>
        <w:gridCol w:w="7763"/>
        <w:gridCol w:w="1276"/>
      </w:tblGrid>
      <w:tr w:rsidR="009F726C">
        <w:tc>
          <w:tcPr>
            <w:tcW w:w="7763"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Ukrepi</w:t>
            </w:r>
          </w:p>
          <w:p w:rsidR="009F726C" w:rsidRDefault="00C677E5">
            <w:pPr>
              <w:shd w:val="clear" w:color="auto" w:fill="EBEBEB" w:themeFill="background1"/>
              <w:rPr>
                <w:rFonts w:ascii="Times New Roman" w:hAnsi="Times New Roman" w:cs="Times New Roman"/>
                <w:b/>
                <w:i/>
                <w:noProof/>
                <w:sz w:val="24"/>
                <w:szCs w:val="24"/>
              </w:rPr>
            </w:pPr>
            <w:r>
              <w:rPr>
                <w:rStyle w:val="CharAttribute3"/>
                <w:rFonts w:eastAsiaTheme="minorHAnsi"/>
                <w:noProof/>
              </w:rPr>
              <w:t>Komisija bo:</w:t>
            </w:r>
          </w:p>
        </w:tc>
        <w:tc>
          <w:tcPr>
            <w:tcW w:w="1276"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Rok</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Fonts w:ascii="Times New Roman" w:eastAsia="Batang"/>
                <w:noProof/>
                <w:sz w:val="24"/>
                <w:szCs w:val="24"/>
              </w:rPr>
            </w:pPr>
            <w:r>
              <w:rPr>
                <w:rStyle w:val="CharAttribute3"/>
                <w:rFonts w:eastAsia="Calibri"/>
                <w:noProof/>
              </w:rPr>
              <w:t>dokon</w:t>
            </w:r>
            <w:r>
              <w:rPr>
                <w:rStyle w:val="CharAttribute3"/>
                <w:rFonts w:eastAsia="Calibri"/>
                <w:noProof/>
              </w:rPr>
              <w:t>č</w:t>
            </w:r>
            <w:r>
              <w:rPr>
                <w:rStyle w:val="CharAttribute3"/>
                <w:rFonts w:eastAsia="Calibri"/>
                <w:noProof/>
              </w:rPr>
              <w:t>ala vzpostavitev elektronske izmenjave informacij o socialni varnosti.</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2019</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Style w:val="CharAttribute3"/>
                <w:rFonts w:eastAsia="Batang" w:hAnsiTheme="minorHAnsi" w:cstheme="minorBidi"/>
                <w:noProof/>
              </w:rPr>
            </w:pPr>
            <w:r>
              <w:rPr>
                <w:rStyle w:val="CharAttribute3"/>
                <w:rFonts w:eastAsia="Calibri"/>
                <w:noProof/>
              </w:rPr>
              <w:t>nadaljevala z razvojem evropskega portala za zaposlitveno mobilnost EURES.</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2017</w:t>
            </w:r>
          </w:p>
        </w:tc>
      </w:tr>
      <w:tr w:rsidR="009F726C">
        <w:tc>
          <w:tcPr>
            <w:tcW w:w="7763" w:type="dxa"/>
          </w:tcPr>
          <w:p w:rsidR="009F726C" w:rsidRDefault="00C677E5">
            <w:pPr>
              <w:pStyle w:val="ListParagraph"/>
              <w:numPr>
                <w:ilvl w:val="0"/>
                <w:numId w:val="2"/>
              </w:numPr>
              <w:shd w:val="clear" w:color="auto" w:fill="EBEBEB" w:themeFill="background1"/>
              <w:spacing w:before="120" w:after="120"/>
              <w:rPr>
                <w:rStyle w:val="CharAttribute3"/>
                <w:rFonts w:eastAsia="Batang"/>
                <w:noProof/>
                <w:szCs w:val="24"/>
              </w:rPr>
            </w:pPr>
            <w:r>
              <w:rPr>
                <w:rStyle w:val="CharAttribute3"/>
                <w:rFonts w:eastAsia="Calibri"/>
                <w:noProof/>
              </w:rPr>
              <w:t>podpirala dr</w:t>
            </w:r>
            <w:r>
              <w:rPr>
                <w:rStyle w:val="CharAttribute3"/>
                <w:rFonts w:eastAsia="Calibri"/>
                <w:noProof/>
              </w:rPr>
              <w:t>ž</w:t>
            </w:r>
            <w:r>
              <w:rPr>
                <w:rStyle w:val="CharAttribute3"/>
                <w:rFonts w:eastAsia="Calibri"/>
                <w:noProof/>
              </w:rPr>
              <w:t xml:space="preserve">ave </w:t>
            </w:r>
            <w:r>
              <w:rPr>
                <w:rStyle w:val="CharAttribute3"/>
                <w:rFonts w:eastAsia="Calibri"/>
                <w:noProof/>
              </w:rPr>
              <w:t>č</w:t>
            </w:r>
            <w:r>
              <w:rPr>
                <w:rStyle w:val="CharAttribute3"/>
                <w:rFonts w:eastAsia="Calibri"/>
                <w:noProof/>
              </w:rPr>
              <w:t xml:space="preserve">lanice pri razvoju storitev </w:t>
            </w:r>
            <w:r>
              <w:rPr>
                <w:rStyle w:val="CharAttribute3"/>
                <w:rFonts w:eastAsia="Calibri"/>
                <w:noProof/>
              </w:rPr>
              <w:t>č</w:t>
            </w:r>
            <w:r>
              <w:rPr>
                <w:rStyle w:val="CharAttribute3"/>
                <w:rFonts w:eastAsia="Calibri"/>
                <w:noProof/>
              </w:rPr>
              <w:t>ezmejnega e-zdravja.</w:t>
            </w:r>
          </w:p>
        </w:tc>
        <w:tc>
          <w:tcPr>
            <w:tcW w:w="1276" w:type="dxa"/>
          </w:tcPr>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2016–</w:t>
            </w:r>
          </w:p>
          <w:p w:rsidR="009F726C" w:rsidRDefault="00C677E5">
            <w:pPr>
              <w:shd w:val="clear" w:color="auto" w:fill="EBEBEB" w:themeFill="background1"/>
              <w:ind w:left="360"/>
              <w:rPr>
                <w:rFonts w:ascii="Times New Roman" w:hAnsi="Times New Roman"/>
                <w:noProof/>
                <w:sz w:val="24"/>
                <w:szCs w:val="24"/>
              </w:rPr>
            </w:pPr>
            <w:r>
              <w:rPr>
                <w:rFonts w:ascii="Times New Roman" w:hAnsi="Times New Roman"/>
                <w:noProof/>
                <w:sz w:val="24"/>
              </w:rPr>
              <w:t>2018</w:t>
            </w:r>
          </w:p>
        </w:tc>
      </w:tr>
    </w:tbl>
    <w:p w:rsidR="009F726C" w:rsidRDefault="00C677E5">
      <w:pPr>
        <w:spacing w:before="120"/>
        <w:rPr>
          <w:rFonts w:ascii="Times New Roman" w:hAnsi="Times New Roman" w:cs="Times New Roman"/>
          <w:noProof/>
          <w:sz w:val="24"/>
          <w:szCs w:val="24"/>
        </w:rPr>
      </w:pPr>
      <w:r>
        <w:rPr>
          <w:rFonts w:ascii="Times New Roman" w:hAnsi="Times New Roman"/>
          <w:noProof/>
          <w:sz w:val="24"/>
        </w:rPr>
        <w:t>Namen prihodnjih pobud, ki bodo predlagane v okviru te prednostne naloge, bi bilo lahko zagotavljanje nemotenih čezmejnih storitev za „življenjske dogodke“ državljanov (kot so menjava delovnih mest, selitev ali poroka) in podjetij, s čimer bi se jim olajša</w:t>
      </w:r>
      <w:r>
        <w:rPr>
          <w:rFonts w:ascii="Times New Roman" w:hAnsi="Times New Roman"/>
          <w:noProof/>
          <w:sz w:val="24"/>
        </w:rPr>
        <w:t xml:space="preserve">la začetek in širitev poslovanja ter delovanje v drugih državah članicah. Namen dodatnih pobud v okviru te prednostne naloge bi bilo prav tako lahko izboljšanje kakovosti obstoječih storitev e-uprave za državljane in podjetja v drugih državah članicah. </w:t>
      </w:r>
    </w:p>
    <w:p w:rsidR="009F726C" w:rsidRDefault="00C677E5">
      <w:pPr>
        <w:pStyle w:val="Heading2"/>
        <w:rPr>
          <w:noProof/>
        </w:rPr>
      </w:pPr>
      <w:r>
        <w:rPr>
          <w:noProof/>
        </w:rPr>
        <w:t>Ol</w:t>
      </w:r>
      <w:r>
        <w:rPr>
          <w:noProof/>
        </w:rPr>
        <w:t xml:space="preserve">ajšanje digitalne interakcije med upravami in državljani/podjetji za visokokakovostne javne storitve </w:t>
      </w:r>
    </w:p>
    <w:p w:rsidR="009F726C" w:rsidRDefault="00C677E5">
      <w:pPr>
        <w:rPr>
          <w:rFonts w:ascii="Times New Roman" w:hAnsi="Times New Roman" w:cs="Times New Roman"/>
          <w:noProof/>
          <w:sz w:val="24"/>
          <w:szCs w:val="24"/>
        </w:rPr>
      </w:pPr>
      <w:r>
        <w:rPr>
          <w:rFonts w:ascii="Times New Roman" w:hAnsi="Times New Roman"/>
          <w:noProof/>
          <w:sz w:val="24"/>
        </w:rPr>
        <w:t>Novo digitalno okolje ponuja priložnosti za olajšanje interakcije državljanov, podjetij in nevladnih organizacij z javnimi upravami. Visokokakovostne javn</w:t>
      </w:r>
      <w:r>
        <w:rPr>
          <w:rFonts w:ascii="Times New Roman" w:hAnsi="Times New Roman"/>
          <w:noProof/>
          <w:sz w:val="24"/>
        </w:rPr>
        <w:t>e storitve so povezane s konkurenčnostjo in vplivajo na odločitev o kraju naložb. Nedavne izkušnje kažejo, da obstaja obetaven potencial za zagotavljanje tako visokokakovostnih javnih storitev s tesnejšim sodelovanjem podjetij in državljanov ter raziskoval</w:t>
      </w:r>
      <w:r>
        <w:rPr>
          <w:rFonts w:ascii="Times New Roman" w:hAnsi="Times New Roman"/>
          <w:noProof/>
          <w:sz w:val="24"/>
        </w:rPr>
        <w:t xml:space="preserve">cev pri njihovem načrtovanju in izvajanju ter po potrebi zagotavljanju povratnih informacij za izboljšanje. To vodi v dodatno zmanjšanje birokracije, poenostavitev uporabe in znižuje stroške izvajanja. </w:t>
      </w:r>
    </w:p>
    <w:p w:rsidR="009F726C" w:rsidRDefault="00C677E5">
      <w:pPr>
        <w:rPr>
          <w:rFonts w:ascii="Times New Roman" w:hAnsi="Times New Roman" w:cs="Times New Roman"/>
          <w:noProof/>
          <w:sz w:val="24"/>
          <w:szCs w:val="24"/>
        </w:rPr>
      </w:pPr>
      <w:r>
        <w:rPr>
          <w:rFonts w:ascii="Times New Roman" w:hAnsi="Times New Roman"/>
          <w:noProof/>
          <w:sz w:val="24"/>
        </w:rPr>
        <w:t xml:space="preserve">Poleg tega lahko javne uprave ob upoštevanju </w:t>
      </w:r>
      <w:r>
        <w:rPr>
          <w:rFonts w:ascii="Times New Roman" w:hAnsi="Times New Roman"/>
          <w:noProof/>
          <w:sz w:val="24"/>
          <w:u w:val="single"/>
        </w:rPr>
        <w:t>načela „</w:t>
      </w:r>
      <w:r>
        <w:rPr>
          <w:rFonts w:ascii="Times New Roman" w:hAnsi="Times New Roman"/>
          <w:noProof/>
          <w:sz w:val="24"/>
          <w:u w:val="single"/>
        </w:rPr>
        <w:t>verodostojnosti in varnosti“</w:t>
      </w:r>
      <w:r>
        <w:rPr>
          <w:rFonts w:ascii="Times New Roman" w:hAnsi="Times New Roman"/>
          <w:noProof/>
          <w:sz w:val="24"/>
        </w:rPr>
        <w:t xml:space="preserve"> z odpiranjem podatkov in storitev javnega sektorja ter olajševanjem njihove uporabe s strani tretjih strani spodbujajo nove priložnosti za učenje, rast in delovna mesta. Z odpiranjem svojih podatkov uprave postanejo preglednejš</w:t>
      </w:r>
      <w:r>
        <w:rPr>
          <w:rFonts w:ascii="Times New Roman" w:hAnsi="Times New Roman"/>
          <w:noProof/>
          <w:sz w:val="24"/>
        </w:rPr>
        <w:t>e, poveča se njihova odgovornost za dejanja, hkrati pa se približajo svojim državljanom.</w:t>
      </w:r>
    </w:p>
    <w:p w:rsidR="009F726C" w:rsidRDefault="00C677E5">
      <w:pPr>
        <w:rPr>
          <w:rFonts w:ascii="Times New Roman" w:hAnsi="Times New Roman" w:cs="Times New Roman"/>
          <w:noProof/>
          <w:sz w:val="24"/>
          <w:szCs w:val="24"/>
        </w:rPr>
      </w:pPr>
      <w:r>
        <w:rPr>
          <w:rFonts w:ascii="Times New Roman" w:hAnsi="Times New Roman"/>
          <w:noProof/>
          <w:sz w:val="24"/>
        </w:rPr>
        <w:t>Ob upoštevanju teh političnih prednostnih nalog bo Komisija zagotovila visokokakovostne, dostopne spletne storitve za državljane in podjetja v EU tako, da bo spletne s</w:t>
      </w:r>
      <w:r>
        <w:rPr>
          <w:rFonts w:ascii="Times New Roman" w:hAnsi="Times New Roman"/>
          <w:noProof/>
          <w:sz w:val="24"/>
        </w:rPr>
        <w:t>trani, ki jih upravlja Komisija, preoblikovala v tematsko usmerjeno spletno prisotnost, pri kateri bo v ospredju uporabnik. Z zagotavljanjem ustrezne, skladne in stroškovno učinkovite spletne prisotnosti se bo znatno spremenil stik Komisije z državljani pr</w:t>
      </w:r>
      <w:r>
        <w:rPr>
          <w:rFonts w:ascii="Times New Roman" w:hAnsi="Times New Roman"/>
          <w:noProof/>
          <w:sz w:val="24"/>
        </w:rPr>
        <w:t>ek spleta. To bo povečalo preglednost in državljanom ter podjetjem omogočilo udejstvovanje in sodelovanje v programih EU in pri oblikovanju politik.</w:t>
      </w:r>
    </w:p>
    <w:p w:rsidR="009F726C" w:rsidRDefault="00C677E5">
      <w:pPr>
        <w:rPr>
          <w:rStyle w:val="CharAttribute3"/>
          <w:rFonts w:eastAsia="Batang"/>
          <w:noProof/>
        </w:rPr>
      </w:pPr>
      <w:r>
        <w:rPr>
          <w:rFonts w:ascii="Times New Roman" w:hAnsi="Times New Roman"/>
          <w:noProof/>
          <w:sz w:val="24"/>
        </w:rPr>
        <w:t xml:space="preserve">Za lažjo interakcijo državljanov z javno upravo </w:t>
      </w:r>
      <w:r>
        <w:rPr>
          <w:rStyle w:val="CharAttribute3"/>
          <w:rFonts w:eastAsiaTheme="minorHAnsi"/>
          <w:noProof/>
        </w:rPr>
        <w:t>bo Komisija ocenila mo</w:t>
      </w:r>
      <w:r>
        <w:rPr>
          <w:rStyle w:val="CharAttribute3"/>
          <w:rFonts w:eastAsiaTheme="minorHAnsi"/>
          <w:noProof/>
        </w:rPr>
        <w:t>ž</w:t>
      </w:r>
      <w:r>
        <w:rPr>
          <w:rStyle w:val="CharAttribute3"/>
          <w:rFonts w:eastAsiaTheme="minorHAnsi"/>
          <w:noProof/>
        </w:rPr>
        <w:t>nost uporabe na</w:t>
      </w:r>
      <w:r>
        <w:rPr>
          <w:rStyle w:val="CharAttribute3"/>
          <w:rFonts w:eastAsiaTheme="minorHAnsi"/>
          <w:noProof/>
        </w:rPr>
        <w:t>č</w:t>
      </w:r>
      <w:r>
        <w:rPr>
          <w:rStyle w:val="CharAttribute3"/>
          <w:rFonts w:eastAsiaTheme="minorHAnsi"/>
          <w:noProof/>
        </w:rPr>
        <w:t xml:space="preserve">ela </w:t>
      </w:r>
      <w:r>
        <w:rPr>
          <w:rStyle w:val="CharAttribute3"/>
          <w:rFonts w:eastAsiaTheme="minorHAnsi"/>
          <w:noProof/>
        </w:rPr>
        <w:t>„</w:t>
      </w:r>
      <w:r>
        <w:rPr>
          <w:rStyle w:val="CharAttribute3"/>
          <w:rFonts w:eastAsiaTheme="minorHAnsi"/>
          <w:noProof/>
        </w:rPr>
        <w:t>samo enkrat</w:t>
      </w:r>
      <w:r>
        <w:rPr>
          <w:rStyle w:val="CharAttribute3"/>
          <w:rFonts w:eastAsiaTheme="minorHAnsi"/>
          <w:noProof/>
        </w:rPr>
        <w:t>“</w:t>
      </w:r>
      <w:r>
        <w:rPr>
          <w:rStyle w:val="CharAttribute3"/>
          <w:rFonts w:eastAsiaTheme="minorHAnsi"/>
          <w:noProof/>
        </w:rPr>
        <w:t xml:space="preserve"> za</w:t>
      </w:r>
      <w:r>
        <w:rPr>
          <w:rStyle w:val="CharAttribute3"/>
          <w:rFonts w:eastAsiaTheme="minorHAnsi"/>
          <w:noProof/>
        </w:rPr>
        <w:t xml:space="preserve"> dr</w:t>
      </w:r>
      <w:r>
        <w:rPr>
          <w:rStyle w:val="CharAttribute3"/>
          <w:rFonts w:eastAsiaTheme="minorHAnsi"/>
          <w:noProof/>
        </w:rPr>
        <w:t>ž</w:t>
      </w:r>
      <w:r>
        <w:rPr>
          <w:rStyle w:val="CharAttribute3"/>
          <w:rFonts w:eastAsiaTheme="minorHAnsi"/>
          <w:noProof/>
        </w:rPr>
        <w:t xml:space="preserve">avljane v </w:t>
      </w:r>
      <w:r>
        <w:rPr>
          <w:rStyle w:val="CharAttribute3"/>
          <w:rFonts w:eastAsiaTheme="minorHAnsi"/>
          <w:noProof/>
        </w:rPr>
        <w:t>č</w:t>
      </w:r>
      <w:r>
        <w:rPr>
          <w:rStyle w:val="CharAttribute3"/>
          <w:rFonts w:eastAsiaTheme="minorHAnsi"/>
          <w:noProof/>
        </w:rPr>
        <w:t>ezmejnih situacijah ob upo</w:t>
      </w:r>
      <w:r>
        <w:rPr>
          <w:rStyle w:val="CharAttribute3"/>
          <w:rFonts w:eastAsiaTheme="minorHAnsi"/>
          <w:noProof/>
        </w:rPr>
        <w:t>š</w:t>
      </w:r>
      <w:r>
        <w:rPr>
          <w:rStyle w:val="CharAttribute3"/>
          <w:rFonts w:eastAsiaTheme="minorHAnsi"/>
          <w:noProof/>
        </w:rPr>
        <w:t>tevanju pravnega okvira o varstvu osebnih podatkov in zasebnosti</w:t>
      </w:r>
      <w:r>
        <w:rPr>
          <w:rFonts w:ascii="Times New Roman" w:hAnsi="Times New Roman"/>
          <w:noProof/>
          <w:sz w:val="24"/>
        </w:rPr>
        <w:t>.</w:t>
      </w:r>
    </w:p>
    <w:p w:rsidR="009F726C" w:rsidRDefault="00C677E5">
      <w:pPr>
        <w:rPr>
          <w:rStyle w:val="CharAttribute3"/>
          <w:rFonts w:eastAsia="Batang"/>
          <w:noProof/>
        </w:rPr>
      </w:pPr>
      <w:r>
        <w:rPr>
          <w:rStyle w:val="CharAttribute3"/>
          <w:rFonts w:eastAsiaTheme="minorHAnsi"/>
          <w:noProof/>
        </w:rPr>
        <w:t>Kot del evropske pobude za ra</w:t>
      </w:r>
      <w:r>
        <w:rPr>
          <w:rStyle w:val="CharAttribute3"/>
          <w:rFonts w:eastAsiaTheme="minorHAnsi"/>
          <w:noProof/>
        </w:rPr>
        <w:t>č</w:t>
      </w:r>
      <w:r>
        <w:rPr>
          <w:rStyle w:val="CharAttribute3"/>
          <w:rFonts w:eastAsiaTheme="minorHAnsi"/>
          <w:noProof/>
        </w:rPr>
        <w:t>unalni</w:t>
      </w:r>
      <w:r>
        <w:rPr>
          <w:rStyle w:val="CharAttribute3"/>
          <w:rFonts w:eastAsiaTheme="minorHAnsi"/>
          <w:noProof/>
        </w:rPr>
        <w:t>š</w:t>
      </w:r>
      <w:r>
        <w:rPr>
          <w:rStyle w:val="CharAttribute3"/>
          <w:rFonts w:eastAsiaTheme="minorHAnsi"/>
          <w:noProof/>
        </w:rPr>
        <w:t>tvo v oblaku</w:t>
      </w:r>
      <w:r>
        <w:rPr>
          <w:rStyle w:val="FootnoteReference"/>
          <w:rFonts w:ascii="Times New Roman" w:hAnsi="Times New Roman"/>
          <w:noProof/>
          <w:sz w:val="24"/>
        </w:rPr>
        <w:footnoteReference w:id="33"/>
      </w:r>
      <w:r>
        <w:rPr>
          <w:rStyle w:val="CharAttribute3"/>
          <w:rFonts w:eastAsiaTheme="minorHAnsi"/>
          <w:noProof/>
        </w:rPr>
        <w:t xml:space="preserve"> bo Komisija vzpostavila platformo za javne organe za odprtje njihovih podatkov in storitev, s </w:t>
      </w:r>
      <w:r>
        <w:rPr>
          <w:rStyle w:val="CharAttribute3"/>
          <w:rFonts w:eastAsiaTheme="minorHAnsi"/>
          <w:noProof/>
        </w:rPr>
        <w:t>č</w:t>
      </w:r>
      <w:r>
        <w:rPr>
          <w:rStyle w:val="CharAttribute3"/>
          <w:rFonts w:eastAsiaTheme="minorHAnsi"/>
          <w:noProof/>
        </w:rPr>
        <w:t>im</w:t>
      </w:r>
      <w:r>
        <w:rPr>
          <w:rStyle w:val="CharAttribute3"/>
          <w:rFonts w:eastAsiaTheme="minorHAnsi"/>
          <w:noProof/>
        </w:rPr>
        <w:t xml:space="preserve">er bo vzpostavljena osnova EU za </w:t>
      </w:r>
      <w:r>
        <w:rPr>
          <w:rStyle w:val="CharAttribute3"/>
          <w:rFonts w:eastAsiaTheme="minorHAnsi"/>
          <w:noProof/>
        </w:rPr>
        <w:t>„</w:t>
      </w:r>
      <w:r>
        <w:rPr>
          <w:rStyle w:val="CharAttribute3"/>
          <w:rFonts w:eastAsiaTheme="minorHAnsi"/>
          <w:noProof/>
        </w:rPr>
        <w:t>upravo kot storitev (GaaS)</w:t>
      </w:r>
      <w:r>
        <w:rPr>
          <w:rStyle w:val="CharAttribute3"/>
          <w:rFonts w:eastAsiaTheme="minorHAnsi"/>
          <w:noProof/>
        </w:rPr>
        <w:t>“</w:t>
      </w:r>
      <w:r>
        <w:rPr>
          <w:rStyle w:val="CharAttribute3"/>
          <w:rFonts w:eastAsiaTheme="minorHAnsi"/>
          <w:noProof/>
        </w:rPr>
        <w:t>.</w:t>
      </w:r>
    </w:p>
    <w:p w:rsidR="009F726C" w:rsidRDefault="00C677E5">
      <w:pPr>
        <w:rPr>
          <w:rFonts w:ascii="Times New Roman" w:hAnsi="Times New Roman" w:cs="Times New Roman"/>
          <w:noProof/>
          <w:sz w:val="24"/>
          <w:szCs w:val="24"/>
        </w:rPr>
      </w:pPr>
      <w:r>
        <w:rPr>
          <w:rFonts w:ascii="Times New Roman" w:hAnsi="Times New Roman"/>
          <w:noProof/>
          <w:sz w:val="24"/>
        </w:rPr>
        <w:t>Podjetja in državljani vedno bolj povprašujejo po dostopu do visokokakovostnih, interoperabilnih podatkov, ki jih je mogoče ponovno uporabiti, zaradi zagotavljanja novih storitev, zlasti na pod</w:t>
      </w:r>
      <w:r>
        <w:rPr>
          <w:rFonts w:ascii="Times New Roman" w:hAnsi="Times New Roman"/>
          <w:noProof/>
          <w:sz w:val="24"/>
        </w:rPr>
        <w:t xml:space="preserve">ročju prostorskih podatkov. Uporaba prostorskih podatkov za urbanistično načrtovanje, načrtovanje rabe zemljišč, prometa in za znanstvene namene lahko sprosti nove inovacije, ki ustrezajo družbenim potrebam, kot je zmanjšanje negativnega vpliva na okolje. </w:t>
      </w:r>
      <w:r>
        <w:rPr>
          <w:rFonts w:ascii="Times New Roman" w:hAnsi="Times New Roman"/>
          <w:noProof/>
          <w:sz w:val="24"/>
        </w:rPr>
        <w:t>Komisija bo v zvezi s tem spodbujala razvoj aplikacij za končne uporabnike, vključno s posebnimi aplikacijami na ravni EU, da bi od podjetij in državljanov učinkoviteje pridobila podatke iz naslova prostorskih podatkov (INSPIRE) za oblikovanje in izvajanje</w:t>
      </w:r>
      <w:r>
        <w:rPr>
          <w:rFonts w:ascii="Times New Roman" w:hAnsi="Times New Roman"/>
          <w:noProof/>
          <w:sz w:val="24"/>
        </w:rPr>
        <w:t xml:space="preserve"> politike na ravni EU, zlasti v zvezi s poročanjem in spodbujanjem skladnosti</w:t>
      </w:r>
      <w:r>
        <w:rPr>
          <w:rStyle w:val="FootnoteReference"/>
          <w:noProof/>
        </w:rPr>
        <w:footnoteReference w:id="34"/>
      </w:r>
      <w:r>
        <w:rPr>
          <w:rFonts w:ascii="Times New Roman" w:hAnsi="Times New Roman"/>
          <w:noProof/>
          <w:sz w:val="24"/>
        </w:rPr>
        <w:t>. To bo izboljšalo oblikovanje politik na podlagi dokazov in podprlo postopke e-uprave, za katere so potrebni visokokakovostni prostorski podatki (npr. katastri, zemljevidi, nasl</w:t>
      </w:r>
      <w:r>
        <w:rPr>
          <w:rFonts w:ascii="Times New Roman" w:hAnsi="Times New Roman"/>
          <w:noProof/>
          <w:sz w:val="24"/>
        </w:rPr>
        <w:t>ovi, stavbe, parki, zaščitena območja, območja nevarnosti naravnih nesreč itd.).</w:t>
      </w:r>
    </w:p>
    <w:tbl>
      <w:tblPr>
        <w:tblStyle w:val="TableGrid"/>
        <w:tblW w:w="9039" w:type="dxa"/>
        <w:tblLayout w:type="fixed"/>
        <w:tblLook w:val="04A0" w:firstRow="1" w:lastRow="0" w:firstColumn="1" w:lastColumn="0" w:noHBand="0" w:noVBand="1"/>
      </w:tblPr>
      <w:tblGrid>
        <w:gridCol w:w="7479"/>
        <w:gridCol w:w="1560"/>
      </w:tblGrid>
      <w:tr w:rsidR="009F726C">
        <w:tc>
          <w:tcPr>
            <w:tcW w:w="7479"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Ukrepi</w:t>
            </w:r>
          </w:p>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noProof/>
                <w:sz w:val="24"/>
              </w:rPr>
              <w:t>Komisija bo:</w:t>
            </w:r>
          </w:p>
        </w:tc>
        <w:tc>
          <w:tcPr>
            <w:tcW w:w="1560" w:type="dxa"/>
          </w:tcPr>
          <w:p w:rsidR="009F726C" w:rsidRDefault="00C677E5">
            <w:pPr>
              <w:shd w:val="clear" w:color="auto" w:fill="EBEBEB" w:themeFill="background1"/>
              <w:rPr>
                <w:rFonts w:ascii="Times New Roman" w:hAnsi="Times New Roman" w:cs="Times New Roman"/>
                <w:b/>
                <w:i/>
                <w:noProof/>
                <w:sz w:val="24"/>
                <w:szCs w:val="24"/>
              </w:rPr>
            </w:pPr>
            <w:r>
              <w:rPr>
                <w:rFonts w:ascii="Times New Roman" w:hAnsi="Times New Roman"/>
                <w:b/>
                <w:i/>
                <w:noProof/>
                <w:sz w:val="24"/>
              </w:rPr>
              <w:t>Rok</w:t>
            </w:r>
          </w:p>
        </w:tc>
      </w:tr>
      <w:tr w:rsidR="009F726C">
        <w:tc>
          <w:tcPr>
            <w:tcW w:w="7479" w:type="dxa"/>
          </w:tcPr>
          <w:p w:rsidR="009F726C" w:rsidRDefault="00C677E5">
            <w:pPr>
              <w:pStyle w:val="ListParagraph"/>
              <w:numPr>
                <w:ilvl w:val="0"/>
                <w:numId w:val="2"/>
              </w:numPr>
              <w:shd w:val="clear" w:color="auto" w:fill="EBEBEB" w:themeFill="background1"/>
              <w:spacing w:before="120" w:after="120"/>
              <w:rPr>
                <w:rFonts w:ascii="Times New Roman" w:hAnsi="Times New Roman"/>
                <w:noProof/>
                <w:sz w:val="24"/>
                <w:szCs w:val="24"/>
              </w:rPr>
            </w:pPr>
            <w:r>
              <w:rPr>
                <w:rStyle w:val="CharAttribute3"/>
                <w:rFonts w:eastAsia="Calibri"/>
                <w:noProof/>
              </w:rPr>
              <w:t>ocenila mo</w:t>
            </w:r>
            <w:r>
              <w:rPr>
                <w:rStyle w:val="CharAttribute3"/>
                <w:rFonts w:eastAsia="Calibri"/>
                <w:noProof/>
              </w:rPr>
              <w:t>ž</w:t>
            </w:r>
            <w:r>
              <w:rPr>
                <w:rStyle w:val="CharAttribute3"/>
                <w:rFonts w:eastAsia="Calibri"/>
                <w:noProof/>
              </w:rPr>
              <w:t>nost uporabe na</w:t>
            </w:r>
            <w:r>
              <w:rPr>
                <w:rStyle w:val="CharAttribute3"/>
                <w:rFonts w:eastAsia="Calibri"/>
                <w:noProof/>
              </w:rPr>
              <w:t>č</w:t>
            </w:r>
            <w:r>
              <w:rPr>
                <w:rStyle w:val="CharAttribute3"/>
                <w:rFonts w:eastAsia="Calibri"/>
                <w:noProof/>
              </w:rPr>
              <w:t xml:space="preserve">ela </w:t>
            </w:r>
            <w:r>
              <w:rPr>
                <w:rStyle w:val="CharAttribute3"/>
                <w:rFonts w:eastAsia="Calibri"/>
                <w:noProof/>
              </w:rPr>
              <w:t>„</w:t>
            </w:r>
            <w:r>
              <w:rPr>
                <w:rStyle w:val="CharAttribute3"/>
                <w:rFonts w:eastAsia="Calibri"/>
                <w:noProof/>
              </w:rPr>
              <w:t>samo enkrat</w:t>
            </w:r>
            <w:r>
              <w:rPr>
                <w:rStyle w:val="CharAttribute3"/>
                <w:rFonts w:eastAsia="Calibri"/>
                <w:noProof/>
              </w:rPr>
              <w:t>“</w:t>
            </w:r>
            <w:r>
              <w:rPr>
                <w:rStyle w:val="CharAttribute3"/>
                <w:rFonts w:eastAsia="Calibri"/>
                <w:noProof/>
              </w:rPr>
              <w:t xml:space="preserve"> za dr</w:t>
            </w:r>
            <w:r>
              <w:rPr>
                <w:rStyle w:val="CharAttribute3"/>
                <w:rFonts w:eastAsia="Calibri"/>
                <w:noProof/>
              </w:rPr>
              <w:t>ž</w:t>
            </w:r>
            <w:r>
              <w:rPr>
                <w:rStyle w:val="CharAttribute3"/>
                <w:rFonts w:eastAsia="Calibri"/>
                <w:noProof/>
              </w:rPr>
              <w:t xml:space="preserve">avljane v </w:t>
            </w:r>
            <w:r>
              <w:rPr>
                <w:rStyle w:val="CharAttribute3"/>
                <w:rFonts w:eastAsia="Calibri"/>
                <w:noProof/>
              </w:rPr>
              <w:t>č</w:t>
            </w:r>
            <w:r>
              <w:rPr>
                <w:rStyle w:val="CharAttribute3"/>
                <w:rFonts w:eastAsia="Calibri"/>
                <w:noProof/>
              </w:rPr>
              <w:t>ezmejnih situacijah.</w:t>
            </w:r>
          </w:p>
        </w:tc>
        <w:tc>
          <w:tcPr>
            <w:tcW w:w="1560" w:type="dxa"/>
          </w:tcPr>
          <w:p w:rsidR="009F726C" w:rsidRDefault="00C677E5">
            <w:pPr>
              <w:shd w:val="clear" w:color="auto" w:fill="EBEBEB" w:themeFill="background1"/>
              <w:ind w:left="360"/>
              <w:jc w:val="center"/>
              <w:rPr>
                <w:rFonts w:ascii="Times New Roman" w:hAnsi="Times New Roman"/>
                <w:noProof/>
                <w:sz w:val="24"/>
                <w:szCs w:val="24"/>
              </w:rPr>
            </w:pPr>
            <w:r>
              <w:rPr>
                <w:rFonts w:ascii="Times New Roman" w:hAnsi="Times New Roman"/>
                <w:noProof/>
                <w:sz w:val="24"/>
              </w:rPr>
              <w:t>2019</w:t>
            </w:r>
          </w:p>
        </w:tc>
      </w:tr>
      <w:tr w:rsidR="009F726C">
        <w:tc>
          <w:tcPr>
            <w:tcW w:w="7479" w:type="dxa"/>
          </w:tcPr>
          <w:p w:rsidR="009F726C" w:rsidRDefault="00C677E5">
            <w:pPr>
              <w:pStyle w:val="ListParagraph"/>
              <w:numPr>
                <w:ilvl w:val="0"/>
                <w:numId w:val="2"/>
              </w:numPr>
              <w:shd w:val="clear" w:color="auto" w:fill="EBEBEB" w:themeFill="background1"/>
              <w:spacing w:before="120" w:after="120"/>
              <w:rPr>
                <w:rStyle w:val="CharAttribute3"/>
                <w:rFonts w:eastAsia="Batang" w:hAnsi="Times New Roman"/>
                <w:noProof/>
              </w:rPr>
            </w:pPr>
            <w:r>
              <w:rPr>
                <w:rFonts w:ascii="Times New Roman" w:hAnsi="Times New Roman"/>
                <w:noProof/>
                <w:sz w:val="24"/>
              </w:rPr>
              <w:t xml:space="preserve">pospešila uvajanje podatkovne infrastrukture direktive </w:t>
            </w:r>
            <w:r>
              <w:rPr>
                <w:rFonts w:ascii="Times New Roman" w:hAnsi="Times New Roman"/>
                <w:noProof/>
                <w:sz w:val="24"/>
              </w:rPr>
              <w:t>INSPIRE.</w:t>
            </w:r>
          </w:p>
        </w:tc>
        <w:tc>
          <w:tcPr>
            <w:tcW w:w="1560" w:type="dxa"/>
          </w:tcPr>
          <w:p w:rsidR="009F726C" w:rsidRDefault="00C677E5">
            <w:pPr>
              <w:shd w:val="clear" w:color="auto" w:fill="EBEBEB" w:themeFill="background1"/>
              <w:ind w:left="360"/>
              <w:jc w:val="center"/>
              <w:rPr>
                <w:rFonts w:ascii="Times New Roman" w:hAnsi="Times New Roman" w:cs="Times New Roman"/>
                <w:noProof/>
                <w:sz w:val="24"/>
                <w:szCs w:val="24"/>
              </w:rPr>
            </w:pPr>
            <w:r>
              <w:rPr>
                <w:rFonts w:ascii="Times New Roman" w:hAnsi="Times New Roman"/>
                <w:noProof/>
                <w:sz w:val="24"/>
              </w:rPr>
              <w:t>2016-2020</w:t>
            </w:r>
          </w:p>
        </w:tc>
      </w:tr>
      <w:tr w:rsidR="009F726C">
        <w:tc>
          <w:tcPr>
            <w:tcW w:w="7479" w:type="dxa"/>
          </w:tcPr>
          <w:p w:rsidR="009F726C" w:rsidRDefault="00C677E5">
            <w:pPr>
              <w:pStyle w:val="ListParagraph"/>
              <w:numPr>
                <w:ilvl w:val="0"/>
                <w:numId w:val="2"/>
              </w:numPr>
              <w:shd w:val="clear" w:color="auto" w:fill="EBEBEB" w:themeFill="background1"/>
              <w:spacing w:before="120" w:after="120"/>
              <w:rPr>
                <w:rFonts w:ascii="Times New Roman" w:hAnsi="Times New Roman"/>
                <w:noProof/>
                <w:sz w:val="24"/>
                <w:szCs w:val="24"/>
              </w:rPr>
            </w:pPr>
            <w:r>
              <w:rPr>
                <w:rFonts w:ascii="Times New Roman" w:hAnsi="Times New Roman"/>
                <w:noProof/>
                <w:sz w:val="24"/>
              </w:rPr>
              <w:t xml:space="preserve">preoblikovala svoje spletne strani, da bi podprla večjo </w:t>
            </w:r>
            <w:r>
              <w:rPr>
                <w:rStyle w:val="CharAttribute3"/>
                <w:rFonts w:eastAsia="Calibri"/>
                <w:noProof/>
              </w:rPr>
              <w:t>zavzetost</w:t>
            </w:r>
            <w:r>
              <w:rPr>
                <w:rFonts w:ascii="Times New Roman" w:hAnsi="Times New Roman"/>
                <w:noProof/>
                <w:sz w:val="24"/>
              </w:rPr>
              <w:t xml:space="preserve"> in sodelovanje državljanov ter podjetij v programih EU in pri oblikovanju politik.</w:t>
            </w:r>
          </w:p>
        </w:tc>
        <w:tc>
          <w:tcPr>
            <w:tcW w:w="1560" w:type="dxa"/>
          </w:tcPr>
          <w:p w:rsidR="009F726C" w:rsidRDefault="00C677E5">
            <w:pPr>
              <w:shd w:val="clear" w:color="auto" w:fill="EBEBEB" w:themeFill="background1"/>
              <w:ind w:left="360"/>
              <w:jc w:val="center"/>
              <w:rPr>
                <w:rFonts w:ascii="Times New Roman" w:hAnsi="Times New Roman"/>
                <w:noProof/>
                <w:sz w:val="24"/>
                <w:szCs w:val="24"/>
              </w:rPr>
            </w:pPr>
            <w:r>
              <w:rPr>
                <w:rFonts w:ascii="Times New Roman" w:hAnsi="Times New Roman"/>
                <w:noProof/>
                <w:sz w:val="24"/>
              </w:rPr>
              <w:t>2018</w:t>
            </w:r>
          </w:p>
        </w:tc>
      </w:tr>
    </w:tbl>
    <w:p w:rsidR="009F726C" w:rsidRDefault="00C677E5">
      <w:pPr>
        <w:spacing w:before="120"/>
        <w:rPr>
          <w:rFonts w:ascii="Times New Roman" w:hAnsi="Times New Roman"/>
          <w:noProof/>
          <w:sz w:val="24"/>
          <w:szCs w:val="24"/>
        </w:rPr>
      </w:pPr>
      <w:r>
        <w:rPr>
          <w:rFonts w:ascii="Times New Roman" w:hAnsi="Times New Roman"/>
          <w:noProof/>
          <w:sz w:val="24"/>
        </w:rPr>
        <w:t>Prihodnje pobude, ki bi bile lahko predlagane v okviru te prednostne naloge, bi m</w:t>
      </w:r>
      <w:r>
        <w:rPr>
          <w:rFonts w:ascii="Times New Roman" w:hAnsi="Times New Roman"/>
          <w:noProof/>
          <w:sz w:val="24"/>
        </w:rPr>
        <w:t>orale prispevati k udejstvovanju državljanov, podjetij in civilne družbe pri skupnem oblikovanju, proizvodnji in zagotavljanju javnih storitev ter olajšati stik med javnimi upravami ter podjetji in državljani. Druge nove pobude bi lahko vključevale pridobi</w:t>
      </w:r>
      <w:r>
        <w:rPr>
          <w:rFonts w:ascii="Times New Roman" w:hAnsi="Times New Roman"/>
          <w:noProof/>
          <w:sz w:val="24"/>
        </w:rPr>
        <w:t>vanje podatkov iz katerega koli vira in ponovno uporabo podatkov ter storitev javnega sektorja za ustvarjanje novih, inovativnih storitev s strani drugih javnih ali zasebnih akterjev. Poleg tega se pobude lahko osredotočijo na povečanje preglednosti javnih</w:t>
      </w:r>
      <w:r>
        <w:rPr>
          <w:rFonts w:ascii="Times New Roman" w:hAnsi="Times New Roman"/>
          <w:noProof/>
          <w:sz w:val="24"/>
        </w:rPr>
        <w:t xml:space="preserve"> uprav, saj se pričakuje, da bosta sodelovanje z zainteresiranimi stranmi in njihova udeleženost povečala odgovornost za dejanja in zaupanje ter zmanjšala možnosti za korupcijo.</w:t>
      </w:r>
    </w:p>
    <w:bookmarkEnd w:id="1"/>
    <w:p w:rsidR="009F726C" w:rsidRDefault="00C677E5">
      <w:pPr>
        <w:pStyle w:val="Heading1"/>
        <w:rPr>
          <w:noProof/>
          <w:szCs w:val="24"/>
        </w:rPr>
      </w:pPr>
      <w:r>
        <w:rPr>
          <w:noProof/>
        </w:rPr>
        <w:t>Izvajanje akcijskega načrta</w:t>
      </w:r>
    </w:p>
    <w:p w:rsidR="009F726C" w:rsidRDefault="00C677E5">
      <w:pPr>
        <w:rPr>
          <w:rFonts w:ascii="Times New Roman" w:hAnsi="Times New Roman" w:cs="Times New Roman"/>
          <w:noProof/>
          <w:sz w:val="24"/>
          <w:szCs w:val="24"/>
        </w:rPr>
      </w:pPr>
      <w:r>
        <w:rPr>
          <w:rFonts w:ascii="Times New Roman" w:hAnsi="Times New Roman"/>
          <w:noProof/>
          <w:sz w:val="24"/>
        </w:rPr>
        <w:t>Ta akcijski načrt vključuje ukrepe, ki se bodo zač</w:t>
      </w:r>
      <w:r>
        <w:rPr>
          <w:rFonts w:ascii="Times New Roman" w:hAnsi="Times New Roman"/>
          <w:noProof/>
          <w:sz w:val="24"/>
        </w:rPr>
        <w:t xml:space="preserve">eli izvajati v letih 2016 in 2017. Za dosego ciljev vsake izmed zgornjih prednostnih nalog politike in prilagajanje hitro spreminjajočemu se tehnološkemu okolju bi bili lahko potrebni dodatni ukrepi. </w:t>
      </w:r>
    </w:p>
    <w:p w:rsidR="009F726C" w:rsidRDefault="00C677E5">
      <w:pPr>
        <w:rPr>
          <w:rFonts w:ascii="Times New Roman" w:hAnsi="Times New Roman" w:cs="Times New Roman"/>
          <w:noProof/>
          <w:sz w:val="24"/>
          <w:szCs w:val="24"/>
        </w:rPr>
      </w:pPr>
      <w:r>
        <w:rPr>
          <w:rFonts w:ascii="Times New Roman" w:hAnsi="Times New Roman"/>
          <w:noProof/>
          <w:sz w:val="24"/>
        </w:rPr>
        <w:t>Komisija lahko za izvajanje zakonodaje EU ali sprožitev skupnih ukrepov predlaga nove ukrepe. Zainteresirane strani (vključno s skupino držav članic) lahko predlagajo ukrepe za izvajanje na podlagi akcijskega načrta za e-upravo, zlasti za različne življenj</w:t>
      </w:r>
      <w:r>
        <w:rPr>
          <w:rFonts w:ascii="Times New Roman" w:hAnsi="Times New Roman"/>
          <w:noProof/>
          <w:sz w:val="24"/>
        </w:rPr>
        <w:t xml:space="preserve">ske dogodke prek interaktivne digitalne platforme za sodelovanje. </w:t>
      </w:r>
    </w:p>
    <w:p w:rsidR="009F726C" w:rsidRDefault="00C677E5">
      <w:pPr>
        <w:rPr>
          <w:rFonts w:ascii="Times New Roman" w:hAnsi="Times New Roman" w:cs="Times New Roman"/>
          <w:noProof/>
          <w:sz w:val="24"/>
          <w:szCs w:val="24"/>
        </w:rPr>
      </w:pPr>
      <w:r>
        <w:rPr>
          <w:rFonts w:ascii="Times New Roman" w:hAnsi="Times New Roman"/>
          <w:noProof/>
          <w:sz w:val="24"/>
        </w:rPr>
        <w:t>Komisija bo tudi vzpostavila in vodila „usmerjevalni odbor za akcijski načrt za e-upravo“, sestavljen iz predstavnikov držav članic, ki so odgovorni za svoje nacionalne strategije na področ</w:t>
      </w:r>
      <w:r>
        <w:rPr>
          <w:rFonts w:ascii="Times New Roman" w:hAnsi="Times New Roman"/>
          <w:noProof/>
          <w:sz w:val="24"/>
        </w:rPr>
        <w:t>ju e-uprave. Usmerjevalni odbor bo pristojen za upravljanje akcijskega načrta (ne pa tudi posameznih ukrepov iz akcijskega načrta), zlasti za oceno in izbiro določenih ukrepov v celotnem času trajanja akcijskega načrta ter uskladitev dejanskega izvajanja i</w:t>
      </w:r>
      <w:r>
        <w:rPr>
          <w:rFonts w:ascii="Times New Roman" w:hAnsi="Times New Roman"/>
          <w:noProof/>
          <w:sz w:val="24"/>
        </w:rPr>
        <w:t>n spremljanja ukrepov akcijskega načrta. Če iz predlaganega ukrepa nastane pobuda Komisije, bodo zanjo veljale zahteve</w:t>
      </w:r>
      <w:r>
        <w:rPr>
          <w:rStyle w:val="FootnoteReference"/>
          <w:rFonts w:ascii="Times New Roman" w:hAnsi="Times New Roman"/>
          <w:noProof/>
          <w:sz w:val="24"/>
        </w:rPr>
        <w:footnoteReference w:id="35"/>
      </w:r>
      <w:r>
        <w:rPr>
          <w:rFonts w:ascii="Times New Roman" w:hAnsi="Times New Roman"/>
          <w:noProof/>
          <w:sz w:val="24"/>
        </w:rPr>
        <w:t xml:space="preserve"> glede boljše priprave zakonodaje.</w:t>
      </w:r>
    </w:p>
    <w:p w:rsidR="009F726C" w:rsidRDefault="00C677E5">
      <w:pPr>
        <w:rPr>
          <w:rFonts w:ascii="Times New Roman" w:hAnsi="Times New Roman" w:cs="Times New Roman"/>
          <w:noProof/>
          <w:sz w:val="24"/>
          <w:szCs w:val="24"/>
        </w:rPr>
      </w:pPr>
      <w:r>
        <w:rPr>
          <w:rFonts w:ascii="Times New Roman" w:hAnsi="Times New Roman"/>
          <w:noProof/>
          <w:sz w:val="24"/>
        </w:rPr>
        <w:t>Ukrepi iz tega akcijskega načrta za e-upravo bodo lahko uresničeni le, če se bodo Komisija in države č</w:t>
      </w:r>
      <w:r>
        <w:rPr>
          <w:rFonts w:ascii="Times New Roman" w:hAnsi="Times New Roman"/>
          <w:noProof/>
          <w:sz w:val="24"/>
        </w:rPr>
        <w:t>lanice na vseh upravnih ravneh k temu skupaj zavezale in jih vzele za svoje.</w:t>
      </w:r>
    </w:p>
    <w:p w:rsidR="009F726C" w:rsidRDefault="009F726C">
      <w:pPr>
        <w:rPr>
          <w:rFonts w:ascii="Times New Roman" w:hAnsi="Times New Roman" w:cs="Times New Roman"/>
          <w:noProof/>
          <w:sz w:val="24"/>
          <w:szCs w:val="24"/>
        </w:rPr>
      </w:pPr>
    </w:p>
    <w:sectPr w:rsidR="009F72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26C" w:rsidRDefault="00C677E5">
      <w:pPr>
        <w:spacing w:after="0" w:line="240" w:lineRule="auto"/>
      </w:pPr>
      <w:r>
        <w:separator/>
      </w:r>
    </w:p>
  </w:endnote>
  <w:endnote w:type="continuationSeparator" w:id="0">
    <w:p w:rsidR="009F726C" w:rsidRDefault="00C6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C677E5">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17180693"/>
      <w:docPartObj>
        <w:docPartGallery w:val="Page Numbers (Bottom of Page)"/>
        <w:docPartUnique/>
      </w:docPartObj>
    </w:sdtPr>
    <w:sdtEndPr>
      <w:rPr>
        <w:noProof/>
      </w:rPr>
    </w:sdtEndPr>
    <w:sdtContent>
      <w:p w:rsidR="009F726C" w:rsidRDefault="00C677E5">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12</w:t>
        </w:r>
        <w:r>
          <w:rPr>
            <w:noProof/>
            <w:sz w:val="20"/>
            <w:szCs w:val="20"/>
          </w:rPr>
          <w:fldChar w:fldCharType="end"/>
        </w:r>
      </w:p>
    </w:sdtContent>
  </w:sdt>
  <w:p w:rsidR="009F726C" w:rsidRDefault="009F726C">
    <w:pPr>
      <w:pStyle w:val="Footer"/>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26C" w:rsidRDefault="00C677E5">
      <w:pPr>
        <w:spacing w:after="0" w:line="240" w:lineRule="auto"/>
      </w:pPr>
      <w:r>
        <w:separator/>
      </w:r>
    </w:p>
  </w:footnote>
  <w:footnote w:type="continuationSeparator" w:id="0">
    <w:p w:rsidR="009F726C" w:rsidRDefault="00C677E5">
      <w:pPr>
        <w:spacing w:after="0" w:line="240" w:lineRule="auto"/>
      </w:pPr>
      <w:r>
        <w:continuationSeparator/>
      </w:r>
    </w:p>
  </w:footnote>
  <w:footnote w:id="1">
    <w:p w:rsidR="009F726C" w:rsidRDefault="00C677E5">
      <w:pPr>
        <w:pStyle w:val="FootnoteText"/>
        <w:rPr>
          <w:lang w:val="en-GB"/>
        </w:rPr>
      </w:pPr>
      <w:r>
        <w:rPr>
          <w:rStyle w:val="FootnoteReference"/>
        </w:rPr>
        <w:footnoteRef/>
      </w:r>
      <w:r>
        <w:t xml:space="preserve"> </w:t>
      </w:r>
      <w:r>
        <w:tab/>
        <w:t>Priporočilo Sveta o digitalnih vladnih strategijah, OECD, 2014.</w:t>
      </w:r>
    </w:p>
  </w:footnote>
  <w:footnote w:id="2">
    <w:p w:rsidR="009F726C" w:rsidRDefault="00C677E5">
      <w:pPr>
        <w:pStyle w:val="FootnoteText"/>
        <w:rPr>
          <w:lang w:val="pl-PL"/>
        </w:rPr>
      </w:pPr>
      <w:r>
        <w:rPr>
          <w:rStyle w:val="FootnoteReference"/>
        </w:rPr>
        <w:footnoteRef/>
      </w:r>
      <w:r>
        <w:t xml:space="preserve"> </w:t>
      </w:r>
      <w:r>
        <w:tab/>
        <w:t xml:space="preserve">Akcijski načrt za e-upravo i2010 za obdobje 2006–2010 in akcijski </w:t>
      </w:r>
      <w:r>
        <w:t>načrt za e-upravo za obdobje 2011–2015.</w:t>
      </w:r>
    </w:p>
  </w:footnote>
  <w:footnote w:id="3">
    <w:p w:rsidR="009F726C" w:rsidRDefault="00C677E5">
      <w:pPr>
        <w:pStyle w:val="FootnoteText"/>
        <w:rPr>
          <w:rStyle w:val="FootnoteReference"/>
          <w:vertAlign w:val="baseline"/>
        </w:rPr>
      </w:pPr>
      <w:r>
        <w:rPr>
          <w:rStyle w:val="FootnoteReference"/>
        </w:rPr>
        <w:footnoteRef/>
      </w:r>
      <w:r>
        <w:rPr>
          <w:rStyle w:val="FootnoteReference"/>
          <w:vertAlign w:val="baseline"/>
        </w:rPr>
        <w:t xml:space="preserve"> </w:t>
      </w:r>
      <w:r>
        <w:tab/>
      </w:r>
      <w:hyperlink r:id="rId1">
        <w:r>
          <w:rPr>
            <w:rStyle w:val="FootnoteReference"/>
            <w:vertAlign w:val="baseline"/>
          </w:rPr>
          <w:t>https://ec.europa.eu/digital-agenda/en/news/mid-term-evaluatio</w:t>
        </w:r>
        <w:r>
          <w:rPr>
            <w:rStyle w:val="FootnoteReference"/>
            <w:vertAlign w:val="baseline"/>
          </w:rPr>
          <w:t>n-e-government-action-plan-2011-2015-implementation-smart-2012-006020</w:t>
        </w:r>
      </w:hyperlink>
    </w:p>
  </w:footnote>
  <w:footnote w:id="4">
    <w:p w:rsidR="009F726C" w:rsidRDefault="00C677E5">
      <w:pPr>
        <w:pStyle w:val="FootnoteText"/>
        <w:rPr>
          <w:rStyle w:val="FootnoteReference"/>
          <w:vertAlign w:val="baseline"/>
        </w:rPr>
      </w:pPr>
      <w:r>
        <w:rPr>
          <w:rStyle w:val="FootnoteReference"/>
        </w:rPr>
        <w:footnoteRef/>
      </w:r>
      <w:r>
        <w:rPr>
          <w:rStyle w:val="FootnoteReference"/>
        </w:rPr>
        <w:t xml:space="preserve"> </w:t>
      </w:r>
      <w:r>
        <w:tab/>
        <w:t>Delovni dokument služb Komisije za evalvacijo; priloga sporočilu o akcijskem načrtu EU za e-upravo za obdobje 2016–2020.</w:t>
      </w:r>
    </w:p>
  </w:footnote>
  <w:footnote w:id="5">
    <w:p w:rsidR="009F726C" w:rsidRDefault="00C677E5">
      <w:pPr>
        <w:pStyle w:val="FootnoteText"/>
        <w:rPr>
          <w:rStyle w:val="FootnoteReference"/>
          <w:vertAlign w:val="baseline"/>
        </w:rPr>
      </w:pPr>
      <w:r>
        <w:rPr>
          <w:rStyle w:val="FootnoteReference"/>
        </w:rPr>
        <w:footnoteRef/>
      </w:r>
      <w:r>
        <w:rPr>
          <w:rStyle w:val="FootnoteReference"/>
          <w:vertAlign w:val="baseline"/>
        </w:rPr>
        <w:t xml:space="preserve"> </w:t>
      </w:r>
      <w:r>
        <w:tab/>
      </w:r>
      <w:r>
        <w:rPr>
          <w:rStyle w:val="FootnoteReference"/>
          <w:vertAlign w:val="baseline"/>
        </w:rPr>
        <w:t>COM(2010) 743 final.</w:t>
      </w:r>
    </w:p>
  </w:footnote>
  <w:footnote w:id="6">
    <w:p w:rsidR="009F726C" w:rsidRDefault="00C677E5">
      <w:pPr>
        <w:pStyle w:val="FootnoteText"/>
        <w:rPr>
          <w:lang w:val="pl-PL"/>
        </w:rPr>
      </w:pPr>
      <w:r>
        <w:rPr>
          <w:rStyle w:val="FootnoteReference"/>
        </w:rPr>
        <w:footnoteRef/>
      </w:r>
      <w:r>
        <w:t xml:space="preserve">  </w:t>
      </w:r>
      <w:r>
        <w:tab/>
        <w:t>V skladu z naložbenim načrtom za E</w:t>
      </w:r>
      <w:r>
        <w:t>vropo, http://ec.europa.eu/priorities/jobs-growth-and-investment_en</w:t>
      </w:r>
    </w:p>
  </w:footnote>
  <w:footnote w:id="7">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COM(2015) 192 final.</w:t>
      </w:r>
    </w:p>
  </w:footnote>
  <w:footnote w:id="8">
    <w:p w:rsidR="009F726C" w:rsidRDefault="00C677E5">
      <w:pPr>
        <w:pStyle w:val="FootnoteText"/>
        <w:rPr>
          <w:rStyle w:val="FootnoteReference"/>
          <w:vertAlign w:val="baseline"/>
        </w:rPr>
      </w:pPr>
      <w:r>
        <w:rPr>
          <w:rStyle w:val="FootnoteReference"/>
        </w:rPr>
        <w:footnoteRef/>
      </w:r>
      <w:r>
        <w:rPr>
          <w:rStyle w:val="FootnoteReference"/>
          <w:vertAlign w:val="baseline"/>
        </w:rPr>
        <w:t xml:space="preserve"> </w:t>
      </w:r>
      <w:r>
        <w:tab/>
      </w:r>
      <w:hyperlink r:id="rId2">
        <w:r>
          <w:rPr>
            <w:rStyle w:val="FootnoteReference"/>
            <w:vertAlign w:val="baseline"/>
          </w:rPr>
          <w:t>https://ec</w:t>
        </w:r>
        <w:r>
          <w:rPr>
            <w:rStyle w:val="FootnoteReference"/>
            <w:vertAlign w:val="baseline"/>
          </w:rPr>
          <w:t>.europa.eu/digital-agenda/en/news/mid-term-evaluation-e-government-action-plan-2011-2015-implementation-smart-2012-006020</w:t>
        </w:r>
      </w:hyperlink>
    </w:p>
  </w:footnote>
  <w:footnote w:id="9">
    <w:p w:rsidR="009F726C" w:rsidRDefault="00C677E5">
      <w:pPr>
        <w:pStyle w:val="FootnoteText"/>
      </w:pPr>
      <w:r>
        <w:rPr>
          <w:rStyle w:val="FootnoteReference"/>
        </w:rPr>
        <w:footnoteRef/>
      </w:r>
      <w:r>
        <w:rPr>
          <w:rStyle w:val="FootnoteReference"/>
          <w:vertAlign w:val="baseline"/>
        </w:rPr>
        <w:t xml:space="preserve"> </w:t>
      </w:r>
      <w:r>
        <w:tab/>
      </w:r>
      <w:r>
        <w:rPr>
          <w:rStyle w:val="FootnoteReference"/>
          <w:vertAlign w:val="baseline"/>
        </w:rPr>
        <w:t>Vključno z instrumentom za povezovanje Evrope (IPE), programom ISA² (interoperabilnostne rešitve za evropske javne uprave)</w:t>
      </w:r>
      <w:r>
        <w:t>,</w:t>
      </w:r>
      <w:r>
        <w:rPr>
          <w:rStyle w:val="FootnoteReference"/>
          <w:vertAlign w:val="baseline"/>
        </w:rPr>
        <w:t xml:space="preserve"> Obzorje</w:t>
      </w:r>
      <w:r>
        <w:t xml:space="preserve"> 2020, evropskimi strukturnimi in investicijskimi skladi (ESIF), programom e-pravosodja in programom za podpiranje strukturnih reform.</w:t>
      </w:r>
    </w:p>
  </w:footnote>
  <w:footnote w:id="10">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Ministrska izjava o e-upravi iz Malmöja, 2009.</w:t>
      </w:r>
    </w:p>
  </w:footnote>
  <w:footnote w:id="11">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Študija primerjalne ocene e-uprave za leto 2014.</w:t>
      </w:r>
    </w:p>
  </w:footnote>
  <w:footnote w:id="12">
    <w:p w:rsidR="009F726C" w:rsidRDefault="00C677E5">
      <w:pPr>
        <w:pStyle w:val="FootnoteText"/>
        <w:rPr>
          <w:rStyle w:val="FootnoteReference"/>
          <w:vertAlign w:val="baseline"/>
        </w:rPr>
      </w:pPr>
      <w:r>
        <w:rPr>
          <w:rStyle w:val="FootnoteReference"/>
        </w:rPr>
        <w:footnoteRef/>
      </w:r>
      <w:r>
        <w:rPr>
          <w:rStyle w:val="FootnoteReference"/>
          <w:vertAlign w:val="baseline"/>
        </w:rPr>
        <w:t xml:space="preserve"> </w:t>
      </w:r>
      <w:r>
        <w:tab/>
      </w:r>
      <w:r>
        <w:rPr>
          <w:rStyle w:val="FootnoteReference"/>
          <w:vertAlign w:val="baseline"/>
        </w:rPr>
        <w:t>Študija primerja</w:t>
      </w:r>
      <w:r>
        <w:rPr>
          <w:rStyle w:val="FootnoteReference"/>
          <w:vertAlign w:val="baseline"/>
        </w:rPr>
        <w:t>lne ocene e-uprave za leto 2015.</w:t>
      </w:r>
    </w:p>
  </w:footnote>
  <w:footnote w:id="13">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Priporočilo Sveta o digitalnih vladnih strategijah, OECD, 2014.</w:t>
      </w:r>
    </w:p>
  </w:footnote>
  <w:footnote w:id="14">
    <w:p w:rsidR="009F726C" w:rsidRDefault="00C677E5">
      <w:pPr>
        <w:pStyle w:val="FootnoteText"/>
        <w:rPr>
          <w:rStyle w:val="FootnoteReference"/>
          <w:vertAlign w:val="baseline"/>
        </w:rPr>
      </w:pPr>
      <w:r>
        <w:rPr>
          <w:rStyle w:val="FootnoteReference"/>
        </w:rPr>
        <w:footnoteRef/>
      </w:r>
      <w:r>
        <w:tab/>
      </w:r>
      <w:hyperlink r:id="rId3">
        <w:r>
          <w:rPr>
            <w:rStyle w:val="Hyperlink"/>
          </w:rPr>
          <w:t>https://ec.europa.eu/digital-agenda/en/news/contributions-and-preliminary-trends-public-consultation-egovernment-action-plan-2016-2020</w:t>
        </w:r>
      </w:hyperlink>
      <w:r>
        <w:t xml:space="preserve"> </w:t>
      </w:r>
    </w:p>
  </w:footnote>
  <w:footnote w:id="15">
    <w:p w:rsidR="009F726C" w:rsidRDefault="00C677E5">
      <w:pPr>
        <w:pStyle w:val="FootnoteText"/>
      </w:pPr>
      <w:r>
        <w:rPr>
          <w:rStyle w:val="FootnoteReference"/>
        </w:rPr>
        <w:footnoteRef/>
      </w:r>
      <w:r>
        <w:t xml:space="preserve"> </w:t>
      </w:r>
      <w:r>
        <w:tab/>
        <w:t>Predlog direktive o spletni dostopnosti trenutno čaka na sozakonodajalca, COM (2012)721.</w:t>
      </w:r>
    </w:p>
  </w:footnote>
  <w:footnote w:id="16">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 xml:space="preserve">Letni pregled rasti za </w:t>
      </w:r>
      <w:r>
        <w:rPr>
          <w:rStyle w:val="FootnoteReference"/>
          <w:vertAlign w:val="baseline"/>
        </w:rPr>
        <w:t>leti 2015 in 2016.</w:t>
      </w:r>
    </w:p>
  </w:footnote>
  <w:footnote w:id="17">
    <w:p w:rsidR="009F726C" w:rsidRDefault="00C677E5">
      <w:pPr>
        <w:pStyle w:val="FootnoteText"/>
        <w:rPr>
          <w:rStyle w:val="FootnoteReference"/>
          <w:vertAlign w:val="baseline"/>
        </w:rPr>
      </w:pPr>
      <w:r>
        <w:rPr>
          <w:rStyle w:val="FootnoteReference"/>
        </w:rPr>
        <w:footnoteRef/>
      </w:r>
      <w:r>
        <w:rPr>
          <w:rStyle w:val="FootnoteReference"/>
        </w:rPr>
        <w:t xml:space="preserve"> </w:t>
      </w:r>
      <w:r>
        <w:tab/>
        <w:t xml:space="preserve">Pregledani evropski okvir interoperabilnosti </w:t>
      </w:r>
      <w:r>
        <w:rPr>
          <w:rStyle w:val="FootnoteReference"/>
          <w:vertAlign w:val="baseline"/>
        </w:rPr>
        <w:t>bo objavljen v letu 2016</w:t>
      </w:r>
      <w:r>
        <w:t>.</w:t>
      </w:r>
    </w:p>
  </w:footnote>
  <w:footnote w:id="18">
    <w:p w:rsidR="009F726C" w:rsidRDefault="00C677E5">
      <w:pPr>
        <w:pStyle w:val="FootnoteText"/>
        <w:rPr>
          <w:rStyle w:val="FootnoteReference"/>
          <w:vertAlign w:val="baseline"/>
        </w:rPr>
      </w:pPr>
      <w:r>
        <w:rPr>
          <w:rStyle w:val="FootnoteReference"/>
        </w:rPr>
        <w:footnoteRef/>
      </w:r>
      <w:r>
        <w:rPr>
          <w:rStyle w:val="FootnoteReference"/>
          <w:vertAlign w:val="baseline"/>
        </w:rPr>
        <w:t xml:space="preserve"> </w:t>
      </w:r>
      <w:r>
        <w:tab/>
      </w:r>
      <w:r>
        <w:rPr>
          <w:rStyle w:val="FootnoteReference"/>
          <w:vertAlign w:val="baseline"/>
        </w:rPr>
        <w:t>COM(2015) 192 final, http://eur-lex.europa.eu/legal-content/EN/TXT/?qid=1447773803386&amp;uri=CELEX:52015DC0192</w:t>
      </w:r>
    </w:p>
  </w:footnote>
  <w:footnote w:id="19">
    <w:p w:rsidR="009F726C" w:rsidRDefault="00C677E5">
      <w:pPr>
        <w:pStyle w:val="FootnoteText"/>
        <w:rPr>
          <w:lang w:val="sv-SE"/>
        </w:rPr>
      </w:pPr>
      <w:r>
        <w:rPr>
          <w:rStyle w:val="FootnoteReference"/>
        </w:rPr>
        <w:footnoteRef/>
      </w:r>
      <w:r>
        <w:t xml:space="preserve"> </w:t>
      </w:r>
      <w:r>
        <w:tab/>
        <w:t>Uredba (EU) št. 910/2014.</w:t>
      </w:r>
    </w:p>
  </w:footnote>
  <w:footnote w:id="20">
    <w:p w:rsidR="009F726C" w:rsidRDefault="00C677E5">
      <w:pPr>
        <w:pStyle w:val="FootnoteText"/>
        <w:rPr>
          <w:lang w:val="sv-SE"/>
        </w:rPr>
      </w:pPr>
      <w:r>
        <w:rPr>
          <w:rStyle w:val="FootnoteReference"/>
        </w:rPr>
        <w:footnoteRef/>
      </w:r>
      <w:r>
        <w:t xml:space="preserve"> </w:t>
      </w:r>
      <w:r>
        <w:tab/>
        <w:t>http://ec.europa.eu/</w:t>
      </w:r>
      <w:r>
        <w:t>finance/consultations/2015/retail-financial-services/index_en.htm</w:t>
      </w:r>
    </w:p>
  </w:footnote>
  <w:footnote w:id="21">
    <w:p w:rsidR="009F726C" w:rsidRDefault="00C677E5">
      <w:pPr>
        <w:pStyle w:val="FootnoteText"/>
        <w:rPr>
          <w:lang w:val="sv-SE"/>
        </w:rPr>
      </w:pPr>
      <w:r>
        <w:rPr>
          <w:rStyle w:val="FootnoteReference"/>
        </w:rPr>
        <w:footnoteRef/>
      </w:r>
      <w:r>
        <w:t xml:space="preserve"> </w:t>
      </w:r>
      <w:r>
        <w:tab/>
      </w:r>
      <w:hyperlink r:id="rId4" w:history="1">
        <w:r>
          <w:rPr>
            <w:rStyle w:val="Hyperlink"/>
          </w:rPr>
          <w:t>http://open-data.europa.eu</w:t>
        </w:r>
      </w:hyperlink>
    </w:p>
  </w:footnote>
  <w:footnote w:id="22">
    <w:p w:rsidR="009F726C" w:rsidRDefault="00C677E5">
      <w:pPr>
        <w:pStyle w:val="FootnoteText"/>
        <w:rPr>
          <w:rStyle w:val="FootnoteReference"/>
          <w:vertAlign w:val="baseline"/>
          <w:lang w:val="sv-SE"/>
        </w:rPr>
      </w:pPr>
      <w:r>
        <w:rPr>
          <w:rStyle w:val="FootnoteReference"/>
        </w:rPr>
        <w:footnoteRef/>
      </w:r>
      <w:r>
        <w:t xml:space="preserve"> </w:t>
      </w:r>
      <w:r>
        <w:tab/>
      </w:r>
      <w:hyperlink r:id="rId5" w:history="1">
        <w:r>
          <w:rPr>
            <w:rStyle w:val="FootnoteReference"/>
            <w:vertAlign w:val="baseline"/>
          </w:rPr>
          <w:t>http://data.europa.e/europeandataportal</w:t>
        </w:r>
      </w:hyperlink>
      <w:r>
        <w:rPr>
          <w:rStyle w:val="FootnoteReference"/>
          <w:vertAlign w:val="baseline"/>
        </w:rPr>
        <w:t xml:space="preserve"> </w:t>
      </w:r>
    </w:p>
  </w:footnote>
  <w:footnote w:id="23">
    <w:p w:rsidR="009F726C" w:rsidRDefault="00C677E5">
      <w:pPr>
        <w:pStyle w:val="FootnoteText"/>
        <w:rPr>
          <w:lang w:val="sv-SE"/>
        </w:rPr>
      </w:pPr>
      <w:r>
        <w:rPr>
          <w:rStyle w:val="FootnoteReference"/>
        </w:rPr>
        <w:footnoteRef/>
      </w:r>
      <w:r>
        <w:t xml:space="preserve"> </w:t>
      </w:r>
      <w:r>
        <w:tab/>
        <w:t>K</w:t>
      </w:r>
      <w:r>
        <w:rPr>
          <w:rStyle w:val="FootnoteReference"/>
          <w:vertAlign w:val="baseline"/>
        </w:rPr>
        <w:t>ot so e-oseb</w:t>
      </w:r>
      <w:r>
        <w:rPr>
          <w:rStyle w:val="FootnoteReference"/>
          <w:vertAlign w:val="baseline"/>
        </w:rPr>
        <w:t>ne izkaznice, e-podpis, e-dostava, izdajanje e-računov in e-prevod.</w:t>
      </w:r>
    </w:p>
  </w:footnote>
  <w:footnote w:id="24">
    <w:p w:rsidR="009F726C" w:rsidRDefault="00C677E5">
      <w:pPr>
        <w:pStyle w:val="FootnoteText"/>
        <w:rPr>
          <w:lang w:val="sv-SE"/>
        </w:rPr>
      </w:pPr>
      <w:r>
        <w:rPr>
          <w:rStyle w:val="FootnoteReference"/>
        </w:rPr>
        <w:footnoteRef/>
      </w:r>
      <w:r>
        <w:t xml:space="preserve"> </w:t>
      </w:r>
      <w:r>
        <w:tab/>
        <w:t>Evropska pobuda za računalništvo v oblaku – razvoj konkurenčnega evropskega gospodarstva, ki temelji na podatkih in znanju.</w:t>
      </w:r>
    </w:p>
  </w:footnote>
  <w:footnote w:id="25">
    <w:p w:rsidR="009F726C" w:rsidRDefault="00C677E5">
      <w:pPr>
        <w:pStyle w:val="FootnoteText"/>
        <w:jc w:val="left"/>
        <w:rPr>
          <w:rStyle w:val="FootnoteReference"/>
          <w:vertAlign w:val="baseline"/>
        </w:rPr>
      </w:pPr>
      <w:r>
        <w:rPr>
          <w:rStyle w:val="FootnoteReference"/>
        </w:rPr>
        <w:footnoteRef/>
      </w:r>
      <w:r>
        <w:rPr>
          <w:rStyle w:val="FootnoteReference"/>
        </w:rPr>
        <w:t xml:space="preserve"> </w:t>
      </w:r>
      <w:r>
        <w:tab/>
      </w:r>
      <w:r>
        <w:rPr>
          <w:rStyle w:val="FootnoteReference"/>
          <w:vertAlign w:val="baseline"/>
        </w:rPr>
        <w:t xml:space="preserve">Direktiva 2012/17/EU Evropskega parlamenta in Sveta z dne </w:t>
      </w:r>
      <w:r>
        <w:rPr>
          <w:rStyle w:val="FootnoteReference"/>
          <w:vertAlign w:val="baseline"/>
        </w:rPr>
        <w:t>13. junija 2012 o spremembi Direktive Sveta 89/666/EGS ter direktiv 2005/56/ES in 2009/101/ES Evropskega parlamenta in Sveta glede povezovanja centralnih in trgovinskih registrov ter registrov družb (UL L 156, 16.6.2012, str. 1)</w:t>
      </w:r>
      <w:r>
        <w:rPr>
          <w:rStyle w:val="FootnoteReference"/>
          <w:vertAlign w:val="baseline"/>
        </w:rPr>
        <w:br/>
        <w:t>COM(2015) 192 final, http:/</w:t>
      </w:r>
      <w:r>
        <w:rPr>
          <w:rStyle w:val="FootnoteReference"/>
          <w:vertAlign w:val="baseline"/>
        </w:rPr>
        <w:t>/eur-lex.europa.eu/legal-content/EN/TXT/?qid=1447773803386&amp;uri=CELEX:52015DC0192</w:t>
      </w:r>
    </w:p>
  </w:footnote>
  <w:footnote w:id="26">
    <w:p w:rsidR="009F726C" w:rsidRDefault="00C677E5">
      <w:pPr>
        <w:pStyle w:val="FootnoteText"/>
        <w:rPr>
          <w:rStyle w:val="FootnoteReference"/>
          <w:vertAlign w:val="baseline"/>
        </w:rPr>
      </w:pPr>
      <w:r>
        <w:rPr>
          <w:rStyle w:val="FootnoteReference"/>
        </w:rPr>
        <w:footnoteRef/>
      </w:r>
      <w:r>
        <w:rPr>
          <w:rStyle w:val="FootnoteReference"/>
        </w:rPr>
        <w:t xml:space="preserve"> </w:t>
      </w:r>
      <w:r>
        <w:tab/>
        <w:t>K</w:t>
      </w:r>
      <w:r>
        <w:rPr>
          <w:rStyle w:val="FootnoteReference"/>
          <w:vertAlign w:val="baseline"/>
        </w:rPr>
        <w:t>ot zahteva Uredba (EU) 2015/848 glede postopkov v primeru nesolventnosti (prenovitev)</w:t>
      </w:r>
      <w:r>
        <w:t>.</w:t>
      </w:r>
    </w:p>
  </w:footnote>
  <w:footnote w:id="27">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Kot je opredeljeno v sporočilu Komisije "Izpopolnitev enotnega trga: več priložno</w:t>
      </w:r>
      <w:r>
        <w:rPr>
          <w:rStyle w:val="FootnoteReference"/>
          <w:vertAlign w:val="baseline"/>
        </w:rPr>
        <w:t>sti za prebivalstvo in gospodarstvo (COM(2015) 550, str. 5.</w:t>
      </w:r>
    </w:p>
  </w:footnote>
  <w:footnote w:id="28">
    <w:p w:rsidR="009F726C" w:rsidRDefault="00C677E5">
      <w:pPr>
        <w:pStyle w:val="FootnoteText"/>
        <w:rPr>
          <w:rStyle w:val="FootnoteReference"/>
          <w:vertAlign w:val="baseline"/>
          <w:lang w:val="pt-PT"/>
        </w:rPr>
      </w:pPr>
      <w:r>
        <w:rPr>
          <w:rStyle w:val="FootnoteReference"/>
        </w:rPr>
        <w:footnoteRef/>
      </w:r>
      <w:r>
        <w:rPr>
          <w:rStyle w:val="FootnoteReference"/>
        </w:rPr>
        <w:t xml:space="preserve"> </w:t>
      </w:r>
      <w:r>
        <w:tab/>
      </w:r>
      <w:r>
        <w:rPr>
          <w:rStyle w:val="FootnoteReference"/>
          <w:vertAlign w:val="baseline"/>
        </w:rPr>
        <w:t xml:space="preserve">Glej </w:t>
      </w:r>
      <w:r>
        <w:t>tudi COM(2015) 550, str. 5.</w:t>
      </w:r>
    </w:p>
  </w:footnote>
  <w:footnote w:id="29">
    <w:p w:rsidR="009F726C" w:rsidRDefault="00C677E5">
      <w:pPr>
        <w:pStyle w:val="FootnoteText"/>
        <w:rPr>
          <w:rStyle w:val="FootnoteReference"/>
          <w:vertAlign w:val="baseline"/>
        </w:rPr>
      </w:pPr>
      <w:r>
        <w:rPr>
          <w:rStyle w:val="FootnoteReference"/>
        </w:rPr>
        <w:footnoteRef/>
      </w:r>
      <w:r>
        <w:rPr>
          <w:rStyle w:val="FootnoteReference"/>
          <w:vertAlign w:val="baseline"/>
        </w:rPr>
        <w:t xml:space="preserve"> </w:t>
      </w:r>
      <w:r>
        <w:tab/>
      </w:r>
      <w:r>
        <w:rPr>
          <w:rStyle w:val="FootnoteReference"/>
          <w:vertAlign w:val="baseline"/>
        </w:rPr>
        <w:t>28 držav članic Evropske unije, Švica in 3 države Evropskega gospodarskega prostora (EGP): Norveška, Islandija in Lihtenštajn.</w:t>
      </w:r>
    </w:p>
  </w:footnote>
  <w:footnote w:id="30">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Namen EURES je zagotavljanj</w:t>
      </w:r>
      <w:r>
        <w:rPr>
          <w:rStyle w:val="FootnoteReference"/>
          <w:vertAlign w:val="baseline"/>
        </w:rPr>
        <w:t>e informacij, svetovanja in zaposlovanja/razporejanja (usklajevanje ponudbe delovnih mest in povpraševanja po njih) storitev v korist delavcev in delodajalcev ter vseh državljanov, ki želijo izkoristiti načelo prostega gibanja oseb.</w:t>
      </w:r>
    </w:p>
  </w:footnote>
  <w:footnote w:id="31">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r>
        <w:rPr>
          <w:rStyle w:val="FootnoteReference"/>
          <w:vertAlign w:val="baseline"/>
        </w:rPr>
        <w:t>Smernice o podatkovn</w:t>
      </w:r>
      <w:r>
        <w:rPr>
          <w:rStyle w:val="FootnoteReference"/>
          <w:vertAlign w:val="baseline"/>
        </w:rPr>
        <w:t>em nizu za e-recepte za elektronsko izmenjavo na podlagi Direktive o uveljavljanju pravic pacientov pri čezmejnem zdravstvenem varstvu 2011/24/EU.</w:t>
      </w:r>
    </w:p>
  </w:footnote>
  <w:footnote w:id="32">
    <w:p w:rsidR="009F726C" w:rsidRDefault="00C677E5">
      <w:pPr>
        <w:pStyle w:val="FootnoteText"/>
      </w:pPr>
      <w:r>
        <w:rPr>
          <w:rStyle w:val="FootnoteReference"/>
        </w:rPr>
        <w:footnoteRef/>
      </w:r>
      <w:r>
        <w:t xml:space="preserve"> </w:t>
      </w:r>
      <w:r>
        <w:tab/>
        <w:t xml:space="preserve">V skladu s členom 12 Direktive 2011/24/EU o uveljavljanju pravic pacientov pri čezmejnem zdravstvenem </w:t>
      </w:r>
      <w:r>
        <w:t>varstvu.</w:t>
      </w:r>
    </w:p>
  </w:footnote>
  <w:footnote w:id="33">
    <w:p w:rsidR="009F726C" w:rsidRDefault="00C677E5">
      <w:pPr>
        <w:pStyle w:val="FootnoteText"/>
      </w:pPr>
      <w:r>
        <w:rPr>
          <w:rStyle w:val="FootnoteReference"/>
        </w:rPr>
        <w:footnoteRef/>
      </w:r>
      <w:r>
        <w:t xml:space="preserve"> </w:t>
      </w:r>
      <w:r>
        <w:tab/>
        <w:t>Evropska pobuda za računalništvo v oblaku – razvoj konkurenčnega evropskega gospodarstva, ki temelji na podatkih in znanju.</w:t>
      </w:r>
    </w:p>
  </w:footnote>
  <w:footnote w:id="34">
    <w:p w:rsidR="009F726C" w:rsidRDefault="00C677E5">
      <w:pPr>
        <w:pStyle w:val="FootnoteText"/>
        <w:rPr>
          <w:rStyle w:val="FootnoteReference"/>
          <w:vertAlign w:val="baseline"/>
        </w:rPr>
      </w:pPr>
      <w:r>
        <w:rPr>
          <w:rStyle w:val="FootnoteReference"/>
        </w:rPr>
        <w:footnoteRef/>
      </w:r>
      <w:r>
        <w:rPr>
          <w:rStyle w:val="FootnoteReference"/>
        </w:rPr>
        <w:t xml:space="preserve"> </w:t>
      </w:r>
      <w:r>
        <w:tab/>
      </w:r>
      <w:hyperlink r:id="rId6">
        <w:r>
          <w:rPr>
            <w:rStyle w:val="FootnoteReference"/>
            <w:vertAlign w:val="baseline"/>
          </w:rPr>
          <w:t>Direktiva 200</w:t>
        </w:r>
        <w:r>
          <w:rPr>
            <w:rStyle w:val="FootnoteReference"/>
            <w:vertAlign w:val="baseline"/>
          </w:rPr>
          <w:t xml:space="preserve">7/2/ES Evropskega parlamenta in Sveta z dne 14. marca 2007 o vzpostavitvi infrastrukture za prostorske informacije v Evropski skupnosti (INSPIRE) (UL </w:t>
        </w:r>
      </w:hyperlink>
      <w:r>
        <w:rPr>
          <w:rStyle w:val="FootnoteReference"/>
          <w:vertAlign w:val="baseline"/>
        </w:rPr>
        <w:t>L 108, 25.4.2007, str. 1) (poročilo bo kmalu na voljo na spletni strani: http://inspire.ec.europa.eu/)</w:t>
      </w:r>
      <w:r>
        <w:t>.</w:t>
      </w:r>
    </w:p>
  </w:footnote>
  <w:footnote w:id="35">
    <w:p w:rsidR="009F726C" w:rsidRPr="00C677E5" w:rsidRDefault="00C677E5">
      <w:pPr>
        <w:pStyle w:val="FootnoteText"/>
        <w:rPr>
          <w:lang w:val="pl-PL"/>
        </w:rPr>
      </w:pPr>
      <w:r>
        <w:rPr>
          <w:rStyle w:val="FootnoteReference"/>
        </w:rPr>
        <w:footnoteRef/>
      </w:r>
      <w:r>
        <w:t xml:space="preserve"> </w:t>
      </w:r>
      <w:r>
        <w:t xml:space="preserve"> </w:t>
      </w:r>
      <w:r>
        <w:tab/>
      </w:r>
      <w:bookmarkStart w:id="5" w:name="_GoBack"/>
      <w:r w:rsidRPr="00C677E5">
        <w:t>V skladu s smernicami Komisije za boljšo pripravo zakonodaje, SWD(2015), 111.</w:t>
      </w:r>
      <w:bookmarkEnd w:id="5"/>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26C" w:rsidRDefault="009F7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2475249"/>
    <w:lvl w:ilvl="0" w:tplc="8FCAA1BE">
      <w:start w:val="1"/>
      <w:numFmt w:val="decimal"/>
      <w:lvlText w:val="%1."/>
      <w:lvlJc w:val="left"/>
      <w:pPr>
        <w:ind w:left="720" w:hanging="360"/>
      </w:pPr>
      <w:rPr>
        <w:rFonts w:ascii="Times New Roman" w:eastAsia="Times New Roman" w:hAnsi="Times New Roman" w:hint="default"/>
        <w:b w:val="0"/>
        <w:i/>
        <w:color w:val="000000"/>
        <w:sz w:val="24"/>
        <w:szCs w:val="24"/>
      </w:rPr>
    </w:lvl>
    <w:lvl w:ilvl="1" w:tplc="A63CC3EA">
      <w:start w:val="1"/>
      <w:numFmt w:val="lowerLetter"/>
      <w:lvlText w:val="%2."/>
      <w:lvlJc w:val="left"/>
      <w:pPr>
        <w:ind w:left="1440" w:hanging="360"/>
      </w:pPr>
      <w:rPr>
        <w:rFonts w:ascii="Times New Roman" w:eastAsia="Times New Roman" w:hAnsi="Times New Roman" w:hint="default"/>
        <w:b w:val="0"/>
        <w:color w:val="000000"/>
        <w:sz w:val="24"/>
        <w:szCs w:val="24"/>
      </w:rPr>
    </w:lvl>
    <w:lvl w:ilvl="2" w:tplc="A036BC66">
      <w:start w:val="1"/>
      <w:numFmt w:val="lowerRoman"/>
      <w:lvlText w:val="%3."/>
      <w:lvlJc w:val="left"/>
      <w:pPr>
        <w:ind w:left="2160" w:hanging="180"/>
      </w:pPr>
      <w:rPr>
        <w:rFonts w:ascii="Times New Roman" w:eastAsia="Times New Roman" w:hAnsi="Times New Roman" w:hint="default"/>
        <w:b w:val="0"/>
        <w:color w:val="000000"/>
        <w:sz w:val="24"/>
        <w:szCs w:val="24"/>
      </w:rPr>
    </w:lvl>
    <w:lvl w:ilvl="3" w:tplc="3BC41DAE">
      <w:start w:val="1"/>
      <w:numFmt w:val="decimal"/>
      <w:lvlText w:val="%4."/>
      <w:lvlJc w:val="left"/>
      <w:pPr>
        <w:ind w:left="2880" w:hanging="360"/>
      </w:pPr>
      <w:rPr>
        <w:rFonts w:ascii="Times New Roman" w:eastAsia="Times New Roman" w:hAnsi="Times New Roman" w:hint="default"/>
        <w:b w:val="0"/>
        <w:color w:val="000000"/>
        <w:sz w:val="24"/>
        <w:szCs w:val="24"/>
      </w:rPr>
    </w:lvl>
    <w:lvl w:ilvl="4" w:tplc="18EEBE42">
      <w:start w:val="1"/>
      <w:numFmt w:val="lowerLetter"/>
      <w:lvlText w:val="%5."/>
      <w:lvlJc w:val="left"/>
      <w:pPr>
        <w:ind w:left="3600" w:hanging="360"/>
      </w:pPr>
      <w:rPr>
        <w:rFonts w:ascii="Times New Roman" w:eastAsia="Times New Roman" w:hAnsi="Times New Roman" w:hint="default"/>
        <w:b w:val="0"/>
        <w:color w:val="000000"/>
        <w:sz w:val="24"/>
        <w:szCs w:val="24"/>
      </w:rPr>
    </w:lvl>
    <w:lvl w:ilvl="5" w:tplc="9C365166">
      <w:start w:val="1"/>
      <w:numFmt w:val="lowerRoman"/>
      <w:lvlText w:val="%6."/>
      <w:lvlJc w:val="left"/>
      <w:pPr>
        <w:ind w:left="4320" w:hanging="180"/>
      </w:pPr>
      <w:rPr>
        <w:rFonts w:ascii="Times New Roman" w:eastAsia="Times New Roman" w:hAnsi="Times New Roman" w:hint="default"/>
        <w:b w:val="0"/>
        <w:color w:val="000000"/>
        <w:sz w:val="24"/>
        <w:szCs w:val="24"/>
      </w:rPr>
    </w:lvl>
    <w:lvl w:ilvl="6" w:tplc="465CA626">
      <w:start w:val="1"/>
      <w:numFmt w:val="decimal"/>
      <w:lvlText w:val="%7."/>
      <w:lvlJc w:val="left"/>
      <w:pPr>
        <w:ind w:left="5040" w:hanging="360"/>
      </w:pPr>
      <w:rPr>
        <w:rFonts w:ascii="Times New Roman" w:eastAsia="Times New Roman" w:hAnsi="Times New Roman" w:hint="default"/>
        <w:b w:val="0"/>
        <w:color w:val="000000"/>
        <w:sz w:val="24"/>
        <w:szCs w:val="24"/>
      </w:rPr>
    </w:lvl>
    <w:lvl w:ilvl="7" w:tplc="B2563A3A">
      <w:start w:val="1"/>
      <w:numFmt w:val="lowerLetter"/>
      <w:lvlText w:val="%8."/>
      <w:lvlJc w:val="left"/>
      <w:pPr>
        <w:ind w:left="5760" w:hanging="360"/>
      </w:pPr>
      <w:rPr>
        <w:rFonts w:ascii="Times New Roman" w:eastAsia="Times New Roman" w:hAnsi="Times New Roman" w:hint="default"/>
        <w:b w:val="0"/>
        <w:color w:val="000000"/>
        <w:sz w:val="24"/>
        <w:szCs w:val="24"/>
      </w:rPr>
    </w:lvl>
    <w:lvl w:ilvl="8" w:tplc="16CAC458">
      <w:start w:val="1"/>
      <w:numFmt w:val="lowerRoman"/>
      <w:lvlText w:val="%9."/>
      <w:lvlJc w:val="left"/>
      <w:pPr>
        <w:ind w:left="6480" w:hanging="180"/>
      </w:pPr>
      <w:rPr>
        <w:rFonts w:ascii="Times New Roman" w:eastAsia="Times New Roman" w:hAnsi="Times New Roman" w:hint="default"/>
        <w:b w:val="0"/>
        <w:color w:val="000000"/>
        <w:sz w:val="24"/>
        <w:szCs w:val="24"/>
      </w:rPr>
    </w:lvl>
  </w:abstractNum>
  <w:abstractNum w:abstractNumId="1">
    <w:nsid w:val="00DE7D3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0229B0"/>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292A1B"/>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7A34F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F1C6A"/>
    <w:multiLevelType w:val="hybridMultilevel"/>
    <w:tmpl w:val="11EE41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0EB02C54"/>
    <w:multiLevelType w:val="hybridMultilevel"/>
    <w:tmpl w:val="9378C70C"/>
    <w:lvl w:ilvl="0" w:tplc="94E47F1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5D21A2"/>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0914C7"/>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E4FD3"/>
    <w:multiLevelType w:val="hybridMultilevel"/>
    <w:tmpl w:val="426481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B4C64D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44362F"/>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16B35D9"/>
    <w:multiLevelType w:val="hybridMultilevel"/>
    <w:tmpl w:val="062E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7C4853"/>
    <w:multiLevelType w:val="hybridMultilevel"/>
    <w:tmpl w:val="D158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4777B6"/>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48E1B23"/>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94D36E0"/>
    <w:multiLevelType w:val="hybridMultilevel"/>
    <w:tmpl w:val="C29E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EF7B75"/>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DE73CD4"/>
    <w:multiLevelType w:val="hybridMultilevel"/>
    <w:tmpl w:val="A5482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B75868"/>
    <w:multiLevelType w:val="hybridMultilevel"/>
    <w:tmpl w:val="36A4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CA31BA"/>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0D3DD7"/>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B65225"/>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5006E5"/>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4BA49EA"/>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9458A0"/>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A21031"/>
    <w:multiLevelType w:val="hybridMultilevel"/>
    <w:tmpl w:val="CC7EA65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nsid w:val="519053A7"/>
    <w:multiLevelType w:val="hybridMultilevel"/>
    <w:tmpl w:val="FED85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CB74B4"/>
    <w:multiLevelType w:val="multilevel"/>
    <w:tmpl w:val="EA264F84"/>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7655"/>
        </w:tabs>
        <w:ind w:left="7655"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59097226"/>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D8C7B27"/>
    <w:multiLevelType w:val="hybridMultilevel"/>
    <w:tmpl w:val="9DBE1A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5D926CB2"/>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58E4D2F"/>
    <w:multiLevelType w:val="hybridMultilevel"/>
    <w:tmpl w:val="BD0C1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7A2AF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77700E"/>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7C3223"/>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9C1051"/>
    <w:multiLevelType w:val="hybridMultilevel"/>
    <w:tmpl w:val="D91C8BFE"/>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47E4722"/>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C427B0"/>
    <w:multiLevelType w:val="hybridMultilevel"/>
    <w:tmpl w:val="9D5445DA"/>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DE6356D"/>
    <w:multiLevelType w:val="hybridMultilevel"/>
    <w:tmpl w:val="58866982"/>
    <w:lvl w:ilvl="0" w:tplc="0130E25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EC34C81"/>
    <w:multiLevelType w:val="hybridMultilevel"/>
    <w:tmpl w:val="FD94B8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9"/>
  </w:num>
  <w:num w:numId="3">
    <w:abstractNumId w:val="25"/>
  </w:num>
  <w:num w:numId="4">
    <w:abstractNumId w:val="8"/>
  </w:num>
  <w:num w:numId="5">
    <w:abstractNumId w:val="35"/>
  </w:num>
  <w:num w:numId="6">
    <w:abstractNumId w:val="23"/>
  </w:num>
  <w:num w:numId="7">
    <w:abstractNumId w:val="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18"/>
  </w:num>
  <w:num w:numId="12">
    <w:abstractNumId w:val="12"/>
  </w:num>
  <w:num w:numId="13">
    <w:abstractNumId w:val="5"/>
  </w:num>
  <w:num w:numId="14">
    <w:abstractNumId w:val="37"/>
  </w:num>
  <w:num w:numId="15">
    <w:abstractNumId w:val="20"/>
  </w:num>
  <w:num w:numId="16">
    <w:abstractNumId w:val="40"/>
  </w:num>
  <w:num w:numId="17">
    <w:abstractNumId w:val="22"/>
  </w:num>
  <w:num w:numId="18">
    <w:abstractNumId w:val="24"/>
  </w:num>
  <w:num w:numId="19">
    <w:abstractNumId w:val="3"/>
  </w:num>
  <w:num w:numId="20">
    <w:abstractNumId w:val="10"/>
  </w:num>
  <w:num w:numId="21">
    <w:abstractNumId w:val="33"/>
  </w:num>
  <w:num w:numId="22">
    <w:abstractNumId w:val="0"/>
  </w:num>
  <w:num w:numId="23">
    <w:abstractNumId w:val="30"/>
  </w:num>
  <w:num w:numId="24">
    <w:abstractNumId w:val="32"/>
  </w:num>
  <w:num w:numId="25">
    <w:abstractNumId w:val="36"/>
  </w:num>
  <w:num w:numId="26">
    <w:abstractNumId w:val="34"/>
  </w:num>
  <w:num w:numId="27">
    <w:abstractNumId w:val="4"/>
  </w:num>
  <w:num w:numId="28">
    <w:abstractNumId w:val="2"/>
  </w:num>
  <w:num w:numId="29">
    <w:abstractNumId w:val="21"/>
  </w:num>
  <w:num w:numId="30">
    <w:abstractNumId w:val="39"/>
  </w:num>
  <w:num w:numId="31">
    <w:abstractNumId w:val="17"/>
  </w:num>
  <w:num w:numId="32">
    <w:abstractNumId w:val="14"/>
  </w:num>
  <w:num w:numId="33">
    <w:abstractNumId w:val="6"/>
  </w:num>
  <w:num w:numId="34">
    <w:abstractNumId w:val="19"/>
  </w:num>
  <w:num w:numId="35">
    <w:abstractNumId w:val="16"/>
  </w:num>
  <w:num w:numId="36">
    <w:abstractNumId w:val="38"/>
  </w:num>
  <w:num w:numId="37">
    <w:abstractNumId w:val="11"/>
  </w:num>
  <w:num w:numId="38">
    <w:abstractNumId w:val="7"/>
  </w:num>
  <w:num w:numId="39">
    <w:abstractNumId w:val="1"/>
  </w:num>
  <w:num w:numId="40">
    <w:abstractNumId w:val="15"/>
  </w:num>
  <w:num w:numId="41">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DBF8F74C1384C959B2803C59222CB8A"/>
    <w:docVar w:name="LW_CROSSREFERENCE" w:val="{SWD(2016) 108 final}_x000b_{SWD(2016) 109 final}"/>
    <w:docVar w:name="LW_DocType" w:val="NORMAL"/>
    <w:docVar w:name="LW_EMISSION" w:val="19.4.2016"/>
    <w:docVar w:name="LW_EMISSION_ISODATE" w:val="2016-04-19"/>
    <w:docVar w:name="LW_EMISSION_LOCATION" w:val="BRX"/>
    <w:docVar w:name="LW_EMISSION_PREFIX" w:val="Bruselj, "/>
    <w:docVar w:name="LW_EMISSION_SUFFIX" w:val=" "/>
    <w:docVar w:name="LW_ID_DOCTYPE_NONLW" w:val="CP-014"/>
    <w:docVar w:name="LW_LANGUE" w:val="SL"/>
    <w:docVar w:name="LW_MARKING" w:val="&lt;UNUSED&g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6) 179"/>
    <w:docVar w:name="LW_REF.INTERNE" w:val="&lt;UNUSED&gt;"/>
    <w:docVar w:name="LW_SOUS.TITRE.OBJ" w:val="Pospe\u353?itev digitalne preobrazbe uprave_x000b__x000b__x000b__x000b__x000b_"/>
    <w:docVar w:name="LW_SOUS.TITRE.OBJ.CP" w:val="Pospe\u353?itev digitalne preobrazbe uprave_x000b__x000b__x000b__x000b__x000b_"/>
    <w:docVar w:name="LW_SUPERTITRE" w:val="&lt;UNUSED&gt;"/>
    <w:docVar w:name="LW_TITRE.OBJ.CP" w:val="Evropski akcijski na\u269?rt za e-upravo za obdobje 2016\u8211?2020"/>
    <w:docVar w:name="LW_TYPE.DOC.CP" w:val="SPORO\u268?ILO KOMISIJE EVROPSKEMU PARLAMENTU, SVETU, EVROPSKEMU EKONOMSKO-SOCIALNEMU ODBORU IN ODBORU REGIJ"/>
    <w:docVar w:name="LW_TYPE.DOC.CP.USERTEXT" w:val="&lt;EMPTY&gt;"/>
  </w:docVars>
  <w:rsids>
    <w:rsidRoot w:val="009F726C"/>
    <w:rsid w:val="009F726C"/>
    <w:rsid w:val="00C6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link w:val="Heading1Char"/>
    <w:uiPriority w:val="9"/>
    <w:qFormat/>
    <w:pPr>
      <w:keepNext/>
      <w:numPr>
        <w:numId w:val="1"/>
      </w:numPr>
      <w:spacing w:before="360" w:after="120" w:line="240" w:lineRule="auto"/>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uiPriority w:val="9"/>
    <w:qFormat/>
    <w:pPr>
      <w:keepNext/>
      <w:numPr>
        <w:ilvl w:val="1"/>
        <w:numId w:val="1"/>
      </w:numPr>
      <w:tabs>
        <w:tab w:val="clear" w:pos="7655"/>
        <w:tab w:val="num" w:pos="850"/>
      </w:tabs>
      <w:spacing w:before="120" w:after="120" w:line="240" w:lineRule="auto"/>
      <w:ind w:left="850"/>
      <w:outlineLvl w:val="1"/>
    </w:pPr>
    <w:rPr>
      <w:rFonts w:ascii="Times New Roman" w:eastAsia="Times New Roman" w:hAnsi="Times New Roman" w:cs="Times New Roman"/>
      <w:bCs/>
      <w:i/>
      <w:iCs/>
      <w:sz w:val="24"/>
      <w:szCs w:val="28"/>
    </w:rPr>
  </w:style>
  <w:style w:type="paragraph" w:styleId="Heading3">
    <w:name w:val="heading 3"/>
    <w:basedOn w:val="Normal"/>
    <w:next w:val="Normal"/>
    <w:link w:val="Heading3Char"/>
    <w:uiPriority w:val="9"/>
    <w:qFormat/>
    <w:pPr>
      <w:keepNext/>
      <w:numPr>
        <w:ilvl w:val="2"/>
        <w:numId w:val="1"/>
      </w:numPr>
      <w:spacing w:before="120" w:after="120" w:line="240" w:lineRule="auto"/>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qFormat/>
    <w:pPr>
      <w:keepNext/>
      <w:numPr>
        <w:ilvl w:val="3"/>
        <w:numId w:val="1"/>
      </w:numPr>
      <w:spacing w:before="120" w:after="120" w:line="240" w:lineRule="auto"/>
      <w:outlineLvl w:val="3"/>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Plonk"/>
    <w:basedOn w:val="Normal"/>
    <w:link w:val="FootnoteTextChar"/>
    <w:uiPriority w:val="99"/>
    <w:qFormat/>
    <w:pPr>
      <w:spacing w:after="0" w:line="240" w:lineRule="auto"/>
      <w:ind w:left="357" w:hanging="357"/>
    </w:pPr>
    <w:rPr>
      <w:sz w:val="16"/>
      <w:szCs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Plonk Char"/>
    <w:basedOn w:val="DefaultParagraphFont"/>
    <w:link w:val="FootnoteText"/>
    <w:uiPriority w:val="99"/>
    <w:rPr>
      <w:sz w:val="16"/>
      <w:szCs w:val="16"/>
      <w:lang w:val="sl-S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vertAlign w:val="superscript"/>
    </w:rPr>
  </w:style>
  <w:style w:type="paragraph" w:styleId="ListParagraph">
    <w:name w:val="List Paragraph"/>
    <w:aliases w:val="Fiche List Paragraph"/>
    <w:basedOn w:val="Normal"/>
    <w:link w:val="ListParagraphChar"/>
    <w:uiPriority w:val="34"/>
    <w:qFormat/>
    <w:pPr>
      <w:ind w:left="720"/>
      <w:contextualSpacing/>
    </w:pPr>
    <w:rPr>
      <w:rFonts w:ascii="Calibri" w:eastAsia="Calibri" w:hAnsi="Calibri" w:cs="Times New Roman"/>
    </w:rPr>
  </w:style>
  <w:style w:type="character" w:customStyle="1" w:styleId="ListParagraphChar">
    <w:name w:val="List Paragraph Char"/>
    <w:aliases w:val="Fiche List Paragraph Char"/>
    <w:basedOn w:val="DefaultParagraphFont"/>
    <w:link w:val="ListParagraph"/>
    <w:uiPriority w:val="34"/>
    <w:locked/>
    <w:rPr>
      <w:rFonts w:ascii="Calibri" w:eastAsia="Calibri" w:hAnsi="Calibri"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lang w:eastAsia="sl-SI"/>
    </w:rPr>
  </w:style>
  <w:style w:type="character" w:customStyle="1" w:styleId="Heading2Char">
    <w:name w:val="Heading 2 Char"/>
    <w:basedOn w:val="DefaultParagraphFont"/>
    <w:link w:val="Heading2"/>
    <w:uiPriority w:val="9"/>
    <w:rPr>
      <w:rFonts w:ascii="Times New Roman" w:eastAsia="Times New Roman" w:hAnsi="Times New Roman" w:cs="Times New Roman"/>
      <w:bCs/>
      <w:i/>
      <w:iCs/>
      <w:sz w:val="24"/>
      <w:szCs w:val="28"/>
      <w:lang w:eastAsia="sl-SI"/>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lang w:eastAsia="sl-SI"/>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lang w:eastAsia="sl-SI"/>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Number">
    <w:name w:val="List Number"/>
    <w:basedOn w:val="Normal"/>
    <w:pPr>
      <w:spacing w:after="120" w:line="240" w:lineRule="auto"/>
    </w:pPr>
    <w:rPr>
      <w:rFonts w:ascii="Times New Roman" w:eastAsia="Times New Roman" w:hAnsi="Times New Roman" w:cs="Times New Roman"/>
      <w:szCs w:val="20"/>
    </w:rPr>
  </w:style>
  <w:style w:type="character" w:customStyle="1" w:styleId="CharAttribute3">
    <w:name w:val="CharAttribute3"/>
    <w:rPr>
      <w:rFonts w:ascii="Times New Roman" w:eastAsia="Times New Roman"/>
      <w:sz w:val="24"/>
    </w:rPr>
  </w:style>
  <w:style w:type="character" w:customStyle="1" w:styleId="CharAttribute58">
    <w:name w:val="CharAttribute58"/>
    <w:rPr>
      <w:rFonts w:ascii="Times New Roman" w:eastAsia="Times New Roman"/>
      <w:sz w:val="24"/>
    </w:rPr>
  </w:style>
  <w:style w:type="table" w:customStyle="1" w:styleId="DefaultTable">
    <w:name w:val="Default Table"/>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ordWrap w:val="0"/>
      <w:spacing w:after="0" w:line="240" w:lineRule="auto"/>
      <w:jc w:val="both"/>
    </w:pPr>
    <w:rPr>
      <w:rFonts w:ascii="Times New Roman" w:eastAsia="Batang" w:hAnsi="Times New Roman" w:cs="Times New Roman"/>
      <w:sz w:val="20"/>
      <w:szCs w:val="20"/>
    </w:rPr>
  </w:style>
  <w:style w:type="paragraph" w:customStyle="1" w:styleId="ParaAttribute20">
    <w:name w:val="ParaAttribute20"/>
    <w:pPr>
      <w:wordWrap w:val="0"/>
      <w:spacing w:after="0" w:line="240" w:lineRule="auto"/>
      <w:ind w:left="720"/>
      <w:jc w:val="both"/>
    </w:pPr>
    <w:rPr>
      <w:rFonts w:ascii="Times New Roman" w:eastAsia="Batang" w:hAnsi="Times New Roman" w:cs="Times New Roman"/>
      <w:sz w:val="20"/>
      <w:szCs w:val="20"/>
    </w:rPr>
  </w:style>
  <w:style w:type="paragraph" w:customStyle="1" w:styleId="ParaAttribute22">
    <w:name w:val="ParaAttribute22"/>
    <w:pPr>
      <w:wordWrap w:val="0"/>
      <w:spacing w:after="0" w:line="240" w:lineRule="auto"/>
      <w:ind w:left="360"/>
      <w:jc w:val="both"/>
    </w:pPr>
    <w:rPr>
      <w:rFonts w:ascii="Times New Roman" w:eastAsia="Batang" w:hAnsi="Times New Roman" w:cs="Times New Roman"/>
      <w:sz w:val="20"/>
      <w:szCs w:val="20"/>
    </w:rPr>
  </w:style>
  <w:style w:type="character" w:customStyle="1" w:styleId="CharAttribute36">
    <w:name w:val="CharAttribute36"/>
    <w:rPr>
      <w:rFonts w:ascii="Times New Roman" w:eastAsia="Times New Roman"/>
      <w:b/>
      <w:i/>
      <w:sz w:val="24"/>
    </w:rPr>
  </w:style>
  <w:style w:type="character" w:customStyle="1" w:styleId="CharAttribute37">
    <w:name w:val="CharAttribute37"/>
    <w:rPr>
      <w:rFonts w:ascii="Calibri" w:eastAsia="Calibri"/>
      <w:sz w:val="24"/>
    </w:rPr>
  </w:style>
  <w:style w:type="paragraph" w:customStyle="1" w:styleId="ParaAttribute6">
    <w:name w:val="ParaAttribute6"/>
    <w:pPr>
      <w:tabs>
        <w:tab w:val="center" w:pos="4513"/>
        <w:tab w:val="right" w:pos="9026"/>
      </w:tabs>
      <w:wordWrap w:val="0"/>
      <w:spacing w:after="0" w:line="240" w:lineRule="auto"/>
      <w:jc w:val="both"/>
    </w:pPr>
    <w:rPr>
      <w:rFonts w:ascii="Times New Roman" w:eastAsia="Batang" w:hAnsi="Times New Roman" w:cs="Times New Roman"/>
      <w:sz w:val="20"/>
      <w:szCs w:val="20"/>
    </w:rPr>
  </w:style>
  <w:style w:type="character" w:customStyle="1" w:styleId="CharAttribute34">
    <w:name w:val="CharAttribute34"/>
    <w:rPr>
      <w:rFonts w:ascii="Times New Roman" w:eastAsia="Times New Roman"/>
      <w:sz w:val="24"/>
      <w:shd w:val="clear" w:color="auto" w:fill="FFFF00"/>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style>
  <w:style w:type="paragraph" w:styleId="Heading1">
    <w:name w:val="heading 1"/>
    <w:basedOn w:val="Normal"/>
    <w:next w:val="Normal"/>
    <w:link w:val="Heading1Char"/>
    <w:uiPriority w:val="9"/>
    <w:qFormat/>
    <w:pPr>
      <w:keepNext/>
      <w:numPr>
        <w:numId w:val="1"/>
      </w:numPr>
      <w:spacing w:before="360" w:after="120" w:line="240" w:lineRule="auto"/>
      <w:outlineLvl w:val="0"/>
    </w:pPr>
    <w:rPr>
      <w:rFonts w:ascii="Times New Roman" w:eastAsia="Times New Roman" w:hAnsi="Times New Roman" w:cs="Times New Roman"/>
      <w:b/>
      <w:bCs/>
      <w:smallCaps/>
      <w:sz w:val="24"/>
      <w:szCs w:val="32"/>
    </w:rPr>
  </w:style>
  <w:style w:type="paragraph" w:styleId="Heading2">
    <w:name w:val="heading 2"/>
    <w:basedOn w:val="Normal"/>
    <w:next w:val="Normal"/>
    <w:link w:val="Heading2Char"/>
    <w:uiPriority w:val="9"/>
    <w:qFormat/>
    <w:pPr>
      <w:keepNext/>
      <w:numPr>
        <w:ilvl w:val="1"/>
        <w:numId w:val="1"/>
      </w:numPr>
      <w:tabs>
        <w:tab w:val="clear" w:pos="7655"/>
        <w:tab w:val="num" w:pos="850"/>
      </w:tabs>
      <w:spacing w:before="120" w:after="120" w:line="240" w:lineRule="auto"/>
      <w:ind w:left="850"/>
      <w:outlineLvl w:val="1"/>
    </w:pPr>
    <w:rPr>
      <w:rFonts w:ascii="Times New Roman" w:eastAsia="Times New Roman" w:hAnsi="Times New Roman" w:cs="Times New Roman"/>
      <w:bCs/>
      <w:i/>
      <w:iCs/>
      <w:sz w:val="24"/>
      <w:szCs w:val="28"/>
    </w:rPr>
  </w:style>
  <w:style w:type="paragraph" w:styleId="Heading3">
    <w:name w:val="heading 3"/>
    <w:basedOn w:val="Normal"/>
    <w:next w:val="Normal"/>
    <w:link w:val="Heading3Char"/>
    <w:uiPriority w:val="9"/>
    <w:qFormat/>
    <w:pPr>
      <w:keepNext/>
      <w:numPr>
        <w:ilvl w:val="2"/>
        <w:numId w:val="1"/>
      </w:numPr>
      <w:spacing w:before="120" w:after="120" w:line="240" w:lineRule="auto"/>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uiPriority w:val="9"/>
    <w:qFormat/>
    <w:pPr>
      <w:keepNext/>
      <w:numPr>
        <w:ilvl w:val="3"/>
        <w:numId w:val="1"/>
      </w:numPr>
      <w:spacing w:before="120" w:after="120" w:line="240" w:lineRule="auto"/>
      <w:outlineLvl w:val="3"/>
    </w:pPr>
    <w:rPr>
      <w:rFonts w:ascii="Times New Roman" w:eastAsia="Times New Roman" w:hAnsi="Times New Roman" w:cs="Times New Roman"/>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Plonk"/>
    <w:basedOn w:val="Normal"/>
    <w:link w:val="FootnoteTextChar"/>
    <w:uiPriority w:val="99"/>
    <w:qFormat/>
    <w:pPr>
      <w:spacing w:after="0" w:line="240" w:lineRule="auto"/>
      <w:ind w:left="357" w:hanging="357"/>
    </w:pPr>
    <w:rPr>
      <w:sz w:val="16"/>
      <w:szCs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Plonk Char"/>
    <w:basedOn w:val="DefaultParagraphFont"/>
    <w:link w:val="FootnoteText"/>
    <w:uiPriority w:val="99"/>
    <w:rPr>
      <w:sz w:val="16"/>
      <w:szCs w:val="16"/>
      <w:lang w:val="sl-S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link w:val="FootnotesymbolCarZchn"/>
    <w:uiPriority w:val="99"/>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pPr>
    <w:rPr>
      <w:vertAlign w:val="superscript"/>
    </w:rPr>
  </w:style>
  <w:style w:type="paragraph" w:styleId="ListParagraph">
    <w:name w:val="List Paragraph"/>
    <w:aliases w:val="Fiche List Paragraph"/>
    <w:basedOn w:val="Normal"/>
    <w:link w:val="ListParagraphChar"/>
    <w:uiPriority w:val="34"/>
    <w:qFormat/>
    <w:pPr>
      <w:ind w:left="720"/>
      <w:contextualSpacing/>
    </w:pPr>
    <w:rPr>
      <w:rFonts w:ascii="Calibri" w:eastAsia="Calibri" w:hAnsi="Calibri" w:cs="Times New Roman"/>
    </w:rPr>
  </w:style>
  <w:style w:type="character" w:customStyle="1" w:styleId="ListParagraphChar">
    <w:name w:val="List Paragraph Char"/>
    <w:aliases w:val="Fiche List Paragraph Char"/>
    <w:basedOn w:val="DefaultParagraphFont"/>
    <w:link w:val="ListParagraph"/>
    <w:uiPriority w:val="34"/>
    <w:locked/>
    <w:rPr>
      <w:rFonts w:ascii="Calibri" w:eastAsia="Calibri" w:hAnsi="Calibri"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lang w:eastAsia="sl-SI"/>
    </w:rPr>
  </w:style>
  <w:style w:type="character" w:customStyle="1" w:styleId="Heading2Char">
    <w:name w:val="Heading 2 Char"/>
    <w:basedOn w:val="DefaultParagraphFont"/>
    <w:link w:val="Heading2"/>
    <w:uiPriority w:val="9"/>
    <w:rPr>
      <w:rFonts w:ascii="Times New Roman" w:eastAsia="Times New Roman" w:hAnsi="Times New Roman" w:cs="Times New Roman"/>
      <w:bCs/>
      <w:i/>
      <w:iCs/>
      <w:sz w:val="24"/>
      <w:szCs w:val="28"/>
      <w:lang w:eastAsia="sl-SI"/>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lang w:eastAsia="sl-SI"/>
    </w:rPr>
  </w:style>
  <w:style w:type="character" w:customStyle="1" w:styleId="Heading4Char">
    <w:name w:val="Heading 4 Char"/>
    <w:basedOn w:val="DefaultParagraphFont"/>
    <w:link w:val="Heading4"/>
    <w:uiPriority w:val="9"/>
    <w:rPr>
      <w:rFonts w:ascii="Times New Roman" w:eastAsia="Times New Roman" w:hAnsi="Times New Roman" w:cs="Times New Roman"/>
      <w:bCs/>
      <w:sz w:val="24"/>
      <w:szCs w:val="28"/>
      <w:lang w:eastAsia="sl-SI"/>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Sous-titreobjet">
    <w:name w:val="Sous-titre objet"/>
    <w:basedOn w:val="Normal"/>
    <w:pPr>
      <w:spacing w:after="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ListNumber">
    <w:name w:val="List Number"/>
    <w:basedOn w:val="Normal"/>
    <w:pPr>
      <w:spacing w:after="120" w:line="240" w:lineRule="auto"/>
    </w:pPr>
    <w:rPr>
      <w:rFonts w:ascii="Times New Roman" w:eastAsia="Times New Roman" w:hAnsi="Times New Roman" w:cs="Times New Roman"/>
      <w:szCs w:val="20"/>
    </w:rPr>
  </w:style>
  <w:style w:type="character" w:customStyle="1" w:styleId="CharAttribute3">
    <w:name w:val="CharAttribute3"/>
    <w:rPr>
      <w:rFonts w:ascii="Times New Roman" w:eastAsia="Times New Roman"/>
      <w:sz w:val="24"/>
    </w:rPr>
  </w:style>
  <w:style w:type="character" w:customStyle="1" w:styleId="CharAttribute58">
    <w:name w:val="CharAttribute58"/>
    <w:rPr>
      <w:rFonts w:ascii="Times New Roman" w:eastAsia="Times New Roman"/>
      <w:sz w:val="24"/>
    </w:rPr>
  </w:style>
  <w:style w:type="table" w:customStyle="1" w:styleId="DefaultTable">
    <w:name w:val="Default Table"/>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ordWrap w:val="0"/>
      <w:spacing w:after="0" w:line="240" w:lineRule="auto"/>
      <w:jc w:val="both"/>
    </w:pPr>
    <w:rPr>
      <w:rFonts w:ascii="Times New Roman" w:eastAsia="Batang" w:hAnsi="Times New Roman" w:cs="Times New Roman"/>
      <w:sz w:val="20"/>
      <w:szCs w:val="20"/>
    </w:rPr>
  </w:style>
  <w:style w:type="paragraph" w:customStyle="1" w:styleId="ParaAttribute20">
    <w:name w:val="ParaAttribute20"/>
    <w:pPr>
      <w:wordWrap w:val="0"/>
      <w:spacing w:after="0" w:line="240" w:lineRule="auto"/>
      <w:ind w:left="720"/>
      <w:jc w:val="both"/>
    </w:pPr>
    <w:rPr>
      <w:rFonts w:ascii="Times New Roman" w:eastAsia="Batang" w:hAnsi="Times New Roman" w:cs="Times New Roman"/>
      <w:sz w:val="20"/>
      <w:szCs w:val="20"/>
    </w:rPr>
  </w:style>
  <w:style w:type="paragraph" w:customStyle="1" w:styleId="ParaAttribute22">
    <w:name w:val="ParaAttribute22"/>
    <w:pPr>
      <w:wordWrap w:val="0"/>
      <w:spacing w:after="0" w:line="240" w:lineRule="auto"/>
      <w:ind w:left="360"/>
      <w:jc w:val="both"/>
    </w:pPr>
    <w:rPr>
      <w:rFonts w:ascii="Times New Roman" w:eastAsia="Batang" w:hAnsi="Times New Roman" w:cs="Times New Roman"/>
      <w:sz w:val="20"/>
      <w:szCs w:val="20"/>
    </w:rPr>
  </w:style>
  <w:style w:type="character" w:customStyle="1" w:styleId="CharAttribute36">
    <w:name w:val="CharAttribute36"/>
    <w:rPr>
      <w:rFonts w:ascii="Times New Roman" w:eastAsia="Times New Roman"/>
      <w:b/>
      <w:i/>
      <w:sz w:val="24"/>
    </w:rPr>
  </w:style>
  <w:style w:type="character" w:customStyle="1" w:styleId="CharAttribute37">
    <w:name w:val="CharAttribute37"/>
    <w:rPr>
      <w:rFonts w:ascii="Calibri" w:eastAsia="Calibri"/>
      <w:sz w:val="24"/>
    </w:rPr>
  </w:style>
  <w:style w:type="paragraph" w:customStyle="1" w:styleId="ParaAttribute6">
    <w:name w:val="ParaAttribute6"/>
    <w:pPr>
      <w:tabs>
        <w:tab w:val="center" w:pos="4513"/>
        <w:tab w:val="right" w:pos="9026"/>
      </w:tabs>
      <w:wordWrap w:val="0"/>
      <w:spacing w:after="0" w:line="240" w:lineRule="auto"/>
      <w:jc w:val="both"/>
    </w:pPr>
    <w:rPr>
      <w:rFonts w:ascii="Times New Roman" w:eastAsia="Batang" w:hAnsi="Times New Roman" w:cs="Times New Roman"/>
      <w:sz w:val="20"/>
      <w:szCs w:val="20"/>
    </w:rPr>
  </w:style>
  <w:style w:type="character" w:customStyle="1" w:styleId="CharAttribute34">
    <w:name w:val="CharAttribute34"/>
    <w:rPr>
      <w:rFonts w:ascii="Times New Roman" w:eastAsia="Times New Roman"/>
      <w:sz w:val="24"/>
      <w:shd w:val="clear" w:color="auto" w:fill="FFFF00"/>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569">
      <w:bodyDiv w:val="1"/>
      <w:marLeft w:val="0"/>
      <w:marRight w:val="0"/>
      <w:marTop w:val="0"/>
      <w:marBottom w:val="0"/>
      <w:divBdr>
        <w:top w:val="none" w:sz="0" w:space="0" w:color="auto"/>
        <w:left w:val="none" w:sz="0" w:space="0" w:color="auto"/>
        <w:bottom w:val="none" w:sz="0" w:space="0" w:color="auto"/>
        <w:right w:val="none" w:sz="0" w:space="0" w:color="auto"/>
      </w:divBdr>
    </w:div>
    <w:div w:id="110325114">
      <w:bodyDiv w:val="1"/>
      <w:marLeft w:val="0"/>
      <w:marRight w:val="0"/>
      <w:marTop w:val="0"/>
      <w:marBottom w:val="0"/>
      <w:divBdr>
        <w:top w:val="none" w:sz="0" w:space="0" w:color="auto"/>
        <w:left w:val="none" w:sz="0" w:space="0" w:color="auto"/>
        <w:bottom w:val="none" w:sz="0" w:space="0" w:color="auto"/>
        <w:right w:val="none" w:sz="0" w:space="0" w:color="auto"/>
      </w:divBdr>
    </w:div>
    <w:div w:id="390230370">
      <w:bodyDiv w:val="1"/>
      <w:marLeft w:val="0"/>
      <w:marRight w:val="0"/>
      <w:marTop w:val="0"/>
      <w:marBottom w:val="0"/>
      <w:divBdr>
        <w:top w:val="none" w:sz="0" w:space="0" w:color="auto"/>
        <w:left w:val="none" w:sz="0" w:space="0" w:color="auto"/>
        <w:bottom w:val="none" w:sz="0" w:space="0" w:color="auto"/>
        <w:right w:val="none" w:sz="0" w:space="0" w:color="auto"/>
      </w:divBdr>
    </w:div>
    <w:div w:id="407656186">
      <w:bodyDiv w:val="1"/>
      <w:marLeft w:val="0"/>
      <w:marRight w:val="0"/>
      <w:marTop w:val="0"/>
      <w:marBottom w:val="0"/>
      <w:divBdr>
        <w:top w:val="none" w:sz="0" w:space="0" w:color="auto"/>
        <w:left w:val="none" w:sz="0" w:space="0" w:color="auto"/>
        <w:bottom w:val="none" w:sz="0" w:space="0" w:color="auto"/>
        <w:right w:val="none" w:sz="0" w:space="0" w:color="auto"/>
      </w:divBdr>
    </w:div>
    <w:div w:id="491261271">
      <w:bodyDiv w:val="1"/>
      <w:marLeft w:val="0"/>
      <w:marRight w:val="0"/>
      <w:marTop w:val="0"/>
      <w:marBottom w:val="0"/>
      <w:divBdr>
        <w:top w:val="none" w:sz="0" w:space="0" w:color="auto"/>
        <w:left w:val="none" w:sz="0" w:space="0" w:color="auto"/>
        <w:bottom w:val="none" w:sz="0" w:space="0" w:color="auto"/>
        <w:right w:val="none" w:sz="0" w:space="0" w:color="auto"/>
      </w:divBdr>
    </w:div>
    <w:div w:id="494999252">
      <w:bodyDiv w:val="1"/>
      <w:marLeft w:val="0"/>
      <w:marRight w:val="0"/>
      <w:marTop w:val="0"/>
      <w:marBottom w:val="0"/>
      <w:divBdr>
        <w:top w:val="none" w:sz="0" w:space="0" w:color="auto"/>
        <w:left w:val="none" w:sz="0" w:space="0" w:color="auto"/>
        <w:bottom w:val="none" w:sz="0" w:space="0" w:color="auto"/>
        <w:right w:val="none" w:sz="0" w:space="0" w:color="auto"/>
      </w:divBdr>
    </w:div>
    <w:div w:id="668219950">
      <w:bodyDiv w:val="1"/>
      <w:marLeft w:val="0"/>
      <w:marRight w:val="0"/>
      <w:marTop w:val="0"/>
      <w:marBottom w:val="0"/>
      <w:divBdr>
        <w:top w:val="none" w:sz="0" w:space="0" w:color="auto"/>
        <w:left w:val="none" w:sz="0" w:space="0" w:color="auto"/>
        <w:bottom w:val="none" w:sz="0" w:space="0" w:color="auto"/>
        <w:right w:val="none" w:sz="0" w:space="0" w:color="auto"/>
      </w:divBdr>
    </w:div>
    <w:div w:id="790365795">
      <w:bodyDiv w:val="1"/>
      <w:marLeft w:val="0"/>
      <w:marRight w:val="0"/>
      <w:marTop w:val="0"/>
      <w:marBottom w:val="0"/>
      <w:divBdr>
        <w:top w:val="none" w:sz="0" w:space="0" w:color="auto"/>
        <w:left w:val="none" w:sz="0" w:space="0" w:color="auto"/>
        <w:bottom w:val="none" w:sz="0" w:space="0" w:color="auto"/>
        <w:right w:val="none" w:sz="0" w:space="0" w:color="auto"/>
      </w:divBdr>
    </w:div>
    <w:div w:id="849609354">
      <w:bodyDiv w:val="1"/>
      <w:marLeft w:val="0"/>
      <w:marRight w:val="0"/>
      <w:marTop w:val="0"/>
      <w:marBottom w:val="0"/>
      <w:divBdr>
        <w:top w:val="none" w:sz="0" w:space="0" w:color="auto"/>
        <w:left w:val="none" w:sz="0" w:space="0" w:color="auto"/>
        <w:bottom w:val="none" w:sz="0" w:space="0" w:color="auto"/>
        <w:right w:val="none" w:sz="0" w:space="0" w:color="auto"/>
      </w:divBdr>
    </w:div>
    <w:div w:id="1001547736">
      <w:bodyDiv w:val="1"/>
      <w:marLeft w:val="0"/>
      <w:marRight w:val="0"/>
      <w:marTop w:val="0"/>
      <w:marBottom w:val="0"/>
      <w:divBdr>
        <w:top w:val="none" w:sz="0" w:space="0" w:color="auto"/>
        <w:left w:val="none" w:sz="0" w:space="0" w:color="auto"/>
        <w:bottom w:val="none" w:sz="0" w:space="0" w:color="auto"/>
        <w:right w:val="none" w:sz="0" w:space="0" w:color="auto"/>
      </w:divBdr>
      <w:divsChild>
        <w:div w:id="168755885">
          <w:marLeft w:val="0"/>
          <w:marRight w:val="0"/>
          <w:marTop w:val="0"/>
          <w:marBottom w:val="0"/>
          <w:divBdr>
            <w:top w:val="none" w:sz="0" w:space="0" w:color="auto"/>
            <w:left w:val="none" w:sz="0" w:space="0" w:color="auto"/>
            <w:bottom w:val="none" w:sz="0" w:space="0" w:color="auto"/>
            <w:right w:val="none" w:sz="0" w:space="0" w:color="auto"/>
          </w:divBdr>
          <w:divsChild>
            <w:div w:id="5059450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67414687">
      <w:bodyDiv w:val="1"/>
      <w:marLeft w:val="0"/>
      <w:marRight w:val="0"/>
      <w:marTop w:val="0"/>
      <w:marBottom w:val="0"/>
      <w:divBdr>
        <w:top w:val="none" w:sz="0" w:space="0" w:color="auto"/>
        <w:left w:val="none" w:sz="0" w:space="0" w:color="auto"/>
        <w:bottom w:val="none" w:sz="0" w:space="0" w:color="auto"/>
        <w:right w:val="none" w:sz="0" w:space="0" w:color="auto"/>
      </w:divBdr>
    </w:div>
    <w:div w:id="1096443755">
      <w:bodyDiv w:val="1"/>
      <w:marLeft w:val="0"/>
      <w:marRight w:val="0"/>
      <w:marTop w:val="0"/>
      <w:marBottom w:val="0"/>
      <w:divBdr>
        <w:top w:val="none" w:sz="0" w:space="0" w:color="auto"/>
        <w:left w:val="none" w:sz="0" w:space="0" w:color="auto"/>
        <w:bottom w:val="none" w:sz="0" w:space="0" w:color="auto"/>
        <w:right w:val="none" w:sz="0" w:space="0" w:color="auto"/>
      </w:divBdr>
    </w:div>
    <w:div w:id="1107385033">
      <w:bodyDiv w:val="1"/>
      <w:marLeft w:val="0"/>
      <w:marRight w:val="0"/>
      <w:marTop w:val="0"/>
      <w:marBottom w:val="0"/>
      <w:divBdr>
        <w:top w:val="none" w:sz="0" w:space="0" w:color="auto"/>
        <w:left w:val="none" w:sz="0" w:space="0" w:color="auto"/>
        <w:bottom w:val="none" w:sz="0" w:space="0" w:color="auto"/>
        <w:right w:val="none" w:sz="0" w:space="0" w:color="auto"/>
      </w:divBdr>
    </w:div>
    <w:div w:id="1136292091">
      <w:bodyDiv w:val="1"/>
      <w:marLeft w:val="0"/>
      <w:marRight w:val="0"/>
      <w:marTop w:val="0"/>
      <w:marBottom w:val="0"/>
      <w:divBdr>
        <w:top w:val="none" w:sz="0" w:space="0" w:color="auto"/>
        <w:left w:val="none" w:sz="0" w:space="0" w:color="auto"/>
        <w:bottom w:val="none" w:sz="0" w:space="0" w:color="auto"/>
        <w:right w:val="none" w:sz="0" w:space="0" w:color="auto"/>
      </w:divBdr>
    </w:div>
    <w:div w:id="1259212823">
      <w:bodyDiv w:val="1"/>
      <w:marLeft w:val="0"/>
      <w:marRight w:val="0"/>
      <w:marTop w:val="0"/>
      <w:marBottom w:val="0"/>
      <w:divBdr>
        <w:top w:val="none" w:sz="0" w:space="0" w:color="auto"/>
        <w:left w:val="none" w:sz="0" w:space="0" w:color="auto"/>
        <w:bottom w:val="none" w:sz="0" w:space="0" w:color="auto"/>
        <w:right w:val="none" w:sz="0" w:space="0" w:color="auto"/>
      </w:divBdr>
    </w:div>
    <w:div w:id="1519274079">
      <w:bodyDiv w:val="1"/>
      <w:marLeft w:val="0"/>
      <w:marRight w:val="0"/>
      <w:marTop w:val="0"/>
      <w:marBottom w:val="0"/>
      <w:divBdr>
        <w:top w:val="none" w:sz="0" w:space="0" w:color="auto"/>
        <w:left w:val="none" w:sz="0" w:space="0" w:color="auto"/>
        <w:bottom w:val="none" w:sz="0" w:space="0" w:color="auto"/>
        <w:right w:val="none" w:sz="0" w:space="0" w:color="auto"/>
      </w:divBdr>
    </w:div>
    <w:div w:id="1651514739">
      <w:bodyDiv w:val="1"/>
      <w:marLeft w:val="0"/>
      <w:marRight w:val="0"/>
      <w:marTop w:val="0"/>
      <w:marBottom w:val="0"/>
      <w:divBdr>
        <w:top w:val="none" w:sz="0" w:space="0" w:color="auto"/>
        <w:left w:val="none" w:sz="0" w:space="0" w:color="auto"/>
        <w:bottom w:val="none" w:sz="0" w:space="0" w:color="auto"/>
        <w:right w:val="none" w:sz="0" w:space="0" w:color="auto"/>
      </w:divBdr>
    </w:div>
    <w:div w:id="1706296435">
      <w:bodyDiv w:val="1"/>
      <w:marLeft w:val="0"/>
      <w:marRight w:val="0"/>
      <w:marTop w:val="0"/>
      <w:marBottom w:val="0"/>
      <w:divBdr>
        <w:top w:val="none" w:sz="0" w:space="0" w:color="auto"/>
        <w:left w:val="none" w:sz="0" w:space="0" w:color="auto"/>
        <w:bottom w:val="none" w:sz="0" w:space="0" w:color="auto"/>
        <w:right w:val="none" w:sz="0" w:space="0" w:color="auto"/>
      </w:divBdr>
    </w:div>
    <w:div w:id="1725325090">
      <w:bodyDiv w:val="1"/>
      <w:marLeft w:val="0"/>
      <w:marRight w:val="0"/>
      <w:marTop w:val="0"/>
      <w:marBottom w:val="0"/>
      <w:divBdr>
        <w:top w:val="none" w:sz="0" w:space="0" w:color="auto"/>
        <w:left w:val="none" w:sz="0" w:space="0" w:color="auto"/>
        <w:bottom w:val="none" w:sz="0" w:space="0" w:color="auto"/>
        <w:right w:val="none" w:sz="0" w:space="0" w:color="auto"/>
      </w:divBdr>
    </w:div>
    <w:div w:id="1822387644">
      <w:bodyDiv w:val="1"/>
      <w:marLeft w:val="0"/>
      <w:marRight w:val="0"/>
      <w:marTop w:val="0"/>
      <w:marBottom w:val="0"/>
      <w:divBdr>
        <w:top w:val="none" w:sz="0" w:space="0" w:color="auto"/>
        <w:left w:val="none" w:sz="0" w:space="0" w:color="auto"/>
        <w:bottom w:val="none" w:sz="0" w:space="0" w:color="auto"/>
        <w:right w:val="none" w:sz="0" w:space="0" w:color="auto"/>
      </w:divBdr>
    </w:div>
    <w:div w:id="1905066684">
      <w:bodyDiv w:val="1"/>
      <w:marLeft w:val="0"/>
      <w:marRight w:val="0"/>
      <w:marTop w:val="0"/>
      <w:marBottom w:val="0"/>
      <w:divBdr>
        <w:top w:val="none" w:sz="0" w:space="0" w:color="auto"/>
        <w:left w:val="none" w:sz="0" w:space="0" w:color="auto"/>
        <w:bottom w:val="none" w:sz="0" w:space="0" w:color="auto"/>
        <w:right w:val="none" w:sz="0" w:space="0" w:color="auto"/>
      </w:divBdr>
    </w:div>
    <w:div w:id="2055346031">
      <w:bodyDiv w:val="1"/>
      <w:marLeft w:val="0"/>
      <w:marRight w:val="0"/>
      <w:marTop w:val="0"/>
      <w:marBottom w:val="0"/>
      <w:divBdr>
        <w:top w:val="none" w:sz="0" w:space="0" w:color="auto"/>
        <w:left w:val="none" w:sz="0" w:space="0" w:color="auto"/>
        <w:bottom w:val="none" w:sz="0" w:space="0" w:color="auto"/>
        <w:right w:val="none" w:sz="0" w:space="0" w:color="auto"/>
      </w:divBdr>
    </w:div>
    <w:div w:id="20891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agenda/en/news/contributions-and-preliminary-trends-public-consultation-egovernment-action-plan-2016-2020" TargetMode="External"/><Relationship Id="rId2" Type="http://schemas.openxmlformats.org/officeDocument/2006/relationships/hyperlink" Target="https://ec.europa.eu/digital-agenda/en/news/mid-term-evaluation-e-government-action-plan-2011-2015-implementation-smart-2012-006020" TargetMode="External"/><Relationship Id="rId1" Type="http://schemas.openxmlformats.org/officeDocument/2006/relationships/hyperlink" Target="https://ec.europa.eu/digital-agenda/en/news/mid-term-evaluation-e-government-action-plan-2011-2015-implementation-smart-2012-006020" TargetMode="External"/><Relationship Id="rId6" Type="http://schemas.openxmlformats.org/officeDocument/2006/relationships/hyperlink" Target="http://eur-lex.europa.eu/LexUriServ/LexUriServ.do?uri=OJ:L:2007:108:0001:0014:en:PDF" TargetMode="External"/><Relationship Id="rId5" Type="http://schemas.openxmlformats.org/officeDocument/2006/relationships/hyperlink" Target="http://data.europa.e/europeandataportal" TargetMode="External"/><Relationship Id="rId4" Type="http://schemas.openxmlformats.org/officeDocument/2006/relationships/hyperlink" Target="http://open-dat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AD510-536E-4A0C-9F16-76DC6A54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3819</Words>
  <Characters>24192</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26</cp:revision>
  <cp:lastPrinted>2016-04-01T13:54:00Z</cp:lastPrinted>
  <dcterms:created xsi:type="dcterms:W3CDTF">2016-04-06T13:08:00Z</dcterms:created>
  <dcterms:modified xsi:type="dcterms:W3CDTF">2016-04-15T09:41:00Z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Offisync_ServerID">
    <vt:lpwstr>0d3b22a6-6203-4efc-8e8e-b5279256493b</vt:lpwstr>
  </property>
  <property fmtid="{D5CDD505-2E9C-101B-9397-08002B2CF9AE}" pid="6" name="Offisync_ProviderInitializationData">
    <vt:lpwstr>https://connected.cnect.cec.eu.int/</vt:lpwstr>
  </property>
  <property fmtid="{D5CDD505-2E9C-101B-9397-08002B2CF9AE}" pid="7" name="Offisync_UpdateToken">
    <vt:lpwstr>1</vt:lpwstr>
  </property>
  <property fmtid="{D5CDD505-2E9C-101B-9397-08002B2CF9AE}" pid="8" name="Jive_PrevVersionNumber">
    <vt:lpwstr>-1</vt:lpwstr>
  </property>
  <property fmtid="{D5CDD505-2E9C-101B-9397-08002B2CF9AE}" pid="9" name="Jive_LatestUserAccountName">
    <vt:lpwstr>jungeje</vt:lpwstr>
  </property>
  <property fmtid="{D5CDD505-2E9C-101B-9397-08002B2CF9AE}" pid="10" name="Jive_LatestFileFullName">
    <vt:lpwstr>716c2c9198d57e7c467570f733f51549</vt:lpwstr>
  </property>
  <property fmtid="{D5CDD505-2E9C-101B-9397-08002B2CF9AE}" pid="11" name="Jive_ModifiedButNotPublished">
    <vt:lpwstr>True</vt:lpwstr>
  </property>
  <property fmtid="{D5CDD505-2E9C-101B-9397-08002B2CF9AE}" pid="12" name="Offisync_UniqueId">
    <vt:lpwstr>78991</vt:lpwstr>
  </property>
  <property fmtid="{D5CDD505-2E9C-101B-9397-08002B2CF9AE}" pid="13" name="DocStatus">
    <vt:lpwstr>Green</vt:lpwstr>
  </property>
  <property name="OP_sanitized" fmtid="{D5CDD505-2E9C-101B-9397-08002B2CF9AE}" pid="14">
    <vt:lpwstr>True</vt:lpwstr>
  </property>
</Properties>
</file>