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A9F" w:rsidRDefault="00376A9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EF31F91187E4146968B4B4C75C5FB27" style="width:446.25pt;height:307.5pt">
            <v:imagedata r:id="rId8" o:title=""/>
          </v:shape>
        </w:pict>
      </w:r>
    </w:p>
    <w:bookmarkEnd w:id="0"/>
    <w:p w:rsidR="00376A9F" w:rsidRDefault="00376A9F">
      <w:pPr>
        <w:rPr>
          <w:noProof/>
        </w:rPr>
        <w:sectPr w:rsidR="00376A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26"/>
        </w:sectPr>
      </w:pPr>
    </w:p>
    <w:p w:rsidR="00376A9F" w:rsidRDefault="00376A9F">
      <w:pPr>
        <w:pStyle w:val="Heading1"/>
        <w:rPr>
          <w:noProof/>
        </w:rPr>
      </w:pPr>
      <w:r>
        <w:rPr>
          <w:noProof/>
        </w:rPr>
        <w:t>Uvod</w:t>
      </w:r>
    </w:p>
    <w:p w:rsidR="00376A9F" w:rsidRDefault="00376A9F">
      <w:pPr>
        <w:pStyle w:val="Text1"/>
        <w:rPr>
          <w:noProof/>
        </w:rPr>
      </w:pPr>
      <w:r>
        <w:rPr>
          <w:noProof/>
        </w:rPr>
        <w:t>Kodeks ravnanja evropske statistike</w:t>
      </w:r>
      <w:r>
        <w:rPr>
          <w:rStyle w:val="FootnoteReference"/>
          <w:noProof/>
        </w:rPr>
        <w:footnoteReference w:id="1"/>
      </w:r>
      <w:r>
        <w:rPr>
          <w:noProof/>
        </w:rPr>
        <w:t xml:space="preserve"> je odobril Odbor za statistični program v letu 2005, v letu 2011 pa ga je spremenil Odbor za evropski statistični sistem (OESS) po sprejetju Uredbe (ES) št. 223/2009 Evropskega parlamenta in Sveta o evropski statistiki</w:t>
      </w:r>
      <w:r>
        <w:rPr>
          <w:rStyle w:val="FootnoteReference"/>
          <w:noProof/>
        </w:rPr>
        <w:footnoteReference w:id="2"/>
      </w:r>
      <w:r>
        <w:rPr>
          <w:noProof/>
        </w:rPr>
        <w:t>.</w:t>
      </w:r>
    </w:p>
    <w:p w:rsidR="00376A9F" w:rsidRDefault="00376A9F">
      <w:pPr>
        <w:pStyle w:val="Text1"/>
        <w:rPr>
          <w:noProof/>
        </w:rPr>
      </w:pPr>
      <w:r>
        <w:rPr>
          <w:noProof/>
        </w:rPr>
        <w:t>Samoocenjevanje na podlagi načel Kodeksa se je začelo leta 2005. Temu so v obdobju 2006–2008 sledili medsebojni strokovni pregledi v državah članicah, Evropskem združenju za prosto trgovino (EFTA) in Eurostatu. Ti pregledi so ocenjevali institucionalno okolje in širjenje praks statističnih uradov (načela 1 do 6 in 15)</w:t>
      </w:r>
      <w:r>
        <w:rPr>
          <w:rStyle w:val="FootnoteReference"/>
          <w:noProof/>
          <w:sz w:val="23"/>
        </w:rPr>
        <w:footnoteReference w:id="3"/>
      </w:r>
      <w:r>
        <w:rPr>
          <w:noProof/>
          <w:sz w:val="23"/>
        </w:rPr>
        <w:t xml:space="preserve">. </w:t>
      </w:r>
      <w:r>
        <w:rPr>
          <w:noProof/>
        </w:rPr>
        <w:t xml:space="preserve">Poročilo Komisije </w:t>
      </w:r>
      <w:r>
        <w:rPr>
          <w:noProof/>
          <w:sz w:val="23"/>
        </w:rPr>
        <w:t>Evropskemu parlamentu in Svetu</w:t>
      </w:r>
      <w:r>
        <w:rPr>
          <w:rStyle w:val="FootnoteReference"/>
          <w:noProof/>
          <w:sz w:val="23"/>
        </w:rPr>
        <w:footnoteReference w:id="4"/>
      </w:r>
      <w:r>
        <w:rPr>
          <w:noProof/>
          <w:sz w:val="23"/>
        </w:rPr>
        <w:t xml:space="preserve"> </w:t>
      </w:r>
      <w:r>
        <w:rPr>
          <w:noProof/>
        </w:rPr>
        <w:t xml:space="preserve"> iz leta 2008 je ugotovilo, da „popolna skladnost s Kodeksom za skoraj vse nacionalne statistične urade in Eurostat ostaja izziv“ kljub temu, da „splošne visoke stopnje skladnosti dopolnjuje dinamičen napredek glede izboljšav“. Poročilo je predvidevalo nov krog medsebojnih strokovnih pregledov „[...] v naslednjih petih letih, odvisno od nasveta Evropskega svetovalnega organa za upravljanje statističnih podatkov, zlasti o področju uporabe, ter ob upoštevanju stroškov in koristi“. Posebno poročilo št. 12 // 2012</w:t>
      </w:r>
      <w:r>
        <w:rPr>
          <w:rStyle w:val="FootnoteReference"/>
          <w:noProof/>
        </w:rPr>
        <w:footnoteReference w:id="5"/>
      </w:r>
      <w:r>
        <w:rPr>
          <w:noProof/>
        </w:rPr>
        <w:t xml:space="preserve"> Evropskega računskega sodišča o izboljšavah postopka priprave zanesljive in verodostojne evropske statistike je priporočalo tudi nov krog medsebojnih strokovnih pregledov.</w:t>
      </w:r>
    </w:p>
    <w:p w:rsidR="00376A9F" w:rsidRDefault="00376A9F">
      <w:pPr>
        <w:pStyle w:val="Text1"/>
        <w:rPr>
          <w:noProof/>
        </w:rPr>
      </w:pPr>
      <w:r>
        <w:rPr>
          <w:noProof/>
        </w:rPr>
        <w:t>Posledično se je nov krog medsebojnih strokovnih pregledov v 28 državah članicah, štirih državah Efte in Eurostatu začel izvajati konec leta 2013, torej v naslednjih petih letih, kot je predvideno v navedenem poročilu Komisije Evropskemu parlamentu in Svetu. Njihov namen je bil zlasti izboljšati učinkovitost in verodostojnost evropskega statističnega sistema (ESS), da bi povečali njegovo zmogljivost priprave evropske statistike, ter deležnikom zagotoviti kakovost evropske statistike in verodostojnost ESS, pripravljavcem statistike pa omogočiti vpogled v dosedanji napredek.</w:t>
      </w:r>
    </w:p>
    <w:p w:rsidR="00376A9F" w:rsidRDefault="00376A9F">
      <w:pPr>
        <w:pStyle w:val="Text1"/>
        <w:rPr>
          <w:noProof/>
        </w:rPr>
      </w:pPr>
      <w:r>
        <w:rPr>
          <w:noProof/>
        </w:rPr>
        <w:t>Ta krog medsebojnih strokovnih pregledov se je v več pogledih razlikoval od prejšnjega. Prvič, vseh 15 načel Kodeksa in usklajevalna vloga nacionalnih statističnih uradov v okviru njihovih statističnih sistemov so bili pregledani, podobno kot pri reviziji. Drugič, pregledi so se osredotočili na vprašanja, pri katerih je bil potreben nadaljnji napredek. Tretjič, poleg številnih nacionalnih statističnih uradov so bili ocenjeni številni drugi nacionalni organi, pristojni za pripravo evropske statistike, vendar ne v enakem obsegu kot sami nacionalni statistični uradi. Četrtič, ocene so izvedli neodvisni strokovni ocenjevalci, pri čemer je Eurostat pregledoval Evropski svetovalni organ za upravljanje statističnih podatkov. Poročila</w:t>
      </w:r>
      <w:r>
        <w:rPr>
          <w:rStyle w:val="FootnoteReference"/>
          <w:noProof/>
        </w:rPr>
        <w:footnoteReference w:id="6"/>
      </w:r>
      <w:r>
        <w:rPr>
          <w:noProof/>
        </w:rPr>
        <w:t xml:space="preserve"> predstavljajo mnenja in ugotovitve strokovnih ocenjevalcev ter oblikujejo priporočila za ukrepanje. Zadevne države in Eurostat so na ta priporočila odgovorili in oblikovali ukrepe za izboljšanje, ki jih je treba ustrezno izvajati.</w:t>
      </w:r>
    </w:p>
    <w:p w:rsidR="00376A9F" w:rsidRDefault="00376A9F">
      <w:pPr>
        <w:pStyle w:val="Text1"/>
        <w:spacing w:after="120"/>
        <w:rPr>
          <w:noProof/>
        </w:rPr>
      </w:pPr>
    </w:p>
    <w:p w:rsidR="00376A9F" w:rsidRDefault="00376A9F">
      <w:pPr>
        <w:pStyle w:val="Heading1"/>
        <w:ind w:left="482" w:hanging="482"/>
        <w:rPr>
          <w:noProof/>
        </w:rPr>
      </w:pPr>
      <w:r>
        <w:rPr>
          <w:noProof/>
        </w:rPr>
        <w:t>Glavne ugotovitve in priporočila glede na izdajo</w:t>
      </w:r>
    </w:p>
    <w:p w:rsidR="00376A9F" w:rsidRDefault="00376A9F">
      <w:pPr>
        <w:pStyle w:val="Text1"/>
        <w:rPr>
          <w:b/>
          <w:noProof/>
        </w:rPr>
      </w:pPr>
      <w:r>
        <w:rPr>
          <w:b/>
          <w:noProof/>
        </w:rPr>
        <w:t>Povzetek prednosti in priporočila</w:t>
      </w:r>
    </w:p>
    <w:p w:rsidR="00376A9F" w:rsidRDefault="00376A9F">
      <w:pPr>
        <w:pStyle w:val="Text1"/>
        <w:rPr>
          <w:noProof/>
        </w:rPr>
      </w:pPr>
      <w:r>
        <w:rPr>
          <w:noProof/>
        </w:rPr>
        <w:t xml:space="preserve">Poročilo o medsebojnih strokovnih pregledih poudarja številne </w:t>
      </w:r>
      <w:r>
        <w:rPr>
          <w:b/>
          <w:noProof/>
        </w:rPr>
        <w:t>prednosti</w:t>
      </w:r>
      <w:r>
        <w:rPr>
          <w:noProof/>
        </w:rPr>
        <w:t>. Kot prednosti so se pojavili zlasti naslednji vidiki:</w:t>
      </w:r>
    </w:p>
    <w:p w:rsidR="00376A9F" w:rsidRDefault="00376A9F">
      <w:pPr>
        <w:pStyle w:val="Text1"/>
        <w:rPr>
          <w:noProof/>
        </w:rPr>
      </w:pPr>
      <w:r>
        <w:rPr>
          <w:noProof/>
        </w:rPr>
        <w:t xml:space="preserve">Poročila poudarjajo </w:t>
      </w:r>
      <w:r>
        <w:rPr>
          <w:b/>
          <w:noProof/>
        </w:rPr>
        <w:t>trdno pravno podlago</w:t>
      </w:r>
      <w:r>
        <w:rPr>
          <w:noProof/>
        </w:rPr>
        <w:t xml:space="preserve">, ki podpira splošno priznano in nesporno strokovno neodvisnost, nepristranskost in objektivnost statističnih organov. Tudi </w:t>
      </w:r>
      <w:r>
        <w:rPr>
          <w:b/>
          <w:noProof/>
        </w:rPr>
        <w:t>usklajevanje z drugimi nacionalnimi organi</w:t>
      </w:r>
      <w:r>
        <w:rPr>
          <w:noProof/>
        </w:rPr>
        <w:t xml:space="preserve"> in jasno pooblastilo za zbiranje podatkov veljata za prednost več nacionalnih statističnih uradov.</w:t>
      </w:r>
    </w:p>
    <w:p w:rsidR="00376A9F" w:rsidRDefault="00376A9F">
      <w:pPr>
        <w:pStyle w:val="Text1"/>
        <w:rPr>
          <w:noProof/>
        </w:rPr>
      </w:pPr>
      <w:r>
        <w:rPr>
          <w:noProof/>
        </w:rPr>
        <w:t xml:space="preserve">Dobro </w:t>
      </w:r>
      <w:r>
        <w:rPr>
          <w:b/>
          <w:noProof/>
        </w:rPr>
        <w:t>usposobljeni, motivirani in predani uslužbenci</w:t>
      </w:r>
      <w:r>
        <w:rPr>
          <w:noProof/>
        </w:rPr>
        <w:t xml:space="preserve"> prispevajo k visoki stopnji verodostojnosti in zaupanja v nacionalnih statističnih uradih. Kljub temu nadaljnje zmanjševanje človeških in finančnih virov skupaj z dodatnimi ukrepi glede stroškovne učinkovitosti ogrožajo njihovo sposobnost za spopadanje s prihodnjimi izzivi.</w:t>
      </w:r>
    </w:p>
    <w:p w:rsidR="00376A9F" w:rsidRDefault="00376A9F">
      <w:pPr>
        <w:pStyle w:val="Text1"/>
        <w:rPr>
          <w:noProof/>
        </w:rPr>
      </w:pPr>
      <w:r>
        <w:rPr>
          <w:noProof/>
        </w:rPr>
        <w:t xml:space="preserve">Prednosti so bile ugotovljene pri </w:t>
      </w:r>
      <w:r>
        <w:rPr>
          <w:b/>
          <w:noProof/>
        </w:rPr>
        <w:t>sistemih, orodjih, metodah</w:t>
      </w:r>
      <w:r>
        <w:rPr>
          <w:noProof/>
        </w:rPr>
        <w:t xml:space="preserve"> </w:t>
      </w:r>
      <w:r>
        <w:rPr>
          <w:b/>
          <w:noProof/>
        </w:rPr>
        <w:t>in stikih z uporabniki</w:t>
      </w:r>
      <w:r>
        <w:rPr>
          <w:noProof/>
        </w:rPr>
        <w:t>. Kljub temu poročila kažejo na potrebo po izboljšanju administrativnih in operativnih struktur, na primer z uvedbo revizij kakovosti in posebnih skupin za kakovost ali vodij kakovosti.</w:t>
      </w:r>
    </w:p>
    <w:p w:rsidR="00376A9F" w:rsidRDefault="00376A9F">
      <w:pPr>
        <w:pStyle w:val="Text1"/>
        <w:rPr>
          <w:noProof/>
        </w:rPr>
      </w:pPr>
      <w:r>
        <w:rPr>
          <w:noProof/>
        </w:rPr>
        <w:t xml:space="preserve">Prednosti nacionalnih statističnih uradov so tudi v jasnih pravnih podlagah za pridobitev </w:t>
      </w:r>
      <w:r>
        <w:rPr>
          <w:b/>
          <w:noProof/>
        </w:rPr>
        <w:t>dostopa do administrativnih podatkov</w:t>
      </w:r>
      <w:r>
        <w:rPr>
          <w:noProof/>
        </w:rPr>
        <w:t xml:space="preserve"> in za povečanje sodelovanja z lastniki administrativnih podatkov. Vendar pa poročila priporočajo okrepljeno vključevanje nacionalnih statističnih uradov v oblikovanje ter razvoj metod in orodij za administrativne podatkovne zbirke.</w:t>
      </w:r>
    </w:p>
    <w:p w:rsidR="00376A9F" w:rsidRDefault="00376A9F">
      <w:pPr>
        <w:pStyle w:val="Text1"/>
        <w:rPr>
          <w:noProof/>
          <w:szCs w:val="24"/>
        </w:rPr>
      </w:pPr>
      <w:r>
        <w:rPr>
          <w:noProof/>
        </w:rPr>
        <w:t xml:space="preserve">Znaten napredek je bil dosežen pri omejevanju števila in urejanju privilegiranega dostopa (prepoved objave) </w:t>
      </w:r>
      <w:r>
        <w:rPr>
          <w:b/>
          <w:noProof/>
        </w:rPr>
        <w:t>statističnih predhodnih objav</w:t>
      </w:r>
      <w:r>
        <w:rPr>
          <w:noProof/>
        </w:rPr>
        <w:t>. Razpoložljivost sodobnih orodij, tehnik vizualizacije ter podatkov na spletu in v družbenih medijih so dodatne prednosti na področju izkazovanja.</w:t>
      </w:r>
    </w:p>
    <w:p w:rsidR="00376A9F" w:rsidRDefault="00376A9F">
      <w:pPr>
        <w:pStyle w:val="Text1"/>
        <w:rPr>
          <w:b/>
          <w:noProof/>
        </w:rPr>
      </w:pPr>
      <w:r>
        <w:rPr>
          <w:noProof/>
        </w:rPr>
        <w:t>Poleg tega poročila omenjajo pobude, kot so notranji pregledi kakovosti, obvezne tehnične specifikacije za predložitev podatkov, celostni sistemi upravljanja odnosov s strankami, barometri obremenitve poročanja in omrežja za izmenjavo izkušenj. Dejavna udeležba članov ESS na mednarodnem prizorišču za statistiko se šteje za prednost za celoten sistem.</w:t>
      </w:r>
    </w:p>
    <w:p w:rsidR="00376A9F" w:rsidRDefault="00376A9F">
      <w:pPr>
        <w:pStyle w:val="Text1"/>
        <w:rPr>
          <w:noProof/>
        </w:rPr>
      </w:pPr>
      <w:r>
        <w:rPr>
          <w:noProof/>
        </w:rPr>
        <w:t xml:space="preserve">Medsebojni strokovni pregledi so privedli do 707 </w:t>
      </w:r>
      <w:r>
        <w:rPr>
          <w:b/>
          <w:noProof/>
        </w:rPr>
        <w:t>priporočil</w:t>
      </w:r>
      <w:r>
        <w:rPr>
          <w:noProof/>
        </w:rPr>
        <w:t>, v povprečju 21 na državo/Eurostat. Tabela 1 v nadaljevanju vsebuje pregled priporočil, ki zahtevajo ukrepe za doseganje skladnosti ali, če je bila skladnost že dosežena, za izboljšanje izvajanja.</w:t>
      </w:r>
    </w:p>
    <w:p w:rsidR="00376A9F" w:rsidRDefault="00376A9F">
      <w:pPr>
        <w:pStyle w:val="Text1"/>
        <w:rPr>
          <w:noProof/>
        </w:rPr>
      </w:pPr>
      <w:r>
        <w:rPr>
          <w:noProof/>
        </w:rPr>
        <w:t>Čeprav primerjave s prejšnjim krogom medsebojnih strokovnih pregledov zaradi razlik v področju uporabe in uporabljeni metodologiji niso primerne, je treba poudariti, da se samo 9 % (65) priporočil nanaša na neskladnost s Kodeksom. Večina se nanaša na nepristranskost in izkazovanje (22) ter strokovno neodvisnost (20). Te številke je treba razlagati previdno, ker ta priporočila zajemajo široko paleto vprašanj različne pomembnosti, od sprememb statistične zakonodaje do namestitve logotipa na spletno mesto ali v publikacije.</w:t>
      </w:r>
    </w:p>
    <w:tbl>
      <w:tblPr>
        <w:tblW w:w="822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134"/>
        <w:gridCol w:w="1276"/>
        <w:gridCol w:w="1276"/>
      </w:tblGrid>
      <w:tr w:rsidR="00376A9F">
        <w:trPr>
          <w:trHeight w:val="602"/>
        </w:trPr>
        <w:tc>
          <w:tcPr>
            <w:tcW w:w="8222" w:type="dxa"/>
            <w:gridSpan w:val="4"/>
            <w:tcBorders>
              <w:top w:val="nil"/>
              <w:left w:val="nil"/>
              <w:right w:val="nil"/>
            </w:tcBorders>
            <w:vAlign w:val="bottom"/>
          </w:tcPr>
          <w:p w:rsidR="00376A9F" w:rsidRDefault="00376A9F">
            <w:pPr>
              <w:spacing w:after="0"/>
              <w:jc w:val="left"/>
              <w:rPr>
                <w:b/>
                <w:noProof/>
                <w:sz w:val="20"/>
              </w:rPr>
            </w:pPr>
            <w:r>
              <w:rPr>
                <w:b/>
                <w:noProof/>
                <w:sz w:val="22"/>
              </w:rPr>
              <w:t>Tabela 1: Priporočila medsebojnih strokovnih pregledov po področjih</w:t>
            </w:r>
          </w:p>
        </w:tc>
      </w:tr>
      <w:tr w:rsidR="00376A9F">
        <w:trPr>
          <w:trHeight w:val="602"/>
        </w:trPr>
        <w:tc>
          <w:tcPr>
            <w:tcW w:w="4536" w:type="dxa"/>
            <w:vAlign w:val="bottom"/>
          </w:tcPr>
          <w:p w:rsidR="00376A9F" w:rsidRDefault="00376A9F">
            <w:pPr>
              <w:spacing w:after="0"/>
              <w:jc w:val="center"/>
              <w:rPr>
                <w:b/>
                <w:noProof/>
                <w:sz w:val="20"/>
              </w:rPr>
            </w:pPr>
            <w:r>
              <w:rPr>
                <w:b/>
                <w:noProof/>
                <w:sz w:val="20"/>
              </w:rPr>
              <w:t>Področje</w:t>
            </w:r>
          </w:p>
        </w:tc>
        <w:tc>
          <w:tcPr>
            <w:tcW w:w="1134" w:type="dxa"/>
            <w:vAlign w:val="bottom"/>
          </w:tcPr>
          <w:p w:rsidR="00376A9F" w:rsidRDefault="00376A9F">
            <w:pPr>
              <w:spacing w:after="0"/>
              <w:jc w:val="center"/>
              <w:rPr>
                <w:b/>
                <w:noProof/>
                <w:sz w:val="20"/>
              </w:rPr>
            </w:pPr>
            <w:r>
              <w:rPr>
                <w:b/>
                <w:noProof/>
                <w:sz w:val="20"/>
              </w:rPr>
              <w:t>Skupno število priporočil</w:t>
            </w:r>
          </w:p>
        </w:tc>
        <w:tc>
          <w:tcPr>
            <w:tcW w:w="1276" w:type="dxa"/>
            <w:vAlign w:val="bottom"/>
          </w:tcPr>
          <w:p w:rsidR="00376A9F" w:rsidRDefault="00376A9F">
            <w:pPr>
              <w:spacing w:after="0"/>
              <w:jc w:val="center"/>
              <w:rPr>
                <w:rFonts w:ascii="Calibri" w:hAnsi="Calibri"/>
                <w:b/>
                <w:noProof/>
                <w:sz w:val="20"/>
                <w:szCs w:val="22"/>
              </w:rPr>
            </w:pPr>
            <w:r>
              <w:rPr>
                <w:b/>
                <w:noProof/>
                <w:sz w:val="20"/>
              </w:rPr>
              <w:t>Izboljšanje izvajanja Kodeksa</w:t>
            </w:r>
          </w:p>
        </w:tc>
        <w:tc>
          <w:tcPr>
            <w:tcW w:w="1276" w:type="dxa"/>
            <w:vAlign w:val="bottom"/>
          </w:tcPr>
          <w:p w:rsidR="00376A9F" w:rsidRDefault="00376A9F">
            <w:pPr>
              <w:spacing w:after="0"/>
              <w:jc w:val="center"/>
              <w:rPr>
                <w:b/>
                <w:noProof/>
                <w:sz w:val="20"/>
              </w:rPr>
            </w:pPr>
            <w:r>
              <w:rPr>
                <w:b/>
                <w:noProof/>
                <w:sz w:val="20"/>
              </w:rPr>
              <w:t>Doseganje skladnosti s Kodeksom</w:t>
            </w:r>
          </w:p>
        </w:tc>
      </w:tr>
      <w:tr w:rsidR="00376A9F">
        <w:tc>
          <w:tcPr>
            <w:tcW w:w="4536" w:type="dxa"/>
          </w:tcPr>
          <w:p w:rsidR="00376A9F" w:rsidRDefault="00376A9F">
            <w:pPr>
              <w:spacing w:after="0"/>
              <w:jc w:val="left"/>
              <w:rPr>
                <w:b/>
                <w:bCs/>
                <w:noProof/>
                <w:color w:val="000000"/>
                <w:sz w:val="20"/>
              </w:rPr>
            </w:pPr>
            <w:r>
              <w:rPr>
                <w:b/>
                <w:noProof/>
                <w:color w:val="000000"/>
                <w:sz w:val="20"/>
              </w:rPr>
              <w:t>Skupaj</w:t>
            </w:r>
          </w:p>
        </w:tc>
        <w:tc>
          <w:tcPr>
            <w:tcW w:w="1134" w:type="dxa"/>
          </w:tcPr>
          <w:p w:rsidR="00376A9F" w:rsidRDefault="00376A9F">
            <w:pPr>
              <w:spacing w:after="0"/>
              <w:jc w:val="right"/>
              <w:rPr>
                <w:b/>
                <w:noProof/>
                <w:sz w:val="20"/>
              </w:rPr>
            </w:pPr>
            <w:r>
              <w:rPr>
                <w:b/>
                <w:noProof/>
                <w:sz w:val="20"/>
              </w:rPr>
              <w:t>707</w:t>
            </w:r>
          </w:p>
        </w:tc>
        <w:tc>
          <w:tcPr>
            <w:tcW w:w="1276" w:type="dxa"/>
          </w:tcPr>
          <w:p w:rsidR="00376A9F" w:rsidRDefault="00376A9F">
            <w:pPr>
              <w:spacing w:after="0"/>
              <w:jc w:val="right"/>
              <w:rPr>
                <w:rFonts w:ascii="Calibri" w:hAnsi="Calibri"/>
                <w:b/>
                <w:noProof/>
                <w:sz w:val="20"/>
                <w:szCs w:val="22"/>
              </w:rPr>
            </w:pPr>
            <w:r>
              <w:rPr>
                <w:b/>
                <w:noProof/>
                <w:sz w:val="20"/>
              </w:rPr>
              <w:t>642</w:t>
            </w:r>
          </w:p>
        </w:tc>
        <w:tc>
          <w:tcPr>
            <w:tcW w:w="1276" w:type="dxa"/>
          </w:tcPr>
          <w:p w:rsidR="00376A9F" w:rsidRDefault="00376A9F">
            <w:pPr>
              <w:spacing w:after="0"/>
              <w:jc w:val="right"/>
              <w:rPr>
                <w:rFonts w:ascii="Calibri" w:hAnsi="Calibri"/>
                <w:b/>
                <w:noProof/>
                <w:sz w:val="20"/>
                <w:szCs w:val="22"/>
              </w:rPr>
            </w:pPr>
            <w:r>
              <w:rPr>
                <w:b/>
                <w:noProof/>
                <w:sz w:val="20"/>
              </w:rPr>
              <w:t>65</w:t>
            </w:r>
          </w:p>
        </w:tc>
      </w:tr>
      <w:tr w:rsidR="00376A9F">
        <w:tc>
          <w:tcPr>
            <w:tcW w:w="4536" w:type="dxa"/>
          </w:tcPr>
          <w:p w:rsidR="00376A9F" w:rsidRDefault="00376A9F">
            <w:pPr>
              <w:spacing w:after="0"/>
              <w:jc w:val="left"/>
              <w:rPr>
                <w:noProof/>
                <w:sz w:val="20"/>
              </w:rPr>
            </w:pPr>
            <w:r>
              <w:rPr>
                <w:b/>
                <w:noProof/>
                <w:color w:val="000000"/>
                <w:sz w:val="20"/>
              </w:rPr>
              <w:t>1 Upravljanje in pravni vidiki; usklajevanje</w:t>
            </w:r>
          </w:p>
        </w:tc>
        <w:tc>
          <w:tcPr>
            <w:tcW w:w="1134" w:type="dxa"/>
          </w:tcPr>
          <w:p w:rsidR="00376A9F" w:rsidRDefault="00376A9F">
            <w:pPr>
              <w:spacing w:after="0"/>
              <w:jc w:val="right"/>
              <w:rPr>
                <w:b/>
                <w:noProof/>
                <w:sz w:val="20"/>
              </w:rPr>
            </w:pPr>
            <w:r>
              <w:rPr>
                <w:b/>
                <w:noProof/>
                <w:sz w:val="20"/>
              </w:rPr>
              <w:t>216</w:t>
            </w:r>
          </w:p>
        </w:tc>
        <w:tc>
          <w:tcPr>
            <w:tcW w:w="1276" w:type="dxa"/>
          </w:tcPr>
          <w:p w:rsidR="00376A9F" w:rsidRDefault="00376A9F">
            <w:pPr>
              <w:spacing w:after="0"/>
              <w:jc w:val="right"/>
              <w:rPr>
                <w:rFonts w:ascii="Calibri" w:hAnsi="Calibri"/>
                <w:b/>
                <w:noProof/>
                <w:sz w:val="20"/>
                <w:szCs w:val="22"/>
              </w:rPr>
            </w:pPr>
            <w:r>
              <w:rPr>
                <w:b/>
                <w:noProof/>
                <w:sz w:val="20"/>
              </w:rPr>
              <w:t>194</w:t>
            </w:r>
          </w:p>
        </w:tc>
        <w:tc>
          <w:tcPr>
            <w:tcW w:w="1276" w:type="dxa"/>
          </w:tcPr>
          <w:p w:rsidR="00376A9F" w:rsidRDefault="00376A9F">
            <w:pPr>
              <w:spacing w:after="0"/>
              <w:jc w:val="right"/>
              <w:rPr>
                <w:rFonts w:ascii="Calibri" w:hAnsi="Calibri"/>
                <w:b/>
                <w:noProof/>
                <w:sz w:val="20"/>
                <w:szCs w:val="22"/>
              </w:rPr>
            </w:pPr>
            <w:r>
              <w:rPr>
                <w:b/>
                <w:noProof/>
                <w:sz w:val="20"/>
              </w:rPr>
              <w:t>22</w:t>
            </w:r>
          </w:p>
        </w:tc>
      </w:tr>
      <w:tr w:rsidR="00376A9F">
        <w:tc>
          <w:tcPr>
            <w:tcW w:w="4536" w:type="dxa"/>
          </w:tcPr>
          <w:p w:rsidR="00376A9F" w:rsidRDefault="00376A9F">
            <w:pPr>
              <w:spacing w:after="0"/>
              <w:ind w:left="284"/>
              <w:jc w:val="left"/>
              <w:rPr>
                <w:noProof/>
                <w:sz w:val="20"/>
              </w:rPr>
            </w:pPr>
            <w:r>
              <w:rPr>
                <w:noProof/>
                <w:sz w:val="20"/>
              </w:rPr>
              <w:t>1.1 Upravljanje in pravni vidiki</w:t>
            </w:r>
          </w:p>
        </w:tc>
        <w:tc>
          <w:tcPr>
            <w:tcW w:w="1134" w:type="dxa"/>
          </w:tcPr>
          <w:p w:rsidR="00376A9F" w:rsidRDefault="00376A9F">
            <w:pPr>
              <w:spacing w:after="0"/>
              <w:jc w:val="right"/>
              <w:rPr>
                <w:noProof/>
                <w:sz w:val="20"/>
              </w:rPr>
            </w:pPr>
            <w:r>
              <w:rPr>
                <w:noProof/>
                <w:sz w:val="20"/>
              </w:rPr>
              <w:t>95</w:t>
            </w:r>
          </w:p>
        </w:tc>
        <w:tc>
          <w:tcPr>
            <w:tcW w:w="1276" w:type="dxa"/>
          </w:tcPr>
          <w:p w:rsidR="00376A9F" w:rsidRDefault="00376A9F">
            <w:pPr>
              <w:spacing w:after="0"/>
              <w:jc w:val="right"/>
              <w:rPr>
                <w:rFonts w:ascii="Calibri" w:hAnsi="Calibri"/>
                <w:noProof/>
                <w:sz w:val="20"/>
                <w:szCs w:val="22"/>
              </w:rPr>
            </w:pPr>
            <w:r>
              <w:rPr>
                <w:noProof/>
                <w:sz w:val="20"/>
              </w:rPr>
              <w:t>73</w:t>
            </w:r>
          </w:p>
        </w:tc>
        <w:tc>
          <w:tcPr>
            <w:tcW w:w="1276" w:type="dxa"/>
          </w:tcPr>
          <w:p w:rsidR="00376A9F" w:rsidRDefault="00376A9F">
            <w:pPr>
              <w:spacing w:after="0"/>
              <w:jc w:val="right"/>
              <w:rPr>
                <w:rFonts w:ascii="Calibri" w:hAnsi="Calibri"/>
                <w:noProof/>
                <w:sz w:val="20"/>
                <w:szCs w:val="22"/>
              </w:rPr>
            </w:pPr>
            <w:r>
              <w:rPr>
                <w:noProof/>
                <w:sz w:val="20"/>
              </w:rPr>
              <w:t>22</w:t>
            </w:r>
          </w:p>
        </w:tc>
      </w:tr>
      <w:tr w:rsidR="00376A9F">
        <w:tc>
          <w:tcPr>
            <w:tcW w:w="4536" w:type="dxa"/>
          </w:tcPr>
          <w:p w:rsidR="00376A9F" w:rsidRDefault="00376A9F">
            <w:pPr>
              <w:spacing w:after="0"/>
              <w:ind w:left="720"/>
              <w:jc w:val="left"/>
              <w:rPr>
                <w:i/>
                <w:noProof/>
                <w:sz w:val="20"/>
              </w:rPr>
            </w:pPr>
            <w:r>
              <w:rPr>
                <w:i/>
                <w:noProof/>
                <w:sz w:val="20"/>
              </w:rPr>
              <w:t>1.1.1 Strokovna neodvisnost</w:t>
            </w:r>
          </w:p>
        </w:tc>
        <w:tc>
          <w:tcPr>
            <w:tcW w:w="1134" w:type="dxa"/>
          </w:tcPr>
          <w:p w:rsidR="00376A9F" w:rsidRDefault="00376A9F">
            <w:pPr>
              <w:spacing w:after="0"/>
              <w:jc w:val="right"/>
              <w:rPr>
                <w:i/>
                <w:noProof/>
                <w:sz w:val="20"/>
              </w:rPr>
            </w:pPr>
            <w:r>
              <w:rPr>
                <w:i/>
                <w:noProof/>
                <w:sz w:val="20"/>
              </w:rPr>
              <w:t>88</w:t>
            </w:r>
          </w:p>
        </w:tc>
        <w:tc>
          <w:tcPr>
            <w:tcW w:w="1276" w:type="dxa"/>
          </w:tcPr>
          <w:p w:rsidR="00376A9F" w:rsidRDefault="00376A9F">
            <w:pPr>
              <w:spacing w:after="0"/>
              <w:jc w:val="right"/>
              <w:rPr>
                <w:rFonts w:ascii="Calibri" w:hAnsi="Calibri"/>
                <w:i/>
                <w:noProof/>
                <w:sz w:val="20"/>
                <w:szCs w:val="22"/>
              </w:rPr>
            </w:pPr>
            <w:r>
              <w:rPr>
                <w:i/>
                <w:noProof/>
                <w:sz w:val="20"/>
              </w:rPr>
              <w:t>68</w:t>
            </w:r>
          </w:p>
        </w:tc>
        <w:tc>
          <w:tcPr>
            <w:tcW w:w="1276" w:type="dxa"/>
          </w:tcPr>
          <w:p w:rsidR="00376A9F" w:rsidRDefault="00376A9F">
            <w:pPr>
              <w:spacing w:after="0"/>
              <w:jc w:val="right"/>
              <w:rPr>
                <w:rFonts w:ascii="Calibri" w:hAnsi="Calibri"/>
                <w:i/>
                <w:noProof/>
                <w:sz w:val="20"/>
                <w:szCs w:val="22"/>
              </w:rPr>
            </w:pPr>
            <w:r>
              <w:rPr>
                <w:i/>
                <w:noProof/>
                <w:sz w:val="20"/>
              </w:rPr>
              <w:t>20</w:t>
            </w:r>
          </w:p>
        </w:tc>
      </w:tr>
      <w:tr w:rsidR="00376A9F">
        <w:tc>
          <w:tcPr>
            <w:tcW w:w="4536" w:type="dxa"/>
          </w:tcPr>
          <w:p w:rsidR="00376A9F" w:rsidRDefault="00376A9F">
            <w:pPr>
              <w:spacing w:after="0"/>
              <w:ind w:left="720"/>
              <w:jc w:val="left"/>
              <w:rPr>
                <w:i/>
                <w:noProof/>
                <w:sz w:val="20"/>
              </w:rPr>
            </w:pPr>
            <w:r>
              <w:rPr>
                <w:i/>
                <w:noProof/>
                <w:sz w:val="20"/>
              </w:rPr>
              <w:t>1.1.2 Pooblastilo za zbiranje podatkov</w:t>
            </w:r>
          </w:p>
        </w:tc>
        <w:tc>
          <w:tcPr>
            <w:tcW w:w="1134" w:type="dxa"/>
          </w:tcPr>
          <w:p w:rsidR="00376A9F" w:rsidRDefault="00376A9F">
            <w:pPr>
              <w:spacing w:after="0"/>
              <w:jc w:val="right"/>
              <w:rPr>
                <w:i/>
                <w:noProof/>
                <w:sz w:val="20"/>
              </w:rPr>
            </w:pPr>
            <w:r>
              <w:rPr>
                <w:i/>
                <w:noProof/>
                <w:sz w:val="20"/>
              </w:rPr>
              <w:t>4</w:t>
            </w:r>
          </w:p>
        </w:tc>
        <w:tc>
          <w:tcPr>
            <w:tcW w:w="1276" w:type="dxa"/>
          </w:tcPr>
          <w:p w:rsidR="00376A9F" w:rsidRDefault="00376A9F">
            <w:pPr>
              <w:spacing w:after="0"/>
              <w:jc w:val="right"/>
              <w:rPr>
                <w:rFonts w:ascii="Calibri" w:hAnsi="Calibri"/>
                <w:i/>
                <w:noProof/>
                <w:sz w:val="20"/>
                <w:szCs w:val="22"/>
              </w:rPr>
            </w:pPr>
            <w:r>
              <w:rPr>
                <w:i/>
                <w:noProof/>
                <w:sz w:val="20"/>
              </w:rPr>
              <w:t>3</w:t>
            </w:r>
          </w:p>
        </w:tc>
        <w:tc>
          <w:tcPr>
            <w:tcW w:w="1276" w:type="dxa"/>
          </w:tcPr>
          <w:p w:rsidR="00376A9F" w:rsidRDefault="00376A9F">
            <w:pPr>
              <w:spacing w:after="0"/>
              <w:jc w:val="right"/>
              <w:rPr>
                <w:rFonts w:ascii="Calibri" w:hAnsi="Calibri"/>
                <w:i/>
                <w:noProof/>
                <w:sz w:val="20"/>
                <w:szCs w:val="22"/>
              </w:rPr>
            </w:pPr>
            <w:r>
              <w:rPr>
                <w:i/>
                <w:noProof/>
                <w:sz w:val="20"/>
              </w:rPr>
              <w:t>1</w:t>
            </w:r>
          </w:p>
        </w:tc>
      </w:tr>
      <w:tr w:rsidR="00376A9F">
        <w:tc>
          <w:tcPr>
            <w:tcW w:w="4536" w:type="dxa"/>
          </w:tcPr>
          <w:p w:rsidR="00376A9F" w:rsidRDefault="00376A9F">
            <w:pPr>
              <w:spacing w:after="0"/>
              <w:ind w:left="720"/>
              <w:jc w:val="left"/>
              <w:rPr>
                <w:i/>
                <w:noProof/>
                <w:sz w:val="20"/>
              </w:rPr>
            </w:pPr>
            <w:r>
              <w:rPr>
                <w:i/>
                <w:noProof/>
                <w:sz w:val="20"/>
              </w:rPr>
              <w:t>1.1.3 Pravni vidiki zaupnosti</w:t>
            </w:r>
          </w:p>
        </w:tc>
        <w:tc>
          <w:tcPr>
            <w:tcW w:w="1134" w:type="dxa"/>
          </w:tcPr>
          <w:p w:rsidR="00376A9F" w:rsidRDefault="00376A9F">
            <w:pPr>
              <w:spacing w:after="0"/>
              <w:jc w:val="right"/>
              <w:rPr>
                <w:i/>
                <w:noProof/>
                <w:sz w:val="20"/>
              </w:rPr>
            </w:pPr>
            <w:r>
              <w:rPr>
                <w:i/>
                <w:noProof/>
                <w:sz w:val="20"/>
              </w:rPr>
              <w:t>3</w:t>
            </w:r>
          </w:p>
        </w:tc>
        <w:tc>
          <w:tcPr>
            <w:tcW w:w="1276" w:type="dxa"/>
          </w:tcPr>
          <w:p w:rsidR="00376A9F" w:rsidRDefault="00376A9F">
            <w:pPr>
              <w:spacing w:after="0"/>
              <w:jc w:val="right"/>
              <w:rPr>
                <w:rFonts w:ascii="Calibri" w:hAnsi="Calibri"/>
                <w:i/>
                <w:noProof/>
                <w:sz w:val="20"/>
                <w:szCs w:val="22"/>
              </w:rPr>
            </w:pPr>
            <w:r>
              <w:rPr>
                <w:i/>
                <w:noProof/>
                <w:sz w:val="20"/>
              </w:rPr>
              <w:t>2</w:t>
            </w:r>
          </w:p>
        </w:tc>
        <w:tc>
          <w:tcPr>
            <w:tcW w:w="1276" w:type="dxa"/>
          </w:tcPr>
          <w:p w:rsidR="00376A9F" w:rsidRDefault="00376A9F">
            <w:pPr>
              <w:spacing w:after="0"/>
              <w:jc w:val="right"/>
              <w:rPr>
                <w:rFonts w:ascii="Calibri" w:hAnsi="Calibri"/>
                <w:i/>
                <w:noProof/>
                <w:sz w:val="20"/>
                <w:szCs w:val="22"/>
              </w:rPr>
            </w:pPr>
            <w:r>
              <w:rPr>
                <w:i/>
                <w:noProof/>
                <w:sz w:val="20"/>
              </w:rPr>
              <w:t>1</w:t>
            </w:r>
          </w:p>
        </w:tc>
      </w:tr>
      <w:tr w:rsidR="00376A9F">
        <w:tc>
          <w:tcPr>
            <w:tcW w:w="4536" w:type="dxa"/>
          </w:tcPr>
          <w:p w:rsidR="00376A9F" w:rsidRDefault="00376A9F">
            <w:pPr>
              <w:spacing w:after="0"/>
              <w:ind w:left="284"/>
              <w:jc w:val="left"/>
              <w:rPr>
                <w:noProof/>
                <w:sz w:val="20"/>
              </w:rPr>
            </w:pPr>
            <w:r>
              <w:rPr>
                <w:noProof/>
                <w:sz w:val="20"/>
              </w:rPr>
              <w:t>1.2 Usklajevanje</w:t>
            </w:r>
          </w:p>
        </w:tc>
        <w:tc>
          <w:tcPr>
            <w:tcW w:w="1134" w:type="dxa"/>
          </w:tcPr>
          <w:p w:rsidR="00376A9F" w:rsidRDefault="00376A9F">
            <w:pPr>
              <w:spacing w:after="0"/>
              <w:jc w:val="right"/>
              <w:rPr>
                <w:noProof/>
                <w:sz w:val="20"/>
              </w:rPr>
            </w:pPr>
            <w:r>
              <w:rPr>
                <w:noProof/>
                <w:sz w:val="20"/>
              </w:rPr>
              <w:t>121</w:t>
            </w:r>
          </w:p>
        </w:tc>
        <w:tc>
          <w:tcPr>
            <w:tcW w:w="1276" w:type="dxa"/>
          </w:tcPr>
          <w:p w:rsidR="00376A9F" w:rsidRDefault="00376A9F">
            <w:pPr>
              <w:spacing w:after="0"/>
              <w:jc w:val="right"/>
              <w:rPr>
                <w:rFonts w:ascii="Calibri" w:hAnsi="Calibri"/>
                <w:noProof/>
                <w:sz w:val="20"/>
                <w:szCs w:val="22"/>
              </w:rPr>
            </w:pPr>
            <w:r>
              <w:rPr>
                <w:noProof/>
                <w:sz w:val="20"/>
              </w:rPr>
              <w:t>121</w:t>
            </w:r>
          </w:p>
        </w:tc>
        <w:tc>
          <w:tcPr>
            <w:tcW w:w="1276" w:type="dxa"/>
          </w:tcPr>
          <w:p w:rsidR="00376A9F" w:rsidRDefault="00376A9F">
            <w:pPr>
              <w:spacing w:after="0"/>
              <w:jc w:val="right"/>
              <w:rPr>
                <w:rFonts w:ascii="Calibri" w:hAnsi="Calibri"/>
                <w:noProof/>
                <w:sz w:val="20"/>
                <w:szCs w:val="22"/>
              </w:rPr>
            </w:pPr>
            <w:r>
              <w:rPr>
                <w:noProof/>
                <w:sz w:val="20"/>
              </w:rPr>
              <w:t>0</w:t>
            </w:r>
          </w:p>
        </w:tc>
      </w:tr>
      <w:tr w:rsidR="00376A9F">
        <w:tc>
          <w:tcPr>
            <w:tcW w:w="4536" w:type="dxa"/>
          </w:tcPr>
          <w:p w:rsidR="00376A9F" w:rsidRDefault="00376A9F">
            <w:pPr>
              <w:spacing w:after="0"/>
              <w:jc w:val="left"/>
              <w:rPr>
                <w:noProof/>
                <w:sz w:val="20"/>
              </w:rPr>
            </w:pPr>
            <w:r>
              <w:rPr>
                <w:b/>
                <w:noProof/>
                <w:sz w:val="20"/>
              </w:rPr>
              <w:t>2 Ustreznost virov in stroškovna učinkovitost</w:t>
            </w:r>
          </w:p>
        </w:tc>
        <w:tc>
          <w:tcPr>
            <w:tcW w:w="1134" w:type="dxa"/>
          </w:tcPr>
          <w:p w:rsidR="00376A9F" w:rsidRDefault="00376A9F">
            <w:pPr>
              <w:spacing w:after="0"/>
              <w:jc w:val="right"/>
              <w:rPr>
                <w:b/>
                <w:noProof/>
                <w:sz w:val="20"/>
              </w:rPr>
            </w:pPr>
            <w:r>
              <w:rPr>
                <w:b/>
                <w:noProof/>
                <w:sz w:val="20"/>
              </w:rPr>
              <w:t>103</w:t>
            </w:r>
          </w:p>
        </w:tc>
        <w:tc>
          <w:tcPr>
            <w:tcW w:w="1276" w:type="dxa"/>
          </w:tcPr>
          <w:p w:rsidR="00376A9F" w:rsidRDefault="00376A9F">
            <w:pPr>
              <w:spacing w:after="0"/>
              <w:jc w:val="right"/>
              <w:rPr>
                <w:rFonts w:ascii="Calibri" w:hAnsi="Calibri"/>
                <w:b/>
                <w:noProof/>
                <w:sz w:val="20"/>
                <w:szCs w:val="22"/>
              </w:rPr>
            </w:pPr>
            <w:r>
              <w:rPr>
                <w:b/>
                <w:noProof/>
                <w:sz w:val="20"/>
              </w:rPr>
              <w:t>99</w:t>
            </w:r>
          </w:p>
        </w:tc>
        <w:tc>
          <w:tcPr>
            <w:tcW w:w="1276" w:type="dxa"/>
          </w:tcPr>
          <w:p w:rsidR="00376A9F" w:rsidRDefault="00376A9F">
            <w:pPr>
              <w:spacing w:after="0"/>
              <w:jc w:val="right"/>
              <w:rPr>
                <w:rFonts w:ascii="Calibri" w:hAnsi="Calibri"/>
                <w:b/>
                <w:noProof/>
                <w:sz w:val="20"/>
                <w:szCs w:val="22"/>
              </w:rPr>
            </w:pPr>
            <w:r>
              <w:rPr>
                <w:b/>
                <w:noProof/>
                <w:sz w:val="20"/>
              </w:rPr>
              <w:t>4</w:t>
            </w:r>
          </w:p>
        </w:tc>
      </w:tr>
      <w:tr w:rsidR="00376A9F">
        <w:tc>
          <w:tcPr>
            <w:tcW w:w="4536" w:type="dxa"/>
          </w:tcPr>
          <w:p w:rsidR="00376A9F" w:rsidRDefault="00376A9F">
            <w:pPr>
              <w:spacing w:after="0"/>
              <w:ind w:left="284"/>
              <w:jc w:val="left"/>
              <w:rPr>
                <w:b/>
                <w:bCs/>
                <w:noProof/>
                <w:sz w:val="20"/>
              </w:rPr>
            </w:pPr>
            <w:r>
              <w:rPr>
                <w:noProof/>
                <w:sz w:val="20"/>
              </w:rPr>
              <w:t>2.1 Viri</w:t>
            </w:r>
          </w:p>
        </w:tc>
        <w:tc>
          <w:tcPr>
            <w:tcW w:w="1134" w:type="dxa"/>
          </w:tcPr>
          <w:p w:rsidR="00376A9F" w:rsidRDefault="00376A9F">
            <w:pPr>
              <w:spacing w:after="0"/>
              <w:jc w:val="right"/>
              <w:rPr>
                <w:noProof/>
                <w:sz w:val="20"/>
              </w:rPr>
            </w:pPr>
            <w:r>
              <w:rPr>
                <w:noProof/>
                <w:sz w:val="20"/>
              </w:rPr>
              <w:t>42</w:t>
            </w:r>
          </w:p>
        </w:tc>
        <w:tc>
          <w:tcPr>
            <w:tcW w:w="1276" w:type="dxa"/>
          </w:tcPr>
          <w:p w:rsidR="00376A9F" w:rsidRDefault="00376A9F">
            <w:pPr>
              <w:spacing w:after="0"/>
              <w:jc w:val="right"/>
              <w:rPr>
                <w:rFonts w:ascii="Calibri" w:hAnsi="Calibri"/>
                <w:noProof/>
                <w:sz w:val="20"/>
                <w:szCs w:val="22"/>
              </w:rPr>
            </w:pPr>
            <w:r>
              <w:rPr>
                <w:noProof/>
                <w:sz w:val="20"/>
              </w:rPr>
              <w:t>38</w:t>
            </w:r>
          </w:p>
        </w:tc>
        <w:tc>
          <w:tcPr>
            <w:tcW w:w="1276" w:type="dxa"/>
          </w:tcPr>
          <w:p w:rsidR="00376A9F" w:rsidRDefault="00376A9F">
            <w:pPr>
              <w:spacing w:after="0"/>
              <w:jc w:val="right"/>
              <w:rPr>
                <w:rFonts w:ascii="Calibri" w:hAnsi="Calibri"/>
                <w:noProof/>
                <w:sz w:val="20"/>
                <w:szCs w:val="22"/>
              </w:rPr>
            </w:pPr>
            <w:r>
              <w:rPr>
                <w:noProof/>
                <w:sz w:val="20"/>
              </w:rPr>
              <w:t>4</w:t>
            </w:r>
          </w:p>
        </w:tc>
      </w:tr>
      <w:tr w:rsidR="00376A9F">
        <w:tc>
          <w:tcPr>
            <w:tcW w:w="4536" w:type="dxa"/>
          </w:tcPr>
          <w:p w:rsidR="00376A9F" w:rsidRDefault="00376A9F">
            <w:pPr>
              <w:spacing w:after="0"/>
              <w:ind w:left="284"/>
              <w:jc w:val="left"/>
              <w:rPr>
                <w:noProof/>
                <w:sz w:val="20"/>
              </w:rPr>
            </w:pPr>
            <w:r>
              <w:rPr>
                <w:noProof/>
                <w:sz w:val="20"/>
              </w:rPr>
              <w:t>2.2 Usposabljanje</w:t>
            </w:r>
          </w:p>
        </w:tc>
        <w:tc>
          <w:tcPr>
            <w:tcW w:w="1134" w:type="dxa"/>
          </w:tcPr>
          <w:p w:rsidR="00376A9F" w:rsidRDefault="00376A9F">
            <w:pPr>
              <w:spacing w:after="0"/>
              <w:jc w:val="right"/>
              <w:rPr>
                <w:noProof/>
                <w:sz w:val="20"/>
              </w:rPr>
            </w:pPr>
            <w:r>
              <w:rPr>
                <w:noProof/>
                <w:sz w:val="20"/>
              </w:rPr>
              <w:t>14</w:t>
            </w:r>
          </w:p>
        </w:tc>
        <w:tc>
          <w:tcPr>
            <w:tcW w:w="1276" w:type="dxa"/>
          </w:tcPr>
          <w:p w:rsidR="00376A9F" w:rsidRDefault="00376A9F">
            <w:pPr>
              <w:spacing w:after="0"/>
              <w:jc w:val="right"/>
              <w:rPr>
                <w:rFonts w:ascii="Calibri" w:hAnsi="Calibri"/>
                <w:noProof/>
                <w:sz w:val="20"/>
                <w:szCs w:val="22"/>
              </w:rPr>
            </w:pPr>
            <w:r>
              <w:rPr>
                <w:noProof/>
                <w:sz w:val="20"/>
              </w:rPr>
              <w:t>14</w:t>
            </w:r>
          </w:p>
        </w:tc>
        <w:tc>
          <w:tcPr>
            <w:tcW w:w="1276" w:type="dxa"/>
          </w:tcPr>
          <w:p w:rsidR="00376A9F" w:rsidRDefault="00376A9F">
            <w:pPr>
              <w:spacing w:after="0"/>
              <w:jc w:val="right"/>
              <w:rPr>
                <w:rFonts w:ascii="Calibri" w:hAnsi="Calibri"/>
                <w:noProof/>
                <w:sz w:val="20"/>
                <w:szCs w:val="22"/>
              </w:rPr>
            </w:pPr>
            <w:r>
              <w:rPr>
                <w:noProof/>
                <w:sz w:val="20"/>
              </w:rPr>
              <w:t>0</w:t>
            </w:r>
          </w:p>
        </w:tc>
      </w:tr>
      <w:tr w:rsidR="00376A9F">
        <w:tc>
          <w:tcPr>
            <w:tcW w:w="4536" w:type="dxa"/>
          </w:tcPr>
          <w:p w:rsidR="00376A9F" w:rsidRDefault="00376A9F">
            <w:pPr>
              <w:spacing w:after="0"/>
              <w:ind w:left="284"/>
              <w:jc w:val="left"/>
              <w:rPr>
                <w:noProof/>
                <w:sz w:val="20"/>
              </w:rPr>
            </w:pPr>
            <w:r>
              <w:rPr>
                <w:noProof/>
                <w:sz w:val="20"/>
              </w:rPr>
              <w:t>2.3 Stroškovna učinkovitost</w:t>
            </w:r>
          </w:p>
        </w:tc>
        <w:tc>
          <w:tcPr>
            <w:tcW w:w="1134" w:type="dxa"/>
          </w:tcPr>
          <w:p w:rsidR="00376A9F" w:rsidRDefault="00376A9F">
            <w:pPr>
              <w:spacing w:after="0"/>
              <w:jc w:val="right"/>
              <w:rPr>
                <w:noProof/>
                <w:sz w:val="20"/>
              </w:rPr>
            </w:pPr>
            <w:r>
              <w:rPr>
                <w:noProof/>
                <w:sz w:val="20"/>
              </w:rPr>
              <w:t>47</w:t>
            </w:r>
          </w:p>
        </w:tc>
        <w:tc>
          <w:tcPr>
            <w:tcW w:w="1276" w:type="dxa"/>
          </w:tcPr>
          <w:p w:rsidR="00376A9F" w:rsidRDefault="00376A9F">
            <w:pPr>
              <w:spacing w:after="0"/>
              <w:jc w:val="right"/>
              <w:rPr>
                <w:rFonts w:ascii="Calibri" w:hAnsi="Calibri"/>
                <w:noProof/>
                <w:sz w:val="20"/>
                <w:szCs w:val="22"/>
              </w:rPr>
            </w:pPr>
            <w:r>
              <w:rPr>
                <w:noProof/>
                <w:sz w:val="20"/>
              </w:rPr>
              <w:t>47</w:t>
            </w:r>
          </w:p>
        </w:tc>
        <w:tc>
          <w:tcPr>
            <w:tcW w:w="1276" w:type="dxa"/>
          </w:tcPr>
          <w:p w:rsidR="00376A9F" w:rsidRDefault="00376A9F">
            <w:pPr>
              <w:spacing w:after="0"/>
              <w:jc w:val="right"/>
              <w:rPr>
                <w:rFonts w:ascii="Calibri" w:hAnsi="Calibri"/>
                <w:noProof/>
                <w:sz w:val="20"/>
                <w:szCs w:val="22"/>
              </w:rPr>
            </w:pPr>
            <w:r>
              <w:rPr>
                <w:noProof/>
                <w:sz w:val="20"/>
              </w:rPr>
              <w:t>0</w:t>
            </w:r>
          </w:p>
        </w:tc>
      </w:tr>
      <w:tr w:rsidR="00376A9F">
        <w:tc>
          <w:tcPr>
            <w:tcW w:w="4536" w:type="dxa"/>
            <w:vAlign w:val="bottom"/>
          </w:tcPr>
          <w:p w:rsidR="00376A9F" w:rsidRDefault="00376A9F">
            <w:pPr>
              <w:spacing w:after="0"/>
              <w:jc w:val="left"/>
              <w:rPr>
                <w:b/>
                <w:bCs/>
                <w:noProof/>
                <w:sz w:val="20"/>
              </w:rPr>
            </w:pPr>
            <w:r>
              <w:rPr>
                <w:b/>
                <w:noProof/>
                <w:sz w:val="20"/>
              </w:rPr>
              <w:t>3 Kakovost in metodologija</w:t>
            </w:r>
          </w:p>
        </w:tc>
        <w:tc>
          <w:tcPr>
            <w:tcW w:w="1134" w:type="dxa"/>
          </w:tcPr>
          <w:p w:rsidR="00376A9F" w:rsidRDefault="00376A9F">
            <w:pPr>
              <w:spacing w:after="0"/>
              <w:jc w:val="right"/>
              <w:rPr>
                <w:b/>
                <w:noProof/>
                <w:sz w:val="20"/>
              </w:rPr>
            </w:pPr>
            <w:r>
              <w:rPr>
                <w:b/>
                <w:noProof/>
                <w:sz w:val="20"/>
              </w:rPr>
              <w:t>168</w:t>
            </w:r>
          </w:p>
        </w:tc>
        <w:tc>
          <w:tcPr>
            <w:tcW w:w="1276" w:type="dxa"/>
          </w:tcPr>
          <w:p w:rsidR="00376A9F" w:rsidRDefault="00376A9F">
            <w:pPr>
              <w:spacing w:after="0"/>
              <w:jc w:val="right"/>
              <w:rPr>
                <w:rFonts w:ascii="Calibri" w:hAnsi="Calibri"/>
                <w:b/>
                <w:noProof/>
                <w:sz w:val="20"/>
                <w:szCs w:val="22"/>
              </w:rPr>
            </w:pPr>
            <w:r>
              <w:rPr>
                <w:b/>
                <w:noProof/>
                <w:sz w:val="20"/>
              </w:rPr>
              <w:t>158</w:t>
            </w:r>
          </w:p>
        </w:tc>
        <w:tc>
          <w:tcPr>
            <w:tcW w:w="1276" w:type="dxa"/>
          </w:tcPr>
          <w:p w:rsidR="00376A9F" w:rsidRDefault="00376A9F">
            <w:pPr>
              <w:spacing w:after="0"/>
              <w:jc w:val="right"/>
              <w:rPr>
                <w:rFonts w:ascii="Calibri" w:hAnsi="Calibri"/>
                <w:b/>
                <w:noProof/>
                <w:sz w:val="20"/>
                <w:szCs w:val="22"/>
              </w:rPr>
            </w:pPr>
            <w:r>
              <w:rPr>
                <w:b/>
                <w:noProof/>
                <w:sz w:val="20"/>
              </w:rPr>
              <w:t>10</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3.1 Zavezanost kakovosti</w:t>
            </w:r>
          </w:p>
        </w:tc>
        <w:tc>
          <w:tcPr>
            <w:tcW w:w="1134" w:type="dxa"/>
          </w:tcPr>
          <w:p w:rsidR="00376A9F" w:rsidRDefault="00376A9F">
            <w:pPr>
              <w:spacing w:after="0"/>
              <w:jc w:val="right"/>
              <w:rPr>
                <w:noProof/>
                <w:sz w:val="20"/>
              </w:rPr>
            </w:pPr>
            <w:r>
              <w:rPr>
                <w:noProof/>
                <w:sz w:val="20"/>
              </w:rPr>
              <w:t>64</w:t>
            </w:r>
          </w:p>
        </w:tc>
        <w:tc>
          <w:tcPr>
            <w:tcW w:w="1276" w:type="dxa"/>
          </w:tcPr>
          <w:p w:rsidR="00376A9F" w:rsidRDefault="00376A9F">
            <w:pPr>
              <w:spacing w:after="0"/>
              <w:jc w:val="right"/>
              <w:rPr>
                <w:rFonts w:ascii="Calibri" w:hAnsi="Calibri"/>
                <w:noProof/>
                <w:sz w:val="20"/>
                <w:szCs w:val="22"/>
              </w:rPr>
            </w:pPr>
            <w:r>
              <w:rPr>
                <w:noProof/>
                <w:sz w:val="20"/>
              </w:rPr>
              <w:t>59</w:t>
            </w:r>
          </w:p>
        </w:tc>
        <w:tc>
          <w:tcPr>
            <w:tcW w:w="1276" w:type="dxa"/>
          </w:tcPr>
          <w:p w:rsidR="00376A9F" w:rsidRDefault="00376A9F">
            <w:pPr>
              <w:spacing w:after="0"/>
              <w:jc w:val="right"/>
              <w:rPr>
                <w:rFonts w:ascii="Calibri" w:hAnsi="Calibri"/>
                <w:noProof/>
                <w:sz w:val="20"/>
                <w:szCs w:val="22"/>
              </w:rPr>
            </w:pPr>
            <w:r>
              <w:rPr>
                <w:noProof/>
                <w:sz w:val="20"/>
              </w:rPr>
              <w:t>5</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3.2 Metodologija in varovanje zaupnosti</w:t>
            </w:r>
          </w:p>
        </w:tc>
        <w:tc>
          <w:tcPr>
            <w:tcW w:w="1134" w:type="dxa"/>
          </w:tcPr>
          <w:p w:rsidR="00376A9F" w:rsidRDefault="00376A9F">
            <w:pPr>
              <w:spacing w:after="0"/>
              <w:jc w:val="right"/>
              <w:rPr>
                <w:noProof/>
                <w:sz w:val="20"/>
              </w:rPr>
            </w:pPr>
            <w:r>
              <w:rPr>
                <w:noProof/>
                <w:sz w:val="20"/>
              </w:rPr>
              <w:t>46</w:t>
            </w:r>
          </w:p>
        </w:tc>
        <w:tc>
          <w:tcPr>
            <w:tcW w:w="1276" w:type="dxa"/>
          </w:tcPr>
          <w:p w:rsidR="00376A9F" w:rsidRDefault="00376A9F">
            <w:pPr>
              <w:spacing w:after="0"/>
              <w:jc w:val="right"/>
              <w:rPr>
                <w:rFonts w:ascii="Calibri" w:hAnsi="Calibri"/>
                <w:noProof/>
                <w:sz w:val="20"/>
                <w:szCs w:val="22"/>
              </w:rPr>
            </w:pPr>
            <w:r>
              <w:rPr>
                <w:noProof/>
                <w:sz w:val="20"/>
              </w:rPr>
              <w:t>43</w:t>
            </w:r>
          </w:p>
        </w:tc>
        <w:tc>
          <w:tcPr>
            <w:tcW w:w="1276" w:type="dxa"/>
          </w:tcPr>
          <w:p w:rsidR="00376A9F" w:rsidRDefault="00376A9F">
            <w:pPr>
              <w:spacing w:after="0"/>
              <w:jc w:val="right"/>
              <w:rPr>
                <w:rFonts w:ascii="Calibri" w:hAnsi="Calibri"/>
                <w:noProof/>
                <w:sz w:val="20"/>
                <w:szCs w:val="22"/>
              </w:rPr>
            </w:pPr>
            <w:r>
              <w:rPr>
                <w:noProof/>
                <w:sz w:val="20"/>
              </w:rPr>
              <w:t>3</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3.3 Kakovost rezultatov in stiki z uporabniki</w:t>
            </w:r>
          </w:p>
        </w:tc>
        <w:tc>
          <w:tcPr>
            <w:tcW w:w="1134" w:type="dxa"/>
          </w:tcPr>
          <w:p w:rsidR="00376A9F" w:rsidRDefault="00376A9F">
            <w:pPr>
              <w:spacing w:after="0"/>
              <w:jc w:val="right"/>
              <w:rPr>
                <w:noProof/>
                <w:sz w:val="20"/>
              </w:rPr>
            </w:pPr>
            <w:r>
              <w:rPr>
                <w:noProof/>
                <w:sz w:val="20"/>
              </w:rPr>
              <w:t>58</w:t>
            </w:r>
          </w:p>
        </w:tc>
        <w:tc>
          <w:tcPr>
            <w:tcW w:w="1276" w:type="dxa"/>
          </w:tcPr>
          <w:p w:rsidR="00376A9F" w:rsidRDefault="00376A9F">
            <w:pPr>
              <w:spacing w:after="0"/>
              <w:jc w:val="right"/>
              <w:rPr>
                <w:rFonts w:ascii="Calibri" w:hAnsi="Calibri"/>
                <w:noProof/>
                <w:sz w:val="20"/>
                <w:szCs w:val="22"/>
              </w:rPr>
            </w:pPr>
            <w:r>
              <w:rPr>
                <w:noProof/>
                <w:sz w:val="20"/>
              </w:rPr>
              <w:t>56</w:t>
            </w:r>
          </w:p>
        </w:tc>
        <w:tc>
          <w:tcPr>
            <w:tcW w:w="1276" w:type="dxa"/>
          </w:tcPr>
          <w:p w:rsidR="00376A9F" w:rsidRDefault="00376A9F">
            <w:pPr>
              <w:spacing w:after="0"/>
              <w:jc w:val="right"/>
              <w:rPr>
                <w:rFonts w:ascii="Calibri" w:hAnsi="Calibri"/>
                <w:noProof/>
                <w:sz w:val="20"/>
                <w:szCs w:val="22"/>
              </w:rPr>
            </w:pPr>
            <w:r>
              <w:rPr>
                <w:noProof/>
                <w:sz w:val="20"/>
              </w:rPr>
              <w:t>2</w:t>
            </w:r>
          </w:p>
        </w:tc>
      </w:tr>
      <w:tr w:rsidR="00376A9F">
        <w:tc>
          <w:tcPr>
            <w:tcW w:w="4536" w:type="dxa"/>
            <w:vAlign w:val="bottom"/>
          </w:tcPr>
          <w:p w:rsidR="00376A9F" w:rsidRDefault="00376A9F">
            <w:pPr>
              <w:spacing w:after="0"/>
              <w:jc w:val="left"/>
              <w:rPr>
                <w:b/>
                <w:bCs/>
                <w:noProof/>
                <w:sz w:val="20"/>
              </w:rPr>
            </w:pPr>
            <w:r>
              <w:rPr>
                <w:b/>
                <w:noProof/>
                <w:sz w:val="20"/>
              </w:rPr>
              <w:t>4 Zmanjšanje bremena in administrativni podatki</w:t>
            </w:r>
          </w:p>
        </w:tc>
        <w:tc>
          <w:tcPr>
            <w:tcW w:w="1134" w:type="dxa"/>
          </w:tcPr>
          <w:p w:rsidR="00376A9F" w:rsidRDefault="00376A9F">
            <w:pPr>
              <w:spacing w:after="0"/>
              <w:jc w:val="right"/>
              <w:rPr>
                <w:b/>
                <w:noProof/>
                <w:sz w:val="20"/>
              </w:rPr>
            </w:pPr>
            <w:r>
              <w:rPr>
                <w:b/>
                <w:noProof/>
                <w:sz w:val="20"/>
              </w:rPr>
              <w:t>68</w:t>
            </w:r>
          </w:p>
        </w:tc>
        <w:tc>
          <w:tcPr>
            <w:tcW w:w="1276" w:type="dxa"/>
          </w:tcPr>
          <w:p w:rsidR="00376A9F" w:rsidRDefault="00376A9F">
            <w:pPr>
              <w:spacing w:after="0"/>
              <w:jc w:val="right"/>
              <w:rPr>
                <w:rFonts w:ascii="Calibri" w:hAnsi="Calibri"/>
                <w:b/>
                <w:noProof/>
                <w:sz w:val="20"/>
                <w:szCs w:val="22"/>
              </w:rPr>
            </w:pPr>
            <w:r>
              <w:rPr>
                <w:b/>
                <w:noProof/>
                <w:sz w:val="20"/>
              </w:rPr>
              <w:t>61</w:t>
            </w:r>
          </w:p>
        </w:tc>
        <w:tc>
          <w:tcPr>
            <w:tcW w:w="1276" w:type="dxa"/>
          </w:tcPr>
          <w:p w:rsidR="00376A9F" w:rsidRDefault="00376A9F">
            <w:pPr>
              <w:spacing w:after="0"/>
              <w:jc w:val="right"/>
              <w:rPr>
                <w:rFonts w:ascii="Calibri" w:hAnsi="Calibri"/>
                <w:b/>
                <w:noProof/>
                <w:sz w:val="20"/>
                <w:szCs w:val="22"/>
              </w:rPr>
            </w:pPr>
            <w:r>
              <w:rPr>
                <w:b/>
                <w:noProof/>
                <w:sz w:val="20"/>
              </w:rPr>
              <w:t>7</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4.1 Zmanjšanje bremena</w:t>
            </w:r>
          </w:p>
        </w:tc>
        <w:tc>
          <w:tcPr>
            <w:tcW w:w="1134" w:type="dxa"/>
          </w:tcPr>
          <w:p w:rsidR="00376A9F" w:rsidRDefault="00376A9F">
            <w:pPr>
              <w:spacing w:after="0"/>
              <w:jc w:val="right"/>
              <w:rPr>
                <w:noProof/>
                <w:sz w:val="20"/>
              </w:rPr>
            </w:pPr>
            <w:r>
              <w:rPr>
                <w:noProof/>
                <w:sz w:val="20"/>
              </w:rPr>
              <w:t>22</w:t>
            </w:r>
          </w:p>
        </w:tc>
        <w:tc>
          <w:tcPr>
            <w:tcW w:w="1276" w:type="dxa"/>
          </w:tcPr>
          <w:p w:rsidR="00376A9F" w:rsidRDefault="00376A9F">
            <w:pPr>
              <w:spacing w:after="0"/>
              <w:jc w:val="right"/>
              <w:rPr>
                <w:rFonts w:ascii="Calibri" w:hAnsi="Calibri"/>
                <w:noProof/>
                <w:sz w:val="20"/>
                <w:szCs w:val="22"/>
              </w:rPr>
            </w:pPr>
            <w:r>
              <w:rPr>
                <w:noProof/>
                <w:sz w:val="20"/>
              </w:rPr>
              <w:t>22</w:t>
            </w:r>
          </w:p>
        </w:tc>
        <w:tc>
          <w:tcPr>
            <w:tcW w:w="1276" w:type="dxa"/>
          </w:tcPr>
          <w:p w:rsidR="00376A9F" w:rsidRDefault="00376A9F">
            <w:pPr>
              <w:spacing w:after="0"/>
              <w:jc w:val="right"/>
              <w:rPr>
                <w:rFonts w:ascii="Calibri" w:hAnsi="Calibri"/>
                <w:noProof/>
                <w:sz w:val="20"/>
                <w:szCs w:val="22"/>
              </w:rPr>
            </w:pPr>
            <w:r>
              <w:rPr>
                <w:noProof/>
                <w:sz w:val="20"/>
              </w:rPr>
              <w:t>0</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4.2 Administrativni podatki</w:t>
            </w:r>
          </w:p>
        </w:tc>
        <w:tc>
          <w:tcPr>
            <w:tcW w:w="1134" w:type="dxa"/>
          </w:tcPr>
          <w:p w:rsidR="00376A9F" w:rsidRDefault="00376A9F">
            <w:pPr>
              <w:spacing w:after="0"/>
              <w:jc w:val="right"/>
              <w:rPr>
                <w:noProof/>
                <w:sz w:val="20"/>
              </w:rPr>
            </w:pPr>
            <w:r>
              <w:rPr>
                <w:noProof/>
                <w:sz w:val="20"/>
              </w:rPr>
              <w:t>46</w:t>
            </w:r>
          </w:p>
        </w:tc>
        <w:tc>
          <w:tcPr>
            <w:tcW w:w="1276" w:type="dxa"/>
          </w:tcPr>
          <w:p w:rsidR="00376A9F" w:rsidRDefault="00376A9F">
            <w:pPr>
              <w:spacing w:after="0"/>
              <w:jc w:val="right"/>
              <w:rPr>
                <w:rFonts w:ascii="Calibri" w:hAnsi="Calibri"/>
                <w:noProof/>
                <w:sz w:val="20"/>
                <w:szCs w:val="22"/>
              </w:rPr>
            </w:pPr>
            <w:r>
              <w:rPr>
                <w:noProof/>
                <w:sz w:val="20"/>
              </w:rPr>
              <w:t>39</w:t>
            </w:r>
          </w:p>
        </w:tc>
        <w:tc>
          <w:tcPr>
            <w:tcW w:w="1276" w:type="dxa"/>
          </w:tcPr>
          <w:p w:rsidR="00376A9F" w:rsidRDefault="00376A9F">
            <w:pPr>
              <w:spacing w:after="0"/>
              <w:jc w:val="right"/>
              <w:rPr>
                <w:rFonts w:ascii="Calibri" w:hAnsi="Calibri"/>
                <w:noProof/>
                <w:sz w:val="20"/>
                <w:szCs w:val="22"/>
              </w:rPr>
            </w:pPr>
            <w:r>
              <w:rPr>
                <w:noProof/>
                <w:sz w:val="20"/>
              </w:rPr>
              <w:t>7</w:t>
            </w:r>
          </w:p>
        </w:tc>
      </w:tr>
      <w:tr w:rsidR="00376A9F">
        <w:tc>
          <w:tcPr>
            <w:tcW w:w="4536" w:type="dxa"/>
            <w:vAlign w:val="bottom"/>
          </w:tcPr>
          <w:p w:rsidR="00376A9F" w:rsidRDefault="00376A9F">
            <w:pPr>
              <w:spacing w:after="0"/>
              <w:jc w:val="left"/>
              <w:rPr>
                <w:b/>
                <w:bCs/>
                <w:noProof/>
                <w:sz w:val="20"/>
              </w:rPr>
            </w:pPr>
            <w:r>
              <w:rPr>
                <w:b/>
                <w:noProof/>
                <w:sz w:val="20"/>
              </w:rPr>
              <w:t>5 Nepristranskost in izkazovanje</w:t>
            </w:r>
          </w:p>
        </w:tc>
        <w:tc>
          <w:tcPr>
            <w:tcW w:w="1134" w:type="dxa"/>
          </w:tcPr>
          <w:p w:rsidR="00376A9F" w:rsidRDefault="00376A9F">
            <w:pPr>
              <w:spacing w:after="0"/>
              <w:jc w:val="right"/>
              <w:rPr>
                <w:b/>
                <w:noProof/>
                <w:sz w:val="20"/>
              </w:rPr>
            </w:pPr>
            <w:r>
              <w:rPr>
                <w:b/>
                <w:noProof/>
                <w:sz w:val="20"/>
              </w:rPr>
              <w:t>152</w:t>
            </w:r>
          </w:p>
        </w:tc>
        <w:tc>
          <w:tcPr>
            <w:tcW w:w="1276" w:type="dxa"/>
          </w:tcPr>
          <w:p w:rsidR="00376A9F" w:rsidRDefault="00376A9F">
            <w:pPr>
              <w:spacing w:after="0"/>
              <w:jc w:val="right"/>
              <w:rPr>
                <w:rFonts w:ascii="Calibri" w:hAnsi="Calibri"/>
                <w:b/>
                <w:noProof/>
                <w:sz w:val="20"/>
                <w:szCs w:val="22"/>
              </w:rPr>
            </w:pPr>
            <w:r>
              <w:rPr>
                <w:b/>
                <w:noProof/>
                <w:sz w:val="20"/>
              </w:rPr>
              <w:t>130</w:t>
            </w:r>
          </w:p>
        </w:tc>
        <w:tc>
          <w:tcPr>
            <w:tcW w:w="1276" w:type="dxa"/>
          </w:tcPr>
          <w:p w:rsidR="00376A9F" w:rsidRDefault="00376A9F">
            <w:pPr>
              <w:spacing w:after="0"/>
              <w:jc w:val="right"/>
              <w:rPr>
                <w:rFonts w:ascii="Calibri" w:hAnsi="Calibri"/>
                <w:b/>
                <w:noProof/>
                <w:sz w:val="20"/>
                <w:szCs w:val="22"/>
              </w:rPr>
            </w:pPr>
            <w:r>
              <w:rPr>
                <w:b/>
                <w:noProof/>
                <w:sz w:val="20"/>
              </w:rPr>
              <w:t>22</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5.1 Nepristranskost</w:t>
            </w:r>
          </w:p>
        </w:tc>
        <w:tc>
          <w:tcPr>
            <w:tcW w:w="1134" w:type="dxa"/>
          </w:tcPr>
          <w:p w:rsidR="00376A9F" w:rsidRDefault="00376A9F">
            <w:pPr>
              <w:spacing w:after="0"/>
              <w:jc w:val="right"/>
              <w:rPr>
                <w:noProof/>
                <w:sz w:val="20"/>
              </w:rPr>
            </w:pPr>
            <w:r>
              <w:rPr>
                <w:noProof/>
                <w:sz w:val="20"/>
              </w:rPr>
              <w:t>36</w:t>
            </w:r>
          </w:p>
        </w:tc>
        <w:tc>
          <w:tcPr>
            <w:tcW w:w="1276" w:type="dxa"/>
          </w:tcPr>
          <w:p w:rsidR="00376A9F" w:rsidRDefault="00376A9F">
            <w:pPr>
              <w:spacing w:after="0"/>
              <w:jc w:val="right"/>
              <w:rPr>
                <w:rFonts w:ascii="Calibri" w:hAnsi="Calibri"/>
                <w:noProof/>
                <w:sz w:val="20"/>
                <w:szCs w:val="22"/>
              </w:rPr>
            </w:pPr>
            <w:r>
              <w:rPr>
                <w:noProof/>
                <w:sz w:val="20"/>
              </w:rPr>
              <w:t>22</w:t>
            </w:r>
          </w:p>
        </w:tc>
        <w:tc>
          <w:tcPr>
            <w:tcW w:w="1276" w:type="dxa"/>
          </w:tcPr>
          <w:p w:rsidR="00376A9F" w:rsidRDefault="00376A9F">
            <w:pPr>
              <w:spacing w:after="0"/>
              <w:jc w:val="right"/>
              <w:rPr>
                <w:rFonts w:ascii="Calibri" w:hAnsi="Calibri"/>
                <w:noProof/>
                <w:sz w:val="20"/>
                <w:szCs w:val="22"/>
              </w:rPr>
            </w:pPr>
            <w:r>
              <w:rPr>
                <w:noProof/>
                <w:sz w:val="20"/>
              </w:rPr>
              <w:t>14</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5.2 Izkazovanje: dostopnost in jasnost</w:t>
            </w:r>
          </w:p>
        </w:tc>
        <w:tc>
          <w:tcPr>
            <w:tcW w:w="1134" w:type="dxa"/>
          </w:tcPr>
          <w:p w:rsidR="00376A9F" w:rsidRDefault="00376A9F">
            <w:pPr>
              <w:spacing w:after="0"/>
              <w:jc w:val="right"/>
              <w:rPr>
                <w:noProof/>
                <w:sz w:val="20"/>
              </w:rPr>
            </w:pPr>
            <w:r>
              <w:rPr>
                <w:noProof/>
                <w:sz w:val="20"/>
              </w:rPr>
              <w:t>85</w:t>
            </w:r>
          </w:p>
        </w:tc>
        <w:tc>
          <w:tcPr>
            <w:tcW w:w="1276" w:type="dxa"/>
          </w:tcPr>
          <w:p w:rsidR="00376A9F" w:rsidRDefault="00376A9F">
            <w:pPr>
              <w:spacing w:after="0"/>
              <w:jc w:val="right"/>
              <w:rPr>
                <w:rFonts w:ascii="Calibri" w:hAnsi="Calibri"/>
                <w:noProof/>
                <w:sz w:val="20"/>
                <w:szCs w:val="22"/>
              </w:rPr>
            </w:pPr>
            <w:r>
              <w:rPr>
                <w:noProof/>
                <w:sz w:val="20"/>
              </w:rPr>
              <w:t>78</w:t>
            </w:r>
          </w:p>
        </w:tc>
        <w:tc>
          <w:tcPr>
            <w:tcW w:w="1276" w:type="dxa"/>
          </w:tcPr>
          <w:p w:rsidR="00376A9F" w:rsidRDefault="00376A9F">
            <w:pPr>
              <w:spacing w:after="0"/>
              <w:jc w:val="right"/>
              <w:rPr>
                <w:rFonts w:ascii="Calibri" w:hAnsi="Calibri"/>
                <w:noProof/>
                <w:sz w:val="20"/>
                <w:szCs w:val="22"/>
              </w:rPr>
            </w:pPr>
            <w:r>
              <w:rPr>
                <w:noProof/>
                <w:sz w:val="20"/>
              </w:rPr>
              <w:t>7</w:t>
            </w:r>
          </w:p>
        </w:tc>
      </w:tr>
      <w:tr w:rsidR="00376A9F">
        <w:tc>
          <w:tcPr>
            <w:tcW w:w="4536" w:type="dxa"/>
            <w:vAlign w:val="bottom"/>
          </w:tcPr>
          <w:p w:rsidR="00376A9F" w:rsidRDefault="00376A9F" w:rsidP="00376A9F">
            <w:pPr>
              <w:spacing w:after="0"/>
              <w:ind w:firstLineChars="100" w:firstLine="31680"/>
              <w:jc w:val="left"/>
              <w:rPr>
                <w:bCs/>
                <w:noProof/>
                <w:sz w:val="20"/>
              </w:rPr>
            </w:pPr>
            <w:r>
              <w:rPr>
                <w:noProof/>
                <w:sz w:val="20"/>
              </w:rPr>
              <w:t>5.3 Izkazovanje mikropodatkov</w:t>
            </w:r>
          </w:p>
        </w:tc>
        <w:tc>
          <w:tcPr>
            <w:tcW w:w="1134" w:type="dxa"/>
          </w:tcPr>
          <w:p w:rsidR="00376A9F" w:rsidRDefault="00376A9F">
            <w:pPr>
              <w:spacing w:after="0"/>
              <w:jc w:val="right"/>
              <w:rPr>
                <w:noProof/>
                <w:sz w:val="20"/>
              </w:rPr>
            </w:pPr>
            <w:r>
              <w:rPr>
                <w:noProof/>
                <w:sz w:val="20"/>
              </w:rPr>
              <w:t>31</w:t>
            </w:r>
          </w:p>
        </w:tc>
        <w:tc>
          <w:tcPr>
            <w:tcW w:w="1276" w:type="dxa"/>
          </w:tcPr>
          <w:p w:rsidR="00376A9F" w:rsidRDefault="00376A9F">
            <w:pPr>
              <w:spacing w:after="0"/>
              <w:jc w:val="right"/>
              <w:rPr>
                <w:rFonts w:ascii="Calibri" w:hAnsi="Calibri"/>
                <w:noProof/>
                <w:sz w:val="20"/>
                <w:szCs w:val="22"/>
              </w:rPr>
            </w:pPr>
            <w:r>
              <w:rPr>
                <w:noProof/>
                <w:sz w:val="20"/>
              </w:rPr>
              <w:t>30</w:t>
            </w:r>
          </w:p>
        </w:tc>
        <w:tc>
          <w:tcPr>
            <w:tcW w:w="1276" w:type="dxa"/>
          </w:tcPr>
          <w:p w:rsidR="00376A9F" w:rsidRDefault="00376A9F">
            <w:pPr>
              <w:spacing w:after="0"/>
              <w:jc w:val="right"/>
              <w:rPr>
                <w:rFonts w:ascii="Calibri" w:hAnsi="Calibri"/>
                <w:noProof/>
                <w:sz w:val="20"/>
                <w:szCs w:val="22"/>
              </w:rPr>
            </w:pPr>
            <w:r>
              <w:rPr>
                <w:noProof/>
                <w:sz w:val="20"/>
              </w:rPr>
              <w:t>1</w:t>
            </w:r>
          </w:p>
        </w:tc>
      </w:tr>
    </w:tbl>
    <w:p w:rsidR="00376A9F" w:rsidRDefault="00376A9F">
      <w:pPr>
        <w:pStyle w:val="Text1"/>
        <w:spacing w:before="120" w:after="120"/>
        <w:rPr>
          <w:noProof/>
        </w:rPr>
      </w:pPr>
      <w:r>
        <w:rPr>
          <w:noProof/>
        </w:rPr>
        <w:t>Predstavitev ugotovitev v nadaljevanju je razdeljena po skupinah področij. Te so opredelili strokovni ocenjevalci na podlagi strukture Kodeksa, čeprav skupine niso enake tistim, uporabljenim v Kodeksu.</w:t>
      </w:r>
    </w:p>
    <w:p w:rsidR="00376A9F" w:rsidRDefault="00376A9F">
      <w:pPr>
        <w:pStyle w:val="Text1"/>
        <w:rPr>
          <w:noProof/>
        </w:rPr>
      </w:pPr>
      <w:r>
        <w:rPr>
          <w:noProof/>
        </w:rPr>
        <w:t>Poročila zajemajo tudi stališča nacionalnih statističnih uradov in Eurostata, v primerih, ko se njihova stališča razlikujejo od stališč strokovnih ocenjevalcev. Nacionalni statistični uradi in Eurostat so oblikovali ukrepe za izboljšanje v odziv na priporočila</w:t>
      </w:r>
      <w:r>
        <w:rPr>
          <w:rStyle w:val="FootnoteReference"/>
          <w:noProof/>
        </w:rPr>
        <w:footnoteReference w:id="7"/>
      </w:r>
      <w:r>
        <w:rPr>
          <w:noProof/>
        </w:rPr>
        <w:t>, ki so objavljena posebej.</w:t>
      </w:r>
    </w:p>
    <w:p w:rsidR="00376A9F" w:rsidRDefault="00376A9F">
      <w:pPr>
        <w:pStyle w:val="Text1"/>
        <w:spacing w:after="120"/>
        <w:rPr>
          <w:b/>
          <w:noProof/>
        </w:rPr>
      </w:pPr>
      <w:r>
        <w:rPr>
          <w:b/>
          <w:noProof/>
        </w:rPr>
        <w:t>2.1 Upravljanje in pravni vidiki; usklajevanje</w:t>
      </w:r>
    </w:p>
    <w:p w:rsidR="00376A9F" w:rsidRDefault="00376A9F">
      <w:pPr>
        <w:pStyle w:val="Text1"/>
        <w:rPr>
          <w:noProof/>
        </w:rPr>
      </w:pPr>
      <w:r>
        <w:rPr>
          <w:noProof/>
        </w:rPr>
        <w:t>V tem oddelku je obravnavana neodvisnost statističnih organov, zajeta pa so naslednja posebna vprašanja: imenovanje in odpuščanje vodij statističnih organov; vprašanja v zvezi z delovnimi programi; pooblastilo za zbiranje podatkov; pravni vidiki zaupnosti; usklajevalna vloga nacionalnih statističnih uradov.</w:t>
      </w:r>
    </w:p>
    <w:p w:rsidR="00376A9F" w:rsidRDefault="00376A9F">
      <w:pPr>
        <w:pStyle w:val="Text1"/>
        <w:spacing w:after="120"/>
        <w:ind w:left="720"/>
        <w:rPr>
          <w:b/>
          <w:i/>
          <w:noProof/>
        </w:rPr>
      </w:pPr>
      <w:r>
        <w:rPr>
          <w:b/>
          <w:i/>
          <w:noProof/>
        </w:rPr>
        <w:t>2.1.1 Upravljanje in pravni vidiki, vključno s pravnimi in postopkovnimi vidiki zaupnosti</w:t>
      </w:r>
    </w:p>
    <w:p w:rsidR="00376A9F" w:rsidRDefault="00376A9F">
      <w:pPr>
        <w:pStyle w:val="Text1"/>
        <w:spacing w:after="120"/>
        <w:ind w:left="720"/>
        <w:rPr>
          <w:noProof/>
        </w:rPr>
      </w:pPr>
      <w:r>
        <w:rPr>
          <w:noProof/>
        </w:rPr>
        <w:t>V poročilih medsebojnih strokovnih pregledov sta se pojavili dve glavni vprašanji o upravljanju, in sicer potreba po reviziji statistične zakonodaje za večjo strokovno neodvisnost glede imenovanja in odpuščanja vodij statističnih organov ter potreba po okrepitvi posvetovanja z deležniki. Potrebne so zakonodajne ali institucionalne spremembe, da bi lahko izvajali več priporočil na tem področju. Izvajanje teh priporočil torej spada pod pristojnosti ustreznih nacionalnih organov, namesto pod pristojnosti nacionalnih statističnih uradov.</w:t>
      </w:r>
    </w:p>
    <w:p w:rsidR="00376A9F" w:rsidRDefault="00376A9F">
      <w:pPr>
        <w:pStyle w:val="Text1"/>
        <w:spacing w:after="120"/>
        <w:ind w:left="720"/>
        <w:rPr>
          <w:noProof/>
        </w:rPr>
      </w:pPr>
      <w:r>
        <w:rPr>
          <w:noProof/>
        </w:rPr>
        <w:t>Strokovni ocenjevalci so se v svojih poročilih osredotočili predvsem na neodvisnost vodij statističnih organov. Nedavna sprememba Uredbe (ES) št. 223/2009</w:t>
      </w:r>
      <w:r>
        <w:rPr>
          <w:rStyle w:val="FootnoteReference"/>
          <w:noProof/>
        </w:rPr>
        <w:footnoteReference w:id="8"/>
      </w:r>
      <w:r>
        <w:rPr>
          <w:noProof/>
        </w:rPr>
        <w:t xml:space="preserve"> je nadalje poudarila potrebo po neodvisnosti. Uredba zahteva, da države članice sprejmejo ukrepe za uskladitev nacionalnih praks in postopkov v skladu z novim evropskim pravnim okvirom. Da bi ESS v celoti spoštoval načelo 1, je treba sprejeti nadaljnje ukrepe. Zlasti je treba postopke spremeniti tako, da: i) bo imenovanje vodij statističnih organov temeljilo na poklicni usposobljenosti in odprtih izbirnih postopkih; ii) bodo določena jasna merila za njihovo razrešitev in se bodo ta merila uporabljala; iii) bodo vodje statističnih organov edine pristojne za odločanje o statističnih metodah, postopkih ter o vsebini in časovni razporeditvi statističnih objav. Rezultati zadnjega kroga medsebojnih strokovnih pregledov se razlikujejo od rezultatov strokovnih pregledov, ki so bili izvedeni od leta 2006 do 2008, ko je bilo ugotovljeno, da je bila strokovna neodvisnost v celoti upoštevana. Različni rezultati so posledica: i) razlik v metodologiji, ki se uporablja za izvajanje medsebojnih strokovnih pregledov; ii) vključitve drugih nacionalnih organov v pregledane organe; iii) sprememb, zaradi katerih bodo zahteve, povezane z neodvisnostjo vodij statističnih organov, postale strožje.</w:t>
      </w:r>
    </w:p>
    <w:p w:rsidR="00376A9F" w:rsidRDefault="00376A9F">
      <w:pPr>
        <w:pStyle w:val="Text1"/>
        <w:spacing w:after="120"/>
        <w:ind w:left="720"/>
        <w:rPr>
          <w:noProof/>
        </w:rPr>
      </w:pPr>
      <w:r>
        <w:rPr>
          <w:noProof/>
        </w:rPr>
        <w:t>Statistični organi so praviloma del državne uprave. Za dosego popolne neodvisnosti, kot je opredeljena v Kodeksu, je treba zagotoviti, da bo ministrski ali kateri koli drug nadzor izključno administrativne narave in ne bo vplival na politiko. Druga možnost je, da statistični uradi postanejo popolnoma neodvisni.</w:t>
      </w:r>
    </w:p>
    <w:p w:rsidR="00376A9F" w:rsidRDefault="00376A9F">
      <w:pPr>
        <w:pStyle w:val="Text1"/>
        <w:spacing w:after="120"/>
        <w:ind w:left="720"/>
        <w:rPr>
          <w:noProof/>
        </w:rPr>
      </w:pPr>
      <w:r>
        <w:rPr>
          <w:noProof/>
        </w:rPr>
        <w:t>Na splošno je bilo ugotovljeno, da člani ESS delujejo v skladu s Kodeksom, kar zadeva zahtevo po oblikovanju in spremljanju večletnih in letnih delovnih programov, ugotovljen pa je bil le en primer neskladnosti.</w:t>
      </w:r>
    </w:p>
    <w:p w:rsidR="00376A9F" w:rsidRDefault="00376A9F">
      <w:pPr>
        <w:pStyle w:val="Text1"/>
        <w:spacing w:after="120"/>
        <w:ind w:left="720"/>
        <w:rPr>
          <w:noProof/>
        </w:rPr>
      </w:pPr>
      <w:r>
        <w:rPr>
          <w:noProof/>
        </w:rPr>
        <w:t>Prispevek uporabnikov statističnih podatkov je pomemben za zagotovitev, da se statistični podatki učinkovito pripravijo in izpolnjujejo potrebe uporabnikov. Treba bi bilo ustanoviti svetovalne ali posvetovalne odbore, če že obstajajo, pa pojasniti njihove vloge in zagotoviti ustrezne vire. To bo nacionalnim statističnim uradom pomagalo pri sprejemanju informiranih odločitev glede sedanjega in prihodnjega dela.</w:t>
      </w:r>
    </w:p>
    <w:p w:rsidR="00376A9F" w:rsidRDefault="00376A9F">
      <w:pPr>
        <w:pStyle w:val="Text1"/>
        <w:ind w:left="720"/>
        <w:rPr>
          <w:noProof/>
        </w:rPr>
      </w:pPr>
      <w:r>
        <w:rPr>
          <w:noProof/>
        </w:rPr>
        <w:t>Načeli 2 in 5, ki se nanašata na zbiranje podatkov oziroma pravne vidike zaupnosti, sta izpolnjeni. Kljub temu pa obstaja možnost za napredek z dodajanjem zaščitnih ukrepov za zagotovitev, da se zaupni statistični podatki ne uporabljajo za administrativne namene.</w:t>
      </w:r>
    </w:p>
    <w:p w:rsidR="00376A9F" w:rsidRDefault="00376A9F">
      <w:pPr>
        <w:pStyle w:val="Text1"/>
        <w:spacing w:after="120"/>
        <w:ind w:left="720"/>
        <w:rPr>
          <w:b/>
          <w:i/>
          <w:noProof/>
        </w:rPr>
      </w:pPr>
      <w:r>
        <w:rPr>
          <w:b/>
          <w:i/>
          <w:noProof/>
        </w:rPr>
        <w:t>2.1.2 Usklajevanje v statističnem sistemu</w:t>
      </w:r>
    </w:p>
    <w:p w:rsidR="00376A9F" w:rsidRDefault="00376A9F">
      <w:pPr>
        <w:pStyle w:val="Text1"/>
        <w:spacing w:after="120"/>
        <w:ind w:left="720"/>
        <w:rPr>
          <w:noProof/>
        </w:rPr>
      </w:pPr>
      <w:r>
        <w:rPr>
          <w:noProof/>
        </w:rPr>
        <w:t>Usklajevanje v okviru statističnega sistema ne sodi v področje uporabe Kodeksa. Vendar pa je bilo vključeno v izvajanje, da bi ocenili raven usklajevanja, ki ga nacionalni statistični sistemi zagotavljajo znotraj svojih nacionalnih statističnih sistemov, zato da bi lahko nadalje okrepili ESS.</w:t>
      </w:r>
    </w:p>
    <w:p w:rsidR="00376A9F" w:rsidRDefault="00376A9F">
      <w:pPr>
        <w:pStyle w:val="Text1"/>
        <w:spacing w:after="120"/>
        <w:ind w:left="720"/>
        <w:rPr>
          <w:noProof/>
        </w:rPr>
      </w:pPr>
      <w:r>
        <w:rPr>
          <w:noProof/>
        </w:rPr>
        <w:t>Večina priporočil na tem področju se nanaša na ukrepe, ki bi se lahko sprejeli za okrepitev usklajevalne vloge nacionalnih statističnih uradov na splošno. Da bi bilo učinkovito usklajevanje možno, je treba pojasniti koncept uradne statistike in določiti pripravljavce uradne statistike, če to še ni bilo storjeno. Obstajati bi morala jasna pravna podlaga za usklajevanje, tudi za s tem povezane institucionalne dogovore. Potrebni so tudi človeški in finančni viri ter sklenjeni pisni sporazumi z drugimi nacionalnimi organi, da bi podprli izvajanje te zakonodaje v praksi. Usklajevanje bi moralo potekati na podlagi skupnih ciljev in letnih statističnih programov, ki veljajo za vse organe v okviru nacionalnega statističnega sistema (NSS). Objaviti bi bilo treba poročila o izvajanju teh nacionalnih statističnih programov.</w:t>
      </w:r>
    </w:p>
    <w:p w:rsidR="00376A9F" w:rsidRDefault="00376A9F">
      <w:pPr>
        <w:pStyle w:val="Text1"/>
        <w:ind w:left="720"/>
        <w:rPr>
          <w:noProof/>
        </w:rPr>
      </w:pPr>
      <w:r>
        <w:rPr>
          <w:noProof/>
        </w:rPr>
        <w:t>Poleg tega je potrebno nadaljnje delo za zagotovitev kakovosti evropske statistike, ki jo pripravljajo drugi nacionalni organi. V skladu s spremenjeno Uredbo (ES) št. 223/2009 so nacionalni statistični uradi odgovorni za usklajevanje spremljanja kakovosti na nacionalni ravni. Poleg tega bi morali zagotoviti smernice nacionalnega statističnega sistema, standarde in modele poslovnih procesov in biti edina kontaktna točka Komisije za evropsko statistiko.</w:t>
      </w:r>
    </w:p>
    <w:p w:rsidR="00376A9F" w:rsidRDefault="00376A9F">
      <w:pPr>
        <w:pStyle w:val="Text1"/>
        <w:spacing w:after="120"/>
        <w:rPr>
          <w:b/>
          <w:bCs/>
          <w:noProof/>
        </w:rPr>
      </w:pPr>
      <w:r>
        <w:rPr>
          <w:b/>
          <w:noProof/>
        </w:rPr>
        <w:t>2.2 Ustreznost virov in stroškovna učinkovitost</w:t>
      </w:r>
    </w:p>
    <w:p w:rsidR="00376A9F" w:rsidRDefault="00376A9F">
      <w:pPr>
        <w:pStyle w:val="Text1"/>
        <w:spacing w:after="120"/>
        <w:rPr>
          <w:noProof/>
        </w:rPr>
      </w:pPr>
      <w:r>
        <w:rPr>
          <w:noProof/>
        </w:rPr>
        <w:t>Ustreznost človeških in finančnih virov je pomembno vprašanje v evropskem statističnem sistemu in je bila že poudarjena v poročilu Komisije iz leta 2008. To vprašanje predstavlja resno tveganje za prihodnost ESS. Kljub stalnemu pomanjkanju virov se je ESS uspel s pomočjo reform in ukrepov za učinkovitost spopasti z vedno večjimi potrebami po večjem številu statističnih podatkov. Strokovni ocenjevalci pa poudarjajo, da mnogi nacionalni statistični uradi delujejo pod pritiskom, kar pogosto škoduje metodološkim izboljšavam in nacionalnim statističnim zahtevam (glej tudi točko 2.3.1 v nadaljevanju). Za zagotovitev, da se bo zanesljiva evropska statistika lahko še naprej izvajala, ocenjevalci na splošno pozivajo, da morajo imeti nacionalni statistični uradi na voljo zadostne človeške in finančne vire, ker bodo nacionalni statistični uradi težko izpolnjevali nadaljnje evropske statistične zahteve brez poslabšanja kakovosti.</w:t>
      </w:r>
    </w:p>
    <w:p w:rsidR="00376A9F" w:rsidRDefault="00376A9F">
      <w:pPr>
        <w:pStyle w:val="Text1"/>
        <w:spacing w:after="120"/>
        <w:rPr>
          <w:noProof/>
        </w:rPr>
      </w:pPr>
      <w:r>
        <w:rPr>
          <w:noProof/>
        </w:rPr>
        <w:t>Zaradi teh ovir številni nacionalni statistični uradi težko privabijo in obdržijo visoko usposobljeno osebje. Ker se lahko razmere med posameznimi državami razlikujejo, se na splošno priporoča, da se uporaba človeških virov še izboljša z ustreznimi načrti usposabljanja, s prenosom znanj in spretnosti, z notranjo mobilnostjo, izmenjavo znanj, usposabljanjem v drugih nacionalnih organih in z izmenjavo osebja v okviru nacionalnih statističnih sistemov.</w:t>
      </w:r>
    </w:p>
    <w:p w:rsidR="00376A9F" w:rsidRDefault="00376A9F">
      <w:pPr>
        <w:pStyle w:val="Text1"/>
        <w:spacing w:after="120"/>
        <w:rPr>
          <w:noProof/>
        </w:rPr>
      </w:pPr>
      <w:r>
        <w:rPr>
          <w:noProof/>
        </w:rPr>
        <w:t>Stroškovna učinkovitost je tesno povezana z učinkovito rabo virov (načelo 10). Čeprav ni bilo poročil o primerih neskladnosti, je skupno stroškovno učinkovitost mogoče izboljšati na več načinov, vključno: i) s sprejetjem modela statističnih poslovnih procesov, kot je generični model statističnih poslovnih procesov; ii) z uporabo standardnih orodij za obdelavo podatkov; iii) z razširjeno uporabo administrativnih podatkov; (iv) z možnim prenosom odgovornosti z drugih, predvsem majhnih nacionalnih organov na nacionalne statistične urade.</w:t>
      </w:r>
    </w:p>
    <w:p w:rsidR="00376A9F" w:rsidRDefault="00376A9F">
      <w:pPr>
        <w:pStyle w:val="Text1"/>
        <w:rPr>
          <w:noProof/>
        </w:rPr>
      </w:pPr>
      <w:r>
        <w:rPr>
          <w:noProof/>
        </w:rPr>
        <w:t>Trenutno obstajajo številne pobude ESS, katerih cilj je boljše ravnotežje naraščajočih zahtev za evropsko statistiko z razpoložljivimi viri. Te pobude bi morale tako prispevati k izboljšanju skladnosti z načeloma 3 in 10. Posebni cilji so:  poenostavitev evropske zakonodaje, dajanje prednosti statističnim potrebam v evropskem statističnem programu, razvijanje metodologij za zagotavljanje skupnih orodij in instrumentov ter zagotavljanje, da so evropske statistične zahteve redno pregledane prek izboljšane koordinacijske vloge Eurostata.</w:t>
      </w:r>
    </w:p>
    <w:p w:rsidR="00376A9F" w:rsidRDefault="00376A9F">
      <w:pPr>
        <w:ind w:left="426"/>
        <w:rPr>
          <w:b/>
          <w:bCs/>
          <w:noProof/>
        </w:rPr>
      </w:pPr>
      <w:r>
        <w:rPr>
          <w:noProof/>
        </w:rPr>
        <w:br w:type="page"/>
      </w:r>
      <w:r>
        <w:rPr>
          <w:b/>
          <w:noProof/>
        </w:rPr>
        <w:t>2.3 Kakovost in metodologija</w:t>
      </w:r>
    </w:p>
    <w:p w:rsidR="00376A9F" w:rsidRDefault="00376A9F">
      <w:pPr>
        <w:pStyle w:val="Text1"/>
        <w:rPr>
          <w:noProof/>
        </w:rPr>
      </w:pPr>
      <w:r>
        <w:rPr>
          <w:noProof/>
        </w:rPr>
        <w:t>Evropska statistika mora biti podprta z visoko kakovostjo, zanesljivo metodologijo in ustreznimi statističnimi postopki (načela 4, 7 in 8).</w:t>
      </w:r>
    </w:p>
    <w:p w:rsidR="00376A9F" w:rsidRDefault="00376A9F">
      <w:pPr>
        <w:pStyle w:val="Text1"/>
        <w:keepNext/>
        <w:spacing w:after="120"/>
        <w:ind w:left="720"/>
        <w:rPr>
          <w:b/>
          <w:bCs/>
          <w:i/>
          <w:noProof/>
        </w:rPr>
      </w:pPr>
      <w:r>
        <w:rPr>
          <w:b/>
          <w:i/>
          <w:noProof/>
        </w:rPr>
        <w:t>2.3.1 Zavezanost kakovosti</w:t>
      </w:r>
    </w:p>
    <w:p w:rsidR="00376A9F" w:rsidRDefault="00376A9F">
      <w:pPr>
        <w:pStyle w:val="Text1"/>
        <w:ind w:left="720"/>
        <w:rPr>
          <w:bCs/>
          <w:noProof/>
        </w:rPr>
      </w:pPr>
      <w:r>
        <w:rPr>
          <w:noProof/>
        </w:rPr>
        <w:t>Na splošno bi moral ESS več vlagati v celovite sisteme vodenja kakovosti, ki segajo od smernic in orodij za kakovost ter sistematične dokumentacije statističnih procesov do standardnih postopkov za zagotavljanje kakovosti in rednih revizij kakovosti. Poročila medsebojnih strokovnih pregledov povečujejo tudi potrebo po oblikovanju posebnih enot za kakovost in metodologijo z zadostnim številom primerno usposobljenega osebja. Poročila poudarjajo tveganje, ki ga napeto stanje človeških virov predstavlja za prihodnjo kakovost in zanesljivost evropske statistike, zlasti z vidika morebitnih posledic za sistematično delo na področju kakovosti. Glede na to bi bilo treba dodeliti ustrezne vire za delo na področju kakovosti v okviru globalne dodelitve (glej tudi točko 2.2).</w:t>
      </w:r>
    </w:p>
    <w:p w:rsidR="00376A9F" w:rsidRDefault="00376A9F">
      <w:pPr>
        <w:pStyle w:val="Text1"/>
        <w:spacing w:after="120"/>
        <w:ind w:left="720"/>
        <w:rPr>
          <w:b/>
          <w:bCs/>
          <w:i/>
          <w:noProof/>
        </w:rPr>
      </w:pPr>
      <w:r>
        <w:rPr>
          <w:b/>
          <w:i/>
          <w:noProof/>
        </w:rPr>
        <w:t>2.3.2 Metodologija in varovanje zaupnosti</w:t>
      </w:r>
    </w:p>
    <w:p w:rsidR="00376A9F" w:rsidRDefault="00376A9F">
      <w:pPr>
        <w:pStyle w:val="Text1"/>
        <w:spacing w:after="120"/>
        <w:ind w:left="720"/>
        <w:rPr>
          <w:bCs/>
          <w:noProof/>
        </w:rPr>
      </w:pPr>
      <w:r>
        <w:rPr>
          <w:noProof/>
        </w:rPr>
        <w:t>ESS je pretežno skladen z načeli Kodeksa, povezanimi z metodologijo, s samo enim priporočilom (od 32), izdanim glede skladnosti. Kljub temu poročila priporočajo izboljšanje metodologije za razvoj, posodobitev in uporabo standardnih smernic o vprašanjih, kot so preskušanje vprašalnika, obravnava vzorčnih oziroma nevzorčnih napak, urejanje, pravila za vračunavanje in vrednotenje, sezonsko prilagajanje ter ocenjevalna in revizijska politika. Predvideti bi bilo treba tudi tesnejše sodelovanje z znanstveno skupnostjo glede metodološkega dela.</w:t>
      </w:r>
    </w:p>
    <w:p w:rsidR="00376A9F" w:rsidRDefault="00376A9F">
      <w:pPr>
        <w:pStyle w:val="Text1"/>
        <w:ind w:left="720"/>
        <w:rPr>
          <w:bCs/>
          <w:noProof/>
        </w:rPr>
      </w:pPr>
      <w:r>
        <w:rPr>
          <w:noProof/>
        </w:rPr>
        <w:t>Poročila medsebojnih strokovnih pregledov so poudarila številna vprašanja v zvezi z varovanjem zaupnosti, zlasti kadar bi lahko izboljšali varnostne metode, vendar je izpolnjevanje standardov na tem področju na splošno zadovoljivo. Glavna vprašanja, ki jih je treba obravnavati, so vzpostavitev potrebnih postopkov za spremljanje uporabe mikropodatkov in zbiranje dodatnih zaščitnih ukrepov, da se zagotovi, da se zaupni statistični podatki ne uporabljajo za administrativne namene.</w:t>
      </w:r>
    </w:p>
    <w:p w:rsidR="00376A9F" w:rsidRDefault="00376A9F">
      <w:pPr>
        <w:pStyle w:val="Text1"/>
        <w:ind w:left="720"/>
        <w:rPr>
          <w:b/>
          <w:bCs/>
          <w:i/>
          <w:noProof/>
        </w:rPr>
      </w:pPr>
      <w:r>
        <w:rPr>
          <w:b/>
          <w:i/>
          <w:noProof/>
        </w:rPr>
        <w:t>2.3.3 Kakovost rezultatov in stiki z uporabniki</w:t>
      </w:r>
    </w:p>
    <w:p w:rsidR="00376A9F" w:rsidRDefault="00376A9F">
      <w:pPr>
        <w:pStyle w:val="Text1"/>
        <w:spacing w:after="120"/>
        <w:ind w:left="720"/>
        <w:rPr>
          <w:bCs/>
          <w:noProof/>
        </w:rPr>
      </w:pPr>
      <w:r>
        <w:rPr>
          <w:noProof/>
        </w:rPr>
        <w:t>ESS je v skladu s Kodeksom na področjih kakovosti rezultatov in stikov z uporabniki. Edini dve priporočili (od 58), pri katerih naj skladnost ne bi bila dosežena, se nanašata na politiko za revizije in koledarje statističnih objav.</w:t>
      </w:r>
    </w:p>
    <w:p w:rsidR="00376A9F" w:rsidRDefault="00376A9F">
      <w:pPr>
        <w:pStyle w:val="Text1"/>
        <w:spacing w:after="120"/>
        <w:ind w:left="720"/>
        <w:rPr>
          <w:bCs/>
          <w:noProof/>
        </w:rPr>
      </w:pPr>
      <w:r>
        <w:rPr>
          <w:noProof/>
        </w:rPr>
        <w:t>Strokovni ocenjevalci zahtevajo zlasti spremljanje ter izboljšanje pravočasnosti in točnosti statističnih objav ter uporabnikom prijazne koledarje objav, ki bi jih bilo treba redno posodabljati.</w:t>
      </w:r>
    </w:p>
    <w:p w:rsidR="00376A9F" w:rsidRDefault="00376A9F">
      <w:pPr>
        <w:pStyle w:val="Text1"/>
        <w:ind w:left="720"/>
        <w:rPr>
          <w:bCs/>
          <w:noProof/>
        </w:rPr>
      </w:pPr>
      <w:r>
        <w:rPr>
          <w:noProof/>
        </w:rPr>
        <w:t>Priporočila pozivajo tudi k večjim prizadevanjem za zadovoljevanje potreb uporabnikov. Sprejeti bi bilo treba ukrepe za izboljšanje ozaveščenosti uporabnikov in vzpostaviti bolj odprte odnose z mediji.</w:t>
      </w:r>
    </w:p>
    <w:p w:rsidR="00376A9F" w:rsidRDefault="00376A9F">
      <w:pPr>
        <w:pStyle w:val="Text1"/>
        <w:rPr>
          <w:b/>
          <w:bCs/>
          <w:noProof/>
        </w:rPr>
      </w:pPr>
      <w:r>
        <w:rPr>
          <w:b/>
          <w:noProof/>
        </w:rPr>
        <w:t>2.4 Zmanjšanje bremena in administrativni podatki</w:t>
      </w:r>
    </w:p>
    <w:p w:rsidR="00376A9F" w:rsidRDefault="00376A9F">
      <w:pPr>
        <w:pStyle w:val="Text1"/>
        <w:spacing w:after="120"/>
        <w:rPr>
          <w:noProof/>
        </w:rPr>
      </w:pPr>
      <w:r>
        <w:rPr>
          <w:noProof/>
        </w:rPr>
        <w:t>Vprašanja, ki so jih opredelili strokovni ocenjevalci, so vezana predvsem na še vedno obstoječe ovire za dostop do administrativnih podatkov in njihovo uporabo, ter zagotavljanje, da so nacionalni statistični uradi že v začetni fazi obveščeni in vključeni, ko se viri administrativnih podatkov vzpostavljajo, spreminjajo ali prekinjajo (kazalniki 2.2, 8.1, od 8.7 do 8.9). Čeprav ima večina nacionalnih statističnih uradov dovoljen dostop do administrativnih podatkov ali druge ustrezne rešitve, ki jim omogočajo dostop do administrativnih podatkov, imajo v praksi odobren dostop le s težavo.</w:t>
      </w:r>
    </w:p>
    <w:p w:rsidR="00376A9F" w:rsidRDefault="00376A9F">
      <w:pPr>
        <w:pStyle w:val="Text1"/>
        <w:spacing w:after="120"/>
        <w:rPr>
          <w:noProof/>
        </w:rPr>
      </w:pPr>
      <w:r>
        <w:rPr>
          <w:noProof/>
        </w:rPr>
        <w:t>Težave pri dostopu do administrativnih evidenc pomembno vplivajo na obremenitev poročanja (načelo 9). Več kot 15 % priporočil v zvezi z dostopom do administrativnih evidenc zadeva skladnost s Kodeksom. Vsak strateški pristop k reševanju tega vprašanja bi moral zato zajemati pravne ali administrativne dogovore, vključno s pisnimi sporazumi, ki se sklenejo z lastniki administrativnih podatkov, da se nacionalnim statističnim uradom omogoči neomejen dostop do vseh administrativnih podatkov, ki jih potrebujejo za pripravo evropske statistike, vključno z davčnimi evidencami. Na splošno je treba zagovarjati splošno spremembo odnosa, tako da bi morala biti priprava uradnih statističnih podatkov eden od namenov administrativnih registrov. Statistični organi bi morali imeti možnost vplivati na odločitve, ki se nanašajo na različne vidike administrativnih podatkov, zlasti: na koncepte, njihovo področje uporabe, postopke za njihovo zbiranje, merila, uporabljena za določitev njihove primernosti za statistične namene in njihovo oblikovanje.</w:t>
      </w:r>
    </w:p>
    <w:p w:rsidR="00376A9F" w:rsidRDefault="00376A9F">
      <w:pPr>
        <w:pStyle w:val="Text1"/>
        <w:rPr>
          <w:noProof/>
        </w:rPr>
      </w:pPr>
      <w:r>
        <w:rPr>
          <w:noProof/>
        </w:rPr>
        <w:t>Strokovni ocenjevalci prav tako priporočajo vrsto drugih ukrepov za zmanjšanje obremenitve poročanja, ne da bi pri tem ogrozili potrebe uporabnikov. Ti ukrepi vključujejo izmenjavo podatkov, opredelitev statističnega potenciala novih virov podatkov, zlasti masovnih podatkov ter redno merjenje, spremljanje in poročanje o obremenitvi poročanja.</w:t>
      </w:r>
    </w:p>
    <w:p w:rsidR="00376A9F" w:rsidRDefault="00376A9F">
      <w:pPr>
        <w:pStyle w:val="Text1"/>
        <w:rPr>
          <w:b/>
          <w:bCs/>
          <w:noProof/>
        </w:rPr>
      </w:pPr>
      <w:r>
        <w:rPr>
          <w:b/>
          <w:noProof/>
        </w:rPr>
        <w:t>2.5 Nepristranskost in izkazovanje</w:t>
      </w:r>
    </w:p>
    <w:p w:rsidR="00376A9F" w:rsidRDefault="00376A9F">
      <w:pPr>
        <w:pStyle w:val="Text1"/>
        <w:spacing w:after="120"/>
        <w:rPr>
          <w:noProof/>
        </w:rPr>
      </w:pPr>
      <w:r>
        <w:rPr>
          <w:noProof/>
        </w:rPr>
        <w:t>Čeprav so podatki na voljo na spletu in ima raziskovalna skupnost dostop do mikropodatkov v skladu s Kodeksom (načelo 15 in kazalnik 5.6), predstavlja načelo dostopa pred objavo, ki ga imajo nekateri privilegirani uporabniki, na primer vladni ministri (kazalnik 6.7), v nekaterih državah težavo. Poročilo priporoča, da morajo biti pravice dostopa pred objavo strogo urejene in odobrene le izjemoma. V takih primerih je treba razmere podrobno spremljati, informacije o odobrenih pravicah pa morajo biti na voljo javnosti. V ta namen bi bilo treba veliko vnaprej letno objaviti koledarje objav, ki bi zajemali vse statistične objave in večje revizije z določenimi datumi. Spremembe in zamude bi bilo treba pojasniti.</w:t>
      </w:r>
    </w:p>
    <w:p w:rsidR="00376A9F" w:rsidRDefault="00376A9F">
      <w:pPr>
        <w:pStyle w:val="Text1"/>
        <w:spacing w:after="120"/>
        <w:rPr>
          <w:noProof/>
        </w:rPr>
      </w:pPr>
      <w:r>
        <w:rPr>
          <w:noProof/>
        </w:rPr>
        <w:t>Strokovni ocenjevalci priporočajo, da se izboljšajo zlasti poti in tehnike izkazovanja. Priporočajo objavo poglobljenih in po meri zasnovanih analiz, zagotavljanje sodobnih orodij za vizualizacijo in izkazovanje, posodobitev ali preoblikovanje spletnih strani ter izboljšanje področja uporabe in pravočasnosti podatkov. Nacionalna spletna mesta bi morala imeti več vsebine v angleščini, da bi postala dostopnejša za druge uporabnike ESS.</w:t>
      </w:r>
    </w:p>
    <w:p w:rsidR="00376A9F" w:rsidRDefault="00376A9F">
      <w:pPr>
        <w:pStyle w:val="Text1"/>
        <w:spacing w:after="120"/>
        <w:rPr>
          <w:noProof/>
        </w:rPr>
      </w:pPr>
      <w:r>
        <w:rPr>
          <w:noProof/>
        </w:rPr>
        <w:t>Nacionalni statistični sistemi morajo storiti več, da bo izkazovanje statistike nepristransko. Najbolj nujen problem je zagotoviti, da bodo vse uradne in evropske statistike izkazane prek enotnega spletnega portala ali z ustvarjanjem povezav na spletne strani nacionalnih statističnih uradov, da bi uporabnikom omogočili pridobitev celovitega pregleda uradnih statističnih podatkov.</w:t>
      </w:r>
    </w:p>
    <w:p w:rsidR="00376A9F" w:rsidRDefault="00376A9F">
      <w:pPr>
        <w:pStyle w:val="Text1"/>
        <w:spacing w:after="0"/>
        <w:rPr>
          <w:noProof/>
        </w:rPr>
      </w:pPr>
      <w:r>
        <w:rPr>
          <w:noProof/>
        </w:rPr>
        <w:t>Nazadnje bi bilo treba razširiti mrežo varnih centrov in sistemov dostopa na daljavo, infrastrukturo pa izboljšati, da bi bil omogočen boljši dostop do mikropodatkov za raziskovalne namene.</w:t>
      </w:r>
    </w:p>
    <w:p w:rsidR="00376A9F" w:rsidRDefault="00376A9F">
      <w:pPr>
        <w:pStyle w:val="Text1"/>
        <w:spacing w:before="240" w:after="120"/>
        <w:rPr>
          <w:b/>
          <w:bCs/>
          <w:noProof/>
        </w:rPr>
      </w:pPr>
      <w:r>
        <w:rPr>
          <w:b/>
          <w:noProof/>
        </w:rPr>
        <w:t>2.6 Različni pogledi</w:t>
      </w:r>
    </w:p>
    <w:p w:rsidR="00376A9F" w:rsidRDefault="00376A9F">
      <w:pPr>
        <w:pStyle w:val="Text1"/>
        <w:spacing w:after="120"/>
        <w:rPr>
          <w:noProof/>
        </w:rPr>
      </w:pPr>
      <w:r>
        <w:rPr>
          <w:noProof/>
        </w:rPr>
        <w:t>Pregledi so sledili metodologiji, podobni reviziji, zato poročila vsebujejo tudi poglede statističnih organov, ko se ti razlikujejo od ugotovitev in priporočil strokovnih ocenjevalcev. Kot je prikazano v tabeli 2 v nadaljevanju, je 39 primerov, pri katerih so bila mnenja statističnih organov drugačna od mnenj strokovnih ocenjevalcev. V primeru razlike v mnenjih praviloma niso bili načrtovani ukrepi za izboljšanje postopkov. V primerjavi s skupnim številom priporočil (707) ostaja število vprašanj, glede katerih se mnenja razhajajo, omejeno. To pomeni, da so bili medsebojni strokovni pregledi uspešni pri opredelitvi vprašanj za izboljšave.</w:t>
      </w:r>
    </w:p>
    <w:p w:rsidR="00376A9F" w:rsidRDefault="00376A9F">
      <w:pPr>
        <w:pStyle w:val="Text1"/>
        <w:spacing w:after="120"/>
        <w:rPr>
          <w:noProof/>
        </w:rPr>
      </w:pPr>
      <w:r>
        <w:rPr>
          <w:noProof/>
        </w:rPr>
        <w:t>Daleč največje število različnih stališč (18 od 39 različnih stališč) je bilo na področju upravljanja in pravnih vidikov, zlasti strokovne neodvisnosti. Za razliko od strokovnih ocenjevalcev so statistični organi v teh primerih menili, da obstoječa zakonodaja ali druge ureditve zadostujejo za zagotovitev strokovne neodvisnosti. To še posebej velja za zaposlovanje in odpuščanje vodij statističnih organov, kjer naj bi bili postopki skladni s splošnimi politikami nacionalnih organov, katerim pripadajo statistični organi.</w:t>
      </w:r>
    </w:p>
    <w:p w:rsidR="00376A9F" w:rsidRDefault="00376A9F">
      <w:pPr>
        <w:pStyle w:val="Text1"/>
        <w:spacing w:after="120"/>
        <w:rPr>
          <w:noProof/>
        </w:rPr>
      </w:pPr>
      <w:r>
        <w:rPr>
          <w:noProof/>
        </w:rPr>
        <w:t>Preostala različna stališča so bila porazdeljena sorazmerno enakomerno drugim kategorijam vprašanj, pri čemer so bila za vsako prikazana največ štiri različna stališča. Na vsakem od treh področij, varstvo zaupnosti, izkazovanje mikropodatkov in usklajevanje, so se stališča organov razlikovala od ocenjevalcev v treh primerih. V primeru nezadostnega varstva zaupnosti in izkazovanja mikropodatkov so bila priporočila strokovnih ocenjevalcev izpodbijana, statistični organi pa so menili, da obstaja tveganje v zvezi z zmanjševanjem obremenitve, tveganje za stroškovno učinkovitost ali metodologijo, če bi bila priporočila sprejeta. Različni pogledi glede usklajevanja so bili odvisni od posamezne države.</w:t>
      </w:r>
    </w:p>
    <w:p w:rsidR="00376A9F" w:rsidRDefault="00376A9F">
      <w:pPr>
        <w:pStyle w:val="Text1"/>
        <w:spacing w:after="120"/>
        <w:rPr>
          <w:noProof/>
        </w:rPr>
      </w:pPr>
    </w:p>
    <w:tbl>
      <w:tblPr>
        <w:tblW w:w="816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9"/>
        <w:gridCol w:w="1984"/>
        <w:gridCol w:w="1701"/>
      </w:tblGrid>
      <w:tr w:rsidR="00376A9F">
        <w:tc>
          <w:tcPr>
            <w:tcW w:w="8164" w:type="dxa"/>
            <w:gridSpan w:val="3"/>
            <w:tcBorders>
              <w:top w:val="nil"/>
              <w:left w:val="nil"/>
              <w:right w:val="nil"/>
            </w:tcBorders>
          </w:tcPr>
          <w:p w:rsidR="00376A9F" w:rsidRDefault="00376A9F">
            <w:pPr>
              <w:spacing w:after="0"/>
              <w:jc w:val="left"/>
              <w:rPr>
                <w:b/>
                <w:noProof/>
                <w:sz w:val="22"/>
                <w:szCs w:val="22"/>
              </w:rPr>
            </w:pPr>
            <w:r>
              <w:rPr>
                <w:b/>
                <w:noProof/>
                <w:sz w:val="22"/>
              </w:rPr>
              <w:t>Tabela 2: Različna stališča o priporočilih strokovnih ocenjevalcev</w:t>
            </w:r>
          </w:p>
        </w:tc>
      </w:tr>
      <w:tr w:rsidR="00376A9F">
        <w:tc>
          <w:tcPr>
            <w:tcW w:w="4479" w:type="dxa"/>
          </w:tcPr>
          <w:p w:rsidR="00376A9F" w:rsidRDefault="00376A9F">
            <w:pPr>
              <w:spacing w:after="0"/>
              <w:jc w:val="center"/>
              <w:rPr>
                <w:b/>
                <w:noProof/>
                <w:sz w:val="20"/>
              </w:rPr>
            </w:pPr>
            <w:r>
              <w:rPr>
                <w:b/>
                <w:noProof/>
                <w:sz w:val="20"/>
              </w:rPr>
              <w:t>Področje</w:t>
            </w:r>
          </w:p>
        </w:tc>
        <w:tc>
          <w:tcPr>
            <w:tcW w:w="1984" w:type="dxa"/>
          </w:tcPr>
          <w:p w:rsidR="00376A9F" w:rsidRDefault="00376A9F">
            <w:pPr>
              <w:spacing w:after="0"/>
              <w:jc w:val="center"/>
              <w:rPr>
                <w:b/>
                <w:noProof/>
                <w:sz w:val="20"/>
              </w:rPr>
            </w:pPr>
            <w:r>
              <w:rPr>
                <w:b/>
                <w:noProof/>
                <w:sz w:val="20"/>
              </w:rPr>
              <w:t>Priporočila</w:t>
            </w:r>
          </w:p>
        </w:tc>
        <w:tc>
          <w:tcPr>
            <w:tcW w:w="1701" w:type="dxa"/>
          </w:tcPr>
          <w:p w:rsidR="00376A9F" w:rsidRDefault="00376A9F">
            <w:pPr>
              <w:spacing w:after="0"/>
              <w:jc w:val="center"/>
              <w:rPr>
                <w:b/>
                <w:noProof/>
                <w:sz w:val="20"/>
              </w:rPr>
            </w:pPr>
            <w:r>
              <w:rPr>
                <w:b/>
                <w:noProof/>
                <w:sz w:val="20"/>
              </w:rPr>
              <w:t>Različni pogledi</w:t>
            </w:r>
          </w:p>
        </w:tc>
      </w:tr>
      <w:tr w:rsidR="00376A9F">
        <w:tc>
          <w:tcPr>
            <w:tcW w:w="4479" w:type="dxa"/>
          </w:tcPr>
          <w:p w:rsidR="00376A9F" w:rsidRDefault="00376A9F">
            <w:pPr>
              <w:spacing w:after="0"/>
              <w:jc w:val="left"/>
              <w:rPr>
                <w:b/>
                <w:bCs/>
                <w:noProof/>
                <w:color w:val="000000"/>
                <w:sz w:val="20"/>
              </w:rPr>
            </w:pPr>
            <w:r>
              <w:rPr>
                <w:b/>
                <w:noProof/>
                <w:color w:val="000000"/>
                <w:sz w:val="20"/>
              </w:rPr>
              <w:t>Skupaj</w:t>
            </w:r>
          </w:p>
        </w:tc>
        <w:tc>
          <w:tcPr>
            <w:tcW w:w="1984" w:type="dxa"/>
          </w:tcPr>
          <w:p w:rsidR="00376A9F" w:rsidRDefault="00376A9F">
            <w:pPr>
              <w:spacing w:after="0"/>
              <w:jc w:val="right"/>
              <w:rPr>
                <w:b/>
                <w:noProof/>
                <w:sz w:val="20"/>
              </w:rPr>
            </w:pPr>
            <w:r>
              <w:rPr>
                <w:b/>
                <w:noProof/>
                <w:sz w:val="20"/>
              </w:rPr>
              <w:t>707</w:t>
            </w:r>
          </w:p>
        </w:tc>
        <w:tc>
          <w:tcPr>
            <w:tcW w:w="1701" w:type="dxa"/>
          </w:tcPr>
          <w:p w:rsidR="00376A9F" w:rsidRDefault="00376A9F">
            <w:pPr>
              <w:spacing w:after="0"/>
              <w:jc w:val="right"/>
              <w:rPr>
                <w:b/>
                <w:noProof/>
                <w:sz w:val="20"/>
              </w:rPr>
            </w:pPr>
            <w:r>
              <w:rPr>
                <w:b/>
                <w:noProof/>
                <w:sz w:val="20"/>
              </w:rPr>
              <w:t>39</w:t>
            </w:r>
          </w:p>
        </w:tc>
      </w:tr>
      <w:tr w:rsidR="00376A9F">
        <w:tc>
          <w:tcPr>
            <w:tcW w:w="4479" w:type="dxa"/>
          </w:tcPr>
          <w:p w:rsidR="00376A9F" w:rsidRDefault="00376A9F">
            <w:pPr>
              <w:spacing w:after="0"/>
              <w:jc w:val="left"/>
              <w:rPr>
                <w:noProof/>
                <w:sz w:val="20"/>
              </w:rPr>
            </w:pPr>
            <w:r>
              <w:rPr>
                <w:b/>
                <w:noProof/>
                <w:color w:val="000000"/>
                <w:sz w:val="20"/>
              </w:rPr>
              <w:t>1 Upravljanje in pravni vidiki; usklajevanje</w:t>
            </w:r>
          </w:p>
        </w:tc>
        <w:tc>
          <w:tcPr>
            <w:tcW w:w="1984" w:type="dxa"/>
          </w:tcPr>
          <w:p w:rsidR="00376A9F" w:rsidRDefault="00376A9F">
            <w:pPr>
              <w:spacing w:after="0"/>
              <w:jc w:val="right"/>
              <w:rPr>
                <w:b/>
                <w:noProof/>
                <w:sz w:val="20"/>
              </w:rPr>
            </w:pPr>
            <w:r>
              <w:rPr>
                <w:b/>
                <w:noProof/>
                <w:sz w:val="20"/>
              </w:rPr>
              <w:t>216</w:t>
            </w:r>
          </w:p>
        </w:tc>
        <w:tc>
          <w:tcPr>
            <w:tcW w:w="1701" w:type="dxa"/>
          </w:tcPr>
          <w:p w:rsidR="00376A9F" w:rsidRDefault="00376A9F">
            <w:pPr>
              <w:spacing w:after="0"/>
              <w:jc w:val="right"/>
              <w:rPr>
                <w:b/>
                <w:noProof/>
                <w:sz w:val="20"/>
              </w:rPr>
            </w:pPr>
            <w:r>
              <w:rPr>
                <w:b/>
                <w:noProof/>
                <w:sz w:val="20"/>
              </w:rPr>
              <w:t>21</w:t>
            </w:r>
          </w:p>
        </w:tc>
      </w:tr>
      <w:tr w:rsidR="00376A9F">
        <w:tc>
          <w:tcPr>
            <w:tcW w:w="4479" w:type="dxa"/>
          </w:tcPr>
          <w:p w:rsidR="00376A9F" w:rsidRDefault="00376A9F">
            <w:pPr>
              <w:spacing w:after="0"/>
              <w:ind w:left="284"/>
              <w:jc w:val="left"/>
              <w:rPr>
                <w:noProof/>
                <w:sz w:val="20"/>
              </w:rPr>
            </w:pPr>
            <w:r>
              <w:rPr>
                <w:noProof/>
                <w:sz w:val="20"/>
              </w:rPr>
              <w:t>1.1 Upravljanje in pravni vidiki</w:t>
            </w:r>
          </w:p>
        </w:tc>
        <w:tc>
          <w:tcPr>
            <w:tcW w:w="1984" w:type="dxa"/>
          </w:tcPr>
          <w:p w:rsidR="00376A9F" w:rsidRDefault="00376A9F">
            <w:pPr>
              <w:spacing w:after="0"/>
              <w:jc w:val="right"/>
              <w:rPr>
                <w:noProof/>
                <w:sz w:val="20"/>
              </w:rPr>
            </w:pPr>
            <w:r>
              <w:rPr>
                <w:noProof/>
                <w:sz w:val="20"/>
              </w:rPr>
              <w:t>95</w:t>
            </w:r>
          </w:p>
        </w:tc>
        <w:tc>
          <w:tcPr>
            <w:tcW w:w="1701" w:type="dxa"/>
          </w:tcPr>
          <w:p w:rsidR="00376A9F" w:rsidRDefault="00376A9F">
            <w:pPr>
              <w:spacing w:after="0"/>
              <w:jc w:val="right"/>
              <w:rPr>
                <w:noProof/>
                <w:sz w:val="20"/>
              </w:rPr>
            </w:pPr>
            <w:r>
              <w:rPr>
                <w:noProof/>
                <w:sz w:val="20"/>
              </w:rPr>
              <w:t>18</w:t>
            </w:r>
          </w:p>
        </w:tc>
      </w:tr>
      <w:tr w:rsidR="00376A9F">
        <w:tc>
          <w:tcPr>
            <w:tcW w:w="4479" w:type="dxa"/>
          </w:tcPr>
          <w:p w:rsidR="00376A9F" w:rsidRDefault="00376A9F">
            <w:pPr>
              <w:spacing w:after="0"/>
              <w:ind w:left="720"/>
              <w:jc w:val="left"/>
              <w:rPr>
                <w:i/>
                <w:noProof/>
                <w:sz w:val="20"/>
              </w:rPr>
            </w:pPr>
            <w:r>
              <w:rPr>
                <w:i/>
                <w:noProof/>
                <w:sz w:val="20"/>
              </w:rPr>
              <w:t>1.1.1 Strokovna neodvisnost</w:t>
            </w:r>
          </w:p>
        </w:tc>
        <w:tc>
          <w:tcPr>
            <w:tcW w:w="1984" w:type="dxa"/>
          </w:tcPr>
          <w:p w:rsidR="00376A9F" w:rsidRDefault="00376A9F">
            <w:pPr>
              <w:spacing w:after="0"/>
              <w:jc w:val="right"/>
              <w:rPr>
                <w:i/>
                <w:noProof/>
                <w:sz w:val="20"/>
              </w:rPr>
            </w:pPr>
            <w:r>
              <w:rPr>
                <w:i/>
                <w:noProof/>
                <w:sz w:val="20"/>
              </w:rPr>
              <w:t>88</w:t>
            </w:r>
          </w:p>
        </w:tc>
        <w:tc>
          <w:tcPr>
            <w:tcW w:w="1701" w:type="dxa"/>
          </w:tcPr>
          <w:p w:rsidR="00376A9F" w:rsidRDefault="00376A9F">
            <w:pPr>
              <w:spacing w:after="0"/>
              <w:jc w:val="right"/>
              <w:rPr>
                <w:i/>
                <w:noProof/>
                <w:sz w:val="20"/>
              </w:rPr>
            </w:pPr>
            <w:r>
              <w:rPr>
                <w:i/>
                <w:noProof/>
                <w:sz w:val="20"/>
              </w:rPr>
              <w:t>16</w:t>
            </w:r>
          </w:p>
        </w:tc>
      </w:tr>
      <w:tr w:rsidR="00376A9F">
        <w:tc>
          <w:tcPr>
            <w:tcW w:w="4479" w:type="dxa"/>
          </w:tcPr>
          <w:p w:rsidR="00376A9F" w:rsidRDefault="00376A9F">
            <w:pPr>
              <w:spacing w:after="0"/>
              <w:ind w:left="720"/>
              <w:jc w:val="left"/>
              <w:rPr>
                <w:i/>
                <w:noProof/>
                <w:sz w:val="20"/>
              </w:rPr>
            </w:pPr>
            <w:r>
              <w:rPr>
                <w:i/>
                <w:noProof/>
                <w:sz w:val="20"/>
              </w:rPr>
              <w:t>1.1.2 Pooblastilo za zbiranje podatkov</w:t>
            </w:r>
          </w:p>
        </w:tc>
        <w:tc>
          <w:tcPr>
            <w:tcW w:w="1984" w:type="dxa"/>
          </w:tcPr>
          <w:p w:rsidR="00376A9F" w:rsidRDefault="00376A9F">
            <w:pPr>
              <w:spacing w:after="0"/>
              <w:jc w:val="right"/>
              <w:rPr>
                <w:i/>
                <w:noProof/>
                <w:sz w:val="20"/>
              </w:rPr>
            </w:pPr>
            <w:r>
              <w:rPr>
                <w:i/>
                <w:noProof/>
                <w:sz w:val="20"/>
              </w:rPr>
              <w:t>4</w:t>
            </w:r>
          </w:p>
        </w:tc>
        <w:tc>
          <w:tcPr>
            <w:tcW w:w="1701" w:type="dxa"/>
          </w:tcPr>
          <w:p w:rsidR="00376A9F" w:rsidRDefault="00376A9F">
            <w:pPr>
              <w:spacing w:after="0"/>
              <w:jc w:val="right"/>
              <w:rPr>
                <w:i/>
                <w:noProof/>
                <w:sz w:val="20"/>
              </w:rPr>
            </w:pPr>
            <w:r>
              <w:rPr>
                <w:i/>
                <w:noProof/>
                <w:sz w:val="20"/>
              </w:rPr>
              <w:t>1</w:t>
            </w:r>
          </w:p>
        </w:tc>
      </w:tr>
      <w:tr w:rsidR="00376A9F">
        <w:tc>
          <w:tcPr>
            <w:tcW w:w="4479" w:type="dxa"/>
          </w:tcPr>
          <w:p w:rsidR="00376A9F" w:rsidRDefault="00376A9F">
            <w:pPr>
              <w:spacing w:after="0"/>
              <w:ind w:left="720"/>
              <w:jc w:val="left"/>
              <w:rPr>
                <w:i/>
                <w:noProof/>
                <w:sz w:val="20"/>
              </w:rPr>
            </w:pPr>
            <w:r>
              <w:rPr>
                <w:i/>
                <w:noProof/>
                <w:sz w:val="20"/>
              </w:rPr>
              <w:t>1.1.3 Pravni vidiki zaupnosti</w:t>
            </w:r>
          </w:p>
        </w:tc>
        <w:tc>
          <w:tcPr>
            <w:tcW w:w="1984" w:type="dxa"/>
          </w:tcPr>
          <w:p w:rsidR="00376A9F" w:rsidRDefault="00376A9F">
            <w:pPr>
              <w:spacing w:after="0"/>
              <w:jc w:val="right"/>
              <w:rPr>
                <w:i/>
                <w:noProof/>
                <w:sz w:val="20"/>
              </w:rPr>
            </w:pPr>
            <w:r>
              <w:rPr>
                <w:i/>
                <w:noProof/>
                <w:sz w:val="20"/>
              </w:rPr>
              <w:t>3</w:t>
            </w:r>
          </w:p>
        </w:tc>
        <w:tc>
          <w:tcPr>
            <w:tcW w:w="1701" w:type="dxa"/>
          </w:tcPr>
          <w:p w:rsidR="00376A9F" w:rsidRDefault="00376A9F">
            <w:pPr>
              <w:spacing w:after="0"/>
              <w:jc w:val="right"/>
              <w:rPr>
                <w:i/>
                <w:noProof/>
                <w:sz w:val="20"/>
              </w:rPr>
            </w:pPr>
            <w:r>
              <w:rPr>
                <w:i/>
                <w:noProof/>
                <w:sz w:val="20"/>
              </w:rPr>
              <w:t>1</w:t>
            </w:r>
          </w:p>
        </w:tc>
      </w:tr>
      <w:tr w:rsidR="00376A9F">
        <w:tc>
          <w:tcPr>
            <w:tcW w:w="4479" w:type="dxa"/>
          </w:tcPr>
          <w:p w:rsidR="00376A9F" w:rsidRDefault="00376A9F">
            <w:pPr>
              <w:spacing w:after="0"/>
              <w:ind w:left="284"/>
              <w:jc w:val="left"/>
              <w:rPr>
                <w:noProof/>
                <w:sz w:val="20"/>
              </w:rPr>
            </w:pPr>
            <w:r>
              <w:rPr>
                <w:noProof/>
                <w:sz w:val="20"/>
              </w:rPr>
              <w:t>1.2 Usklajevanje</w:t>
            </w:r>
          </w:p>
        </w:tc>
        <w:tc>
          <w:tcPr>
            <w:tcW w:w="1984" w:type="dxa"/>
          </w:tcPr>
          <w:p w:rsidR="00376A9F" w:rsidRDefault="00376A9F">
            <w:pPr>
              <w:spacing w:after="0"/>
              <w:jc w:val="right"/>
              <w:rPr>
                <w:noProof/>
                <w:sz w:val="20"/>
              </w:rPr>
            </w:pPr>
            <w:r>
              <w:rPr>
                <w:noProof/>
                <w:sz w:val="20"/>
              </w:rPr>
              <w:t>121</w:t>
            </w:r>
          </w:p>
        </w:tc>
        <w:tc>
          <w:tcPr>
            <w:tcW w:w="1701" w:type="dxa"/>
          </w:tcPr>
          <w:p w:rsidR="00376A9F" w:rsidRDefault="00376A9F">
            <w:pPr>
              <w:spacing w:after="0"/>
              <w:jc w:val="right"/>
              <w:rPr>
                <w:noProof/>
                <w:sz w:val="20"/>
              </w:rPr>
            </w:pPr>
            <w:r>
              <w:rPr>
                <w:noProof/>
                <w:sz w:val="20"/>
              </w:rPr>
              <w:t>3</w:t>
            </w:r>
          </w:p>
        </w:tc>
      </w:tr>
      <w:tr w:rsidR="00376A9F">
        <w:tc>
          <w:tcPr>
            <w:tcW w:w="4479" w:type="dxa"/>
          </w:tcPr>
          <w:p w:rsidR="00376A9F" w:rsidRDefault="00376A9F">
            <w:pPr>
              <w:spacing w:after="0"/>
              <w:jc w:val="left"/>
              <w:rPr>
                <w:noProof/>
                <w:sz w:val="20"/>
              </w:rPr>
            </w:pPr>
            <w:r>
              <w:rPr>
                <w:b/>
                <w:noProof/>
                <w:sz w:val="20"/>
              </w:rPr>
              <w:t>2 Ustreznost virov in stroškovna učinkovitost</w:t>
            </w:r>
          </w:p>
        </w:tc>
        <w:tc>
          <w:tcPr>
            <w:tcW w:w="1984" w:type="dxa"/>
          </w:tcPr>
          <w:p w:rsidR="00376A9F" w:rsidRDefault="00376A9F">
            <w:pPr>
              <w:spacing w:after="0"/>
              <w:jc w:val="right"/>
              <w:rPr>
                <w:b/>
                <w:noProof/>
                <w:sz w:val="20"/>
              </w:rPr>
            </w:pPr>
            <w:r>
              <w:rPr>
                <w:b/>
                <w:noProof/>
                <w:sz w:val="20"/>
              </w:rPr>
              <w:t>103</w:t>
            </w:r>
          </w:p>
        </w:tc>
        <w:tc>
          <w:tcPr>
            <w:tcW w:w="1701" w:type="dxa"/>
          </w:tcPr>
          <w:p w:rsidR="00376A9F" w:rsidRDefault="00376A9F">
            <w:pPr>
              <w:spacing w:after="0"/>
              <w:jc w:val="right"/>
              <w:rPr>
                <w:b/>
                <w:noProof/>
                <w:sz w:val="20"/>
              </w:rPr>
            </w:pPr>
            <w:r>
              <w:rPr>
                <w:b/>
                <w:noProof/>
                <w:sz w:val="20"/>
              </w:rPr>
              <w:t>3</w:t>
            </w:r>
          </w:p>
        </w:tc>
      </w:tr>
      <w:tr w:rsidR="00376A9F">
        <w:tc>
          <w:tcPr>
            <w:tcW w:w="4479" w:type="dxa"/>
          </w:tcPr>
          <w:p w:rsidR="00376A9F" w:rsidRDefault="00376A9F">
            <w:pPr>
              <w:spacing w:after="0"/>
              <w:ind w:left="284"/>
              <w:jc w:val="left"/>
              <w:rPr>
                <w:b/>
                <w:bCs/>
                <w:noProof/>
                <w:sz w:val="20"/>
              </w:rPr>
            </w:pPr>
            <w:r>
              <w:rPr>
                <w:noProof/>
                <w:sz w:val="20"/>
              </w:rPr>
              <w:t>2.1 Viri</w:t>
            </w:r>
          </w:p>
        </w:tc>
        <w:tc>
          <w:tcPr>
            <w:tcW w:w="1984" w:type="dxa"/>
          </w:tcPr>
          <w:p w:rsidR="00376A9F" w:rsidRDefault="00376A9F">
            <w:pPr>
              <w:spacing w:after="0"/>
              <w:jc w:val="right"/>
              <w:rPr>
                <w:noProof/>
                <w:sz w:val="20"/>
              </w:rPr>
            </w:pPr>
            <w:r>
              <w:rPr>
                <w:noProof/>
                <w:sz w:val="20"/>
              </w:rPr>
              <w:t>42</w:t>
            </w:r>
          </w:p>
        </w:tc>
        <w:tc>
          <w:tcPr>
            <w:tcW w:w="1701" w:type="dxa"/>
          </w:tcPr>
          <w:p w:rsidR="00376A9F" w:rsidRDefault="00376A9F">
            <w:pPr>
              <w:spacing w:after="0"/>
              <w:jc w:val="right"/>
              <w:rPr>
                <w:noProof/>
                <w:sz w:val="20"/>
              </w:rPr>
            </w:pPr>
            <w:r>
              <w:rPr>
                <w:noProof/>
                <w:sz w:val="20"/>
              </w:rPr>
              <w:t>1</w:t>
            </w:r>
          </w:p>
        </w:tc>
      </w:tr>
      <w:tr w:rsidR="00376A9F">
        <w:tc>
          <w:tcPr>
            <w:tcW w:w="4479" w:type="dxa"/>
          </w:tcPr>
          <w:p w:rsidR="00376A9F" w:rsidRDefault="00376A9F">
            <w:pPr>
              <w:spacing w:after="0"/>
              <w:ind w:left="284"/>
              <w:jc w:val="left"/>
              <w:rPr>
                <w:noProof/>
                <w:sz w:val="20"/>
              </w:rPr>
            </w:pPr>
            <w:r>
              <w:rPr>
                <w:noProof/>
                <w:sz w:val="20"/>
              </w:rPr>
              <w:t>2.2 Usposabljanje</w:t>
            </w:r>
          </w:p>
        </w:tc>
        <w:tc>
          <w:tcPr>
            <w:tcW w:w="1984" w:type="dxa"/>
          </w:tcPr>
          <w:p w:rsidR="00376A9F" w:rsidRDefault="00376A9F">
            <w:pPr>
              <w:spacing w:after="0"/>
              <w:jc w:val="right"/>
              <w:rPr>
                <w:noProof/>
                <w:sz w:val="20"/>
              </w:rPr>
            </w:pPr>
            <w:r>
              <w:rPr>
                <w:noProof/>
                <w:sz w:val="20"/>
              </w:rPr>
              <w:t>14</w:t>
            </w:r>
          </w:p>
        </w:tc>
        <w:tc>
          <w:tcPr>
            <w:tcW w:w="1701" w:type="dxa"/>
          </w:tcPr>
          <w:p w:rsidR="00376A9F" w:rsidRDefault="00376A9F">
            <w:pPr>
              <w:spacing w:after="0"/>
              <w:jc w:val="right"/>
              <w:rPr>
                <w:noProof/>
                <w:sz w:val="20"/>
              </w:rPr>
            </w:pPr>
            <w:r>
              <w:rPr>
                <w:noProof/>
                <w:sz w:val="20"/>
              </w:rPr>
              <w:t>0</w:t>
            </w:r>
          </w:p>
        </w:tc>
      </w:tr>
      <w:tr w:rsidR="00376A9F">
        <w:tc>
          <w:tcPr>
            <w:tcW w:w="4479" w:type="dxa"/>
          </w:tcPr>
          <w:p w:rsidR="00376A9F" w:rsidRDefault="00376A9F">
            <w:pPr>
              <w:spacing w:after="0"/>
              <w:ind w:left="284"/>
              <w:jc w:val="left"/>
              <w:rPr>
                <w:noProof/>
                <w:sz w:val="20"/>
              </w:rPr>
            </w:pPr>
            <w:r>
              <w:rPr>
                <w:noProof/>
                <w:sz w:val="20"/>
              </w:rPr>
              <w:t>2.3 Stroškovna učinkovitost</w:t>
            </w:r>
          </w:p>
        </w:tc>
        <w:tc>
          <w:tcPr>
            <w:tcW w:w="1984" w:type="dxa"/>
          </w:tcPr>
          <w:p w:rsidR="00376A9F" w:rsidRDefault="00376A9F">
            <w:pPr>
              <w:spacing w:after="0"/>
              <w:jc w:val="right"/>
              <w:rPr>
                <w:noProof/>
                <w:sz w:val="20"/>
              </w:rPr>
            </w:pPr>
            <w:r>
              <w:rPr>
                <w:noProof/>
                <w:sz w:val="20"/>
              </w:rPr>
              <w:t>47</w:t>
            </w:r>
          </w:p>
        </w:tc>
        <w:tc>
          <w:tcPr>
            <w:tcW w:w="1701" w:type="dxa"/>
          </w:tcPr>
          <w:p w:rsidR="00376A9F" w:rsidRDefault="00376A9F">
            <w:pPr>
              <w:spacing w:after="0"/>
              <w:jc w:val="right"/>
              <w:rPr>
                <w:noProof/>
                <w:sz w:val="20"/>
              </w:rPr>
            </w:pPr>
            <w:r>
              <w:rPr>
                <w:noProof/>
                <w:sz w:val="20"/>
              </w:rPr>
              <w:t>2</w:t>
            </w:r>
          </w:p>
        </w:tc>
      </w:tr>
      <w:tr w:rsidR="00376A9F">
        <w:tc>
          <w:tcPr>
            <w:tcW w:w="4479" w:type="dxa"/>
            <w:vAlign w:val="bottom"/>
          </w:tcPr>
          <w:p w:rsidR="00376A9F" w:rsidRDefault="00376A9F">
            <w:pPr>
              <w:spacing w:after="0"/>
              <w:jc w:val="left"/>
              <w:rPr>
                <w:b/>
                <w:bCs/>
                <w:noProof/>
                <w:sz w:val="20"/>
              </w:rPr>
            </w:pPr>
            <w:r>
              <w:rPr>
                <w:b/>
                <w:noProof/>
                <w:sz w:val="20"/>
              </w:rPr>
              <w:t>3 Kakovost in metodologija</w:t>
            </w:r>
          </w:p>
        </w:tc>
        <w:tc>
          <w:tcPr>
            <w:tcW w:w="1984" w:type="dxa"/>
          </w:tcPr>
          <w:p w:rsidR="00376A9F" w:rsidRDefault="00376A9F">
            <w:pPr>
              <w:spacing w:after="0"/>
              <w:jc w:val="right"/>
              <w:rPr>
                <w:b/>
                <w:noProof/>
                <w:sz w:val="20"/>
              </w:rPr>
            </w:pPr>
            <w:r>
              <w:rPr>
                <w:b/>
                <w:noProof/>
                <w:sz w:val="20"/>
              </w:rPr>
              <w:t>168</w:t>
            </w:r>
          </w:p>
        </w:tc>
        <w:tc>
          <w:tcPr>
            <w:tcW w:w="1701" w:type="dxa"/>
          </w:tcPr>
          <w:p w:rsidR="00376A9F" w:rsidRDefault="00376A9F">
            <w:pPr>
              <w:spacing w:after="0"/>
              <w:jc w:val="right"/>
              <w:rPr>
                <w:b/>
                <w:noProof/>
                <w:sz w:val="20"/>
              </w:rPr>
            </w:pPr>
            <w:r>
              <w:rPr>
                <w:b/>
                <w:noProof/>
                <w:sz w:val="20"/>
              </w:rPr>
              <w:t>7</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3.1 Zavezanost kakovosti</w:t>
            </w:r>
          </w:p>
        </w:tc>
        <w:tc>
          <w:tcPr>
            <w:tcW w:w="1984" w:type="dxa"/>
          </w:tcPr>
          <w:p w:rsidR="00376A9F" w:rsidRDefault="00376A9F">
            <w:pPr>
              <w:spacing w:after="0"/>
              <w:jc w:val="right"/>
              <w:rPr>
                <w:noProof/>
                <w:sz w:val="20"/>
              </w:rPr>
            </w:pPr>
            <w:r>
              <w:rPr>
                <w:noProof/>
                <w:sz w:val="20"/>
              </w:rPr>
              <w:t>64</w:t>
            </w:r>
          </w:p>
        </w:tc>
        <w:tc>
          <w:tcPr>
            <w:tcW w:w="1701" w:type="dxa"/>
          </w:tcPr>
          <w:p w:rsidR="00376A9F" w:rsidRDefault="00376A9F">
            <w:pPr>
              <w:spacing w:after="0"/>
              <w:jc w:val="right"/>
              <w:rPr>
                <w:noProof/>
                <w:sz w:val="20"/>
              </w:rPr>
            </w:pPr>
            <w:r>
              <w:rPr>
                <w:noProof/>
                <w:sz w:val="20"/>
              </w:rPr>
              <w:t>2</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3.2 Metodologija in varovanje zaupnosti</w:t>
            </w:r>
          </w:p>
        </w:tc>
        <w:tc>
          <w:tcPr>
            <w:tcW w:w="1984" w:type="dxa"/>
          </w:tcPr>
          <w:p w:rsidR="00376A9F" w:rsidRDefault="00376A9F">
            <w:pPr>
              <w:spacing w:after="0"/>
              <w:jc w:val="right"/>
              <w:rPr>
                <w:noProof/>
                <w:sz w:val="20"/>
              </w:rPr>
            </w:pPr>
            <w:r>
              <w:rPr>
                <w:noProof/>
                <w:sz w:val="20"/>
              </w:rPr>
              <w:t>46</w:t>
            </w:r>
          </w:p>
        </w:tc>
        <w:tc>
          <w:tcPr>
            <w:tcW w:w="1701" w:type="dxa"/>
          </w:tcPr>
          <w:p w:rsidR="00376A9F" w:rsidRDefault="00376A9F">
            <w:pPr>
              <w:spacing w:after="0"/>
              <w:jc w:val="right"/>
              <w:rPr>
                <w:noProof/>
                <w:sz w:val="20"/>
              </w:rPr>
            </w:pPr>
            <w:r>
              <w:rPr>
                <w:noProof/>
                <w:sz w:val="20"/>
              </w:rPr>
              <w:t>4</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3.3 Kakovost rezultatov in stiki z uporabniki</w:t>
            </w:r>
          </w:p>
        </w:tc>
        <w:tc>
          <w:tcPr>
            <w:tcW w:w="1984" w:type="dxa"/>
          </w:tcPr>
          <w:p w:rsidR="00376A9F" w:rsidRDefault="00376A9F">
            <w:pPr>
              <w:spacing w:after="0"/>
              <w:jc w:val="right"/>
              <w:rPr>
                <w:noProof/>
                <w:sz w:val="20"/>
              </w:rPr>
            </w:pPr>
            <w:r>
              <w:rPr>
                <w:noProof/>
                <w:sz w:val="20"/>
              </w:rPr>
              <w:t>58</w:t>
            </w:r>
          </w:p>
        </w:tc>
        <w:tc>
          <w:tcPr>
            <w:tcW w:w="1701" w:type="dxa"/>
          </w:tcPr>
          <w:p w:rsidR="00376A9F" w:rsidRDefault="00376A9F">
            <w:pPr>
              <w:spacing w:after="0"/>
              <w:jc w:val="right"/>
              <w:rPr>
                <w:noProof/>
                <w:sz w:val="20"/>
              </w:rPr>
            </w:pPr>
            <w:r>
              <w:rPr>
                <w:noProof/>
                <w:sz w:val="20"/>
              </w:rPr>
              <w:t>1</w:t>
            </w:r>
          </w:p>
        </w:tc>
      </w:tr>
      <w:tr w:rsidR="00376A9F">
        <w:tc>
          <w:tcPr>
            <w:tcW w:w="4479" w:type="dxa"/>
            <w:vAlign w:val="bottom"/>
          </w:tcPr>
          <w:p w:rsidR="00376A9F" w:rsidRDefault="00376A9F">
            <w:pPr>
              <w:spacing w:after="0"/>
              <w:jc w:val="left"/>
              <w:rPr>
                <w:b/>
                <w:bCs/>
                <w:noProof/>
                <w:sz w:val="20"/>
              </w:rPr>
            </w:pPr>
            <w:r>
              <w:rPr>
                <w:b/>
                <w:noProof/>
                <w:sz w:val="20"/>
              </w:rPr>
              <w:t>4 Zmanjšanje bremena in administrativni podatki</w:t>
            </w:r>
          </w:p>
        </w:tc>
        <w:tc>
          <w:tcPr>
            <w:tcW w:w="1984" w:type="dxa"/>
          </w:tcPr>
          <w:p w:rsidR="00376A9F" w:rsidRDefault="00376A9F">
            <w:pPr>
              <w:spacing w:after="0"/>
              <w:jc w:val="right"/>
              <w:rPr>
                <w:b/>
                <w:noProof/>
                <w:sz w:val="20"/>
              </w:rPr>
            </w:pPr>
            <w:r>
              <w:rPr>
                <w:b/>
                <w:noProof/>
                <w:sz w:val="20"/>
              </w:rPr>
              <w:t>68</w:t>
            </w:r>
          </w:p>
        </w:tc>
        <w:tc>
          <w:tcPr>
            <w:tcW w:w="1701" w:type="dxa"/>
          </w:tcPr>
          <w:p w:rsidR="00376A9F" w:rsidRDefault="00376A9F">
            <w:pPr>
              <w:spacing w:after="0"/>
              <w:jc w:val="right"/>
              <w:rPr>
                <w:b/>
                <w:noProof/>
                <w:sz w:val="20"/>
              </w:rPr>
            </w:pPr>
            <w:r>
              <w:rPr>
                <w:b/>
                <w:noProof/>
                <w:sz w:val="20"/>
              </w:rPr>
              <w:t>3</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4.1 Zmanjšanje bremena</w:t>
            </w:r>
          </w:p>
        </w:tc>
        <w:tc>
          <w:tcPr>
            <w:tcW w:w="1984" w:type="dxa"/>
          </w:tcPr>
          <w:p w:rsidR="00376A9F" w:rsidRDefault="00376A9F">
            <w:pPr>
              <w:spacing w:after="0"/>
              <w:jc w:val="right"/>
              <w:rPr>
                <w:noProof/>
                <w:sz w:val="20"/>
              </w:rPr>
            </w:pPr>
            <w:r>
              <w:rPr>
                <w:noProof/>
                <w:sz w:val="20"/>
              </w:rPr>
              <w:t>22</w:t>
            </w:r>
          </w:p>
        </w:tc>
        <w:tc>
          <w:tcPr>
            <w:tcW w:w="1701" w:type="dxa"/>
          </w:tcPr>
          <w:p w:rsidR="00376A9F" w:rsidRDefault="00376A9F">
            <w:pPr>
              <w:spacing w:after="0"/>
              <w:jc w:val="right"/>
              <w:rPr>
                <w:noProof/>
                <w:sz w:val="20"/>
              </w:rPr>
            </w:pPr>
            <w:r>
              <w:rPr>
                <w:noProof/>
                <w:sz w:val="20"/>
              </w:rPr>
              <w:t>2</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4.2 Administrativni podatki</w:t>
            </w:r>
          </w:p>
        </w:tc>
        <w:tc>
          <w:tcPr>
            <w:tcW w:w="1984" w:type="dxa"/>
          </w:tcPr>
          <w:p w:rsidR="00376A9F" w:rsidRDefault="00376A9F">
            <w:pPr>
              <w:spacing w:after="0"/>
              <w:jc w:val="right"/>
              <w:rPr>
                <w:noProof/>
                <w:sz w:val="20"/>
              </w:rPr>
            </w:pPr>
            <w:r>
              <w:rPr>
                <w:noProof/>
                <w:sz w:val="20"/>
              </w:rPr>
              <w:t>46</w:t>
            </w:r>
          </w:p>
        </w:tc>
        <w:tc>
          <w:tcPr>
            <w:tcW w:w="1701" w:type="dxa"/>
          </w:tcPr>
          <w:p w:rsidR="00376A9F" w:rsidRDefault="00376A9F">
            <w:pPr>
              <w:spacing w:after="0"/>
              <w:jc w:val="right"/>
              <w:rPr>
                <w:noProof/>
                <w:sz w:val="20"/>
              </w:rPr>
            </w:pPr>
            <w:r>
              <w:rPr>
                <w:noProof/>
                <w:sz w:val="20"/>
              </w:rPr>
              <w:t>1</w:t>
            </w:r>
          </w:p>
        </w:tc>
      </w:tr>
      <w:tr w:rsidR="00376A9F">
        <w:tc>
          <w:tcPr>
            <w:tcW w:w="4479" w:type="dxa"/>
            <w:vAlign w:val="bottom"/>
          </w:tcPr>
          <w:p w:rsidR="00376A9F" w:rsidRDefault="00376A9F">
            <w:pPr>
              <w:spacing w:after="0"/>
              <w:jc w:val="left"/>
              <w:rPr>
                <w:b/>
                <w:bCs/>
                <w:noProof/>
                <w:sz w:val="20"/>
              </w:rPr>
            </w:pPr>
            <w:r>
              <w:rPr>
                <w:b/>
                <w:noProof/>
                <w:sz w:val="20"/>
              </w:rPr>
              <w:t>5 Nepristranskost in izkazovanje</w:t>
            </w:r>
          </w:p>
        </w:tc>
        <w:tc>
          <w:tcPr>
            <w:tcW w:w="1984" w:type="dxa"/>
          </w:tcPr>
          <w:p w:rsidR="00376A9F" w:rsidRDefault="00376A9F">
            <w:pPr>
              <w:spacing w:after="0"/>
              <w:jc w:val="right"/>
              <w:rPr>
                <w:b/>
                <w:noProof/>
                <w:sz w:val="20"/>
              </w:rPr>
            </w:pPr>
            <w:r>
              <w:rPr>
                <w:b/>
                <w:noProof/>
                <w:sz w:val="20"/>
              </w:rPr>
              <w:t>152</w:t>
            </w:r>
          </w:p>
        </w:tc>
        <w:tc>
          <w:tcPr>
            <w:tcW w:w="1701" w:type="dxa"/>
          </w:tcPr>
          <w:p w:rsidR="00376A9F" w:rsidRDefault="00376A9F">
            <w:pPr>
              <w:spacing w:after="0"/>
              <w:jc w:val="right"/>
              <w:rPr>
                <w:b/>
                <w:noProof/>
                <w:sz w:val="20"/>
              </w:rPr>
            </w:pPr>
            <w:r>
              <w:rPr>
                <w:b/>
                <w:noProof/>
                <w:sz w:val="20"/>
              </w:rPr>
              <w:t>5</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5.1 Nepristranskost</w:t>
            </w:r>
          </w:p>
        </w:tc>
        <w:tc>
          <w:tcPr>
            <w:tcW w:w="1984" w:type="dxa"/>
          </w:tcPr>
          <w:p w:rsidR="00376A9F" w:rsidRDefault="00376A9F">
            <w:pPr>
              <w:spacing w:after="0"/>
              <w:jc w:val="right"/>
              <w:rPr>
                <w:noProof/>
                <w:sz w:val="20"/>
              </w:rPr>
            </w:pPr>
            <w:r>
              <w:rPr>
                <w:noProof/>
                <w:sz w:val="20"/>
              </w:rPr>
              <w:t>36</w:t>
            </w:r>
          </w:p>
        </w:tc>
        <w:tc>
          <w:tcPr>
            <w:tcW w:w="1701" w:type="dxa"/>
          </w:tcPr>
          <w:p w:rsidR="00376A9F" w:rsidRDefault="00376A9F">
            <w:pPr>
              <w:spacing w:after="0"/>
              <w:jc w:val="right"/>
              <w:rPr>
                <w:noProof/>
                <w:sz w:val="20"/>
              </w:rPr>
            </w:pPr>
            <w:r>
              <w:rPr>
                <w:noProof/>
                <w:sz w:val="20"/>
              </w:rPr>
              <w:t>1</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5.2 Izkazovanje: dostopnost in jasnost</w:t>
            </w:r>
          </w:p>
        </w:tc>
        <w:tc>
          <w:tcPr>
            <w:tcW w:w="1984" w:type="dxa"/>
          </w:tcPr>
          <w:p w:rsidR="00376A9F" w:rsidRDefault="00376A9F">
            <w:pPr>
              <w:spacing w:after="0"/>
              <w:jc w:val="right"/>
              <w:rPr>
                <w:noProof/>
                <w:sz w:val="20"/>
              </w:rPr>
            </w:pPr>
            <w:r>
              <w:rPr>
                <w:noProof/>
                <w:sz w:val="20"/>
              </w:rPr>
              <w:t>85</w:t>
            </w:r>
          </w:p>
        </w:tc>
        <w:tc>
          <w:tcPr>
            <w:tcW w:w="1701" w:type="dxa"/>
          </w:tcPr>
          <w:p w:rsidR="00376A9F" w:rsidRDefault="00376A9F">
            <w:pPr>
              <w:spacing w:after="0"/>
              <w:jc w:val="right"/>
              <w:rPr>
                <w:noProof/>
                <w:sz w:val="20"/>
              </w:rPr>
            </w:pPr>
            <w:r>
              <w:rPr>
                <w:noProof/>
                <w:sz w:val="20"/>
              </w:rPr>
              <w:t>1</w:t>
            </w:r>
          </w:p>
        </w:tc>
      </w:tr>
      <w:tr w:rsidR="00376A9F">
        <w:tc>
          <w:tcPr>
            <w:tcW w:w="4479" w:type="dxa"/>
            <w:vAlign w:val="bottom"/>
          </w:tcPr>
          <w:p w:rsidR="00376A9F" w:rsidRDefault="00376A9F" w:rsidP="00376A9F">
            <w:pPr>
              <w:spacing w:after="0"/>
              <w:ind w:firstLineChars="100" w:firstLine="31680"/>
              <w:jc w:val="left"/>
              <w:rPr>
                <w:bCs/>
                <w:noProof/>
                <w:sz w:val="20"/>
              </w:rPr>
            </w:pPr>
            <w:r>
              <w:rPr>
                <w:noProof/>
                <w:sz w:val="20"/>
              </w:rPr>
              <w:t>5.3 Izkazovanje mikropodatkov</w:t>
            </w:r>
          </w:p>
        </w:tc>
        <w:tc>
          <w:tcPr>
            <w:tcW w:w="1984" w:type="dxa"/>
          </w:tcPr>
          <w:p w:rsidR="00376A9F" w:rsidRDefault="00376A9F">
            <w:pPr>
              <w:spacing w:after="0"/>
              <w:jc w:val="right"/>
              <w:rPr>
                <w:noProof/>
                <w:sz w:val="20"/>
              </w:rPr>
            </w:pPr>
            <w:r>
              <w:rPr>
                <w:noProof/>
                <w:sz w:val="20"/>
              </w:rPr>
              <w:t>31</w:t>
            </w:r>
          </w:p>
        </w:tc>
        <w:tc>
          <w:tcPr>
            <w:tcW w:w="1701" w:type="dxa"/>
          </w:tcPr>
          <w:p w:rsidR="00376A9F" w:rsidRDefault="00376A9F">
            <w:pPr>
              <w:spacing w:after="0"/>
              <w:jc w:val="right"/>
              <w:rPr>
                <w:noProof/>
                <w:sz w:val="20"/>
              </w:rPr>
            </w:pPr>
            <w:r>
              <w:rPr>
                <w:noProof/>
                <w:sz w:val="20"/>
              </w:rPr>
              <w:t>3</w:t>
            </w:r>
          </w:p>
        </w:tc>
      </w:tr>
    </w:tbl>
    <w:p w:rsidR="00376A9F" w:rsidRDefault="00376A9F">
      <w:pPr>
        <w:pStyle w:val="Heading1"/>
        <w:spacing w:after="120"/>
        <w:ind w:left="482" w:hanging="482"/>
        <w:rPr>
          <w:noProof/>
        </w:rPr>
      </w:pPr>
      <w:r>
        <w:rPr>
          <w:noProof/>
        </w:rPr>
        <w:t>Ukrepi za izboljšanje</w:t>
      </w:r>
    </w:p>
    <w:p w:rsidR="00376A9F" w:rsidRDefault="00376A9F">
      <w:pPr>
        <w:pStyle w:val="Text1"/>
        <w:spacing w:after="120"/>
        <w:rPr>
          <w:noProof/>
        </w:rPr>
      </w:pPr>
      <w:r>
        <w:rPr>
          <w:noProof/>
        </w:rPr>
        <w:t>Nacionalni statistični uradi in Eurostat so pripravili izboljšane akcijske načrte v odziv na priporočila strokovnih ocenjevalcev. Ti izhajajo iz pametnega pristopa</w:t>
      </w:r>
      <w:r>
        <w:rPr>
          <w:rStyle w:val="FootnoteReference"/>
          <w:noProof/>
        </w:rPr>
        <w:footnoteReference w:id="9"/>
      </w:r>
      <w:r>
        <w:rPr>
          <w:noProof/>
        </w:rPr>
        <w:t>. Izvajanje je privedlo do skupaj 929 ukrepov za izboljšanje.</w:t>
      </w:r>
    </w:p>
    <w:p w:rsidR="00376A9F" w:rsidRDefault="00376A9F">
      <w:pPr>
        <w:pStyle w:val="Text1"/>
        <w:spacing w:after="120"/>
        <w:rPr>
          <w:noProof/>
        </w:rPr>
      </w:pPr>
      <w:r>
        <w:rPr>
          <w:noProof/>
        </w:rPr>
        <w:t>Izvajanje ukrepov za izboljšanje se bo spremljalo vsako leto. Nacionalni statistični uradi in Eurostat poročajo o svojem napredku in informacije, ki jih zagotovijo, so tako zajete v letnih poročilih Eurostata o napredku Odboru za evropski statistični sistem ter letnih poročilih Evropskega svetovalnega organa za upravljanje statističnih podatkov Evropskemu parlamentu in Svetu. Da bi ohranili zagon, bi bilo treba vse ukrepe za izboljšanje izvesti do konca leta 2019, ko bo Eurostat pripravil končno poročilo za Odbor za evropski statistični sistem.</w:t>
      </w:r>
    </w:p>
    <w:p w:rsidR="00376A9F" w:rsidRDefault="00376A9F">
      <w:pPr>
        <w:pStyle w:val="Heading1"/>
        <w:spacing w:before="120" w:after="120"/>
        <w:ind w:left="482" w:hanging="482"/>
        <w:rPr>
          <w:noProof/>
        </w:rPr>
      </w:pPr>
      <w:r>
        <w:rPr>
          <w:noProof/>
        </w:rPr>
        <w:t>Sklepne ugotovitve in naslednji koraki</w:t>
      </w:r>
    </w:p>
    <w:p w:rsidR="00376A9F" w:rsidRDefault="00376A9F">
      <w:pPr>
        <w:pStyle w:val="Text1"/>
        <w:spacing w:after="120"/>
        <w:rPr>
          <w:noProof/>
        </w:rPr>
      </w:pPr>
      <w:r>
        <w:rPr>
          <w:noProof/>
        </w:rPr>
        <w:t>Končni cilj ocen, opravljenih v tem krogu medsebojnih strokovnih pregledov, je krepitev statističnih sistemov na nacionalni in evropski ravni, s čimer se bo povečala zanesljivost in verodostojnost evropskih statističnih podatkov ter bo ESS kos prihodnjim izzivom. Sprejetje sklepa Komisije</w:t>
      </w:r>
      <w:r>
        <w:rPr>
          <w:rStyle w:val="FootnoteReference"/>
          <w:noProof/>
        </w:rPr>
        <w:footnoteReference w:id="10"/>
      </w:r>
      <w:r>
        <w:rPr>
          <w:noProof/>
        </w:rPr>
        <w:t xml:space="preserve"> o razširjeni vlogi Eurostata pri usklajevanju priprave evropske statistike, sprejetje Uredbe o spremembi Uredbe (ES) št. 223/2009 maja 2015, ki pomembno krepi neodvisnost nacionalnih statističnih uradov in njihovo vlogo pri usklajevanju in razvoju v okviru Vizije 2020</w:t>
      </w:r>
      <w:r>
        <w:rPr>
          <w:rStyle w:val="FootnoteReference"/>
          <w:noProof/>
        </w:rPr>
        <w:footnoteReference w:id="11"/>
      </w:r>
      <w:r>
        <w:rPr>
          <w:noProof/>
        </w:rPr>
        <w:t xml:space="preserve"> ESS, poudarja pomembnost medsebojnih strokovnih pregledov kot bistveno orodje za posodobitev ESS. Čeprav naloga že sama po sebi prinaša koristi tako, da člani ESS skrbno proučijo svoje politike, prakse in postopke, se njen poln učinek ne bo občutil, dokler ne bo izvajanje priporočil še napredovalo.</w:t>
      </w:r>
    </w:p>
    <w:p w:rsidR="00376A9F" w:rsidRDefault="00376A9F">
      <w:pPr>
        <w:pStyle w:val="Text1"/>
        <w:spacing w:after="120"/>
        <w:rPr>
          <w:noProof/>
        </w:rPr>
      </w:pPr>
      <w:r>
        <w:rPr>
          <w:noProof/>
        </w:rPr>
        <w:t>ESS mora v splošnem pokazati visoko raven skladnosti s Kodeksom. Statistični organi delujejo na trdni pravni podlagi, njihova verodostojnost in neodvisnost pa sta na splošno široko priznani ter uživata visoko raven zaupanja. Čeprav obstajajo pomembni pomisleki, povezani z viri, visoko strokovno, dobro izobraženo in motivirano osebje predstavlja pomembno prednost za ESS. Uporabljene metodologije in kakovost statističnih podatkov so se izboljšale zahvaljujoč nadaljnji standardizaciji in usklajevanju procesov. Kljub temu ostajajo številni izzivi, zlasti v zvezi z izboljšanjem in natančnejšim izvajanjem Kodeksa v okviru ESS.</w:t>
      </w:r>
    </w:p>
    <w:p w:rsidR="00376A9F" w:rsidRDefault="00376A9F">
      <w:pPr>
        <w:pStyle w:val="Text1"/>
        <w:spacing w:after="120"/>
        <w:rPr>
          <w:noProof/>
        </w:rPr>
      </w:pPr>
      <w:r>
        <w:rPr>
          <w:noProof/>
        </w:rPr>
        <w:t>Medtem ko pooblastilo statističnih organov in njihove dejavnosti določa njihova pravna podlaga, bi bilo treba okrepiti ali ponovno preveriti nekatere vidike in prakse. To je povezano zlasti z razvojem jasnih, preglednih in objektivnih postopkov za zaposlovanje in odpuščanje vodij statističnih organov. Čeprav se številni statistični organi niso strinjali s strokovnimi ocenjevalci, ker naj bi sledili splošnim upravnim postopkom, bi bilo treba to vprašanje dodatno obravnavati.</w:t>
      </w:r>
    </w:p>
    <w:p w:rsidR="00376A9F" w:rsidRDefault="00376A9F">
      <w:pPr>
        <w:pStyle w:val="Text1"/>
        <w:spacing w:after="120"/>
        <w:rPr>
          <w:noProof/>
        </w:rPr>
      </w:pPr>
      <w:r>
        <w:rPr>
          <w:noProof/>
        </w:rPr>
        <w:t>Dostop do administrativnih podatkov in njihova učinkovita uporaba sta ključnega pomena za doseganje stroškovne učinkovitosti in zmanjšanje obremenitve poročanja. Čeprav je bilo na tem področju doseženo spoštovanje zakonodaje, saj pravne podlage za nacionalne statistične urade na splošno omogočajo dostop, še vedno ostajajo nekatere praktične ovire za dejansko pridobitev dostopa. Korak naprej, ki so ga ugotovili strokovni ocenjevalci v številnih državah, je bil, da statistični organi sodelujejo pri odločanju o morebitnih načrtovanih spremembah ali prenehanju vodenja registrov ter oblikovanju novih registrov.</w:t>
      </w:r>
    </w:p>
    <w:p w:rsidR="00376A9F" w:rsidRDefault="00376A9F">
      <w:pPr>
        <w:pStyle w:val="Text1"/>
        <w:spacing w:after="120"/>
        <w:rPr>
          <w:noProof/>
        </w:rPr>
      </w:pPr>
      <w:r>
        <w:rPr>
          <w:noProof/>
        </w:rPr>
        <w:t xml:space="preserve">Usklajevanje uradnih statističnih podatkov predstavlja raznoliko sliko, deloma zato, ker so nacionalni statistični sistemi centralizirani v različni meri, in zaradi velikosti zadevnih držav. Obstajajo številni statistični organi, ki imajo močno pravno podlago ter učinkovito in priznano pooblastilo za usklajevanje dela drugih nacionalnih organov. V drugih primerih pa je usklajevanje neformalno in temelji na </w:t>
      </w:r>
      <w:r>
        <w:rPr>
          <w:i/>
          <w:noProof/>
        </w:rPr>
        <w:t>ad hoc</w:t>
      </w:r>
      <w:r>
        <w:rPr>
          <w:noProof/>
        </w:rPr>
        <w:t xml:space="preserve"> ureditvah in osebnih stikih. To je mogoče razumeti kot sprejemljivo, zlasti v manjših državah, vendar ta ureditev nacionalnim statističnim uradom ne omogoča, da bi imeli potrebna pooblastila za zagotovitev kakovosti evropske statistike. Da bi nacionalni statistični uradi učinkovito uskladili svoje nacionalne sisteme, bi bilo treba podpreti učinkovito usklajevalno vlogo s potrebnimi pravnimi določbami in institucionalnimi ureditvami.</w:t>
      </w:r>
    </w:p>
    <w:p w:rsidR="00376A9F" w:rsidRDefault="00376A9F">
      <w:pPr>
        <w:pStyle w:val="Text1"/>
        <w:spacing w:after="120"/>
        <w:rPr>
          <w:noProof/>
        </w:rPr>
      </w:pPr>
      <w:r>
        <w:rPr>
          <w:noProof/>
        </w:rPr>
        <w:t>Metodologija in kakovost sta že imeli koristi od povečanega sodelovanja na stopnji evropskega statističnega sistema, z uvedbo usklajenih in standardiziranih orodij in postopkov ter obsežnejšo izmenjavo znanja in izkušenj.</w:t>
      </w:r>
    </w:p>
    <w:p w:rsidR="00376A9F" w:rsidRDefault="00376A9F">
      <w:pPr>
        <w:pStyle w:val="Text1"/>
        <w:spacing w:after="120"/>
        <w:rPr>
          <w:noProof/>
        </w:rPr>
      </w:pPr>
      <w:r>
        <w:rPr>
          <w:noProof/>
        </w:rPr>
        <w:t>Viri so zaskrbljujoči. Vsi statistični organi imajo optimizirano ali optimizirajo rabo virov z vrsto ukrepov, vključno z določitvijo prednostnih nalog, z uporabo administrativnih podatkov in uvedbo avtomatiziranega zbiranja podatkov. Kljub temu nove in strožje zahteve politike pomenijo, da naj bi se ESS približeval kritičnemu pragu glede uravnoteženosti povečanja statističnih potreb in omejitve virov. Strokovni ocenjevalci skoraj soglasno poudarjajo, da je zagotovitev ustreznih virov skupaj z ohranjanjem prilagodljivosti glede tega, kako člani ESS uporabljajo te vire, bistvenega pomena za ohranjanje kakovosti evropske statistike.</w:t>
      </w:r>
    </w:p>
    <w:p w:rsidR="00376A9F" w:rsidRDefault="00376A9F">
      <w:pPr>
        <w:pStyle w:val="Text1"/>
        <w:spacing w:after="120"/>
        <w:rPr>
          <w:noProof/>
        </w:rPr>
      </w:pPr>
      <w:r>
        <w:rPr>
          <w:noProof/>
        </w:rPr>
        <w:t>Skratka, ta krog medsebojnih strokovnih pregledov je pokazal dinamični razvoj v ESS v zadnjih letih in vrednost evropskega sodelovanja za delo ESS. V odziv na priporočila so nacionalni statistični uradi in Eurostat pripravili akcijske načrte za izboljšanje, ki določajo praktične ukrepe za izboljšanje njihove učinkovitosti. Izvajanje se bo od pomladi leta 2016 pozorno letno spremljalo, spremljanje pa se bo predvidoma končalo do konca leta 2019. Prihodnji ukrepi bodo sprejeti glede na pridobljene in skupne izkušnje.</w:t>
      </w:r>
    </w:p>
    <w:sectPr w:rsidR="00376A9F" w:rsidSect="00376A9F">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A9F" w:rsidRDefault="00376A9F">
      <w:pPr>
        <w:spacing w:after="0"/>
      </w:pPr>
      <w:r>
        <w:separator/>
      </w:r>
    </w:p>
  </w:endnote>
  <w:endnote w:type="continuationSeparator" w:id="0">
    <w:p w:rsidR="00376A9F" w:rsidRDefault="00376A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
      <w:jc w:val="center"/>
    </w:pPr>
    <w:r>
      <w:fldChar w:fldCharType="begin"/>
    </w:r>
    <w:r>
      <w:instrText>PAGE</w:instrText>
    </w:r>
    <w:r>
      <w:fldChar w:fldCharType="separate"/>
    </w:r>
    <w:r>
      <w:rPr>
        <w:noProof/>
      </w:rPr>
      <w:t>11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Footer"/>
      <w:jc w:val="center"/>
    </w:pPr>
    <w:r>
      <w:fldChar w:fldCharType="begin"/>
    </w:r>
    <w:r>
      <w:instrText xml:space="preserve"> PAGE   \* MERGEFORMAT </w:instrText>
    </w:r>
    <w:r>
      <w:fldChar w:fldCharType="separate"/>
    </w:r>
    <w:r>
      <w:rPr>
        <w:noProof/>
      </w:rPr>
      <w:t>2</w:t>
    </w:r>
    <w:r>
      <w:fldChar w:fldCharType="end"/>
    </w:r>
  </w:p>
  <w:p w:rsidR="00376A9F" w:rsidRDefault="00376A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A9F" w:rsidRDefault="00376A9F">
      <w:pPr>
        <w:spacing w:after="0"/>
      </w:pPr>
      <w:r>
        <w:separator/>
      </w:r>
    </w:p>
  </w:footnote>
  <w:footnote w:type="continuationSeparator" w:id="0">
    <w:p w:rsidR="00376A9F" w:rsidRDefault="00376A9F">
      <w:pPr>
        <w:spacing w:after="0"/>
      </w:pPr>
      <w:r>
        <w:continuationSeparator/>
      </w:r>
    </w:p>
  </w:footnote>
  <w:footnote w:id="1">
    <w:p w:rsidR="00376A9F" w:rsidRDefault="00376A9F">
      <w:pPr>
        <w:pStyle w:val="FootnoteText"/>
        <w:spacing w:after="0"/>
        <w:ind w:left="0" w:firstLine="0"/>
      </w:pPr>
      <w:r>
        <w:rPr>
          <w:rStyle w:val="FootnoteReference"/>
        </w:rPr>
        <w:footnoteRef/>
      </w:r>
      <w:r>
        <w:t xml:space="preserve"> </w:t>
      </w:r>
      <w:hyperlink r:id="rId1">
        <w:r>
          <w:rPr>
            <w:rStyle w:val="Hyperlink"/>
          </w:rPr>
          <w:t>http://ec.europa.eu/eurostat/documents/3859598/5921861/KS-32-11-955-EN.PDF/5fa1ebc6-90bb-43fa-888f-dde032471e15</w:t>
        </w:r>
      </w:hyperlink>
      <w:r>
        <w:t>.</w:t>
      </w:r>
    </w:p>
  </w:footnote>
  <w:footnote w:id="2">
    <w:p w:rsidR="00376A9F" w:rsidRDefault="00376A9F">
      <w:pPr>
        <w:pStyle w:val="FootnoteText"/>
        <w:spacing w:after="0"/>
      </w:pPr>
      <w:r>
        <w:rPr>
          <w:rStyle w:val="FootnoteReference"/>
        </w:rPr>
        <w:footnoteRef/>
      </w:r>
      <w:r>
        <w:t xml:space="preserve"> </w:t>
      </w:r>
      <w:hyperlink r:id="rId2">
        <w:r>
          <w:rPr>
            <w:rStyle w:val="Hyperlink"/>
          </w:rPr>
          <w:t>UL L 87, 31.3.2009, str. 164</w:t>
        </w:r>
      </w:hyperlink>
      <w:r>
        <w:t xml:space="preserve">. </w:t>
      </w:r>
    </w:p>
  </w:footnote>
  <w:footnote w:id="3">
    <w:p w:rsidR="00376A9F" w:rsidRDefault="00376A9F">
      <w:pPr>
        <w:pStyle w:val="FootnoteText"/>
        <w:spacing w:after="0"/>
      </w:pPr>
      <w:r>
        <w:rPr>
          <w:rStyle w:val="FootnoteReference"/>
        </w:rPr>
        <w:footnoteRef/>
      </w:r>
      <w:r>
        <w:t xml:space="preserve"> Vsi sklici na načela in kazalnike se nanašajo na Kodeks ravnanja evropske statistike.</w:t>
      </w:r>
    </w:p>
  </w:footnote>
  <w:footnote w:id="4">
    <w:p w:rsidR="00376A9F" w:rsidRDefault="00376A9F">
      <w:pPr>
        <w:pStyle w:val="FootnoteText"/>
        <w:spacing w:after="0"/>
        <w:ind w:left="142" w:hanging="142"/>
      </w:pPr>
      <w:r>
        <w:rPr>
          <w:rStyle w:val="FootnoteReference"/>
        </w:rPr>
        <w:footnoteRef/>
      </w:r>
      <w:r>
        <w:t xml:space="preserve"> </w:t>
      </w:r>
      <w:hyperlink r:id="rId3">
        <w:r>
          <w:rPr>
            <w:rStyle w:val="Hyperlink"/>
          </w:rPr>
          <w:t>COM(2008) 621 final, 2008, poročilo Komisije Evropskemu parlamentu in Svetu o izvajanju Kodeksa ravnanja (7.10.2008).</w:t>
        </w:r>
      </w:hyperlink>
    </w:p>
  </w:footnote>
  <w:footnote w:id="5">
    <w:p w:rsidR="00376A9F" w:rsidRDefault="00376A9F">
      <w:pPr>
        <w:pStyle w:val="FootnoteText"/>
        <w:spacing w:after="0"/>
      </w:pPr>
      <w:r>
        <w:rPr>
          <w:rStyle w:val="FootnoteReference"/>
        </w:rPr>
        <w:footnoteRef/>
      </w:r>
      <w:r>
        <w:t xml:space="preserve"> </w:t>
      </w:r>
      <w:hyperlink r:id="rId4">
        <w:r>
          <w:rPr>
            <w:rStyle w:val="Hyperlink"/>
          </w:rPr>
          <w:t>http://www.eca.europa.eu/Lists/ECADocuments/SR12_12/SR12_12_EN.PDF</w:t>
        </w:r>
      </w:hyperlink>
      <w:r>
        <w:rPr>
          <w:rStyle w:val="Hyperlink"/>
        </w:rPr>
        <w:t>.</w:t>
      </w:r>
    </w:p>
  </w:footnote>
  <w:footnote w:id="6">
    <w:p w:rsidR="00376A9F" w:rsidRDefault="00376A9F">
      <w:pPr>
        <w:pStyle w:val="FootnoteText"/>
        <w:spacing w:after="0"/>
      </w:pPr>
      <w:r>
        <w:rPr>
          <w:rStyle w:val="FootnoteReference"/>
        </w:rPr>
        <w:footnoteRef/>
      </w:r>
      <w:r>
        <w:t xml:space="preserve"> </w:t>
      </w:r>
      <w:hyperlink r:id="rId5">
        <w:r>
          <w:rPr>
            <w:rStyle w:val="Hyperlink"/>
          </w:rPr>
          <w:t>http://ec.europa.eu/eurostat/web/quality/peer-reviews</w:t>
        </w:r>
      </w:hyperlink>
      <w:r>
        <w:rPr>
          <w:rStyle w:val="Hyperlink"/>
        </w:rPr>
        <w:t>.</w:t>
      </w:r>
    </w:p>
  </w:footnote>
  <w:footnote w:id="7">
    <w:p w:rsidR="00376A9F" w:rsidRDefault="00376A9F">
      <w:pPr>
        <w:pStyle w:val="FootnoteText"/>
        <w:spacing w:after="0"/>
      </w:pPr>
      <w:r>
        <w:rPr>
          <w:rStyle w:val="FootnoteReference"/>
        </w:rPr>
        <w:footnoteRef/>
      </w:r>
      <w:r>
        <w:t xml:space="preserve"> </w:t>
      </w:r>
      <w:hyperlink r:id="rId6">
        <w:r>
          <w:rPr>
            <w:rStyle w:val="Hyperlink"/>
          </w:rPr>
          <w:t>http://ec.europa.eu/eurostat/web/quality/peer-reviews</w:t>
        </w:r>
      </w:hyperlink>
      <w:r>
        <w:rPr>
          <w:rStyle w:val="Hyperlink"/>
        </w:rPr>
        <w:t>.</w:t>
      </w:r>
    </w:p>
  </w:footnote>
  <w:footnote w:id="8">
    <w:p w:rsidR="00376A9F" w:rsidRDefault="00376A9F">
      <w:pPr>
        <w:pStyle w:val="FootnoteText"/>
        <w:spacing w:after="0"/>
        <w:jc w:val="left"/>
      </w:pPr>
      <w:r>
        <w:rPr>
          <w:rStyle w:val="FootnoteReference"/>
        </w:rPr>
        <w:footnoteRef/>
      </w:r>
      <w:r>
        <w:t xml:space="preserve"> </w:t>
      </w:r>
      <w:hyperlink r:id="rId7">
        <w:r>
          <w:rPr>
            <w:rStyle w:val="Hyperlink"/>
          </w:rPr>
          <w:t>UL L 123, 19.5.2015, str. 90.</w:t>
        </w:r>
      </w:hyperlink>
    </w:p>
  </w:footnote>
  <w:footnote w:id="9">
    <w:p w:rsidR="00376A9F" w:rsidRDefault="00376A9F">
      <w:pPr>
        <w:pStyle w:val="FootnoteText"/>
        <w:spacing w:after="0"/>
      </w:pPr>
      <w:r>
        <w:rPr>
          <w:rStyle w:val="FootnoteReference"/>
        </w:rPr>
        <w:footnoteRef/>
      </w:r>
      <w:r>
        <w:t xml:space="preserve"> Ukrepi za izboljšanje morajo biti specifični, merljivi, dosegljivi, realistični in časovno omejeni.</w:t>
      </w:r>
    </w:p>
  </w:footnote>
  <w:footnote w:id="10">
    <w:p w:rsidR="00376A9F" w:rsidRDefault="00376A9F">
      <w:pPr>
        <w:pStyle w:val="FootnoteText"/>
        <w:spacing w:after="0"/>
      </w:pPr>
      <w:r>
        <w:rPr>
          <w:rStyle w:val="FootnoteReference"/>
        </w:rPr>
        <w:footnoteRef/>
      </w:r>
      <w:r>
        <w:t xml:space="preserve"> </w:t>
      </w:r>
      <w:hyperlink r:id="rId8">
        <w:r>
          <w:rPr>
            <w:rStyle w:val="Hyperlink"/>
          </w:rPr>
          <w:t>Sklep Komisije 2012/504/EU z dne 17. septembra 2012 o Eurostatu (UL L 251, 18.9.2012, str. 49).</w:t>
        </w:r>
      </w:hyperlink>
    </w:p>
  </w:footnote>
  <w:footnote w:id="11">
    <w:p w:rsidR="00376A9F" w:rsidRDefault="00376A9F">
      <w:pPr>
        <w:pStyle w:val="FootnoteText"/>
      </w:pPr>
      <w:r>
        <w:rPr>
          <w:rStyle w:val="FootnoteReference"/>
        </w:rPr>
        <w:footnoteRef/>
      </w:r>
      <w:r>
        <w:t xml:space="preserve"> </w:t>
      </w:r>
      <w:hyperlink r:id="rId9">
        <w:r>
          <w:rPr>
            <w:rStyle w:val="Hyperlink"/>
          </w:rPr>
          <w:t>Vizija 2020 ESS</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A9F" w:rsidRDefault="00376A9F">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AF9A3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404C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122CC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A9A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E0FE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8415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C02B1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EAE7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1530A4"/>
    <w:multiLevelType w:val="multilevel"/>
    <w:tmpl w:val="8CE23BCC"/>
    <w:lvl w:ilvl="0">
      <w:start w:val="1"/>
      <w:numFmt w:val="decimal"/>
      <w:pStyle w:val="ListNumber2"/>
      <w:lvlText w:val="(%1)"/>
      <w:lvlJc w:val="left"/>
      <w:pPr>
        <w:tabs>
          <w:tab w:val="num" w:pos="1911"/>
        </w:tabs>
        <w:ind w:left="1911" w:hanging="709"/>
      </w:pPr>
      <w:rPr>
        <w:rFonts w:cs="Times New Roman"/>
      </w:rPr>
    </w:lvl>
    <w:lvl w:ilvl="1">
      <w:start w:val="1"/>
      <w:numFmt w:val="lowerLetter"/>
      <w:pStyle w:val="ListNumber2Level2"/>
      <w:lvlText w:val="(%2)"/>
      <w:lvlJc w:val="left"/>
      <w:pPr>
        <w:tabs>
          <w:tab w:val="num" w:pos="2619"/>
        </w:tabs>
        <w:ind w:left="2619" w:hanging="708"/>
      </w:pPr>
      <w:rPr>
        <w:rFonts w:cs="Times New Roman"/>
      </w:r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F734306"/>
    <w:multiLevelType w:val="multilevel"/>
    <w:tmpl w:val="4976A9E2"/>
    <w:lvl w:ilvl="0">
      <w:start w:val="1"/>
      <w:numFmt w:val="decimal"/>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200"/>
        </w:tabs>
        <w:ind w:left="1200" w:hanging="720"/>
      </w:pPr>
      <w:rPr>
        <w:rFonts w:cs="Times New Roman"/>
      </w:rPr>
    </w:lvl>
    <w:lvl w:ilvl="2">
      <w:start w:val="1"/>
      <w:numFmt w:val="decimal"/>
      <w:pStyle w:val="Heading3"/>
      <w:lvlText w:val="%1.%2.%3."/>
      <w:lvlJc w:val="left"/>
      <w:pPr>
        <w:tabs>
          <w:tab w:val="num" w:pos="1920"/>
        </w:tabs>
        <w:ind w:left="1920" w:hanging="720"/>
      </w:pPr>
      <w:rPr>
        <w:rFonts w:cs="Times New Roman"/>
      </w:rPr>
    </w:lvl>
    <w:lvl w:ilvl="3">
      <w:start w:val="1"/>
      <w:numFmt w:val="decimal"/>
      <w:pStyle w:val="Heading4"/>
      <w:lvlText w:val="%1.%2.%3.%4."/>
      <w:lvlJc w:val="left"/>
      <w:pPr>
        <w:tabs>
          <w:tab w:val="num" w:pos="1920"/>
        </w:tabs>
        <w:ind w:left="1920" w:hanging="72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241D2055"/>
    <w:multiLevelType w:val="hybridMultilevel"/>
    <w:tmpl w:val="33CC8166"/>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2D293CE3"/>
    <w:multiLevelType w:val="hybridMultilevel"/>
    <w:tmpl w:val="42B46776"/>
    <w:name w:val="LegalNumParListTemplate2"/>
    <w:lvl w:ilvl="0" w:tplc="0C02F2CE">
      <w:start w:val="1"/>
      <w:numFmt w:val="decimal"/>
      <w:lvlText w:val="%1."/>
      <w:lvlJc w:val="left"/>
      <w:pPr>
        <w:tabs>
          <w:tab w:val="num" w:pos="476"/>
        </w:tabs>
        <w:ind w:left="476" w:hanging="476"/>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3">
    <w:nsid w:val="4773380A"/>
    <w:multiLevelType w:val="hybridMultilevel"/>
    <w:tmpl w:val="2A44B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5">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6">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7C6B63E6"/>
    <w:multiLevelType w:val="singleLevel"/>
    <w:tmpl w:val="0292EEF0"/>
    <w:name w:val="LegalNumParListTemplate"/>
    <w:lvl w:ilvl="0">
      <w:start w:val="1"/>
      <w:numFmt w:val="decimal"/>
      <w:lvlText w:val="%1."/>
      <w:lvlJc w:val="left"/>
      <w:pPr>
        <w:tabs>
          <w:tab w:val="num" w:pos="476"/>
        </w:tabs>
        <w:ind w:left="476" w:hanging="476"/>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
  </w:num>
  <w:num w:numId="12">
    <w:abstractNumId w:val="0"/>
  </w:num>
  <w:num w:numId="13">
    <w:abstractNumId w:val="12"/>
  </w:num>
  <w:num w:numId="14">
    <w:abstractNumId w:val="21"/>
  </w:num>
  <w:num w:numId="15">
    <w:abstractNumId w:val="15"/>
  </w:num>
  <w:num w:numId="16">
    <w:abstractNumId w:val="20"/>
  </w:num>
  <w:num w:numId="17">
    <w:abstractNumId w:val="27"/>
  </w:num>
  <w:num w:numId="18">
    <w:abstractNumId w:val="28"/>
  </w:num>
  <w:num w:numId="19">
    <w:abstractNumId w:val="18"/>
  </w:num>
  <w:num w:numId="20">
    <w:abstractNumId w:val="26"/>
  </w:num>
  <w:num w:numId="21">
    <w:abstractNumId w:val="25"/>
  </w:num>
  <w:num w:numId="22">
    <w:abstractNumId w:val="22"/>
  </w:num>
  <w:num w:numId="23">
    <w:abstractNumId w:val="24"/>
  </w:num>
  <w:num w:numId="24">
    <w:abstractNumId w:val="13"/>
  </w:num>
  <w:num w:numId="25">
    <w:abstractNumId w:val="19"/>
  </w:num>
  <w:num w:numId="26">
    <w:abstractNumId w:val="11"/>
  </w:num>
  <w:num w:numId="27">
    <w:abstractNumId w:val="16"/>
  </w:num>
  <w:num w:numId="28">
    <w:abstractNumId w:val="29"/>
  </w:num>
  <w:num w:numId="29">
    <w:abstractNumId w:val="17"/>
  </w:num>
  <w:num w:numId="30">
    <w:abstractNumId w:val="30"/>
  </w:num>
  <w:num w:numId="31">
    <w:abstractNumId w:val="10"/>
  </w:num>
  <w:num w:numId="32">
    <w:abstractNumId w:val="14"/>
  </w:num>
  <w:num w:numId="33">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FEF31F91187E4146968B4B4C75C5FB27"/>
    <w:docVar w:name="LW_CROSSREFERENCE" w:val="&lt;UNUSED&gt;"/>
    <w:docVar w:name="LW_DocType" w:val="REP"/>
    <w:docVar w:name="LW_EMISSION" w:val="7.3.2016"/>
    <w:docVar w:name="LW_EMISSION_ISODATE" w:val="2016-03-07"/>
    <w:docVar w:name="LW_EMISSION_LOCATION" w:val="BRX"/>
    <w:docVar w:name="LW_EMISSION_PREFIX" w:val="Bruselj, "/>
    <w:docVar w:name="LW_EMISSION_SUFFIX" w:val=" "/>
    <w:docVar w:name="LW_ID_DOCTYPE_NONLW" w:val="CP-006"/>
    <w:docVar w:name="LW_LANGUE" w:val="SL"/>
    <w:docVar w:name="LW_MARKING" w:val="&lt;UNUSED&g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16) 114"/>
    <w:docVar w:name="LW_REF.INTERNE" w:val="&lt;UNUSED&gt;"/>
    <w:docVar w:name="LW_SOUS.TITRE.OBJ.CP" w:val="&lt;UNUSED&gt;"/>
    <w:docVar w:name="LW_SUPERTITRE" w:val="&lt;UNUSED&gt;"/>
    <w:docVar w:name="LW_TITRE.OBJ.CP" w:val="o izvajanju Kodeksa ravnanja evropske statistike in usklajevanje v evropskem statisti\u269?nem sistemu"/>
    <w:docVar w:name="LW_TYPE.DOC.CP" w:val="PORO\u268?ILO KOMISIJE EVROPSKEMU PARLAMENTU IN SVETU"/>
    <w:docVar w:name="Stamp" w:val="\\dossiers.dgt.cec.eu.int\dossiers\ESTAT\ESTAT-2015-10460\ESTAT-2015-10460-00-00-EN-REV-00.DOC"/>
  </w:docVars>
  <w:rsids>
    <w:rsidRoot w:val="00887ADE"/>
    <w:rsid w:val="00376A9F"/>
    <w:rsid w:val="00887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val="sl-SI" w:eastAsia="sl-SI"/>
    </w:rPr>
  </w:style>
  <w:style w:type="paragraph" w:styleId="Heading1">
    <w:name w:val="heading 1"/>
    <w:basedOn w:val="Normal"/>
    <w:next w:val="Text1"/>
    <w:link w:val="Heading1Char"/>
    <w:uiPriority w:val="9"/>
    <w:qFormat/>
    <w:pPr>
      <w:keepNext/>
      <w:numPr>
        <w:numId w:val="13"/>
      </w:numPr>
      <w:spacing w:before="240"/>
      <w:outlineLvl w:val="0"/>
    </w:pPr>
    <w:rPr>
      <w:b/>
      <w:smallCaps/>
    </w:rPr>
  </w:style>
  <w:style w:type="paragraph" w:styleId="Heading2">
    <w:name w:val="heading 2"/>
    <w:basedOn w:val="Normal"/>
    <w:next w:val="Text2"/>
    <w:link w:val="Heading2Char"/>
    <w:uiPriority w:val="9"/>
    <w:qFormat/>
    <w:pPr>
      <w:keepNext/>
      <w:numPr>
        <w:ilvl w:val="1"/>
        <w:numId w:val="13"/>
      </w:numPr>
      <w:outlineLvl w:val="1"/>
    </w:pPr>
    <w:rPr>
      <w:b/>
    </w:rPr>
  </w:style>
  <w:style w:type="paragraph" w:styleId="Heading3">
    <w:name w:val="heading 3"/>
    <w:basedOn w:val="Normal"/>
    <w:next w:val="Text3"/>
    <w:link w:val="Heading3Char"/>
    <w:uiPriority w:val="9"/>
    <w:qFormat/>
    <w:pPr>
      <w:keepNext/>
      <w:numPr>
        <w:ilvl w:val="2"/>
        <w:numId w:val="13"/>
      </w:numPr>
      <w:outlineLvl w:val="2"/>
    </w:pPr>
    <w:rPr>
      <w:i/>
    </w:rPr>
  </w:style>
  <w:style w:type="paragraph" w:styleId="Heading4">
    <w:name w:val="heading 4"/>
    <w:basedOn w:val="Normal"/>
    <w:next w:val="Text4"/>
    <w:link w:val="Heading4Char"/>
    <w:uiPriority w:val="9"/>
    <w:qFormat/>
    <w:pPr>
      <w:keepNext/>
      <w:numPr>
        <w:ilvl w:val="3"/>
        <w:numId w:val="13"/>
      </w:numPr>
      <w:outlineLvl w:val="3"/>
    </w:pPr>
  </w:style>
  <w:style w:type="paragraph" w:styleId="Heading5">
    <w:name w:val="heading 5"/>
    <w:basedOn w:val="Normal"/>
    <w:next w:val="Normal"/>
    <w:link w:val="Heading5Char"/>
    <w:uiPriority w:val="9"/>
    <w:qFormat/>
    <w:pPr>
      <w:tabs>
        <w:tab w:val="num" w:pos="0"/>
      </w:tabs>
      <w:spacing w:before="240" w:after="60"/>
      <w:outlineLvl w:val="4"/>
    </w:pPr>
    <w:rPr>
      <w:rFonts w:ascii="Arial" w:hAnsi="Arial"/>
      <w:sz w:val="22"/>
    </w:rPr>
  </w:style>
  <w:style w:type="paragraph" w:styleId="Heading6">
    <w:name w:val="heading 6"/>
    <w:basedOn w:val="Normal"/>
    <w:next w:val="Normal"/>
    <w:link w:val="Heading6Char"/>
    <w:uiPriority w:val="9"/>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uiPriority w:val="9"/>
    <w:qFormat/>
    <w:pPr>
      <w:tabs>
        <w:tab w:val="num" w:pos="0"/>
      </w:tabs>
      <w:spacing w:before="240" w:after="60"/>
      <w:outlineLvl w:val="6"/>
    </w:pPr>
    <w:rPr>
      <w:rFonts w:ascii="Arial" w:hAnsi="Arial"/>
      <w:sz w:val="20"/>
    </w:rPr>
  </w:style>
  <w:style w:type="paragraph" w:styleId="Heading8">
    <w:name w:val="heading 8"/>
    <w:basedOn w:val="Normal"/>
    <w:next w:val="Normal"/>
    <w:link w:val="Heading8Char"/>
    <w:uiPriority w:val="9"/>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uiPriority w:val="9"/>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sl-SI" w:eastAsia="sl-SI"/>
    </w:rPr>
  </w:style>
  <w:style w:type="character" w:customStyle="1" w:styleId="Heading2Char">
    <w:name w:val="Heading 2 Char"/>
    <w:basedOn w:val="DefaultParagraphFont"/>
    <w:link w:val="Heading2"/>
    <w:uiPriority w:val="9"/>
    <w:rsid w:val="00A87128"/>
    <w:rPr>
      <w:b/>
      <w:sz w:val="24"/>
      <w:lang w:val="sl-SI" w:eastAsia="sl-SI"/>
    </w:rPr>
  </w:style>
  <w:style w:type="character" w:customStyle="1" w:styleId="Heading3Char">
    <w:name w:val="Heading 3 Char"/>
    <w:basedOn w:val="DefaultParagraphFont"/>
    <w:link w:val="Heading3"/>
    <w:uiPriority w:val="9"/>
    <w:rsid w:val="00A87128"/>
    <w:rPr>
      <w:i/>
      <w:sz w:val="24"/>
      <w:lang w:val="sl-SI" w:eastAsia="sl-SI"/>
    </w:rPr>
  </w:style>
  <w:style w:type="character" w:customStyle="1" w:styleId="Heading4Char">
    <w:name w:val="Heading 4 Char"/>
    <w:basedOn w:val="DefaultParagraphFont"/>
    <w:link w:val="Heading4"/>
    <w:uiPriority w:val="9"/>
    <w:rsid w:val="00A87128"/>
    <w:rPr>
      <w:sz w:val="24"/>
      <w:lang w:val="sl-SI" w:eastAsia="sl-SI"/>
    </w:rPr>
  </w:style>
  <w:style w:type="character" w:customStyle="1" w:styleId="Heading5Char">
    <w:name w:val="Heading 5 Char"/>
    <w:basedOn w:val="DefaultParagraphFont"/>
    <w:link w:val="Heading5"/>
    <w:uiPriority w:val="9"/>
    <w:semiHidden/>
    <w:rsid w:val="00A87128"/>
    <w:rPr>
      <w:rFonts w:asciiTheme="minorHAnsi" w:eastAsiaTheme="minorEastAsia" w:hAnsiTheme="minorHAnsi" w:cstheme="minorBidi"/>
      <w:b/>
      <w:bCs/>
      <w:i/>
      <w:iCs/>
      <w:sz w:val="26"/>
      <w:szCs w:val="26"/>
      <w:lang w:val="sl-SI" w:eastAsia="sl-SI"/>
    </w:rPr>
  </w:style>
  <w:style w:type="character" w:customStyle="1" w:styleId="Heading6Char">
    <w:name w:val="Heading 6 Char"/>
    <w:basedOn w:val="DefaultParagraphFont"/>
    <w:link w:val="Heading6"/>
    <w:uiPriority w:val="9"/>
    <w:semiHidden/>
    <w:rsid w:val="00A87128"/>
    <w:rPr>
      <w:rFonts w:asciiTheme="minorHAnsi" w:eastAsiaTheme="minorEastAsia" w:hAnsiTheme="minorHAnsi" w:cstheme="minorBidi"/>
      <w:b/>
      <w:bCs/>
      <w:sz w:val="22"/>
      <w:szCs w:val="22"/>
      <w:lang w:val="sl-SI" w:eastAsia="sl-SI"/>
    </w:rPr>
  </w:style>
  <w:style w:type="character" w:customStyle="1" w:styleId="Heading7Char">
    <w:name w:val="Heading 7 Char"/>
    <w:basedOn w:val="DefaultParagraphFont"/>
    <w:link w:val="Heading7"/>
    <w:uiPriority w:val="9"/>
    <w:semiHidden/>
    <w:rsid w:val="00A87128"/>
    <w:rPr>
      <w:rFonts w:asciiTheme="minorHAnsi" w:eastAsiaTheme="minorEastAsia" w:hAnsiTheme="minorHAnsi" w:cstheme="minorBidi"/>
      <w:sz w:val="24"/>
      <w:szCs w:val="24"/>
      <w:lang w:val="sl-SI" w:eastAsia="sl-SI"/>
    </w:rPr>
  </w:style>
  <w:style w:type="character" w:customStyle="1" w:styleId="Heading8Char">
    <w:name w:val="Heading 8 Char"/>
    <w:basedOn w:val="DefaultParagraphFont"/>
    <w:link w:val="Heading8"/>
    <w:uiPriority w:val="9"/>
    <w:semiHidden/>
    <w:rsid w:val="00A87128"/>
    <w:rPr>
      <w:rFonts w:asciiTheme="minorHAnsi" w:eastAsiaTheme="minorEastAsia" w:hAnsiTheme="minorHAnsi" w:cstheme="minorBidi"/>
      <w:i/>
      <w:iCs/>
      <w:sz w:val="24"/>
      <w:szCs w:val="24"/>
      <w:lang w:val="sl-SI" w:eastAsia="sl-SI"/>
    </w:rPr>
  </w:style>
  <w:style w:type="character" w:customStyle="1" w:styleId="Heading9Char">
    <w:name w:val="Heading 9 Char"/>
    <w:basedOn w:val="DefaultParagraphFont"/>
    <w:link w:val="Heading9"/>
    <w:uiPriority w:val="9"/>
    <w:semiHidden/>
    <w:rsid w:val="00A87128"/>
    <w:rPr>
      <w:rFonts w:asciiTheme="majorHAnsi" w:eastAsiaTheme="majorEastAsia" w:hAnsiTheme="majorHAnsi" w:cstheme="majorBidi"/>
      <w:sz w:val="22"/>
      <w:szCs w:val="22"/>
      <w:lang w:val="sl-SI" w:eastAsia="sl-SI"/>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uiPriority w:val="99"/>
    <w:pPr>
      <w:spacing w:after="120"/>
      <w:ind w:left="1440" w:right="144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sid w:val="00A87128"/>
    <w:rPr>
      <w:sz w:val="24"/>
      <w:lang w:val="sl-SI" w:eastAsia="sl-SI"/>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rsid w:val="00A87128"/>
    <w:rPr>
      <w:sz w:val="24"/>
      <w:lang w:val="sl-SI" w:eastAsia="sl-SI"/>
    </w:rPr>
  </w:style>
  <w:style w:type="paragraph" w:styleId="BodyText3">
    <w:name w:val="Body Text 3"/>
    <w:basedOn w:val="Normal"/>
    <w:link w:val="BodyText3Char"/>
    <w:uiPriority w:val="99"/>
    <w:pPr>
      <w:spacing w:after="120"/>
    </w:pPr>
    <w:rPr>
      <w:sz w:val="16"/>
    </w:rPr>
  </w:style>
  <w:style w:type="character" w:customStyle="1" w:styleId="BodyText3Char">
    <w:name w:val="Body Text 3 Char"/>
    <w:basedOn w:val="DefaultParagraphFont"/>
    <w:link w:val="BodyText3"/>
    <w:uiPriority w:val="99"/>
    <w:semiHidden/>
    <w:rsid w:val="00A87128"/>
    <w:rPr>
      <w:sz w:val="16"/>
      <w:szCs w:val="16"/>
      <w:lang w:val="sl-SI" w:eastAsia="sl-SI"/>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basedOn w:val="BodyTextChar"/>
    <w:link w:val="BodyTextFirstIndent"/>
    <w:uiPriority w:val="99"/>
    <w:semiHidden/>
    <w:rsid w:val="00A87128"/>
    <w:rPr>
      <w:sz w:val="24"/>
      <w:lang w:val="sl-SI" w:eastAsia="sl-SI"/>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rsid w:val="00A87128"/>
    <w:rPr>
      <w:sz w:val="24"/>
      <w:lang w:val="sl-SI" w:eastAsia="sl-SI"/>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semiHidden/>
    <w:rsid w:val="00A87128"/>
    <w:rPr>
      <w:sz w:val="24"/>
      <w:lang w:val="sl-SI" w:eastAsia="sl-SI"/>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rsid w:val="00A87128"/>
    <w:rPr>
      <w:sz w:val="24"/>
      <w:lang w:val="sl-SI" w:eastAsia="sl-SI"/>
    </w:rPr>
  </w:style>
  <w:style w:type="paragraph" w:styleId="BodyTextIndent3">
    <w:name w:val="Body Text Indent 3"/>
    <w:basedOn w:val="Normal"/>
    <w:link w:val="BodyTextIndent3Char"/>
    <w:uiPriority w:val="99"/>
    <w:pPr>
      <w:spacing w:after="120"/>
      <w:ind w:left="283"/>
    </w:pPr>
    <w:rPr>
      <w:sz w:val="16"/>
    </w:rPr>
  </w:style>
  <w:style w:type="character" w:customStyle="1" w:styleId="BodyTextIndent3Char">
    <w:name w:val="Body Text Indent 3 Char"/>
    <w:basedOn w:val="DefaultParagraphFont"/>
    <w:link w:val="BodyTextIndent3"/>
    <w:uiPriority w:val="99"/>
    <w:semiHidden/>
    <w:rsid w:val="00A87128"/>
    <w:rPr>
      <w:sz w:val="16"/>
      <w:szCs w:val="16"/>
      <w:lang w:val="sl-SI" w:eastAsia="sl-SI"/>
    </w:rPr>
  </w:style>
  <w:style w:type="paragraph" w:styleId="Caption">
    <w:name w:val="caption"/>
    <w:basedOn w:val="Normal"/>
    <w:next w:val="Normal"/>
    <w:uiPriority w:val="35"/>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semiHidden/>
    <w:rsid w:val="00A87128"/>
    <w:rPr>
      <w:sz w:val="24"/>
      <w:lang w:val="sl-SI" w:eastAsia="sl-SI"/>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lang w:val="x-none" w:eastAsia="sl-SI"/>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semiHidden/>
    <w:rsid w:val="00A87128"/>
    <w:rPr>
      <w:sz w:val="24"/>
      <w:lang w:val="sl-SI" w:eastAsia="sl-SI"/>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A87128"/>
    <w:rPr>
      <w:sz w:val="0"/>
      <w:szCs w:val="0"/>
      <w:lang w:val="sl-SI" w:eastAsia="sl-SI"/>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sid w:val="00A87128"/>
    <w:rPr>
      <w:lang w:val="sl-SI" w:eastAsia="sl-SI"/>
    </w:rPr>
  </w:style>
  <w:style w:type="paragraph" w:styleId="EnvelopeAddress">
    <w:name w:val="envelope address"/>
    <w:basedOn w:val="Normal"/>
    <w:uiPriority w:val="99"/>
    <w:pPr>
      <w:framePr w:w="7920" w:h="1980" w:hRule="exact" w:hSpace="180" w:wrap="auto" w:hAnchor="page" w:xAlign="center" w:yAlign="bottom"/>
      <w:spacing w:after="0"/>
    </w:pPr>
  </w:style>
  <w:style w:type="paragraph" w:styleId="EnvelopeReturn">
    <w:name w:val="envelope return"/>
    <w:basedOn w:val="Normal"/>
    <w:uiPriority w:val="99"/>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locked/>
    <w:rPr>
      <w:rFonts w:ascii="Arial" w:hAnsi="Arial"/>
      <w:sz w:val="16"/>
      <w:lang w:val="x-none" w:eastAsia="sl-SI"/>
    </w:rPr>
  </w:style>
  <w:style w:type="paragraph" w:styleId="FootnoteText">
    <w:name w:val="footnote text"/>
    <w:basedOn w:val="Normal"/>
    <w:link w:val="FootnoteTextChar"/>
    <w:uiPriority w:val="99"/>
    <w:pPr>
      <w:ind w:left="357" w:hanging="357"/>
    </w:pPr>
    <w:rPr>
      <w:sz w:val="20"/>
    </w:rPr>
  </w:style>
  <w:style w:type="character" w:customStyle="1" w:styleId="FootnoteTextChar">
    <w:name w:val="Footnote Text Char"/>
    <w:basedOn w:val="DefaultParagraphFont"/>
    <w:link w:val="FootnoteText"/>
    <w:uiPriority w:val="99"/>
    <w:semiHidden/>
    <w:rsid w:val="00A87128"/>
    <w:rPr>
      <w:lang w:val="sl-SI" w:eastAsia="sl-SI"/>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Pr>
      <w:sz w:val="24"/>
      <w:lang w:val="x-none" w:eastAsia="sl-SI"/>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uiPriority w:val="99"/>
    <w:pPr>
      <w:numPr>
        <w:numId w:val="14"/>
      </w:numPr>
    </w:pPr>
  </w:style>
  <w:style w:type="paragraph" w:styleId="ListBullet2">
    <w:name w:val="List Bullet 2"/>
    <w:basedOn w:val="Text2"/>
    <w:uiPriority w:val="99"/>
    <w:pPr>
      <w:numPr>
        <w:numId w:val="16"/>
      </w:numPr>
      <w:tabs>
        <w:tab w:val="clear" w:pos="2302"/>
      </w:tabs>
    </w:pPr>
  </w:style>
  <w:style w:type="paragraph" w:styleId="ListBullet3">
    <w:name w:val="List Bullet 3"/>
    <w:basedOn w:val="Text3"/>
    <w:uiPriority w:val="99"/>
    <w:pPr>
      <w:numPr>
        <w:numId w:val="17"/>
      </w:numPr>
      <w:tabs>
        <w:tab w:val="clear" w:pos="2302"/>
      </w:tabs>
    </w:pPr>
  </w:style>
  <w:style w:type="paragraph" w:styleId="ListBullet4">
    <w:name w:val="List Bullet 4"/>
    <w:basedOn w:val="Text4"/>
    <w:uiPriority w:val="99"/>
    <w:pPr>
      <w:numPr>
        <w:numId w:val="18"/>
      </w:numPr>
      <w:tabs>
        <w:tab w:val="clear" w:pos="2302"/>
      </w:tabs>
    </w:pPr>
  </w:style>
  <w:style w:type="paragraph" w:styleId="ListBullet5">
    <w:name w:val="List Bullet 5"/>
    <w:basedOn w:val="Normal"/>
    <w:autoRedefine/>
    <w:uiPriority w:val="99"/>
    <w:pPr>
      <w:numPr>
        <w:numId w:val="11"/>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24"/>
      </w:numPr>
    </w:pPr>
  </w:style>
  <w:style w:type="paragraph" w:styleId="ListNumber2">
    <w:name w:val="List Number 2"/>
    <w:basedOn w:val="Text2"/>
    <w:uiPriority w:val="99"/>
    <w:pPr>
      <w:numPr>
        <w:numId w:val="26"/>
      </w:numPr>
      <w:tabs>
        <w:tab w:val="clear" w:pos="2302"/>
      </w:tabs>
    </w:pPr>
  </w:style>
  <w:style w:type="paragraph" w:styleId="ListNumber3">
    <w:name w:val="List Number 3"/>
    <w:basedOn w:val="Text3"/>
    <w:uiPriority w:val="99"/>
    <w:pPr>
      <w:numPr>
        <w:numId w:val="27"/>
      </w:numPr>
      <w:tabs>
        <w:tab w:val="clear" w:pos="2302"/>
      </w:tabs>
    </w:pPr>
  </w:style>
  <w:style w:type="paragraph" w:styleId="ListNumber4">
    <w:name w:val="List Number 4"/>
    <w:basedOn w:val="Text4"/>
    <w:uiPriority w:val="99"/>
    <w:pPr>
      <w:numPr>
        <w:numId w:val="28"/>
      </w:numPr>
      <w:tabs>
        <w:tab w:val="clear" w:pos="2302"/>
      </w:tabs>
    </w:pPr>
  </w:style>
  <w:style w:type="paragraph" w:styleId="ListNumber5">
    <w:name w:val="List Number 5"/>
    <w:basedOn w:val="Normal"/>
    <w:uiPriority w:val="99"/>
    <w:pPr>
      <w:numPr>
        <w:numId w:val="12"/>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sl-SI" w:eastAsia="sl-SI"/>
    </w:rPr>
  </w:style>
  <w:style w:type="character" w:customStyle="1" w:styleId="MacroTextChar">
    <w:name w:val="Macro Text Char"/>
    <w:basedOn w:val="DefaultParagraphFont"/>
    <w:link w:val="MacroText"/>
    <w:uiPriority w:val="99"/>
    <w:semiHidden/>
    <w:rsid w:val="00A87128"/>
    <w:rPr>
      <w:rFonts w:ascii="Courier New" w:hAnsi="Courier New" w:cs="Courier New"/>
      <w:lang w:val="sl-SI" w:eastAsia="sl-SI"/>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uiPriority w:val="99"/>
    <w:semiHidden/>
    <w:rsid w:val="00A87128"/>
    <w:rPr>
      <w:rFonts w:asciiTheme="majorHAnsi" w:eastAsiaTheme="majorEastAsia" w:hAnsiTheme="majorHAnsi" w:cstheme="majorBidi"/>
      <w:sz w:val="24"/>
      <w:szCs w:val="24"/>
      <w:shd w:val="pct20" w:color="auto" w:fill="auto"/>
      <w:lang w:val="sl-SI" w:eastAsia="sl-SI"/>
    </w:rPr>
  </w:style>
  <w:style w:type="paragraph" w:styleId="NormalIndent">
    <w:name w:val="Normal Indent"/>
    <w:basedOn w:val="Normal"/>
    <w:uiPriority w:val="99"/>
    <w:pPr>
      <w:ind w:left="720"/>
    </w:pPr>
  </w:style>
  <w:style w:type="paragraph" w:styleId="NoteHeading">
    <w:name w:val="Note Heading"/>
    <w:basedOn w:val="Normal"/>
    <w:next w:val="Normal"/>
    <w:link w:val="NoteHeadingChar"/>
    <w:uiPriority w:val="99"/>
  </w:style>
  <w:style w:type="character" w:customStyle="1" w:styleId="NoteHeadingChar">
    <w:name w:val="Note Heading Char"/>
    <w:basedOn w:val="DefaultParagraphFont"/>
    <w:link w:val="NoteHeading"/>
    <w:uiPriority w:val="99"/>
    <w:semiHidden/>
    <w:rsid w:val="00A87128"/>
    <w:rPr>
      <w:sz w:val="24"/>
      <w:lang w:val="sl-SI" w:eastAsia="sl-SI"/>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basedOn w:val="DefaultParagraphFont"/>
    <w:link w:val="PlainText"/>
    <w:uiPriority w:val="99"/>
    <w:semiHidden/>
    <w:rsid w:val="00A87128"/>
    <w:rPr>
      <w:rFonts w:ascii="Courier New" w:hAnsi="Courier New" w:cs="Courier New"/>
      <w:lang w:val="sl-SI" w:eastAsia="sl-SI"/>
    </w:rPr>
  </w:style>
  <w:style w:type="paragraph" w:styleId="Salutation">
    <w:name w:val="Salutation"/>
    <w:basedOn w:val="Normal"/>
    <w:next w:val="Normal"/>
    <w:link w:val="SalutationChar"/>
    <w:uiPriority w:val="99"/>
  </w:style>
  <w:style w:type="character" w:customStyle="1" w:styleId="SalutationChar">
    <w:name w:val="Salutation Char"/>
    <w:basedOn w:val="DefaultParagraphFont"/>
    <w:link w:val="Salutation"/>
    <w:uiPriority w:val="99"/>
    <w:semiHidden/>
    <w:rsid w:val="00A87128"/>
    <w:rPr>
      <w:sz w:val="24"/>
      <w:lang w:val="sl-SI" w:eastAsia="sl-SI"/>
    </w:rPr>
  </w:style>
  <w:style w:type="paragraph" w:styleId="Signature">
    <w:name w:val="Signature"/>
    <w:basedOn w:val="Normal"/>
    <w:next w:val="Enclosures"/>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semiHidden/>
    <w:rsid w:val="00A87128"/>
    <w:rPr>
      <w:sz w:val="24"/>
      <w:lang w:val="sl-SI" w:eastAsia="sl-SI"/>
    </w:rPr>
  </w:style>
  <w:style w:type="paragraph" w:styleId="Subtitle">
    <w:name w:val="Subtitle"/>
    <w:basedOn w:val="Normal"/>
    <w:link w:val="SubtitleChar"/>
    <w:uiPriority w:val="11"/>
    <w:qFormat/>
    <w:pPr>
      <w:spacing w:after="60"/>
      <w:jc w:val="center"/>
      <w:outlineLvl w:val="1"/>
    </w:pPr>
    <w:rPr>
      <w:rFonts w:ascii="Arial" w:hAnsi="Arial"/>
    </w:rPr>
  </w:style>
  <w:style w:type="character" w:customStyle="1" w:styleId="SubtitleChar">
    <w:name w:val="Subtitle Char"/>
    <w:basedOn w:val="DefaultParagraphFont"/>
    <w:link w:val="Subtitle"/>
    <w:uiPriority w:val="11"/>
    <w:rsid w:val="00A87128"/>
    <w:rPr>
      <w:rFonts w:asciiTheme="majorHAnsi" w:eastAsiaTheme="majorEastAsia" w:hAnsiTheme="majorHAnsi" w:cstheme="majorBidi"/>
      <w:sz w:val="24"/>
      <w:szCs w:val="24"/>
      <w:lang w:val="sl-SI" w:eastAsia="sl-SI"/>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uiPriority w:val="99"/>
    <w:semiHidden/>
    <w:pPr>
      <w:ind w:left="240" w:hanging="240"/>
    </w:pPr>
  </w:style>
  <w:style w:type="paragraph" w:styleId="TableofFigures">
    <w:name w:val="table of figures"/>
    <w:basedOn w:val="Normal"/>
    <w:next w:val="Normal"/>
    <w:uiPriority w:val="99"/>
    <w:semiHidden/>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sid w:val="00A87128"/>
    <w:rPr>
      <w:rFonts w:asciiTheme="majorHAnsi" w:eastAsiaTheme="majorEastAsia" w:hAnsiTheme="majorHAnsi" w:cstheme="majorBidi"/>
      <w:b/>
      <w:bCs/>
      <w:kern w:val="28"/>
      <w:sz w:val="32"/>
      <w:szCs w:val="32"/>
      <w:lang w:val="sl-SI" w:eastAsia="sl-SI"/>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style>
  <w:style w:type="paragraph" w:styleId="TOC3">
    <w:name w:val="toc 3"/>
    <w:basedOn w:val="Normal"/>
    <w:next w:val="Normal"/>
    <w:uiPriority w:val="39"/>
    <w:semiHidden/>
    <w:pPr>
      <w:tabs>
        <w:tab w:val="right" w:leader="dot" w:pos="8640"/>
      </w:tabs>
      <w:spacing w:before="60" w:after="60"/>
      <w:ind w:left="1916" w:right="720" w:hanging="839"/>
    </w:pPr>
  </w:style>
  <w:style w:type="paragraph" w:styleId="TOC4">
    <w:name w:val="toc 4"/>
    <w:basedOn w:val="Normal"/>
    <w:next w:val="Normal"/>
    <w:uiPriority w:val="39"/>
    <w:semiHidden/>
    <w:pPr>
      <w:tabs>
        <w:tab w:val="right" w:leader="dot" w:pos="8641"/>
      </w:tabs>
      <w:spacing w:before="60" w:after="60"/>
      <w:ind w:left="2880" w:right="720" w:hanging="964"/>
    </w:pPr>
  </w:style>
  <w:style w:type="paragraph" w:styleId="TOC5">
    <w:name w:val="toc 5"/>
    <w:basedOn w:val="Normal"/>
    <w:next w:val="Normal"/>
    <w:uiPriority w:val="39"/>
    <w:semiHidden/>
    <w:pPr>
      <w:tabs>
        <w:tab w:val="right" w:leader="dot" w:pos="8641"/>
      </w:tabs>
      <w:spacing w:before="240" w:after="120"/>
      <w:ind w:right="720"/>
    </w:pPr>
    <w:rPr>
      <w:caps/>
    </w:rPr>
  </w:style>
  <w:style w:type="paragraph" w:styleId="TOC6">
    <w:name w:val="toc 6"/>
    <w:basedOn w:val="Normal"/>
    <w:next w:val="Normal"/>
    <w:autoRedefine/>
    <w:uiPriority w:val="39"/>
    <w:semiHidden/>
    <w:pPr>
      <w:ind w:left="1200"/>
    </w:pPr>
  </w:style>
  <w:style w:type="paragraph" w:styleId="TOC7">
    <w:name w:val="toc 7"/>
    <w:basedOn w:val="Normal"/>
    <w:next w:val="Normal"/>
    <w:autoRedefine/>
    <w:uiPriority w:val="39"/>
    <w:semiHidden/>
    <w:pPr>
      <w:ind w:left="1440"/>
    </w:pPr>
  </w:style>
  <w:style w:type="paragraph" w:styleId="TOC8">
    <w:name w:val="toc 8"/>
    <w:basedOn w:val="Normal"/>
    <w:next w:val="Normal"/>
    <w:autoRedefine/>
    <w:uiPriority w:val="39"/>
    <w:semiHidden/>
    <w:pPr>
      <w:ind w:left="1680"/>
    </w:pPr>
  </w:style>
  <w:style w:type="paragraph" w:styleId="TOC9">
    <w:name w:val="toc 9"/>
    <w:basedOn w:val="Normal"/>
    <w:next w:val="Normal"/>
    <w:autoRedefine/>
    <w:uiPriority w:val="39"/>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15"/>
      </w:numPr>
    </w:pPr>
  </w:style>
  <w:style w:type="paragraph" w:customStyle="1" w:styleId="ListDash">
    <w:name w:val="List Dash"/>
    <w:basedOn w:val="Normal"/>
    <w:pPr>
      <w:numPr>
        <w:numId w:val="19"/>
      </w:numPr>
    </w:pPr>
  </w:style>
  <w:style w:type="paragraph" w:customStyle="1" w:styleId="ListDash1">
    <w:name w:val="List Dash 1"/>
    <w:basedOn w:val="Text1"/>
    <w:pPr>
      <w:numPr>
        <w:numId w:val="20"/>
      </w:numPr>
    </w:pPr>
  </w:style>
  <w:style w:type="paragraph" w:customStyle="1" w:styleId="ListDash2">
    <w:name w:val="List Dash 2"/>
    <w:basedOn w:val="Text2"/>
    <w:pPr>
      <w:numPr>
        <w:numId w:val="21"/>
      </w:numPr>
      <w:tabs>
        <w:tab w:val="clear" w:pos="2302"/>
      </w:tabs>
    </w:pPr>
  </w:style>
  <w:style w:type="paragraph" w:customStyle="1" w:styleId="ListDash3">
    <w:name w:val="List Dash 3"/>
    <w:basedOn w:val="Text3"/>
    <w:pPr>
      <w:numPr>
        <w:numId w:val="22"/>
      </w:numPr>
      <w:tabs>
        <w:tab w:val="clear" w:pos="2302"/>
      </w:tabs>
    </w:pPr>
  </w:style>
  <w:style w:type="paragraph" w:customStyle="1" w:styleId="ListDash4">
    <w:name w:val="List Dash 4"/>
    <w:basedOn w:val="Text4"/>
    <w:pPr>
      <w:numPr>
        <w:numId w:val="23"/>
      </w:numPr>
      <w:tabs>
        <w:tab w:val="clear" w:pos="2302"/>
      </w:tabs>
    </w:pPr>
  </w:style>
  <w:style w:type="paragraph" w:customStyle="1" w:styleId="ListNumberLevel2">
    <w:name w:val="List Number (Level 2)"/>
    <w:basedOn w:val="Normal"/>
    <w:pPr>
      <w:numPr>
        <w:ilvl w:val="1"/>
        <w:numId w:val="24"/>
      </w:numPr>
    </w:pPr>
  </w:style>
  <w:style w:type="paragraph" w:customStyle="1" w:styleId="ListNumberLevel3">
    <w:name w:val="List Number (Level 3)"/>
    <w:basedOn w:val="Normal"/>
    <w:pPr>
      <w:numPr>
        <w:ilvl w:val="2"/>
        <w:numId w:val="24"/>
      </w:numPr>
    </w:pPr>
  </w:style>
  <w:style w:type="paragraph" w:customStyle="1" w:styleId="ListNumberLevel4">
    <w:name w:val="List Number (Level 4)"/>
    <w:basedOn w:val="Normal"/>
    <w:pPr>
      <w:numPr>
        <w:ilvl w:val="3"/>
        <w:numId w:val="24"/>
      </w:numPr>
    </w:pPr>
  </w:style>
  <w:style w:type="paragraph" w:customStyle="1" w:styleId="ListNumber1">
    <w:name w:val="List Number 1"/>
    <w:basedOn w:val="Text1"/>
    <w:pPr>
      <w:numPr>
        <w:numId w:val="25"/>
      </w:numPr>
    </w:pPr>
  </w:style>
  <w:style w:type="paragraph" w:customStyle="1" w:styleId="ListNumber1Level2">
    <w:name w:val="List Number 1 (Level 2)"/>
    <w:basedOn w:val="Text1"/>
    <w:pPr>
      <w:numPr>
        <w:ilvl w:val="1"/>
        <w:numId w:val="25"/>
      </w:numPr>
    </w:pPr>
  </w:style>
  <w:style w:type="paragraph" w:customStyle="1" w:styleId="ListNumber1Level3">
    <w:name w:val="List Number 1 (Level 3)"/>
    <w:basedOn w:val="Text1"/>
    <w:pPr>
      <w:numPr>
        <w:ilvl w:val="2"/>
        <w:numId w:val="25"/>
      </w:numPr>
    </w:pPr>
  </w:style>
  <w:style w:type="paragraph" w:customStyle="1" w:styleId="ListNumber1Level4">
    <w:name w:val="List Number 1 (Level 4)"/>
    <w:basedOn w:val="Text1"/>
    <w:pPr>
      <w:numPr>
        <w:ilvl w:val="3"/>
        <w:numId w:val="25"/>
      </w:numPr>
    </w:pPr>
  </w:style>
  <w:style w:type="paragraph" w:customStyle="1" w:styleId="ListNumber2Level2">
    <w:name w:val="List Number 2 (Level 2)"/>
    <w:basedOn w:val="Text2"/>
    <w:pPr>
      <w:numPr>
        <w:ilvl w:val="1"/>
        <w:numId w:val="26"/>
      </w:numPr>
      <w:tabs>
        <w:tab w:val="clear" w:pos="2302"/>
      </w:tabs>
    </w:pPr>
  </w:style>
  <w:style w:type="paragraph" w:customStyle="1" w:styleId="ListNumber2Level3">
    <w:name w:val="List Number 2 (Level 3)"/>
    <w:basedOn w:val="Text2"/>
    <w:pPr>
      <w:numPr>
        <w:ilvl w:val="2"/>
        <w:numId w:val="26"/>
      </w:numPr>
      <w:tabs>
        <w:tab w:val="clear" w:pos="2302"/>
      </w:tabs>
    </w:pPr>
  </w:style>
  <w:style w:type="paragraph" w:customStyle="1" w:styleId="ListNumber2Level4">
    <w:name w:val="List Number 2 (Level 4)"/>
    <w:basedOn w:val="Text2"/>
    <w:pPr>
      <w:numPr>
        <w:ilvl w:val="3"/>
        <w:numId w:val="26"/>
      </w:numPr>
      <w:tabs>
        <w:tab w:val="clear" w:pos="2302"/>
      </w:tabs>
    </w:pPr>
  </w:style>
  <w:style w:type="paragraph" w:customStyle="1" w:styleId="ListNumber3Level2">
    <w:name w:val="List Number 3 (Level 2)"/>
    <w:basedOn w:val="Text3"/>
    <w:pPr>
      <w:numPr>
        <w:ilvl w:val="1"/>
        <w:numId w:val="27"/>
      </w:numPr>
      <w:tabs>
        <w:tab w:val="clear" w:pos="2302"/>
      </w:tabs>
    </w:pPr>
  </w:style>
  <w:style w:type="paragraph" w:customStyle="1" w:styleId="ListNumber3Level3">
    <w:name w:val="List Number 3 (Level 3)"/>
    <w:basedOn w:val="Text3"/>
    <w:pPr>
      <w:numPr>
        <w:ilvl w:val="2"/>
        <w:numId w:val="27"/>
      </w:numPr>
      <w:tabs>
        <w:tab w:val="clear" w:pos="2302"/>
      </w:tabs>
    </w:pPr>
  </w:style>
  <w:style w:type="paragraph" w:customStyle="1" w:styleId="ListNumber3Level4">
    <w:name w:val="List Number 3 (Level 4)"/>
    <w:basedOn w:val="Text3"/>
    <w:pPr>
      <w:numPr>
        <w:ilvl w:val="3"/>
        <w:numId w:val="27"/>
      </w:numPr>
      <w:tabs>
        <w:tab w:val="clear" w:pos="2302"/>
      </w:tabs>
    </w:pPr>
  </w:style>
  <w:style w:type="paragraph" w:customStyle="1" w:styleId="ListNumber4Level2">
    <w:name w:val="List Number 4 (Level 2)"/>
    <w:basedOn w:val="Text4"/>
    <w:pPr>
      <w:numPr>
        <w:ilvl w:val="1"/>
        <w:numId w:val="28"/>
      </w:numPr>
      <w:tabs>
        <w:tab w:val="clear" w:pos="2302"/>
      </w:tabs>
    </w:pPr>
  </w:style>
  <w:style w:type="paragraph" w:customStyle="1" w:styleId="ListNumber4Level3">
    <w:name w:val="List Number 4 (Level 3)"/>
    <w:basedOn w:val="Text4"/>
    <w:pPr>
      <w:numPr>
        <w:ilvl w:val="2"/>
        <w:numId w:val="28"/>
      </w:numPr>
      <w:tabs>
        <w:tab w:val="clear" w:pos="2302"/>
      </w:tabs>
    </w:pPr>
  </w:style>
  <w:style w:type="paragraph" w:customStyle="1" w:styleId="ListNumber4Level4">
    <w:name w:val="List Number 4 (Level 4)"/>
    <w:basedOn w:val="Text4"/>
    <w:pPr>
      <w:numPr>
        <w:ilvl w:val="3"/>
        <w:numId w:val="28"/>
      </w:numPr>
      <w:tabs>
        <w:tab w:val="clear" w:pos="2302"/>
      </w:tabs>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1"/>
      </w:numPr>
    </w:pPr>
  </w:style>
  <w:style w:type="character" w:styleId="Strong">
    <w:name w:val="Strong"/>
    <w:basedOn w:val="DefaultParagraphFont"/>
    <w:uiPriority w:val="22"/>
    <w:qFormat/>
    <w:rPr>
      <w:b/>
    </w:rPr>
  </w:style>
  <w:style w:type="character" w:styleId="Hyperlink">
    <w:name w:val="Hyperlink"/>
    <w:basedOn w:val="DefaultParagraphFont"/>
    <w:uiPriority w:val="99"/>
    <w:rPr>
      <w:color w:val="0000FF"/>
      <w:u w:val="single"/>
    </w:rPr>
  </w:style>
  <w:style w:type="character" w:styleId="FootnoteReference">
    <w:name w:val="footnote reference"/>
    <w:aliases w:val="Odwołanie przypisu,Footnote symbol,Footnote Reference Number,Footnote Reference Superscript,SUPERS,Times 10 Point,Exposant 3 Point,Ref,de nota al pie,-E Fußnotenzeichen,ftref,number,stylish"/>
    <w:basedOn w:val="DefaultParagraphFont"/>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val="en-US" w:eastAsia="en-US"/>
    </w:rPr>
  </w:style>
  <w:style w:type="character" w:customStyle="1" w:styleId="FooterCoverPageChar">
    <w:name w:val="Footer Cover Page Char"/>
    <w:link w:val="FooterCoverPage"/>
    <w:locked/>
    <w:rPr>
      <w:sz w:val="24"/>
    </w:rPr>
  </w:style>
  <w:style w:type="paragraph" w:customStyle="1" w:styleId="HeaderCoverPage">
    <w:name w:val="Header Cover Page"/>
    <w:basedOn w:val="Normal"/>
    <w:link w:val="HeaderCoverPageChar"/>
    <w:pPr>
      <w:tabs>
        <w:tab w:val="center" w:pos="4535"/>
        <w:tab w:val="right" w:pos="9071"/>
      </w:tabs>
      <w:spacing w:after="120"/>
    </w:pPr>
    <w:rPr>
      <w:lang w:val="en-US" w:eastAsia="en-US"/>
    </w:rPr>
  </w:style>
  <w:style w:type="character" w:customStyle="1" w:styleId="HeaderCoverPageChar">
    <w:name w:val="Header Cover Page Char"/>
    <w:link w:val="HeaderCoverPage"/>
    <w:locked/>
    <w:rPr>
      <w:sz w:val="24"/>
    </w:rPr>
  </w:style>
  <w:style w:type="character" w:styleId="FollowedHyperlink">
    <w:name w:val="FollowedHyperlink"/>
    <w:basedOn w:val="DefaultParagraphFont"/>
    <w:uiPriority w:val="99"/>
    <w:semiHidden/>
    <w:unhideWhenUsed/>
    <w:rPr>
      <w:color w:val="800080"/>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x-none" w:eastAsia="sl-SI"/>
    </w:rPr>
  </w:style>
  <w:style w:type="character" w:styleId="CommentReference">
    <w:name w:val="annotation reference"/>
    <w:basedOn w:val="DefaultParagraphFont"/>
    <w:uiPriority w:val="99"/>
    <w:semiHidden/>
    <w:unhideWhenUsed/>
    <w:rPr>
      <w:sz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b/>
      <w:lang w:val="x-none" w:eastAsia="sl-SI"/>
    </w:rPr>
  </w:style>
  <w:style w:type="table" w:styleId="TableGrid">
    <w:name w:val="Table Grid"/>
    <w:basedOn w:val="TableNormal"/>
    <w:uiPriority w:val="5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302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PDF/?uri=CELEX:32012D0504&amp;rid=1" TargetMode="External"/><Relationship Id="rId3" Type="http://schemas.openxmlformats.org/officeDocument/2006/relationships/hyperlink" Target="http://eur-lex.europa.eu/LexUriServ/LexUriServ.do?uri=COM:2008:0621:FIN:EN:PDF" TargetMode="External"/><Relationship Id="rId7" Type="http://schemas.openxmlformats.org/officeDocument/2006/relationships/hyperlink" Target="http://eur-lex.europa.eu/legal-content/SL/TXT/PDF/?uri=CELEX:02009R0223-20150608&amp;qid=1438764647312&amp;from=EN" TargetMode="External"/><Relationship Id="rId2" Type="http://schemas.openxmlformats.org/officeDocument/2006/relationships/hyperlink" Target="http://eur-lex.europa.eu/legal-content/EN/TXT/PDF/?uri=CELEX:32009R0223&amp;rid=1" TargetMode="External"/><Relationship Id="rId1" Type="http://schemas.openxmlformats.org/officeDocument/2006/relationships/hyperlink" Target="http://ec.europa.eu/eurostat/documents/3859598/5921861/KS-32-11-955-EN.PDF/5fa1ebc6-90bb-43fa-888f-dde032471e15" TargetMode="External"/><Relationship Id="rId6" Type="http://schemas.openxmlformats.org/officeDocument/2006/relationships/hyperlink" Target="http://ec.europa.eu/eurostat/web/quality/peer-reviews" TargetMode="External"/><Relationship Id="rId5" Type="http://schemas.openxmlformats.org/officeDocument/2006/relationships/hyperlink" Target="http://ec.europa.eu/eurostat/web/quality/peer-reviews" TargetMode="External"/><Relationship Id="rId4" Type="http://schemas.openxmlformats.org/officeDocument/2006/relationships/hyperlink" Target="http://www.eca.europa.eu/Lists/ECADocuments/SR12_12/SR12_12_EN.PDF" TargetMode="External"/><Relationship Id="rId9" Type="http://schemas.openxmlformats.org/officeDocument/2006/relationships/hyperlink" Target="http://ec.europa.eu/eurostat/web/ess/about-us/ess-vision-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FCFD8-2591-4C03-B23F-796AD85C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12</TotalTime>
  <Pages>11</Pages>
  <Words>4084</Words>
  <Characters>25853</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EL4</cp:keywords>
  <dc:description/>
  <cp:lastModifiedBy/>
  <cp:revision>19</cp:revision>
  <cp:lastPrinted>2015-12-09T09:46:00Z</cp:lastPrinted>
  <dcterms:created xsi:type="dcterms:W3CDTF">2016-02-12T07:44:00Z</dcterms:created>
  <dcterms:modified xsi:type="dcterms:W3CDTF">2016-02-26T10:38:00Z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Kirsi Karkkainen</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name="OP_sanitized" fmtid="{D5CDD505-2E9C-101B-9397-08002B2CF9AE}" pid="17">
    <vt:lpwstr>True</vt:lpwstr>
  </property>
</Properties>
</file>