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EBA871BFB184695B0BA103DAB90E65F" style="width:450.8pt;height:365.65pt">
            <v:imagedata r:id="rId8" o:title=""/>
          </v:shape>
        </w:pict>
      </w:r>
    </w:p>
    <w:p>
      <w:pPr>
        <w:rPr>
          <w:noProof/>
        </w:rPr>
        <w:sectPr>
          <w:footerReference w:type="default" r:id="rId9"/>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OBRAZLOŽITVENI MEMORANDUM</w:t>
      </w:r>
    </w:p>
    <w:p>
      <w:pPr>
        <w:pStyle w:val="ManualHeading1"/>
        <w:rPr>
          <w:noProof/>
        </w:rPr>
      </w:pPr>
      <w:r>
        <w:rPr>
          <w:noProof/>
        </w:rPr>
        <w:t>1.</w:t>
      </w:r>
      <w:r>
        <w:rPr>
          <w:noProof/>
        </w:rPr>
        <w:tab/>
        <w:t>OZADJE PREDLOGA</w:t>
      </w:r>
    </w:p>
    <w:p>
      <w:pPr>
        <w:pStyle w:val="ManualHeading2"/>
        <w:rPr>
          <w:rFonts w:eastAsia="Arial Unicode MS"/>
          <w:noProof/>
        </w:rPr>
      </w:pPr>
      <w:r>
        <w:rPr>
          <w:noProof/>
          <w:color w:val="000000"/>
          <w:u w:color="000000"/>
          <w:bdr w:val="nil"/>
        </w:rPr>
        <w:t>•</w:t>
      </w:r>
      <w:r>
        <w:rPr>
          <w:noProof/>
        </w:rPr>
        <w:tab/>
        <w:t>Razlogi za predlog in njegovi cilji</w:t>
      </w:r>
    </w:p>
    <w:p>
      <w:pPr>
        <w:rPr>
          <w:noProof/>
        </w:rPr>
      </w:pPr>
      <w:r>
        <w:rPr>
          <w:noProof/>
        </w:rPr>
        <w:t>V skladu s členom 395(1) Direktive 2006/112/ES z dne 28. novembra 2006 o skupnem sistemu davka na dodano vrednost</w:t>
      </w:r>
      <w:r>
        <w:rPr>
          <w:rStyle w:val="FootnoteReference"/>
          <w:noProof/>
        </w:rPr>
        <w:footnoteReference w:id="1"/>
      </w:r>
      <w:r>
        <w:rPr>
          <w:noProof/>
        </w:rPr>
        <w:t xml:space="preserve"> lahko Svet na predlog Komisije soglasno dovoli kateri koli državi članici, da uvede posebne ukrepe, ki odstopajo od Direktive, za poenostavitev postopka obračunavanja davka ali za preprečevanje nekaterih vrst davčnih utaj ali izogibanja davkom.</w:t>
      </w:r>
    </w:p>
    <w:p>
      <w:pPr>
        <w:rPr>
          <w:noProof/>
        </w:rPr>
      </w:pPr>
      <w:r>
        <w:rPr>
          <w:noProof/>
        </w:rPr>
        <w:t>V dopisih, ki ju je Komisija evidentirala 19. marca 2015 in 16. marca 2015, sta Avstrija in Nemčija zaprosili za dovoljenje za nadaljnjo uporabo ukrepa, ki odstopa od členov 168 in 168a Direktive 2006/112/ES, da se iz pravice do odbitka izključi DDV na blago in storitve, ki se več kot 90-odstotno uporabljajo za neposlovne namene.</w:t>
      </w:r>
    </w:p>
    <w:p>
      <w:pPr>
        <w:rPr>
          <w:noProof/>
        </w:rPr>
      </w:pPr>
      <w:r>
        <w:rPr>
          <w:noProof/>
        </w:rPr>
        <w:t>V skladu s členom 395(2) Direktive 2006/112/ES je Komisija z dopisi z dne 15. septembra 2015 o zahtevah Avstrije in Nemčije obvestila druge države članice. Z dopisoma z dne 17. septembra 2015 je Komisija Avstrijo in Nemčijo obvestila, da ima na voljo vse informacije, potrebne za presojo zahtev.</w:t>
      </w:r>
    </w:p>
    <w:p>
      <w:pPr>
        <w:rPr>
          <w:noProof/>
        </w:rPr>
      </w:pPr>
      <w:r>
        <w:rPr>
          <w:noProof/>
        </w:rPr>
        <w:t xml:space="preserve">Člen 168 Direktive 2006/112/ES določa, da ima davčni zavezanec pravico do odbitka DDV, obračunanega pri nakupih, opravljenih za namene njegovih obdavčenih transakcij. Člen 168a(1) Direktive 2006/112/ES določa, da se DDV na izdatke, povezane z nepremičnino, ki je del poslovnih sredstev davčnega zavezanca in se uporablja v poslovne ali neposlovne namene, odbije samo za delež uporabe nepremičnine v poslovne namene davčnega zavezanca. V skladu s členom 168a(2) Direktive 2006/112/ES lahko države članice uporabljajo to pravilo tudi pri izdatkih, povezanih z drugim blagom, ki je po njihovi opredelitvi del poslovnih sredstev. </w:t>
      </w:r>
    </w:p>
    <w:p>
      <w:pPr>
        <w:rPr>
          <w:noProof/>
        </w:rPr>
      </w:pPr>
      <w:r>
        <w:rPr>
          <w:noProof/>
        </w:rPr>
        <w:t>Vendar ukrep, ki ga izvajata Avstrija in Nemčija, odstopa od teh načel ter iz pravice do odbitka v celoti izključuje DDV na blago in storitve, ki jih davčni zavezanci več kot 90-odstotno uporabljajo za zasebne ali neposlovne namene, vključno z negospodarskimi dejavnostmi.</w:t>
      </w:r>
    </w:p>
    <w:p>
      <w:pPr>
        <w:rPr>
          <w:noProof/>
        </w:rPr>
      </w:pPr>
      <w:r>
        <w:rPr>
          <w:noProof/>
        </w:rPr>
        <w:t>Ukrep odstopanja za Avstrijo je bil prvič odobren z Odločbo Sveta 2004/866/ES z dne 13. decembra 2004</w:t>
      </w:r>
      <w:r>
        <w:rPr>
          <w:rStyle w:val="FootnoteReference"/>
          <w:noProof/>
        </w:rPr>
        <w:footnoteReference w:id="2"/>
      </w:r>
      <w:r>
        <w:rPr>
          <w:noProof/>
        </w:rPr>
        <w:t xml:space="preserve"> za obdobje do 31. decembra 2009 ter ponovno odobren z Izvedbenim sklepom Sveta 2009/1013/EU z dne 22. decembra 2009</w:t>
      </w:r>
      <w:r>
        <w:rPr>
          <w:rStyle w:val="FootnoteReference"/>
          <w:noProof/>
        </w:rPr>
        <w:footnoteReference w:id="3"/>
      </w:r>
      <w:r>
        <w:rPr>
          <w:noProof/>
        </w:rPr>
        <w:t xml:space="preserve"> do 31. decembra 2012 in z Izvedbenim sklepom Sveta 2012/705/EU z dne 13. novembra 2012 do 31. decembra 2015</w:t>
      </w:r>
      <w:r>
        <w:rPr>
          <w:rStyle w:val="FootnoteReference"/>
          <w:noProof/>
        </w:rPr>
        <w:footnoteReference w:id="4"/>
      </w:r>
      <w:r>
        <w:rPr>
          <w:noProof/>
        </w:rPr>
        <w:t>.</w:t>
      </w:r>
    </w:p>
    <w:p>
      <w:pPr>
        <w:rPr>
          <w:noProof/>
        </w:rPr>
      </w:pPr>
      <w:r>
        <w:rPr>
          <w:noProof/>
        </w:rPr>
        <w:t>Ukrep odstopanja za Nemčijo je bil prvič odobren z Odločbo Sveta 2003/354/ES z dne 13. maja 2003</w:t>
      </w:r>
      <w:r>
        <w:rPr>
          <w:rStyle w:val="FootnoteReference"/>
          <w:noProof/>
        </w:rPr>
        <w:footnoteReference w:id="5"/>
      </w:r>
      <w:r>
        <w:rPr>
          <w:noProof/>
        </w:rPr>
        <w:t xml:space="preserve"> za obdobje do 30. junija 2004, z Odločbo Sveta 2004/817/ES z dne 19. novembra 2004</w:t>
      </w:r>
      <w:r>
        <w:rPr>
          <w:rStyle w:val="FootnoteReference"/>
          <w:noProof/>
        </w:rPr>
        <w:footnoteReference w:id="6"/>
      </w:r>
      <w:r>
        <w:rPr>
          <w:noProof/>
        </w:rPr>
        <w:t xml:space="preserve"> do 31. decembra 2009, z Odločbo Sveta 2009/791/ES z dne </w:t>
      </w:r>
      <w:r>
        <w:rPr>
          <w:noProof/>
        </w:rPr>
        <w:lastRenderedPageBreak/>
        <w:t>20. oktobra 2009</w:t>
      </w:r>
      <w:r>
        <w:rPr>
          <w:rStyle w:val="FootnoteReference"/>
          <w:noProof/>
        </w:rPr>
        <w:footnoteReference w:id="7"/>
      </w:r>
      <w:r>
        <w:rPr>
          <w:noProof/>
        </w:rPr>
        <w:t xml:space="preserve"> do 31. decembra 2012 in z Izvedbenim sklepom Sveta 2012/705/EU z dne 13. novembra 2012 do 31. decembra 2015.</w:t>
      </w:r>
    </w:p>
    <w:p>
      <w:pPr>
        <w:rPr>
          <w:noProof/>
        </w:rPr>
      </w:pPr>
      <w:r>
        <w:rPr>
          <w:noProof/>
        </w:rPr>
        <w:t>V njunih sedanjih zahtevah sta Avstrija in Nemčija obvestili Komisijo, da sta doslej uspešno uporabljali ta posebni ukrep in da je glede na izkušnje zelo koristen za poenostavitev pobiranja DDV ter preprečevanje davčnih utaj in izogibanja davkom.</w:t>
      </w:r>
    </w:p>
    <w:p>
      <w:pPr>
        <w:rPr>
          <w:noProof/>
        </w:rPr>
      </w:pPr>
      <w:r>
        <w:rPr>
          <w:noProof/>
        </w:rPr>
        <w:t xml:space="preserve">Odstopanja se običajno odobrijo za omejeno obdobje, da se lahko oceni, ali je posebni ukrep ustrezen in učinkovit. V zvezi s tem in na podlagi informacij, ki sta jih predložili Avstrija in Nemčija, Komisija razume, da razdelitev 90 % / 10 % med poslovno in neposlovno uporabo še vedno predstavlja trdno osnovo za razvrščanje transakcij, na podlagi katere se lahko poslovno uporabo opredeli kot zanemarljivo. </w:t>
      </w:r>
    </w:p>
    <w:p>
      <w:pPr>
        <w:rPr>
          <w:noProof/>
        </w:rPr>
      </w:pPr>
      <w:r>
        <w:rPr>
          <w:noProof/>
        </w:rPr>
        <w:t>Posledično zadevni posebni ukrep omogoča poenostavitev tako za davčne uprave kot tudi za podjetja, saj ni potrebe po kakršnem koli spremljanju poznejše uporabe blaga in storitev, za katere se odbitek ni uveljavljal v času njihovega nakupa, zlasti v zvezi z možno obdavčitvijo zasebne uporabe v skladu s členom 16 ali 26 Direktive 2006/112/ES ali popravki odbitkov, kot se zahtevajo v členih 184–192 te direktive. Ukrep le v zanemarljivem obsegu vpliva na znesek dolgovanega davka pri končni potrošnji. Ukrep odstopanja je zato primerno podaljšati.</w:t>
      </w:r>
    </w:p>
    <w:p>
      <w:pPr>
        <w:rPr>
          <w:noProof/>
        </w:rPr>
      </w:pPr>
      <w:r>
        <w:rPr>
          <w:noProof/>
        </w:rPr>
        <w:t>Vendar pa bi moralo biti vsako podaljšanje časovno omejeno, da se oceni, ali so pogoji, na katerih temeljijo odstopanja, še vedno veljavni. Zato se predlaga podaljšanje odstopanj do konca leta 2018, od Avstrije in Nemčije pa se zahteva, da skupaj z zahtevo za podaljšanje najpozneje do 1. aprila 2018 predložita poročilo, ki vključuje pregled razdelitve na poslovno in neposlovno uporabo, ki se je uporabljala kot osnova za izključitev iz odbitka, in sicer za preučitev možnosti podaljšanja ukrepa po letu 2018.</w:t>
      </w:r>
    </w:p>
    <w:p>
      <w:pPr>
        <w:pStyle w:val="ManualHeading2"/>
        <w:rPr>
          <w:rFonts w:eastAsia="Arial Unicode MS"/>
          <w:noProof/>
        </w:rPr>
      </w:pPr>
      <w:r>
        <w:rPr>
          <w:noProof/>
          <w:color w:val="000000"/>
          <w:u w:color="000000"/>
          <w:bdr w:val="nil"/>
        </w:rPr>
        <w:t>•</w:t>
      </w:r>
      <w:r>
        <w:rPr>
          <w:noProof/>
        </w:rPr>
        <w:tab/>
        <w:t>Usklajenost z obstoječimi določbami na področju politike</w:t>
      </w:r>
    </w:p>
    <w:p>
      <w:pPr>
        <w:rPr>
          <w:noProof/>
        </w:rPr>
      </w:pPr>
      <w:r>
        <w:rPr>
          <w:noProof/>
        </w:rPr>
        <w:t>Člen 176 direktive 2006/112/ES določa, da Svet odloči, za katere izdatke ni dana pravica do odbitka DDV. Do takrat dovoljuje državam članicam, da ohranijo izključitve, ki so veljale 1. januarja 1979. Zato veliko določb, ki omejujejo pravico do odbitka, miruje.</w:t>
      </w:r>
    </w:p>
    <w:p>
      <w:pPr>
        <w:pStyle w:val="ManualHeading1"/>
        <w:rPr>
          <w:noProof/>
        </w:rPr>
      </w:pPr>
      <w:r>
        <w:rPr>
          <w:noProof/>
        </w:rPr>
        <w:t>2.</w:t>
      </w:r>
      <w:r>
        <w:rPr>
          <w:noProof/>
        </w:rPr>
        <w:tab/>
        <w:t>PRAVNA PODLAGA, SUBSIDIARNOST IN SORAZMERNOST</w:t>
      </w:r>
    </w:p>
    <w:p>
      <w:pPr>
        <w:pStyle w:val="ManualHeading2"/>
        <w:rPr>
          <w:rFonts w:eastAsia="Arial Unicode MS"/>
          <w:noProof/>
          <w:u w:color="000000"/>
          <w:bdr w:val="nil"/>
        </w:rPr>
      </w:pPr>
      <w:r>
        <w:rPr>
          <w:noProof/>
        </w:rPr>
        <w:t>•</w:t>
      </w:r>
      <w:r>
        <w:rPr>
          <w:noProof/>
        </w:rPr>
        <w:tab/>
        <w:t>Pravna podlaga</w:t>
      </w:r>
    </w:p>
    <w:p>
      <w:pPr>
        <w:pBdr>
          <w:top w:val="nil"/>
          <w:left w:val="nil"/>
          <w:bottom w:val="nil"/>
          <w:right w:val="nil"/>
          <w:between w:val="nil"/>
          <w:bar w:val="nil"/>
        </w:pBdr>
        <w:spacing w:before="0" w:after="240"/>
        <w:rPr>
          <w:rFonts w:eastAsia="Arial Unicode MS"/>
          <w:noProof/>
        </w:rPr>
      </w:pPr>
      <w:r>
        <w:rPr>
          <w:noProof/>
        </w:rPr>
        <w:t>Člen 395(1) Direktive Sveta 2006/112/ES z dne 28. novembra 2006 o skupnem sistemu davka na dodano vrednost.</w:t>
      </w:r>
    </w:p>
    <w:p>
      <w:pPr>
        <w:pStyle w:val="ManualHeading2"/>
        <w:rPr>
          <w:rFonts w:eastAsia="Arial Unicode MS"/>
          <w:noProof/>
          <w:u w:color="000000"/>
          <w:bdr w:val="nil"/>
        </w:rPr>
      </w:pPr>
      <w:r>
        <w:rPr>
          <w:noProof/>
        </w:rPr>
        <w:t>•</w:t>
      </w:r>
      <w:r>
        <w:rPr>
          <w:noProof/>
        </w:rPr>
        <w:tab/>
        <w:t xml:space="preserve">Subsidiarnost (za neizključno pristojnost) </w:t>
      </w:r>
    </w:p>
    <w:p>
      <w:pPr>
        <w:rPr>
          <w:noProof/>
        </w:rPr>
      </w:pPr>
      <w:r>
        <w:rPr>
          <w:noProof/>
        </w:rPr>
        <w:t>Predlog je v izključni pristojnosti Unije. Načelo subsidiarnosti se zato ne uporablja.</w:t>
      </w:r>
    </w:p>
    <w:p>
      <w:pPr>
        <w:pStyle w:val="ManualHeading2"/>
        <w:rPr>
          <w:rFonts w:eastAsia="Arial Unicode MS"/>
          <w:noProof/>
          <w:u w:color="000000"/>
          <w:bdr w:val="nil"/>
        </w:rPr>
      </w:pPr>
      <w:r>
        <w:rPr>
          <w:noProof/>
        </w:rPr>
        <w:t>•</w:t>
      </w:r>
      <w:r>
        <w:rPr>
          <w:noProof/>
        </w:rPr>
        <w:tab/>
        <w:t>Sorazmernost</w:t>
      </w:r>
    </w:p>
    <w:p>
      <w:pPr>
        <w:rPr>
          <w:noProof/>
        </w:rPr>
      </w:pPr>
      <w:r>
        <w:rPr>
          <w:noProof/>
        </w:rPr>
        <w:t>Predlog je skladen z načelom sorazmernosti iz naslednjih razlogov:</w:t>
      </w:r>
    </w:p>
    <w:p>
      <w:pPr>
        <w:rPr>
          <w:noProof/>
        </w:rPr>
      </w:pPr>
      <w:r>
        <w:rPr>
          <w:noProof/>
        </w:rPr>
        <w:t>ta sklep se nanaša na dovoljenje, izdano državama članicama na njuno zahtevo, in ne pomeni nobene obveznosti.</w:t>
      </w:r>
    </w:p>
    <w:p>
      <w:pPr>
        <w:rPr>
          <w:noProof/>
        </w:rPr>
      </w:pPr>
      <w:r>
        <w:rPr>
          <w:noProof/>
        </w:rPr>
        <w:t>Zaradi ozkega področja, za katerega velja odstopanje, je posebni ukrep sorazmeren z želenim ciljem.</w:t>
      </w:r>
    </w:p>
    <w:p>
      <w:pPr>
        <w:pStyle w:val="ManualHeading2"/>
        <w:rPr>
          <w:rFonts w:eastAsia="Arial Unicode MS"/>
          <w:noProof/>
          <w:u w:color="000000"/>
          <w:bdr w:val="nil"/>
        </w:rPr>
      </w:pPr>
      <w:r>
        <w:rPr>
          <w:noProof/>
        </w:rPr>
        <w:lastRenderedPageBreak/>
        <w:t>•</w:t>
      </w:r>
      <w:r>
        <w:rPr>
          <w:noProof/>
        </w:rPr>
        <w:tab/>
        <w:t>Izbira instrumenta</w:t>
      </w:r>
    </w:p>
    <w:p>
      <w:pPr>
        <w:rPr>
          <w:noProof/>
        </w:rPr>
      </w:pPr>
      <w:r>
        <w:rPr>
          <w:noProof/>
        </w:rPr>
        <w:t>Predlagani instrumenti: izvedbeni sklep Sveta.</w:t>
      </w:r>
    </w:p>
    <w:p>
      <w:pPr>
        <w:rPr>
          <w:noProof/>
        </w:rPr>
      </w:pPr>
      <w:r>
        <w:rPr>
          <w:noProof/>
        </w:rPr>
        <w:t>Druga sredstva ne bi bila ustrezna iz naslednjih razlogov:</w:t>
      </w:r>
    </w:p>
    <w:p>
      <w:pPr>
        <w:pBdr>
          <w:top w:val="nil"/>
          <w:left w:val="nil"/>
          <w:bottom w:val="nil"/>
          <w:right w:val="nil"/>
          <w:between w:val="nil"/>
          <w:bar w:val="nil"/>
        </w:pBdr>
        <w:spacing w:before="0" w:after="240"/>
        <w:rPr>
          <w:rFonts w:eastAsia="Arial Unicode MS"/>
          <w:noProof/>
        </w:rPr>
      </w:pPr>
      <w:r>
        <w:rPr>
          <w:noProof/>
        </w:rPr>
        <w:t>v skladu s členom 395 Direktive Sveta 2006/112/ES lahko samo Svet na predlog Komisije soglasno dovoli odstopanje od skupnih predpisov o DDV. Izvedbeni sklep Sveta je edini ustrezni instrument, saj je lahko naslovljen na posamezne države članice.</w:t>
      </w:r>
    </w:p>
    <w:p>
      <w:pPr>
        <w:pStyle w:val="ManualHeading1"/>
        <w:rPr>
          <w:noProof/>
        </w:rPr>
      </w:pPr>
      <w:r>
        <w:rPr>
          <w:noProof/>
        </w:rPr>
        <w:t>3.</w:t>
      </w:r>
      <w:r>
        <w:rPr>
          <w:noProof/>
        </w:rPr>
        <w:tab/>
        <w:t>REZULTATI NAKNADNIH OCEN, POSVETOVANJ Z ZAINTERESIRANIMI STRANMI IN OCEN UČINKA</w:t>
      </w:r>
    </w:p>
    <w:p>
      <w:pPr>
        <w:pStyle w:val="ManualHeading2"/>
        <w:rPr>
          <w:rFonts w:eastAsia="Arial Unicode MS"/>
          <w:noProof/>
          <w:u w:color="000000"/>
          <w:bdr w:val="nil"/>
        </w:rPr>
      </w:pPr>
      <w:r>
        <w:rPr>
          <w:noProof/>
        </w:rPr>
        <w:t>•</w:t>
      </w:r>
      <w:r>
        <w:rPr>
          <w:noProof/>
        </w:rPr>
        <w:tab/>
        <w:t>Posvetovanje z zainteresiranimi stranmi</w:t>
      </w:r>
    </w:p>
    <w:p>
      <w:pPr>
        <w:rPr>
          <w:noProof/>
        </w:rPr>
      </w:pPr>
      <w:r>
        <w:rPr>
          <w:noProof/>
        </w:rPr>
        <w:t>Ni relevantno.</w:t>
      </w:r>
    </w:p>
    <w:p>
      <w:pPr>
        <w:pStyle w:val="ManualHeading2"/>
        <w:rPr>
          <w:rFonts w:eastAsia="Arial Unicode MS"/>
          <w:noProof/>
          <w:u w:color="000000"/>
          <w:bdr w:val="nil"/>
        </w:rPr>
      </w:pPr>
      <w:r>
        <w:rPr>
          <w:noProof/>
        </w:rPr>
        <w:t>•</w:t>
      </w:r>
      <w:r>
        <w:rPr>
          <w:noProof/>
        </w:rPr>
        <w:tab/>
        <w:t>Zbiranje in uporaba strokovnih mnenj</w:t>
      </w:r>
    </w:p>
    <w:p>
      <w:pPr>
        <w:rPr>
          <w:noProof/>
        </w:rPr>
      </w:pPr>
      <w:r>
        <w:rPr>
          <w:noProof/>
        </w:rPr>
        <w:t>Zunanje strokovno mnenje ni bilo potrebno.</w:t>
      </w:r>
    </w:p>
    <w:p>
      <w:pPr>
        <w:pStyle w:val="ManualHeading2"/>
        <w:rPr>
          <w:rFonts w:eastAsia="Arial Unicode MS"/>
          <w:noProof/>
          <w:u w:color="000000"/>
          <w:bdr w:val="nil"/>
        </w:rPr>
      </w:pPr>
      <w:r>
        <w:rPr>
          <w:noProof/>
        </w:rPr>
        <w:t>•</w:t>
      </w:r>
      <w:r>
        <w:rPr>
          <w:noProof/>
        </w:rPr>
        <w:tab/>
        <w:t>Ocena učinka</w:t>
      </w:r>
    </w:p>
    <w:p>
      <w:pPr>
        <w:rPr>
          <w:noProof/>
        </w:rPr>
      </w:pPr>
      <w:r>
        <w:rPr>
          <w:noProof/>
        </w:rPr>
        <w:t>Namen predloga je poenostavitev postopka za obračunavanje davka, zato ima potencialno pozitiven učinek tako na podjetja kot na uprave. Ta rešitev, ki sta jo Avstrija in Nemčija opredelili kot ustrezen ukrep, je primerljiva z drugimi prejšnjimi in sedanjimi odstopanji.</w:t>
      </w:r>
    </w:p>
    <w:p>
      <w:pPr>
        <w:pStyle w:val="ManualHeading1"/>
        <w:rPr>
          <w:noProof/>
        </w:rPr>
      </w:pPr>
      <w:r>
        <w:rPr>
          <w:noProof/>
        </w:rPr>
        <w:t>4.</w:t>
      </w:r>
      <w:r>
        <w:rPr>
          <w:noProof/>
        </w:rPr>
        <w:tab/>
        <w:t>PRORAČUNSKE POSLEDICE</w:t>
      </w:r>
    </w:p>
    <w:p>
      <w:pPr>
        <w:rPr>
          <w:noProof/>
        </w:rPr>
      </w:pPr>
      <w:r>
        <w:rPr>
          <w:noProof/>
        </w:rPr>
        <w:t>Predlog ne bo imel negativnih učinkov na lastna sredstva Unije, pridobljena iz DDV.</w:t>
      </w:r>
    </w:p>
    <w:p>
      <w:pPr>
        <w:pStyle w:val="ManualHeading1"/>
        <w:rPr>
          <w:noProof/>
        </w:rPr>
      </w:pPr>
      <w:r>
        <w:rPr>
          <w:noProof/>
        </w:rPr>
        <w:t>5.</w:t>
      </w:r>
      <w:r>
        <w:rPr>
          <w:noProof/>
        </w:rPr>
        <w:tab/>
        <w:t>DRUGI ELEMENTI</w:t>
      </w:r>
    </w:p>
    <w:p>
      <w:pPr>
        <w:pBdr>
          <w:top w:val="nil"/>
          <w:left w:val="nil"/>
          <w:bottom w:val="nil"/>
          <w:right w:val="nil"/>
          <w:between w:val="nil"/>
          <w:bar w:val="nil"/>
        </w:pBdr>
        <w:spacing w:before="0" w:after="240"/>
        <w:rPr>
          <w:noProof/>
        </w:rPr>
      </w:pPr>
      <w:r>
        <w:rPr>
          <w:noProof/>
        </w:rPr>
        <w:t>Predlog vsebuje klavzulo ponovnega pregleda in samoderogacijsko klavzulo.</w:t>
      </w:r>
    </w:p>
    <w:p>
      <w:pPr>
        <w:pBdr>
          <w:top w:val="nil"/>
          <w:left w:val="nil"/>
          <w:bottom w:val="nil"/>
          <w:right w:val="nil"/>
          <w:between w:val="nil"/>
          <w:bar w:val="nil"/>
        </w:pBdr>
        <w:spacing w:before="0" w:after="240"/>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2015/0242 (NLE)</w:t>
      </w:r>
    </w:p>
    <w:p>
      <w:pPr>
        <w:pStyle w:val="Statut"/>
        <w:rPr>
          <w:noProof/>
        </w:rPr>
      </w:pPr>
      <w:r>
        <w:rPr>
          <w:noProof/>
        </w:rPr>
        <w:t>Predlog</w:t>
      </w:r>
    </w:p>
    <w:p>
      <w:pPr>
        <w:pStyle w:val="Typedudocument"/>
        <w:rPr>
          <w:noProof/>
        </w:rPr>
      </w:pPr>
      <w:r>
        <w:rPr>
          <w:noProof/>
        </w:rPr>
        <w:t>IZVEDBENI SKLEP SVETA</w:t>
      </w:r>
    </w:p>
    <w:p>
      <w:pPr>
        <w:pStyle w:val="Titreobjet"/>
        <w:rPr>
          <w:noProof/>
        </w:rPr>
      </w:pPr>
      <w:r>
        <w:rPr>
          <w:noProof/>
        </w:rPr>
        <w:t>o spremembi Odločbe Sveta 2009/791/ES in Izvedbenega sklepa Sveta 2009/1013/EU o dovoljenju Nemčiji in Avstriji, da še naprej uporabljata ukrep, ki odstopa od členov 168 in 168a Direktive 2006/112/ES o skupnem sistemu davka na dodano vrednost</w:t>
      </w:r>
    </w:p>
    <w:p>
      <w:pPr>
        <w:pStyle w:val="Institutionquiagit"/>
        <w:rPr>
          <w:noProof/>
        </w:rPr>
      </w:pPr>
      <w:r>
        <w:rPr>
          <w:noProof/>
        </w:rPr>
        <w:t>SVET EVROPSKE UNIJE JE –</w:t>
      </w:r>
    </w:p>
    <w:p>
      <w:pPr>
        <w:rPr>
          <w:noProof/>
        </w:rPr>
      </w:pPr>
      <w:r>
        <w:rPr>
          <w:noProof/>
        </w:rPr>
        <w:t>ob upoštevanju Pogodbe o delovanju Evropske unije,</w:t>
      </w:r>
    </w:p>
    <w:p>
      <w:pPr>
        <w:rPr>
          <w:noProof/>
        </w:rPr>
      </w:pPr>
      <w:r>
        <w:rPr>
          <w:noProof/>
        </w:rPr>
        <w:t>ob upoštevanju Direktive Sveta 2006/112/ES z dne 28. novembra 2006 o skupnem sistemu davka na dodano vrednost</w:t>
      </w:r>
      <w:r>
        <w:rPr>
          <w:rStyle w:val="FootnoteReference"/>
          <w:noProof/>
        </w:rPr>
        <w:footnoteReference w:id="8"/>
      </w:r>
      <w:r>
        <w:rPr>
          <w:noProof/>
        </w:rPr>
        <w:t>, zlasti člena 395(1) Direktive,</w:t>
      </w:r>
    </w:p>
    <w:p>
      <w:pPr>
        <w:rPr>
          <w:noProof/>
        </w:rPr>
      </w:pPr>
      <w:r>
        <w:rPr>
          <w:noProof/>
        </w:rPr>
        <w:t>ob upoštevanju predloga Evropske komisije,</w:t>
      </w:r>
    </w:p>
    <w:p>
      <w:pPr>
        <w:rPr>
          <w:noProof/>
        </w:rPr>
      </w:pPr>
      <w:r>
        <w:rPr>
          <w:noProof/>
        </w:rPr>
        <w:t>ob upoštevanju naslednjega:</w:t>
      </w:r>
    </w:p>
    <w:p>
      <w:pPr>
        <w:pStyle w:val="ManualConsidrant"/>
        <w:rPr>
          <w:noProof/>
        </w:rPr>
      </w:pPr>
      <w:r>
        <w:t>(1)</w:t>
      </w:r>
      <w:r>
        <w:tab/>
      </w:r>
      <w:r>
        <w:rPr>
          <w:noProof/>
        </w:rPr>
        <w:t>Nemčiji in Avstriji je bil odobren ukrep odstopanja z Odločbo Sveta 2009/791/ES</w:t>
      </w:r>
      <w:r>
        <w:rPr>
          <w:rStyle w:val="FootnoteReference"/>
          <w:noProof/>
        </w:rPr>
        <w:footnoteReference w:id="9"/>
      </w:r>
      <w:r>
        <w:rPr>
          <w:noProof/>
        </w:rPr>
        <w:t xml:space="preserve"> oziroma Izvedbenim sklepom Sveta 2009/1013/EU</w:t>
      </w:r>
      <w:r>
        <w:rPr>
          <w:rStyle w:val="FootnoteReference"/>
          <w:noProof/>
        </w:rPr>
        <w:footnoteReference w:id="10"/>
      </w:r>
      <w:r>
        <w:rPr>
          <w:noProof/>
        </w:rPr>
        <w:t>. Uporaba tega ukrepa je bila z Izvedbenim sklepom Sveta 2012/705/EU</w:t>
      </w:r>
      <w:r>
        <w:rPr>
          <w:rStyle w:val="FootnoteReference"/>
          <w:noProof/>
        </w:rPr>
        <w:footnoteReference w:id="11"/>
      </w:r>
      <w:r>
        <w:rPr>
          <w:noProof/>
        </w:rPr>
        <w:t xml:space="preserve"> podaljšana do 31. decembra 2015.</w:t>
      </w:r>
    </w:p>
    <w:p>
      <w:pPr>
        <w:pStyle w:val="ManualConsidrant"/>
        <w:rPr>
          <w:noProof/>
        </w:rPr>
      </w:pPr>
      <w:r>
        <w:t>(2)</w:t>
      </w:r>
      <w:r>
        <w:tab/>
      </w:r>
      <w:r>
        <w:rPr>
          <w:noProof/>
        </w:rPr>
        <w:t>Posebni ukrep odstopa od členov 168 in 168a Direktive 2006/112/ES, ki urejata pravico davčnih zavezancev do odbitka DDV, obračunanega na blago in storitve, dobavljeno oz. opravljene za namene njihovih obdavčenih transakcij. Namen ukrepa odstopanja je, da se DDV na blago in storitve v celoti izvzame iz pravice do odbitka, kadar se zadevno blago in storitve uporabljajo več kot 90-odstotno za zasebne namene davčnega zavezanca ali njegovih zaposlenih ali na splošno za neposlovne namene ali negospodarske dejavnosti.</w:t>
      </w:r>
    </w:p>
    <w:p>
      <w:pPr>
        <w:pStyle w:val="ManualConsidrant"/>
        <w:rPr>
          <w:noProof/>
        </w:rPr>
      </w:pPr>
      <w:r>
        <w:t>(3)</w:t>
      </w:r>
      <w:r>
        <w:tab/>
      </w:r>
      <w:r>
        <w:rPr>
          <w:noProof/>
        </w:rPr>
        <w:t>Da bi upoštevali sodno prakso Sodišča Evropske unije, v skladu s katero se vstopni DDV, odmerjen na stroške, nastale davčnemu zavezancu, ne more odbiti, če se nanaša na dejavnosti, ki niso gospodarske in se zato Direktiva 2006/112/ES za njih ne uporablja, je primerno pojasniti, da se posebna ukrepa uporabljata tudi za blago in storitve, ki se uporabljajo za negospodarske dejavnosti.</w:t>
      </w:r>
    </w:p>
    <w:p>
      <w:pPr>
        <w:pStyle w:val="ManualConsidrant"/>
        <w:rPr>
          <w:noProof/>
        </w:rPr>
      </w:pPr>
      <w:r>
        <w:lastRenderedPageBreak/>
        <w:t>(4)</w:t>
      </w:r>
      <w:r>
        <w:tab/>
      </w:r>
      <w:r>
        <w:rPr>
          <w:noProof/>
        </w:rPr>
        <w:t>Cilj posebnega ukrepa je poenostaviti postopek obračunavanja in pobiranja DDV. Ukrep le v zanemarljivem obsegu vpliva na znesek dolgovanega davka pri končni potrošnji.</w:t>
      </w:r>
    </w:p>
    <w:p>
      <w:pPr>
        <w:pStyle w:val="ManualConsidrant"/>
        <w:rPr>
          <w:noProof/>
        </w:rPr>
      </w:pPr>
      <w:r>
        <w:t>(5)</w:t>
      </w:r>
      <w:r>
        <w:tab/>
      </w:r>
      <w:r>
        <w:rPr>
          <w:noProof/>
        </w:rPr>
        <w:t xml:space="preserve">V dopisih, ki ju je Komisija evidentirala 16. marca 2015 in 19. marca 2015, sta Nemčija in Avstrija zaprosili za dovoljenje za nadaljnjo uporabo posebnega ukrepa. </w:t>
      </w:r>
    </w:p>
    <w:p>
      <w:pPr>
        <w:pStyle w:val="ManualConsidrant"/>
        <w:rPr>
          <w:noProof/>
        </w:rPr>
      </w:pPr>
      <w:r>
        <w:t>(6)</w:t>
      </w:r>
      <w:r>
        <w:tab/>
      </w:r>
      <w:r>
        <w:rPr>
          <w:noProof/>
        </w:rPr>
        <w:t>V skladu z drugim pododstavkom člena 395(2) Direktive 2006/112/ES je Komisija z dopisi z dne 15. septembra 2015 o zahtevah Avstrije in Nemčije obvestila druge države članice. Komisija je z dopisoma z dne 17. septembra 2015 obvestila Avstrijo in Nemčijo, da ima na voljo vse informacije, potrebne za presojo zahteve.</w:t>
      </w:r>
    </w:p>
    <w:p>
      <w:pPr>
        <w:pStyle w:val="ManualConsidrant"/>
        <w:rPr>
          <w:noProof/>
        </w:rPr>
      </w:pPr>
      <w:r>
        <w:t>(7)</w:t>
      </w:r>
      <w:r>
        <w:tab/>
      </w:r>
      <w:r>
        <w:rPr>
          <w:noProof/>
        </w:rPr>
        <w:t>Po podatkih, ki sta jih predložili Avstrija in Nemčija, se pravne in dejanske razmere, ki utemeljujejo trenutno uporabo zadevnega posebnega ukrepa, niso spremenile in še vedno obstajajo. Avstriji in Nemčiji bi bilo zato treba dovoliti, da še naprej uporabljata ta posebni ukrep, vendar do najpozneje 31. decembra 2018, da se omogoči pregled nujnosti in učinkovitosti ukrepa odstopanja ter stopnje razdelitve med poslovno in neposlovno uporabo, na kateri temelji.</w:t>
      </w:r>
    </w:p>
    <w:p>
      <w:pPr>
        <w:pStyle w:val="ManualConsidrant"/>
        <w:rPr>
          <w:noProof/>
        </w:rPr>
      </w:pPr>
      <w:r>
        <w:t>(8)</w:t>
      </w:r>
      <w:r>
        <w:tab/>
      </w:r>
      <w:r>
        <w:rPr>
          <w:noProof/>
        </w:rPr>
        <w:t>Če Avstrija ali Nemčija menita, da je potrebno nadaljnje podaljšanje po letu 2018, morata Komisiji skupaj z zahtevo za podaljšanje predložiti poročilo o izvajanju ukrepa, ki vključuje pregled uporabljene stopnje razdelitve, in sicer najpozneje do 31. marca 2018, da se Komisiji zagotovi dovolj časa za preučitev zahteve.</w:t>
      </w:r>
    </w:p>
    <w:p>
      <w:pPr>
        <w:pStyle w:val="ManualConsidrant"/>
        <w:rPr>
          <w:noProof/>
        </w:rPr>
      </w:pPr>
      <w:r>
        <w:t>(9)</w:t>
      </w:r>
      <w:r>
        <w:tab/>
      </w:r>
      <w:r>
        <w:rPr>
          <w:noProof/>
        </w:rPr>
        <w:t>Odstopanja bodo imela zgolj zanemarljiv učinek na skupni znesek davčnih prihodkov, zbranih v fazi končne potrošnje, in ne bodo negativno vplivala na lastne vire Unije iz pobiranja davka na dodano vrednost.</w:t>
      </w:r>
    </w:p>
    <w:p>
      <w:pPr>
        <w:pStyle w:val="ManualConsidrant"/>
        <w:rPr>
          <w:noProof/>
        </w:rPr>
      </w:pPr>
      <w:r>
        <w:t>(10)</w:t>
      </w:r>
      <w:r>
        <w:tab/>
      </w:r>
      <w:r>
        <w:rPr>
          <w:noProof/>
        </w:rPr>
        <w:t>Odločbo Sveta 2009/791/ES in Izvedbeni sklep Sveta 2009/1013/EU bi bilo zato treba ustrezno spremeniti –</w:t>
      </w:r>
    </w:p>
    <w:p>
      <w:pPr>
        <w:pStyle w:val="Formuledadoption"/>
        <w:rPr>
          <w:noProof/>
        </w:rPr>
      </w:pPr>
      <w:r>
        <w:rPr>
          <w:noProof/>
        </w:rPr>
        <w:t xml:space="preserve">SPREJEL NASLEDNJI SKLEP: </w:t>
      </w:r>
    </w:p>
    <w:p>
      <w:pPr>
        <w:pStyle w:val="Titrearticle"/>
        <w:rPr>
          <w:noProof/>
        </w:rPr>
      </w:pPr>
      <w:r>
        <w:rPr>
          <w:noProof/>
        </w:rPr>
        <w:t>Člen 1</w:t>
      </w:r>
    </w:p>
    <w:p>
      <w:pPr>
        <w:rPr>
          <w:noProof/>
        </w:rPr>
      </w:pPr>
      <w:r>
        <w:rPr>
          <w:noProof/>
        </w:rPr>
        <w:t>Člena 1 in 2 Odločbe 2009/791/ES se nadomestita z naslednjim:</w:t>
      </w:r>
    </w:p>
    <w:p>
      <w:pPr>
        <w:rPr>
          <w:noProof/>
        </w:rPr>
      </w:pPr>
      <w:r>
        <w:rPr>
          <w:noProof/>
        </w:rPr>
        <w:t>„Člen 1</w:t>
      </w:r>
    </w:p>
    <w:p>
      <w:pPr>
        <w:rPr>
          <w:noProof/>
        </w:rPr>
      </w:pPr>
      <w:r>
        <w:rPr>
          <w:noProof/>
        </w:rPr>
        <w:t>Z odstopanjem od členov 168 in 168a Direktive 2006/112/EGS se Nemčiji dovoli, da davek na dodano vrednost (DDV) na blago in storitve izključi iz pravice do odbitka DDV, kadar se zadevno blago in storitve uporabljajo več kot 90-odstotno za zasebne namene davčnega zavezanca ali njegovih zaposlenih ali za neposlovne namene ali negospodarske dejavnosti na splošno.</w:t>
      </w:r>
    </w:p>
    <w:p>
      <w:pPr>
        <w:rPr>
          <w:noProof/>
        </w:rPr>
      </w:pPr>
      <w:r>
        <w:rPr>
          <w:noProof/>
        </w:rPr>
        <w:t>Člen 2</w:t>
      </w:r>
    </w:p>
    <w:p>
      <w:pPr>
        <w:rPr>
          <w:noProof/>
        </w:rPr>
      </w:pPr>
      <w:r>
        <w:rPr>
          <w:noProof/>
        </w:rPr>
        <w:t>Ta sklep preneha veljati 31. decembra 2018.</w:t>
      </w:r>
    </w:p>
    <w:p>
      <w:pPr>
        <w:rPr>
          <w:noProof/>
        </w:rPr>
      </w:pPr>
      <w:r>
        <w:rPr>
          <w:noProof/>
        </w:rPr>
        <w:t>Zahteva za podaljšanje posebnega ukrepa iz tega sklepa se Komisiji predloži najpozneje do 31. marca 2018.</w:t>
      </w:r>
    </w:p>
    <w:p>
      <w:pPr>
        <w:rPr>
          <w:noProof/>
        </w:rPr>
      </w:pPr>
      <w:r>
        <w:rPr>
          <w:noProof/>
        </w:rPr>
        <w:t>Takšni zahtevi se priloži poročilo, ki vsebuje pregled stopnje razdelitve, ki se uporabi za pravico do odbitka DDV na podlagi tega sklepa.“</w:t>
      </w:r>
    </w:p>
    <w:p>
      <w:pPr>
        <w:pStyle w:val="Titrearticle"/>
        <w:rPr>
          <w:noProof/>
        </w:rPr>
      </w:pPr>
      <w:r>
        <w:rPr>
          <w:noProof/>
        </w:rPr>
        <w:lastRenderedPageBreak/>
        <w:t>Člen 2</w:t>
      </w:r>
    </w:p>
    <w:p>
      <w:pPr>
        <w:keepNext/>
        <w:keepLines/>
        <w:rPr>
          <w:noProof/>
        </w:rPr>
      </w:pPr>
      <w:r>
        <w:rPr>
          <w:noProof/>
        </w:rPr>
        <w:t>Člena 1 in 2 Izvedbenega sklepa Sveta 2009/1013/EU se nadomestita z naslednjim:</w:t>
      </w:r>
    </w:p>
    <w:p>
      <w:pPr>
        <w:keepNext/>
        <w:keepLines/>
        <w:rPr>
          <w:noProof/>
        </w:rPr>
      </w:pPr>
      <w:r>
        <w:rPr>
          <w:noProof/>
        </w:rPr>
        <w:t>„Člen 1</w:t>
      </w:r>
    </w:p>
    <w:p>
      <w:pPr>
        <w:keepNext/>
        <w:keepLines/>
        <w:rPr>
          <w:noProof/>
        </w:rPr>
      </w:pPr>
      <w:r>
        <w:rPr>
          <w:noProof/>
        </w:rPr>
        <w:t>Z odstopanjem od členov 168 in 168a Direktive 2006/112/ES se Avstriji dovoli, da davek na dodano vrednost (DDV) na blago in storitve izključi iz pravice do odbitka DDV, kadar se zadevno blago in storitve več kot 90-odstotno uporabljajo za zasebne namene davčnega zavezanca ali njegovih zaposlenih ali za neposlovne namene ali negospodarske dejavnosti na splošno.</w:t>
      </w:r>
    </w:p>
    <w:p>
      <w:pPr>
        <w:keepNext/>
        <w:keepLines/>
        <w:rPr>
          <w:noProof/>
        </w:rPr>
      </w:pPr>
      <w:r>
        <w:rPr>
          <w:noProof/>
        </w:rPr>
        <w:t>Člen 2</w:t>
      </w:r>
    </w:p>
    <w:p>
      <w:pPr>
        <w:keepNext/>
        <w:keepLines/>
        <w:rPr>
          <w:noProof/>
        </w:rPr>
      </w:pPr>
      <w:r>
        <w:rPr>
          <w:noProof/>
        </w:rPr>
        <w:t>Ta sklep preneha veljati 31. decembra 2018.</w:t>
      </w:r>
    </w:p>
    <w:p>
      <w:pPr>
        <w:keepNext/>
        <w:keepLines/>
        <w:rPr>
          <w:noProof/>
        </w:rPr>
      </w:pPr>
      <w:r>
        <w:rPr>
          <w:noProof/>
        </w:rPr>
        <w:t>Zahteva za podaljšanje posebnega ukrepa iz tega sklepa se Komisiji predloži najpozneje do 31. marca 2018.</w:t>
      </w:r>
    </w:p>
    <w:p>
      <w:pPr>
        <w:keepNext/>
        <w:keepLines/>
        <w:rPr>
          <w:noProof/>
        </w:rPr>
      </w:pPr>
      <w:r>
        <w:rPr>
          <w:noProof/>
        </w:rPr>
        <w:t>Takšni zahtevi se priloži poročilo, ki vsebuje pregled stopnje razdelitve, ki se uporabi za pravico do odbitka DDV na podlagi tega sklepa.“</w:t>
      </w:r>
    </w:p>
    <w:p>
      <w:pPr>
        <w:pStyle w:val="Titrearticle"/>
        <w:rPr>
          <w:noProof/>
        </w:rPr>
      </w:pPr>
      <w:r>
        <w:rPr>
          <w:noProof/>
        </w:rPr>
        <w:t>Člen 3</w:t>
      </w:r>
    </w:p>
    <w:p>
      <w:pPr>
        <w:keepNext/>
        <w:keepLines/>
        <w:rPr>
          <w:noProof/>
        </w:rPr>
      </w:pPr>
      <w:r>
        <w:rPr>
          <w:noProof/>
        </w:rPr>
        <w:t>Ta sklep se uporablja od 1. januarja 2016.</w:t>
      </w:r>
    </w:p>
    <w:p>
      <w:pPr>
        <w:pStyle w:val="Titrearticle"/>
        <w:rPr>
          <w:noProof/>
        </w:rPr>
      </w:pPr>
      <w:r>
        <w:rPr>
          <w:noProof/>
        </w:rPr>
        <w:t>Člen 4</w:t>
      </w:r>
    </w:p>
    <w:p>
      <w:pPr>
        <w:keepNext/>
        <w:keepLines/>
        <w:rPr>
          <w:noProof/>
        </w:rPr>
      </w:pPr>
      <w:r>
        <w:rPr>
          <w:noProof/>
        </w:rPr>
        <w:t>Ta sklep je naslovljen na Republiko Avstrijo in Zvezno republiko Nemčijo.</w:t>
      </w:r>
    </w:p>
    <w:p>
      <w:pPr>
        <w:pStyle w:val="Fait"/>
        <w:rPr>
          <w:noProof/>
        </w:rPr>
      </w:pPr>
      <w:r>
        <w:rPr>
          <w:noProof/>
        </w:rPr>
        <w:t>V Bruslju,</w:t>
      </w:r>
    </w:p>
    <w:p>
      <w:pPr>
        <w:pStyle w:val="Institutionquisigne"/>
        <w:rPr>
          <w:noProof/>
        </w:rPr>
      </w:pPr>
      <w:r>
        <w:rPr>
          <w:noProof/>
        </w:rPr>
        <w:tab/>
        <w:t>Za Svet</w:t>
      </w:r>
    </w:p>
    <w:p>
      <w:pPr>
        <w:pStyle w:val="Personnequisigne"/>
        <w:rPr>
          <w:noProof/>
        </w:rPr>
      </w:pPr>
      <w:r>
        <w:rPr>
          <w:noProof/>
        </w:rPr>
        <w:tab/>
        <w:t>Predsednik</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l-PL"/>
        </w:rPr>
      </w:pPr>
      <w:r>
        <w:rPr>
          <w:rStyle w:val="FootnoteReference"/>
        </w:rPr>
        <w:footnoteRef/>
      </w:r>
      <w:r>
        <w:tab/>
        <w:t>UL L 347, 11.12.2006, str.1.</w:t>
      </w:r>
    </w:p>
  </w:footnote>
  <w:footnote w:id="2">
    <w:p>
      <w:pPr>
        <w:pStyle w:val="FootnoteText"/>
        <w:rPr>
          <w:lang w:val="pl-PL"/>
        </w:rPr>
      </w:pPr>
      <w:r>
        <w:rPr>
          <w:rStyle w:val="FootnoteReference"/>
        </w:rPr>
        <w:footnoteRef/>
      </w:r>
      <w:r>
        <w:tab/>
        <w:t>UL L 371, 18.12.2004, str. 47.</w:t>
      </w:r>
    </w:p>
  </w:footnote>
  <w:footnote w:id="3">
    <w:p>
      <w:pPr>
        <w:pStyle w:val="FootnoteText"/>
        <w:rPr>
          <w:lang w:val="pl-PL"/>
        </w:rPr>
      </w:pPr>
      <w:r>
        <w:rPr>
          <w:rStyle w:val="FootnoteReference"/>
        </w:rPr>
        <w:footnoteRef/>
      </w:r>
      <w:r>
        <w:tab/>
        <w:t>UL L 348, 29.12.2009, str. 21.</w:t>
      </w:r>
    </w:p>
  </w:footnote>
  <w:footnote w:id="4">
    <w:p>
      <w:pPr>
        <w:pStyle w:val="FootnoteText"/>
        <w:rPr>
          <w:lang w:val="pl-PL"/>
        </w:rPr>
      </w:pPr>
      <w:r>
        <w:rPr>
          <w:rStyle w:val="FootnoteReference"/>
        </w:rPr>
        <w:footnoteRef/>
      </w:r>
      <w:r>
        <w:tab/>
        <w:t>UL L 319, 16.11.2012, str. 8.</w:t>
      </w:r>
    </w:p>
  </w:footnote>
  <w:footnote w:id="5">
    <w:p>
      <w:pPr>
        <w:pStyle w:val="FootnoteText"/>
        <w:rPr>
          <w:lang w:val="pl-PL"/>
        </w:rPr>
      </w:pPr>
      <w:r>
        <w:rPr>
          <w:rStyle w:val="FootnoteReference"/>
        </w:rPr>
        <w:footnoteRef/>
      </w:r>
      <w:r>
        <w:tab/>
        <w:t>UL L 123, 17.5.2003, str. 47.</w:t>
      </w:r>
    </w:p>
  </w:footnote>
  <w:footnote w:id="6">
    <w:p>
      <w:pPr>
        <w:pStyle w:val="FootnoteText"/>
        <w:rPr>
          <w:lang w:val="pl-PL"/>
        </w:rPr>
      </w:pPr>
      <w:r>
        <w:rPr>
          <w:rStyle w:val="FootnoteReference"/>
        </w:rPr>
        <w:footnoteRef/>
      </w:r>
      <w:r>
        <w:tab/>
        <w:t>UL L 357, 2.12.2004, str. 33.</w:t>
      </w:r>
    </w:p>
  </w:footnote>
  <w:footnote w:id="7">
    <w:p>
      <w:pPr>
        <w:pStyle w:val="FootnoteText"/>
      </w:pPr>
      <w:r>
        <w:rPr>
          <w:rStyle w:val="FootnoteReference"/>
        </w:rPr>
        <w:footnoteRef/>
      </w:r>
      <w:r>
        <w:tab/>
        <w:t>UL L 283, 30.10.2009, str. 55.</w:t>
      </w:r>
    </w:p>
  </w:footnote>
  <w:footnote w:id="8">
    <w:p>
      <w:pPr>
        <w:pStyle w:val="FootnoteText"/>
      </w:pPr>
      <w:r>
        <w:rPr>
          <w:rStyle w:val="FootnoteReference"/>
        </w:rPr>
        <w:footnoteRef/>
      </w:r>
      <w:r>
        <w:tab/>
        <w:t>UL 347, 11.12.2006, str.1.</w:t>
      </w:r>
    </w:p>
  </w:footnote>
  <w:footnote w:id="9">
    <w:p>
      <w:pPr>
        <w:pStyle w:val="FootnoteText"/>
      </w:pPr>
      <w:r>
        <w:rPr>
          <w:rStyle w:val="FootnoteReference"/>
        </w:rPr>
        <w:footnoteRef/>
      </w:r>
      <w:r>
        <w:tab/>
        <w:t>Odločba Sveta 2009/791/ES z dne 20. oktobra 2009 o dovoljenju Zvezni republiki Nemčiji, da še naprej uporablja ukrep z odstopanjem od člena 168 Direktive 2006/112/ES o skupnem sistemu davka na dodano vrednost (UL L 283, 30.10.2009, str. 55).</w:t>
      </w:r>
    </w:p>
  </w:footnote>
  <w:footnote w:id="10">
    <w:p>
      <w:pPr>
        <w:pStyle w:val="FootnoteText"/>
      </w:pPr>
      <w:r>
        <w:rPr>
          <w:rStyle w:val="FootnoteReference"/>
        </w:rPr>
        <w:footnoteRef/>
      </w:r>
      <w:r>
        <w:tab/>
        <w:t>Izvedbeni sklep Sveta 2009/1013/EU z dne 22. decembra 2009 o dovoljenju Republiki Avstriji, da še naprej uporablja ukrep, ki odstopa od člena 168 Direktive 2006/112/ES o skupnem sistemu davka na dodano vrednost (UL L 348, 29.12.2009, str. 21).</w:t>
      </w:r>
    </w:p>
  </w:footnote>
  <w:footnote w:id="11">
    <w:p>
      <w:pPr>
        <w:pStyle w:val="FootnoteText"/>
      </w:pPr>
      <w:r>
        <w:rPr>
          <w:rStyle w:val="FootnoteReference"/>
        </w:rPr>
        <w:footnoteRef/>
      </w:r>
      <w:r>
        <w:tab/>
        <w:t>Izvedbeni sklep Sveta 2012/705/EU z dne 13. novembra 2012 o spremembi Odločbe 2009/791/ES in Izvedbenega sklepa 2009/1013/EU o dovoljenju Nemčiji in Avstriji, da še naprej uporabljata ukrep, ki odstopa od členov 168 in 168a Direktive 2006/112/ES o skupnem sistemu davka na dodano vrednost (UL L 319, 16.11.2012, str. 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296B63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70EB6F8"/>
    <w:lvl w:ilvl="0">
      <w:start w:val="1"/>
      <w:numFmt w:val="decimal"/>
      <w:pStyle w:val="ListNumber3"/>
      <w:lvlText w:val="%1."/>
      <w:lvlJc w:val="left"/>
      <w:pPr>
        <w:tabs>
          <w:tab w:val="num" w:pos="926"/>
        </w:tabs>
        <w:ind w:left="926" w:hanging="360"/>
      </w:pPr>
    </w:lvl>
  </w:abstractNum>
  <w:abstractNum w:abstractNumId="2">
    <w:nsid w:val="FFFFFF7F"/>
    <w:multiLevelType w:val="singleLevel"/>
    <w:tmpl w:val="FEFE12C6"/>
    <w:lvl w:ilvl="0">
      <w:start w:val="1"/>
      <w:numFmt w:val="decimal"/>
      <w:pStyle w:val="ListNumber2"/>
      <w:lvlText w:val="%1."/>
      <w:lvlJc w:val="left"/>
      <w:pPr>
        <w:tabs>
          <w:tab w:val="num" w:pos="643"/>
        </w:tabs>
        <w:ind w:left="643" w:hanging="360"/>
      </w:pPr>
    </w:lvl>
  </w:abstractNum>
  <w:abstractNum w:abstractNumId="3">
    <w:nsid w:val="FFFFFF81"/>
    <w:multiLevelType w:val="singleLevel"/>
    <w:tmpl w:val="67FCAE1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BAE619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0E645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D4AE734"/>
    <w:lvl w:ilvl="0">
      <w:start w:val="1"/>
      <w:numFmt w:val="decimal"/>
      <w:pStyle w:val="ListNumber"/>
      <w:lvlText w:val="%1."/>
      <w:lvlJc w:val="left"/>
      <w:pPr>
        <w:tabs>
          <w:tab w:val="num" w:pos="360"/>
        </w:tabs>
        <w:ind w:left="360" w:hanging="360"/>
      </w:pPr>
    </w:lvl>
  </w:abstractNum>
  <w:abstractNum w:abstractNumId="7">
    <w:nsid w:val="FFFFFF89"/>
    <w:multiLevelType w:val="singleLevel"/>
    <w:tmpl w:val="0AB88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hideSpellingErrors/>
  <w:hideGrammaticalErrors/>
  <w:attachedTemplate r:id="rId1"/>
  <w:revisionView w:markup="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0-19 08:01:1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EEBA871BFB184695B0BA103DAB90E65F"/>
    <w:docVar w:name="LW_CROSSREFERENCE" w:val="&lt;UNUSED&gt;"/>
    <w:docVar w:name="LW_DocType" w:val="COM"/>
    <w:docVar w:name="LW_EMISSION" w:val="21.10.2015"/>
    <w:docVar w:name="LW_EMISSION_ISODATE" w:val="2015-10-21"/>
    <w:docVar w:name="LW_EMISSION_LOCATION" w:val="BRX"/>
    <w:docVar w:name="LW_EMISSION_PREFIX" w:val="Bruselj,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SL"/>
    <w:docVar w:name="LW_MARKING" w:val="&lt;UNUSED&gt;"/>
    <w:docVar w:name="LW_NOM.INST" w:val="EVROPSKA KOMISIJA"/>
    <w:docVar w:name="LW_NOM.INST_JOINTDOC" w:val="&lt;EMPTY&gt;"/>
    <w:docVar w:name="LW_PART_NBR" w:val="1"/>
    <w:docVar w:name="LW_PART_NBR_TOTAL" w:val="1"/>
    <w:docVar w:name="LW_REF.II.NEW.CP" w:val="NLE"/>
    <w:docVar w:name="LW_REF.II.NEW.CP_NUMBER" w:val="0242"/>
    <w:docVar w:name="LW_REF.II.NEW.CP_YEAR" w:val="2015"/>
    <w:docVar w:name="LW_REF.INST.NEW" w:val="COM"/>
    <w:docVar w:name="LW_REF.INST.NEW_ADOPTED" w:val="final"/>
    <w:docVar w:name="LW_REF.INST.NEW_TEXT" w:val="(2015) 517"/>
    <w:docVar w:name="LW_REF.INTERNE" w:val="&lt;UNUSED&gt;"/>
    <w:docVar w:name="LW_SOUS.TITRE.OBJ.CP" w:val="&lt;UNUSED&gt;"/>
    <w:docVar w:name="LW_STATUT.CP" w:val="Predlog"/>
    <w:docVar w:name="LW_SUPERTITRE" w:val="&lt;UNUSED&gt;"/>
    <w:docVar w:name="LW_TITRE.OBJ.CP" w:val="o spremembi Odlo\u269?be Sveta 2009/791/ES in Izvedbenega sklepa Sveta 2009/1013/EU o dovoljenju Nem\u269?iji in Avstriji, da \u353?e naprej uporabljata ukrep, ki odstopa od \u269?lenov 168 in 168a Direktive 2006/112/ES o skupnem sistemu davka na dodano vrednost"/>
    <w:docVar w:name="LW_TYPE.DOC.CP" w:val="IZVEDBENI SKLEP SVET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7</Pages>
  <Words>1751</Words>
  <Characters>9811</Characters>
  <Application>Microsoft Office Word</Application>
  <DocSecurity>0</DocSecurity>
  <Lines>185</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2015-09-25T09:30:00Z</cp:lastPrinted>
  <dcterms:created xsi:type="dcterms:W3CDTF">2015-10-15T14:08:00Z</dcterms:created>
  <dcterms:modified xsi:type="dcterms:W3CDTF">2015-10-19T06:01:00Z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