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0CE3" w:rsidRPr="00C744BE" w:rsidRDefault="004C0CE3" w:rsidP="000F21C1">
      <w:pPr>
        <w:pStyle w:val="Pagedecouvertur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D99F9C90B26A4784853B1E3DC4EA8969" style="width:455.25pt;height:296.25pt">
            <v:imagedata r:id="rId7" o:title=""/>
          </v:shape>
        </w:pict>
      </w:r>
    </w:p>
    <w:p w:rsidR="004C0CE3" w:rsidRPr="00C744BE" w:rsidRDefault="004C0CE3" w:rsidP="00AF7717">
      <w:pPr>
        <w:keepLines/>
        <w:sectPr w:rsidR="004C0CE3" w:rsidRPr="00C744BE" w:rsidSect="000F21C1">
          <w:headerReference w:type="even" r:id="rId8"/>
          <w:headerReference w:type="default" r:id="rId9"/>
          <w:footerReference w:type="even" r:id="rId10"/>
          <w:footerReference w:type="default" r:id="rId11"/>
          <w:headerReference w:type="first" r:id="rId12"/>
          <w:footerReference w:type="first" r:id="rId13"/>
          <w:pgSz w:w="11907" w:h="16839" w:code="9"/>
          <w:pgMar w:top="1134" w:right="1417" w:bottom="1134" w:left="1417" w:header="709" w:footer="709" w:gutter="0"/>
          <w:pgNumType w:start="1"/>
          <w:cols w:space="708"/>
          <w:docGrid w:linePitch="360"/>
        </w:sectPr>
      </w:pPr>
    </w:p>
    <w:p w:rsidR="004C0CE3" w:rsidRDefault="004C0CE3" w:rsidP="006E4E3B">
      <w:pPr>
        <w:pStyle w:val="TOCHeading"/>
      </w:pPr>
      <w:r>
        <w:t>KAZALO</w:t>
      </w:r>
    </w:p>
    <w:p w:rsidR="004C0CE3" w:rsidRPr="006E4E3B" w:rsidRDefault="004C0CE3">
      <w:pPr>
        <w:pStyle w:val="TOC1"/>
      </w:pPr>
      <w:r w:rsidRPr="00307E92">
        <w:t>1</w:t>
      </w:r>
      <w:r w:rsidRPr="006E4E3B">
        <w:t>.</w:t>
      </w:r>
      <w:r w:rsidRPr="006E4E3B">
        <w:tab/>
        <w:t>Uvod</w:t>
      </w:r>
      <w:r w:rsidRPr="006E4E3B">
        <w:tab/>
      </w:r>
      <w:r>
        <w:fldChar w:fldCharType="begin"/>
      </w:r>
      <w:r>
        <w:instrText xml:space="preserve"> PAGEREF \h _Toc342473025 \* MERGEFORMAT </w:instrText>
      </w:r>
      <w:r>
        <w:fldChar w:fldCharType="separate"/>
      </w:r>
      <w:r>
        <w:rPr>
          <w:noProof/>
        </w:rPr>
        <w:t>3</w:t>
      </w:r>
      <w:r>
        <w:fldChar w:fldCharType="end"/>
      </w:r>
    </w:p>
    <w:p w:rsidR="004C0CE3" w:rsidRPr="006E4E3B" w:rsidRDefault="004C0CE3">
      <w:pPr>
        <w:pStyle w:val="TOC1"/>
      </w:pPr>
      <w:r w:rsidRPr="00307E92">
        <w:t>2</w:t>
      </w:r>
      <w:r w:rsidRPr="006E4E3B">
        <w:t>.</w:t>
      </w:r>
      <w:r w:rsidRPr="006E4E3B">
        <w:tab/>
        <w:t>Razmere v šolah</w:t>
      </w:r>
      <w:r w:rsidRPr="006E4E3B">
        <w:tab/>
      </w:r>
      <w:r>
        <w:fldChar w:fldCharType="begin"/>
      </w:r>
      <w:r>
        <w:instrText xml:space="preserve"> PAGEREF \h _Toc342473026 \* MERGEFORMAT </w:instrText>
      </w:r>
      <w:r>
        <w:fldChar w:fldCharType="separate"/>
      </w:r>
      <w:r>
        <w:rPr>
          <w:noProof/>
        </w:rPr>
        <w:t>4</w:t>
      </w:r>
      <w:r>
        <w:fldChar w:fldCharType="end"/>
      </w:r>
    </w:p>
    <w:p w:rsidR="004C0CE3" w:rsidRPr="006E4E3B" w:rsidRDefault="004C0CE3">
      <w:pPr>
        <w:pStyle w:val="TOC2"/>
      </w:pPr>
      <w:r w:rsidRPr="00307E92">
        <w:t>2</w:t>
      </w:r>
      <w:r w:rsidRPr="006E4E3B">
        <w:t>.</w:t>
      </w:r>
      <w:r w:rsidRPr="00307E92">
        <w:t>1</w:t>
      </w:r>
      <w:r w:rsidRPr="006E4E3B">
        <w:t>.</w:t>
      </w:r>
      <w:r w:rsidRPr="006E4E3B">
        <w:tab/>
        <w:t>Alicante</w:t>
      </w:r>
      <w:r w:rsidRPr="006E4E3B">
        <w:tab/>
      </w:r>
      <w:r>
        <w:fldChar w:fldCharType="begin"/>
      </w:r>
      <w:r>
        <w:instrText xml:space="preserve"> PAGEREF \h _Toc342473027 \* MERGEFORMAT </w:instrText>
      </w:r>
      <w:r>
        <w:fldChar w:fldCharType="separate"/>
      </w:r>
      <w:r>
        <w:rPr>
          <w:noProof/>
        </w:rPr>
        <w:t>4</w:t>
      </w:r>
      <w:r>
        <w:fldChar w:fldCharType="end"/>
      </w:r>
    </w:p>
    <w:p w:rsidR="004C0CE3" w:rsidRPr="006E4E3B" w:rsidRDefault="004C0CE3">
      <w:pPr>
        <w:pStyle w:val="TOC2"/>
      </w:pPr>
      <w:r w:rsidRPr="00307E92">
        <w:t>2</w:t>
      </w:r>
      <w:r w:rsidRPr="006E4E3B">
        <w:t>.</w:t>
      </w:r>
      <w:r w:rsidRPr="00307E92">
        <w:t>2</w:t>
      </w:r>
      <w:r w:rsidRPr="006E4E3B">
        <w:t>.</w:t>
      </w:r>
      <w:r w:rsidRPr="006E4E3B">
        <w:tab/>
        <w:t>Bergen</w:t>
      </w:r>
      <w:r w:rsidRPr="006E4E3B">
        <w:tab/>
      </w:r>
      <w:r>
        <w:fldChar w:fldCharType="begin"/>
      </w:r>
      <w:r>
        <w:instrText xml:space="preserve"> PAGEREF \h _Toc342473028 \* MERGEFORMAT </w:instrText>
      </w:r>
      <w:r>
        <w:fldChar w:fldCharType="separate"/>
      </w:r>
      <w:r>
        <w:rPr>
          <w:noProof/>
        </w:rPr>
        <w:t>4</w:t>
      </w:r>
      <w:r>
        <w:fldChar w:fldCharType="end"/>
      </w:r>
    </w:p>
    <w:p w:rsidR="004C0CE3" w:rsidRPr="006E4E3B" w:rsidRDefault="004C0CE3">
      <w:pPr>
        <w:pStyle w:val="TOC2"/>
      </w:pPr>
      <w:r w:rsidRPr="00307E92">
        <w:t>2</w:t>
      </w:r>
      <w:r w:rsidRPr="006E4E3B">
        <w:t>.</w:t>
      </w:r>
      <w:r w:rsidRPr="00307E92">
        <w:t>3</w:t>
      </w:r>
      <w:r w:rsidRPr="006E4E3B">
        <w:t>.</w:t>
      </w:r>
      <w:r w:rsidRPr="006E4E3B">
        <w:tab/>
        <w:t>Bruselj</w:t>
      </w:r>
      <w:r w:rsidRPr="006E4E3B">
        <w:tab/>
      </w:r>
      <w:r>
        <w:fldChar w:fldCharType="begin"/>
      </w:r>
      <w:r>
        <w:instrText xml:space="preserve"> PAGEREF \h _Toc342473029 \* MERGEFORMAT </w:instrText>
      </w:r>
      <w:r>
        <w:fldChar w:fldCharType="separate"/>
      </w:r>
      <w:r>
        <w:rPr>
          <w:noProof/>
        </w:rPr>
        <w:t>4</w:t>
      </w:r>
      <w:r>
        <w:fldChar w:fldCharType="end"/>
      </w:r>
    </w:p>
    <w:p w:rsidR="004C0CE3" w:rsidRPr="006E4E3B" w:rsidRDefault="004C0CE3">
      <w:pPr>
        <w:pStyle w:val="TOC2"/>
      </w:pPr>
      <w:r w:rsidRPr="00307E92">
        <w:t>2</w:t>
      </w:r>
      <w:r w:rsidRPr="006E4E3B">
        <w:t>.</w:t>
      </w:r>
      <w:r w:rsidRPr="00307E92">
        <w:t>4</w:t>
      </w:r>
      <w:r w:rsidRPr="006E4E3B">
        <w:t>.</w:t>
      </w:r>
      <w:r w:rsidRPr="006E4E3B">
        <w:tab/>
        <w:t>Culham</w:t>
      </w:r>
      <w:r w:rsidRPr="006E4E3B">
        <w:tab/>
      </w:r>
      <w:r>
        <w:fldChar w:fldCharType="begin"/>
      </w:r>
      <w:r>
        <w:instrText xml:space="preserve"> PAGEREF \h _Toc342473030 \* MERGEFORMAT </w:instrText>
      </w:r>
      <w:r>
        <w:fldChar w:fldCharType="separate"/>
      </w:r>
      <w:r>
        <w:rPr>
          <w:noProof/>
        </w:rPr>
        <w:t>5</w:t>
      </w:r>
      <w:r>
        <w:fldChar w:fldCharType="end"/>
      </w:r>
    </w:p>
    <w:p w:rsidR="004C0CE3" w:rsidRPr="006E4E3B" w:rsidRDefault="004C0CE3">
      <w:pPr>
        <w:pStyle w:val="TOC2"/>
      </w:pPr>
      <w:r w:rsidRPr="00307E92">
        <w:t>2</w:t>
      </w:r>
      <w:r w:rsidRPr="006E4E3B">
        <w:t>.</w:t>
      </w:r>
      <w:r w:rsidRPr="00307E92">
        <w:t>5</w:t>
      </w:r>
      <w:r w:rsidRPr="006E4E3B">
        <w:t>.</w:t>
      </w:r>
      <w:r w:rsidRPr="006E4E3B">
        <w:tab/>
        <w:t>Frankfurt</w:t>
      </w:r>
      <w:r w:rsidRPr="006E4E3B">
        <w:tab/>
      </w:r>
      <w:r>
        <w:fldChar w:fldCharType="begin"/>
      </w:r>
      <w:r>
        <w:instrText xml:space="preserve"> PAGEREF \h _Toc342473031 \* MERGEFORMAT </w:instrText>
      </w:r>
      <w:r>
        <w:fldChar w:fldCharType="separate"/>
      </w:r>
      <w:r>
        <w:rPr>
          <w:noProof/>
        </w:rPr>
        <w:t>5</w:t>
      </w:r>
      <w:r>
        <w:fldChar w:fldCharType="end"/>
      </w:r>
    </w:p>
    <w:p w:rsidR="004C0CE3" w:rsidRPr="006E4E3B" w:rsidRDefault="004C0CE3">
      <w:pPr>
        <w:pStyle w:val="TOC2"/>
      </w:pPr>
      <w:r w:rsidRPr="00307E92">
        <w:t>2</w:t>
      </w:r>
      <w:r w:rsidRPr="006E4E3B">
        <w:t>.</w:t>
      </w:r>
      <w:r w:rsidRPr="00307E92">
        <w:t>6</w:t>
      </w:r>
      <w:r w:rsidRPr="006E4E3B">
        <w:t>.</w:t>
      </w:r>
      <w:r w:rsidRPr="006E4E3B">
        <w:tab/>
        <w:t>Karlsruhe</w:t>
      </w:r>
      <w:r w:rsidRPr="006E4E3B">
        <w:tab/>
      </w:r>
      <w:r>
        <w:fldChar w:fldCharType="begin"/>
      </w:r>
      <w:r>
        <w:instrText xml:space="preserve"> PAGEREF \h _Toc342473032 \* MERGEFORMAT </w:instrText>
      </w:r>
      <w:r>
        <w:fldChar w:fldCharType="separate"/>
      </w:r>
      <w:r>
        <w:rPr>
          <w:noProof/>
        </w:rPr>
        <w:t>5</w:t>
      </w:r>
      <w:r>
        <w:fldChar w:fldCharType="end"/>
      </w:r>
    </w:p>
    <w:p w:rsidR="004C0CE3" w:rsidRPr="006E4E3B" w:rsidRDefault="004C0CE3">
      <w:pPr>
        <w:pStyle w:val="TOC2"/>
      </w:pPr>
      <w:r w:rsidRPr="00307E92">
        <w:t>2</w:t>
      </w:r>
      <w:r w:rsidRPr="006E4E3B">
        <w:t>.</w:t>
      </w:r>
      <w:r w:rsidRPr="00307E92">
        <w:t>7</w:t>
      </w:r>
      <w:r w:rsidRPr="006E4E3B">
        <w:t>.</w:t>
      </w:r>
      <w:r w:rsidRPr="006E4E3B">
        <w:tab/>
        <w:t>Luxembourg</w:t>
      </w:r>
      <w:r w:rsidRPr="006E4E3B">
        <w:tab/>
      </w:r>
      <w:r>
        <w:fldChar w:fldCharType="begin"/>
      </w:r>
      <w:r>
        <w:instrText xml:space="preserve"> PAGEREF \h _Toc342473033 \* MERGEFORMAT </w:instrText>
      </w:r>
      <w:r>
        <w:fldChar w:fldCharType="separate"/>
      </w:r>
      <w:r>
        <w:rPr>
          <w:noProof/>
        </w:rPr>
        <w:t>6</w:t>
      </w:r>
      <w:r>
        <w:fldChar w:fldCharType="end"/>
      </w:r>
    </w:p>
    <w:p w:rsidR="004C0CE3" w:rsidRPr="006E4E3B" w:rsidRDefault="004C0CE3">
      <w:pPr>
        <w:pStyle w:val="TOC2"/>
      </w:pPr>
      <w:r w:rsidRPr="00307E92">
        <w:t>2</w:t>
      </w:r>
      <w:r w:rsidRPr="006E4E3B">
        <w:t>.</w:t>
      </w:r>
      <w:r w:rsidRPr="00307E92">
        <w:t>8</w:t>
      </w:r>
      <w:r w:rsidRPr="006E4E3B">
        <w:t>.</w:t>
      </w:r>
      <w:r w:rsidRPr="006E4E3B">
        <w:tab/>
        <w:t>Mol</w:t>
      </w:r>
      <w:r w:rsidRPr="006E4E3B">
        <w:tab/>
      </w:r>
      <w:r>
        <w:fldChar w:fldCharType="begin"/>
      </w:r>
      <w:r>
        <w:instrText xml:space="preserve"> PAGEREF \h _Toc342473034 \* MERGEFORMAT </w:instrText>
      </w:r>
      <w:r>
        <w:fldChar w:fldCharType="separate"/>
      </w:r>
      <w:r>
        <w:rPr>
          <w:noProof/>
        </w:rPr>
        <w:t>6</w:t>
      </w:r>
      <w:r>
        <w:fldChar w:fldCharType="end"/>
      </w:r>
    </w:p>
    <w:p w:rsidR="004C0CE3" w:rsidRPr="006E4E3B" w:rsidRDefault="004C0CE3">
      <w:pPr>
        <w:pStyle w:val="TOC2"/>
      </w:pPr>
      <w:r w:rsidRPr="00307E92">
        <w:t>2</w:t>
      </w:r>
      <w:r w:rsidRPr="006E4E3B">
        <w:t>.</w:t>
      </w:r>
      <w:r w:rsidRPr="00307E92">
        <w:t>9</w:t>
      </w:r>
      <w:r w:rsidRPr="006E4E3B">
        <w:t>.</w:t>
      </w:r>
      <w:r w:rsidRPr="006E4E3B">
        <w:tab/>
        <w:t>München</w:t>
      </w:r>
      <w:r w:rsidRPr="006E4E3B">
        <w:tab/>
      </w:r>
      <w:r>
        <w:fldChar w:fldCharType="begin"/>
      </w:r>
      <w:r>
        <w:instrText xml:space="preserve"> PAGEREF \h _Toc342473035 \* MERGEFORMAT </w:instrText>
      </w:r>
      <w:r>
        <w:fldChar w:fldCharType="separate"/>
      </w:r>
      <w:r>
        <w:rPr>
          <w:noProof/>
        </w:rPr>
        <w:t>6</w:t>
      </w:r>
      <w:r>
        <w:fldChar w:fldCharType="end"/>
      </w:r>
    </w:p>
    <w:p w:rsidR="004C0CE3" w:rsidRPr="006E4E3B" w:rsidRDefault="004C0CE3">
      <w:pPr>
        <w:pStyle w:val="TOC2"/>
      </w:pPr>
      <w:r w:rsidRPr="00307E92">
        <w:t>2</w:t>
      </w:r>
      <w:r w:rsidRPr="006E4E3B">
        <w:t>.</w:t>
      </w:r>
      <w:r w:rsidRPr="00307E92">
        <w:t>10</w:t>
      </w:r>
      <w:r w:rsidRPr="006E4E3B">
        <w:t>.</w:t>
      </w:r>
      <w:r w:rsidRPr="006E4E3B">
        <w:tab/>
        <w:t>Varese</w:t>
      </w:r>
      <w:r w:rsidRPr="006E4E3B">
        <w:tab/>
      </w:r>
      <w:r>
        <w:fldChar w:fldCharType="begin"/>
      </w:r>
      <w:r>
        <w:instrText xml:space="preserve"> PAGEREF \h _Toc342473036 \* MERGEFORMAT </w:instrText>
      </w:r>
      <w:r>
        <w:fldChar w:fldCharType="separate"/>
      </w:r>
      <w:r>
        <w:rPr>
          <w:noProof/>
        </w:rPr>
        <w:t>6</w:t>
      </w:r>
      <w:r>
        <w:fldChar w:fldCharType="end"/>
      </w:r>
    </w:p>
    <w:p w:rsidR="004C0CE3" w:rsidRPr="006E4E3B" w:rsidRDefault="004C0CE3">
      <w:pPr>
        <w:pStyle w:val="TOC1"/>
      </w:pPr>
      <w:r w:rsidRPr="00307E92">
        <w:t>3</w:t>
      </w:r>
      <w:r w:rsidRPr="006E4E3B">
        <w:t>.</w:t>
      </w:r>
      <w:r w:rsidRPr="006E4E3B">
        <w:tab/>
        <w:t>Proračunske spremembe in izzivi</w:t>
      </w:r>
      <w:r w:rsidRPr="006E4E3B">
        <w:tab/>
      </w:r>
      <w:r>
        <w:fldChar w:fldCharType="begin"/>
      </w:r>
      <w:r>
        <w:instrText xml:space="preserve"> PAGEREF \h _Toc342473037 \* MERGEFORMAT </w:instrText>
      </w:r>
      <w:r>
        <w:fldChar w:fldCharType="separate"/>
      </w:r>
      <w:r>
        <w:rPr>
          <w:noProof/>
        </w:rPr>
        <w:t>7</w:t>
      </w:r>
      <w:r>
        <w:fldChar w:fldCharType="end"/>
      </w:r>
    </w:p>
    <w:p w:rsidR="004C0CE3" w:rsidRPr="006E4E3B" w:rsidRDefault="004C0CE3">
      <w:pPr>
        <w:pStyle w:val="TOC1"/>
      </w:pPr>
      <w:r w:rsidRPr="00307E92">
        <w:t>4</w:t>
      </w:r>
      <w:r w:rsidRPr="006E4E3B">
        <w:t>.</w:t>
      </w:r>
      <w:r w:rsidRPr="006E4E3B">
        <w:tab/>
        <w:t>Politične spremembe in izzivi</w:t>
      </w:r>
      <w:r w:rsidRPr="006E4E3B">
        <w:tab/>
      </w:r>
      <w:r>
        <w:fldChar w:fldCharType="begin"/>
      </w:r>
      <w:r>
        <w:instrText xml:space="preserve"> PAGEREF \h _Toc342473038 \* MERGEFORMAT </w:instrText>
      </w:r>
      <w:r>
        <w:fldChar w:fldCharType="separate"/>
      </w:r>
      <w:r>
        <w:rPr>
          <w:noProof/>
        </w:rPr>
        <w:t>8</w:t>
      </w:r>
      <w:r>
        <w:fldChar w:fldCharType="end"/>
      </w:r>
    </w:p>
    <w:p w:rsidR="004C0CE3" w:rsidRPr="006E4E3B" w:rsidRDefault="004C0CE3">
      <w:pPr>
        <w:pStyle w:val="TOC2"/>
      </w:pPr>
      <w:r w:rsidRPr="00307E92">
        <w:t>4</w:t>
      </w:r>
      <w:r w:rsidRPr="006E4E3B">
        <w:t>.</w:t>
      </w:r>
      <w:r w:rsidRPr="00307E92">
        <w:t>1</w:t>
      </w:r>
      <w:r w:rsidRPr="006E4E3B">
        <w:t>.</w:t>
      </w:r>
      <w:r w:rsidRPr="006E4E3B">
        <w:tab/>
        <w:t>Odprtje sistema – akreditirane šole</w:t>
      </w:r>
      <w:r w:rsidRPr="006E4E3B">
        <w:tab/>
      </w:r>
      <w:r>
        <w:fldChar w:fldCharType="begin"/>
      </w:r>
      <w:r>
        <w:instrText xml:space="preserve"> PAGEREF \h _Toc342473039 \* MERGEFORMAT </w:instrText>
      </w:r>
      <w:r>
        <w:fldChar w:fldCharType="separate"/>
      </w:r>
      <w:r>
        <w:rPr>
          <w:noProof/>
        </w:rPr>
        <w:t>8</w:t>
      </w:r>
      <w:r>
        <w:fldChar w:fldCharType="end"/>
      </w:r>
    </w:p>
    <w:p w:rsidR="004C0CE3" w:rsidRPr="006E4E3B" w:rsidRDefault="004C0CE3">
      <w:pPr>
        <w:pStyle w:val="TOC2"/>
      </w:pPr>
      <w:r w:rsidRPr="00307E92">
        <w:t>4</w:t>
      </w:r>
      <w:r w:rsidRPr="006E4E3B">
        <w:t>.</w:t>
      </w:r>
      <w:r w:rsidRPr="00307E92">
        <w:t>2</w:t>
      </w:r>
      <w:r w:rsidRPr="006E4E3B">
        <w:t>.</w:t>
      </w:r>
      <w:r w:rsidRPr="006E4E3B">
        <w:tab/>
        <w:t>Revizija plačne lestvice napotenih učiteljev/lokalno zaposlenih učiteljev</w:t>
      </w:r>
      <w:r w:rsidRPr="006E4E3B">
        <w:tab/>
      </w:r>
      <w:r>
        <w:fldChar w:fldCharType="begin"/>
      </w:r>
      <w:r>
        <w:instrText xml:space="preserve"> PAGEREF \h _Toc342473040 \* MERGEFORMAT </w:instrText>
      </w:r>
      <w:r>
        <w:fldChar w:fldCharType="separate"/>
      </w:r>
      <w:r>
        <w:rPr>
          <w:noProof/>
        </w:rPr>
        <w:t>9</w:t>
      </w:r>
      <w:r>
        <w:fldChar w:fldCharType="end"/>
      </w:r>
    </w:p>
    <w:p w:rsidR="004C0CE3" w:rsidRPr="006E4E3B" w:rsidRDefault="004C0CE3">
      <w:pPr>
        <w:pStyle w:val="TOC2"/>
      </w:pPr>
      <w:r w:rsidRPr="00307E92">
        <w:t>4</w:t>
      </w:r>
      <w:r w:rsidRPr="006E4E3B">
        <w:t>.</w:t>
      </w:r>
      <w:r w:rsidRPr="00307E92">
        <w:t>3</w:t>
      </w:r>
      <w:r w:rsidRPr="006E4E3B">
        <w:t>.</w:t>
      </w:r>
      <w:r w:rsidRPr="006E4E3B">
        <w:tab/>
        <w:t>Prenatrpanost/infrastruktura</w:t>
      </w:r>
      <w:r w:rsidRPr="006E4E3B">
        <w:tab/>
      </w:r>
      <w:r>
        <w:fldChar w:fldCharType="begin"/>
      </w:r>
      <w:r>
        <w:instrText xml:space="preserve"> PAGEREF \h _Toc342473041 \* MERGEFORMAT </w:instrText>
      </w:r>
      <w:r>
        <w:fldChar w:fldCharType="separate"/>
      </w:r>
      <w:r>
        <w:rPr>
          <w:noProof/>
        </w:rPr>
        <w:t>9</w:t>
      </w:r>
      <w:r>
        <w:fldChar w:fldCharType="end"/>
      </w:r>
    </w:p>
    <w:p w:rsidR="004C0CE3" w:rsidRPr="006E4E3B" w:rsidRDefault="004C0CE3">
      <w:pPr>
        <w:pStyle w:val="TOC2"/>
      </w:pPr>
      <w:r w:rsidRPr="00307E92">
        <w:t>4</w:t>
      </w:r>
      <w:r w:rsidRPr="006E4E3B">
        <w:t>.</w:t>
      </w:r>
      <w:r w:rsidRPr="00307E92">
        <w:t>4</w:t>
      </w:r>
      <w:r w:rsidRPr="006E4E3B">
        <w:t>.</w:t>
      </w:r>
      <w:r w:rsidRPr="006E4E3B">
        <w:tab/>
        <w:t>Delitev stroškov med državami članicami</w:t>
      </w:r>
      <w:r w:rsidRPr="006E4E3B">
        <w:tab/>
      </w:r>
      <w:r>
        <w:fldChar w:fldCharType="begin"/>
      </w:r>
      <w:r>
        <w:instrText xml:space="preserve"> PAGEREF \h _Toc342473042 \* MERGEFORMAT </w:instrText>
      </w:r>
      <w:r>
        <w:fldChar w:fldCharType="separate"/>
      </w:r>
      <w:r>
        <w:rPr>
          <w:noProof/>
        </w:rPr>
        <w:t>10</w:t>
      </w:r>
      <w:r>
        <w:fldChar w:fldCharType="end"/>
      </w:r>
    </w:p>
    <w:p w:rsidR="004C0CE3" w:rsidRPr="006E4E3B" w:rsidRDefault="004C0CE3">
      <w:pPr>
        <w:pStyle w:val="TOC2"/>
      </w:pPr>
      <w:r w:rsidRPr="00307E92">
        <w:t>4</w:t>
      </w:r>
      <w:r w:rsidRPr="006E4E3B">
        <w:t>.</w:t>
      </w:r>
      <w:r w:rsidRPr="00307E92">
        <w:t>5</w:t>
      </w:r>
      <w:r w:rsidRPr="006E4E3B">
        <w:t>.</w:t>
      </w:r>
      <w:r w:rsidRPr="006E4E3B">
        <w:tab/>
        <w:t>Sodni postopki</w:t>
      </w:r>
      <w:r w:rsidRPr="006E4E3B">
        <w:tab/>
      </w:r>
      <w:r>
        <w:fldChar w:fldCharType="begin"/>
      </w:r>
      <w:r>
        <w:instrText xml:space="preserve"> PAGEREF \h _Toc342473043 \* MERGEFORMAT </w:instrText>
      </w:r>
      <w:r>
        <w:fldChar w:fldCharType="separate"/>
      </w:r>
      <w:r>
        <w:rPr>
          <w:noProof/>
        </w:rPr>
        <w:t>11</w:t>
      </w:r>
      <w:r>
        <w:fldChar w:fldCharType="end"/>
      </w:r>
    </w:p>
    <w:p w:rsidR="004C0CE3" w:rsidRPr="006E4E3B" w:rsidRDefault="004C0CE3">
      <w:pPr>
        <w:pStyle w:val="TOC1"/>
      </w:pPr>
      <w:r w:rsidRPr="00307E92">
        <w:t>5</w:t>
      </w:r>
      <w:r w:rsidRPr="006E4E3B">
        <w:t>.</w:t>
      </w:r>
      <w:r w:rsidRPr="006E4E3B">
        <w:tab/>
        <w:t>Pedagoške in organizacijske spremembe</w:t>
      </w:r>
      <w:r w:rsidRPr="006E4E3B">
        <w:tab/>
      </w:r>
      <w:r>
        <w:fldChar w:fldCharType="begin"/>
      </w:r>
      <w:r>
        <w:instrText xml:space="preserve"> PAGEREF \h _Toc342473044 \* MERGEFORMAT </w:instrText>
      </w:r>
      <w:r>
        <w:fldChar w:fldCharType="separate"/>
      </w:r>
      <w:r>
        <w:rPr>
          <w:noProof/>
        </w:rPr>
        <w:t>11</w:t>
      </w:r>
      <w:r>
        <w:fldChar w:fldCharType="end"/>
      </w:r>
    </w:p>
    <w:p w:rsidR="004C0CE3" w:rsidRPr="006E4E3B" w:rsidRDefault="004C0CE3">
      <w:pPr>
        <w:pStyle w:val="TOC2"/>
      </w:pPr>
      <w:r w:rsidRPr="00307E92">
        <w:t>5</w:t>
      </w:r>
      <w:r w:rsidRPr="006E4E3B">
        <w:t>.</w:t>
      </w:r>
      <w:r w:rsidRPr="00307E92">
        <w:t>1</w:t>
      </w:r>
      <w:r w:rsidRPr="006E4E3B">
        <w:t>.</w:t>
      </w:r>
      <w:r w:rsidRPr="006E4E3B">
        <w:tab/>
        <w:t>Reforma evropske mature</w:t>
      </w:r>
      <w:r w:rsidRPr="006E4E3B">
        <w:tab/>
      </w:r>
      <w:r>
        <w:fldChar w:fldCharType="begin"/>
      </w:r>
      <w:r>
        <w:instrText xml:space="preserve"> PAGEREF \h _Toc342473045 \* MERGEFORMAT </w:instrText>
      </w:r>
      <w:r>
        <w:fldChar w:fldCharType="separate"/>
      </w:r>
      <w:r>
        <w:rPr>
          <w:noProof/>
        </w:rPr>
        <w:t>11</w:t>
      </w:r>
      <w:r>
        <w:fldChar w:fldCharType="end"/>
      </w:r>
    </w:p>
    <w:p w:rsidR="004C0CE3" w:rsidRPr="006E4E3B" w:rsidRDefault="004C0CE3">
      <w:pPr>
        <w:pStyle w:val="TOC2"/>
      </w:pPr>
      <w:r w:rsidRPr="00307E92">
        <w:t>5</w:t>
      </w:r>
      <w:r w:rsidRPr="006E4E3B">
        <w:t>.</w:t>
      </w:r>
      <w:r w:rsidRPr="00307E92">
        <w:t>2</w:t>
      </w:r>
      <w:r w:rsidRPr="006E4E3B">
        <w:t>.</w:t>
      </w:r>
      <w:r w:rsidRPr="006E4E3B">
        <w:tab/>
        <w:t>Dejavnosti za učence s posebnimi potrebami</w:t>
      </w:r>
      <w:r w:rsidRPr="006E4E3B">
        <w:tab/>
      </w:r>
      <w:r>
        <w:fldChar w:fldCharType="begin"/>
      </w:r>
      <w:r>
        <w:instrText xml:space="preserve"> PAGEREF \h _Toc342473046 \* MERGEFORMAT </w:instrText>
      </w:r>
      <w:r>
        <w:fldChar w:fldCharType="separate"/>
      </w:r>
      <w:r>
        <w:rPr>
          <w:noProof/>
        </w:rPr>
        <w:t>11</w:t>
      </w:r>
      <w:r>
        <w:fldChar w:fldCharType="end"/>
      </w:r>
    </w:p>
    <w:p w:rsidR="004C0CE3" w:rsidRPr="006E4E3B" w:rsidRDefault="004C0CE3">
      <w:pPr>
        <w:pStyle w:val="TOC2"/>
      </w:pPr>
      <w:r w:rsidRPr="00307E92">
        <w:t>5</w:t>
      </w:r>
      <w:r w:rsidRPr="006E4E3B">
        <w:t>.</w:t>
      </w:r>
      <w:r w:rsidRPr="00307E92">
        <w:t>3</w:t>
      </w:r>
      <w:r w:rsidRPr="006E4E3B">
        <w:t>.</w:t>
      </w:r>
      <w:r w:rsidRPr="006E4E3B">
        <w:tab/>
        <w:t>Organizacija predmetov in pouka</w:t>
      </w:r>
      <w:r w:rsidRPr="006E4E3B">
        <w:tab/>
      </w:r>
      <w:r>
        <w:fldChar w:fldCharType="begin"/>
      </w:r>
      <w:r>
        <w:instrText xml:space="preserve"> PAGEREF \h _Toc342473047 \* MERGEFORMAT </w:instrText>
      </w:r>
      <w:r>
        <w:fldChar w:fldCharType="separate"/>
      </w:r>
      <w:r>
        <w:rPr>
          <w:noProof/>
        </w:rPr>
        <w:t>12</w:t>
      </w:r>
      <w:r>
        <w:fldChar w:fldCharType="end"/>
      </w:r>
    </w:p>
    <w:p w:rsidR="004C0CE3" w:rsidRPr="006E4E3B" w:rsidRDefault="004C0CE3">
      <w:pPr>
        <w:pStyle w:val="TOC1"/>
      </w:pPr>
      <w:r w:rsidRPr="00307E92">
        <w:t>6</w:t>
      </w:r>
      <w:r w:rsidRPr="006E4E3B">
        <w:t>.</w:t>
      </w:r>
      <w:r w:rsidRPr="006E4E3B">
        <w:tab/>
        <w:t>Prihodnji izzivi</w:t>
      </w:r>
      <w:r w:rsidRPr="006E4E3B">
        <w:tab/>
      </w:r>
      <w:r>
        <w:fldChar w:fldCharType="begin"/>
      </w:r>
      <w:r>
        <w:instrText xml:space="preserve"> PAGEREF \h _Toc342473048 \* MERGEFORMAT </w:instrText>
      </w:r>
      <w:r>
        <w:fldChar w:fldCharType="separate"/>
      </w:r>
      <w:r>
        <w:rPr>
          <w:noProof/>
        </w:rPr>
        <w:t>12</w:t>
      </w:r>
      <w:r>
        <w:fldChar w:fldCharType="end"/>
      </w:r>
    </w:p>
    <w:p w:rsidR="004C0CE3" w:rsidRPr="00C744BE" w:rsidRDefault="004C0CE3" w:rsidP="00AF7717">
      <w:pPr>
        <w:keepLines/>
        <w:sectPr w:rsidR="004C0CE3" w:rsidRPr="00C744BE" w:rsidSect="000F21C1">
          <w:footerReference w:type="default" r:id="rId14"/>
          <w:footerReference w:type="first" r:id="rId15"/>
          <w:pgSz w:w="11907" w:h="16839" w:code="9"/>
          <w:pgMar w:top="1134" w:right="1417" w:bottom="1134" w:left="1417" w:header="709" w:footer="709" w:gutter="0"/>
          <w:cols w:space="708"/>
          <w:docGrid w:linePitch="360"/>
        </w:sectPr>
      </w:pPr>
    </w:p>
    <w:p w:rsidR="004C0CE3" w:rsidRPr="00C744BE" w:rsidRDefault="004C0CE3" w:rsidP="006E4E3B">
      <w:pPr>
        <w:pStyle w:val="Typedudocument"/>
      </w:pPr>
      <w:r w:rsidRPr="006E4E3B">
        <w:t>POROČILO KOMISIJE EVROPSKEMU PARLAMENTU IN SVETU</w:t>
      </w:r>
    </w:p>
    <w:p w:rsidR="004C0CE3" w:rsidRPr="00C744BE" w:rsidRDefault="004C0CE3" w:rsidP="006E4E3B">
      <w:pPr>
        <w:pStyle w:val="Titreobjet"/>
      </w:pPr>
      <w:bookmarkStart w:id="0" w:name="_Toc342473024"/>
      <w:r w:rsidRPr="006E4E3B">
        <w:t>Sistem Evropskih šol v letu</w:t>
      </w:r>
      <w:r>
        <w:t> </w:t>
      </w:r>
      <w:r w:rsidRPr="00307E92">
        <w:t>2011</w:t>
      </w:r>
      <w:bookmarkEnd w:id="0"/>
    </w:p>
    <w:p w:rsidR="004C0CE3" w:rsidRPr="00C744BE" w:rsidRDefault="004C0CE3" w:rsidP="008B6911">
      <w:pPr>
        <w:pStyle w:val="Heading1"/>
        <w:keepLines/>
        <w:rPr>
          <w:rFonts w:ascii="Times New Roman Bold" w:hAnsi="Times New Roman Bold"/>
        </w:rPr>
      </w:pPr>
      <w:bookmarkStart w:id="1" w:name="_Toc342473025"/>
      <w:r w:rsidRPr="00C744BE">
        <w:t>Uvod</w:t>
      </w:r>
      <w:bookmarkEnd w:id="1"/>
    </w:p>
    <w:p w:rsidR="004C0CE3" w:rsidRPr="00C744BE" w:rsidRDefault="004C0CE3" w:rsidP="005C62B4">
      <w:pPr>
        <w:keepLines/>
        <w:autoSpaceDE w:val="0"/>
        <w:autoSpaceDN w:val="0"/>
        <w:adjustRightInd w:val="0"/>
      </w:pPr>
      <w:r w:rsidRPr="00C744BE">
        <w:t>Ker so se v Evropi nadaljevale težke gospodarske in proračunske razmere, je moral sistem Evropskih šol omejiti svoje odhodke, hkrati pa zagotavljati neokrnjeno kakovost poučevanja.</w:t>
      </w:r>
    </w:p>
    <w:p w:rsidR="004C0CE3" w:rsidRPr="00C744BE" w:rsidRDefault="004C0CE3" w:rsidP="005C62B4">
      <w:pPr>
        <w:keepLines/>
        <w:autoSpaceDE w:val="0"/>
        <w:autoSpaceDN w:val="0"/>
        <w:adjustRightInd w:val="0"/>
      </w:pPr>
      <w:r w:rsidRPr="00C744BE">
        <w:t>Svet guvernerjev Evropskih šol je aprila </w:t>
      </w:r>
      <w:r w:rsidRPr="00307E92">
        <w:t>2010</w:t>
      </w:r>
      <w:r w:rsidRPr="00C744BE">
        <w:t xml:space="preserve"> sprejel proračun Evropskih šol za leto </w:t>
      </w:r>
      <w:r w:rsidRPr="00307E92">
        <w:t>2011</w:t>
      </w:r>
      <w:r w:rsidRPr="00C744BE">
        <w:t xml:space="preserve">, pri čemer je bil prispevek EU </w:t>
      </w:r>
      <w:r w:rsidRPr="00307E92">
        <w:t>11</w:t>
      </w:r>
      <w:r w:rsidRPr="00C744BE">
        <w:t> % višji kot prejšnje leto, predvsem zaradi sprememb v številu učencev (+</w:t>
      </w:r>
      <w:r w:rsidRPr="00307E92">
        <w:t>2</w:t>
      </w:r>
      <w:r w:rsidRPr="00C744BE">
        <w:t>,</w:t>
      </w:r>
      <w:r w:rsidRPr="00307E92">
        <w:t>6</w:t>
      </w:r>
      <w:r w:rsidRPr="00C744BE">
        <w:t xml:space="preserve"> %). Svet guvernerjev Evropskih šol je ta proračun sprejel pod pogojem, da Evropske šole sprejmejo ukrepe za boljši nadzor nad prihodnjimi proračunskimi spremembami. </w:t>
      </w:r>
    </w:p>
    <w:p w:rsidR="004C0CE3" w:rsidRPr="00C744BE" w:rsidRDefault="004C0CE3" w:rsidP="00AF7717">
      <w:pPr>
        <w:keepLines/>
        <w:autoSpaceDE w:val="0"/>
        <w:autoSpaceDN w:val="0"/>
        <w:adjustRightInd w:val="0"/>
      </w:pPr>
      <w:r w:rsidRPr="00C744BE">
        <w:t>Po razpravah med Svetom in Evropskim parlamentom je bil v sprejetem skupnem proračunu EU za leto </w:t>
      </w:r>
      <w:r w:rsidRPr="00307E92">
        <w:t>2011</w:t>
      </w:r>
      <w:r w:rsidRPr="00C744BE">
        <w:t xml:space="preserve"> predviden prispevek k proračunu Evropskih šol v znesku </w:t>
      </w:r>
      <w:r w:rsidRPr="00307E92">
        <w:t>164</w:t>
      </w:r>
      <w:r w:rsidRPr="00C744BE">
        <w:t> milijonov EUR. Čeprav je ta prispevek nižji od prispevka, ki ga je sprejel Svet guvernerjev Evropskih šol, je višji od prispevka za leto </w:t>
      </w:r>
      <w:r w:rsidRPr="00307E92">
        <w:t>2010</w:t>
      </w:r>
      <w:r w:rsidRPr="00C744BE">
        <w:t xml:space="preserve">, ki je znašal </w:t>
      </w:r>
      <w:r w:rsidRPr="00307E92">
        <w:t>154</w:t>
      </w:r>
      <w:r w:rsidRPr="00C744BE">
        <w:t> milijonov EUR.</w:t>
      </w:r>
    </w:p>
    <w:p w:rsidR="004C0CE3" w:rsidRPr="00C744BE" w:rsidRDefault="004C0CE3" w:rsidP="00AF7717">
      <w:pPr>
        <w:keepLines/>
        <w:autoSpaceDE w:val="0"/>
        <w:autoSpaceDN w:val="0"/>
        <w:adjustRightInd w:val="0"/>
      </w:pPr>
      <w:r w:rsidRPr="00C744BE">
        <w:t>Evropske šole so morale na podlagi sklepa Parlamenta in Sveta o prilagoditvi proračuna Evropskih šol, ki jo je zahtevala Komisija</w:t>
      </w:r>
      <w:r w:rsidRPr="00C744BE">
        <w:rPr>
          <w:rStyle w:val="FootnoteReference"/>
        </w:rPr>
        <w:footnoteReference w:id="1"/>
      </w:r>
      <w:r w:rsidRPr="00C744BE">
        <w:t xml:space="preserve">, takoj sprejeti varčevalne ukrepe, kar je povzročilo številne reakcije, predvsem v okviru združenj staršev Evropskih šol in odbora uslužbencev. Komisija je te ukrepe podprla, ker niso v nasprotju s temeljnimi načeli učnega programa Evropskih šol. </w:t>
      </w:r>
    </w:p>
    <w:p w:rsidR="004C0CE3" w:rsidRPr="00C744BE" w:rsidRDefault="004C0CE3" w:rsidP="00AF7717">
      <w:pPr>
        <w:keepLines/>
        <w:autoSpaceDE w:val="0"/>
        <w:autoSpaceDN w:val="0"/>
        <w:adjustRightInd w:val="0"/>
      </w:pPr>
      <w:r w:rsidRPr="00C744BE">
        <w:t>Aprila </w:t>
      </w:r>
      <w:r w:rsidRPr="00307E92">
        <w:t>2011</w:t>
      </w:r>
      <w:r w:rsidRPr="00C744BE">
        <w:t xml:space="preserve"> je Svet guvernerjev Evropskih šol sprejel pomembne sklepe o racionalizaciji. </w:t>
      </w:r>
    </w:p>
    <w:p w:rsidR="004C0CE3" w:rsidRPr="00C744BE" w:rsidRDefault="004C0CE3" w:rsidP="00AF7717">
      <w:pPr>
        <w:keepLines/>
      </w:pPr>
      <w:r w:rsidRPr="00C744BE">
        <w:t xml:space="preserve">Poleg tega je sistem Evropskih šol zaradi stalnega povečevanja števila učencev in težav, s katerimi se srečujejo nekatere države članice pri izpolnjevanju svojih obveznosti na področju infrastrukture in napotitev učiteljev, na veliki preizkušnji. </w:t>
      </w:r>
    </w:p>
    <w:p w:rsidR="004C0CE3" w:rsidRPr="00C744BE" w:rsidRDefault="004C0CE3" w:rsidP="008B6911">
      <w:pPr>
        <w:pStyle w:val="Heading1"/>
        <w:keepLines/>
        <w:rPr>
          <w:bCs w:val="0"/>
          <w:szCs w:val="24"/>
        </w:rPr>
      </w:pPr>
      <w:bookmarkStart w:id="2" w:name="_Toc342473026"/>
      <w:r w:rsidRPr="00C744BE">
        <w:rPr>
          <w:bCs w:val="0"/>
          <w:szCs w:val="24"/>
        </w:rPr>
        <w:t>Razmere v šolah</w:t>
      </w:r>
      <w:bookmarkEnd w:id="2"/>
    </w:p>
    <w:p w:rsidR="004C0CE3" w:rsidRPr="00C744BE" w:rsidRDefault="004C0CE3" w:rsidP="00AF7717">
      <w:pPr>
        <w:keepLines/>
      </w:pPr>
      <w:r w:rsidRPr="00C744BE">
        <w:t xml:space="preserve">Skupno število učencev v </w:t>
      </w:r>
      <w:r w:rsidRPr="00307E92">
        <w:t>14</w:t>
      </w:r>
      <w:r w:rsidRPr="00C744BE">
        <w:t xml:space="preserve"> Evropskih šolah se stalno povečuje, in sicer se je povečalo z </w:t>
      </w:r>
      <w:r w:rsidRPr="00307E92">
        <w:t>22</w:t>
      </w:r>
      <w:r w:rsidRPr="00C744BE">
        <w:t> </w:t>
      </w:r>
      <w:r w:rsidRPr="00307E92">
        <w:t>778</w:t>
      </w:r>
      <w:r w:rsidRPr="00C744BE">
        <w:t xml:space="preserve"> v letu </w:t>
      </w:r>
      <w:r w:rsidRPr="00307E92">
        <w:t>2010</w:t>
      </w:r>
      <w:r w:rsidRPr="00C744BE">
        <w:t xml:space="preserve"> na </w:t>
      </w:r>
      <w:r w:rsidRPr="00307E92">
        <w:t>23</w:t>
      </w:r>
      <w:r w:rsidRPr="00C744BE">
        <w:t> </w:t>
      </w:r>
      <w:r w:rsidRPr="00307E92">
        <w:t>367</w:t>
      </w:r>
      <w:r w:rsidRPr="00C744BE">
        <w:t xml:space="preserve"> v letu </w:t>
      </w:r>
      <w:r w:rsidRPr="00307E92">
        <w:t>2011</w:t>
      </w:r>
      <w:r w:rsidRPr="00C744BE">
        <w:t>. Večina učencev v sistemu Evropskih šol (</w:t>
      </w:r>
      <w:r w:rsidRPr="00307E92">
        <w:t>63</w:t>
      </w:r>
      <w:r w:rsidRPr="00C744BE">
        <w:t> %) se šola v Evropskih šolah v Bruslju (</w:t>
      </w:r>
      <w:r w:rsidRPr="00307E92">
        <w:t>44</w:t>
      </w:r>
      <w:r w:rsidRPr="00C744BE">
        <w:t> %) in Luxembourgu (</w:t>
      </w:r>
      <w:r w:rsidRPr="00307E92">
        <w:t>19</w:t>
      </w:r>
      <w:r w:rsidRPr="00C744BE">
        <w:t> %). Učenci kategorije </w:t>
      </w:r>
      <w:r w:rsidRPr="00307E92">
        <w:t>1</w:t>
      </w:r>
      <w:r w:rsidRPr="00C744BE">
        <w:rPr>
          <w:rStyle w:val="FootnoteReference"/>
        </w:rPr>
        <w:footnoteReference w:id="2"/>
      </w:r>
      <w:r w:rsidRPr="00C744BE">
        <w:t xml:space="preserve">, v katero so vključeni zlasti otroci uslužbencev EU in Evropskih šol ter otroci uslužbencev Evropskega patentnega urada, ki obiskujejo Evropsko šolo v Münchnu, predstavljajo </w:t>
      </w:r>
      <w:r w:rsidRPr="00307E92">
        <w:t>74</w:t>
      </w:r>
      <w:r w:rsidRPr="00C744BE">
        <w:t> % (</w:t>
      </w:r>
      <w:r w:rsidRPr="00307E92">
        <w:t>17</w:t>
      </w:r>
      <w:r w:rsidRPr="00C744BE">
        <w:t> </w:t>
      </w:r>
      <w:r w:rsidRPr="00307E92">
        <w:t>396</w:t>
      </w:r>
      <w:r w:rsidRPr="00C744BE">
        <w:t>) vseh učencev, vendar pa je na nekaterih manjših Evropskih šolah število učencev te kategorije zelo majhno. Učenci kategorije </w:t>
      </w:r>
      <w:r w:rsidRPr="00307E92">
        <w:t>2</w:t>
      </w:r>
      <w:r w:rsidRPr="00C744BE">
        <w:rPr>
          <w:rStyle w:val="FootnoteReference"/>
        </w:rPr>
        <w:footnoteReference w:id="3"/>
      </w:r>
      <w:r w:rsidRPr="00C744BE">
        <w:t xml:space="preserve"> predstavljajo </w:t>
      </w:r>
      <w:r w:rsidRPr="00307E92">
        <w:t>5</w:t>
      </w:r>
      <w:r w:rsidRPr="00C744BE">
        <w:t>,</w:t>
      </w:r>
      <w:r w:rsidRPr="00307E92">
        <w:t>12</w:t>
      </w:r>
      <w:r w:rsidRPr="00C744BE">
        <w:t> % vseh učencev, pri čemer se je njihovo število zmanjšalo zaradi gospodarske krize, ker je bilo za učence te kategorije sklenjenih manj sporazumov z Evropskimi šolami. Učencev kategorije </w:t>
      </w:r>
      <w:r w:rsidRPr="00307E92">
        <w:t>3</w:t>
      </w:r>
      <w:r w:rsidRPr="00C744BE">
        <w:rPr>
          <w:rStyle w:val="FootnoteReference"/>
        </w:rPr>
        <w:footnoteReference w:id="4"/>
      </w:r>
      <w:r w:rsidRPr="00C744BE">
        <w:t xml:space="preserve">, ki vključuje učence, katerih starši morajo plačevati šolnino, je </w:t>
      </w:r>
      <w:r w:rsidRPr="00307E92">
        <w:t>4</w:t>
      </w:r>
      <w:r w:rsidRPr="00C744BE">
        <w:t> </w:t>
      </w:r>
      <w:r w:rsidRPr="00307E92">
        <w:t>774</w:t>
      </w:r>
      <w:r w:rsidRPr="00C744BE">
        <w:t xml:space="preserve"> (</w:t>
      </w:r>
      <w:r w:rsidRPr="00307E92">
        <w:t>20</w:t>
      </w:r>
      <w:r w:rsidRPr="00C744BE">
        <w:t> %).</w:t>
      </w:r>
    </w:p>
    <w:p w:rsidR="004C0CE3" w:rsidRPr="00C744BE" w:rsidRDefault="004C0CE3" w:rsidP="008B6911">
      <w:pPr>
        <w:pStyle w:val="Heading2"/>
        <w:keepLines/>
      </w:pPr>
      <w:bookmarkStart w:id="3" w:name="_Toc342473027"/>
      <w:r w:rsidRPr="00C744BE">
        <w:t>Alicante</w:t>
      </w:r>
      <w:bookmarkEnd w:id="3"/>
    </w:p>
    <w:p w:rsidR="004C0CE3" w:rsidRPr="00C744BE" w:rsidRDefault="004C0CE3" w:rsidP="00AF7717">
      <w:pPr>
        <w:keepLines/>
      </w:pPr>
      <w:r w:rsidRPr="00C744BE">
        <w:t>Število učencev šole v Alicanteju ostaja enako. To šolo je ob začetku šolskega leta </w:t>
      </w:r>
      <w:r w:rsidRPr="00307E92">
        <w:t>2011</w:t>
      </w:r>
      <w:r w:rsidRPr="00C744BE">
        <w:t xml:space="preserve"> obiskovalo </w:t>
      </w:r>
      <w:r w:rsidRPr="00307E92">
        <w:t>1</w:t>
      </w:r>
      <w:r w:rsidRPr="00C744BE">
        <w:t> </w:t>
      </w:r>
      <w:r w:rsidRPr="00307E92">
        <w:t>034</w:t>
      </w:r>
      <w:r w:rsidRPr="00C744BE">
        <w:t xml:space="preserve"> učencev, od katerih je </w:t>
      </w:r>
      <w:r w:rsidRPr="00307E92">
        <w:t>48</w:t>
      </w:r>
      <w:r w:rsidRPr="00C744BE">
        <w:t> % učencev kategorije </w:t>
      </w:r>
      <w:r w:rsidRPr="00307E92">
        <w:t>1</w:t>
      </w:r>
      <w:r w:rsidRPr="00C744BE">
        <w:t xml:space="preserve">, ki so večinoma otroci uslužbencev Urada za usklajevanje na notranjem trgu (UUNT). Kot je običajno v Evropskih šolah, je najštevilčnejši oddelek jezika države gostiteljice. V tem primeru je v španski oddelek vpisanih </w:t>
      </w:r>
      <w:r w:rsidRPr="00307E92">
        <w:t>37</w:t>
      </w:r>
      <w:r w:rsidRPr="00C744BE">
        <w:t> % vseh učencev.</w:t>
      </w:r>
    </w:p>
    <w:p w:rsidR="004C0CE3" w:rsidRPr="00C744BE" w:rsidRDefault="004C0CE3" w:rsidP="008B6911">
      <w:pPr>
        <w:pStyle w:val="Heading2"/>
        <w:keepLines/>
        <w:rPr>
          <w:bCs w:val="0"/>
          <w:iCs w:val="0"/>
          <w:szCs w:val="24"/>
        </w:rPr>
      </w:pPr>
      <w:bookmarkStart w:id="4" w:name="_Toc342473028"/>
      <w:r w:rsidRPr="00C744BE">
        <w:rPr>
          <w:bCs w:val="0"/>
          <w:iCs w:val="0"/>
          <w:szCs w:val="24"/>
        </w:rPr>
        <w:t>Bergen</w:t>
      </w:r>
      <w:bookmarkEnd w:id="4"/>
    </w:p>
    <w:p w:rsidR="004C0CE3" w:rsidRPr="00C744BE" w:rsidRDefault="004C0CE3" w:rsidP="00AF7717">
      <w:pPr>
        <w:keepLines/>
      </w:pPr>
      <w:r w:rsidRPr="00C744BE">
        <w:t xml:space="preserve">Število učencev na šoli v Bergnu se je nekoliko zmanjšalo, in sicer s </w:t>
      </w:r>
      <w:r w:rsidRPr="00307E92">
        <w:t>608</w:t>
      </w:r>
      <w:r w:rsidRPr="00C744BE">
        <w:t xml:space="preserve"> v šolskem letu </w:t>
      </w:r>
      <w:r w:rsidRPr="00307E92">
        <w:t>2010</w:t>
      </w:r>
      <w:r w:rsidRPr="00C744BE">
        <w:t>/</w:t>
      </w:r>
      <w:r w:rsidRPr="00307E92">
        <w:t>2011</w:t>
      </w:r>
      <w:r w:rsidRPr="00C744BE">
        <w:t xml:space="preserve"> na </w:t>
      </w:r>
      <w:r w:rsidRPr="00307E92">
        <w:t>581</w:t>
      </w:r>
      <w:r w:rsidRPr="00C744BE">
        <w:t xml:space="preserve"> v šolskem letu </w:t>
      </w:r>
      <w:r w:rsidRPr="00307E92">
        <w:t>2011</w:t>
      </w:r>
      <w:r w:rsidRPr="00C744BE">
        <w:t>/</w:t>
      </w:r>
      <w:r w:rsidRPr="00307E92">
        <w:t>2012</w:t>
      </w:r>
      <w:r w:rsidRPr="00C744BE">
        <w:t xml:space="preserve">, pri čemer je bilo </w:t>
      </w:r>
      <w:r w:rsidRPr="00307E92">
        <w:t>109</w:t>
      </w:r>
      <w:r w:rsidRPr="00C744BE">
        <w:t xml:space="preserve"> učencev (</w:t>
      </w:r>
      <w:r w:rsidRPr="00307E92">
        <w:t>18</w:t>
      </w:r>
      <w:r w:rsidRPr="00C744BE">
        <w:t> %) kategorije </w:t>
      </w:r>
      <w:r w:rsidRPr="00307E92">
        <w:t>1</w:t>
      </w:r>
      <w:r w:rsidRPr="00C744BE">
        <w:t xml:space="preserve"> in </w:t>
      </w:r>
      <w:r w:rsidRPr="00307E92">
        <w:t>472</w:t>
      </w:r>
      <w:r w:rsidRPr="00C744BE">
        <w:t xml:space="preserve"> učencev (</w:t>
      </w:r>
      <w:r w:rsidRPr="00307E92">
        <w:t>81</w:t>
      </w:r>
      <w:r w:rsidRPr="00C744BE">
        <w:t> %) kategorije </w:t>
      </w:r>
      <w:r w:rsidRPr="00307E92">
        <w:t>3</w:t>
      </w:r>
      <w:r w:rsidRPr="00C744BE">
        <w:t xml:space="preserve">. </w:t>
      </w:r>
    </w:p>
    <w:p w:rsidR="004C0CE3" w:rsidRPr="00C744BE" w:rsidRDefault="004C0CE3" w:rsidP="00AF7717">
      <w:pPr>
        <w:keepLines/>
      </w:pPr>
      <w:r w:rsidRPr="00C744BE">
        <w:t>Leta </w:t>
      </w:r>
      <w:r w:rsidRPr="00307E92">
        <w:t>2011</w:t>
      </w:r>
      <w:r w:rsidRPr="00C744BE">
        <w:t xml:space="preserve"> so bila opravljena dela na področju infrastrukture, zlasti obnova športne dvorane in klimatskega sistema. </w:t>
      </w:r>
    </w:p>
    <w:p w:rsidR="004C0CE3" w:rsidRPr="00C744BE" w:rsidRDefault="004C0CE3" w:rsidP="008B6911">
      <w:pPr>
        <w:pStyle w:val="Heading2"/>
        <w:keepLines/>
        <w:rPr>
          <w:bCs w:val="0"/>
          <w:iCs w:val="0"/>
          <w:szCs w:val="24"/>
        </w:rPr>
      </w:pPr>
      <w:bookmarkStart w:id="5" w:name="_Toc342473029"/>
      <w:r w:rsidRPr="00C744BE">
        <w:rPr>
          <w:bCs w:val="0"/>
          <w:iCs w:val="0"/>
          <w:szCs w:val="24"/>
        </w:rPr>
        <w:t>Bruselj</w:t>
      </w:r>
      <w:bookmarkEnd w:id="5"/>
    </w:p>
    <w:p w:rsidR="004C0CE3" w:rsidRPr="00C744BE" w:rsidRDefault="004C0CE3" w:rsidP="00AF7717">
      <w:pPr>
        <w:keepLines/>
      </w:pPr>
      <w:r w:rsidRPr="00C744BE">
        <w:t xml:space="preserve">Prostorska stiska se v bruseljskih Evropskih šolah še naprej povečuje. Zaradi povečanja števila vlog za vpis se je število učencev na štirih Evropskih šolah v Bruslju povečalo z </w:t>
      </w:r>
      <w:r w:rsidRPr="00307E92">
        <w:t>9</w:t>
      </w:r>
      <w:r w:rsidRPr="00C744BE">
        <w:t> </w:t>
      </w:r>
      <w:r w:rsidRPr="00307E92">
        <w:t>847</w:t>
      </w:r>
      <w:r w:rsidRPr="00C744BE">
        <w:t xml:space="preserve"> v letu </w:t>
      </w:r>
      <w:r w:rsidRPr="00307E92">
        <w:t>2010</w:t>
      </w:r>
      <w:r w:rsidRPr="00C744BE">
        <w:t>/</w:t>
      </w:r>
      <w:r w:rsidRPr="00307E92">
        <w:t>2011</w:t>
      </w:r>
      <w:r w:rsidRPr="00C744BE">
        <w:t xml:space="preserve"> na </w:t>
      </w:r>
      <w:r w:rsidRPr="00307E92">
        <w:t>10</w:t>
      </w:r>
      <w:r w:rsidRPr="00C744BE">
        <w:t> </w:t>
      </w:r>
      <w:r w:rsidRPr="00307E92">
        <w:t>285</w:t>
      </w:r>
      <w:r w:rsidRPr="00C744BE">
        <w:t xml:space="preserve"> ob začetku šolskega leta </w:t>
      </w:r>
      <w:r w:rsidRPr="00307E92">
        <w:t>2011</w:t>
      </w:r>
      <w:r w:rsidRPr="00C744BE">
        <w:t>/</w:t>
      </w:r>
      <w:r w:rsidRPr="00307E92">
        <w:t>2012</w:t>
      </w:r>
      <w:r w:rsidRPr="00C744BE">
        <w:t>.</w:t>
      </w:r>
    </w:p>
    <w:p w:rsidR="004C0CE3" w:rsidRPr="00C744BE" w:rsidRDefault="004C0CE3" w:rsidP="00AF7717">
      <w:pPr>
        <w:keepLines/>
      </w:pPr>
      <w:r w:rsidRPr="00C744BE">
        <w:t>Število učencev na Evropski šoli Bruselj I se je med letoma </w:t>
      </w:r>
      <w:r w:rsidRPr="00307E92">
        <w:t>2010</w:t>
      </w:r>
      <w:r w:rsidRPr="00C744BE">
        <w:t>/</w:t>
      </w:r>
      <w:r w:rsidRPr="00307E92">
        <w:t>2011</w:t>
      </w:r>
      <w:r w:rsidRPr="00C744BE">
        <w:t xml:space="preserve"> in </w:t>
      </w:r>
      <w:r w:rsidRPr="00307E92">
        <w:t>2011</w:t>
      </w:r>
      <w:r w:rsidRPr="00C744BE">
        <w:t>/</w:t>
      </w:r>
      <w:r w:rsidRPr="00307E92">
        <w:t>2012</w:t>
      </w:r>
      <w:r w:rsidRPr="00C744BE">
        <w:t xml:space="preserve"> povečalo za okoli </w:t>
      </w:r>
      <w:r w:rsidRPr="00307E92">
        <w:t>60</w:t>
      </w:r>
      <w:r w:rsidRPr="00C744BE">
        <w:t xml:space="preserve">, tj. s </w:t>
      </w:r>
      <w:r w:rsidRPr="00307E92">
        <w:t>3</w:t>
      </w:r>
      <w:r w:rsidRPr="00C744BE">
        <w:t> </w:t>
      </w:r>
      <w:r w:rsidRPr="00307E92">
        <w:t>074</w:t>
      </w:r>
      <w:r w:rsidRPr="00C744BE">
        <w:t xml:space="preserve"> na </w:t>
      </w:r>
      <w:r w:rsidRPr="00307E92">
        <w:t>3</w:t>
      </w:r>
      <w:r w:rsidRPr="00C744BE">
        <w:t> </w:t>
      </w:r>
      <w:r w:rsidRPr="00307E92">
        <w:t>131</w:t>
      </w:r>
      <w:r w:rsidRPr="00C744BE">
        <w:t xml:space="preserve">. Zaradi velikosti kampusa in </w:t>
      </w:r>
      <w:r w:rsidRPr="00307E92">
        <w:t>14</w:t>
      </w:r>
      <w:r w:rsidRPr="00C744BE">
        <w:t xml:space="preserve"> ločenih stavb je ena od prednostnih nalog te Evropske šole še vedno izboljševanje varnosti (sistem kartic, videonadzor). </w:t>
      </w:r>
    </w:p>
    <w:p w:rsidR="004C0CE3" w:rsidRPr="00C744BE" w:rsidRDefault="004C0CE3" w:rsidP="00AF7717">
      <w:pPr>
        <w:keepLines/>
      </w:pPr>
      <w:r w:rsidRPr="00C744BE">
        <w:t>Število učencev od štirih bruseljskih Evropskih šol je trenutno največje na Evropski šoli Bruselj II, ki jo je ob začetku šolskega leta </w:t>
      </w:r>
      <w:r w:rsidRPr="00307E92">
        <w:t>2011</w:t>
      </w:r>
      <w:r w:rsidRPr="00C744BE">
        <w:t>/</w:t>
      </w:r>
      <w:r w:rsidRPr="00307E92">
        <w:t>2012</w:t>
      </w:r>
      <w:r w:rsidRPr="00C744BE">
        <w:t xml:space="preserve"> obiskovalo </w:t>
      </w:r>
      <w:r w:rsidRPr="00307E92">
        <w:t>3</w:t>
      </w:r>
      <w:r w:rsidRPr="00C744BE">
        <w:t> </w:t>
      </w:r>
      <w:r w:rsidRPr="00307E92">
        <w:t>176</w:t>
      </w:r>
      <w:r w:rsidRPr="00C744BE">
        <w:t xml:space="preserve"> učencev. To veliko število učencev pomeni vsakodnevni organizacijski izziv. Začela so se dela za izgradnjo novega avtobusnega parkirišča, ki bo uradno odprto leta </w:t>
      </w:r>
      <w:r w:rsidRPr="00307E92">
        <w:t>2012</w:t>
      </w:r>
      <w:r w:rsidRPr="00C744BE">
        <w:t>, s čimer se bo izboljšala varnost na igrišču šole, kjer trenutno dvakrat na dan parkira okoli petdeset šolskih avtobusov.</w:t>
      </w:r>
    </w:p>
    <w:p w:rsidR="004C0CE3" w:rsidRPr="00C744BE" w:rsidRDefault="004C0CE3" w:rsidP="00AF7717">
      <w:pPr>
        <w:keepLines/>
      </w:pPr>
      <w:r w:rsidRPr="00C744BE">
        <w:t xml:space="preserve">Tudi na Evropski šoli Bruselj III se je število učencev povečalo, in sicer na </w:t>
      </w:r>
      <w:r w:rsidRPr="00307E92">
        <w:t>2</w:t>
      </w:r>
      <w:r w:rsidRPr="00C744BE">
        <w:t> </w:t>
      </w:r>
      <w:r w:rsidRPr="00307E92">
        <w:t>919</w:t>
      </w:r>
      <w:r w:rsidRPr="00C744BE">
        <w:t xml:space="preserve"> ob začetku šolskega leta </w:t>
      </w:r>
      <w:r w:rsidRPr="00307E92">
        <w:t>2011</w:t>
      </w:r>
      <w:r w:rsidRPr="00C744BE">
        <w:t>. Podobno kot na šolah Bruselj I in Bruselj II se tudi na tej šoli pojavljajo praktične težave pri uporabi skupnih prostorov zaradi prenatrpanosti.</w:t>
      </w:r>
    </w:p>
    <w:p w:rsidR="004C0CE3" w:rsidRPr="00C744BE" w:rsidRDefault="004C0CE3" w:rsidP="00AF7717">
      <w:pPr>
        <w:keepLines/>
      </w:pPr>
      <w:r w:rsidRPr="00C744BE">
        <w:t xml:space="preserve">Število učencev na Evropski šoli Bruselj IV se je spet precej povečalo (za </w:t>
      </w:r>
      <w:r w:rsidRPr="00307E92">
        <w:t>31</w:t>
      </w:r>
      <w:r w:rsidRPr="00C744BE">
        <w:t xml:space="preserve">%), in sicer z </w:t>
      </w:r>
      <w:r w:rsidRPr="00307E92">
        <w:t>809</w:t>
      </w:r>
      <w:r w:rsidRPr="00C744BE">
        <w:t xml:space="preserve"> na </w:t>
      </w:r>
      <w:r w:rsidRPr="00307E92">
        <w:t>1</w:t>
      </w:r>
      <w:r w:rsidRPr="00C744BE">
        <w:t> </w:t>
      </w:r>
      <w:r w:rsidRPr="00307E92">
        <w:t>059</w:t>
      </w:r>
      <w:r w:rsidRPr="00C744BE">
        <w:t xml:space="preserve">. Zaradi pomanjkanja prostorov na začasni lokaciji v Berkendaelu so bile postavljene montažne zgradbe za sprejem </w:t>
      </w:r>
      <w:r w:rsidRPr="00307E92">
        <w:t>7</w:t>
      </w:r>
      <w:r w:rsidRPr="00C744BE">
        <w:t xml:space="preserve"> dodatnih razredov.</w:t>
      </w:r>
    </w:p>
    <w:p w:rsidR="004C0CE3" w:rsidRPr="00C744BE" w:rsidRDefault="004C0CE3" w:rsidP="008B6911">
      <w:pPr>
        <w:pStyle w:val="Heading2"/>
        <w:keepLines/>
        <w:rPr>
          <w:bCs w:val="0"/>
          <w:iCs w:val="0"/>
          <w:szCs w:val="24"/>
        </w:rPr>
      </w:pPr>
      <w:bookmarkStart w:id="6" w:name="_Toc342473030"/>
      <w:r w:rsidRPr="00C744BE">
        <w:rPr>
          <w:bCs w:val="0"/>
          <w:iCs w:val="0"/>
          <w:szCs w:val="24"/>
        </w:rPr>
        <w:t>Culham</w:t>
      </w:r>
      <w:bookmarkEnd w:id="6"/>
    </w:p>
    <w:p w:rsidR="004C0CE3" w:rsidRPr="00C744BE" w:rsidRDefault="004C0CE3" w:rsidP="00AF7717">
      <w:pPr>
        <w:keepLines/>
      </w:pPr>
      <w:r w:rsidRPr="00C744BE">
        <w:t>Na podlagi sklepa, ki ga je Svet guvernerjev Evropskih šol sprejel aprila </w:t>
      </w:r>
      <w:r w:rsidRPr="00307E92">
        <w:t>2007</w:t>
      </w:r>
      <w:r w:rsidRPr="00C744BE">
        <w:t>, se bo Evropska šola v Culhamu postopno zaprla do leta </w:t>
      </w:r>
      <w:r w:rsidRPr="00307E92">
        <w:t>2017</w:t>
      </w:r>
      <w:r w:rsidRPr="00C744BE">
        <w:t xml:space="preserve"> zaradi selitve skupnega podjetja Skupni evropski Torus (Joint European Torus – JET) v Cadarache (Francija). Zato ob začetku šolskega leta </w:t>
      </w:r>
      <w:r w:rsidRPr="00307E92">
        <w:t>2011</w:t>
      </w:r>
      <w:r w:rsidRPr="00C744BE">
        <w:t xml:space="preserve"> ni bil odprt noben nov oddelek predšolskih otrok. </w:t>
      </w:r>
    </w:p>
    <w:p w:rsidR="004C0CE3" w:rsidRPr="00C744BE" w:rsidRDefault="004C0CE3" w:rsidP="00AF7717">
      <w:pPr>
        <w:keepLines/>
      </w:pPr>
      <w:r w:rsidRPr="00C744BE">
        <w:t>Poleg tega so britanski organi predstavili nov načrt za odprtje nacionalne šole („free school“) na tej lokaciji, ki bo nadomestila sprva načrtovano „akademijo“. Nacionalna šola bo predvidoma začela delovati septembra </w:t>
      </w:r>
      <w:r w:rsidRPr="00307E92">
        <w:t>2012</w:t>
      </w:r>
      <w:r w:rsidRPr="00C744BE">
        <w:t xml:space="preserve"> s postopnim uvajanjem posameznih razrednih stopenj, ko te ne bodo več na voljo na Evropski šoli.</w:t>
      </w:r>
    </w:p>
    <w:p w:rsidR="004C0CE3" w:rsidRPr="00C744BE" w:rsidRDefault="004C0CE3" w:rsidP="00AF7717">
      <w:pPr>
        <w:keepLines/>
      </w:pPr>
      <w:r w:rsidRPr="00C744BE">
        <w:t>Evropska šola in nova nacionalna šola si bosta do junija </w:t>
      </w:r>
      <w:r w:rsidRPr="00307E92">
        <w:t>2017</w:t>
      </w:r>
      <w:r w:rsidRPr="00C744BE">
        <w:t xml:space="preserve"> delili prostore v Culhamu. Pedagoški, upravni in finančni vidiki bodo ločeni, morali pa si bosta deliti infrastrukturo in operativne odhodke, povezane z lokacijo. Komisija podpira ta načrt, s katerim bo omogočeno nadaljevanje šolskega življenja na lokaciji v Culhamu po letu </w:t>
      </w:r>
      <w:r w:rsidRPr="00307E92">
        <w:t>2017</w:t>
      </w:r>
      <w:r w:rsidRPr="00C744BE">
        <w:t xml:space="preserve">. </w:t>
      </w:r>
    </w:p>
    <w:p w:rsidR="004C0CE3" w:rsidRPr="00C744BE" w:rsidRDefault="004C0CE3" w:rsidP="008B6911">
      <w:pPr>
        <w:pStyle w:val="Heading2"/>
        <w:keepLines/>
        <w:rPr>
          <w:bCs w:val="0"/>
          <w:iCs w:val="0"/>
          <w:szCs w:val="24"/>
        </w:rPr>
      </w:pPr>
      <w:bookmarkStart w:id="7" w:name="_Toc342473031"/>
      <w:r w:rsidRPr="00C744BE">
        <w:rPr>
          <w:bCs w:val="0"/>
          <w:iCs w:val="0"/>
          <w:szCs w:val="24"/>
        </w:rPr>
        <w:t>Frankfurt</w:t>
      </w:r>
      <w:bookmarkEnd w:id="7"/>
    </w:p>
    <w:p w:rsidR="004C0CE3" w:rsidRPr="00C744BE" w:rsidRDefault="004C0CE3" w:rsidP="00AF7717">
      <w:pPr>
        <w:keepLines/>
      </w:pPr>
      <w:r w:rsidRPr="00C744BE">
        <w:t xml:space="preserve">V primerjavi s preteklim letom se je število učencev na Evropski šoli v Frankfurtu povečalo za skoraj </w:t>
      </w:r>
      <w:r w:rsidRPr="00307E92">
        <w:t>5</w:t>
      </w:r>
      <w:r w:rsidRPr="00C744BE">
        <w:t> %, kar pomeni, da ima ta šola eno najvišjih stopenj rasti števila učencev, ki je posledica povečanja števila zaposlenih pri Evropski centralni banki. Septembra </w:t>
      </w:r>
      <w:r w:rsidRPr="00307E92">
        <w:t>2011</w:t>
      </w:r>
      <w:r w:rsidRPr="00C744BE">
        <w:t xml:space="preserve"> je bilo v to Evropsko šolo vpisanih </w:t>
      </w:r>
      <w:r w:rsidRPr="00307E92">
        <w:t>1</w:t>
      </w:r>
      <w:r w:rsidRPr="00C744BE">
        <w:t> </w:t>
      </w:r>
      <w:r w:rsidRPr="00307E92">
        <w:t>136</w:t>
      </w:r>
      <w:r w:rsidRPr="00C744BE">
        <w:t xml:space="preserve"> učencev, od tega </w:t>
      </w:r>
      <w:r w:rsidRPr="00307E92">
        <w:t>780</w:t>
      </w:r>
      <w:r w:rsidRPr="00C744BE">
        <w:t xml:space="preserve"> učencev iz kategorije </w:t>
      </w:r>
      <w:r w:rsidRPr="00307E92">
        <w:t>1</w:t>
      </w:r>
      <w:r w:rsidRPr="00C744BE">
        <w:t>. Ta šola je prenatrpana, zato je bila na nemške organe naslovljena zahteva po dodatni infrastrukturi. Vendar pa zadevni organi še niso določili, ali bo stroške poravnala zvezna dežela Hessen ali Ministrstvo za zunanje zadeve. Poleg tega šola v letu </w:t>
      </w:r>
      <w:r w:rsidRPr="00307E92">
        <w:t>2012</w:t>
      </w:r>
      <w:r w:rsidRPr="00C744BE">
        <w:t xml:space="preserve"> pripravlja slovesnost ob desetletnici svoje ustanovitve. </w:t>
      </w:r>
    </w:p>
    <w:p w:rsidR="004C0CE3" w:rsidRPr="00C744BE" w:rsidRDefault="004C0CE3" w:rsidP="008B6911">
      <w:pPr>
        <w:pStyle w:val="Heading2"/>
        <w:keepLines/>
        <w:rPr>
          <w:bCs w:val="0"/>
          <w:iCs w:val="0"/>
          <w:szCs w:val="24"/>
        </w:rPr>
      </w:pPr>
      <w:bookmarkStart w:id="8" w:name="_Toc342473032"/>
      <w:r w:rsidRPr="00C744BE">
        <w:rPr>
          <w:bCs w:val="0"/>
          <w:iCs w:val="0"/>
          <w:szCs w:val="24"/>
        </w:rPr>
        <w:t>Karlsruhe</w:t>
      </w:r>
      <w:bookmarkEnd w:id="8"/>
    </w:p>
    <w:p w:rsidR="004C0CE3" w:rsidRPr="00C744BE" w:rsidRDefault="004C0CE3" w:rsidP="00AF7717">
      <w:pPr>
        <w:keepLines/>
      </w:pPr>
      <w:r w:rsidRPr="00C744BE">
        <w:t xml:space="preserve">Število učencev, vpisanih v Evropsko šolo v Karlsruheju, se že nekaj let postopno zmanjšuje. Njihovo število se je z </w:t>
      </w:r>
      <w:r w:rsidRPr="00307E92">
        <w:t>979</w:t>
      </w:r>
      <w:r w:rsidRPr="00C744BE">
        <w:t xml:space="preserve"> v letu </w:t>
      </w:r>
      <w:r w:rsidRPr="00307E92">
        <w:t>2008</w:t>
      </w:r>
      <w:r w:rsidRPr="00C744BE">
        <w:t xml:space="preserve"> zmanjšalo na </w:t>
      </w:r>
      <w:r w:rsidRPr="00307E92">
        <w:t>933</w:t>
      </w:r>
      <w:r w:rsidRPr="00C744BE">
        <w:t xml:space="preserve"> v septembru </w:t>
      </w:r>
      <w:r w:rsidRPr="00307E92">
        <w:t>2011</w:t>
      </w:r>
      <w:r w:rsidRPr="00C744BE">
        <w:t xml:space="preserve">, od katerih je </w:t>
      </w:r>
      <w:r w:rsidRPr="00307E92">
        <w:t>173</w:t>
      </w:r>
      <w:r w:rsidRPr="00C744BE">
        <w:t xml:space="preserve"> učencev (</w:t>
      </w:r>
      <w:r w:rsidRPr="00307E92">
        <w:t>18</w:t>
      </w:r>
      <w:r w:rsidRPr="00C744BE">
        <w:t>,</w:t>
      </w:r>
      <w:r w:rsidRPr="00307E92">
        <w:t>5</w:t>
      </w:r>
      <w:r w:rsidRPr="00C744BE">
        <w:t> %) iz kategorije </w:t>
      </w:r>
      <w:r w:rsidRPr="00307E92">
        <w:t>1</w:t>
      </w:r>
      <w:r w:rsidRPr="00C744BE">
        <w:t xml:space="preserve">, </w:t>
      </w:r>
      <w:r w:rsidRPr="00307E92">
        <w:t>267</w:t>
      </w:r>
      <w:r w:rsidRPr="00C744BE">
        <w:t xml:space="preserve"> učencev iz kategorije </w:t>
      </w:r>
      <w:r w:rsidRPr="00307E92">
        <w:t>2</w:t>
      </w:r>
      <w:r w:rsidRPr="00C744BE">
        <w:t>, več kot polovica (</w:t>
      </w:r>
      <w:r w:rsidRPr="00307E92">
        <w:t>493</w:t>
      </w:r>
      <w:r w:rsidRPr="00C744BE">
        <w:t>) pa iz kategorije </w:t>
      </w:r>
      <w:r w:rsidRPr="00307E92">
        <w:t>3</w:t>
      </w:r>
      <w:r w:rsidRPr="00C744BE">
        <w:t>.</w:t>
      </w:r>
    </w:p>
    <w:p w:rsidR="004C0CE3" w:rsidRPr="00C744BE" w:rsidRDefault="004C0CE3" w:rsidP="00AF7717">
      <w:pPr>
        <w:keepLines/>
      </w:pPr>
      <w:r w:rsidRPr="00C744BE">
        <w:t>Ta šola je primer lokalnega sofinanciranja in jo subvencionira mesto Karlsruhe (</w:t>
      </w:r>
      <w:r w:rsidRPr="00307E92">
        <w:t>165</w:t>
      </w:r>
      <w:r w:rsidRPr="00C744BE">
        <w:t> </w:t>
      </w:r>
      <w:r w:rsidRPr="00307E92">
        <w:t>000</w:t>
      </w:r>
      <w:r w:rsidRPr="00C744BE">
        <w:t> EUR v letu </w:t>
      </w:r>
      <w:r w:rsidRPr="00307E92">
        <w:t>2011</w:t>
      </w:r>
      <w:r w:rsidRPr="00C744BE">
        <w:t>), s čimer se financira napotitev upravljavca in strokovnega sodelavca občine v Evropsko š</w:t>
      </w:r>
      <w:r>
        <w:t>olo. Tudi zvezna dežela Baden-W</w:t>
      </w:r>
      <w:r w:rsidRPr="003306E9">
        <w:t>ü</w:t>
      </w:r>
      <w:r w:rsidRPr="00C744BE">
        <w:t>r</w:t>
      </w:r>
      <w:r>
        <w:t>t</w:t>
      </w:r>
      <w:r w:rsidRPr="00C744BE">
        <w:t>temberg finančno podpira šolo in ji je v letu </w:t>
      </w:r>
      <w:r w:rsidRPr="00307E92">
        <w:t>2011</w:t>
      </w:r>
      <w:r w:rsidRPr="00C744BE">
        <w:t xml:space="preserve"> izplačala </w:t>
      </w:r>
      <w:r w:rsidRPr="00307E92">
        <w:t>732</w:t>
      </w:r>
      <w:r w:rsidRPr="00C744BE">
        <w:t> </w:t>
      </w:r>
      <w:r w:rsidRPr="00307E92">
        <w:t>200</w:t>
      </w:r>
      <w:r w:rsidRPr="00C744BE">
        <w:t> EUR.</w:t>
      </w:r>
    </w:p>
    <w:p w:rsidR="004C0CE3" w:rsidRPr="00C744BE" w:rsidRDefault="004C0CE3" w:rsidP="008B6911">
      <w:pPr>
        <w:pStyle w:val="Heading2"/>
        <w:keepLines/>
        <w:rPr>
          <w:bCs w:val="0"/>
          <w:iCs w:val="0"/>
          <w:szCs w:val="24"/>
        </w:rPr>
      </w:pPr>
      <w:bookmarkStart w:id="9" w:name="_Toc342473033"/>
      <w:r w:rsidRPr="00C744BE">
        <w:rPr>
          <w:bCs w:val="0"/>
          <w:iCs w:val="0"/>
          <w:szCs w:val="24"/>
        </w:rPr>
        <w:t>Luxembourg</w:t>
      </w:r>
      <w:bookmarkEnd w:id="9"/>
    </w:p>
    <w:p w:rsidR="004C0CE3" w:rsidRPr="00C744BE" w:rsidRDefault="004C0CE3" w:rsidP="00AF7717">
      <w:pPr>
        <w:keepLines/>
      </w:pPr>
      <w:r w:rsidRPr="00C744BE">
        <w:t>Evropska šola Luxembourg I se nahaja v četrti Luxembourg-Kirchberg in jo danes obiskujejo učenci Evropske šole Luxembourg II, ki se bo ob začetku šolskega leta </w:t>
      </w:r>
      <w:r w:rsidRPr="00307E92">
        <w:t>2012</w:t>
      </w:r>
      <w:r w:rsidRPr="00C744BE">
        <w:t>/</w:t>
      </w:r>
      <w:r w:rsidRPr="00307E92">
        <w:t>2013</w:t>
      </w:r>
      <w:r w:rsidRPr="00C744BE">
        <w:t xml:space="preserve"> za stalno preselila na lokacijo Bertrange/Mamer. </w:t>
      </w:r>
    </w:p>
    <w:p w:rsidR="004C0CE3" w:rsidRPr="00C744BE" w:rsidRDefault="004C0CE3" w:rsidP="00AF7717">
      <w:pPr>
        <w:keepLines/>
      </w:pPr>
      <w:r w:rsidRPr="00C744BE">
        <w:t>Leta </w:t>
      </w:r>
      <w:r w:rsidRPr="00307E92">
        <w:t>2011</w:t>
      </w:r>
      <w:r w:rsidRPr="00C744BE">
        <w:t xml:space="preserve"> je bilo vanjo vpisanih okoli </w:t>
      </w:r>
      <w:r w:rsidRPr="00307E92">
        <w:t>4</w:t>
      </w:r>
      <w:r w:rsidRPr="00C744BE">
        <w:t> </w:t>
      </w:r>
      <w:r w:rsidRPr="00307E92">
        <w:t>500</w:t>
      </w:r>
      <w:r w:rsidRPr="00C744BE">
        <w:t xml:space="preserve"> učencev (</w:t>
      </w:r>
      <w:r w:rsidRPr="00307E92">
        <w:t>3</w:t>
      </w:r>
      <w:r w:rsidRPr="00C744BE">
        <w:t> </w:t>
      </w:r>
      <w:r w:rsidRPr="00307E92">
        <w:t>579</w:t>
      </w:r>
      <w:r w:rsidRPr="00C744BE">
        <w:t xml:space="preserve"> v Lux I in </w:t>
      </w:r>
      <w:r w:rsidRPr="00307E92">
        <w:t>957</w:t>
      </w:r>
      <w:r w:rsidRPr="00C744BE">
        <w:t xml:space="preserve"> v Lux II), zato se je srečevala s prenatrpanostjo in je morala sprejeti politiko omejevanja vpisa otrok, katerih starši niso uslužbenci EU. </w:t>
      </w:r>
    </w:p>
    <w:p w:rsidR="004C0CE3" w:rsidRPr="00C744BE" w:rsidRDefault="004C0CE3" w:rsidP="00AF7717">
      <w:pPr>
        <w:keepLines/>
      </w:pPr>
      <w:r w:rsidRPr="00C744BE">
        <w:t>Luksemburški organi si močno prizadevajo, da bi olajšali šolski avtobusni prevoz. Tega delno organizirajo luksemburški organi in šola, delno pa Združenje za šolski prevoz Evropske šole Luxembourg I (ATSEE). V sodelovanju z luksemburškimi organi je bil za šolo Luxembourg II na lokaciji Bertrange/Mamer pripravljen tudi načrt mobilnosti. Poleg tega potekajo priprave za odprtje šole Luxembourg II leta </w:t>
      </w:r>
      <w:r w:rsidRPr="00307E92">
        <w:t>2012</w:t>
      </w:r>
      <w:r w:rsidRPr="00C744BE">
        <w:t xml:space="preserve"> na stalni lokaciji v Mamerju. </w:t>
      </w:r>
    </w:p>
    <w:p w:rsidR="004C0CE3" w:rsidRPr="00C744BE" w:rsidRDefault="004C0CE3" w:rsidP="008B6911">
      <w:pPr>
        <w:pStyle w:val="Heading2"/>
        <w:keepLines/>
        <w:rPr>
          <w:bCs w:val="0"/>
          <w:iCs w:val="0"/>
          <w:szCs w:val="24"/>
        </w:rPr>
      </w:pPr>
      <w:bookmarkStart w:id="10" w:name="_Toc342473034"/>
      <w:r w:rsidRPr="00C744BE">
        <w:rPr>
          <w:bCs w:val="0"/>
          <w:iCs w:val="0"/>
          <w:szCs w:val="24"/>
        </w:rPr>
        <w:t>Mol</w:t>
      </w:r>
      <w:bookmarkEnd w:id="10"/>
    </w:p>
    <w:p w:rsidR="004C0CE3" w:rsidRPr="00C744BE" w:rsidRDefault="004C0CE3" w:rsidP="00AF7717">
      <w:pPr>
        <w:keepLines/>
      </w:pPr>
      <w:r w:rsidRPr="00C744BE">
        <w:t>Število učencev Evropske šole v Molu ostaja dokaj nespremenjeno, in sicer je ob začetku šolskega leta </w:t>
      </w:r>
      <w:r w:rsidRPr="00307E92">
        <w:t>2011</w:t>
      </w:r>
      <w:r w:rsidRPr="00C744BE">
        <w:t>/</w:t>
      </w:r>
      <w:r w:rsidRPr="00307E92">
        <w:t>2012</w:t>
      </w:r>
      <w:r w:rsidRPr="00C744BE">
        <w:t xml:space="preserve"> to šolo obiskovalo </w:t>
      </w:r>
      <w:r w:rsidRPr="00307E92">
        <w:t>767</w:t>
      </w:r>
      <w:r w:rsidRPr="00C744BE">
        <w:t xml:space="preserve"> učencev, od katerih je </w:t>
      </w:r>
      <w:r w:rsidRPr="00307E92">
        <w:t>614</w:t>
      </w:r>
      <w:r w:rsidRPr="00C744BE">
        <w:t xml:space="preserve"> (</w:t>
      </w:r>
      <w:r w:rsidRPr="00307E92">
        <w:t>80</w:t>
      </w:r>
      <w:r w:rsidRPr="00C744BE">
        <w:t> %) učencev kategorije </w:t>
      </w:r>
      <w:r w:rsidRPr="00307E92">
        <w:t>3</w:t>
      </w:r>
      <w:r w:rsidRPr="00C744BE">
        <w:t xml:space="preserve">, </w:t>
      </w:r>
      <w:r w:rsidRPr="00307E92">
        <w:t>138</w:t>
      </w:r>
      <w:r w:rsidRPr="00C744BE">
        <w:t xml:space="preserve"> (</w:t>
      </w:r>
      <w:r w:rsidRPr="00307E92">
        <w:t>18</w:t>
      </w:r>
      <w:r w:rsidRPr="00C744BE">
        <w:t> %) pa učencev kategorije </w:t>
      </w:r>
      <w:r w:rsidRPr="00307E92">
        <w:t>1</w:t>
      </w:r>
      <w:r w:rsidRPr="00C744BE">
        <w:t xml:space="preserve">. Najštevilčnejša sta nizozemski in angleški oddelek. Nasprotno ima nemški oddelek v vseh razredih le </w:t>
      </w:r>
      <w:r w:rsidRPr="00307E92">
        <w:t>72</w:t>
      </w:r>
      <w:r w:rsidRPr="00C744BE">
        <w:t xml:space="preserve"> učencev. </w:t>
      </w:r>
    </w:p>
    <w:p w:rsidR="004C0CE3" w:rsidRPr="00C744BE" w:rsidRDefault="004C0CE3" w:rsidP="008B6911">
      <w:pPr>
        <w:pStyle w:val="Heading2"/>
        <w:keepLines/>
        <w:rPr>
          <w:bCs w:val="0"/>
          <w:iCs w:val="0"/>
          <w:szCs w:val="24"/>
        </w:rPr>
      </w:pPr>
      <w:bookmarkStart w:id="11" w:name="_Toc342473035"/>
      <w:r w:rsidRPr="00C744BE">
        <w:rPr>
          <w:bCs w:val="0"/>
          <w:iCs w:val="0"/>
          <w:szCs w:val="24"/>
        </w:rPr>
        <w:t>München</w:t>
      </w:r>
      <w:bookmarkEnd w:id="11"/>
    </w:p>
    <w:p w:rsidR="004C0CE3" w:rsidRPr="00C744BE" w:rsidRDefault="004C0CE3" w:rsidP="00AF7717">
      <w:pPr>
        <w:keepLines/>
      </w:pPr>
      <w:r w:rsidRPr="00C744BE">
        <w:t>Število učencev Evropske šole v Münchnu se že več let močno povečuje zaradi povečanja števila zaposlenih v Evropskem patentnem uradu, katerih otroci predstavljajo večji del učencev. Do leta </w:t>
      </w:r>
      <w:r w:rsidRPr="00307E92">
        <w:t>2016</w:t>
      </w:r>
      <w:r w:rsidRPr="00C744BE">
        <w:t>, ko bo predvidoma končana širitev šole, še naprej velja politika omejevanja vpisa.</w:t>
      </w:r>
    </w:p>
    <w:p w:rsidR="004C0CE3" w:rsidRPr="00C744BE" w:rsidRDefault="004C0CE3" w:rsidP="008B6911">
      <w:pPr>
        <w:pStyle w:val="Heading2"/>
        <w:keepLines/>
        <w:rPr>
          <w:bCs w:val="0"/>
          <w:iCs w:val="0"/>
          <w:szCs w:val="24"/>
        </w:rPr>
      </w:pPr>
      <w:bookmarkStart w:id="12" w:name="_Toc342473036"/>
      <w:r w:rsidRPr="00C744BE">
        <w:rPr>
          <w:bCs w:val="0"/>
          <w:iCs w:val="0"/>
          <w:szCs w:val="24"/>
        </w:rPr>
        <w:t>Varese</w:t>
      </w:r>
      <w:bookmarkEnd w:id="12"/>
    </w:p>
    <w:p w:rsidR="004C0CE3" w:rsidRPr="00C744BE" w:rsidRDefault="004C0CE3" w:rsidP="00AF7717">
      <w:pPr>
        <w:keepLines/>
      </w:pPr>
      <w:r w:rsidRPr="00C744BE">
        <w:t>Število učencev na tej šoli ostaja enako, pri čemer je ob začetku šolskega leta </w:t>
      </w:r>
      <w:r w:rsidRPr="00307E92">
        <w:t>2011</w:t>
      </w:r>
      <w:r w:rsidRPr="00C744BE">
        <w:t>/</w:t>
      </w:r>
      <w:r w:rsidRPr="00307E92">
        <w:t>2012</w:t>
      </w:r>
      <w:r w:rsidRPr="00C744BE">
        <w:t xml:space="preserve"> to šolo oblikovalo </w:t>
      </w:r>
      <w:r w:rsidRPr="00307E92">
        <w:t>1</w:t>
      </w:r>
      <w:r w:rsidRPr="00C744BE">
        <w:t> </w:t>
      </w:r>
      <w:r w:rsidRPr="00307E92">
        <w:t>366</w:t>
      </w:r>
      <w:r w:rsidRPr="00C744BE">
        <w:t xml:space="preserve"> učencev. Dobro polovico učencev predstavljajo učenci kategorije </w:t>
      </w:r>
      <w:r w:rsidRPr="00307E92">
        <w:t>1</w:t>
      </w:r>
      <w:r w:rsidRPr="00C744BE">
        <w:t>. Število učencev kategorije </w:t>
      </w:r>
      <w:r w:rsidRPr="00307E92">
        <w:t>2</w:t>
      </w:r>
      <w:r w:rsidRPr="00C744BE">
        <w:t xml:space="preserve"> se je v letih </w:t>
      </w:r>
      <w:r w:rsidRPr="00307E92">
        <w:t>2008</w:t>
      </w:r>
      <w:r w:rsidRPr="00C744BE">
        <w:t xml:space="preserve"> (</w:t>
      </w:r>
      <w:r w:rsidRPr="00307E92">
        <w:t>235</w:t>
      </w:r>
      <w:r w:rsidRPr="00C744BE">
        <w:t xml:space="preserve">) in </w:t>
      </w:r>
      <w:r w:rsidRPr="00307E92">
        <w:t>2011</w:t>
      </w:r>
      <w:r w:rsidRPr="00C744BE">
        <w:t xml:space="preserve"> (</w:t>
      </w:r>
      <w:r w:rsidRPr="00307E92">
        <w:t>177</w:t>
      </w:r>
      <w:r w:rsidRPr="00C744BE">
        <w:t>) zmanjšalo zaradi gospodarskih razmer.</w:t>
      </w:r>
    </w:p>
    <w:p w:rsidR="004C0CE3" w:rsidRPr="00C744BE" w:rsidRDefault="004C0CE3" w:rsidP="00AF7717">
      <w:pPr>
        <w:keepLines/>
      </w:pPr>
      <w:r w:rsidRPr="00C744BE">
        <w:t xml:space="preserve">Izplačilo </w:t>
      </w:r>
      <w:r w:rsidRPr="00307E92">
        <w:t>400</w:t>
      </w:r>
      <w:r w:rsidRPr="00C744BE">
        <w:t> </w:t>
      </w:r>
      <w:r w:rsidRPr="00307E92">
        <w:t>000</w:t>
      </w:r>
      <w:r w:rsidRPr="00C744BE">
        <w:t xml:space="preserve"> EUR, ki so ga za financiranje dodatne infrastrukture napovedali italijanski organi, kljub zagotovilu stalnega predstavnika Italije pri EU podpredsedniku Marošu Šefčoviču še ni bilo izvedeno. </w:t>
      </w:r>
    </w:p>
    <w:p w:rsidR="004C0CE3" w:rsidRPr="00C744BE" w:rsidRDefault="004C0CE3" w:rsidP="00AF7717">
      <w:pPr>
        <w:keepLines/>
      </w:pPr>
      <w:r w:rsidRPr="00C744BE">
        <w:t>V letu </w:t>
      </w:r>
      <w:r w:rsidRPr="00307E92">
        <w:t>2011</w:t>
      </w:r>
      <w:r w:rsidRPr="00C744BE">
        <w:t xml:space="preserve"> je šola v Vareseju praznovala </w:t>
      </w:r>
      <w:r w:rsidRPr="00307E92">
        <w:t>50</w:t>
      </w:r>
      <w:r w:rsidRPr="00C744BE">
        <w:t>. obletnico svojega delovanja.</w:t>
      </w:r>
    </w:p>
    <w:p w:rsidR="004C0CE3" w:rsidRPr="00C744BE" w:rsidRDefault="004C0CE3" w:rsidP="008B6911">
      <w:pPr>
        <w:pStyle w:val="Heading1"/>
        <w:keepLines/>
        <w:rPr>
          <w:bCs w:val="0"/>
          <w:szCs w:val="24"/>
        </w:rPr>
      </w:pPr>
      <w:bookmarkStart w:id="13" w:name="_Toc342473037"/>
      <w:r w:rsidRPr="00C744BE">
        <w:rPr>
          <w:bCs w:val="0"/>
          <w:szCs w:val="24"/>
        </w:rPr>
        <w:t>Proračunske spremembe in izzivi</w:t>
      </w:r>
      <w:bookmarkEnd w:id="13"/>
    </w:p>
    <w:p w:rsidR="004C0CE3" w:rsidRPr="00C744BE" w:rsidRDefault="004C0CE3" w:rsidP="00AF7717">
      <w:pPr>
        <w:keepNext/>
        <w:keepLines/>
      </w:pPr>
      <w:r w:rsidRPr="00C744BE">
        <w:t>Število učencev, vpisanih v sistem Evropskih šol, se je med letoma </w:t>
      </w:r>
      <w:r w:rsidRPr="00307E92">
        <w:t>2010</w:t>
      </w:r>
      <w:r w:rsidRPr="00C744BE">
        <w:t xml:space="preserve"> in </w:t>
      </w:r>
      <w:r w:rsidRPr="00307E92">
        <w:t>2011</w:t>
      </w:r>
      <w:r w:rsidRPr="00C744BE">
        <w:t xml:space="preserve"> povečalo za </w:t>
      </w:r>
      <w:r w:rsidRPr="00307E92">
        <w:t>2</w:t>
      </w:r>
      <w:r w:rsidRPr="00C744BE">
        <w:t>,</w:t>
      </w:r>
      <w:r w:rsidRPr="00307E92">
        <w:t>6</w:t>
      </w:r>
      <w:r w:rsidRPr="00C744BE">
        <w:t xml:space="preserve"> %, in sicer z </w:t>
      </w:r>
      <w:r w:rsidRPr="00307E92">
        <w:t>22</w:t>
      </w:r>
      <w:r w:rsidRPr="00C744BE">
        <w:t> </w:t>
      </w:r>
      <w:r w:rsidRPr="00307E92">
        <w:t>778</w:t>
      </w:r>
      <w:r w:rsidRPr="00C744BE">
        <w:t xml:space="preserve"> na </w:t>
      </w:r>
      <w:r w:rsidRPr="00307E92">
        <w:t>23</w:t>
      </w:r>
      <w:r w:rsidRPr="00C744BE">
        <w:t> </w:t>
      </w:r>
      <w:r w:rsidRPr="00307E92">
        <w:t>367</w:t>
      </w:r>
      <w:r w:rsidRPr="00C744BE">
        <w:t>. Učencev kategorije </w:t>
      </w:r>
      <w:r w:rsidRPr="00307E92">
        <w:t>1</w:t>
      </w:r>
      <w:r w:rsidRPr="00C744BE">
        <w:t xml:space="preserve"> je </w:t>
      </w:r>
      <w:r w:rsidRPr="00307E92">
        <w:t>17</w:t>
      </w:r>
      <w:r w:rsidRPr="00C744BE">
        <w:t> </w:t>
      </w:r>
      <w:r w:rsidRPr="00307E92">
        <w:t>396</w:t>
      </w:r>
      <w:r w:rsidRPr="00C744BE">
        <w:t xml:space="preserve">, kar je skoraj </w:t>
      </w:r>
      <w:r w:rsidRPr="00307E92">
        <w:t>75</w:t>
      </w:r>
      <w:r w:rsidRPr="00C744BE">
        <w:t> % skupnega števila učencev. Število učencev kategorije </w:t>
      </w:r>
      <w:r w:rsidRPr="00307E92">
        <w:t>2</w:t>
      </w:r>
      <w:r w:rsidRPr="00C744BE">
        <w:t xml:space="preserve">, ki predstavljajo dobrih </w:t>
      </w:r>
      <w:r w:rsidRPr="00307E92">
        <w:t>5</w:t>
      </w:r>
      <w:r w:rsidRPr="00C744BE">
        <w:t> % vseh učencev, se je zmanjšalo zaradi gospodarske krize (z Evropskimi šolami je bilo sklenjenih manj sporazumov). Vseh učencev kategorije </w:t>
      </w:r>
      <w:r w:rsidRPr="00307E92">
        <w:t>3</w:t>
      </w:r>
      <w:r w:rsidRPr="00C744BE">
        <w:t xml:space="preserve"> je </w:t>
      </w:r>
      <w:r w:rsidRPr="00307E92">
        <w:t>4</w:t>
      </w:r>
      <w:r w:rsidRPr="00C744BE">
        <w:t> </w:t>
      </w:r>
      <w:r w:rsidRPr="00307E92">
        <w:t>774</w:t>
      </w:r>
      <w:r w:rsidRPr="00C744BE">
        <w:t xml:space="preserve">, kar je nekoliko več kot </w:t>
      </w:r>
      <w:r w:rsidRPr="00307E92">
        <w:t>20</w:t>
      </w:r>
      <w:r w:rsidRPr="00C744BE">
        <w:t> %.</w:t>
      </w:r>
    </w:p>
    <w:p w:rsidR="004C0CE3" w:rsidRPr="00C744BE" w:rsidRDefault="004C0CE3" w:rsidP="00AF7717">
      <w:pPr>
        <w:keepLines/>
      </w:pPr>
      <w:r w:rsidRPr="00C744BE">
        <w:t xml:space="preserve">Povprečni letni stroški na učenca za vse Evropske šole so v letu </w:t>
      </w:r>
      <w:r w:rsidRPr="00307E92">
        <w:t>2011</w:t>
      </w:r>
      <w:r w:rsidRPr="00C744BE">
        <w:t xml:space="preserve"> znašali </w:t>
      </w:r>
      <w:r w:rsidRPr="00307E92">
        <w:t>11</w:t>
      </w:r>
      <w:r w:rsidRPr="00C744BE">
        <w:t> </w:t>
      </w:r>
      <w:r w:rsidRPr="00307E92">
        <w:t>918</w:t>
      </w:r>
      <w:r w:rsidRPr="00C744BE">
        <w:t> EUR. Zaradi gospodarskih razmer so se znižali prispevki držav članic, med katerimi so nekatere napotile manj učiteljev. Tako ob začetku šolskega leta </w:t>
      </w:r>
      <w:r w:rsidRPr="00307E92">
        <w:t>2011</w:t>
      </w:r>
      <w:r w:rsidRPr="00C744BE">
        <w:t xml:space="preserve"> države članice niso zapolnile </w:t>
      </w:r>
      <w:r w:rsidRPr="00307E92">
        <w:t>88</w:t>
      </w:r>
      <w:r w:rsidRPr="00C744BE">
        <w:t xml:space="preserve"> delovnih mest za napotene učitelje, kar je </w:t>
      </w:r>
      <w:r w:rsidRPr="00307E92">
        <w:t>24</w:t>
      </w:r>
      <w:r w:rsidRPr="00C744BE">
        <w:t xml:space="preserve"> delovnih mest več kot prejšnje leto. Zato se je povečala subvencija za Evropske šole iz evropskega proračuna.</w:t>
      </w:r>
    </w:p>
    <w:p w:rsidR="004C0CE3" w:rsidRPr="00C744BE" w:rsidRDefault="004C0CE3" w:rsidP="00AF7717">
      <w:pPr>
        <w:keepLines/>
      </w:pPr>
      <w:r w:rsidRPr="00C744BE">
        <w:t>Proračunski prispevki (brez prenesenih presežkov in uporabe rezervnega sklada):</w:t>
      </w:r>
    </w:p>
    <w:p w:rsidR="004C0CE3" w:rsidRPr="00C744BE" w:rsidRDefault="004C0CE3" w:rsidP="00AF7717">
      <w:pPr>
        <w:keepLines/>
      </w:pPr>
      <w:r w:rsidRPr="00307E92">
        <w:t>2011</w:t>
      </w:r>
      <w:r w:rsidRPr="00C744BE">
        <w:t xml:space="preserve"> (skupno: </w:t>
      </w:r>
      <w:r w:rsidRPr="00307E92">
        <w:t>275</w:t>
      </w:r>
      <w:r w:rsidRPr="00C744BE">
        <w:t> </w:t>
      </w:r>
      <w:r w:rsidRPr="00307E92">
        <w:t>318</w:t>
      </w:r>
      <w:r w:rsidRPr="00C744BE">
        <w:t> </w:t>
      </w:r>
      <w:r w:rsidRPr="00307E92">
        <w:t>397</w:t>
      </w:r>
      <w:r w:rsidRPr="00C744BE">
        <w:t> EUR):</w:t>
      </w:r>
    </w:p>
    <w:p w:rsidR="004C0CE3" w:rsidRPr="00C744BE" w:rsidRDefault="004C0CE3" w:rsidP="00AF7717">
      <w:pPr>
        <w:keepLines/>
      </w:pPr>
      <w:r w:rsidRPr="00C744BE">
        <w:pict>
          <v:shape id="_x0000_i1026" type="#_x0000_t75" style="width:308.25pt;height:202.5pt">
            <v:imagedata r:id="rId16" o:title=""/>
          </v:shape>
        </w:pict>
      </w:r>
    </w:p>
    <w:p w:rsidR="004C0CE3" w:rsidRPr="00C744BE" w:rsidRDefault="004C0CE3" w:rsidP="00AF7717">
      <w:pPr>
        <w:keepLines/>
      </w:pPr>
      <w:r w:rsidRPr="00307E92">
        <w:t>2010</w:t>
      </w:r>
      <w:r w:rsidRPr="00C744BE">
        <w:t xml:space="preserve"> (skupno: </w:t>
      </w:r>
      <w:r w:rsidRPr="00307E92">
        <w:t>265</w:t>
      </w:r>
      <w:r w:rsidRPr="00C744BE">
        <w:t> </w:t>
      </w:r>
      <w:r w:rsidRPr="00307E92">
        <w:t>383</w:t>
      </w:r>
      <w:r w:rsidRPr="00C744BE">
        <w:t> </w:t>
      </w:r>
      <w:r w:rsidRPr="00307E92">
        <w:t>975</w:t>
      </w:r>
      <w:r w:rsidRPr="00C744BE">
        <w:t> EUR):</w:t>
      </w:r>
    </w:p>
    <w:p w:rsidR="004C0CE3" w:rsidRPr="00C744BE" w:rsidRDefault="004C0CE3" w:rsidP="00AF7717">
      <w:pPr>
        <w:keepLines/>
      </w:pPr>
      <w:r w:rsidRPr="00C744BE">
        <w:pict>
          <v:shape id="_x0000_i1027" type="#_x0000_t75" style="width:317.25pt;height:209.25pt">
            <v:imagedata r:id="rId17" o:title=""/>
          </v:shape>
        </w:pict>
      </w:r>
    </w:p>
    <w:p w:rsidR="004C0CE3" w:rsidRPr="00C744BE" w:rsidRDefault="004C0CE3" w:rsidP="00AF7717">
      <w:pPr>
        <w:keepLines/>
      </w:pPr>
      <w:r w:rsidRPr="00C744BE">
        <w:t>Predlog proračuna za leto </w:t>
      </w:r>
      <w:r w:rsidRPr="00307E92">
        <w:t>2011</w:t>
      </w:r>
      <w:r w:rsidRPr="00C744BE">
        <w:t xml:space="preserve"> v višini </w:t>
      </w:r>
      <w:r w:rsidRPr="00307E92">
        <w:t>171</w:t>
      </w:r>
      <w:r w:rsidRPr="00C744BE">
        <w:t> milijonov EUR, ki ga je podprla Komisija, je Svet guvernerjev Evropskih šol sprejel aprila </w:t>
      </w:r>
      <w:r w:rsidRPr="00307E92">
        <w:t>2010</w:t>
      </w:r>
      <w:r w:rsidRPr="00C744BE">
        <w:t xml:space="preserve">. Svet guvernerjev Evropskih šol je ta znesek odobril pod pogojem, da se sprejmejo varčevalni ukrepi, kot so revizija plačne lestvice osebja, napotenega v Evropske šole, reorganizacija obveznih in izbirnih predmetov ter jasna opredelitev uporabe sredstev za učence s posebnimi potrebami. Komisija je teh </w:t>
      </w:r>
      <w:r w:rsidRPr="00307E92">
        <w:t>171</w:t>
      </w:r>
      <w:r w:rsidRPr="00C744BE">
        <w:t xml:space="preserve"> milijonov EUR vključila v predlog proračuna, predložen proračunskemu organu (Svetu in Evropskemu parlamentu). </w:t>
      </w:r>
    </w:p>
    <w:p w:rsidR="004C0CE3" w:rsidRPr="00C744BE" w:rsidRDefault="004C0CE3" w:rsidP="00AF7717">
      <w:pPr>
        <w:keepLines/>
        <w:autoSpaceDE w:val="0"/>
        <w:autoSpaceDN w:val="0"/>
        <w:adjustRightInd w:val="0"/>
      </w:pPr>
      <w:r w:rsidRPr="00C744BE">
        <w:t>Decembra </w:t>
      </w:r>
      <w:r w:rsidRPr="00307E92">
        <w:t>2010</w:t>
      </w:r>
      <w:r w:rsidRPr="00C744BE">
        <w:t xml:space="preserve"> je proračunski organ določil znesek prispevka iz evropskega proračuna za leto </w:t>
      </w:r>
      <w:r w:rsidRPr="00307E92">
        <w:t>2011</w:t>
      </w:r>
      <w:r w:rsidRPr="00C744BE">
        <w:t xml:space="preserve"> v višini </w:t>
      </w:r>
      <w:r w:rsidRPr="00307E92">
        <w:t>164</w:t>
      </w:r>
      <w:r w:rsidRPr="00C744BE">
        <w:t> milijonov EUR. Komisija je o tem obvestila generalni sekretariat Evropskih šol in od Evropskih šol zahtevala takojšnje sprejetje varčevalnih ukrepov, da bi zagotovila spoštovanje proračunskega okvira. Poleg tega je v začetku leta </w:t>
      </w:r>
      <w:r w:rsidRPr="00307E92">
        <w:t>2011</w:t>
      </w:r>
      <w:r w:rsidRPr="00C744BE">
        <w:t xml:space="preserve"> na sestankih upravnih odborov od Evropskih šol zahtevala, da navedejo konkretne zneske prihrankov, ki jih lahko realizirajo. Aprila </w:t>
      </w:r>
      <w:r w:rsidRPr="00307E92">
        <w:t>2011</w:t>
      </w:r>
      <w:r w:rsidRPr="00C744BE">
        <w:t xml:space="preserve"> je Svet guvernerjev Evropskih šol sprejel pomembne sklepe o racionalizaciji predvsem v zvezi s poukom in predmeti, pa tudi z notranjo organizacijo, na primer skrajšanje obdobij izrednega dopusta za koordinatorje svetovalcev za poklicno orientacijo in sprememba metode izračunavanja časa, ki ga koordinatorji namenijo učencem z učnimi težavami, učencem s posebnimi potrebami in učencem brez lastnega jezikovnega oddelka</w:t>
      </w:r>
      <w:r w:rsidRPr="00C744BE">
        <w:rPr>
          <w:rStyle w:val="FootnoteReference"/>
        </w:rPr>
        <w:footnoteReference w:id="5"/>
      </w:r>
      <w:r w:rsidRPr="00C744BE">
        <w:t>. Prav tako je bila prilagojena plačna lestvica napotenih učiteljev in lokalno zaposlenih učiteljev v Evropskih šolah, da bi bila usklajena s plačno lestvico iz kadrovskih predpisov za evropske uradnike, veljavno od reforme leta </w:t>
      </w:r>
      <w:r w:rsidRPr="00307E92">
        <w:t>2004</w:t>
      </w:r>
      <w:r w:rsidRPr="00C744BE">
        <w:t>.</w:t>
      </w:r>
    </w:p>
    <w:p w:rsidR="004C0CE3" w:rsidRPr="00C744BE" w:rsidRDefault="004C0CE3" w:rsidP="008B6911">
      <w:pPr>
        <w:pStyle w:val="Heading1"/>
        <w:keepLines/>
        <w:rPr>
          <w:bCs w:val="0"/>
          <w:szCs w:val="24"/>
        </w:rPr>
      </w:pPr>
      <w:bookmarkStart w:id="14" w:name="_Toc342473038"/>
      <w:r w:rsidRPr="00C744BE">
        <w:rPr>
          <w:bCs w:val="0"/>
          <w:szCs w:val="24"/>
        </w:rPr>
        <w:t>Politične spremembe in izzivi</w:t>
      </w:r>
      <w:bookmarkEnd w:id="14"/>
    </w:p>
    <w:p w:rsidR="004C0CE3" w:rsidRPr="00C744BE" w:rsidRDefault="004C0CE3" w:rsidP="008B6911">
      <w:pPr>
        <w:pStyle w:val="Heading2"/>
        <w:keepLines/>
      </w:pPr>
      <w:bookmarkStart w:id="15" w:name="_Toc342473039"/>
      <w:r w:rsidRPr="00C744BE">
        <w:t>Odprtje sistema – akreditirane šole</w:t>
      </w:r>
      <w:bookmarkEnd w:id="15"/>
    </w:p>
    <w:p w:rsidR="004C0CE3" w:rsidRPr="00C744BE" w:rsidRDefault="004C0CE3" w:rsidP="00AF7717">
      <w:pPr>
        <w:keepLines/>
      </w:pPr>
      <w:r w:rsidRPr="00C744BE">
        <w:t>Odpiranje sistema Evropskih šol nacionalnim sistemom je eden glavnih vidikov reforme, ki jo je Svet guvernerjev Evropskih šol sprejel aprila </w:t>
      </w:r>
      <w:r w:rsidRPr="00307E92">
        <w:t>2009</w:t>
      </w:r>
      <w:r w:rsidRPr="00C744BE">
        <w:t xml:space="preserve"> v Stockholmu. To odpiranje vključuje akreditacijo nacionalnih šol, kar tem šolam omogoča, da zagotavljajo evropsko izobraževanje in evropsko maturo. Na teh tako imenovanih Evropskih šolah tipa II se lahko izobražujejo otroci uslužbencev EU na lokacijah v EU, kjer ni Evropskih šol. Te akreditirane šole, financirane v okviru nacionalnega sistema, lahko prejmejo finančni prispevek iz proračuna EU, sorazmeren s številom otrok uslužbencev Unije, vpisanih na te šole. Komisija je </w:t>
      </w:r>
      <w:r w:rsidRPr="00307E92">
        <w:t>8</w:t>
      </w:r>
      <w:r w:rsidRPr="00C744BE">
        <w:t>. decembra </w:t>
      </w:r>
      <w:r w:rsidRPr="00307E92">
        <w:t>2010</w:t>
      </w:r>
      <w:r w:rsidRPr="00C744BE">
        <w:t xml:space="preserve"> sprejela sklep o dodelitvi prispevka EU.</w:t>
      </w:r>
      <w:r w:rsidRPr="00C744BE">
        <w:rPr>
          <w:b/>
        </w:rPr>
        <w:t xml:space="preserve"> </w:t>
      </w:r>
    </w:p>
    <w:p w:rsidR="004C0CE3" w:rsidRPr="00C744BE" w:rsidRDefault="004C0CE3" w:rsidP="00AF7717">
      <w:pPr>
        <w:keepLines/>
        <w:tabs>
          <w:tab w:val="left" w:pos="9073"/>
        </w:tabs>
      </w:pPr>
      <w:r w:rsidRPr="00C744BE">
        <w:t xml:space="preserve">Prošnja za akreditacijo šolske ustanove se vloži na pobudo držav članic. Postopek akreditacije se zaključi s podpisom sporazuma med zakonitim zastopnikom ustanove in generalnim sekretarjem Evropskih šol, ki zastopa Svet guvernerjev Evropskih šol. </w:t>
      </w:r>
    </w:p>
    <w:p w:rsidR="004C0CE3" w:rsidRPr="00C744BE" w:rsidRDefault="004C0CE3" w:rsidP="00AF7717">
      <w:pPr>
        <w:keepLines/>
        <w:tabs>
          <w:tab w:val="left" w:pos="9073"/>
        </w:tabs>
        <w:rPr>
          <w:color w:val="000000"/>
        </w:rPr>
      </w:pPr>
      <w:r w:rsidRPr="00C744BE">
        <w:t>Pet od šestih nacionalnih šol, ki jih je potrdil Svet guvernerjev Evropskih šol, je leta </w:t>
      </w:r>
      <w:r w:rsidRPr="00307E92">
        <w:t>2011</w:t>
      </w:r>
      <w:r w:rsidRPr="00C744BE">
        <w:t xml:space="preserve"> podpisalo sporazum o prispevku, tako so prva izplačila Komisije prejele za šolska leta </w:t>
      </w:r>
      <w:r w:rsidRPr="00307E92">
        <w:t>2009</w:t>
      </w:r>
      <w:r w:rsidRPr="00C744BE">
        <w:t>/</w:t>
      </w:r>
      <w:r w:rsidRPr="00307E92">
        <w:t>2010</w:t>
      </w:r>
      <w:r w:rsidRPr="00C744BE">
        <w:t xml:space="preserve">, </w:t>
      </w:r>
      <w:r w:rsidRPr="00307E92">
        <w:t>2010</w:t>
      </w:r>
      <w:r w:rsidRPr="00C744BE">
        <w:t>/</w:t>
      </w:r>
      <w:r w:rsidRPr="00307E92">
        <w:t>2011</w:t>
      </w:r>
      <w:r w:rsidRPr="00C744BE">
        <w:t xml:space="preserve"> in </w:t>
      </w:r>
      <w:r w:rsidRPr="00307E92">
        <w:t>2011</w:t>
      </w:r>
      <w:r w:rsidRPr="00C744BE">
        <w:t>/</w:t>
      </w:r>
      <w:r w:rsidRPr="00307E92">
        <w:t>2012</w:t>
      </w:r>
      <w:r w:rsidRPr="00C744BE">
        <w:t xml:space="preserve">. Znesek prispevka EU za ta tri šolska leta je </w:t>
      </w:r>
      <w:r w:rsidRPr="00307E92">
        <w:t>7</w:t>
      </w:r>
      <w:r w:rsidRPr="00C744BE">
        <w:t> </w:t>
      </w:r>
      <w:r w:rsidRPr="00307E92">
        <w:t>419</w:t>
      </w:r>
      <w:r w:rsidRPr="00C744BE">
        <w:t> </w:t>
      </w:r>
      <w:r w:rsidRPr="00307E92">
        <w:t>967</w:t>
      </w:r>
      <w:r w:rsidRPr="00C744BE">
        <w:t> EUR.</w:t>
      </w:r>
    </w:p>
    <w:p w:rsidR="004C0CE3" w:rsidRPr="00C744BE" w:rsidRDefault="004C0CE3" w:rsidP="00AF7717">
      <w:pPr>
        <w:keepLines/>
      </w:pPr>
      <w:r w:rsidRPr="00C744BE">
        <w:t>Šest akreditiranih šol je: „Scuola per l’Europa“ v Parmi (Italija), ki je v bližini Evropske agencije za varnost hrane (EFSA), „Centre for European Schooling“ v Dunshaughlinu (Irska), ki je v bližini Urada Komisije za prehrano in veterinarstvo, „School of European Education“ v Heraklionu (Grčija), ki je v bližini Evropske agencije za varnost omrežij in informacij (ENISA), „European Schooling“ v Helsinkih (Finska), ki je v bližini Evropske agencije za kemikalije (ECHA), „Ecole Européenne de Strasbourg“ (Francija), ki je v bližini evropskih institucij (Evropskega parlamenta in Evropskega varuha človekovih pravic) ter „Ecole Internationale Provence-Alpes-Côte d’Azur“ v Manosqueju (Francija), ki je v bližini raziskovalnega središča ITER v Cadaracheju.</w:t>
      </w:r>
    </w:p>
    <w:p w:rsidR="004C0CE3" w:rsidRPr="00C744BE" w:rsidRDefault="004C0CE3" w:rsidP="00AF7717">
      <w:pPr>
        <w:keepLines/>
      </w:pPr>
      <w:r w:rsidRPr="00C744BE">
        <w:t>V postopku potrditve so še tri druge šole: šola evropskega izobraževanja v Haagu (Nizozemska), ki bo predvidoma začela delovati avgusta </w:t>
      </w:r>
      <w:r w:rsidRPr="00307E92">
        <w:t>2012</w:t>
      </w:r>
      <w:r w:rsidRPr="00C744BE">
        <w:t xml:space="preserve">, „Tallinn European Schooling“ (Estonija) in „European School of Copenhagen“(Danska). </w:t>
      </w:r>
    </w:p>
    <w:p w:rsidR="004C0CE3" w:rsidRPr="00C744BE" w:rsidRDefault="004C0CE3" w:rsidP="00AF7717">
      <w:pPr>
        <w:keepLines/>
      </w:pPr>
      <w:r w:rsidRPr="00C744BE">
        <w:t>Poleg tega odprtje sistema v okviru pilotnega projekta omogoča potrditev šolskih ustanov, v katerih se ne izobražujejo otroci uslužbencev EU, izvaja pa se evropski učni program, zato so to tako imenovane Evropske šole tipa III. Nemčija je tako predložila dokumentacijo za šolsko ustanovo, ki se bo septembra </w:t>
      </w:r>
      <w:r w:rsidRPr="00307E92">
        <w:t>2012</w:t>
      </w:r>
      <w:r w:rsidRPr="00C744BE">
        <w:t xml:space="preserve"> odprla v Bad Vilbelu. </w:t>
      </w:r>
    </w:p>
    <w:p w:rsidR="004C0CE3" w:rsidRPr="00C744BE" w:rsidRDefault="004C0CE3" w:rsidP="008B6911">
      <w:pPr>
        <w:pStyle w:val="Heading2"/>
        <w:keepLines/>
        <w:rPr>
          <w:bCs w:val="0"/>
          <w:iCs w:val="0"/>
          <w:szCs w:val="24"/>
        </w:rPr>
      </w:pPr>
      <w:bookmarkStart w:id="16" w:name="_Toc342473040"/>
      <w:r w:rsidRPr="00C744BE">
        <w:rPr>
          <w:bCs w:val="0"/>
          <w:iCs w:val="0"/>
          <w:szCs w:val="24"/>
        </w:rPr>
        <w:t>Revizija plačne lestvice napotenih učiteljev/lokalno zaposlenih učiteljev</w:t>
      </w:r>
      <w:bookmarkEnd w:id="16"/>
    </w:p>
    <w:p w:rsidR="004C0CE3" w:rsidRPr="00C744BE" w:rsidRDefault="004C0CE3" w:rsidP="00AF7717">
      <w:pPr>
        <w:keepLines/>
      </w:pPr>
      <w:r w:rsidRPr="00C744BE">
        <w:t>Kadrovski predpisi za napoteno osebje v sistemu Evropskih šol so usklajeni s kadrovskimi predpisi za uslužbence evropskih institucij. Kadrovski predpisi za napoteno osebje v sistemu Evropskih šol po sprejetju reforme kadrovskih predpisov za uslužbence EU iz leta </w:t>
      </w:r>
      <w:r w:rsidRPr="00307E92">
        <w:t>2004</w:t>
      </w:r>
      <w:r w:rsidRPr="00C744BE">
        <w:t xml:space="preserve"> in zlasti po spremembi osnovne plačne lestvice niso bili ustrezno prilagojeni. Svet guvernerjev Evropskih šol je zato decembra </w:t>
      </w:r>
      <w:r w:rsidRPr="00307E92">
        <w:t>2010</w:t>
      </w:r>
      <w:r w:rsidRPr="00C744BE">
        <w:t xml:space="preserve"> sprejel spremembo plačne lestvice, da bi jo uskladil s plačno lestvico iz kadrovskih predpisov EU. </w:t>
      </w:r>
    </w:p>
    <w:p w:rsidR="004C0CE3" w:rsidRPr="00C744BE" w:rsidRDefault="004C0CE3" w:rsidP="00AF7717">
      <w:pPr>
        <w:keepLines/>
      </w:pPr>
      <w:r w:rsidRPr="00C744BE">
        <w:t xml:space="preserve">Te nove določbe veljajo za osebe, ki so v sistem Evropskih šol vključene od </w:t>
      </w:r>
      <w:r w:rsidRPr="00307E92">
        <w:t>1</w:t>
      </w:r>
      <w:r w:rsidRPr="00C744BE">
        <w:t>. septembra </w:t>
      </w:r>
      <w:r w:rsidRPr="00307E92">
        <w:t>2011</w:t>
      </w:r>
      <w:r w:rsidRPr="00C744BE">
        <w:t xml:space="preserve">. Zato so bili spremenjeni kadrovski predpisi za napoteno osebje v sistemu Evropskih šol. </w:t>
      </w:r>
    </w:p>
    <w:p w:rsidR="004C0CE3" w:rsidRPr="00C744BE" w:rsidRDefault="004C0CE3" w:rsidP="008B6911">
      <w:pPr>
        <w:pStyle w:val="Heading2"/>
        <w:keepLines/>
        <w:rPr>
          <w:bCs w:val="0"/>
          <w:iCs w:val="0"/>
          <w:szCs w:val="24"/>
        </w:rPr>
      </w:pPr>
      <w:bookmarkStart w:id="17" w:name="_Toc342473041"/>
      <w:r w:rsidRPr="00C744BE">
        <w:rPr>
          <w:bCs w:val="0"/>
          <w:iCs w:val="0"/>
          <w:szCs w:val="24"/>
        </w:rPr>
        <w:t>Prenatrpanost/infrastruktura</w:t>
      </w:r>
      <w:bookmarkEnd w:id="17"/>
    </w:p>
    <w:p w:rsidR="004C0CE3" w:rsidRPr="00C744BE" w:rsidRDefault="004C0CE3" w:rsidP="00AF7717">
      <w:pPr>
        <w:keepLines/>
      </w:pPr>
      <w:r w:rsidRPr="00C744BE">
        <w:t>Zaradi nenehnega povečevanja števila vlog za vpis učencev kategorije </w:t>
      </w:r>
      <w:r w:rsidRPr="00307E92">
        <w:t>1</w:t>
      </w:r>
      <w:r w:rsidRPr="00C744BE">
        <w:t xml:space="preserve"> so se pojavile potrebe po dodatnih prostorih. Nekatere Evropske šole se zaradi prenatrpanosti srečujejo z vsakodnevnimi hudimi praktičnimi težavami. To velja zlasti za šole v Bruslju, Luxembourgu, Frankfurtu in Vareseju. </w:t>
      </w:r>
    </w:p>
    <w:p w:rsidR="004C0CE3" w:rsidRPr="00C744BE" w:rsidRDefault="004C0CE3" w:rsidP="00AF7717">
      <w:pPr>
        <w:keepLines/>
      </w:pPr>
      <w:r w:rsidRPr="00C744BE">
        <w:t>Zaradi povečanja števila otrok uslužbencev EU in predvidenih sprememb števila učencev v naslednjih letih je Svet guvernerjev Evropskih šol aprila </w:t>
      </w:r>
      <w:r w:rsidRPr="00307E92">
        <w:t>2010</w:t>
      </w:r>
      <w:r w:rsidRPr="00C744BE">
        <w:t xml:space="preserve"> sprejel odločitev, da od belgijskih organov zahteva, naj predlagajo lokacijo za </w:t>
      </w:r>
      <w:r w:rsidRPr="00307E92">
        <w:t>5</w:t>
      </w:r>
      <w:r w:rsidRPr="00C744BE">
        <w:t>. Evropsko šolo v Bruslju. Številčne ocene kažejo, da bo kljub odprtju šole v Laekenu septembra </w:t>
      </w:r>
      <w:r w:rsidRPr="00307E92">
        <w:t>2012</w:t>
      </w:r>
      <w:r w:rsidRPr="00C744BE">
        <w:t xml:space="preserve"> od leta </w:t>
      </w:r>
      <w:r w:rsidRPr="00307E92">
        <w:t>2015</w:t>
      </w:r>
      <w:r w:rsidRPr="00C744BE">
        <w:t xml:space="preserve"> v Bruslju potrebna </w:t>
      </w:r>
      <w:r w:rsidRPr="00307E92">
        <w:t>5</w:t>
      </w:r>
      <w:r w:rsidRPr="00C744BE">
        <w:t>. Evropska šola.</w:t>
      </w:r>
    </w:p>
    <w:p w:rsidR="004C0CE3" w:rsidRPr="00C744BE" w:rsidRDefault="004C0CE3" w:rsidP="00AF7717">
      <w:pPr>
        <w:keepLines/>
      </w:pPr>
      <w:r w:rsidRPr="00C744BE">
        <w:t>Generalni sekretar Evropskih šol je v letu </w:t>
      </w:r>
      <w:r w:rsidRPr="00307E92">
        <w:t>2011</w:t>
      </w:r>
      <w:r w:rsidRPr="00C744BE">
        <w:t xml:space="preserve"> belgijskim organom poslal več pisem z zahtevo po predložitvi predlogov morebitnih primernih lokacij za </w:t>
      </w:r>
      <w:r w:rsidRPr="00307E92">
        <w:t>5</w:t>
      </w:r>
      <w:r w:rsidRPr="00C744BE">
        <w:t>. Evropsko šolo v Bruslju. Komisija je v letu </w:t>
      </w:r>
      <w:r w:rsidRPr="00307E92">
        <w:t>2011</w:t>
      </w:r>
      <w:r w:rsidRPr="00C744BE">
        <w:t xml:space="preserve"> od belgijskih organov večkrat zahtevala začetek pogajanj o lokaciji </w:t>
      </w:r>
      <w:r w:rsidRPr="00307E92">
        <w:t>5</w:t>
      </w:r>
      <w:r w:rsidRPr="00C744BE">
        <w:t>. Evropske šole in da mora biti lokacija šole v bližini glavnih bivalnih območij uslužbencev evropskih institucij in njihovih pisarn. Ob imenovanju belgijskega predsednika vlade Elia Di Rupa decembra </w:t>
      </w:r>
      <w:r w:rsidRPr="00307E92">
        <w:t>2011</w:t>
      </w:r>
      <w:r w:rsidRPr="00C744BE">
        <w:t xml:space="preserve"> je podpredsednik Šefčovič nanj naslovil pismo z zahtevo zlasti za začetek pogajanj o predlogih lokacij za </w:t>
      </w:r>
      <w:r w:rsidRPr="00307E92">
        <w:t>5</w:t>
      </w:r>
      <w:r w:rsidRPr="00C744BE">
        <w:t xml:space="preserve">. Evropsko šolo. Z belgijskimi organi so bili vzpostavljeni dvostranski stiki in podpredsednik je na predsednika vlade naslovil še drugo pismo, toda uradnega odgovora o predlogu še ni prejel. </w:t>
      </w:r>
    </w:p>
    <w:p w:rsidR="004C0CE3" w:rsidRPr="00C744BE" w:rsidRDefault="004C0CE3" w:rsidP="00AF7717">
      <w:pPr>
        <w:keepLines/>
        <w:spacing w:after="240"/>
      </w:pPr>
      <w:r w:rsidRPr="00C744BE">
        <w:t xml:space="preserve">Evropska šola Luxembourg II, ki bo lahko sprejela </w:t>
      </w:r>
      <w:r w:rsidRPr="00307E92">
        <w:t>3</w:t>
      </w:r>
      <w:r w:rsidRPr="00C744BE">
        <w:t> </w:t>
      </w:r>
      <w:r w:rsidRPr="00307E92">
        <w:t>000</w:t>
      </w:r>
      <w:r w:rsidRPr="00C744BE">
        <w:t> učencev, se bo ob začetku šolskega leta </w:t>
      </w:r>
      <w:r w:rsidRPr="00307E92">
        <w:t>2012</w:t>
      </w:r>
      <w:r w:rsidRPr="00C744BE">
        <w:t xml:space="preserve"> preselila na stalno lokacijo v Bertrange/Mamer. Z odprtjem te velike in sodobno opremljene šole se bo močno izboljšalo vsakodnevno življenje vseh učencev, ki so si do zdaj delili eno lokacijo. </w:t>
      </w:r>
    </w:p>
    <w:p w:rsidR="004C0CE3" w:rsidRPr="00C744BE" w:rsidRDefault="004C0CE3" w:rsidP="00AF7717">
      <w:pPr>
        <w:keepLines/>
        <w:spacing w:after="240"/>
      </w:pPr>
      <w:r w:rsidRPr="00C744BE">
        <w:t xml:space="preserve">Tudi Evropska šola Bruselj IV, ki bo lahko sprejela okoli </w:t>
      </w:r>
      <w:r w:rsidRPr="00307E92">
        <w:t>2800</w:t>
      </w:r>
      <w:r w:rsidRPr="00C744BE">
        <w:t> učencev, se bo septembra </w:t>
      </w:r>
      <w:r w:rsidRPr="00307E92">
        <w:t>2012</w:t>
      </w:r>
      <w:r w:rsidRPr="00C744BE">
        <w:t xml:space="preserve"> preselila na stalno lokacijo v Laeken. Obnovitvena in gradbena dela na tej lokaciji, ki predstavljajo obsežen arhitekturni projekt, potekajo po predvidenem načrtu. </w:t>
      </w:r>
    </w:p>
    <w:p w:rsidR="004C0CE3" w:rsidRPr="00C744BE" w:rsidRDefault="004C0CE3" w:rsidP="00AF7717">
      <w:pPr>
        <w:keepLines/>
        <w:spacing w:after="240"/>
      </w:pPr>
      <w:r w:rsidRPr="00C744BE">
        <w:t>Učenci Evropske šole Bruselj IV, ki začasno obiskujejo šolo na lokaciji v Berkendaelu, bodo ob začetku šolskega leta </w:t>
      </w:r>
      <w:r w:rsidRPr="00307E92">
        <w:t>2012</w:t>
      </w:r>
      <w:r w:rsidRPr="00C744BE">
        <w:t xml:space="preserve"> premeščeni v Laeken. Šola si tako s praktičnega vidika kot z vidika vključenosti učencev močno prizadeva, da se premestitev izvede v najboljših možnih pogojih.</w:t>
      </w:r>
    </w:p>
    <w:p w:rsidR="004C0CE3" w:rsidRPr="00C744BE" w:rsidRDefault="004C0CE3" w:rsidP="008B6911">
      <w:pPr>
        <w:pStyle w:val="Heading2"/>
        <w:keepLines/>
        <w:rPr>
          <w:bCs w:val="0"/>
          <w:iCs w:val="0"/>
          <w:szCs w:val="24"/>
        </w:rPr>
      </w:pPr>
      <w:bookmarkStart w:id="18" w:name="_Toc342473042"/>
      <w:r w:rsidRPr="00C744BE">
        <w:rPr>
          <w:bCs w:val="0"/>
          <w:iCs w:val="0"/>
          <w:szCs w:val="24"/>
        </w:rPr>
        <w:t>Delitev stroškov med državami članicami</w:t>
      </w:r>
      <w:bookmarkEnd w:id="18"/>
    </w:p>
    <w:p w:rsidR="004C0CE3" w:rsidRPr="00C744BE" w:rsidRDefault="004C0CE3" w:rsidP="00AF7717">
      <w:pPr>
        <w:keepLines/>
      </w:pPr>
      <w:r w:rsidRPr="00C744BE">
        <w:t>V letu </w:t>
      </w:r>
      <w:r w:rsidRPr="00307E92">
        <w:t>2011</w:t>
      </w:r>
      <w:r w:rsidRPr="00C744BE">
        <w:t xml:space="preserve"> je finančni prispevek EU za sistem Evropskih šol znašal </w:t>
      </w:r>
      <w:r w:rsidRPr="00307E92">
        <w:t>164</w:t>
      </w:r>
      <w:r w:rsidRPr="00C744BE">
        <w:t xml:space="preserve"> milijonov EUR, kar predstavlja skoraj </w:t>
      </w:r>
      <w:r w:rsidRPr="00307E92">
        <w:t>60</w:t>
      </w:r>
      <w:r w:rsidRPr="00C744BE">
        <w:t xml:space="preserve"> % njihovega celotnega proračuna. </w:t>
      </w:r>
    </w:p>
    <w:p w:rsidR="004C0CE3" w:rsidRPr="00C744BE" w:rsidRDefault="004C0CE3" w:rsidP="00AF7717">
      <w:pPr>
        <w:keepLines/>
      </w:pPr>
      <w:r w:rsidRPr="00C744BE">
        <w:t>Prispevek EU pomeni uravnoteženo subvencijo in je odvisen od višine prispevka držav članic za napotene učitelje, ki še naprej dobivajo svojo nacionalno plačo. Že več let narašča število delovnih mest za napotene učitelje, ki jih države članice niso zapolnile, zato se povečuje finančni prispevek EU. Podpredsednik Šefčovič je stopil v stik s Svetom ministrov za izobraževanje in na države članice septembra </w:t>
      </w:r>
      <w:r w:rsidRPr="00307E92">
        <w:t>2011</w:t>
      </w:r>
      <w:r w:rsidRPr="00C744BE">
        <w:t xml:space="preserve"> naslovil pismo, da bi jih opozoril na izpolnjevanje njihovih obveznosti na tem področju. </w:t>
      </w:r>
    </w:p>
    <w:p w:rsidR="004C0CE3" w:rsidRPr="00C744BE" w:rsidRDefault="004C0CE3" w:rsidP="00AF7717">
      <w:pPr>
        <w:keepLines/>
      </w:pPr>
      <w:r w:rsidRPr="00C744BE">
        <w:t>Združeno kraljestvo se je v času svojega predsedovanja svetu Evropskih šol v šolskem letu </w:t>
      </w:r>
      <w:r w:rsidRPr="00307E92">
        <w:t>2011</w:t>
      </w:r>
      <w:r w:rsidRPr="00C744BE">
        <w:t>/</w:t>
      </w:r>
      <w:r w:rsidRPr="00307E92">
        <w:t>2012</w:t>
      </w:r>
      <w:r w:rsidRPr="00C744BE">
        <w:t xml:space="preserve"> odločilo, da ponovno začne razpravo o delitvi stroškov med državami članicami in da to vprašanje določi za prednostno nalogo v letu svojega predsedovanja.</w:t>
      </w:r>
      <w:r w:rsidRPr="00C744BE">
        <w:rPr>
          <w:i/>
        </w:rPr>
        <w:t xml:space="preserve"> </w:t>
      </w:r>
      <w:r w:rsidRPr="00C744BE">
        <w:t xml:space="preserve">Združeno kraljestvo in Irska želita zaradi velikega povpraševanja po izobraževanju v angleškem jeziku ponovno obravnavati število svojih napotenih učiteljev. Vse države članice zaradi proračunskih težav, s katerimi se srečujejo, vedno težje napotijo učitelje v Evropske šole. To pomeni dodatno finančno obremenitev za EU, ki mora financirati lokalno zaposlene učitelje. </w:t>
      </w:r>
    </w:p>
    <w:p w:rsidR="004C0CE3" w:rsidRPr="00C744BE" w:rsidRDefault="004C0CE3" w:rsidP="00AF7717">
      <w:pPr>
        <w:keepLines/>
      </w:pPr>
      <w:r w:rsidRPr="00C744BE">
        <w:t>Generalni sekretariat Evropskih šol je pripravil strnjen dokument, ki ga je Svetu guvernerjev Evropskih šol predložil decembra </w:t>
      </w:r>
      <w:r w:rsidRPr="00307E92">
        <w:t>2011</w:t>
      </w:r>
      <w:r w:rsidRPr="00C744BE">
        <w:t>. Za obravnavanje tega vprašanja je bila ustanovljena posebna delovna skupina, ki mora analizirati stanje in predlagati rešitve.</w:t>
      </w:r>
    </w:p>
    <w:p w:rsidR="004C0CE3" w:rsidRPr="00C744BE" w:rsidRDefault="004C0CE3" w:rsidP="008B6911">
      <w:pPr>
        <w:pStyle w:val="Heading2"/>
        <w:keepLines/>
        <w:rPr>
          <w:bCs w:val="0"/>
          <w:iCs w:val="0"/>
          <w:szCs w:val="24"/>
        </w:rPr>
      </w:pPr>
      <w:bookmarkStart w:id="19" w:name="_Toc342473043"/>
      <w:r w:rsidRPr="00C744BE">
        <w:rPr>
          <w:bCs w:val="0"/>
          <w:iCs w:val="0"/>
          <w:szCs w:val="24"/>
        </w:rPr>
        <w:t>Sodni postopki</w:t>
      </w:r>
      <w:bookmarkEnd w:id="19"/>
    </w:p>
    <w:p w:rsidR="004C0CE3" w:rsidRPr="00C744BE" w:rsidRDefault="004C0CE3" w:rsidP="00AF7717">
      <w:pPr>
        <w:keepLines/>
      </w:pPr>
      <w:r w:rsidRPr="00C744BE">
        <w:t>Na podlagi tožb, vloženih na Sodišču, sta bili izdani dve sodbi.</w:t>
      </w:r>
    </w:p>
    <w:p w:rsidR="004C0CE3" w:rsidRPr="00C744BE" w:rsidRDefault="004C0CE3" w:rsidP="00AF7717">
      <w:pPr>
        <w:keepLines/>
      </w:pPr>
      <w:r w:rsidRPr="00C744BE">
        <w:t>Predmet prve tožbe je bil spor med Komisijo in Združenim kraljestvom (C-</w:t>
      </w:r>
      <w:r w:rsidRPr="00307E92">
        <w:t>545</w:t>
      </w:r>
      <w:r w:rsidRPr="00C744BE">
        <w:t>/</w:t>
      </w:r>
      <w:r w:rsidRPr="00307E92">
        <w:t>09</w:t>
      </w:r>
      <w:r w:rsidRPr="00C744BE">
        <w:t>). Komisija je menila, da Združeno kraljestvo ni izpolnjevalo svojih zakonsko določenih obveznosti in da je kršilo Konvencijo o Statutu Evropskih šol s tem, da je učitelje, napotene v Evropske šole, za obdobje njihove napotitve izključilo iz prilagoditve plač (možnosti kariere in napredovanja), ki velja za zaposlene v nacionalnih šolah. Gre za prvo tožbo na podlagi člena </w:t>
      </w:r>
      <w:r w:rsidRPr="00307E92">
        <w:t>26</w:t>
      </w:r>
      <w:r w:rsidRPr="00C744BE">
        <w:t xml:space="preserve"> Konvencije o Evropskih šolah. Februarja </w:t>
      </w:r>
      <w:r w:rsidRPr="00307E92">
        <w:t>2012</w:t>
      </w:r>
      <w:r w:rsidRPr="00C744BE">
        <w:t xml:space="preserve"> je Sodišče upoštevalo mnenje generalnega pravobranilca in se opredelilo v korist Komisije.</w:t>
      </w:r>
    </w:p>
    <w:p w:rsidR="004C0CE3" w:rsidRPr="00C744BE" w:rsidRDefault="004C0CE3" w:rsidP="00AF7717">
      <w:pPr>
        <w:keepLines/>
      </w:pPr>
      <w:r w:rsidRPr="00C744BE">
        <w:t>Druga zadeva je povezana z vprašanjem za predhodno odločanje, ki ga je vložil odbor za pritožbe Evropskih šol v zvezi s prilagoditvijo plač angleških učiteljev v primeru valutnih nihanj (C-</w:t>
      </w:r>
      <w:r w:rsidRPr="00307E92">
        <w:t>196</w:t>
      </w:r>
      <w:r w:rsidRPr="00C744BE">
        <w:t>/</w:t>
      </w:r>
      <w:r w:rsidRPr="00307E92">
        <w:t>09</w:t>
      </w:r>
      <w:r w:rsidRPr="00C744BE">
        <w:t>). Sodišče je menilo, da ni pristojno za odločanje, ker odbor za pritožbe ni nacionalni organ ampak je del „mednarodne organizacije“.</w:t>
      </w:r>
    </w:p>
    <w:p w:rsidR="004C0CE3" w:rsidRPr="00C744BE" w:rsidRDefault="004C0CE3" w:rsidP="00AF7717">
      <w:pPr>
        <w:keepLines/>
        <w:spacing w:after="100"/>
      </w:pPr>
      <w:r w:rsidRPr="00C744BE">
        <w:t>Ena tožba, katere sodba naj bi bila izdana leta </w:t>
      </w:r>
      <w:r w:rsidRPr="00307E92">
        <w:t>2011</w:t>
      </w:r>
      <w:r w:rsidRPr="00C744BE">
        <w:t>, še vedno ni rešena. Gre za primer lokalno zaposlenega učitelja, ki je tožbo vložil pri belgijskem nacionalnem sodišču glede izplačila regresa za letni dopust pred letom </w:t>
      </w:r>
      <w:r w:rsidRPr="00307E92">
        <w:t>2004</w:t>
      </w:r>
      <w:r w:rsidRPr="00C744BE">
        <w:t>. Samo plačilo je bilo že priznano za zakonito, sodba glede obsega retroaktivnosti tega plačila pa še ni bila izdana. V tem primeru bi lahko sodba pomenila velike odhodke za proračun Evropskih šol.</w:t>
      </w:r>
    </w:p>
    <w:p w:rsidR="004C0CE3" w:rsidRPr="00C744BE" w:rsidRDefault="004C0CE3" w:rsidP="008B6911">
      <w:pPr>
        <w:pStyle w:val="Heading1"/>
        <w:keepLines/>
        <w:rPr>
          <w:bCs w:val="0"/>
          <w:szCs w:val="24"/>
        </w:rPr>
      </w:pPr>
      <w:bookmarkStart w:id="20" w:name="_Toc342473044"/>
      <w:r w:rsidRPr="00C744BE">
        <w:rPr>
          <w:bCs w:val="0"/>
          <w:szCs w:val="24"/>
        </w:rPr>
        <w:t>Pedagoške in organizacijske spremembe</w:t>
      </w:r>
      <w:bookmarkEnd w:id="20"/>
    </w:p>
    <w:p w:rsidR="004C0CE3" w:rsidRPr="00C744BE" w:rsidRDefault="004C0CE3" w:rsidP="008B6911">
      <w:pPr>
        <w:pStyle w:val="Heading2"/>
        <w:keepLines/>
      </w:pPr>
      <w:bookmarkStart w:id="21" w:name="_Toc342473045"/>
      <w:r w:rsidRPr="00C744BE">
        <w:t>Reforma evropske mature</w:t>
      </w:r>
      <w:bookmarkEnd w:id="21"/>
    </w:p>
    <w:p w:rsidR="004C0CE3" w:rsidRPr="00C744BE" w:rsidRDefault="004C0CE3" w:rsidP="00AF7717">
      <w:pPr>
        <w:keepLines/>
      </w:pPr>
      <w:r w:rsidRPr="00C744BE">
        <w:t>V okviru reforme iz leta </w:t>
      </w:r>
      <w:r w:rsidRPr="00307E92">
        <w:t>2009</w:t>
      </w:r>
      <w:r w:rsidRPr="00C744BE">
        <w:t xml:space="preserve"> in odpiranja sistema Evropskih šol želi Svet guvernerjev Evropskih šol poenostaviti evropsko maturo in zmanjšati njene stroške ter hkrati ohraniti visoko raven kakovosti. Svet guvernerjev Evropskih šol je aprila </w:t>
      </w:r>
      <w:r w:rsidRPr="00307E92">
        <w:t>2011</w:t>
      </w:r>
      <w:r w:rsidRPr="00C744BE">
        <w:t xml:space="preserve"> sprejel sklepe za poenostavitev organizacije mature, znižanje njenih stroškov in pregled vsebine izpitov. Poleg tega je Svet guvernerjev decembra </w:t>
      </w:r>
      <w:r w:rsidRPr="00307E92">
        <w:t>2011</w:t>
      </w:r>
      <w:r w:rsidRPr="00C744BE">
        <w:t xml:space="preserve"> potrdil pregled pogojev za ocenjevanje pisnih izpitov evropske mature (zlasti anonimnost izvodov) ter vrsto, število in težo pisnih in ustnih izpitov. </w:t>
      </w:r>
    </w:p>
    <w:p w:rsidR="004C0CE3" w:rsidRPr="00C744BE" w:rsidRDefault="004C0CE3" w:rsidP="00AF7717">
      <w:pPr>
        <w:keepLines/>
      </w:pPr>
      <w:r w:rsidRPr="00C744BE">
        <w:t>Ti pogoji morajo biti v pravilnik o evropski maturi in njene izvedbene predpise vključeni do začetka maturitetnih izpitov leta </w:t>
      </w:r>
      <w:r w:rsidRPr="00307E92">
        <w:t>2014</w:t>
      </w:r>
      <w:r w:rsidRPr="00C744BE">
        <w:t xml:space="preserve">. </w:t>
      </w:r>
    </w:p>
    <w:p w:rsidR="004C0CE3" w:rsidRPr="00C744BE" w:rsidRDefault="004C0CE3" w:rsidP="008B6911">
      <w:pPr>
        <w:pStyle w:val="Heading2"/>
        <w:keepLines/>
        <w:rPr>
          <w:bCs w:val="0"/>
          <w:iCs w:val="0"/>
          <w:szCs w:val="24"/>
        </w:rPr>
      </w:pPr>
      <w:bookmarkStart w:id="22" w:name="_Toc342473046"/>
      <w:r w:rsidRPr="00C744BE">
        <w:rPr>
          <w:bCs w:val="0"/>
          <w:iCs w:val="0"/>
          <w:szCs w:val="24"/>
        </w:rPr>
        <w:t>Dejavnosti za učence s posebnimi potrebami</w:t>
      </w:r>
      <w:bookmarkEnd w:id="22"/>
    </w:p>
    <w:p w:rsidR="004C0CE3" w:rsidRPr="00C744BE" w:rsidRDefault="004C0CE3" w:rsidP="00AF7717">
      <w:pPr>
        <w:keepLines/>
      </w:pPr>
      <w:r w:rsidRPr="00C744BE">
        <w:t>V šolskem letu </w:t>
      </w:r>
      <w:r w:rsidRPr="00307E92">
        <w:t>2010</w:t>
      </w:r>
      <w:r w:rsidRPr="00C744BE">
        <w:t>/</w:t>
      </w:r>
      <w:r w:rsidRPr="00307E92">
        <w:t>2011</w:t>
      </w:r>
      <w:r w:rsidRPr="00C744BE">
        <w:t xml:space="preserve"> je bilo v sistem Evropskih šol vpisanih </w:t>
      </w:r>
      <w:r w:rsidRPr="00307E92">
        <w:t>619</w:t>
      </w:r>
      <w:r w:rsidRPr="00C744BE">
        <w:t xml:space="preserve"> učencev s posebnimi potrebami, kar pomeni, da se je število v primerjavi s prejšnjimi leti povečalo (</w:t>
      </w:r>
      <w:r w:rsidRPr="00307E92">
        <w:t>477</w:t>
      </w:r>
      <w:r w:rsidRPr="00C744BE">
        <w:t xml:space="preserve"> v šolskem letu </w:t>
      </w:r>
      <w:r w:rsidRPr="00307E92">
        <w:t>2008</w:t>
      </w:r>
      <w:r w:rsidRPr="00C744BE">
        <w:t>/</w:t>
      </w:r>
      <w:r w:rsidRPr="00307E92">
        <w:t>2009</w:t>
      </w:r>
      <w:r w:rsidRPr="00C744BE">
        <w:t xml:space="preserve">, </w:t>
      </w:r>
      <w:r w:rsidRPr="00307E92">
        <w:t>574</w:t>
      </w:r>
      <w:r w:rsidRPr="00C744BE">
        <w:t xml:space="preserve"> v šolskem letu </w:t>
      </w:r>
      <w:r w:rsidRPr="00307E92">
        <w:t>2009</w:t>
      </w:r>
      <w:r w:rsidRPr="00C744BE">
        <w:t>/</w:t>
      </w:r>
      <w:r w:rsidRPr="00307E92">
        <w:t>2010</w:t>
      </w:r>
      <w:r w:rsidRPr="00C744BE">
        <w:t>). Svet guvernerjev Evropskih šol je aprila </w:t>
      </w:r>
      <w:r w:rsidRPr="00307E92">
        <w:t>2011</w:t>
      </w:r>
      <w:r w:rsidRPr="00C744BE">
        <w:t xml:space="preserve"> sprejel sklepa o oblikovanju nove kategorije osebja z nazivom „spremljevalci učencev s posebnimi potrebami“ in o razvrščanju učencev v skupine s podobnimi vrstami potreb, za katere je organiziran dopolnilni pouk, kar je omogočilo racionalizacijo porabe sredstev za učence s posebnimi potrebami in omejitev skupnih stroškov podpore učencev s posebnimi potrebami na </w:t>
      </w:r>
      <w:r w:rsidRPr="00307E92">
        <w:t>4</w:t>
      </w:r>
      <w:r w:rsidRPr="00C744BE">
        <w:t> </w:t>
      </w:r>
      <w:r w:rsidRPr="00307E92">
        <w:t>526</w:t>
      </w:r>
      <w:r w:rsidRPr="00C744BE">
        <w:t> </w:t>
      </w:r>
      <w:r w:rsidRPr="00307E92">
        <w:t>927</w:t>
      </w:r>
      <w:r w:rsidRPr="00C744BE">
        <w:t> EUR v letu </w:t>
      </w:r>
      <w:r w:rsidRPr="00307E92">
        <w:t>2011</w:t>
      </w:r>
      <w:r w:rsidRPr="00C744BE">
        <w:t xml:space="preserve">, kar je </w:t>
      </w:r>
      <w:r w:rsidRPr="00307E92">
        <w:t>180</w:t>
      </w:r>
      <w:r w:rsidRPr="00C744BE">
        <w:t> </w:t>
      </w:r>
      <w:r w:rsidRPr="00307E92">
        <w:t>988</w:t>
      </w:r>
      <w:r w:rsidRPr="00C744BE">
        <w:t> EUR manj kot leta </w:t>
      </w:r>
      <w:r w:rsidRPr="00307E92">
        <w:t>2010</w:t>
      </w:r>
      <w:r w:rsidRPr="00C744BE">
        <w:t xml:space="preserve">. </w:t>
      </w:r>
    </w:p>
    <w:p w:rsidR="004C0CE3" w:rsidRPr="00C744BE" w:rsidRDefault="004C0CE3" w:rsidP="008B6911">
      <w:pPr>
        <w:pStyle w:val="Heading2"/>
        <w:keepLines/>
        <w:rPr>
          <w:bCs w:val="0"/>
          <w:iCs w:val="0"/>
          <w:szCs w:val="24"/>
        </w:rPr>
      </w:pPr>
      <w:bookmarkStart w:id="23" w:name="_Toc342473047"/>
      <w:r w:rsidRPr="00C744BE">
        <w:rPr>
          <w:bCs w:val="0"/>
          <w:iCs w:val="0"/>
          <w:szCs w:val="24"/>
        </w:rPr>
        <w:t>Organizacija predmetov in pouka</w:t>
      </w:r>
      <w:bookmarkEnd w:id="23"/>
    </w:p>
    <w:p w:rsidR="004C0CE3" w:rsidRPr="00C744BE" w:rsidRDefault="004C0CE3" w:rsidP="00AF7717">
      <w:pPr>
        <w:keepLines/>
      </w:pPr>
      <w:r w:rsidRPr="00C744BE">
        <w:t>Svet guvernerjev Evropskih šol je proračun za leto </w:t>
      </w:r>
      <w:r w:rsidRPr="00307E92">
        <w:t>2011</w:t>
      </w:r>
      <w:r w:rsidRPr="00C744BE">
        <w:t xml:space="preserve"> potrdil pod pogojem, da se sprejmejo ukrepi za nadzor nad spremembami stroškov. Zato je Svet guvernerjev aprila </w:t>
      </w:r>
      <w:r w:rsidRPr="00307E92">
        <w:t>2011</w:t>
      </w:r>
      <w:r w:rsidRPr="00C744BE">
        <w:t xml:space="preserve"> na seji sprejel nove ukrepe za razjasnitev in podrobno določitev pravil za organizacijo obveznih in izbirnih predmetov</w:t>
      </w:r>
      <w:r w:rsidRPr="00C744BE">
        <w:rPr>
          <w:rStyle w:val="FootnoteReference"/>
        </w:rPr>
        <w:footnoteReference w:id="6"/>
      </w:r>
      <w:r w:rsidRPr="00C744BE">
        <w:t xml:space="preserve"> (zlasti velikost skupin za poučevanje jezikov, drugih nacionalnih jezikov</w:t>
      </w:r>
      <w:r w:rsidRPr="00C744BE">
        <w:rPr>
          <w:rStyle w:val="FootnoteReference"/>
        </w:rPr>
        <w:footnoteReference w:id="7"/>
      </w:r>
      <w:r w:rsidRPr="00C744BE">
        <w:t xml:space="preserve"> in učencev brez lastnega jezikovnega oddelka). </w:t>
      </w:r>
    </w:p>
    <w:p w:rsidR="004C0CE3" w:rsidRPr="00C744BE" w:rsidRDefault="004C0CE3" w:rsidP="00AF7717">
      <w:pPr>
        <w:keepLines/>
      </w:pPr>
      <w:r w:rsidRPr="00C744BE">
        <w:t>Ti sklepi so omogočili učinkovitejšo organizacijo izobraževanja in uresničitev varčevalnih ukrepov, ki so nujni zaradi sedanjih proračunskih razmer.</w:t>
      </w:r>
    </w:p>
    <w:p w:rsidR="004C0CE3" w:rsidRPr="00C744BE" w:rsidRDefault="004C0CE3" w:rsidP="008B6911">
      <w:pPr>
        <w:pStyle w:val="Heading1"/>
        <w:keepLines/>
        <w:rPr>
          <w:bCs w:val="0"/>
          <w:szCs w:val="24"/>
        </w:rPr>
      </w:pPr>
      <w:bookmarkStart w:id="24" w:name="_Toc342473048"/>
      <w:r w:rsidRPr="00C744BE">
        <w:rPr>
          <w:bCs w:val="0"/>
          <w:szCs w:val="24"/>
        </w:rPr>
        <w:t>Prihodnji izzivi</w:t>
      </w:r>
      <w:bookmarkEnd w:id="24"/>
    </w:p>
    <w:p w:rsidR="004C0CE3" w:rsidRPr="00C744BE" w:rsidRDefault="004C0CE3" w:rsidP="00AF7717">
      <w:pPr>
        <w:keepLines/>
      </w:pPr>
      <w:r w:rsidRPr="00C744BE">
        <w:t>Nadzor nad proračunom ob ohranjanju kakovosti izobraževanja in pravična delitev stroškov Evropskih šol med državami članicami bosta v prihodnjih letih največja izziva pri zagotavljanju trajnega sistema Evropskih šol.</w:t>
      </w:r>
    </w:p>
    <w:p w:rsidR="004C0CE3" w:rsidRPr="00C744BE" w:rsidRDefault="004C0CE3" w:rsidP="00AF7717">
      <w:pPr>
        <w:keepLines/>
      </w:pPr>
      <w:r w:rsidRPr="00C744BE">
        <w:t>Evropske šole bodo morale še naprej ohranjati nadzor nad proračunom in izvajati varčevalne ukrepe ter hkrati zagotavljati kakovostno izobraževanje. Komisija si z vsemi akterji v sistemu Evropskih šol prizadeva za ohranitev bistvenih pedagoških vsebin in za zagotavljanje ravni izobrazbe, ki vsem učencem po opravljeni maturi omogoča dostop do visokošolske izobrazbe po njihovi izbiri.</w:t>
      </w:r>
    </w:p>
    <w:p w:rsidR="004C0CE3" w:rsidRPr="00C744BE" w:rsidRDefault="004C0CE3" w:rsidP="00AF7717">
      <w:pPr>
        <w:keepLines/>
      </w:pPr>
      <w:r w:rsidRPr="00C744BE">
        <w:t>Države članice bodo morale najti rešitve za sklenitev dogovora o delitvi stroškov in njihovo razporeditev med državami članicami. Komisija si bo še naprej prizadevala za iskanje trajne rešitve.</w:t>
      </w:r>
    </w:p>
    <w:p w:rsidR="004C0CE3" w:rsidRPr="00C744BE" w:rsidRDefault="004C0CE3" w:rsidP="00AF7717">
      <w:pPr>
        <w:keepLines/>
      </w:pPr>
      <w:r w:rsidRPr="00C744BE">
        <w:t>Komisija poleg tega od belgijskih organov še vedno zahteva, da do leta </w:t>
      </w:r>
      <w:r w:rsidRPr="00307E92">
        <w:t>2015</w:t>
      </w:r>
      <w:r w:rsidRPr="00C744BE">
        <w:t xml:space="preserve"> določijo lokacijo za </w:t>
      </w:r>
      <w:r w:rsidRPr="00307E92">
        <w:t>5</w:t>
      </w:r>
      <w:r w:rsidRPr="00C744BE">
        <w:t xml:space="preserve">. Evropsko šolo v Bruslju, da se bodo lahko odzvali na spremembe števila učencev in pokrili potrebe zaradi stalnega povečevanja števila vlog za vpis. Razprave o odprtju Evropske šole v Laekenu so pokazale vpliv lokacije šole na ravnovesje med poklicnim in družinskim življenjem uslužbencev EU, ki nimajo vedno možnosti, da bi svoje otroke šolali v lokalnih šolah. </w:t>
      </w:r>
      <w:r w:rsidRPr="00307E92">
        <w:t>5</w:t>
      </w:r>
      <w:r w:rsidRPr="00C744BE">
        <w:t xml:space="preserve">. Evropska šola mora biti zato v bližini glavnih bivalnih območij uslužbencev evropskih institucij in njihovih pisarn. </w:t>
      </w:r>
    </w:p>
    <w:p w:rsidR="004C0CE3" w:rsidRPr="000F21C1" w:rsidRDefault="004C0CE3" w:rsidP="0020758B">
      <w:pPr>
        <w:keepLines/>
      </w:pPr>
      <w:r w:rsidRPr="00C744BE">
        <w:t>Razvoj odpiranja sistema Evropskih šol bo nacionalnim šolam omogočil uvajanje evropskega učnega programa, ki se zaključi z evropsko maturo. Poleg tega bi moral finančni prispevek EU za učence, katerih starši so uslužbenci EU, spodbuditi države članice, da bi zaprosile za akreditacijo nacionalnih šol in omogočile številnim učencem, da se šolajo v skladu z evropskim učnim programom in opravijo evropsko maturo, ki je priznana v vseh državah članicah.</w:t>
      </w:r>
      <w:r w:rsidRPr="0019564C">
        <w:t xml:space="preserve"> </w:t>
      </w:r>
    </w:p>
    <w:sectPr w:rsidR="004C0CE3" w:rsidRPr="000F21C1" w:rsidSect="000F21C1">
      <w:pgSz w:w="11907" w:h="16839" w:code="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0CE3" w:rsidRDefault="004C0CE3">
      <w:r>
        <w:separator/>
      </w:r>
    </w:p>
  </w:endnote>
  <w:endnote w:type="continuationSeparator" w:id="0">
    <w:p w:rsidR="004C0CE3" w:rsidRDefault="004C0C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Footer"/>
      <w:rPr>
        <w:rFonts w:ascii="Arial" w:hAnsi="Arial" w:cs="Arial"/>
        <w:b/>
        <w:sz w:val="48"/>
      </w:rPr>
    </w:pPr>
    <w:r w:rsidRPr="000F21C1">
      <w:rPr>
        <w:rFonts w:ascii="Arial" w:hAnsi="Arial" w:cs="Arial"/>
        <w:b/>
        <w:sz w:val="48"/>
      </w:rPr>
      <w:t>SL</w:t>
    </w:r>
    <w:r w:rsidRPr="000F21C1">
      <w:rPr>
        <w:rFonts w:ascii="Arial" w:hAnsi="Arial" w:cs="Arial"/>
        <w:b/>
        <w:sz w:val="48"/>
      </w:rPr>
      <w:tab/>
    </w:r>
    <w:r w:rsidRPr="000F21C1">
      <w:rPr>
        <w:rFonts w:ascii="Arial" w:hAnsi="Arial" w:cs="Arial"/>
        <w:b/>
        <w:sz w:val="48"/>
      </w:rPr>
      <w:tab/>
    </w:r>
    <w:fldSimple w:instr=" DOCVARIABLE &quot;LW_Confidence&quot; \* MERGEFORMAT ">
      <w:r>
        <w:t xml:space="preserve"> </w:t>
      </w:r>
    </w:fldSimple>
    <w:r w:rsidRPr="000F21C1">
      <w:tab/>
    </w:r>
    <w:r w:rsidRPr="000F21C1">
      <w:rPr>
        <w:rFonts w:ascii="Arial" w:hAnsi="Arial" w:cs="Arial"/>
        <w:b/>
        <w:sz w:val="48"/>
      </w:rPr>
      <w:t>SL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Footer"/>
      <w:rPr>
        <w:rFonts w:ascii="Arial" w:hAnsi="Arial" w:cs="Arial"/>
        <w:b/>
        <w:sz w:val="48"/>
      </w:rPr>
    </w:pPr>
    <w:r w:rsidRPr="000F21C1">
      <w:rPr>
        <w:rFonts w:ascii="Arial" w:hAnsi="Arial" w:cs="Arial"/>
        <w:b/>
        <w:sz w:val="48"/>
      </w:rPr>
      <w:t>SL</w:t>
    </w:r>
    <w:r w:rsidRPr="000F21C1">
      <w:rPr>
        <w:rFonts w:ascii="Arial" w:hAnsi="Arial" w:cs="Arial"/>
        <w:b/>
        <w:sz w:val="48"/>
      </w:rPr>
      <w:tab/>
    </w:r>
    <w:r>
      <w:fldChar w:fldCharType="begin"/>
    </w:r>
    <w:r>
      <w:instrText xml:space="preserve"> PAGE  \* MERGEFORMAT </w:instrText>
    </w:r>
    <w:r>
      <w:fldChar w:fldCharType="separate"/>
    </w:r>
    <w:r>
      <w:rPr>
        <w:noProof/>
      </w:rPr>
      <w:t>12</w:t>
    </w:r>
    <w:r>
      <w:fldChar w:fldCharType="end"/>
    </w:r>
    <w:r>
      <w:tab/>
    </w:r>
    <w:fldSimple w:instr=" DOCVARIABLE &quot;LW_Confidence&quot; \* MERGEFORMAT ">
      <w:r>
        <w:t xml:space="preserve"> </w:t>
      </w:r>
    </w:fldSimple>
    <w:r w:rsidRPr="000F21C1">
      <w:tab/>
    </w:r>
    <w:r w:rsidRPr="000F21C1">
      <w:rPr>
        <w:rFonts w:ascii="Arial" w:hAnsi="Arial" w:cs="Arial"/>
        <w:b/>
        <w:sz w:val="48"/>
      </w:rPr>
      <w:t>SL</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0CE3" w:rsidRDefault="004C0CE3">
      <w:r>
        <w:separator/>
      </w:r>
    </w:p>
  </w:footnote>
  <w:footnote w:type="continuationSeparator" w:id="0">
    <w:p w:rsidR="004C0CE3" w:rsidRDefault="004C0CE3">
      <w:r>
        <w:continuationSeparator/>
      </w:r>
    </w:p>
  </w:footnote>
  <w:footnote w:id="1">
    <w:p w:rsidR="004C0CE3" w:rsidRDefault="004C0CE3" w:rsidP="00AF7717">
      <w:pPr>
        <w:pStyle w:val="FootnoteText"/>
      </w:pPr>
      <w:r w:rsidRPr="00C744BE">
        <w:rPr>
          <w:rStyle w:val="FootnoteReference"/>
          <w:szCs w:val="24"/>
        </w:rPr>
        <w:footnoteRef/>
      </w:r>
      <w:r w:rsidRPr="00C744BE">
        <w:rPr>
          <w:szCs w:val="24"/>
        </w:rPr>
        <w:tab/>
        <w:t xml:space="preserve">Okoliščine, predvidene v finančni uredbi Evropskih šol (dokument </w:t>
      </w:r>
      <w:r w:rsidRPr="00307E92">
        <w:rPr>
          <w:szCs w:val="24"/>
        </w:rPr>
        <w:t>2011</w:t>
      </w:r>
      <w:r w:rsidRPr="00C744BE">
        <w:rPr>
          <w:szCs w:val="24"/>
        </w:rPr>
        <w:t>-</w:t>
      </w:r>
      <w:r w:rsidRPr="00307E92">
        <w:rPr>
          <w:szCs w:val="24"/>
        </w:rPr>
        <w:t>07</w:t>
      </w:r>
      <w:r w:rsidRPr="00C744BE">
        <w:rPr>
          <w:szCs w:val="24"/>
        </w:rPr>
        <w:t>-D-</w:t>
      </w:r>
      <w:r w:rsidRPr="00307E92">
        <w:rPr>
          <w:szCs w:val="24"/>
        </w:rPr>
        <w:t>17</w:t>
      </w:r>
      <w:r w:rsidRPr="00C744BE">
        <w:rPr>
          <w:szCs w:val="24"/>
        </w:rPr>
        <w:t>-fr-</w:t>
      </w:r>
      <w:r w:rsidRPr="00307E92">
        <w:rPr>
          <w:szCs w:val="24"/>
        </w:rPr>
        <w:t>3</w:t>
      </w:r>
      <w:r w:rsidRPr="00C744BE">
        <w:rPr>
          <w:szCs w:val="24"/>
        </w:rPr>
        <w:t>, objavljen na spletni strani Evropskih šol: http://www.eursc.eu/fichiers/contenu_fichiers</w:t>
      </w:r>
      <w:r w:rsidRPr="00307E92">
        <w:rPr>
          <w:szCs w:val="24"/>
        </w:rPr>
        <w:t>1</w:t>
      </w:r>
      <w:r w:rsidRPr="00C744BE">
        <w:rPr>
          <w:szCs w:val="24"/>
        </w:rPr>
        <w:t>/</w:t>
      </w:r>
      <w:r w:rsidRPr="00307E92">
        <w:rPr>
          <w:szCs w:val="24"/>
        </w:rPr>
        <w:t>577</w:t>
      </w:r>
      <w:r w:rsidRPr="00C744BE">
        <w:rPr>
          <w:szCs w:val="24"/>
        </w:rPr>
        <w:t>/</w:t>
      </w:r>
      <w:r w:rsidRPr="00307E92">
        <w:rPr>
          <w:szCs w:val="24"/>
        </w:rPr>
        <w:t>2011</w:t>
      </w:r>
      <w:r w:rsidRPr="00C744BE">
        <w:rPr>
          <w:szCs w:val="24"/>
        </w:rPr>
        <w:t>-</w:t>
      </w:r>
      <w:r w:rsidRPr="00307E92">
        <w:rPr>
          <w:szCs w:val="24"/>
        </w:rPr>
        <w:t>07</w:t>
      </w:r>
      <w:r w:rsidRPr="00C744BE">
        <w:rPr>
          <w:szCs w:val="24"/>
        </w:rPr>
        <w:t>-D-</w:t>
      </w:r>
      <w:r w:rsidRPr="00307E92">
        <w:rPr>
          <w:szCs w:val="24"/>
        </w:rPr>
        <w:t>17</w:t>
      </w:r>
      <w:r w:rsidRPr="00C744BE">
        <w:rPr>
          <w:szCs w:val="24"/>
        </w:rPr>
        <w:t>-fr-</w:t>
      </w:r>
      <w:r w:rsidRPr="00307E92">
        <w:rPr>
          <w:szCs w:val="24"/>
        </w:rPr>
        <w:t>3</w:t>
      </w:r>
      <w:r w:rsidRPr="00C744BE">
        <w:rPr>
          <w:szCs w:val="24"/>
        </w:rPr>
        <w:t>.pdf).</w:t>
      </w:r>
    </w:p>
  </w:footnote>
  <w:footnote w:id="2">
    <w:p w:rsidR="004C0CE3" w:rsidRDefault="004C0CE3" w:rsidP="00AF7717">
      <w:pPr>
        <w:pStyle w:val="FootnoteText"/>
      </w:pPr>
      <w:r w:rsidRPr="00C744BE">
        <w:rPr>
          <w:rStyle w:val="FootnoteReference"/>
          <w:szCs w:val="24"/>
        </w:rPr>
        <w:footnoteRef/>
      </w:r>
      <w:r w:rsidRPr="00C744BE">
        <w:rPr>
          <w:szCs w:val="24"/>
        </w:rPr>
        <w:tab/>
        <w:t>Pravila za sprejem v Evropske šole so navedena v poglavju XII Zbirke sklepov Sveta guvernerjev Evropskih šol (dokument, objavljen na spletni strani Evropskih šol: http://www.eursc.eu/fichiers/contenu_fichiers</w:t>
      </w:r>
      <w:r w:rsidRPr="00307E92">
        <w:rPr>
          <w:szCs w:val="24"/>
        </w:rPr>
        <w:t>1</w:t>
      </w:r>
      <w:r w:rsidRPr="00C744BE">
        <w:rPr>
          <w:szCs w:val="24"/>
        </w:rPr>
        <w:t>/</w:t>
      </w:r>
      <w:r w:rsidRPr="00307E92">
        <w:rPr>
          <w:szCs w:val="24"/>
        </w:rPr>
        <w:t>1794</w:t>
      </w:r>
      <w:r w:rsidRPr="00C744BE">
        <w:rPr>
          <w:szCs w:val="24"/>
        </w:rPr>
        <w:t>/</w:t>
      </w:r>
      <w:r w:rsidRPr="00307E92">
        <w:rPr>
          <w:szCs w:val="24"/>
        </w:rPr>
        <w:t>2011</w:t>
      </w:r>
      <w:r w:rsidRPr="00C744BE">
        <w:rPr>
          <w:szCs w:val="24"/>
        </w:rPr>
        <w:t>-</w:t>
      </w:r>
      <w:r w:rsidRPr="00307E92">
        <w:rPr>
          <w:szCs w:val="24"/>
        </w:rPr>
        <w:t>04</w:t>
      </w:r>
      <w:r w:rsidRPr="00C744BE">
        <w:rPr>
          <w:szCs w:val="24"/>
        </w:rPr>
        <w:t>-D-</w:t>
      </w:r>
      <w:r w:rsidRPr="00307E92">
        <w:rPr>
          <w:szCs w:val="24"/>
        </w:rPr>
        <w:t>4</w:t>
      </w:r>
      <w:r w:rsidRPr="00C744BE">
        <w:rPr>
          <w:szCs w:val="24"/>
        </w:rPr>
        <w:t>-fr-</w:t>
      </w:r>
      <w:r w:rsidRPr="00307E92">
        <w:rPr>
          <w:szCs w:val="24"/>
        </w:rPr>
        <w:t>1</w:t>
      </w:r>
      <w:r w:rsidRPr="00C744BE">
        <w:rPr>
          <w:szCs w:val="24"/>
        </w:rPr>
        <w:t>.pdf).</w:t>
      </w:r>
    </w:p>
  </w:footnote>
  <w:footnote w:id="3">
    <w:p w:rsidR="004C0CE3" w:rsidRDefault="004C0CE3" w:rsidP="00AF7717">
      <w:pPr>
        <w:pStyle w:val="FootnoteText"/>
      </w:pPr>
      <w:r w:rsidRPr="00C744BE">
        <w:rPr>
          <w:rStyle w:val="FootnoteReference"/>
          <w:szCs w:val="24"/>
        </w:rPr>
        <w:footnoteRef/>
      </w:r>
      <w:r w:rsidRPr="00C744BE">
        <w:rPr>
          <w:szCs w:val="24"/>
        </w:rPr>
        <w:tab/>
        <w:t>Glej opombo št. </w:t>
      </w:r>
      <w:r w:rsidRPr="00307E92">
        <w:rPr>
          <w:szCs w:val="24"/>
        </w:rPr>
        <w:t>2</w:t>
      </w:r>
      <w:r w:rsidRPr="00C744BE">
        <w:rPr>
          <w:szCs w:val="24"/>
        </w:rPr>
        <w:t>.</w:t>
      </w:r>
    </w:p>
  </w:footnote>
  <w:footnote w:id="4">
    <w:p w:rsidR="004C0CE3" w:rsidRDefault="004C0CE3" w:rsidP="00AF7717">
      <w:pPr>
        <w:pStyle w:val="FootnoteText"/>
      </w:pPr>
      <w:r w:rsidRPr="00C744BE">
        <w:rPr>
          <w:rStyle w:val="FootnoteReference"/>
          <w:szCs w:val="24"/>
        </w:rPr>
        <w:footnoteRef/>
      </w:r>
      <w:r w:rsidRPr="00C744BE">
        <w:rPr>
          <w:szCs w:val="24"/>
        </w:rPr>
        <w:tab/>
        <w:t>Glej opombo št. </w:t>
      </w:r>
      <w:r w:rsidRPr="00307E92">
        <w:rPr>
          <w:szCs w:val="24"/>
        </w:rPr>
        <w:t>2</w:t>
      </w:r>
      <w:r w:rsidRPr="00C744BE">
        <w:rPr>
          <w:szCs w:val="24"/>
        </w:rPr>
        <w:t>.</w:t>
      </w:r>
    </w:p>
  </w:footnote>
  <w:footnote w:id="5">
    <w:p w:rsidR="004C0CE3" w:rsidRDefault="004C0CE3" w:rsidP="00AF7717">
      <w:pPr>
        <w:pStyle w:val="FootnoteText"/>
      </w:pPr>
      <w:r w:rsidRPr="00C744BE">
        <w:rPr>
          <w:rStyle w:val="FootnoteReference"/>
          <w:szCs w:val="24"/>
        </w:rPr>
        <w:footnoteRef/>
      </w:r>
      <w:r w:rsidRPr="00C744BE">
        <w:rPr>
          <w:szCs w:val="24"/>
        </w:rPr>
        <w:tab/>
        <w:t>T. i. SWALS (students without a language section): učenci brez lastnega jezikovnega oddelka, običajno vpisani v enega od oddelkov delovnih jezikov.</w:t>
      </w:r>
    </w:p>
  </w:footnote>
  <w:footnote w:id="6">
    <w:p w:rsidR="004C0CE3" w:rsidRDefault="004C0CE3" w:rsidP="00AF7717">
      <w:pPr>
        <w:pStyle w:val="FootnoteText"/>
      </w:pPr>
      <w:r w:rsidRPr="00C744BE">
        <w:rPr>
          <w:rStyle w:val="FootnoteReference"/>
          <w:szCs w:val="24"/>
        </w:rPr>
        <w:footnoteRef/>
      </w:r>
      <w:r w:rsidRPr="00C744BE">
        <w:rPr>
          <w:szCs w:val="24"/>
        </w:rPr>
        <w:tab/>
        <w:t xml:space="preserve">Dokument </w:t>
      </w:r>
      <w:r w:rsidRPr="00307E92">
        <w:rPr>
          <w:szCs w:val="24"/>
        </w:rPr>
        <w:t>2011</w:t>
      </w:r>
      <w:r w:rsidRPr="00C744BE">
        <w:rPr>
          <w:szCs w:val="24"/>
        </w:rPr>
        <w:t>-</w:t>
      </w:r>
      <w:r w:rsidRPr="00307E92">
        <w:rPr>
          <w:szCs w:val="24"/>
        </w:rPr>
        <w:t>04</w:t>
      </w:r>
      <w:r w:rsidRPr="00C744BE">
        <w:rPr>
          <w:szCs w:val="24"/>
        </w:rPr>
        <w:t>-D-</w:t>
      </w:r>
      <w:r w:rsidRPr="00307E92">
        <w:rPr>
          <w:szCs w:val="24"/>
        </w:rPr>
        <w:t>7</w:t>
      </w:r>
      <w:r w:rsidRPr="00C744BE">
        <w:rPr>
          <w:szCs w:val="24"/>
        </w:rPr>
        <w:t>-fr-</w:t>
      </w:r>
      <w:r w:rsidRPr="00307E92">
        <w:rPr>
          <w:szCs w:val="24"/>
        </w:rPr>
        <w:t>3</w:t>
      </w:r>
      <w:r w:rsidRPr="00C744BE">
        <w:rPr>
          <w:szCs w:val="24"/>
        </w:rPr>
        <w:t xml:space="preserve"> (Sklepi Sveta guvernerjev Evropskih šol, sprejeti aprila </w:t>
      </w:r>
      <w:r w:rsidRPr="00307E92">
        <w:rPr>
          <w:szCs w:val="24"/>
        </w:rPr>
        <w:t>2011</w:t>
      </w:r>
      <w:r w:rsidRPr="00C744BE">
        <w:rPr>
          <w:szCs w:val="24"/>
        </w:rPr>
        <w:t>, poglavje IX, točka B.</w:t>
      </w:r>
      <w:r w:rsidRPr="00307E92">
        <w:rPr>
          <w:szCs w:val="24"/>
        </w:rPr>
        <w:t>4</w:t>
      </w:r>
      <w:r w:rsidRPr="00C744BE">
        <w:rPr>
          <w:szCs w:val="24"/>
        </w:rPr>
        <w:t>), objavljen na spletnem mestu Evropskih šol: http://www.eursc.eu/fichiers/contenu_fichiers</w:t>
      </w:r>
      <w:r w:rsidRPr="00307E92">
        <w:rPr>
          <w:szCs w:val="24"/>
        </w:rPr>
        <w:t>1</w:t>
      </w:r>
      <w:r w:rsidRPr="00C744BE">
        <w:rPr>
          <w:szCs w:val="24"/>
        </w:rPr>
        <w:t>/</w:t>
      </w:r>
      <w:r w:rsidRPr="00307E92">
        <w:rPr>
          <w:szCs w:val="24"/>
        </w:rPr>
        <w:t>1664</w:t>
      </w:r>
      <w:r w:rsidRPr="00C744BE">
        <w:rPr>
          <w:szCs w:val="24"/>
        </w:rPr>
        <w:t>/</w:t>
      </w:r>
      <w:r w:rsidRPr="00307E92">
        <w:rPr>
          <w:szCs w:val="24"/>
        </w:rPr>
        <w:t>2011</w:t>
      </w:r>
      <w:r w:rsidRPr="00C744BE">
        <w:rPr>
          <w:szCs w:val="24"/>
        </w:rPr>
        <w:t>-</w:t>
      </w:r>
      <w:r w:rsidRPr="00307E92">
        <w:rPr>
          <w:szCs w:val="24"/>
        </w:rPr>
        <w:t>04</w:t>
      </w:r>
      <w:r w:rsidRPr="00C744BE">
        <w:rPr>
          <w:szCs w:val="24"/>
        </w:rPr>
        <w:t>-D-</w:t>
      </w:r>
      <w:r w:rsidRPr="00307E92">
        <w:rPr>
          <w:szCs w:val="24"/>
        </w:rPr>
        <w:t>7</w:t>
      </w:r>
      <w:r w:rsidRPr="00C744BE">
        <w:rPr>
          <w:szCs w:val="24"/>
        </w:rPr>
        <w:t>-fr-</w:t>
      </w:r>
      <w:r w:rsidRPr="00307E92">
        <w:rPr>
          <w:szCs w:val="24"/>
        </w:rPr>
        <w:t>3</w:t>
      </w:r>
      <w:r w:rsidRPr="00C744BE">
        <w:rPr>
          <w:szCs w:val="24"/>
        </w:rPr>
        <w:t>.pdf</w:t>
      </w:r>
    </w:p>
  </w:footnote>
  <w:footnote w:id="7">
    <w:p w:rsidR="004C0CE3" w:rsidRDefault="004C0CE3" w:rsidP="00AF7717">
      <w:pPr>
        <w:pStyle w:val="FootnoteText"/>
      </w:pPr>
      <w:r w:rsidRPr="00C744BE">
        <w:rPr>
          <w:rStyle w:val="FootnoteReference"/>
          <w:szCs w:val="24"/>
        </w:rPr>
        <w:footnoteRef/>
      </w:r>
      <w:r w:rsidRPr="00C744BE">
        <w:rPr>
          <w:szCs w:val="24"/>
        </w:rPr>
        <w:tab/>
        <w:t xml:space="preserve">Irščina, </w:t>
      </w:r>
      <w:r>
        <w:rPr>
          <w:szCs w:val="24"/>
        </w:rPr>
        <w:t xml:space="preserve">malteščina, finščina/švedščina.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0CE3" w:rsidRPr="000F21C1" w:rsidRDefault="004C0CE3" w:rsidP="000F21C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DBEF3C8"/>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501A4578"/>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4534538A"/>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E00A982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400E9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BBA721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C5A0CEA"/>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24DED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F212747"/>
    <w:multiLevelType w:val="multilevel"/>
    <w:tmpl w:val="FBD0F48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0FA156D7"/>
    <w:multiLevelType w:val="multilevel"/>
    <w:tmpl w:val="9E7C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9674C4"/>
    <w:multiLevelType w:val="singleLevel"/>
    <w:tmpl w:val="8A2AF054"/>
    <w:name w:val="Tiret 1"/>
    <w:lvl w:ilvl="0">
      <w:start w:val="1"/>
      <w:numFmt w:val="bullet"/>
      <w:lvlRestart w:val="0"/>
      <w:pStyle w:val="Tiret1"/>
      <w:lvlText w:val="–"/>
      <w:lvlJc w:val="left"/>
      <w:pPr>
        <w:tabs>
          <w:tab w:val="num" w:pos="1417"/>
        </w:tabs>
        <w:ind w:left="1417" w:hanging="567"/>
      </w:pPr>
    </w:lvl>
  </w:abstractNum>
  <w:abstractNum w:abstractNumId="11">
    <w:nsid w:val="14996626"/>
    <w:multiLevelType w:val="hybridMultilevel"/>
    <w:tmpl w:val="6BB69396"/>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5592001"/>
    <w:multiLevelType w:val="singleLevel"/>
    <w:tmpl w:val="3C6C7C7E"/>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158411A6"/>
    <w:multiLevelType w:val="singleLevel"/>
    <w:tmpl w:val="891A2EB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nsid w:val="1B972849"/>
    <w:multiLevelType w:val="hybridMultilevel"/>
    <w:tmpl w:val="B2C4B21A"/>
    <w:lvl w:ilvl="0" w:tplc="11E613D0">
      <w:start w:val="1"/>
      <w:numFmt w:val="decimal"/>
      <w:lvlText w:val="%1."/>
      <w:lvlJc w:val="left"/>
      <w:pPr>
        <w:ind w:left="643" w:hanging="360"/>
      </w:pPr>
      <w:rPr>
        <w:rFonts w:cs="Times New Roman"/>
        <w:b/>
      </w:rPr>
    </w:lvl>
    <w:lvl w:ilvl="1" w:tplc="080C0019" w:tentative="1">
      <w:start w:val="1"/>
      <w:numFmt w:val="lowerLetter"/>
      <w:lvlText w:val="%2."/>
      <w:lvlJc w:val="left"/>
      <w:pPr>
        <w:ind w:left="1363" w:hanging="360"/>
      </w:pPr>
      <w:rPr>
        <w:rFonts w:cs="Times New Roman"/>
      </w:rPr>
    </w:lvl>
    <w:lvl w:ilvl="2" w:tplc="080C001B" w:tentative="1">
      <w:start w:val="1"/>
      <w:numFmt w:val="lowerRoman"/>
      <w:lvlText w:val="%3."/>
      <w:lvlJc w:val="right"/>
      <w:pPr>
        <w:ind w:left="2083" w:hanging="180"/>
      </w:pPr>
      <w:rPr>
        <w:rFonts w:cs="Times New Roman"/>
      </w:rPr>
    </w:lvl>
    <w:lvl w:ilvl="3" w:tplc="080C000F" w:tentative="1">
      <w:start w:val="1"/>
      <w:numFmt w:val="decimal"/>
      <w:lvlText w:val="%4."/>
      <w:lvlJc w:val="left"/>
      <w:pPr>
        <w:ind w:left="2803" w:hanging="360"/>
      </w:pPr>
      <w:rPr>
        <w:rFonts w:cs="Times New Roman"/>
      </w:rPr>
    </w:lvl>
    <w:lvl w:ilvl="4" w:tplc="080C0019" w:tentative="1">
      <w:start w:val="1"/>
      <w:numFmt w:val="lowerLetter"/>
      <w:lvlText w:val="%5."/>
      <w:lvlJc w:val="left"/>
      <w:pPr>
        <w:ind w:left="3523" w:hanging="360"/>
      </w:pPr>
      <w:rPr>
        <w:rFonts w:cs="Times New Roman"/>
      </w:rPr>
    </w:lvl>
    <w:lvl w:ilvl="5" w:tplc="080C001B" w:tentative="1">
      <w:start w:val="1"/>
      <w:numFmt w:val="lowerRoman"/>
      <w:lvlText w:val="%6."/>
      <w:lvlJc w:val="right"/>
      <w:pPr>
        <w:ind w:left="4243" w:hanging="180"/>
      </w:pPr>
      <w:rPr>
        <w:rFonts w:cs="Times New Roman"/>
      </w:rPr>
    </w:lvl>
    <w:lvl w:ilvl="6" w:tplc="080C000F" w:tentative="1">
      <w:start w:val="1"/>
      <w:numFmt w:val="decimal"/>
      <w:lvlText w:val="%7."/>
      <w:lvlJc w:val="left"/>
      <w:pPr>
        <w:ind w:left="4963" w:hanging="360"/>
      </w:pPr>
      <w:rPr>
        <w:rFonts w:cs="Times New Roman"/>
      </w:rPr>
    </w:lvl>
    <w:lvl w:ilvl="7" w:tplc="080C0019" w:tentative="1">
      <w:start w:val="1"/>
      <w:numFmt w:val="lowerLetter"/>
      <w:lvlText w:val="%8."/>
      <w:lvlJc w:val="left"/>
      <w:pPr>
        <w:ind w:left="5683" w:hanging="360"/>
      </w:pPr>
      <w:rPr>
        <w:rFonts w:cs="Times New Roman"/>
      </w:rPr>
    </w:lvl>
    <w:lvl w:ilvl="8" w:tplc="080C001B" w:tentative="1">
      <w:start w:val="1"/>
      <w:numFmt w:val="lowerRoman"/>
      <w:lvlText w:val="%9."/>
      <w:lvlJc w:val="right"/>
      <w:pPr>
        <w:ind w:left="6403" w:hanging="180"/>
      </w:pPr>
      <w:rPr>
        <w:rFonts w:cs="Times New Roman"/>
      </w:rPr>
    </w:lvl>
  </w:abstractNum>
  <w:abstractNum w:abstractNumId="15">
    <w:nsid w:val="241162DB"/>
    <w:multiLevelType w:val="singleLevel"/>
    <w:tmpl w:val="B27E1B54"/>
    <w:name w:val="Tiret 2"/>
    <w:lvl w:ilvl="0">
      <w:start w:val="1"/>
      <w:numFmt w:val="bullet"/>
      <w:lvlRestart w:val="0"/>
      <w:pStyle w:val="Tiret2"/>
      <w:lvlText w:val="–"/>
      <w:lvlJc w:val="left"/>
      <w:pPr>
        <w:tabs>
          <w:tab w:val="num" w:pos="1984"/>
        </w:tabs>
        <w:ind w:left="1984" w:hanging="567"/>
      </w:pPr>
    </w:lvl>
  </w:abstractNum>
  <w:abstractNum w:abstractNumId="16">
    <w:nsid w:val="2A3A36A0"/>
    <w:multiLevelType w:val="hybridMultilevel"/>
    <w:tmpl w:val="848EE2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076C74"/>
    <w:multiLevelType w:val="multilevel"/>
    <w:tmpl w:val="CC8EDB14"/>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8">
    <w:nsid w:val="3BCC2E6F"/>
    <w:multiLevelType w:val="multilevel"/>
    <w:tmpl w:val="0CE8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E862BE"/>
    <w:multiLevelType w:val="multilevel"/>
    <w:tmpl w:val="7C381434"/>
    <w:name w:val="Default"/>
    <w:lvl w:ilvl="0">
      <w:start w:val="1"/>
      <w:numFmt w:val="decimal"/>
      <w:lvlRestart w:val="0"/>
      <w:lvlText w:val="%1."/>
      <w:lvlJc w:val="left"/>
      <w:pPr>
        <w:tabs>
          <w:tab w:val="num" w:pos="720"/>
        </w:tabs>
        <w:ind w:left="72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40FF3500"/>
    <w:multiLevelType w:val="singleLevel"/>
    <w:tmpl w:val="84DA1EE8"/>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46450FE1"/>
    <w:multiLevelType w:val="multilevel"/>
    <w:tmpl w:val="2E1AFAC4"/>
    <w:name w:val="LegalNumbering"/>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49D47C56"/>
    <w:multiLevelType w:val="multilevel"/>
    <w:tmpl w:val="77E0331E"/>
    <w:name w:val="Heading"/>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63B26268"/>
    <w:multiLevelType w:val="singleLevel"/>
    <w:tmpl w:val="491E6360"/>
    <w:lvl w:ilvl="0">
      <w:start w:val="1"/>
      <w:numFmt w:val="decimal"/>
      <w:lvlRestart w:val="0"/>
      <w:pStyle w:val="Considrant"/>
      <w:lvlText w:val="(%1)"/>
      <w:lvlJc w:val="left"/>
      <w:pPr>
        <w:tabs>
          <w:tab w:val="num" w:pos="709"/>
        </w:tabs>
        <w:ind w:left="709" w:hanging="709"/>
      </w:pPr>
      <w:rPr>
        <w:rFonts w:cs="Times New Roman"/>
      </w:rPr>
    </w:lvl>
  </w:abstractNum>
  <w:abstractNum w:abstractNumId="24">
    <w:nsid w:val="6EC300CA"/>
    <w:multiLevelType w:val="singleLevel"/>
    <w:tmpl w:val="055ABBD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nsid w:val="712E4B18"/>
    <w:multiLevelType w:val="singleLevel"/>
    <w:tmpl w:val="66ECC298"/>
    <w:name w:val="Considérant"/>
    <w:lvl w:ilvl="0">
      <w:start w:val="1"/>
      <w:numFmt w:val="bullet"/>
      <w:lvlRestart w:val="0"/>
      <w:pStyle w:val="Tiret3"/>
      <w:lvlText w:val="–"/>
      <w:lvlJc w:val="left"/>
      <w:pPr>
        <w:tabs>
          <w:tab w:val="num" w:pos="2551"/>
        </w:tabs>
        <w:ind w:left="2551" w:hanging="567"/>
      </w:pPr>
    </w:lvl>
  </w:abstractNum>
  <w:abstractNum w:abstractNumId="26">
    <w:nsid w:val="729504D5"/>
    <w:multiLevelType w:val="singleLevel"/>
    <w:tmpl w:val="1BC6DBFC"/>
    <w:name w:val="Bullet 4"/>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nsid w:val="7B454D54"/>
    <w:multiLevelType w:val="singleLevel"/>
    <w:tmpl w:val="8A02E4B2"/>
    <w:name w:val="Tiret 3"/>
    <w:lvl w:ilvl="0">
      <w:start w:val="1"/>
      <w:numFmt w:val="bullet"/>
      <w:lvlRestart w:val="0"/>
      <w:pStyle w:val="Tiret4"/>
      <w:lvlText w:val="–"/>
      <w:lvlJc w:val="left"/>
      <w:pPr>
        <w:tabs>
          <w:tab w:val="num" w:pos="3118"/>
        </w:tabs>
        <w:ind w:left="3118" w:hanging="567"/>
      </w:pPr>
    </w:lvl>
  </w:abstractNum>
  <w:abstractNum w:abstractNumId="28">
    <w:nsid w:val="7E8224EA"/>
    <w:multiLevelType w:val="singleLevel"/>
    <w:tmpl w:val="34DEB8CE"/>
    <w:name w:val="Bullet 3"/>
    <w:lvl w:ilvl="0">
      <w:start w:val="1"/>
      <w:numFmt w:val="bullet"/>
      <w:lvlRestart w:val="0"/>
      <w:pStyle w:val="Tiret0"/>
      <w:lvlText w:val="–"/>
      <w:lvlJc w:val="left"/>
      <w:pPr>
        <w:tabs>
          <w:tab w:val="num" w:pos="850"/>
        </w:tabs>
        <w:ind w:left="850" w:hanging="850"/>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8"/>
  </w:num>
  <w:num w:numId="10">
    <w:abstractNumId w:val="10"/>
  </w:num>
  <w:num w:numId="11">
    <w:abstractNumId w:val="15"/>
  </w:num>
  <w:num w:numId="12">
    <w:abstractNumId w:val="25"/>
  </w:num>
  <w:num w:numId="13">
    <w:abstractNumId w:val="27"/>
  </w:num>
  <w:num w:numId="14">
    <w:abstractNumId w:val="8"/>
  </w:num>
  <w:num w:numId="15">
    <w:abstractNumId w:val="22"/>
  </w:num>
  <w:num w:numId="16">
    <w:abstractNumId w:val="17"/>
  </w:num>
  <w:num w:numId="17">
    <w:abstractNumId w:val="12"/>
  </w:num>
  <w:num w:numId="18">
    <w:abstractNumId w:val="20"/>
  </w:num>
  <w:num w:numId="19">
    <w:abstractNumId w:val="13"/>
  </w:num>
  <w:num w:numId="20">
    <w:abstractNumId w:val="26"/>
  </w:num>
  <w:num w:numId="21">
    <w:abstractNumId w:val="24"/>
  </w:num>
  <w:num w:numId="22">
    <w:abstractNumId w:val="23"/>
  </w:num>
  <w:num w:numId="23">
    <w:abstractNumId w:val="9"/>
  </w:num>
  <w:num w:numId="24">
    <w:abstractNumId w:val="18"/>
  </w:num>
  <w:num w:numId="25">
    <w:abstractNumId w:val="1"/>
  </w:num>
  <w:num w:numId="26">
    <w:abstractNumId w:val="16"/>
  </w:num>
  <w:num w:numId="27">
    <w:abstractNumId w:val="14"/>
  </w:num>
  <w:num w:numId="28">
    <w:abstractNumId w:val="11"/>
  </w:num>
  <w:num w:numId="29">
    <w:abstractNumId w:val="7"/>
  </w:num>
  <w:num w:numId="30">
    <w:abstractNumId w:val="5"/>
  </w:num>
  <w:num w:numId="31">
    <w:abstractNumId w:val="4"/>
  </w:num>
  <w:num w:numId="32">
    <w:abstractNumId w:val="3"/>
  </w:num>
  <w:num w:numId="33">
    <w:abstractNumId w:val="6"/>
  </w:num>
  <w:num w:numId="34">
    <w:abstractNumId w:val="2"/>
  </w:num>
  <w:num w:numId="35">
    <w:abstractNumId w:val="0"/>
  </w:num>
  <w:num w:numId="36">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7">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8">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9">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0">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1">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2">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3">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4">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footnotePr>
    <w:footnote w:id="-1"/>
    <w:footnote w:id="0"/>
  </w:footnotePr>
  <w:endnotePr>
    <w:endnote w:id="-1"/>
    <w:endnote w:id="0"/>
  </w:endnotePr>
  <w:compat>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list_Path" w:val="\\at100\user\wk\SEILEG\Lw5x\Copylist\CecCons\Template"/>
    <w:docVar w:name="COVERPAGE_EXISTS" w:val="True"/>
    <w:docVar w:name="DQCDateTime" w:val="2012-12-05 15:42:1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Version" w:val="2"/>
    <w:docVar w:name="DQCWithWarnings" w:val="1"/>
    <w:docVar w:name="LW_CONFIDENCE" w:val=" "/>
    <w:docVar w:name="LW_CORRIGENDUM" w:val="&lt;UNUSED&gt;"/>
    <w:docVar w:name="LW_COVERPAGE_GUID" w:val="D99F9C90B26A4784853B1E3DC4EA8969"/>
    <w:docVar w:name="LW_CROSSREFERENCE" w:val="&lt;UNUSED&gt;"/>
    <w:docVar w:name="LW_DocType" w:val="COM"/>
    <w:docVar w:name="LW_EMISSION" w:val="9.1.2013"/>
    <w:docVar w:name="LW_EMISSION_ISODATE" w:val="2013-01-09"/>
    <w:docVar w:name="LW_EMISSION_LOCATION" w:val="BRX"/>
    <w:docVar w:name="LW_EMISSION_PREFIX" w:val="Bruselj, "/>
    <w:docVar w:name="LW_EMISSION_SUFFIX" w:val=" "/>
    <w:docVar w:name="LW_ID_DOCSTRUCTURE" w:val="COM/PRELIM"/>
    <w:docVar w:name="LW_ID_DOCTYPE" w:val="SG-025"/>
    <w:docVar w:name="LW_INTERETEEE.CP" w:val="&lt;UNUSED&gt;"/>
    <w:docVar w:name="LW_LANGUE" w:val="SL"/>
    <w:docVar w:name="LW_MARKING" w:val="&lt;UNUSED&gt;"/>
    <w:docVar w:name="LW_NOM.INST" w:val="EVROPSKA KOMISIJA"/>
    <w:docVar w:name="LW_NOM.INST_JOINTDOC" w:val="&lt;EMPTY&gt;"/>
    <w:docVar w:name="LW_REF.INST.NEW" w:val="COM"/>
    <w:docVar w:name="LW_REF.INST.NEW_ADOPTED" w:val="final"/>
    <w:docVar w:name="LW_REF.INST.NEW_TEXT" w:val="(2012) 797"/>
    <w:docVar w:name="LW_REF.INTERNE" w:val="&lt;UNUSED&gt;"/>
    <w:docVar w:name="LW_SOUS.TITRE.OBJ.CP" w:val="&lt;UNUSED&gt;"/>
    <w:docVar w:name="LW_SUPERTITRE" w:val="&lt;UNUSED&gt;"/>
    <w:docVar w:name="LW_TITRE.OBJ.CP" w:val="Sistem Evropskih \u353?ol v letu 2011"/>
    <w:docVar w:name="LW_TYPE.DOC.CP" w:val="PORO\u268?ILO KOMISIJE EVROPSKEMU PARLAMENTU IN SVETU"/>
    <w:docVar w:name="LW_VOLUME" w:val="&lt;UNUSED&gt;"/>
    <w:docVar w:name="VSSDB_IniPath" w:val="\\at100\user\wovo\SEILEG\vss\srcsafe.ini"/>
    <w:docVar w:name="VSSDB_ProjectPath" w:val="$/LegisWrite/DOT/COM"/>
  </w:docVars>
  <w:rsids>
    <w:rsidRoot w:val="00346C70"/>
    <w:rsid w:val="000101F7"/>
    <w:rsid w:val="00014F83"/>
    <w:rsid w:val="00021B29"/>
    <w:rsid w:val="00027CDA"/>
    <w:rsid w:val="00027D94"/>
    <w:rsid w:val="00034506"/>
    <w:rsid w:val="000361A9"/>
    <w:rsid w:val="000465F4"/>
    <w:rsid w:val="000470D6"/>
    <w:rsid w:val="000749F4"/>
    <w:rsid w:val="00076A06"/>
    <w:rsid w:val="00085D70"/>
    <w:rsid w:val="000A175E"/>
    <w:rsid w:val="000B1C44"/>
    <w:rsid w:val="000C4778"/>
    <w:rsid w:val="000D1D39"/>
    <w:rsid w:val="000E76C4"/>
    <w:rsid w:val="000F21C1"/>
    <w:rsid w:val="0011715E"/>
    <w:rsid w:val="00122D16"/>
    <w:rsid w:val="00127ECF"/>
    <w:rsid w:val="0015131D"/>
    <w:rsid w:val="00153007"/>
    <w:rsid w:val="00163323"/>
    <w:rsid w:val="00165F64"/>
    <w:rsid w:val="00166B1D"/>
    <w:rsid w:val="00171BFF"/>
    <w:rsid w:val="00176446"/>
    <w:rsid w:val="00182980"/>
    <w:rsid w:val="00190544"/>
    <w:rsid w:val="0019564C"/>
    <w:rsid w:val="0019719F"/>
    <w:rsid w:val="001A21ED"/>
    <w:rsid w:val="001A44F9"/>
    <w:rsid w:val="001A4B46"/>
    <w:rsid w:val="001B64EF"/>
    <w:rsid w:val="001C0471"/>
    <w:rsid w:val="001C0CCB"/>
    <w:rsid w:val="001C42FF"/>
    <w:rsid w:val="001D324E"/>
    <w:rsid w:val="001D3E90"/>
    <w:rsid w:val="001D6229"/>
    <w:rsid w:val="001E020B"/>
    <w:rsid w:val="001E2022"/>
    <w:rsid w:val="001F0F29"/>
    <w:rsid w:val="001F4CA7"/>
    <w:rsid w:val="001F5C65"/>
    <w:rsid w:val="001F6FFF"/>
    <w:rsid w:val="0020758B"/>
    <w:rsid w:val="00212814"/>
    <w:rsid w:val="002216C8"/>
    <w:rsid w:val="00222208"/>
    <w:rsid w:val="00252340"/>
    <w:rsid w:val="002526E2"/>
    <w:rsid w:val="00261EF3"/>
    <w:rsid w:val="00262F01"/>
    <w:rsid w:val="00270FE6"/>
    <w:rsid w:val="00271C35"/>
    <w:rsid w:val="00284943"/>
    <w:rsid w:val="00285DD8"/>
    <w:rsid w:val="00286CA1"/>
    <w:rsid w:val="00292A12"/>
    <w:rsid w:val="00292CF0"/>
    <w:rsid w:val="00294301"/>
    <w:rsid w:val="002B36BD"/>
    <w:rsid w:val="002C25E8"/>
    <w:rsid w:val="002E4185"/>
    <w:rsid w:val="002F3C3D"/>
    <w:rsid w:val="002F5EFA"/>
    <w:rsid w:val="002F6894"/>
    <w:rsid w:val="003034C2"/>
    <w:rsid w:val="00307E92"/>
    <w:rsid w:val="00310772"/>
    <w:rsid w:val="0031749D"/>
    <w:rsid w:val="003306E9"/>
    <w:rsid w:val="00332F06"/>
    <w:rsid w:val="0034254E"/>
    <w:rsid w:val="00346C70"/>
    <w:rsid w:val="00347D39"/>
    <w:rsid w:val="003525AD"/>
    <w:rsid w:val="003528E6"/>
    <w:rsid w:val="00364527"/>
    <w:rsid w:val="00364959"/>
    <w:rsid w:val="00365A38"/>
    <w:rsid w:val="00366039"/>
    <w:rsid w:val="003725F6"/>
    <w:rsid w:val="0038139A"/>
    <w:rsid w:val="00385D43"/>
    <w:rsid w:val="00386B91"/>
    <w:rsid w:val="00391F74"/>
    <w:rsid w:val="003A5394"/>
    <w:rsid w:val="003D46C9"/>
    <w:rsid w:val="003E1946"/>
    <w:rsid w:val="003E3C5D"/>
    <w:rsid w:val="003E3C61"/>
    <w:rsid w:val="003F31A2"/>
    <w:rsid w:val="00407BF5"/>
    <w:rsid w:val="0043029C"/>
    <w:rsid w:val="00434B75"/>
    <w:rsid w:val="00436EEA"/>
    <w:rsid w:val="004377AC"/>
    <w:rsid w:val="00437A61"/>
    <w:rsid w:val="004413D3"/>
    <w:rsid w:val="00444627"/>
    <w:rsid w:val="00445025"/>
    <w:rsid w:val="00445A5F"/>
    <w:rsid w:val="004557BA"/>
    <w:rsid w:val="00470C74"/>
    <w:rsid w:val="0047287A"/>
    <w:rsid w:val="004A4050"/>
    <w:rsid w:val="004C0CE3"/>
    <w:rsid w:val="004C3DCD"/>
    <w:rsid w:val="004C5120"/>
    <w:rsid w:val="004D647E"/>
    <w:rsid w:val="004E4C81"/>
    <w:rsid w:val="004F0393"/>
    <w:rsid w:val="004F4A62"/>
    <w:rsid w:val="005075A5"/>
    <w:rsid w:val="00532EEF"/>
    <w:rsid w:val="00537BB8"/>
    <w:rsid w:val="00541DD2"/>
    <w:rsid w:val="00544252"/>
    <w:rsid w:val="00552F07"/>
    <w:rsid w:val="00584492"/>
    <w:rsid w:val="005C62B4"/>
    <w:rsid w:val="005E2493"/>
    <w:rsid w:val="005E3C68"/>
    <w:rsid w:val="005E6EBD"/>
    <w:rsid w:val="005F00C5"/>
    <w:rsid w:val="005F0BE6"/>
    <w:rsid w:val="005F2563"/>
    <w:rsid w:val="005F57F1"/>
    <w:rsid w:val="006005BD"/>
    <w:rsid w:val="00603EE9"/>
    <w:rsid w:val="006114D5"/>
    <w:rsid w:val="00613FAD"/>
    <w:rsid w:val="00614CA7"/>
    <w:rsid w:val="00631493"/>
    <w:rsid w:val="00632DEB"/>
    <w:rsid w:val="00633D15"/>
    <w:rsid w:val="00634BD3"/>
    <w:rsid w:val="0064187A"/>
    <w:rsid w:val="00674E93"/>
    <w:rsid w:val="00675623"/>
    <w:rsid w:val="0069740C"/>
    <w:rsid w:val="006B2DA7"/>
    <w:rsid w:val="006D44B7"/>
    <w:rsid w:val="006E244F"/>
    <w:rsid w:val="006E446D"/>
    <w:rsid w:val="006E4E3B"/>
    <w:rsid w:val="007117CC"/>
    <w:rsid w:val="00711E09"/>
    <w:rsid w:val="007161AE"/>
    <w:rsid w:val="00723639"/>
    <w:rsid w:val="00723BB7"/>
    <w:rsid w:val="00724CB1"/>
    <w:rsid w:val="00725E32"/>
    <w:rsid w:val="0073696C"/>
    <w:rsid w:val="007654D5"/>
    <w:rsid w:val="00765D8C"/>
    <w:rsid w:val="007668D3"/>
    <w:rsid w:val="00772DBC"/>
    <w:rsid w:val="00773FB2"/>
    <w:rsid w:val="007A2B07"/>
    <w:rsid w:val="007B46E8"/>
    <w:rsid w:val="007D4CBD"/>
    <w:rsid w:val="007E6AD6"/>
    <w:rsid w:val="00802690"/>
    <w:rsid w:val="00807FC7"/>
    <w:rsid w:val="00815286"/>
    <w:rsid w:val="00823E0F"/>
    <w:rsid w:val="00834CEA"/>
    <w:rsid w:val="0084263F"/>
    <w:rsid w:val="00843978"/>
    <w:rsid w:val="008467D4"/>
    <w:rsid w:val="00852D8D"/>
    <w:rsid w:val="00870574"/>
    <w:rsid w:val="0087440A"/>
    <w:rsid w:val="008910BA"/>
    <w:rsid w:val="00891A0B"/>
    <w:rsid w:val="008A4F18"/>
    <w:rsid w:val="008A7304"/>
    <w:rsid w:val="008B51A2"/>
    <w:rsid w:val="008B6911"/>
    <w:rsid w:val="008C0EF0"/>
    <w:rsid w:val="008E5CCE"/>
    <w:rsid w:val="008E6C1D"/>
    <w:rsid w:val="008F42D1"/>
    <w:rsid w:val="00912CA8"/>
    <w:rsid w:val="0092590E"/>
    <w:rsid w:val="00934D70"/>
    <w:rsid w:val="00942030"/>
    <w:rsid w:val="009421C8"/>
    <w:rsid w:val="00943849"/>
    <w:rsid w:val="00951573"/>
    <w:rsid w:val="009629C8"/>
    <w:rsid w:val="009645F1"/>
    <w:rsid w:val="00966B33"/>
    <w:rsid w:val="009777B2"/>
    <w:rsid w:val="009A2885"/>
    <w:rsid w:val="009D3369"/>
    <w:rsid w:val="009F0558"/>
    <w:rsid w:val="00A21E6A"/>
    <w:rsid w:val="00A22F3C"/>
    <w:rsid w:val="00A246E1"/>
    <w:rsid w:val="00A24B7D"/>
    <w:rsid w:val="00A35788"/>
    <w:rsid w:val="00A42572"/>
    <w:rsid w:val="00A43209"/>
    <w:rsid w:val="00A443F4"/>
    <w:rsid w:val="00A44787"/>
    <w:rsid w:val="00A44EEB"/>
    <w:rsid w:val="00A46DD3"/>
    <w:rsid w:val="00A525FF"/>
    <w:rsid w:val="00A53788"/>
    <w:rsid w:val="00A55D10"/>
    <w:rsid w:val="00A66BC7"/>
    <w:rsid w:val="00A84DEA"/>
    <w:rsid w:val="00A95DF8"/>
    <w:rsid w:val="00AB04E6"/>
    <w:rsid w:val="00AB6A99"/>
    <w:rsid w:val="00AB6AAD"/>
    <w:rsid w:val="00AC35E1"/>
    <w:rsid w:val="00AC6F1B"/>
    <w:rsid w:val="00AD1185"/>
    <w:rsid w:val="00AD17E0"/>
    <w:rsid w:val="00AE21D5"/>
    <w:rsid w:val="00AE6F65"/>
    <w:rsid w:val="00AF69CF"/>
    <w:rsid w:val="00AF7717"/>
    <w:rsid w:val="00B02487"/>
    <w:rsid w:val="00B15F0A"/>
    <w:rsid w:val="00B168EB"/>
    <w:rsid w:val="00B200AB"/>
    <w:rsid w:val="00B20DC2"/>
    <w:rsid w:val="00B30776"/>
    <w:rsid w:val="00B36895"/>
    <w:rsid w:val="00B42823"/>
    <w:rsid w:val="00B557F5"/>
    <w:rsid w:val="00B56B17"/>
    <w:rsid w:val="00B6071E"/>
    <w:rsid w:val="00B644B0"/>
    <w:rsid w:val="00B65E22"/>
    <w:rsid w:val="00B73912"/>
    <w:rsid w:val="00B7640E"/>
    <w:rsid w:val="00B82DF7"/>
    <w:rsid w:val="00B8352B"/>
    <w:rsid w:val="00B83F37"/>
    <w:rsid w:val="00B959D6"/>
    <w:rsid w:val="00B961E0"/>
    <w:rsid w:val="00BA245C"/>
    <w:rsid w:val="00BA759D"/>
    <w:rsid w:val="00BB19D8"/>
    <w:rsid w:val="00BC5BA8"/>
    <w:rsid w:val="00BD4423"/>
    <w:rsid w:val="00BD5779"/>
    <w:rsid w:val="00BD637C"/>
    <w:rsid w:val="00BE65C3"/>
    <w:rsid w:val="00BE792A"/>
    <w:rsid w:val="00BF0B09"/>
    <w:rsid w:val="00BF490C"/>
    <w:rsid w:val="00BF7A17"/>
    <w:rsid w:val="00BF7C96"/>
    <w:rsid w:val="00BF7CB6"/>
    <w:rsid w:val="00C00E6A"/>
    <w:rsid w:val="00C01295"/>
    <w:rsid w:val="00C05534"/>
    <w:rsid w:val="00C058CA"/>
    <w:rsid w:val="00C13C17"/>
    <w:rsid w:val="00C22054"/>
    <w:rsid w:val="00C23789"/>
    <w:rsid w:val="00C26B99"/>
    <w:rsid w:val="00C4168A"/>
    <w:rsid w:val="00C53A83"/>
    <w:rsid w:val="00C54D79"/>
    <w:rsid w:val="00C744BE"/>
    <w:rsid w:val="00C85844"/>
    <w:rsid w:val="00C86540"/>
    <w:rsid w:val="00C94B48"/>
    <w:rsid w:val="00C94B65"/>
    <w:rsid w:val="00C95EC6"/>
    <w:rsid w:val="00CC048D"/>
    <w:rsid w:val="00CC4B13"/>
    <w:rsid w:val="00CD777A"/>
    <w:rsid w:val="00CE4FE3"/>
    <w:rsid w:val="00CE7299"/>
    <w:rsid w:val="00CF2D27"/>
    <w:rsid w:val="00CF59B8"/>
    <w:rsid w:val="00D076EA"/>
    <w:rsid w:val="00D10CA7"/>
    <w:rsid w:val="00D114B8"/>
    <w:rsid w:val="00D23AC5"/>
    <w:rsid w:val="00D35E68"/>
    <w:rsid w:val="00D36618"/>
    <w:rsid w:val="00D51157"/>
    <w:rsid w:val="00D63786"/>
    <w:rsid w:val="00D765BE"/>
    <w:rsid w:val="00D82DAE"/>
    <w:rsid w:val="00DA2963"/>
    <w:rsid w:val="00DB0236"/>
    <w:rsid w:val="00DB0BD1"/>
    <w:rsid w:val="00DB653E"/>
    <w:rsid w:val="00DD5915"/>
    <w:rsid w:val="00DE0BF9"/>
    <w:rsid w:val="00DE3476"/>
    <w:rsid w:val="00DF20FE"/>
    <w:rsid w:val="00DF5C80"/>
    <w:rsid w:val="00E140FF"/>
    <w:rsid w:val="00E16024"/>
    <w:rsid w:val="00E222D1"/>
    <w:rsid w:val="00E32819"/>
    <w:rsid w:val="00E40893"/>
    <w:rsid w:val="00E455B5"/>
    <w:rsid w:val="00E46E85"/>
    <w:rsid w:val="00E63B0B"/>
    <w:rsid w:val="00E717DD"/>
    <w:rsid w:val="00E90BD7"/>
    <w:rsid w:val="00E953D0"/>
    <w:rsid w:val="00EA3289"/>
    <w:rsid w:val="00EA6460"/>
    <w:rsid w:val="00EB2554"/>
    <w:rsid w:val="00EB6B4F"/>
    <w:rsid w:val="00EC5372"/>
    <w:rsid w:val="00ED3639"/>
    <w:rsid w:val="00ED4366"/>
    <w:rsid w:val="00EF4D6B"/>
    <w:rsid w:val="00F03914"/>
    <w:rsid w:val="00F146CD"/>
    <w:rsid w:val="00F32BCD"/>
    <w:rsid w:val="00F34D48"/>
    <w:rsid w:val="00F42995"/>
    <w:rsid w:val="00F62393"/>
    <w:rsid w:val="00F64EE6"/>
    <w:rsid w:val="00F65664"/>
    <w:rsid w:val="00F70544"/>
    <w:rsid w:val="00F7187C"/>
    <w:rsid w:val="00F77A18"/>
    <w:rsid w:val="00F91C0C"/>
    <w:rsid w:val="00FA247E"/>
    <w:rsid w:val="00FB4648"/>
    <w:rsid w:val="00FC3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val="sl-SI"/>
    </w:rPr>
  </w:style>
  <w:style w:type="paragraph" w:styleId="Heading1">
    <w:name w:val="heading 1"/>
    <w:basedOn w:val="Normal"/>
    <w:next w:val="Text1"/>
    <w:link w:val="Heading1Char"/>
    <w:uiPriority w:val="9"/>
    <w:qFormat/>
    <w:rsid w:val="0043029C"/>
    <w:pPr>
      <w:keepNext/>
      <w:numPr>
        <w:numId w:val="15"/>
      </w:numPr>
      <w:spacing w:before="360"/>
      <w:outlineLvl w:val="0"/>
    </w:pPr>
    <w:rPr>
      <w:b/>
      <w:bCs/>
      <w:smallCaps/>
      <w:szCs w:val="32"/>
    </w:rPr>
  </w:style>
  <w:style w:type="paragraph" w:styleId="Heading2">
    <w:name w:val="heading 2"/>
    <w:basedOn w:val="Normal"/>
    <w:next w:val="Text1"/>
    <w:link w:val="Heading2Char"/>
    <w:uiPriority w:val="9"/>
    <w:qFormat/>
    <w:rsid w:val="0043029C"/>
    <w:pPr>
      <w:keepNext/>
      <w:numPr>
        <w:ilvl w:val="1"/>
        <w:numId w:val="15"/>
      </w:numPr>
      <w:outlineLvl w:val="1"/>
    </w:pPr>
    <w:rPr>
      <w:b/>
      <w:bCs/>
      <w:iCs/>
      <w:szCs w:val="28"/>
    </w:rPr>
  </w:style>
  <w:style w:type="paragraph" w:styleId="Heading3">
    <w:name w:val="heading 3"/>
    <w:basedOn w:val="Normal"/>
    <w:next w:val="Text1"/>
    <w:link w:val="Heading3Char"/>
    <w:uiPriority w:val="9"/>
    <w:qFormat/>
    <w:rsid w:val="0043029C"/>
    <w:pPr>
      <w:keepNext/>
      <w:numPr>
        <w:ilvl w:val="2"/>
        <w:numId w:val="15"/>
      </w:numPr>
      <w:outlineLvl w:val="2"/>
    </w:pPr>
    <w:rPr>
      <w:bCs/>
      <w:i/>
      <w:szCs w:val="26"/>
    </w:rPr>
  </w:style>
  <w:style w:type="paragraph" w:styleId="Heading4">
    <w:name w:val="heading 4"/>
    <w:basedOn w:val="Normal"/>
    <w:next w:val="Text1"/>
    <w:link w:val="Heading4Char"/>
    <w:uiPriority w:val="9"/>
    <w:qFormat/>
    <w:rsid w:val="0043029C"/>
    <w:pPr>
      <w:keepNext/>
      <w:numPr>
        <w:ilvl w:val="3"/>
        <w:numId w:val="15"/>
      </w:numPr>
      <w:outlineLvl w:val="3"/>
    </w:pPr>
    <w:rPr>
      <w:bCs/>
      <w:szCs w:val="28"/>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3AA"/>
    <w:rPr>
      <w:b/>
      <w:bCs/>
      <w:smallCaps/>
      <w:sz w:val="24"/>
      <w:szCs w:val="32"/>
      <w:lang w:val="sl-SI"/>
    </w:rPr>
  </w:style>
  <w:style w:type="character" w:customStyle="1" w:styleId="Heading2Char">
    <w:name w:val="Heading 2 Char"/>
    <w:basedOn w:val="DefaultParagraphFont"/>
    <w:link w:val="Heading2"/>
    <w:uiPriority w:val="9"/>
    <w:rsid w:val="008853AA"/>
    <w:rPr>
      <w:b/>
      <w:bCs/>
      <w:iCs/>
      <w:sz w:val="24"/>
      <w:szCs w:val="28"/>
      <w:lang w:val="sl-SI"/>
    </w:rPr>
  </w:style>
  <w:style w:type="character" w:customStyle="1" w:styleId="Heading3Char">
    <w:name w:val="Heading 3 Char"/>
    <w:basedOn w:val="DefaultParagraphFont"/>
    <w:link w:val="Heading3"/>
    <w:uiPriority w:val="9"/>
    <w:rsid w:val="008853AA"/>
    <w:rPr>
      <w:bCs/>
      <w:i/>
      <w:sz w:val="24"/>
      <w:szCs w:val="26"/>
      <w:lang w:val="sl-SI"/>
    </w:rPr>
  </w:style>
  <w:style w:type="character" w:customStyle="1" w:styleId="Heading4Char">
    <w:name w:val="Heading 4 Char"/>
    <w:basedOn w:val="DefaultParagraphFont"/>
    <w:link w:val="Heading4"/>
    <w:uiPriority w:val="9"/>
    <w:rsid w:val="008853AA"/>
    <w:rPr>
      <w:bCs/>
      <w:sz w:val="24"/>
      <w:szCs w:val="28"/>
      <w:lang w:val="sl-SI"/>
    </w:rPr>
  </w:style>
  <w:style w:type="paragraph" w:styleId="Header">
    <w:name w:val="header"/>
    <w:basedOn w:val="Normal"/>
    <w:link w:val="HeaderChar"/>
    <w:uiPriority w:val="99"/>
    <w:rsid w:val="000F21C1"/>
    <w:pPr>
      <w:tabs>
        <w:tab w:val="center" w:pos="4535"/>
        <w:tab w:val="right" w:pos="9071"/>
      </w:tabs>
      <w:spacing w:before="0"/>
    </w:pPr>
  </w:style>
  <w:style w:type="character" w:customStyle="1" w:styleId="HeaderChar">
    <w:name w:val="Header Char"/>
    <w:basedOn w:val="DefaultParagraphFont"/>
    <w:link w:val="Header"/>
    <w:uiPriority w:val="99"/>
    <w:semiHidden/>
    <w:rsid w:val="008853AA"/>
    <w:rPr>
      <w:sz w:val="24"/>
      <w:szCs w:val="24"/>
      <w:lang w:val="sl-SI"/>
    </w:rPr>
  </w:style>
  <w:style w:type="paragraph" w:styleId="Footer">
    <w:name w:val="footer"/>
    <w:basedOn w:val="Normal"/>
    <w:link w:val="FooterChar"/>
    <w:uiPriority w:val="99"/>
    <w:rsid w:val="0043029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sid w:val="008853AA"/>
    <w:rPr>
      <w:sz w:val="24"/>
      <w:szCs w:val="24"/>
      <w:lang w:val="sl-SI"/>
    </w:rPr>
  </w:style>
  <w:style w:type="paragraph" w:styleId="FootnoteText">
    <w:name w:val="footnote text"/>
    <w:basedOn w:val="Normal"/>
    <w:link w:val="FootnoteTextChar"/>
    <w:uiPriority w:val="99"/>
    <w:semiHidden/>
    <w:rsid w:val="0043029C"/>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8853AA"/>
    <w:rPr>
      <w:lang w:val="sl-SI"/>
    </w:rPr>
  </w:style>
  <w:style w:type="paragraph" w:styleId="TOC1">
    <w:name w:val="toc 1"/>
    <w:basedOn w:val="Normal"/>
    <w:next w:val="Normal"/>
    <w:uiPriority w:val="39"/>
    <w:semiHidden/>
    <w:rsid w:val="0043029C"/>
    <w:pPr>
      <w:tabs>
        <w:tab w:val="right" w:leader="dot" w:pos="9071"/>
      </w:tabs>
      <w:spacing w:before="60"/>
      <w:ind w:left="850" w:hanging="850"/>
      <w:jc w:val="left"/>
    </w:pPr>
  </w:style>
  <w:style w:type="paragraph" w:styleId="TOC2">
    <w:name w:val="toc 2"/>
    <w:basedOn w:val="Normal"/>
    <w:next w:val="Normal"/>
    <w:uiPriority w:val="39"/>
    <w:semiHidden/>
    <w:rsid w:val="0043029C"/>
    <w:pPr>
      <w:tabs>
        <w:tab w:val="right" w:leader="dot" w:pos="9071"/>
      </w:tabs>
      <w:spacing w:before="60"/>
      <w:ind w:left="850" w:hanging="850"/>
      <w:jc w:val="left"/>
    </w:pPr>
  </w:style>
  <w:style w:type="paragraph" w:styleId="TOC3">
    <w:name w:val="toc 3"/>
    <w:basedOn w:val="Normal"/>
    <w:next w:val="Normal"/>
    <w:uiPriority w:val="39"/>
    <w:semiHidden/>
    <w:rsid w:val="0043029C"/>
    <w:pPr>
      <w:tabs>
        <w:tab w:val="right" w:leader="dot" w:pos="9071"/>
      </w:tabs>
      <w:spacing w:before="60"/>
      <w:ind w:left="850" w:hanging="850"/>
      <w:jc w:val="left"/>
    </w:pPr>
  </w:style>
  <w:style w:type="paragraph" w:styleId="TOC4">
    <w:name w:val="toc 4"/>
    <w:basedOn w:val="Normal"/>
    <w:next w:val="Normal"/>
    <w:uiPriority w:val="39"/>
    <w:semiHidden/>
    <w:rsid w:val="0043029C"/>
    <w:pPr>
      <w:tabs>
        <w:tab w:val="right" w:leader="dot" w:pos="9071"/>
      </w:tabs>
      <w:spacing w:before="60"/>
      <w:ind w:left="850" w:hanging="850"/>
      <w:jc w:val="left"/>
    </w:pPr>
  </w:style>
  <w:style w:type="paragraph" w:styleId="TOC5">
    <w:name w:val="toc 5"/>
    <w:basedOn w:val="Normal"/>
    <w:next w:val="Normal"/>
    <w:uiPriority w:val="39"/>
    <w:semiHidden/>
    <w:rsid w:val="0043029C"/>
    <w:pPr>
      <w:tabs>
        <w:tab w:val="right" w:leader="dot" w:pos="9071"/>
      </w:tabs>
      <w:spacing w:before="300"/>
      <w:jc w:val="left"/>
    </w:pPr>
  </w:style>
  <w:style w:type="paragraph" w:styleId="TOC6">
    <w:name w:val="toc 6"/>
    <w:basedOn w:val="Normal"/>
    <w:next w:val="Normal"/>
    <w:uiPriority w:val="39"/>
    <w:semiHidden/>
    <w:rsid w:val="0043029C"/>
    <w:pPr>
      <w:tabs>
        <w:tab w:val="right" w:leader="dot" w:pos="9071"/>
      </w:tabs>
      <w:spacing w:before="240"/>
      <w:jc w:val="left"/>
    </w:pPr>
  </w:style>
  <w:style w:type="paragraph" w:styleId="TOC7">
    <w:name w:val="toc 7"/>
    <w:basedOn w:val="Normal"/>
    <w:next w:val="Normal"/>
    <w:uiPriority w:val="39"/>
    <w:semiHidden/>
    <w:rsid w:val="0043029C"/>
    <w:pPr>
      <w:tabs>
        <w:tab w:val="right" w:leader="dot" w:pos="9071"/>
      </w:tabs>
      <w:spacing w:before="180"/>
      <w:jc w:val="left"/>
    </w:pPr>
  </w:style>
  <w:style w:type="paragraph" w:styleId="TOC8">
    <w:name w:val="toc 8"/>
    <w:basedOn w:val="Normal"/>
    <w:next w:val="Normal"/>
    <w:uiPriority w:val="39"/>
    <w:semiHidden/>
    <w:rsid w:val="0043029C"/>
    <w:pPr>
      <w:tabs>
        <w:tab w:val="right" w:leader="dot" w:pos="9071"/>
      </w:tabs>
      <w:jc w:val="left"/>
    </w:pPr>
  </w:style>
  <w:style w:type="paragraph" w:styleId="TOC9">
    <w:name w:val="toc 9"/>
    <w:basedOn w:val="Normal"/>
    <w:next w:val="Normal"/>
    <w:uiPriority w:val="39"/>
    <w:semiHidden/>
    <w:rsid w:val="0043029C"/>
    <w:pPr>
      <w:tabs>
        <w:tab w:val="right" w:leader="dot" w:pos="9071"/>
      </w:tabs>
    </w:pPr>
  </w:style>
  <w:style w:type="paragraph" w:customStyle="1" w:styleId="HeaderLandscape">
    <w:name w:val="HeaderLandscape"/>
    <w:basedOn w:val="Normal"/>
    <w:rsid w:val="000F21C1"/>
    <w:pPr>
      <w:tabs>
        <w:tab w:val="center" w:pos="7285"/>
        <w:tab w:val="right" w:pos="14003"/>
      </w:tabs>
      <w:spacing w:before="0"/>
    </w:pPr>
  </w:style>
  <w:style w:type="paragraph" w:customStyle="1" w:styleId="FooterLandscape">
    <w:name w:val="FooterLandscape"/>
    <w:basedOn w:val="Normal"/>
    <w:rsid w:val="0043029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rsid w:val="00AB6A99"/>
    <w:rPr>
      <w:shd w:val="clear" w:color="auto" w:fill="auto"/>
      <w:vertAlign w:val="superscript"/>
    </w:rPr>
  </w:style>
  <w:style w:type="paragraph" w:customStyle="1" w:styleId="Text1">
    <w:name w:val="Text 1"/>
    <w:basedOn w:val="Normal"/>
    <w:rsid w:val="0043029C"/>
    <w:pPr>
      <w:ind w:left="850"/>
    </w:pPr>
  </w:style>
  <w:style w:type="paragraph" w:customStyle="1" w:styleId="Text2">
    <w:name w:val="Text 2"/>
    <w:basedOn w:val="Normal"/>
    <w:rsid w:val="0043029C"/>
    <w:pPr>
      <w:ind w:left="1417"/>
    </w:pPr>
  </w:style>
  <w:style w:type="paragraph" w:customStyle="1" w:styleId="Text3">
    <w:name w:val="Text 3"/>
    <w:basedOn w:val="Normal"/>
    <w:rsid w:val="0043029C"/>
    <w:pPr>
      <w:ind w:left="1984"/>
    </w:pPr>
  </w:style>
  <w:style w:type="paragraph" w:customStyle="1" w:styleId="Text4">
    <w:name w:val="Text 4"/>
    <w:basedOn w:val="Normal"/>
    <w:rsid w:val="0043029C"/>
    <w:pPr>
      <w:ind w:left="2551"/>
    </w:pPr>
  </w:style>
  <w:style w:type="paragraph" w:customStyle="1" w:styleId="NormalCentered">
    <w:name w:val="Normal Centered"/>
    <w:basedOn w:val="Normal"/>
    <w:rsid w:val="0043029C"/>
    <w:pPr>
      <w:jc w:val="center"/>
    </w:pPr>
  </w:style>
  <w:style w:type="paragraph" w:customStyle="1" w:styleId="NormalLeft">
    <w:name w:val="Normal Left"/>
    <w:basedOn w:val="Normal"/>
    <w:rsid w:val="0043029C"/>
    <w:pPr>
      <w:jc w:val="left"/>
    </w:pPr>
  </w:style>
  <w:style w:type="paragraph" w:customStyle="1" w:styleId="NormalRight">
    <w:name w:val="Normal Right"/>
    <w:basedOn w:val="Normal"/>
    <w:rsid w:val="0043029C"/>
    <w:pPr>
      <w:jc w:val="right"/>
    </w:pPr>
  </w:style>
  <w:style w:type="paragraph" w:customStyle="1" w:styleId="QuotedText">
    <w:name w:val="Quoted Text"/>
    <w:basedOn w:val="Normal"/>
    <w:rsid w:val="0043029C"/>
    <w:pPr>
      <w:ind w:left="1417"/>
    </w:pPr>
  </w:style>
  <w:style w:type="paragraph" w:customStyle="1" w:styleId="Point0">
    <w:name w:val="Point 0"/>
    <w:basedOn w:val="Normal"/>
    <w:rsid w:val="0043029C"/>
    <w:pPr>
      <w:ind w:left="850" w:hanging="850"/>
    </w:pPr>
  </w:style>
  <w:style w:type="paragraph" w:customStyle="1" w:styleId="Point1">
    <w:name w:val="Point 1"/>
    <w:basedOn w:val="Normal"/>
    <w:rsid w:val="0043029C"/>
    <w:pPr>
      <w:ind w:left="1417" w:hanging="567"/>
    </w:pPr>
  </w:style>
  <w:style w:type="paragraph" w:customStyle="1" w:styleId="Point2">
    <w:name w:val="Point 2"/>
    <w:basedOn w:val="Normal"/>
    <w:rsid w:val="0043029C"/>
    <w:pPr>
      <w:ind w:left="1984" w:hanging="567"/>
    </w:pPr>
  </w:style>
  <w:style w:type="paragraph" w:customStyle="1" w:styleId="Point3">
    <w:name w:val="Point 3"/>
    <w:basedOn w:val="Normal"/>
    <w:rsid w:val="0043029C"/>
    <w:pPr>
      <w:ind w:left="2551" w:hanging="567"/>
    </w:pPr>
  </w:style>
  <w:style w:type="paragraph" w:customStyle="1" w:styleId="Point4">
    <w:name w:val="Point 4"/>
    <w:basedOn w:val="Normal"/>
    <w:rsid w:val="0043029C"/>
    <w:pPr>
      <w:ind w:left="3118" w:hanging="567"/>
    </w:pPr>
  </w:style>
  <w:style w:type="paragraph" w:customStyle="1" w:styleId="Tiret0">
    <w:name w:val="Tiret 0"/>
    <w:basedOn w:val="Point0"/>
    <w:rsid w:val="0043029C"/>
    <w:pPr>
      <w:numPr>
        <w:numId w:val="9"/>
      </w:numPr>
    </w:pPr>
  </w:style>
  <w:style w:type="paragraph" w:customStyle="1" w:styleId="Tiret1">
    <w:name w:val="Tiret 1"/>
    <w:basedOn w:val="Point1"/>
    <w:rsid w:val="0043029C"/>
    <w:pPr>
      <w:numPr>
        <w:numId w:val="10"/>
      </w:numPr>
    </w:pPr>
  </w:style>
  <w:style w:type="paragraph" w:customStyle="1" w:styleId="Tiret2">
    <w:name w:val="Tiret 2"/>
    <w:basedOn w:val="Point2"/>
    <w:rsid w:val="0043029C"/>
    <w:pPr>
      <w:numPr>
        <w:numId w:val="11"/>
      </w:numPr>
    </w:pPr>
  </w:style>
  <w:style w:type="paragraph" w:customStyle="1" w:styleId="Tiret3">
    <w:name w:val="Tiret 3"/>
    <w:basedOn w:val="Point3"/>
    <w:rsid w:val="0043029C"/>
    <w:pPr>
      <w:numPr>
        <w:numId w:val="12"/>
      </w:numPr>
    </w:pPr>
  </w:style>
  <w:style w:type="paragraph" w:customStyle="1" w:styleId="Tiret4">
    <w:name w:val="Tiret 4"/>
    <w:basedOn w:val="Point4"/>
    <w:rsid w:val="0043029C"/>
    <w:pPr>
      <w:numPr>
        <w:numId w:val="13"/>
      </w:numPr>
    </w:pPr>
  </w:style>
  <w:style w:type="paragraph" w:customStyle="1" w:styleId="PointDouble0">
    <w:name w:val="PointDouble 0"/>
    <w:basedOn w:val="Normal"/>
    <w:rsid w:val="0043029C"/>
    <w:pPr>
      <w:tabs>
        <w:tab w:val="left" w:pos="850"/>
      </w:tabs>
      <w:ind w:left="1417" w:hanging="1417"/>
    </w:pPr>
  </w:style>
  <w:style w:type="paragraph" w:customStyle="1" w:styleId="PointDouble1">
    <w:name w:val="PointDouble 1"/>
    <w:basedOn w:val="Normal"/>
    <w:rsid w:val="0043029C"/>
    <w:pPr>
      <w:tabs>
        <w:tab w:val="left" w:pos="1417"/>
      </w:tabs>
      <w:ind w:left="1984" w:hanging="1134"/>
    </w:pPr>
  </w:style>
  <w:style w:type="paragraph" w:customStyle="1" w:styleId="PointDouble2">
    <w:name w:val="PointDouble 2"/>
    <w:basedOn w:val="Normal"/>
    <w:rsid w:val="0043029C"/>
    <w:pPr>
      <w:tabs>
        <w:tab w:val="left" w:pos="1984"/>
      </w:tabs>
      <w:ind w:left="2551" w:hanging="1134"/>
    </w:pPr>
  </w:style>
  <w:style w:type="paragraph" w:customStyle="1" w:styleId="PointDouble3">
    <w:name w:val="PointDouble 3"/>
    <w:basedOn w:val="Normal"/>
    <w:rsid w:val="0043029C"/>
    <w:pPr>
      <w:tabs>
        <w:tab w:val="left" w:pos="2551"/>
      </w:tabs>
      <w:ind w:left="3118" w:hanging="1134"/>
    </w:pPr>
  </w:style>
  <w:style w:type="paragraph" w:customStyle="1" w:styleId="PointDouble4">
    <w:name w:val="PointDouble 4"/>
    <w:basedOn w:val="Normal"/>
    <w:rsid w:val="0043029C"/>
    <w:pPr>
      <w:tabs>
        <w:tab w:val="left" w:pos="3118"/>
      </w:tabs>
      <w:ind w:left="3685" w:hanging="1134"/>
    </w:pPr>
  </w:style>
  <w:style w:type="paragraph" w:customStyle="1" w:styleId="PointTriple0">
    <w:name w:val="PointTriple 0"/>
    <w:basedOn w:val="Normal"/>
    <w:rsid w:val="0043029C"/>
    <w:pPr>
      <w:tabs>
        <w:tab w:val="left" w:pos="850"/>
        <w:tab w:val="left" w:pos="1417"/>
      </w:tabs>
      <w:ind w:left="1984" w:hanging="1984"/>
    </w:pPr>
  </w:style>
  <w:style w:type="paragraph" w:customStyle="1" w:styleId="PointTriple1">
    <w:name w:val="PointTriple 1"/>
    <w:basedOn w:val="Normal"/>
    <w:rsid w:val="0043029C"/>
    <w:pPr>
      <w:tabs>
        <w:tab w:val="left" w:pos="1417"/>
        <w:tab w:val="left" w:pos="1984"/>
      </w:tabs>
      <w:ind w:left="2551" w:hanging="1701"/>
    </w:pPr>
  </w:style>
  <w:style w:type="paragraph" w:customStyle="1" w:styleId="PointTriple2">
    <w:name w:val="PointTriple 2"/>
    <w:basedOn w:val="Normal"/>
    <w:rsid w:val="0043029C"/>
    <w:pPr>
      <w:tabs>
        <w:tab w:val="left" w:pos="1984"/>
        <w:tab w:val="left" w:pos="2551"/>
      </w:tabs>
      <w:ind w:left="3118" w:hanging="1701"/>
    </w:pPr>
  </w:style>
  <w:style w:type="paragraph" w:customStyle="1" w:styleId="PointTriple3">
    <w:name w:val="PointTriple 3"/>
    <w:basedOn w:val="Normal"/>
    <w:rsid w:val="0043029C"/>
    <w:pPr>
      <w:tabs>
        <w:tab w:val="left" w:pos="2551"/>
        <w:tab w:val="left" w:pos="3118"/>
      </w:tabs>
      <w:ind w:left="3685" w:hanging="1701"/>
    </w:pPr>
  </w:style>
  <w:style w:type="paragraph" w:customStyle="1" w:styleId="PointTriple4">
    <w:name w:val="PointTriple 4"/>
    <w:basedOn w:val="Normal"/>
    <w:rsid w:val="0043029C"/>
    <w:pPr>
      <w:tabs>
        <w:tab w:val="left" w:pos="3118"/>
        <w:tab w:val="left" w:pos="3685"/>
      </w:tabs>
      <w:ind w:left="4252" w:hanging="1701"/>
    </w:pPr>
  </w:style>
  <w:style w:type="paragraph" w:customStyle="1" w:styleId="NumPar1">
    <w:name w:val="NumPar 1"/>
    <w:basedOn w:val="Normal"/>
    <w:next w:val="Text1"/>
    <w:rsid w:val="0043029C"/>
    <w:pPr>
      <w:numPr>
        <w:numId w:val="14"/>
      </w:numPr>
    </w:pPr>
  </w:style>
  <w:style w:type="paragraph" w:customStyle="1" w:styleId="NumPar2">
    <w:name w:val="NumPar 2"/>
    <w:basedOn w:val="Normal"/>
    <w:next w:val="Text1"/>
    <w:rsid w:val="0043029C"/>
    <w:pPr>
      <w:numPr>
        <w:ilvl w:val="1"/>
        <w:numId w:val="14"/>
      </w:numPr>
    </w:pPr>
  </w:style>
  <w:style w:type="paragraph" w:customStyle="1" w:styleId="NumPar3">
    <w:name w:val="NumPar 3"/>
    <w:basedOn w:val="Normal"/>
    <w:next w:val="Text1"/>
    <w:rsid w:val="0043029C"/>
    <w:pPr>
      <w:numPr>
        <w:ilvl w:val="2"/>
        <w:numId w:val="14"/>
      </w:numPr>
    </w:pPr>
  </w:style>
  <w:style w:type="paragraph" w:customStyle="1" w:styleId="NumPar4">
    <w:name w:val="NumPar 4"/>
    <w:basedOn w:val="Normal"/>
    <w:next w:val="Text1"/>
    <w:rsid w:val="0043029C"/>
    <w:pPr>
      <w:numPr>
        <w:ilvl w:val="3"/>
        <w:numId w:val="14"/>
      </w:numPr>
    </w:pPr>
  </w:style>
  <w:style w:type="paragraph" w:customStyle="1" w:styleId="ManualNumPar1">
    <w:name w:val="Manual NumPar 1"/>
    <w:basedOn w:val="Normal"/>
    <w:next w:val="Text1"/>
    <w:rsid w:val="0043029C"/>
    <w:pPr>
      <w:ind w:left="850" w:hanging="850"/>
    </w:pPr>
  </w:style>
  <w:style w:type="paragraph" w:customStyle="1" w:styleId="ManualNumPar2">
    <w:name w:val="Manual NumPar 2"/>
    <w:basedOn w:val="Normal"/>
    <w:next w:val="Text1"/>
    <w:rsid w:val="0043029C"/>
    <w:pPr>
      <w:ind w:left="850" w:hanging="850"/>
    </w:pPr>
  </w:style>
  <w:style w:type="paragraph" w:customStyle="1" w:styleId="ManualNumPar3">
    <w:name w:val="Manual NumPar 3"/>
    <w:basedOn w:val="Normal"/>
    <w:next w:val="Text1"/>
    <w:rsid w:val="0043029C"/>
    <w:pPr>
      <w:ind w:left="850" w:hanging="850"/>
    </w:pPr>
  </w:style>
  <w:style w:type="paragraph" w:customStyle="1" w:styleId="ManualNumPar4">
    <w:name w:val="Manual NumPar 4"/>
    <w:basedOn w:val="Normal"/>
    <w:next w:val="Text1"/>
    <w:rsid w:val="0043029C"/>
    <w:pPr>
      <w:ind w:left="850" w:hanging="850"/>
    </w:pPr>
  </w:style>
  <w:style w:type="paragraph" w:customStyle="1" w:styleId="QuotedNumPar">
    <w:name w:val="Quoted NumPar"/>
    <w:basedOn w:val="Normal"/>
    <w:rsid w:val="0043029C"/>
    <w:pPr>
      <w:ind w:left="1417" w:hanging="567"/>
    </w:pPr>
  </w:style>
  <w:style w:type="paragraph" w:customStyle="1" w:styleId="ManualHeading1">
    <w:name w:val="Manual Heading 1"/>
    <w:basedOn w:val="Normal"/>
    <w:next w:val="Text1"/>
    <w:rsid w:val="0043029C"/>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43029C"/>
    <w:pPr>
      <w:keepNext/>
      <w:tabs>
        <w:tab w:val="left" w:pos="850"/>
      </w:tabs>
      <w:ind w:left="850" w:hanging="850"/>
      <w:outlineLvl w:val="1"/>
    </w:pPr>
    <w:rPr>
      <w:b/>
    </w:rPr>
  </w:style>
  <w:style w:type="paragraph" w:customStyle="1" w:styleId="ManualHeading3">
    <w:name w:val="Manual Heading 3"/>
    <w:basedOn w:val="Normal"/>
    <w:next w:val="Text1"/>
    <w:rsid w:val="0043029C"/>
    <w:pPr>
      <w:keepNext/>
      <w:tabs>
        <w:tab w:val="left" w:pos="850"/>
      </w:tabs>
      <w:ind w:left="850" w:hanging="850"/>
      <w:outlineLvl w:val="2"/>
    </w:pPr>
    <w:rPr>
      <w:i/>
    </w:rPr>
  </w:style>
  <w:style w:type="paragraph" w:customStyle="1" w:styleId="ManualHeading4">
    <w:name w:val="Manual Heading 4"/>
    <w:basedOn w:val="Normal"/>
    <w:next w:val="Text1"/>
    <w:rsid w:val="0043029C"/>
    <w:pPr>
      <w:keepNext/>
      <w:tabs>
        <w:tab w:val="left" w:pos="850"/>
      </w:tabs>
      <w:ind w:left="850" w:hanging="850"/>
      <w:outlineLvl w:val="3"/>
    </w:pPr>
  </w:style>
  <w:style w:type="paragraph" w:customStyle="1" w:styleId="ChapterTitle">
    <w:name w:val="ChapterTitle"/>
    <w:basedOn w:val="Normal"/>
    <w:next w:val="Normal"/>
    <w:rsid w:val="0043029C"/>
    <w:pPr>
      <w:keepNext/>
      <w:spacing w:after="360"/>
      <w:jc w:val="center"/>
    </w:pPr>
    <w:rPr>
      <w:b/>
      <w:sz w:val="32"/>
    </w:rPr>
  </w:style>
  <w:style w:type="paragraph" w:customStyle="1" w:styleId="PartTitle">
    <w:name w:val="PartTitle"/>
    <w:basedOn w:val="Normal"/>
    <w:next w:val="ChapterTitle"/>
    <w:rsid w:val="0043029C"/>
    <w:pPr>
      <w:keepNext/>
      <w:pageBreakBefore/>
      <w:spacing w:after="360"/>
      <w:jc w:val="center"/>
    </w:pPr>
    <w:rPr>
      <w:b/>
      <w:sz w:val="36"/>
    </w:rPr>
  </w:style>
  <w:style w:type="paragraph" w:customStyle="1" w:styleId="SectionTitle">
    <w:name w:val="SectionTitle"/>
    <w:basedOn w:val="Normal"/>
    <w:next w:val="Heading1"/>
    <w:rsid w:val="0043029C"/>
    <w:pPr>
      <w:keepNext/>
      <w:spacing w:after="360"/>
      <w:jc w:val="center"/>
    </w:pPr>
    <w:rPr>
      <w:b/>
      <w:smallCaps/>
      <w:sz w:val="28"/>
    </w:rPr>
  </w:style>
  <w:style w:type="paragraph" w:customStyle="1" w:styleId="TableTitle">
    <w:name w:val="Table Title"/>
    <w:basedOn w:val="Normal"/>
    <w:next w:val="Normal"/>
    <w:rsid w:val="0043029C"/>
    <w:pPr>
      <w:jc w:val="center"/>
    </w:pPr>
    <w:rPr>
      <w:b/>
    </w:rPr>
  </w:style>
  <w:style w:type="character" w:customStyle="1" w:styleId="Marker">
    <w:name w:val="Marker"/>
    <w:rsid w:val="0043029C"/>
    <w:rPr>
      <w:color w:val="0000FF"/>
      <w:shd w:val="clear" w:color="auto" w:fill="auto"/>
    </w:rPr>
  </w:style>
  <w:style w:type="character" w:customStyle="1" w:styleId="Marker1">
    <w:name w:val="Marker1"/>
    <w:rsid w:val="0043029C"/>
    <w:rPr>
      <w:color w:val="008000"/>
      <w:shd w:val="clear" w:color="auto" w:fill="auto"/>
    </w:rPr>
  </w:style>
  <w:style w:type="character" w:customStyle="1" w:styleId="Marker2">
    <w:name w:val="Marker2"/>
    <w:rsid w:val="0043029C"/>
    <w:rPr>
      <w:color w:val="FF0000"/>
      <w:shd w:val="clear" w:color="auto" w:fill="auto"/>
    </w:rPr>
  </w:style>
  <w:style w:type="paragraph" w:styleId="TOCHeading">
    <w:name w:val="TOC Heading"/>
    <w:basedOn w:val="Normal"/>
    <w:next w:val="Normal"/>
    <w:uiPriority w:val="39"/>
    <w:qFormat/>
    <w:rsid w:val="0043029C"/>
    <w:pPr>
      <w:spacing w:after="240"/>
      <w:jc w:val="center"/>
    </w:pPr>
    <w:rPr>
      <w:b/>
      <w:sz w:val="28"/>
    </w:rPr>
  </w:style>
  <w:style w:type="paragraph" w:customStyle="1" w:styleId="Point0number">
    <w:name w:val="Point 0 (number)"/>
    <w:basedOn w:val="Normal"/>
    <w:rsid w:val="0043029C"/>
    <w:pPr>
      <w:numPr>
        <w:numId w:val="16"/>
      </w:numPr>
    </w:pPr>
  </w:style>
  <w:style w:type="paragraph" w:customStyle="1" w:styleId="Point1number">
    <w:name w:val="Point 1 (number)"/>
    <w:basedOn w:val="Normal"/>
    <w:rsid w:val="0043029C"/>
    <w:pPr>
      <w:numPr>
        <w:ilvl w:val="2"/>
        <w:numId w:val="16"/>
      </w:numPr>
    </w:pPr>
  </w:style>
  <w:style w:type="paragraph" w:customStyle="1" w:styleId="Point2number">
    <w:name w:val="Point 2 (number)"/>
    <w:basedOn w:val="Normal"/>
    <w:rsid w:val="0043029C"/>
    <w:pPr>
      <w:numPr>
        <w:ilvl w:val="4"/>
        <w:numId w:val="16"/>
      </w:numPr>
    </w:pPr>
  </w:style>
  <w:style w:type="paragraph" w:customStyle="1" w:styleId="Point3number">
    <w:name w:val="Point 3 (number)"/>
    <w:basedOn w:val="Normal"/>
    <w:rsid w:val="0043029C"/>
    <w:pPr>
      <w:numPr>
        <w:ilvl w:val="6"/>
        <w:numId w:val="16"/>
      </w:numPr>
    </w:pPr>
  </w:style>
  <w:style w:type="paragraph" w:customStyle="1" w:styleId="Point0letter">
    <w:name w:val="Point 0 (letter)"/>
    <w:basedOn w:val="Normal"/>
    <w:rsid w:val="0043029C"/>
    <w:pPr>
      <w:numPr>
        <w:ilvl w:val="1"/>
        <w:numId w:val="16"/>
      </w:numPr>
    </w:pPr>
  </w:style>
  <w:style w:type="paragraph" w:customStyle="1" w:styleId="Point1letter">
    <w:name w:val="Point 1 (letter)"/>
    <w:basedOn w:val="Normal"/>
    <w:rsid w:val="0043029C"/>
    <w:pPr>
      <w:numPr>
        <w:ilvl w:val="3"/>
        <w:numId w:val="16"/>
      </w:numPr>
    </w:pPr>
  </w:style>
  <w:style w:type="paragraph" w:customStyle="1" w:styleId="Point2letter">
    <w:name w:val="Point 2 (letter)"/>
    <w:basedOn w:val="Normal"/>
    <w:rsid w:val="0043029C"/>
    <w:pPr>
      <w:numPr>
        <w:ilvl w:val="5"/>
        <w:numId w:val="16"/>
      </w:numPr>
    </w:pPr>
  </w:style>
  <w:style w:type="paragraph" w:customStyle="1" w:styleId="Point3letter">
    <w:name w:val="Point 3 (letter)"/>
    <w:basedOn w:val="Normal"/>
    <w:rsid w:val="0043029C"/>
    <w:pPr>
      <w:numPr>
        <w:ilvl w:val="7"/>
        <w:numId w:val="16"/>
      </w:numPr>
    </w:pPr>
  </w:style>
  <w:style w:type="paragraph" w:customStyle="1" w:styleId="Point4letter">
    <w:name w:val="Point 4 (letter)"/>
    <w:basedOn w:val="Normal"/>
    <w:rsid w:val="0043029C"/>
    <w:pPr>
      <w:numPr>
        <w:ilvl w:val="8"/>
        <w:numId w:val="16"/>
      </w:numPr>
    </w:pPr>
  </w:style>
  <w:style w:type="paragraph" w:customStyle="1" w:styleId="Bullet0">
    <w:name w:val="Bullet 0"/>
    <w:basedOn w:val="Normal"/>
    <w:rsid w:val="0043029C"/>
    <w:pPr>
      <w:numPr>
        <w:numId w:val="17"/>
      </w:numPr>
    </w:pPr>
  </w:style>
  <w:style w:type="paragraph" w:customStyle="1" w:styleId="Bullet1">
    <w:name w:val="Bullet 1"/>
    <w:basedOn w:val="Normal"/>
    <w:rsid w:val="0043029C"/>
    <w:pPr>
      <w:numPr>
        <w:numId w:val="18"/>
      </w:numPr>
    </w:pPr>
  </w:style>
  <w:style w:type="paragraph" w:customStyle="1" w:styleId="Bullet2">
    <w:name w:val="Bullet 2"/>
    <w:basedOn w:val="Normal"/>
    <w:rsid w:val="0043029C"/>
    <w:pPr>
      <w:numPr>
        <w:numId w:val="19"/>
      </w:numPr>
    </w:pPr>
  </w:style>
  <w:style w:type="paragraph" w:customStyle="1" w:styleId="Bullet3">
    <w:name w:val="Bullet 3"/>
    <w:basedOn w:val="Normal"/>
    <w:rsid w:val="0043029C"/>
    <w:pPr>
      <w:numPr>
        <w:numId w:val="20"/>
      </w:numPr>
    </w:pPr>
  </w:style>
  <w:style w:type="paragraph" w:customStyle="1" w:styleId="Bullet4">
    <w:name w:val="Bullet 4"/>
    <w:basedOn w:val="Normal"/>
    <w:rsid w:val="0043029C"/>
    <w:pPr>
      <w:numPr>
        <w:numId w:val="21"/>
      </w:numPr>
    </w:pPr>
  </w:style>
  <w:style w:type="paragraph" w:customStyle="1" w:styleId="Annexetitreexpos">
    <w:name w:val="Annexe titre (exposé)"/>
    <w:basedOn w:val="Normal"/>
    <w:next w:val="Normal"/>
    <w:rsid w:val="0043029C"/>
    <w:pPr>
      <w:jc w:val="center"/>
    </w:pPr>
    <w:rPr>
      <w:b/>
      <w:u w:val="single"/>
    </w:rPr>
  </w:style>
  <w:style w:type="paragraph" w:customStyle="1" w:styleId="Annexetitre">
    <w:name w:val="Annexe titre"/>
    <w:basedOn w:val="Normal"/>
    <w:next w:val="Normal"/>
    <w:rsid w:val="0043029C"/>
    <w:pPr>
      <w:jc w:val="center"/>
    </w:pPr>
    <w:rPr>
      <w:b/>
      <w:u w:val="single"/>
    </w:rPr>
  </w:style>
  <w:style w:type="paragraph" w:customStyle="1" w:styleId="Annexetitrefichefinancire">
    <w:name w:val="Annexe titre (fiche financière)"/>
    <w:basedOn w:val="Normal"/>
    <w:next w:val="Normal"/>
    <w:rsid w:val="0043029C"/>
    <w:pPr>
      <w:jc w:val="center"/>
    </w:pPr>
    <w:rPr>
      <w:b/>
      <w:u w:val="single"/>
    </w:rPr>
  </w:style>
  <w:style w:type="paragraph" w:customStyle="1" w:styleId="Applicationdirecte">
    <w:name w:val="Application directe"/>
    <w:basedOn w:val="Normal"/>
    <w:next w:val="Fait"/>
    <w:rsid w:val="0043029C"/>
    <w:pPr>
      <w:spacing w:before="480"/>
    </w:pPr>
  </w:style>
  <w:style w:type="paragraph" w:customStyle="1" w:styleId="Avertissementtitre">
    <w:name w:val="Avertissement titre"/>
    <w:basedOn w:val="Normal"/>
    <w:next w:val="Normal"/>
    <w:rsid w:val="0043029C"/>
    <w:pPr>
      <w:keepNext/>
      <w:spacing w:before="480"/>
    </w:pPr>
    <w:rPr>
      <w:u w:val="single"/>
    </w:rPr>
  </w:style>
  <w:style w:type="paragraph" w:customStyle="1" w:styleId="Confidence">
    <w:name w:val="Confidence"/>
    <w:basedOn w:val="Normal"/>
    <w:next w:val="Normal"/>
    <w:rsid w:val="0043029C"/>
    <w:pPr>
      <w:spacing w:before="360"/>
      <w:jc w:val="center"/>
    </w:pPr>
  </w:style>
  <w:style w:type="paragraph" w:customStyle="1" w:styleId="Confidentialit">
    <w:name w:val="Confidentialité"/>
    <w:basedOn w:val="Normal"/>
    <w:next w:val="TypedudocumentPagedecouverture"/>
    <w:rsid w:val="0043029C"/>
    <w:pPr>
      <w:spacing w:before="240" w:after="240"/>
      <w:ind w:left="5103"/>
    </w:pPr>
    <w:rPr>
      <w:i/>
      <w:sz w:val="32"/>
    </w:rPr>
  </w:style>
  <w:style w:type="paragraph" w:customStyle="1" w:styleId="Considrant">
    <w:name w:val="Considérant"/>
    <w:basedOn w:val="Normal"/>
    <w:rsid w:val="0043029C"/>
    <w:pPr>
      <w:numPr>
        <w:numId w:val="22"/>
      </w:numPr>
    </w:pPr>
  </w:style>
  <w:style w:type="paragraph" w:customStyle="1" w:styleId="Corrigendum">
    <w:name w:val="Corrigendum"/>
    <w:basedOn w:val="Normal"/>
    <w:next w:val="Normal"/>
    <w:rsid w:val="0043029C"/>
    <w:pPr>
      <w:spacing w:before="0" w:after="240"/>
      <w:jc w:val="left"/>
    </w:pPr>
  </w:style>
  <w:style w:type="paragraph" w:customStyle="1" w:styleId="Datedadoption">
    <w:name w:val="Date d'adoption"/>
    <w:basedOn w:val="Normal"/>
    <w:next w:val="Titreobjet"/>
    <w:rsid w:val="0043029C"/>
    <w:pPr>
      <w:spacing w:before="360" w:after="0"/>
      <w:jc w:val="center"/>
    </w:pPr>
    <w:rPr>
      <w:b/>
    </w:rPr>
  </w:style>
  <w:style w:type="paragraph" w:customStyle="1" w:styleId="Emission">
    <w:name w:val="Emission"/>
    <w:basedOn w:val="Normal"/>
    <w:next w:val="Rfrenceinstitutionnelle"/>
    <w:rsid w:val="0043029C"/>
    <w:pPr>
      <w:spacing w:before="0" w:after="0"/>
      <w:ind w:left="5103"/>
      <w:jc w:val="left"/>
    </w:pPr>
  </w:style>
  <w:style w:type="paragraph" w:customStyle="1" w:styleId="Exposdesmotifstitre">
    <w:name w:val="Exposé des motifs titre"/>
    <w:basedOn w:val="Normal"/>
    <w:next w:val="Normal"/>
    <w:rsid w:val="0043029C"/>
    <w:pPr>
      <w:jc w:val="center"/>
    </w:pPr>
    <w:rPr>
      <w:b/>
      <w:u w:val="single"/>
    </w:rPr>
  </w:style>
  <w:style w:type="paragraph" w:customStyle="1" w:styleId="Fait">
    <w:name w:val="Fait à"/>
    <w:basedOn w:val="Normal"/>
    <w:next w:val="Institutionquisigne"/>
    <w:rsid w:val="0043029C"/>
    <w:pPr>
      <w:keepNext/>
      <w:spacing w:after="0"/>
    </w:pPr>
  </w:style>
  <w:style w:type="paragraph" w:customStyle="1" w:styleId="Formuledadoption">
    <w:name w:val="Formule d'adoption"/>
    <w:basedOn w:val="Normal"/>
    <w:next w:val="Titrearticle"/>
    <w:rsid w:val="0043029C"/>
    <w:pPr>
      <w:keepNext/>
    </w:pPr>
  </w:style>
  <w:style w:type="paragraph" w:customStyle="1" w:styleId="Institutionquiagit">
    <w:name w:val="Institution qui agit"/>
    <w:basedOn w:val="Normal"/>
    <w:next w:val="Normal"/>
    <w:rsid w:val="0043029C"/>
    <w:pPr>
      <w:keepNext/>
      <w:spacing w:before="600"/>
    </w:pPr>
  </w:style>
  <w:style w:type="paragraph" w:customStyle="1" w:styleId="Institutionquisigne">
    <w:name w:val="Institution qui signe"/>
    <w:basedOn w:val="Normal"/>
    <w:next w:val="Personnequisigne"/>
    <w:rsid w:val="0043029C"/>
    <w:pPr>
      <w:keepNext/>
      <w:tabs>
        <w:tab w:val="left" w:pos="4252"/>
      </w:tabs>
      <w:spacing w:before="720" w:after="0"/>
    </w:pPr>
    <w:rPr>
      <w:i/>
    </w:rPr>
  </w:style>
  <w:style w:type="paragraph" w:customStyle="1" w:styleId="Langue">
    <w:name w:val="Langue"/>
    <w:basedOn w:val="Normal"/>
    <w:next w:val="Rfrenceinterne"/>
    <w:rsid w:val="0043029C"/>
    <w:pPr>
      <w:framePr w:wrap="around" w:vAnchor="page" w:hAnchor="text" w:xAlign="center" w:y="14741"/>
      <w:spacing w:before="0" w:after="600"/>
      <w:jc w:val="center"/>
    </w:pPr>
    <w:rPr>
      <w:b/>
      <w:caps/>
    </w:rPr>
  </w:style>
  <w:style w:type="paragraph" w:customStyle="1" w:styleId="ManualConsidrant">
    <w:name w:val="Manual Considérant"/>
    <w:basedOn w:val="Normal"/>
    <w:rsid w:val="0043029C"/>
    <w:pPr>
      <w:ind w:left="709" w:hanging="709"/>
    </w:pPr>
  </w:style>
  <w:style w:type="paragraph" w:customStyle="1" w:styleId="Nomdelinstitution">
    <w:name w:val="Nom de l'institution"/>
    <w:basedOn w:val="Normal"/>
    <w:next w:val="Emission"/>
    <w:rsid w:val="0043029C"/>
    <w:pPr>
      <w:spacing w:before="0" w:after="0"/>
      <w:jc w:val="left"/>
    </w:pPr>
    <w:rPr>
      <w:rFonts w:ascii="Arial" w:hAnsi="Arial" w:cs="Arial"/>
    </w:rPr>
  </w:style>
  <w:style w:type="paragraph" w:customStyle="1" w:styleId="Personnequisigne">
    <w:name w:val="Personne qui signe"/>
    <w:basedOn w:val="Normal"/>
    <w:next w:val="Institutionquisigne"/>
    <w:rsid w:val="0043029C"/>
    <w:pPr>
      <w:tabs>
        <w:tab w:val="left" w:pos="4252"/>
      </w:tabs>
      <w:spacing w:before="0" w:after="0"/>
      <w:jc w:val="left"/>
    </w:pPr>
    <w:rPr>
      <w:i/>
    </w:rPr>
  </w:style>
  <w:style w:type="paragraph" w:customStyle="1" w:styleId="Rfrenceinstitutionnelle">
    <w:name w:val="Référence institutionnelle"/>
    <w:basedOn w:val="Normal"/>
    <w:next w:val="Confidentialit"/>
    <w:rsid w:val="0043029C"/>
    <w:pPr>
      <w:spacing w:before="0" w:after="240"/>
      <w:ind w:left="5103"/>
      <w:jc w:val="left"/>
    </w:pPr>
  </w:style>
  <w:style w:type="paragraph" w:customStyle="1" w:styleId="Rfrenceinterinstitutionnelle">
    <w:name w:val="Référence interinstitutionnelle"/>
    <w:basedOn w:val="Normal"/>
    <w:next w:val="Statut"/>
    <w:rsid w:val="0043029C"/>
    <w:pPr>
      <w:spacing w:before="0" w:after="0"/>
      <w:ind w:left="5103"/>
      <w:jc w:val="left"/>
    </w:pPr>
  </w:style>
  <w:style w:type="paragraph" w:customStyle="1" w:styleId="Rfrenceinterne">
    <w:name w:val="Référence interne"/>
    <w:basedOn w:val="Normal"/>
    <w:next w:val="Rfrenceinterinstitutionnelle"/>
    <w:rsid w:val="0043029C"/>
    <w:pPr>
      <w:spacing w:before="0" w:after="0"/>
      <w:ind w:left="5103"/>
      <w:jc w:val="left"/>
    </w:pPr>
  </w:style>
  <w:style w:type="paragraph" w:customStyle="1" w:styleId="Sous-titreobjet">
    <w:name w:val="Sous-titre objet"/>
    <w:basedOn w:val="Normal"/>
    <w:rsid w:val="0043029C"/>
    <w:pPr>
      <w:spacing w:before="0" w:after="0"/>
      <w:jc w:val="center"/>
    </w:pPr>
    <w:rPr>
      <w:b/>
    </w:rPr>
  </w:style>
  <w:style w:type="paragraph" w:customStyle="1" w:styleId="Statut">
    <w:name w:val="Statut"/>
    <w:basedOn w:val="Normal"/>
    <w:next w:val="Typedudocument"/>
    <w:rsid w:val="0043029C"/>
    <w:pPr>
      <w:spacing w:before="360" w:after="0"/>
      <w:jc w:val="center"/>
    </w:pPr>
  </w:style>
  <w:style w:type="paragraph" w:customStyle="1" w:styleId="Titrearticle">
    <w:name w:val="Titre article"/>
    <w:basedOn w:val="Normal"/>
    <w:next w:val="Normal"/>
    <w:rsid w:val="0043029C"/>
    <w:pPr>
      <w:keepNext/>
      <w:spacing w:before="360"/>
      <w:jc w:val="center"/>
    </w:pPr>
    <w:rPr>
      <w:i/>
    </w:rPr>
  </w:style>
  <w:style w:type="paragraph" w:customStyle="1" w:styleId="Titreobjet">
    <w:name w:val="Titre objet"/>
    <w:basedOn w:val="Normal"/>
    <w:next w:val="Sous-titreobjet"/>
    <w:rsid w:val="0043029C"/>
    <w:pPr>
      <w:spacing w:before="360" w:after="360"/>
      <w:jc w:val="center"/>
    </w:pPr>
    <w:rPr>
      <w:b/>
    </w:rPr>
  </w:style>
  <w:style w:type="paragraph" w:customStyle="1" w:styleId="Typedudocument">
    <w:name w:val="Type du document"/>
    <w:basedOn w:val="Normal"/>
    <w:next w:val="Titreobjet"/>
    <w:rsid w:val="0043029C"/>
    <w:pPr>
      <w:spacing w:before="360" w:after="0"/>
      <w:jc w:val="center"/>
    </w:pPr>
    <w:rPr>
      <w:b/>
    </w:rPr>
  </w:style>
  <w:style w:type="character" w:customStyle="1" w:styleId="Added">
    <w:name w:val="Added"/>
    <w:rsid w:val="0043029C"/>
    <w:rPr>
      <w:b/>
      <w:u w:val="single"/>
      <w:shd w:val="clear" w:color="auto" w:fill="auto"/>
    </w:rPr>
  </w:style>
  <w:style w:type="character" w:customStyle="1" w:styleId="Deleted">
    <w:name w:val="Deleted"/>
    <w:rsid w:val="0043029C"/>
    <w:rPr>
      <w:strike/>
      <w:shd w:val="clear" w:color="auto" w:fill="auto"/>
    </w:rPr>
  </w:style>
  <w:style w:type="paragraph" w:customStyle="1" w:styleId="Address">
    <w:name w:val="Address"/>
    <w:basedOn w:val="Normal"/>
    <w:next w:val="Normal"/>
    <w:rsid w:val="0043029C"/>
    <w:pPr>
      <w:keepLines/>
      <w:spacing w:line="360" w:lineRule="auto"/>
      <w:ind w:left="3402"/>
      <w:jc w:val="left"/>
    </w:pPr>
  </w:style>
  <w:style w:type="paragraph" w:customStyle="1" w:styleId="Objetexterne">
    <w:name w:val="Objet externe"/>
    <w:basedOn w:val="Normal"/>
    <w:next w:val="Normal"/>
    <w:rsid w:val="0043029C"/>
    <w:rPr>
      <w:i/>
      <w:caps/>
    </w:rPr>
  </w:style>
  <w:style w:type="paragraph" w:customStyle="1" w:styleId="Pagedecouverture">
    <w:name w:val="Page de couverture"/>
    <w:basedOn w:val="Normal"/>
    <w:next w:val="Normal"/>
    <w:rsid w:val="008B6911"/>
    <w:pPr>
      <w:spacing w:before="0" w:after="0"/>
    </w:pPr>
  </w:style>
  <w:style w:type="paragraph" w:customStyle="1" w:styleId="Supertitre">
    <w:name w:val="Supertitre"/>
    <w:basedOn w:val="Normal"/>
    <w:next w:val="Normal"/>
    <w:rsid w:val="0043029C"/>
    <w:pPr>
      <w:spacing w:before="0" w:after="600"/>
      <w:jc w:val="center"/>
    </w:pPr>
    <w:rPr>
      <w:b/>
    </w:rPr>
  </w:style>
  <w:style w:type="paragraph" w:customStyle="1" w:styleId="Languesfaisantfoi">
    <w:name w:val="Langues faisant foi"/>
    <w:basedOn w:val="Normal"/>
    <w:next w:val="Normal"/>
    <w:rsid w:val="0043029C"/>
    <w:pPr>
      <w:spacing w:before="360" w:after="0"/>
      <w:jc w:val="center"/>
    </w:pPr>
  </w:style>
  <w:style w:type="paragraph" w:customStyle="1" w:styleId="Rfrencecroise">
    <w:name w:val="Référence croisée"/>
    <w:basedOn w:val="Normal"/>
    <w:rsid w:val="0043029C"/>
    <w:pPr>
      <w:spacing w:before="0" w:after="0"/>
      <w:jc w:val="center"/>
    </w:pPr>
  </w:style>
  <w:style w:type="paragraph" w:customStyle="1" w:styleId="Fichefinanciretitre">
    <w:name w:val="Fiche financière titre"/>
    <w:basedOn w:val="Normal"/>
    <w:next w:val="Normal"/>
    <w:rsid w:val="0043029C"/>
    <w:pPr>
      <w:jc w:val="center"/>
    </w:pPr>
    <w:rPr>
      <w:b/>
      <w:u w:val="single"/>
    </w:rPr>
  </w:style>
  <w:style w:type="paragraph" w:customStyle="1" w:styleId="DatedadoptionPagedecouverture">
    <w:name w:val="Date d'adoption (Page de couverture)"/>
    <w:basedOn w:val="Datedadoption"/>
    <w:next w:val="TitreobjetPagedecouverture"/>
    <w:rsid w:val="0043029C"/>
  </w:style>
  <w:style w:type="paragraph" w:customStyle="1" w:styleId="RfrenceinterinstitutionnellePagedecouverture">
    <w:name w:val="Référence interinstitutionnelle (Page de couverture)"/>
    <w:basedOn w:val="Rfrenceinterinstitutionnelle"/>
    <w:next w:val="Confidentialit"/>
    <w:rsid w:val="0043029C"/>
  </w:style>
  <w:style w:type="paragraph" w:customStyle="1" w:styleId="Sous-titreobjetPagedecouverture">
    <w:name w:val="Sous-titre objet (Page de couverture)"/>
    <w:basedOn w:val="Sous-titreobjet"/>
    <w:rsid w:val="0043029C"/>
  </w:style>
  <w:style w:type="paragraph" w:customStyle="1" w:styleId="StatutPagedecouverture">
    <w:name w:val="Statut (Page de couverture)"/>
    <w:basedOn w:val="Statut"/>
    <w:next w:val="TypedudocumentPagedecouverture"/>
    <w:rsid w:val="0043029C"/>
  </w:style>
  <w:style w:type="paragraph" w:customStyle="1" w:styleId="TitreobjetPagedecouverture">
    <w:name w:val="Titre objet (Page de couverture)"/>
    <w:basedOn w:val="Titreobjet"/>
    <w:next w:val="Sous-titreobjetPagedecouverture"/>
    <w:rsid w:val="0043029C"/>
  </w:style>
  <w:style w:type="paragraph" w:customStyle="1" w:styleId="TypedudocumentPagedecouverture">
    <w:name w:val="Type du document (Page de couverture)"/>
    <w:basedOn w:val="Typedudocument"/>
    <w:next w:val="TitreobjetPagedecouverture"/>
    <w:rsid w:val="0043029C"/>
  </w:style>
  <w:style w:type="paragraph" w:customStyle="1" w:styleId="Volume">
    <w:name w:val="Volume"/>
    <w:basedOn w:val="Normal"/>
    <w:next w:val="Confidentialit"/>
    <w:rsid w:val="0043029C"/>
    <w:pPr>
      <w:spacing w:before="0" w:after="240"/>
      <w:ind w:left="5103"/>
      <w:jc w:val="left"/>
    </w:pPr>
  </w:style>
  <w:style w:type="paragraph" w:customStyle="1" w:styleId="IntrtEEE">
    <w:name w:val="Intérêt EEE"/>
    <w:basedOn w:val="Languesfaisantfoi"/>
    <w:next w:val="Normal"/>
    <w:rsid w:val="0043029C"/>
    <w:pPr>
      <w:spacing w:after="240"/>
    </w:pPr>
  </w:style>
  <w:style w:type="paragraph" w:customStyle="1" w:styleId="Accompagnant">
    <w:name w:val="Accompagnant"/>
    <w:basedOn w:val="Normal"/>
    <w:next w:val="Typeacteprincipal"/>
    <w:rsid w:val="0043029C"/>
    <w:pPr>
      <w:spacing w:before="0" w:after="240"/>
      <w:jc w:val="center"/>
    </w:pPr>
    <w:rPr>
      <w:b/>
      <w:i/>
    </w:rPr>
  </w:style>
  <w:style w:type="paragraph" w:customStyle="1" w:styleId="Typeacteprincipal">
    <w:name w:val="Type acte principal"/>
    <w:basedOn w:val="Normal"/>
    <w:next w:val="Objetacteprincipal"/>
    <w:rsid w:val="0043029C"/>
    <w:pPr>
      <w:spacing w:before="0" w:after="240"/>
      <w:jc w:val="center"/>
    </w:pPr>
    <w:rPr>
      <w:b/>
    </w:rPr>
  </w:style>
  <w:style w:type="paragraph" w:customStyle="1" w:styleId="Objetacteprincipal">
    <w:name w:val="Objet acte principal"/>
    <w:basedOn w:val="Normal"/>
    <w:next w:val="Titrearticle"/>
    <w:rsid w:val="0043029C"/>
    <w:pPr>
      <w:spacing w:before="0" w:after="360"/>
      <w:jc w:val="center"/>
    </w:pPr>
    <w:rPr>
      <w:b/>
    </w:rPr>
  </w:style>
  <w:style w:type="paragraph" w:customStyle="1" w:styleId="IntrtEEEPagedecouverture">
    <w:name w:val="Intérêt EEE (Page de couverture)"/>
    <w:basedOn w:val="IntrtEEE"/>
    <w:next w:val="Rfrencecroise"/>
    <w:rsid w:val="0043029C"/>
  </w:style>
  <w:style w:type="paragraph" w:customStyle="1" w:styleId="AccompagnantPagedecouverture">
    <w:name w:val="Accompagnant (Page de couverture)"/>
    <w:basedOn w:val="Accompagnant"/>
    <w:next w:val="TypeacteprincipalPagedecouverture"/>
    <w:rsid w:val="0043029C"/>
  </w:style>
  <w:style w:type="paragraph" w:customStyle="1" w:styleId="TypeacteprincipalPagedecouverture">
    <w:name w:val="Type acte principal (Page de couverture)"/>
    <w:basedOn w:val="Typeacteprincipal"/>
    <w:next w:val="ObjetacteprincipalPagedecouverture"/>
    <w:rsid w:val="0043029C"/>
  </w:style>
  <w:style w:type="paragraph" w:customStyle="1" w:styleId="ObjetacteprincipalPagedecouverture">
    <w:name w:val="Objet acte principal (Page de couverture)"/>
    <w:basedOn w:val="Objetacteprincipal"/>
    <w:next w:val="Rfrencecroise"/>
    <w:rsid w:val="0043029C"/>
  </w:style>
  <w:style w:type="paragraph" w:customStyle="1" w:styleId="LanguesfaisantfoiPagedecouverture">
    <w:name w:val="Langues faisant foi (Page de couverture)"/>
    <w:basedOn w:val="Normal"/>
    <w:next w:val="Normal"/>
    <w:rsid w:val="0043029C"/>
    <w:pPr>
      <w:spacing w:before="360" w:after="0"/>
      <w:jc w:val="center"/>
    </w:pPr>
  </w:style>
  <w:style w:type="character" w:styleId="Hyperlink">
    <w:name w:val="Hyperlink"/>
    <w:basedOn w:val="DefaultParagraphFont"/>
    <w:uiPriority w:val="99"/>
    <w:rsid w:val="00C01295"/>
    <w:rPr>
      <w:color w:val="0000FF"/>
      <w:u w:val="single"/>
      <w:shd w:val="clear" w:color="auto" w:fill="auto"/>
    </w:rPr>
  </w:style>
  <w:style w:type="paragraph" w:customStyle="1" w:styleId="Default">
    <w:name w:val="Default"/>
    <w:rsid w:val="00F34D48"/>
    <w:pPr>
      <w:autoSpaceDE w:val="0"/>
      <w:autoSpaceDN w:val="0"/>
      <w:adjustRightInd w:val="0"/>
    </w:pPr>
    <w:rPr>
      <w:rFonts w:ascii="Arial" w:hAnsi="Arial" w:cs="Arial"/>
      <w:color w:val="000000"/>
      <w:sz w:val="24"/>
      <w:szCs w:val="24"/>
      <w:lang w:val="en-GB" w:eastAsia="en-GB"/>
    </w:rPr>
  </w:style>
  <w:style w:type="paragraph" w:customStyle="1" w:styleId="Briefinglist1">
    <w:name w:val="Briefing list 1"/>
    <w:basedOn w:val="Normal"/>
    <w:rsid w:val="004377AC"/>
    <w:pPr>
      <w:keepLines/>
      <w:numPr>
        <w:numId w:val="28"/>
      </w:numPr>
      <w:spacing w:before="0"/>
    </w:pPr>
    <w:rPr>
      <w:rFonts w:ascii="Arial" w:hAnsi="Arial" w:cs="Arial"/>
      <w:sz w:val="22"/>
      <w:lang w:val="en-GB"/>
    </w:rPr>
  </w:style>
  <w:style w:type="paragraph" w:styleId="ListBullet">
    <w:name w:val="List Bullet"/>
    <w:basedOn w:val="Normal"/>
    <w:uiPriority w:val="99"/>
    <w:rsid w:val="0047287A"/>
    <w:pPr>
      <w:numPr>
        <w:numId w:val="29"/>
      </w:numPr>
    </w:pPr>
  </w:style>
  <w:style w:type="paragraph" w:styleId="ListBullet2">
    <w:name w:val="List Bullet 2"/>
    <w:basedOn w:val="Normal"/>
    <w:uiPriority w:val="99"/>
    <w:rsid w:val="0047287A"/>
    <w:pPr>
      <w:numPr>
        <w:numId w:val="30"/>
      </w:numPr>
    </w:pPr>
  </w:style>
  <w:style w:type="paragraph" w:styleId="ListBullet3">
    <w:name w:val="List Bullet 3"/>
    <w:basedOn w:val="Normal"/>
    <w:uiPriority w:val="99"/>
    <w:rsid w:val="0047287A"/>
    <w:pPr>
      <w:numPr>
        <w:numId w:val="31"/>
      </w:numPr>
    </w:pPr>
  </w:style>
  <w:style w:type="paragraph" w:styleId="ListBullet4">
    <w:name w:val="List Bullet 4"/>
    <w:basedOn w:val="Normal"/>
    <w:uiPriority w:val="99"/>
    <w:rsid w:val="0047287A"/>
    <w:pPr>
      <w:numPr>
        <w:numId w:val="32"/>
      </w:numPr>
    </w:pPr>
  </w:style>
  <w:style w:type="paragraph" w:styleId="BalloonText">
    <w:name w:val="Balloon Text"/>
    <w:basedOn w:val="Normal"/>
    <w:link w:val="BalloonTextChar"/>
    <w:uiPriority w:val="99"/>
    <w:semiHidden/>
    <w:rsid w:val="001D3E90"/>
    <w:rPr>
      <w:rFonts w:ascii="Tahoma" w:hAnsi="Tahoma" w:cs="Tahoma"/>
      <w:sz w:val="16"/>
      <w:szCs w:val="16"/>
    </w:rPr>
  </w:style>
  <w:style w:type="character" w:customStyle="1" w:styleId="BalloonTextChar">
    <w:name w:val="Balloon Text Char"/>
    <w:basedOn w:val="DefaultParagraphFont"/>
    <w:link w:val="BalloonText"/>
    <w:uiPriority w:val="99"/>
    <w:semiHidden/>
    <w:rsid w:val="008853AA"/>
    <w:rPr>
      <w:sz w:val="0"/>
      <w:szCs w:val="0"/>
      <w:lang w:val="sl-SI"/>
    </w:rPr>
  </w:style>
  <w:style w:type="paragraph" w:styleId="Caption">
    <w:name w:val="caption"/>
    <w:basedOn w:val="Normal"/>
    <w:next w:val="Normal"/>
    <w:uiPriority w:val="35"/>
    <w:qFormat/>
    <w:rsid w:val="00DE0BF9"/>
    <w:rPr>
      <w:b/>
      <w:bCs/>
      <w:sz w:val="20"/>
      <w:szCs w:val="20"/>
    </w:rPr>
  </w:style>
  <w:style w:type="paragraph" w:styleId="TableofFigures">
    <w:name w:val="table of figures"/>
    <w:basedOn w:val="Normal"/>
    <w:next w:val="Normal"/>
    <w:uiPriority w:val="99"/>
    <w:semiHidden/>
    <w:rsid w:val="00DE0BF9"/>
  </w:style>
  <w:style w:type="paragraph" w:styleId="ListNumber">
    <w:name w:val="List Number"/>
    <w:basedOn w:val="Normal"/>
    <w:uiPriority w:val="99"/>
    <w:rsid w:val="00DE0BF9"/>
    <w:pPr>
      <w:numPr>
        <w:numId w:val="33"/>
      </w:numPr>
    </w:pPr>
  </w:style>
  <w:style w:type="paragraph" w:styleId="ListNumber2">
    <w:name w:val="List Number 2"/>
    <w:basedOn w:val="Normal"/>
    <w:uiPriority w:val="99"/>
    <w:rsid w:val="00DE0BF9"/>
    <w:pPr>
      <w:numPr>
        <w:numId w:val="34"/>
      </w:numPr>
    </w:pPr>
  </w:style>
  <w:style w:type="paragraph" w:styleId="ListNumber3">
    <w:name w:val="List Number 3"/>
    <w:basedOn w:val="Normal"/>
    <w:uiPriority w:val="99"/>
    <w:rsid w:val="00DE0BF9"/>
    <w:pPr>
      <w:numPr>
        <w:numId w:val="25"/>
      </w:numPr>
    </w:pPr>
  </w:style>
  <w:style w:type="paragraph" w:styleId="ListNumber4">
    <w:name w:val="List Number 4"/>
    <w:basedOn w:val="Normal"/>
    <w:uiPriority w:val="99"/>
    <w:rsid w:val="00DE0BF9"/>
    <w:pPr>
      <w:numPr>
        <w:numId w:val="35"/>
      </w:numPr>
    </w:pPr>
  </w:style>
  <w:style w:type="character" w:styleId="CommentReference">
    <w:name w:val="annotation reference"/>
    <w:basedOn w:val="DefaultParagraphFont"/>
    <w:uiPriority w:val="99"/>
    <w:semiHidden/>
    <w:rsid w:val="00DE0BF9"/>
    <w:rPr>
      <w:sz w:val="16"/>
      <w:shd w:val="clear" w:color="auto" w:fill="auto"/>
    </w:rPr>
  </w:style>
  <w:style w:type="paragraph" w:styleId="CommentText">
    <w:name w:val="annotation text"/>
    <w:basedOn w:val="Normal"/>
    <w:link w:val="CommentTextChar"/>
    <w:uiPriority w:val="99"/>
    <w:semiHidden/>
    <w:rsid w:val="00DE0BF9"/>
    <w:rPr>
      <w:sz w:val="20"/>
      <w:szCs w:val="20"/>
    </w:rPr>
  </w:style>
  <w:style w:type="character" w:customStyle="1" w:styleId="CommentTextChar">
    <w:name w:val="Comment Text Char"/>
    <w:basedOn w:val="DefaultParagraphFont"/>
    <w:link w:val="CommentText"/>
    <w:uiPriority w:val="99"/>
    <w:semiHidden/>
    <w:rsid w:val="008853AA"/>
    <w:rPr>
      <w:lang w:val="sl-SI"/>
    </w:rPr>
  </w:style>
  <w:style w:type="paragraph" w:styleId="CommentSubject">
    <w:name w:val="annotation subject"/>
    <w:basedOn w:val="CommentText"/>
    <w:next w:val="CommentText"/>
    <w:link w:val="CommentSubjectChar"/>
    <w:uiPriority w:val="99"/>
    <w:semiHidden/>
    <w:rsid w:val="00DE0BF9"/>
    <w:rPr>
      <w:b/>
      <w:bCs/>
    </w:rPr>
  </w:style>
  <w:style w:type="character" w:customStyle="1" w:styleId="CommentSubjectChar">
    <w:name w:val="Comment Subject Char"/>
    <w:basedOn w:val="CommentTextChar"/>
    <w:link w:val="CommentSubject"/>
    <w:uiPriority w:val="99"/>
    <w:semiHidden/>
    <w:rsid w:val="008853AA"/>
    <w:rPr>
      <w:b/>
      <w:bCs/>
      <w:lang w:val="sl-SI"/>
    </w:rPr>
  </w:style>
  <w:style w:type="character" w:customStyle="1" w:styleId="tw4winMark">
    <w:name w:val="tw4winMark"/>
    <w:rsid w:val="009645F1"/>
    <w:rPr>
      <w:vanish/>
      <w:color w:val="800080"/>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34597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7" Type="http://schemas.openxmlformats.org/officeDocument/2006/relationships/image" Target="media/image1.jpeg"/><Relationship Id="rId17" Type="http://schemas.openxmlformats.org/officeDocument/2006/relationships/image" Target="media/image3.jpeg"/><Relationship Id="rId16"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75</TotalTime>
  <Pages>12</Pages>
  <Words>3985</Words>
  <Characters>22320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25</cp:revision>
  <cp:lastPrinted>2012-12-03T09:00:00Z</cp:lastPrinted>
  <dcterms:created xsi:type="dcterms:W3CDTF">2012-12-04T13:27:00Z</dcterms:created>
  <dcterms:modified xsi:type="dcterms:W3CDTF">2013-01-07T11:44:00Z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COM/PRELIM</vt:lpwstr>
  </property>
  <property fmtid="{D5CDD505-2E9C-101B-9397-08002B2CF9AE}" pid="3" name="Classification">
    <vt:lpwstr> </vt:lpwstr>
  </property>
  <property fmtid="{D5CDD505-2E9C-101B-9397-08002B2CF9AE}" pid="4" name="Version">
    <vt:lpwstr>5.8.40.0</vt:lpwstr>
  </property>
  <property fmtid="{D5CDD505-2E9C-101B-9397-08002B2CF9AE}" pid="5" name="Last edited using">
    <vt:lpwstr>LW 5.8.2, Build 20120919</vt:lpwstr>
  </property>
  <property fmtid="{D5CDD505-2E9C-101B-9397-08002B2CF9AE}" pid="6" name="Created using">
    <vt:lpwstr>LW 5.8, Build 20111205</vt:lpwstr>
  </property>
  <property fmtid="{D5CDD505-2E9C-101B-9397-08002B2CF9AE}" pid="7" name="LWTemplateID">
    <vt:lpwstr>SG-025</vt:lpwstr>
  </property>
  <property fmtid="{D5CDD505-2E9C-101B-9397-08002B2CF9AE}" pid="8" name="_NewReviewCycle">
    <vt:lpwstr/>
  </property>
  <property fmtid="{D5CDD505-2E9C-101B-9397-08002B2CF9AE}" pid="9" name="_AdHocReviewCycleID">
    <vt:i4>-554555501</vt:i4>
  </property>
  <property fmtid="{D5CDD505-2E9C-101B-9397-08002B2CF9AE}" pid="10" name="_EmailSubject">
    <vt:lpwstr>CIS HR - Rapport EE 2011</vt:lpwstr>
  </property>
  <property fmtid="{D5CDD505-2E9C-101B-9397-08002B2CF9AE}" pid="11" name="_AuthorEmail">
    <vt:lpwstr>Marie.CHIROL@ec.europa.eu</vt:lpwstr>
  </property>
  <property fmtid="{D5CDD505-2E9C-101B-9397-08002B2CF9AE}" pid="12" name="_AuthorEmailDisplayName">
    <vt:lpwstr>CHIROL Marie (HR)</vt:lpwstr>
  </property>
  <property fmtid="{D5CDD505-2E9C-101B-9397-08002B2CF9AE}" pid="13" name="_PreviousAdHocReviewCycleID">
    <vt:i4>-325441731</vt:i4>
  </property>
  <property fmtid="{D5CDD505-2E9C-101B-9397-08002B2CF9AE}" pid="14" name="_ReviewingToolsShownOnce">
    <vt:lpwstr/>
  </property>
  <property fmtid="{D5CDD505-2E9C-101B-9397-08002B2CF9AE}" pid="15" name="DQCStatus">
    <vt:lpwstr>Yellow (DQC version 02)</vt:lpwstr>
  </property>
  <property name="OP_sanitized" fmtid="{D5CDD505-2E9C-101B-9397-08002B2CF9AE}" pid="16">
    <vt:lpwstr>True</vt:lpwstr>
  </property>
</Properties>
</file>