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80461" w14:textId="77777777" w:rsidR="00646AC2" w:rsidRPr="00EF1C52" w:rsidRDefault="007C4A32" w:rsidP="00DB3B98">
      <w:pPr>
        <w:jc w:val="center"/>
      </w:pPr>
      <w:r w:rsidRPr="00EF1C52">
        <w:rPr>
          <w:noProof/>
          <w:color w:val="2B579A"/>
          <w:shd w:val="clear" w:color="auto" w:fill="E6E6E6"/>
          <w:lang w:val="en-US"/>
        </w:rPr>
        <w:drawing>
          <wp:inline distT="0" distB="0" distL="0" distR="0">
            <wp:extent cx="1792605" cy="1239520"/>
            <wp:effectExtent l="0" t="0" r="0" b="0"/>
            <wp:docPr id="1" name="Picture 1" title="EESCLogo_SK"/>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8C74D9" w:rsidRPr="00EF1C52">
        <w:rPr>
          <w:noProof/>
          <w:sz w:val="20"/>
          <w:lang w:val="en-US"/>
        </w:rPr>
        <mc:AlternateContent>
          <mc:Choice Requires="wps">
            <w:drawing>
              <wp:anchor distT="0" distB="0" distL="114300" distR="114300" simplePos="0" relativeHeight="251658752" behindDoc="1" locked="0" layoutInCell="0" allowOverlap="1" wp14:anchorId="33961C81" wp14:editId="20D05E3A">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DA5BD" w14:textId="77777777" w:rsidR="004A45A3" w:rsidRPr="00DB3B98" w:rsidRDefault="004A45A3">
                            <w:pPr>
                              <w:jc w:val="center"/>
                              <w:rPr>
                                <w:rFonts w:ascii="Arial" w:hAnsi="Arial" w:cs="Arial"/>
                                <w:b/>
                                <w:bCs/>
                                <w:sz w:val="48"/>
                              </w:rPr>
                            </w:pPr>
                            <w:r>
                              <w:rPr>
                                <w:rFonts w:ascii="Arial" w:hAnsi="Arial"/>
                                <w:b/>
                                <w:bCs/>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61C81"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2E2DA5BD" w14:textId="77777777" w:rsidR="004A45A3" w:rsidRPr="00DB3B98" w:rsidRDefault="004A45A3">
                      <w:pPr>
                        <w:jc w:val="center"/>
                        <w:rPr>
                          <w:rFonts w:ascii="Arial" w:hAnsi="Arial" w:cs="Arial"/>
                          <w:b/>
                          <w:bCs/>
                          <w:sz w:val="48"/>
                        </w:rPr>
                      </w:pPr>
                      <w:r>
                        <w:rPr>
                          <w:rFonts w:ascii="Arial" w:hAnsi="Arial"/>
                          <w:b/>
                          <w:bCs/>
                          <w:sz w:val="48"/>
                        </w:rPr>
                        <w:t>SK</w:t>
                      </w:r>
                    </w:p>
                  </w:txbxContent>
                </v:textbox>
                <w10:wrap anchorx="page" anchory="page"/>
              </v:shape>
            </w:pict>
          </mc:Fallback>
        </mc:AlternateContent>
      </w:r>
    </w:p>
    <w:p w14:paraId="283C17A8" w14:textId="77777777" w:rsidR="008C74D9" w:rsidRPr="00EF1C52" w:rsidRDefault="008C74D9" w:rsidP="00DB3B98"/>
    <w:p w14:paraId="24645343" w14:textId="77777777" w:rsidR="00646AC2" w:rsidRPr="00EF1C52" w:rsidRDefault="000E609D" w:rsidP="00DB3B98">
      <w:pPr>
        <w:jc w:val="right"/>
        <w:rPr>
          <w:b/>
        </w:rPr>
      </w:pPr>
      <w:r w:rsidRPr="00EF1C52">
        <w:rPr>
          <w:b/>
        </w:rPr>
        <w:t>NAT/789</w:t>
      </w:r>
    </w:p>
    <w:p w14:paraId="37DAF2E7" w14:textId="77777777" w:rsidR="000E609D" w:rsidRPr="00EF1C52" w:rsidRDefault="000E609D" w:rsidP="00DB3B98">
      <w:pPr>
        <w:jc w:val="right"/>
        <w:rPr>
          <w:b/>
        </w:rPr>
      </w:pPr>
      <w:r w:rsidRPr="00EF1C52">
        <w:rPr>
          <w:b/>
        </w:rPr>
        <w:t>Vytvoriť európsku stratégiu pre udržateľnú spotrebu</w:t>
      </w:r>
    </w:p>
    <w:p w14:paraId="65A55F48" w14:textId="77777777" w:rsidR="000E609D" w:rsidRPr="00EF1C52" w:rsidRDefault="000E609D" w:rsidP="00DB3B98"/>
    <w:p w14:paraId="1445456B" w14:textId="77777777" w:rsidR="009B30AA" w:rsidRPr="00EF1C52" w:rsidRDefault="009B30AA" w:rsidP="00DB3B98"/>
    <w:p w14:paraId="4084E1CD" w14:textId="77777777" w:rsidR="00646AC2" w:rsidRPr="00EF1C52" w:rsidRDefault="007C3D38" w:rsidP="00DB3B98">
      <w:pPr>
        <w:jc w:val="center"/>
      </w:pPr>
      <w:r w:rsidRPr="00EF1C52">
        <w:rPr>
          <w:b/>
          <w:sz w:val="28"/>
        </w:rPr>
        <w:t>STANOVISK</w:t>
      </w:r>
      <w:r w:rsidR="00A85A68" w:rsidRPr="00EF1C52">
        <w:rPr>
          <w:b/>
          <w:sz w:val="28"/>
        </w:rPr>
        <w:t>O</w:t>
      </w:r>
      <w:r w:rsidRPr="00EF1C52">
        <w:br/>
      </w:r>
      <w:r w:rsidRPr="00EF1C52">
        <w:br/>
        <w:t>sekcia pre poľnohospodárstvo, rozvoj vidieka</w:t>
      </w:r>
      <w:r w:rsidR="00EF1C52">
        <w:t xml:space="preserve"> a </w:t>
      </w:r>
      <w:r w:rsidRPr="00EF1C52">
        <w:t>životné prostredie</w:t>
      </w:r>
      <w:r w:rsidRPr="00EF1C52">
        <w:br/>
      </w:r>
      <w:r w:rsidRPr="00EF1C52">
        <w:br/>
      </w:r>
      <w:r w:rsidRPr="00EF1C52">
        <w:rPr>
          <w:b/>
        </w:rPr>
        <w:t>Vytvoriť európsku stratégiu pre udržateľnú spotrebu</w:t>
      </w:r>
      <w:r w:rsidRPr="00EF1C52">
        <w:br/>
        <w:t>[stanovisko</w:t>
      </w:r>
      <w:r w:rsidR="00EF1C52">
        <w:t xml:space="preserve"> z </w:t>
      </w:r>
      <w:r w:rsidRPr="00EF1C52">
        <w:t>vlastnej iniciatívy]</w:t>
      </w:r>
    </w:p>
    <w:p w14:paraId="44D75DB3" w14:textId="77777777" w:rsidR="009B30AA" w:rsidRPr="00EF1C52" w:rsidRDefault="009B30AA" w:rsidP="00DB3B98">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4044B1" w:rsidRPr="00EF1C52" w14:paraId="7C846F17" w14:textId="77777777" w:rsidTr="004044B1">
        <w:tc>
          <w:tcPr>
            <w:tcW w:w="3085" w:type="dxa"/>
          </w:tcPr>
          <w:p w14:paraId="153268E8" w14:textId="77777777" w:rsidR="004044B1" w:rsidRPr="00EF1C52" w:rsidRDefault="004044B1" w:rsidP="00DB3B98">
            <w:pPr>
              <w:jc w:val="left"/>
            </w:pPr>
            <w:r w:rsidRPr="00EF1C52">
              <w:t>Kontakt</w:t>
            </w:r>
          </w:p>
        </w:tc>
        <w:tc>
          <w:tcPr>
            <w:tcW w:w="6204" w:type="dxa"/>
          </w:tcPr>
          <w:p w14:paraId="49EF4DB2" w14:textId="77777777" w:rsidR="00703CBA" w:rsidRPr="00EF1C52" w:rsidRDefault="000172F0" w:rsidP="00703CBA">
            <w:pPr>
              <w:jc w:val="left"/>
            </w:pPr>
            <w:hyperlink r:id="rId12" w:history="1">
              <w:r w:rsidR="00703CBA" w:rsidRPr="00EF1C52">
                <w:rPr>
                  <w:rStyle w:val="Hyperlink"/>
                </w:rPr>
                <w:t>nat@eesc.europa.eu</w:t>
              </w:r>
            </w:hyperlink>
          </w:p>
        </w:tc>
      </w:tr>
      <w:tr w:rsidR="004044B1" w:rsidRPr="00EF1C52" w14:paraId="196DC4A9" w14:textId="77777777" w:rsidTr="004044B1">
        <w:tc>
          <w:tcPr>
            <w:tcW w:w="3085" w:type="dxa"/>
          </w:tcPr>
          <w:p w14:paraId="7FA6C5DB" w14:textId="77777777" w:rsidR="004044B1" w:rsidRPr="00EF1C52" w:rsidRDefault="004044B1" w:rsidP="00DB3B98">
            <w:pPr>
              <w:jc w:val="left"/>
            </w:pPr>
            <w:r w:rsidRPr="00EF1C52">
              <w:t>Administrátorka</w:t>
            </w:r>
          </w:p>
        </w:tc>
        <w:tc>
          <w:tcPr>
            <w:tcW w:w="6204" w:type="dxa"/>
          </w:tcPr>
          <w:p w14:paraId="3C01502E" w14:textId="77777777" w:rsidR="004044B1" w:rsidRPr="00EF1C52" w:rsidRDefault="004044B1" w:rsidP="00DB3B98">
            <w:pPr>
              <w:jc w:val="left"/>
            </w:pPr>
            <w:r w:rsidRPr="00EF1C52">
              <w:t>Monica GUARINONI</w:t>
            </w:r>
          </w:p>
        </w:tc>
      </w:tr>
      <w:tr w:rsidR="004044B1" w:rsidRPr="00EF1C52" w14:paraId="458E1197" w14:textId="77777777" w:rsidTr="004044B1">
        <w:tc>
          <w:tcPr>
            <w:tcW w:w="3085" w:type="dxa"/>
          </w:tcPr>
          <w:p w14:paraId="231E59F8" w14:textId="77777777" w:rsidR="004044B1" w:rsidRPr="00EF1C52" w:rsidRDefault="004044B1" w:rsidP="00DB3B98">
            <w:pPr>
              <w:jc w:val="left"/>
            </w:pPr>
            <w:r w:rsidRPr="00EF1C52">
              <w:t>Dátum dokumentu</w:t>
            </w:r>
          </w:p>
        </w:tc>
        <w:tc>
          <w:tcPr>
            <w:tcW w:w="6204" w:type="dxa"/>
          </w:tcPr>
          <w:p w14:paraId="5E6E3903" w14:textId="77777777" w:rsidR="004044B1" w:rsidRPr="00EF1C52" w:rsidRDefault="00005796" w:rsidP="00DB3B98">
            <w:pPr>
              <w:jc w:val="left"/>
            </w:pPr>
            <w:r w:rsidRPr="00EF1C52">
              <w:t>30/06/2020</w:t>
            </w:r>
          </w:p>
        </w:tc>
      </w:tr>
    </w:tbl>
    <w:p w14:paraId="76459E1A" w14:textId="77777777" w:rsidR="00E32DC6" w:rsidRPr="00EF1C52" w:rsidRDefault="007F5E0D" w:rsidP="00DB3B98">
      <w:pPr>
        <w:jc w:val="center"/>
      </w:pPr>
      <w:r w:rsidRPr="00EF1C52">
        <w:t xml:space="preserve">Spravodajca: </w:t>
      </w:r>
      <w:r w:rsidRPr="00EF1C52">
        <w:rPr>
          <w:b/>
        </w:rPr>
        <w:t>Peter SCHMIDT</w:t>
      </w:r>
    </w:p>
    <w:p w14:paraId="67CF39E3" w14:textId="77777777" w:rsidR="00E32DC6" w:rsidRPr="00EF1C52" w:rsidRDefault="00E32DC6" w:rsidP="00DB3B98"/>
    <w:p w14:paraId="6C6D15F6" w14:textId="77777777" w:rsidR="00E32DC6" w:rsidRPr="00EF1C52" w:rsidRDefault="00E32DC6" w:rsidP="00DB3B98">
      <w:pPr>
        <w:sectPr w:rsidR="00E32DC6" w:rsidRPr="00EF1C52" w:rsidSect="00EF1C52">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7E50BF" w:rsidRPr="00EF1C52" w14:paraId="51F17B71" w14:textId="77777777" w:rsidTr="00703CBA">
        <w:tc>
          <w:tcPr>
            <w:tcW w:w="3055" w:type="dxa"/>
          </w:tcPr>
          <w:p w14:paraId="2FF08145" w14:textId="77777777" w:rsidR="007E50BF" w:rsidRPr="00EF1C52" w:rsidRDefault="007E50BF" w:rsidP="00DB3B98">
            <w:pPr>
              <w:jc w:val="left"/>
            </w:pPr>
            <w:r w:rsidRPr="00EF1C52">
              <w:lastRenderedPageBreak/>
              <w:t>Rozhodnutie plenárneho zhromaždenia</w:t>
            </w:r>
          </w:p>
        </w:tc>
        <w:tc>
          <w:tcPr>
            <w:tcW w:w="6018" w:type="dxa"/>
            <w:vAlign w:val="bottom"/>
          </w:tcPr>
          <w:p w14:paraId="389BF422" w14:textId="77777777" w:rsidR="007E50BF" w:rsidRPr="00EF1C52" w:rsidRDefault="004E180F" w:rsidP="00DB3B98">
            <w:pPr>
              <w:jc w:val="left"/>
            </w:pPr>
            <w:r w:rsidRPr="00EF1C52">
              <w:t>20/02/2020</w:t>
            </w:r>
          </w:p>
        </w:tc>
      </w:tr>
      <w:tr w:rsidR="00243E36" w:rsidRPr="00EF1C52" w14:paraId="2A329A2C" w14:textId="77777777" w:rsidTr="00574FA0">
        <w:tc>
          <w:tcPr>
            <w:tcW w:w="3055" w:type="dxa"/>
          </w:tcPr>
          <w:p w14:paraId="381975A5" w14:textId="77777777" w:rsidR="00243E36" w:rsidRPr="00EF1C52" w:rsidRDefault="00243E36" w:rsidP="00DB3B98">
            <w:pPr>
              <w:jc w:val="left"/>
            </w:pPr>
            <w:r w:rsidRPr="00EF1C52">
              <w:t>Právny základ</w:t>
            </w:r>
          </w:p>
        </w:tc>
        <w:tc>
          <w:tcPr>
            <w:tcW w:w="6018" w:type="dxa"/>
          </w:tcPr>
          <w:p w14:paraId="43C2FB61" w14:textId="77777777" w:rsidR="00243E36" w:rsidRPr="00EF1C52" w:rsidRDefault="00243E36" w:rsidP="00DB3B98">
            <w:pPr>
              <w:jc w:val="left"/>
            </w:pPr>
            <w:r w:rsidRPr="00EF1C52">
              <w:t>článok 32 ods. 2 rokovacieho poriadku</w:t>
            </w:r>
          </w:p>
        </w:tc>
      </w:tr>
      <w:tr w:rsidR="00243E36" w:rsidRPr="00EF1C52" w14:paraId="65F78BF6" w14:textId="77777777" w:rsidTr="00574FA0">
        <w:tc>
          <w:tcPr>
            <w:tcW w:w="3055" w:type="dxa"/>
          </w:tcPr>
          <w:p w14:paraId="72514CF8" w14:textId="77777777" w:rsidR="00243E36" w:rsidRPr="00EF1C52" w:rsidRDefault="00243E36" w:rsidP="00DB3B98">
            <w:pPr>
              <w:jc w:val="left"/>
            </w:pPr>
          </w:p>
        </w:tc>
        <w:tc>
          <w:tcPr>
            <w:tcW w:w="6018" w:type="dxa"/>
          </w:tcPr>
          <w:p w14:paraId="3402AEC5" w14:textId="77777777" w:rsidR="00243E36" w:rsidRPr="00EF1C52" w:rsidRDefault="00243E36" w:rsidP="00DB3B98">
            <w:pPr>
              <w:jc w:val="left"/>
            </w:pPr>
            <w:r w:rsidRPr="00EF1C52">
              <w:t>stanovisko</w:t>
            </w:r>
            <w:r w:rsidR="00EF1C52">
              <w:t xml:space="preserve"> z </w:t>
            </w:r>
            <w:r w:rsidRPr="00EF1C52">
              <w:t>vlastnej iniciatívy</w:t>
            </w:r>
          </w:p>
        </w:tc>
      </w:tr>
      <w:tr w:rsidR="00BA1290" w:rsidRPr="00EF1C52" w14:paraId="25E4ED16" w14:textId="77777777" w:rsidTr="00574FA0">
        <w:tc>
          <w:tcPr>
            <w:tcW w:w="3055" w:type="dxa"/>
          </w:tcPr>
          <w:p w14:paraId="64C158BF" w14:textId="77777777" w:rsidR="00BA1290" w:rsidRPr="00EF1C52" w:rsidRDefault="00BA1290" w:rsidP="00DB3B98">
            <w:pPr>
              <w:jc w:val="left"/>
            </w:pPr>
          </w:p>
        </w:tc>
        <w:tc>
          <w:tcPr>
            <w:tcW w:w="6018" w:type="dxa"/>
          </w:tcPr>
          <w:p w14:paraId="6876854E" w14:textId="77777777" w:rsidR="00BA1290" w:rsidRPr="00EF1C52" w:rsidRDefault="00BA1290" w:rsidP="00DB3B98">
            <w:pPr>
              <w:jc w:val="left"/>
            </w:pPr>
          </w:p>
        </w:tc>
      </w:tr>
      <w:tr w:rsidR="00DF5B64" w:rsidRPr="00EF1C52" w14:paraId="35368BF1" w14:textId="77777777" w:rsidTr="00574FA0">
        <w:tc>
          <w:tcPr>
            <w:tcW w:w="3055" w:type="dxa"/>
          </w:tcPr>
          <w:p w14:paraId="5A68201C" w14:textId="77777777" w:rsidR="00DF5B64" w:rsidRPr="00EF1C52" w:rsidRDefault="00AD4B4F" w:rsidP="00DB3B98">
            <w:pPr>
              <w:jc w:val="left"/>
            </w:pPr>
            <w:r w:rsidRPr="00EF1C52">
              <w:t>Príslušná sekcia</w:t>
            </w:r>
          </w:p>
        </w:tc>
        <w:tc>
          <w:tcPr>
            <w:tcW w:w="6018" w:type="dxa"/>
          </w:tcPr>
          <w:p w14:paraId="67A4B812" w14:textId="77777777" w:rsidR="00DF5B64" w:rsidRPr="00EF1C52" w:rsidRDefault="004E180F" w:rsidP="00DB3B98">
            <w:pPr>
              <w:jc w:val="left"/>
            </w:pPr>
            <w:r w:rsidRPr="00EF1C52">
              <w:t>sekcia pre poľnohospodárstvo, rozvoj vidieka</w:t>
            </w:r>
            <w:r w:rsidR="00EF1C52">
              <w:t xml:space="preserve"> a </w:t>
            </w:r>
            <w:r w:rsidRPr="00EF1C52">
              <w:t>životné prostredie</w:t>
            </w:r>
          </w:p>
        </w:tc>
      </w:tr>
      <w:tr w:rsidR="00A156E6" w:rsidRPr="00EF1C52" w14:paraId="7401648D" w14:textId="77777777" w:rsidTr="00574FA0">
        <w:tc>
          <w:tcPr>
            <w:tcW w:w="3055" w:type="dxa"/>
          </w:tcPr>
          <w:p w14:paraId="08A36AA1" w14:textId="77777777" w:rsidR="00A156E6" w:rsidRPr="00EF1C52" w:rsidRDefault="00A156E6" w:rsidP="00DB3B98">
            <w:pPr>
              <w:jc w:val="left"/>
            </w:pPr>
            <w:r w:rsidRPr="00EF1C52">
              <w:t>Prijaté</w:t>
            </w:r>
            <w:r w:rsidR="00EF1C52">
              <w:t xml:space="preserve"> v </w:t>
            </w:r>
            <w:r w:rsidRPr="00EF1C52">
              <w:t>sekcii</w:t>
            </w:r>
          </w:p>
        </w:tc>
        <w:tc>
          <w:tcPr>
            <w:tcW w:w="6018" w:type="dxa"/>
          </w:tcPr>
          <w:p w14:paraId="003E604F" w14:textId="77777777" w:rsidR="00A156E6" w:rsidRPr="00EF1C52" w:rsidRDefault="00EF1C52" w:rsidP="00DB3B98">
            <w:pPr>
              <w:jc w:val="left"/>
            </w:pPr>
            <w:r w:rsidRPr="00EF1C52">
              <w:t>08/07/2020</w:t>
            </w:r>
          </w:p>
        </w:tc>
      </w:tr>
      <w:tr w:rsidR="00A156E6" w:rsidRPr="00EF1C52" w14:paraId="5F0DBE63" w14:textId="77777777" w:rsidTr="00574FA0">
        <w:tc>
          <w:tcPr>
            <w:tcW w:w="3055" w:type="dxa"/>
          </w:tcPr>
          <w:p w14:paraId="747B7BB8" w14:textId="77777777" w:rsidR="00A156E6" w:rsidRPr="00EF1C52" w:rsidRDefault="00A156E6" w:rsidP="00DB3B98">
            <w:pPr>
              <w:jc w:val="left"/>
            </w:pPr>
            <w:r w:rsidRPr="00EF1C52">
              <w:t>Prijaté</w:t>
            </w:r>
            <w:r w:rsidR="00EF1C52">
              <w:t xml:space="preserve"> v </w:t>
            </w:r>
            <w:r w:rsidRPr="00EF1C52">
              <w:t>pléne</w:t>
            </w:r>
          </w:p>
        </w:tc>
        <w:tc>
          <w:tcPr>
            <w:tcW w:w="6018" w:type="dxa"/>
          </w:tcPr>
          <w:p w14:paraId="40462BDE" w14:textId="77777777" w:rsidR="00A156E6" w:rsidRPr="00EF1C52" w:rsidRDefault="003439AB" w:rsidP="00DB3B98">
            <w:pPr>
              <w:jc w:val="left"/>
            </w:pPr>
            <w:r w:rsidRPr="00EF1C52">
              <w:t>DD/MM/YYYY</w:t>
            </w:r>
          </w:p>
        </w:tc>
      </w:tr>
      <w:tr w:rsidR="00BA1290" w:rsidRPr="00EF1C52" w14:paraId="1F16597A" w14:textId="77777777" w:rsidTr="00574FA0">
        <w:tc>
          <w:tcPr>
            <w:tcW w:w="3055" w:type="dxa"/>
          </w:tcPr>
          <w:p w14:paraId="2D4DB488" w14:textId="77777777" w:rsidR="00BA1290" w:rsidRPr="00EF1C52" w:rsidRDefault="00BA1290" w:rsidP="00DB3B98">
            <w:pPr>
              <w:jc w:val="left"/>
            </w:pPr>
            <w:r w:rsidRPr="00EF1C52">
              <w:t>Plenárne zasadnutie č.</w:t>
            </w:r>
          </w:p>
        </w:tc>
        <w:tc>
          <w:tcPr>
            <w:tcW w:w="6018" w:type="dxa"/>
          </w:tcPr>
          <w:p w14:paraId="191393B6" w14:textId="77777777" w:rsidR="00BA1290" w:rsidRPr="00EF1C52" w:rsidRDefault="00BA1290" w:rsidP="00DB3B98">
            <w:pPr>
              <w:jc w:val="left"/>
            </w:pPr>
            <w:r w:rsidRPr="00EF1C52">
              <w:t>…</w:t>
            </w:r>
          </w:p>
        </w:tc>
      </w:tr>
      <w:tr w:rsidR="00A156E6" w:rsidRPr="00EF1C52" w14:paraId="710A1B4E" w14:textId="77777777" w:rsidTr="00574FA0">
        <w:tc>
          <w:tcPr>
            <w:tcW w:w="3055" w:type="dxa"/>
          </w:tcPr>
          <w:p w14:paraId="3773652D" w14:textId="77777777" w:rsidR="00D423D4" w:rsidRPr="00EF1C52" w:rsidRDefault="0043024C" w:rsidP="00DB3B98">
            <w:pPr>
              <w:jc w:val="left"/>
            </w:pPr>
            <w:r w:rsidRPr="00EF1C52">
              <w:t>Výsledok hlasovania</w:t>
            </w:r>
            <w:r w:rsidRPr="00EF1C52">
              <w:br/>
              <w:t>(za/proti/zdržalo sa)</w:t>
            </w:r>
          </w:p>
        </w:tc>
        <w:tc>
          <w:tcPr>
            <w:tcW w:w="6018" w:type="dxa"/>
            <w:vAlign w:val="bottom"/>
          </w:tcPr>
          <w:p w14:paraId="60FD509A" w14:textId="77777777" w:rsidR="00A156E6" w:rsidRPr="00EF1C52" w:rsidRDefault="00A156E6" w:rsidP="00DB3B98">
            <w:pPr>
              <w:jc w:val="left"/>
            </w:pPr>
            <w:r w:rsidRPr="00EF1C52">
              <w:t>…/…/…</w:t>
            </w:r>
          </w:p>
        </w:tc>
      </w:tr>
    </w:tbl>
    <w:p w14:paraId="2BC666BD" w14:textId="77777777" w:rsidR="00646AC2" w:rsidRPr="00EF1C52" w:rsidRDefault="00646AC2" w:rsidP="00DB3B98">
      <w:r w:rsidRPr="00EF1C52">
        <w:br w:type="page"/>
      </w:r>
    </w:p>
    <w:p w14:paraId="75602D9C" w14:textId="77777777" w:rsidR="00011D33" w:rsidRPr="00EF1C52" w:rsidRDefault="00011D33" w:rsidP="00703CBA">
      <w:pPr>
        <w:pStyle w:val="Heading1"/>
        <w:keepNext/>
        <w:keepLines/>
      </w:pPr>
      <w:r w:rsidRPr="00EF1C52">
        <w:rPr>
          <w:b/>
        </w:rPr>
        <w:t>Závery</w:t>
      </w:r>
      <w:r w:rsidR="00EF1C52">
        <w:rPr>
          <w:b/>
        </w:rPr>
        <w:t xml:space="preserve"> a </w:t>
      </w:r>
      <w:r w:rsidRPr="00EF1C52">
        <w:rPr>
          <w:b/>
        </w:rPr>
        <w:t>odporúčania</w:t>
      </w:r>
    </w:p>
    <w:p w14:paraId="05C2A86B" w14:textId="77777777" w:rsidR="00011D33" w:rsidRPr="00EF1C52" w:rsidRDefault="00011D33" w:rsidP="00703CBA">
      <w:pPr>
        <w:keepNext/>
        <w:keepLines/>
      </w:pPr>
    </w:p>
    <w:p w14:paraId="17C3D655" w14:textId="77777777" w:rsidR="00713422" w:rsidRPr="00EF1C52" w:rsidRDefault="00713422" w:rsidP="00DB3B98">
      <w:pPr>
        <w:pStyle w:val="Heading2"/>
      </w:pPr>
      <w:r w:rsidRPr="00EF1C52">
        <w:t>Pandémia COVID-19 odhalila krehkosť dodávateľských reťazcov. Opätovné vybudovanie hospodárstva po kríze bude príležitosťou na prehodnotenie našej spoločnosti</w:t>
      </w:r>
      <w:r w:rsidR="00EF1C52">
        <w:t xml:space="preserve"> a </w:t>
      </w:r>
      <w:r w:rsidRPr="00EF1C52">
        <w:t>rozvoj nového modelu prosperity. Presunutie priorít smerom</w:t>
      </w:r>
      <w:r w:rsidR="00EF1C52">
        <w:t xml:space="preserve"> k </w:t>
      </w:r>
      <w:r w:rsidRPr="00EF1C52">
        <w:t>udržateľnejším spôsobom výroby, distribúcie</w:t>
      </w:r>
      <w:r w:rsidR="00EF1C52">
        <w:t xml:space="preserve"> a </w:t>
      </w:r>
      <w:r w:rsidRPr="00EF1C52">
        <w:t>spotreby</w:t>
      </w:r>
      <w:r w:rsidR="00EF1C52">
        <w:t xml:space="preserve"> a </w:t>
      </w:r>
      <w:r w:rsidRPr="00EF1C52">
        <w:t>zvýšenie odolnosti všetkých aktérov</w:t>
      </w:r>
      <w:r w:rsidR="00EF1C52">
        <w:t xml:space="preserve"> v </w:t>
      </w:r>
      <w:r w:rsidRPr="00EF1C52">
        <w:t>dodávateľských reťazcoch voči krízam už nie je voľbou, ale nevyhnutnosťou. Odolnosť poľnohospodárov, ktorí dorábajú naše potraviny, alebo pracovníkov, ktorí vyrábajú naše oblečenie, je rovnako dôležitá ako odolnosť dovážajúcich spoločností, výrobcov, veľkoobchodníkov, MSP alebo maloobchodných reťazcov</w:t>
      </w:r>
      <w:r w:rsidR="00EF1C52">
        <w:t xml:space="preserve"> v </w:t>
      </w:r>
      <w:r w:rsidRPr="00EF1C52">
        <w:t>Európe.</w:t>
      </w:r>
    </w:p>
    <w:p w14:paraId="4F023CF7" w14:textId="77777777" w:rsidR="00713422" w:rsidRPr="00EF1C52" w:rsidRDefault="00713422" w:rsidP="00DB3B98"/>
    <w:p w14:paraId="23E9B184" w14:textId="77777777" w:rsidR="00713422" w:rsidRPr="00EF1C52" w:rsidRDefault="00713422" w:rsidP="00DB3B98">
      <w:pPr>
        <w:pStyle w:val="Heading2"/>
      </w:pPr>
      <w:r w:rsidRPr="00EF1C52">
        <w:t>EHS</w:t>
      </w:r>
      <w:r w:rsidR="00703CBA" w:rsidRPr="00EF1C52">
        <w:t>V </w:t>
      </w:r>
      <w:r w:rsidRPr="00EF1C52">
        <w:t>žiada komplexnú stratégiu EÚ pre udržateľnú spotrebu. Najudržateľnejšia voľba by mala byť najjednoduchšou voľbou pre občanov. Vyžaduje si to systémovú zmenu spôsobu, akým vyrábame</w:t>
      </w:r>
      <w:r w:rsidR="00EF1C52">
        <w:t xml:space="preserve"> a </w:t>
      </w:r>
      <w:r w:rsidRPr="00EF1C52">
        <w:t>spotrebúvame. Je potrebné lepšie si uvedomiť najmä zodpovednosť výrobcov</w:t>
      </w:r>
      <w:r w:rsidR="0020470C" w:rsidRPr="00EF1C52">
        <w:rPr>
          <w:rStyle w:val="FootnoteReference"/>
        </w:rPr>
        <w:footnoteReference w:id="2"/>
      </w:r>
      <w:r w:rsidRPr="00EF1C52">
        <w:t xml:space="preserve"> za riešenie neudržateľnej spotreby. Keďže trhy neprinášajú udržateľné výsledky automaticky, je potrebná stratégia na vytvorenie regulačného kontextu</w:t>
      </w:r>
      <w:r w:rsidR="00EF1C52">
        <w:t xml:space="preserve"> a </w:t>
      </w:r>
      <w:r w:rsidRPr="00EF1C52">
        <w:t>strategického smerovania tak pre súkromný sektor (aj prostredníctvom obehových</w:t>
      </w:r>
      <w:r w:rsidR="00EF1C52">
        <w:t xml:space="preserve"> a </w:t>
      </w:r>
      <w:r w:rsidRPr="00EF1C52">
        <w:t>udržateľných obchodných modelov), ako aj pre verejné orgány (napr. prostredníctvom verejného obstarávania).</w:t>
      </w:r>
    </w:p>
    <w:p w14:paraId="0F26D0F3" w14:textId="77777777" w:rsidR="00713422" w:rsidRPr="00EF1C52" w:rsidRDefault="00713422" w:rsidP="00DB3B98"/>
    <w:p w14:paraId="5F2AAA01" w14:textId="77777777" w:rsidR="00713422" w:rsidRPr="00EF1C52" w:rsidRDefault="00713422" w:rsidP="00DB3B98">
      <w:pPr>
        <w:pStyle w:val="Heading2"/>
      </w:pPr>
      <w:r w:rsidRPr="00EF1C52">
        <w:t>Sociálny rozmer sa musí</w:t>
      </w:r>
      <w:r w:rsidR="00EF1C52">
        <w:t xml:space="preserve"> v </w:t>
      </w:r>
      <w:r w:rsidRPr="00EF1C52">
        <w:t>plnej miere začleniť do stratégie spolu</w:t>
      </w:r>
      <w:r w:rsidR="00EF1C52">
        <w:t xml:space="preserve"> s </w:t>
      </w:r>
      <w:r w:rsidRPr="00EF1C52">
        <w:t>hospodárskym</w:t>
      </w:r>
      <w:r w:rsidR="00EF1C52">
        <w:t xml:space="preserve"> a </w:t>
      </w:r>
      <w:r w:rsidRPr="00EF1C52">
        <w:t>environmentálnym rozmerom, aby sa dosiahla veľmi potrebná súdržnosť politík</w:t>
      </w:r>
      <w:r w:rsidR="00EF1C52">
        <w:t xml:space="preserve"> v </w:t>
      </w:r>
      <w:r w:rsidRPr="00EF1C52">
        <w:t>záujme udržateľného rozvoja. EÚ sa príliš dlho sústreďovala na trhové riešenia</w:t>
      </w:r>
      <w:r w:rsidR="00EF1C52">
        <w:t xml:space="preserve"> a </w:t>
      </w:r>
      <w:r w:rsidRPr="00EF1C52">
        <w:t>zanedbala rozmer občanov</w:t>
      </w:r>
      <w:r w:rsidR="00EF1C52">
        <w:t xml:space="preserve"> a </w:t>
      </w:r>
      <w:r w:rsidRPr="00EF1C52">
        <w:t>pracovníkov. Medzi kritériá udržateľnosti by sa malo zaradiť zlepšenie pracovných podmienok, minimálne mzdy, sociálna ochrana, investície do verejných služieb, inkluzívna správa vecí verejných, spravodlivé zdanenie atď. Prispelo by to</w:t>
      </w:r>
      <w:r w:rsidR="00EF1C52">
        <w:t xml:space="preserve"> k </w:t>
      </w:r>
      <w:r w:rsidRPr="00EF1C52">
        <w:t>tomu, aby naše výrobné</w:t>
      </w:r>
      <w:r w:rsidR="00EF1C52">
        <w:t xml:space="preserve"> a </w:t>
      </w:r>
      <w:r w:rsidRPr="00EF1C52">
        <w:t>spotrebné systémy boli</w:t>
      </w:r>
      <w:r w:rsidR="00EF1C52">
        <w:t xml:space="preserve"> z </w:t>
      </w:r>
      <w:r w:rsidRPr="00EF1C52">
        <w:t>dlhodobého hľadiska spravodlivejšie</w:t>
      </w:r>
      <w:r w:rsidR="00EF1C52">
        <w:t xml:space="preserve"> a </w:t>
      </w:r>
      <w:r w:rsidRPr="00EF1C52">
        <w:t>udržateľnejšie. Prispelo by to aj</w:t>
      </w:r>
      <w:r w:rsidR="00EF1C52">
        <w:t xml:space="preserve"> k </w:t>
      </w:r>
      <w:r w:rsidR="00703CBA" w:rsidRPr="00EF1C52">
        <w:t>vykonávaniu Agendy </w:t>
      </w:r>
      <w:r w:rsidRPr="00EF1C52">
        <w:t>2030</w:t>
      </w:r>
      <w:r w:rsidR="00703CBA" w:rsidRPr="00EF1C52">
        <w:t> </w:t>
      </w:r>
      <w:r w:rsidRPr="00EF1C52">
        <w:t>OSN.</w:t>
      </w:r>
    </w:p>
    <w:p w14:paraId="02C8DD41" w14:textId="77777777" w:rsidR="00713422" w:rsidRPr="00EF1C52" w:rsidRDefault="00713422" w:rsidP="00DB3B98"/>
    <w:p w14:paraId="6EDCC7E0" w14:textId="77777777" w:rsidR="00713422" w:rsidRPr="00EF1C52" w:rsidRDefault="00703CBA" w:rsidP="00DB3B98">
      <w:pPr>
        <w:pStyle w:val="Heading2"/>
      </w:pPr>
      <w:r w:rsidRPr="00EF1C52">
        <w:t>V </w:t>
      </w:r>
      <w:r w:rsidR="00713422" w:rsidRPr="00EF1C52">
        <w:t>rámci stratégie EÚ pre udržateľnú spotrebu by sa mala venovať osobitná pozornosť vplyvu na zraniteľné skupiny obyvateľstva</w:t>
      </w:r>
      <w:r w:rsidR="00EF1C52">
        <w:t xml:space="preserve"> a </w:t>
      </w:r>
      <w:r w:rsidR="00713422" w:rsidRPr="00EF1C52">
        <w:t>domácnosti</w:t>
      </w:r>
      <w:r w:rsidR="00EF1C52">
        <w:t xml:space="preserve"> s </w:t>
      </w:r>
      <w:r w:rsidR="00713422" w:rsidRPr="00EF1C52">
        <w:t>nízkymi príjmami, ktoré boli –</w:t>
      </w:r>
      <w:r w:rsidR="00EF1C52">
        <w:t xml:space="preserve"> a </w:t>
      </w:r>
      <w:r w:rsidR="00713422" w:rsidRPr="00EF1C52">
        <w:t>budú</w:t>
      </w:r>
      <w:r w:rsidR="00EF1C52">
        <w:t xml:space="preserve"> i </w:t>
      </w:r>
      <w:r w:rsidR="00713422" w:rsidRPr="00EF1C52">
        <w:t>naďalej – obzvlášť zasiahnuté súčasnou krízou, pričom by sa mala venovať pozornosť aj dosahu na zraniteľné subjekty</w:t>
      </w:r>
      <w:r w:rsidR="00EF1C52">
        <w:t xml:space="preserve"> v </w:t>
      </w:r>
      <w:r w:rsidR="00713422" w:rsidRPr="00EF1C52">
        <w:t>dodávateľskom reťazci vrátane poľnohospodárov</w:t>
      </w:r>
      <w:r w:rsidR="00EF1C52">
        <w:t xml:space="preserve"> a </w:t>
      </w:r>
      <w:r w:rsidR="00713422" w:rsidRPr="00EF1C52">
        <w:t>pracovníkov. Udržateľné výrobky</w:t>
      </w:r>
      <w:r w:rsidR="00EF1C52">
        <w:t xml:space="preserve"> a </w:t>
      </w:r>
      <w:r w:rsidR="00713422" w:rsidRPr="00EF1C52">
        <w:t>služby by mali byť prístupné</w:t>
      </w:r>
      <w:r w:rsidR="00EF1C52">
        <w:t xml:space="preserve"> a </w:t>
      </w:r>
      <w:r w:rsidR="00713422" w:rsidRPr="00EF1C52">
        <w:t>cenovo dostupné pre všetkých.</w:t>
      </w:r>
    </w:p>
    <w:p w14:paraId="26ECBE3C" w14:textId="77777777" w:rsidR="00713422" w:rsidRPr="00EF1C52" w:rsidRDefault="00713422" w:rsidP="00DB3B98"/>
    <w:p w14:paraId="634AD6E4" w14:textId="77777777" w:rsidR="00713422" w:rsidRPr="00EF1C52" w:rsidRDefault="00703CBA" w:rsidP="00DB3B98">
      <w:pPr>
        <w:pStyle w:val="Heading2"/>
      </w:pPr>
      <w:r w:rsidRPr="00EF1C52">
        <w:t>V </w:t>
      </w:r>
      <w:r w:rsidR="00713422" w:rsidRPr="00EF1C52">
        <w:t>krátkodobom</w:t>
      </w:r>
      <w:r w:rsidR="00EF1C52">
        <w:t xml:space="preserve"> a </w:t>
      </w:r>
      <w:r w:rsidR="00713422" w:rsidRPr="00EF1C52">
        <w:t>strednodobom horizonte by sa všetky príslušné politické nástroje (napr. verejné obstarávanie, označovanie, zdaňovanie atď.) mali lepšie koordinovať</w:t>
      </w:r>
      <w:r w:rsidR="00EF1C52">
        <w:t xml:space="preserve"> a </w:t>
      </w:r>
      <w:r w:rsidR="00713422" w:rsidRPr="00EF1C52">
        <w:t>zamerať na túto víziu. Na prekonanie súčasnej fragmentácie politík EÚ</w:t>
      </w:r>
      <w:r w:rsidR="00EF1C52">
        <w:t xml:space="preserve"> a </w:t>
      </w:r>
      <w:r w:rsidR="00713422" w:rsidRPr="00EF1C52">
        <w:t>tzv. kontajnerovému prístupu je potrebný harmonizovanejší prístup.</w:t>
      </w:r>
    </w:p>
    <w:p w14:paraId="4922D387" w14:textId="77777777" w:rsidR="00713422" w:rsidRPr="00EF1C52" w:rsidRDefault="00713422" w:rsidP="00DB3B98"/>
    <w:p w14:paraId="5819AEB2" w14:textId="77777777" w:rsidR="00713422" w:rsidRPr="00EF1C52" w:rsidRDefault="00703CBA" w:rsidP="00DB3B98">
      <w:pPr>
        <w:pStyle w:val="Heading2"/>
        <w:keepNext/>
      </w:pPr>
      <w:r w:rsidRPr="00EF1C52">
        <w:t>V </w:t>
      </w:r>
      <w:r w:rsidR="00713422" w:rsidRPr="00EF1C52">
        <w:t>súvislosti</w:t>
      </w:r>
      <w:r w:rsidR="00EF1C52">
        <w:t xml:space="preserve"> s </w:t>
      </w:r>
      <w:r w:rsidR="00713422" w:rsidRPr="00EF1C52">
        <w:t>obnovou po odznení pandémie COVID-19 EHS</w:t>
      </w:r>
      <w:r w:rsidRPr="00EF1C52">
        <w:t>V </w:t>
      </w:r>
      <w:r w:rsidR="00713422" w:rsidRPr="00EF1C52">
        <w:t>žiada Komisiu, Parlament</w:t>
      </w:r>
      <w:r w:rsidR="00EF1C52">
        <w:t xml:space="preserve"> a </w:t>
      </w:r>
      <w:r w:rsidR="00713422" w:rsidRPr="00EF1C52">
        <w:t>členské štáty, aby úzko spolupracovali</w:t>
      </w:r>
      <w:r w:rsidR="00EF1C52">
        <w:t xml:space="preserve"> s </w:t>
      </w:r>
      <w:r w:rsidR="00713422" w:rsidRPr="00EF1C52">
        <w:t>EHS</w:t>
      </w:r>
      <w:r w:rsidRPr="00EF1C52">
        <w:t>V </w:t>
      </w:r>
      <w:r w:rsidR="00713422" w:rsidRPr="00EF1C52">
        <w:t>na vypracovaní zásadného</w:t>
      </w:r>
      <w:r w:rsidR="00EF1C52">
        <w:t xml:space="preserve"> a </w:t>
      </w:r>
      <w:r w:rsidR="00713422" w:rsidRPr="00EF1C52">
        <w:t>koordinovaného programu integrovaných politík, ktorý pomôže Európe pri „lepšej opätovnej výstavbe“</w:t>
      </w:r>
      <w:r w:rsidR="00EF1C52">
        <w:t xml:space="preserve"> a </w:t>
      </w:r>
      <w:r w:rsidR="00713422" w:rsidRPr="00EF1C52">
        <w:t>vytvorí podmienky pre komplexnú stratégiu EÚ pre udržateľnú spotrebu. EHS</w:t>
      </w:r>
      <w:r w:rsidRPr="00EF1C52">
        <w:t>V </w:t>
      </w:r>
      <w:r w:rsidR="00713422" w:rsidRPr="00EF1C52">
        <w:t>odporúča vykonať tieto konkrétne kroky:</w:t>
      </w:r>
    </w:p>
    <w:p w14:paraId="6C4FB588" w14:textId="77777777" w:rsidR="00713422" w:rsidRPr="00EF1C52" w:rsidRDefault="00713422" w:rsidP="00703CBA">
      <w:pPr>
        <w:spacing w:line="240" w:lineRule="auto"/>
      </w:pPr>
    </w:p>
    <w:p w14:paraId="48F41E90" w14:textId="77777777" w:rsidR="00713422" w:rsidRPr="00EF1C52" w:rsidRDefault="00713422" w:rsidP="00DB3B98">
      <w:pPr>
        <w:pStyle w:val="Heading3"/>
        <w:numPr>
          <w:ilvl w:val="0"/>
          <w:numId w:val="67"/>
        </w:numPr>
        <w:ind w:left="851" w:hanging="284"/>
      </w:pPr>
      <w:r w:rsidRPr="00EF1C52">
        <w:t>Zaviesť produktové normy</w:t>
      </w:r>
      <w:r w:rsidR="00EF1C52">
        <w:t xml:space="preserve"> a </w:t>
      </w:r>
      <w:r w:rsidRPr="00EF1C52">
        <w:t>zákazy podporujúce udržateľnosť, t.</w:t>
      </w:r>
      <w:r w:rsidR="00703CBA" w:rsidRPr="00EF1C52">
        <w:t> </w:t>
      </w:r>
      <w:r w:rsidRPr="00EF1C52">
        <w:t>j. normy podporujúce dlhšiu životnosť</w:t>
      </w:r>
      <w:r w:rsidR="00EF1C52">
        <w:t xml:space="preserve"> a </w:t>
      </w:r>
      <w:r w:rsidRPr="00EF1C52">
        <w:t>udržateľnosť výrobkov</w:t>
      </w:r>
    </w:p>
    <w:p w14:paraId="58455367" w14:textId="77777777" w:rsidR="00713422" w:rsidRPr="00EF1C52" w:rsidRDefault="00713422" w:rsidP="00DB3B98">
      <w:pPr>
        <w:pStyle w:val="Heading3"/>
        <w:numPr>
          <w:ilvl w:val="0"/>
          <w:numId w:val="67"/>
        </w:numPr>
        <w:ind w:left="851" w:hanging="284"/>
      </w:pPr>
      <w:r w:rsidRPr="00EF1C52">
        <w:t>Zakázať nekalé obchodné praktiky</w:t>
      </w:r>
    </w:p>
    <w:p w14:paraId="769D6F21" w14:textId="77777777" w:rsidR="00713422" w:rsidRPr="00EF1C52" w:rsidRDefault="00713422" w:rsidP="00DB3B98">
      <w:pPr>
        <w:pStyle w:val="Heading3"/>
        <w:numPr>
          <w:ilvl w:val="0"/>
          <w:numId w:val="67"/>
        </w:numPr>
        <w:ind w:left="851" w:hanging="284"/>
      </w:pPr>
      <w:r w:rsidRPr="00EF1C52">
        <w:t>Zlepšiť pravidlá hospodárskej súťaže pre kolektívne iniciatívy, ktoré podporujú udržateľnosť dodávateľských reťazcov</w:t>
      </w:r>
    </w:p>
    <w:p w14:paraId="10BD4797" w14:textId="77777777" w:rsidR="00713422" w:rsidRPr="00EF1C52" w:rsidRDefault="00713422" w:rsidP="00DB3B98">
      <w:pPr>
        <w:pStyle w:val="Heading3"/>
        <w:numPr>
          <w:ilvl w:val="0"/>
          <w:numId w:val="67"/>
        </w:numPr>
        <w:ind w:left="851" w:hanging="284"/>
      </w:pPr>
      <w:r w:rsidRPr="00EF1C52">
        <w:t>Zabezpečiť vymáhateľnosť sociálnych</w:t>
      </w:r>
      <w:r w:rsidR="00EF1C52">
        <w:t xml:space="preserve"> a </w:t>
      </w:r>
      <w:r w:rsidRPr="00EF1C52">
        <w:t>environmentálnych doložiek</w:t>
      </w:r>
      <w:r w:rsidR="00EF1C52">
        <w:t xml:space="preserve"> v </w:t>
      </w:r>
      <w:r w:rsidRPr="00EF1C52">
        <w:t>obchodných dohodách</w:t>
      </w:r>
    </w:p>
    <w:p w14:paraId="48703669" w14:textId="77777777" w:rsidR="00713422" w:rsidRPr="00EF1C52" w:rsidRDefault="00713422" w:rsidP="00DB3B98">
      <w:pPr>
        <w:pStyle w:val="Heading3"/>
        <w:numPr>
          <w:ilvl w:val="0"/>
          <w:numId w:val="67"/>
        </w:numPr>
        <w:ind w:left="851" w:hanging="284"/>
      </w:pPr>
      <w:r w:rsidRPr="00EF1C52">
        <w:t>Zlepšiť zodpovednosť podnikov</w:t>
      </w:r>
      <w:r w:rsidR="00EF1C52">
        <w:t xml:space="preserve"> a </w:t>
      </w:r>
      <w:r w:rsidRPr="00EF1C52">
        <w:t>zvýšiť informovanosť podnikov</w:t>
      </w:r>
      <w:r w:rsidR="00EF1C52">
        <w:t xml:space="preserve"> o </w:t>
      </w:r>
      <w:r w:rsidRPr="00EF1C52">
        <w:t>environmentálnych (napr. EMAS)</w:t>
      </w:r>
      <w:r w:rsidR="00EF1C52">
        <w:t xml:space="preserve"> a </w:t>
      </w:r>
      <w:r w:rsidRPr="00EF1C52">
        <w:t>sociálnych aspektoch</w:t>
      </w:r>
    </w:p>
    <w:p w14:paraId="13E429B9" w14:textId="77777777" w:rsidR="00713422" w:rsidRPr="00EF1C52" w:rsidRDefault="00713422" w:rsidP="00DB3B98">
      <w:pPr>
        <w:pStyle w:val="Heading3"/>
        <w:numPr>
          <w:ilvl w:val="0"/>
          <w:numId w:val="67"/>
        </w:numPr>
        <w:ind w:left="851" w:hanging="284"/>
      </w:pPr>
      <w:r w:rsidRPr="00EF1C52">
        <w:t>Presunúť daňové zaťaženie</w:t>
      </w:r>
      <w:r w:rsidR="00EF1C52">
        <w:t xml:space="preserve"> z </w:t>
      </w:r>
      <w:r w:rsidRPr="00EF1C52">
        <w:t>práce na využívanie zdrojov</w:t>
      </w:r>
    </w:p>
    <w:p w14:paraId="33214DF0" w14:textId="77777777" w:rsidR="00713422" w:rsidRPr="00EF1C52" w:rsidRDefault="00713422" w:rsidP="00DB3B98">
      <w:pPr>
        <w:pStyle w:val="Heading3"/>
        <w:numPr>
          <w:ilvl w:val="0"/>
          <w:numId w:val="67"/>
        </w:numPr>
        <w:ind w:left="851" w:hanging="284"/>
      </w:pPr>
      <w:r w:rsidRPr="00EF1C52">
        <w:t>Podporovať spravodlivé</w:t>
      </w:r>
      <w:r w:rsidR="00EF1C52">
        <w:t xml:space="preserve"> a </w:t>
      </w:r>
      <w:r w:rsidRPr="00EF1C52">
        <w:t>zelené verejné obstarávanie</w:t>
      </w:r>
      <w:r w:rsidR="00EF1C52">
        <w:t xml:space="preserve"> s </w:t>
      </w:r>
      <w:r w:rsidRPr="00EF1C52">
        <w:t>minimálnymi záväznými kritériami</w:t>
      </w:r>
    </w:p>
    <w:p w14:paraId="1FB7BEB7" w14:textId="77777777" w:rsidR="00713422" w:rsidRPr="00EF1C52" w:rsidRDefault="00713422" w:rsidP="00DB3B98">
      <w:pPr>
        <w:pStyle w:val="Heading3"/>
        <w:numPr>
          <w:ilvl w:val="0"/>
          <w:numId w:val="67"/>
        </w:numPr>
        <w:ind w:left="851" w:hanging="284"/>
      </w:pPr>
      <w:r w:rsidRPr="00EF1C52">
        <w:t>Zlepšiť transparentnosť zavedením povinných pravidiel označovania pôvodu, udržateľnosti</w:t>
      </w:r>
      <w:r w:rsidR="00EF1C52">
        <w:t xml:space="preserve"> a </w:t>
      </w:r>
      <w:r w:rsidRPr="00EF1C52">
        <w:t>sociálneho rozmeru</w:t>
      </w:r>
    </w:p>
    <w:p w14:paraId="671C33BE" w14:textId="77777777" w:rsidR="00713422" w:rsidRPr="00EF1C52" w:rsidRDefault="00713422" w:rsidP="00DB3B98">
      <w:pPr>
        <w:pStyle w:val="Heading3"/>
        <w:numPr>
          <w:ilvl w:val="0"/>
          <w:numId w:val="67"/>
        </w:numPr>
        <w:ind w:left="851" w:hanging="284"/>
      </w:pPr>
      <w:r w:rsidRPr="00EF1C52">
        <w:t>Podporovať iniciatívy zdola nahor</w:t>
      </w:r>
      <w:r w:rsidR="00EF1C52">
        <w:t xml:space="preserve"> a </w:t>
      </w:r>
      <w:r w:rsidRPr="00EF1C52">
        <w:t>pilotné zásahy</w:t>
      </w:r>
    </w:p>
    <w:p w14:paraId="3FF9E1E1" w14:textId="77777777" w:rsidR="00713422" w:rsidRPr="00EF1C52" w:rsidRDefault="00713422" w:rsidP="00DB3B98">
      <w:pPr>
        <w:pStyle w:val="Heading3"/>
        <w:numPr>
          <w:ilvl w:val="0"/>
          <w:numId w:val="67"/>
        </w:numPr>
        <w:ind w:left="851" w:hanging="284"/>
      </w:pPr>
      <w:r w:rsidRPr="00EF1C52">
        <w:t>Riešiť otázky reklamy</w:t>
      </w:r>
      <w:r w:rsidR="00EF1C52">
        <w:t xml:space="preserve"> a </w:t>
      </w:r>
      <w:r w:rsidRPr="00EF1C52">
        <w:t>marketingu</w:t>
      </w:r>
    </w:p>
    <w:p w14:paraId="705B571E" w14:textId="77777777" w:rsidR="00713422" w:rsidRPr="00EF1C52" w:rsidRDefault="00713422" w:rsidP="00DB3B98">
      <w:pPr>
        <w:pStyle w:val="Heading3"/>
        <w:numPr>
          <w:ilvl w:val="0"/>
          <w:numId w:val="67"/>
        </w:numPr>
        <w:ind w:left="851" w:hanging="284"/>
      </w:pPr>
      <w:r w:rsidRPr="00EF1C52">
        <w:t>Podporovať vzdelávanie</w:t>
      </w:r>
      <w:r w:rsidR="00EF1C52">
        <w:t xml:space="preserve"> o </w:t>
      </w:r>
      <w:r w:rsidRPr="00EF1C52">
        <w:t>udržateľnej spotrebe.</w:t>
      </w:r>
    </w:p>
    <w:p w14:paraId="7B2A06B1" w14:textId="77777777" w:rsidR="004E180F" w:rsidRPr="00EF1C52" w:rsidRDefault="004E180F" w:rsidP="00703CBA">
      <w:pPr>
        <w:spacing w:line="240" w:lineRule="auto"/>
      </w:pPr>
    </w:p>
    <w:p w14:paraId="164FAA9E" w14:textId="77777777" w:rsidR="0035140A" w:rsidRPr="00EF1C52" w:rsidRDefault="0035140A" w:rsidP="00703CBA">
      <w:pPr>
        <w:pStyle w:val="Heading1"/>
        <w:keepNext/>
        <w:keepLines/>
        <w:spacing w:line="240" w:lineRule="auto"/>
      </w:pPr>
      <w:r w:rsidRPr="00EF1C52">
        <w:rPr>
          <w:b/>
        </w:rPr>
        <w:t>Úvod</w:t>
      </w:r>
    </w:p>
    <w:p w14:paraId="09511BAF" w14:textId="77777777" w:rsidR="00011D33" w:rsidRPr="00EF1C52" w:rsidRDefault="00011D33" w:rsidP="00703CBA">
      <w:pPr>
        <w:keepNext/>
        <w:keepLines/>
        <w:spacing w:line="240" w:lineRule="auto"/>
      </w:pPr>
    </w:p>
    <w:p w14:paraId="079FC977" w14:textId="77777777" w:rsidR="00667775" w:rsidRPr="00EF1C52" w:rsidRDefault="00667775" w:rsidP="00DB3B98">
      <w:pPr>
        <w:pStyle w:val="Heading2"/>
      </w:pPr>
      <w:r w:rsidRPr="00EF1C52">
        <w:t>Pandémia COVID-19 odhalila krehkosť dodávateľských reťazcov</w:t>
      </w:r>
      <w:r w:rsidR="00EF1C52">
        <w:t xml:space="preserve"> a </w:t>
      </w:r>
      <w:r w:rsidRPr="00EF1C52">
        <w:t>potrebu naliehavej</w:t>
      </w:r>
      <w:r w:rsidR="00EF1C52">
        <w:t xml:space="preserve"> a </w:t>
      </w:r>
      <w:r w:rsidRPr="00EF1C52">
        <w:t>systematickej transformácie. Nedostatočné investície</w:t>
      </w:r>
      <w:r w:rsidR="00EF1C52">
        <w:t xml:space="preserve"> v </w:t>
      </w:r>
      <w:r w:rsidRPr="00EF1C52">
        <w:t>sektoroch zdravotníctva</w:t>
      </w:r>
      <w:r w:rsidR="00EF1C52">
        <w:t xml:space="preserve"> a </w:t>
      </w:r>
      <w:r w:rsidRPr="00EF1C52">
        <w:t>starostlivosti, nadmerné spoliehanie sa na globálne dodávateľské reťazce</w:t>
      </w:r>
      <w:r w:rsidR="00EF1C52">
        <w:t xml:space="preserve"> a </w:t>
      </w:r>
      <w:r w:rsidRPr="00EF1C52">
        <w:t>hospodárske systémy závislé od lineárnych procesov výroby</w:t>
      </w:r>
      <w:r w:rsidR="00EF1C52">
        <w:t xml:space="preserve"> a </w:t>
      </w:r>
      <w:r w:rsidRPr="00EF1C52">
        <w:t>spotreby nezlučiteľné</w:t>
      </w:r>
      <w:r w:rsidR="00EF1C52">
        <w:t xml:space="preserve"> s </w:t>
      </w:r>
      <w:r w:rsidRPr="00EF1C52">
        <w:t>hranicami možností našej planéty ohrozili schopnosť vlád rýchlo</w:t>
      </w:r>
      <w:r w:rsidR="00EF1C52">
        <w:t xml:space="preserve"> a </w:t>
      </w:r>
      <w:r w:rsidRPr="00EF1C52">
        <w:t>rozhodne konať na ochranu verejného zdravia. Presunutie priorít smerom</w:t>
      </w:r>
      <w:r w:rsidR="00EF1C52">
        <w:t xml:space="preserve"> k </w:t>
      </w:r>
      <w:r w:rsidRPr="00EF1C52">
        <w:t>udržateľnejším spôsobom výroby, distribúcie</w:t>
      </w:r>
      <w:r w:rsidR="00EF1C52">
        <w:t xml:space="preserve"> a </w:t>
      </w:r>
      <w:r w:rsidRPr="00EF1C52">
        <w:t>spotreby</w:t>
      </w:r>
      <w:r w:rsidR="00EF1C52">
        <w:t xml:space="preserve"> a </w:t>
      </w:r>
      <w:r w:rsidRPr="00EF1C52">
        <w:t>zvýšenie odolnosti všetkých aktérov</w:t>
      </w:r>
      <w:r w:rsidR="00EF1C52">
        <w:t xml:space="preserve"> v </w:t>
      </w:r>
      <w:r w:rsidRPr="00EF1C52">
        <w:t>dodávateľských reťazcoch voči krízam už nie je voľbou, ale nevyhnutnosťou</w:t>
      </w:r>
      <w:r w:rsidR="0020470C" w:rsidRPr="00EF1C52">
        <w:rPr>
          <w:rStyle w:val="FootnoteReference"/>
          <w:szCs w:val="24"/>
        </w:rPr>
        <w:footnoteReference w:id="3"/>
      </w:r>
      <w:r w:rsidRPr="00EF1C52">
        <w:t>. Pandémia spôsobila, že stredobodom mediálnej</w:t>
      </w:r>
      <w:r w:rsidR="00EF1C52">
        <w:t xml:space="preserve"> a </w:t>
      </w:r>
      <w:r w:rsidRPr="00EF1C52">
        <w:t>politickej diskusie sa stala sociálna ochrana, verejné služby, pracovníci</w:t>
      </w:r>
      <w:r w:rsidR="00EF1C52">
        <w:t xml:space="preserve"> s </w:t>
      </w:r>
      <w:r w:rsidRPr="00EF1C52">
        <w:t>nízkou kvalifikáciou, bezpečnosť</w:t>
      </w:r>
      <w:r w:rsidR="00EF1C52">
        <w:t xml:space="preserve"> a </w:t>
      </w:r>
      <w:r w:rsidRPr="00EF1C52">
        <w:t>ochrana zdravia pri práci, ako aj pracovné podmienky.</w:t>
      </w:r>
    </w:p>
    <w:p w14:paraId="6A03D682" w14:textId="77777777" w:rsidR="00667775" w:rsidRPr="00EF1C52" w:rsidRDefault="00667775" w:rsidP="00703CBA">
      <w:pPr>
        <w:spacing w:line="240" w:lineRule="auto"/>
      </w:pPr>
    </w:p>
    <w:p w14:paraId="30492427" w14:textId="77777777" w:rsidR="00667775" w:rsidRPr="00EF1C52" w:rsidRDefault="00667775" w:rsidP="00DB3B98">
      <w:pPr>
        <w:pStyle w:val="Heading2"/>
        <w:rPr>
          <w:color w:val="333333"/>
        </w:rPr>
      </w:pPr>
      <w:r w:rsidRPr="00EF1C52">
        <w:t>EÚ sa zaviazala</w:t>
      </w:r>
      <w:r w:rsidR="00EF1C52">
        <w:t xml:space="preserve"> v </w:t>
      </w:r>
      <w:r w:rsidR="00703CBA" w:rsidRPr="00EF1C52">
        <w:t>plnej miere vykonávať Agendu </w:t>
      </w:r>
      <w:r w:rsidRPr="00EF1C52">
        <w:t>2030</w:t>
      </w:r>
      <w:r w:rsidR="00703CBA" w:rsidRPr="00EF1C52">
        <w:t> </w:t>
      </w:r>
      <w:r w:rsidRPr="00EF1C52">
        <w:t>OSN</w:t>
      </w:r>
      <w:r w:rsidR="00EF1C52">
        <w:t xml:space="preserve"> a </w:t>
      </w:r>
      <w:r w:rsidR="00703CBA" w:rsidRPr="00EF1C52">
        <w:t>jej 17 c</w:t>
      </w:r>
      <w:r w:rsidRPr="00EF1C52">
        <w:t>ieľov udržateľného rozvoja. Vykonávani</w:t>
      </w:r>
      <w:r w:rsidR="00703CBA" w:rsidRPr="00EF1C52">
        <w:t>e cieľa udržateľného rozvoja č. </w:t>
      </w:r>
      <w:r w:rsidRPr="00EF1C52">
        <w:t>12 týkajúceho sa udržateľnej spotreby</w:t>
      </w:r>
      <w:r w:rsidR="00EF1C52">
        <w:t xml:space="preserve"> a </w:t>
      </w:r>
      <w:r w:rsidRPr="00EF1C52">
        <w:t>výroby je</w:t>
      </w:r>
      <w:r w:rsidR="00EF1C52">
        <w:t xml:space="preserve"> v </w:t>
      </w:r>
      <w:r w:rsidRPr="00EF1C52">
        <w:t>Európe stále náročné</w:t>
      </w:r>
      <w:r w:rsidR="005D36F5" w:rsidRPr="00EF1C52">
        <w:rPr>
          <w:rStyle w:val="FootnoteReference"/>
        </w:rPr>
        <w:footnoteReference w:id="4"/>
      </w:r>
      <w:r w:rsidRPr="00EF1C52">
        <w:t>, pričom má zásadný význam pre realizáciu Agendy</w:t>
      </w:r>
      <w:r w:rsidR="00703CBA" w:rsidRPr="00EF1C52">
        <w:t> </w:t>
      </w:r>
      <w:r w:rsidRPr="00EF1C52">
        <w:t>2030 ako celku.</w:t>
      </w:r>
      <w:r w:rsidR="00EF1C52">
        <w:t xml:space="preserve"> V </w:t>
      </w:r>
      <w:r w:rsidRPr="00EF1C52">
        <w:t>skutočnosti spôsob, akým väčšina ľudí</w:t>
      </w:r>
      <w:r w:rsidR="00EF1C52">
        <w:t xml:space="preserve"> v </w:t>
      </w:r>
      <w:r w:rsidRPr="00EF1C52">
        <w:t>súčasnosti konzumuje, nie je udržateľný – veľké objemy vo vysokej miere, pozdĺž lineárnej dráhy</w:t>
      </w:r>
      <w:r w:rsidR="00EF1C52">
        <w:t xml:space="preserve"> a </w:t>
      </w:r>
      <w:r w:rsidRPr="00EF1C52">
        <w:t>so značným plytvaním (vyťažiť – vyrobiť – vyhodiť). Občania boli navyše považovaní predovšetkým za individuálnych spotrebiteľov,</w:t>
      </w:r>
      <w:r w:rsidR="00EF1C52">
        <w:t xml:space="preserve"> a </w:t>
      </w:r>
      <w:r w:rsidRPr="00EF1C52">
        <w:t>preto sa na ľudí preniesla zodpovednosť za ich rozhodnutia bez toho, aby sa im poskytli prístupné alebo cenovo dostupné alternatívy.</w:t>
      </w:r>
    </w:p>
    <w:p w14:paraId="77AD614A" w14:textId="77777777" w:rsidR="00667775" w:rsidRPr="00EF1C52" w:rsidRDefault="00667775" w:rsidP="00703CBA">
      <w:pPr>
        <w:spacing w:line="240" w:lineRule="auto"/>
      </w:pPr>
    </w:p>
    <w:p w14:paraId="517A512A" w14:textId="77777777" w:rsidR="00667775" w:rsidRPr="00EF1C52" w:rsidRDefault="00667775" w:rsidP="00DB3B98">
      <w:pPr>
        <w:pStyle w:val="Heading2"/>
      </w:pPr>
      <w:r w:rsidRPr="00EF1C52">
        <w:t>EHS</w:t>
      </w:r>
      <w:r w:rsidR="00703CBA" w:rsidRPr="00EF1C52">
        <w:t>V </w:t>
      </w:r>
      <w:r w:rsidRPr="00EF1C52">
        <w:t>už</w:t>
      </w:r>
      <w:r w:rsidR="00EF1C52">
        <w:t xml:space="preserve"> v </w:t>
      </w:r>
      <w:r w:rsidRPr="00EF1C52">
        <w:t>minulosti vyzval EÚ, aby navrhla novú víziu prosperity pre ľudí</w:t>
      </w:r>
      <w:r w:rsidR="00EF1C52">
        <w:t xml:space="preserve"> a </w:t>
      </w:r>
      <w:r w:rsidRPr="00EF1C52">
        <w:t>planétu založenú na zásadách environmentálnej udržateľnosti, práva na dôstojný život</w:t>
      </w:r>
      <w:r w:rsidR="00EF1C52">
        <w:t xml:space="preserve"> a </w:t>
      </w:r>
      <w:r w:rsidRPr="00EF1C52">
        <w:t>ochrany sociálnych hodnôt</w:t>
      </w:r>
      <w:r w:rsidRPr="00EF1C52">
        <w:rPr>
          <w:rStyle w:val="FootnoteReference"/>
        </w:rPr>
        <w:footnoteReference w:id="5"/>
      </w:r>
      <w:r w:rsidRPr="00EF1C52">
        <w:t>. Systémový prístup EÚ</w:t>
      </w:r>
      <w:r w:rsidR="00EF1C52">
        <w:t xml:space="preserve"> k </w:t>
      </w:r>
      <w:r w:rsidRPr="00EF1C52">
        <w:t>udržateľnej spotrebe je jedným zo základných stavebných prvkov strategickej vízie EHS</w:t>
      </w:r>
      <w:r w:rsidR="00703CBA" w:rsidRPr="00EF1C52">
        <w:t>V</w:t>
      </w:r>
      <w:r w:rsidR="00EF1C52">
        <w:t xml:space="preserve"> o </w:t>
      </w:r>
      <w:r w:rsidRPr="00EF1C52">
        <w:t>udržateľnom hospodárstve zameranom na dobré životné podmienky,</w:t>
      </w:r>
      <w:r w:rsidR="00EF1C52">
        <w:t xml:space="preserve"> v </w:t>
      </w:r>
      <w:r w:rsidRPr="00EF1C52">
        <w:t>rámci ktorého sa na nikoho nesmie zabudnúť.</w:t>
      </w:r>
    </w:p>
    <w:p w14:paraId="7E5F5A7E" w14:textId="77777777" w:rsidR="00667775" w:rsidRPr="00EF1C52" w:rsidRDefault="00667775" w:rsidP="00DB3B98"/>
    <w:p w14:paraId="2B1F8B49" w14:textId="77777777" w:rsidR="00667775" w:rsidRPr="00EF1C52" w:rsidRDefault="00667775" w:rsidP="00DB3B98">
      <w:pPr>
        <w:pStyle w:val="Heading2"/>
      </w:pPr>
      <w:r w:rsidRPr="00EF1C52">
        <w:t>Politická dynamika vedie</w:t>
      </w:r>
      <w:r w:rsidR="00EF1C52">
        <w:t xml:space="preserve"> k </w:t>
      </w:r>
      <w:r w:rsidRPr="00EF1C52">
        <w:t>tomu, aby EÚ podnikla rozhodné kroky smerom</w:t>
      </w:r>
      <w:r w:rsidR="00EF1C52">
        <w:t xml:space="preserve"> k </w:t>
      </w:r>
      <w:r w:rsidRPr="00EF1C52">
        <w:t>tejto vízii. Európska zelená –</w:t>
      </w:r>
      <w:r w:rsidR="00EF1C52">
        <w:t xml:space="preserve"> a </w:t>
      </w:r>
      <w:r w:rsidRPr="00EF1C52">
        <w:rPr>
          <w:i/>
        </w:rPr>
        <w:t>sociálna</w:t>
      </w:r>
      <w:r w:rsidRPr="00EF1C52">
        <w:t xml:space="preserve"> – dohoda má obrovský potenciál obnoviť hospodárstvo po kríze spôsobenej pandémiou COVID</w:t>
      </w:r>
      <w:r w:rsidRPr="00EF1C52">
        <w:noBreakHyphen/>
        <w:t>19 na udržateľnejšom základe, prispieť</w:t>
      </w:r>
      <w:r w:rsidR="00EF1C52">
        <w:t xml:space="preserve"> k </w:t>
      </w:r>
      <w:r w:rsidRPr="00EF1C52">
        <w:t>vytvoreniu nového modelu prosperity</w:t>
      </w:r>
      <w:r w:rsidR="00EF1C52">
        <w:t xml:space="preserve"> a </w:t>
      </w:r>
      <w:r w:rsidRPr="00EF1C52">
        <w:t>zabezpečiť spravodlivú transformáciu</w:t>
      </w:r>
      <w:r w:rsidRPr="00EF1C52">
        <w:rPr>
          <w:rStyle w:val="FootnoteReference"/>
        </w:rPr>
        <w:footnoteReference w:id="6"/>
      </w:r>
      <w:r w:rsidRPr="00EF1C52">
        <w:t>.</w:t>
      </w:r>
    </w:p>
    <w:p w14:paraId="538032B7" w14:textId="77777777" w:rsidR="00667775" w:rsidRPr="00EF1C52" w:rsidRDefault="00667775" w:rsidP="00DB3B98"/>
    <w:p w14:paraId="78268200" w14:textId="77777777" w:rsidR="00667775" w:rsidRPr="00EF1C52" w:rsidRDefault="00667775" w:rsidP="00DB3B98">
      <w:pPr>
        <w:pStyle w:val="Heading2"/>
      </w:pPr>
      <w:r w:rsidRPr="00EF1C52">
        <w:t>Nový akčný plán EÚ pre obehové hospodárstvo obsahuje najmä konkrétne opatrenia zamerané na posilnenie postavenia spotrebiteľov</w:t>
      </w:r>
      <w:r w:rsidR="00EF1C52">
        <w:t xml:space="preserve"> v </w:t>
      </w:r>
      <w:r w:rsidRPr="00EF1C52">
        <w:t>rámci zelenej transformácie</w:t>
      </w:r>
      <w:r w:rsidR="00EF1C52">
        <w:t xml:space="preserve"> a </w:t>
      </w:r>
      <w:r w:rsidRPr="00EF1C52">
        <w:t>niekoľko iniciatív, ktoré by mohli pomôcť preukázať zodpovednosť regulačných orgánov</w:t>
      </w:r>
      <w:r w:rsidR="00EF1C52">
        <w:t xml:space="preserve"> a </w:t>
      </w:r>
      <w:r w:rsidRPr="00EF1C52">
        <w:t>spoločností. Akčný plán EÚ pre obehové hospodárstvo by mal rozšíriť rozsah pôsobnosti „Novej dohody pre spotrebiteľov“</w:t>
      </w:r>
      <w:r w:rsidR="00EF1C52">
        <w:t xml:space="preserve"> z </w:t>
      </w:r>
      <w:r w:rsidRPr="00EF1C52">
        <w:t>roku 2018, ktorá bola zameraná skôr na ochranu</w:t>
      </w:r>
      <w:r w:rsidR="00EF1C52">
        <w:t xml:space="preserve"> a </w:t>
      </w:r>
      <w:r w:rsidRPr="00EF1C52">
        <w:t>presadzovanie ako na posilnenie postavenia. Implementácia stratégie „z farmy na stôl“</w:t>
      </w:r>
      <w:r w:rsidR="00EF1C52">
        <w:t xml:space="preserve"> a </w:t>
      </w:r>
      <w:r w:rsidRPr="00EF1C52">
        <w:t>stratégie biodiverzity je takisto dvojnásobne dôležitá, pretože kríza</w:t>
      </w:r>
      <w:r w:rsidR="00EF1C52">
        <w:t xml:space="preserve"> v </w:t>
      </w:r>
      <w:r w:rsidRPr="00EF1C52">
        <w:t>dôsledku pandémie COVID-19 spôsobila, že je naliehavejšie než kedykoľvek predtým zvýšiť odolnosť</w:t>
      </w:r>
      <w:r w:rsidR="00EF1C52">
        <w:t xml:space="preserve"> a </w:t>
      </w:r>
      <w:r w:rsidRPr="00EF1C52">
        <w:t>udržateľnosť európskych</w:t>
      </w:r>
      <w:r w:rsidR="00EF1C52">
        <w:t xml:space="preserve"> a </w:t>
      </w:r>
      <w:r w:rsidRPr="00EF1C52">
        <w:t>globálnych potravino</w:t>
      </w:r>
      <w:r w:rsidR="00183CAF" w:rsidRPr="00EF1C52">
        <w:t>vých systémov. Nadchádzajúci 8. </w:t>
      </w:r>
      <w:r w:rsidRPr="00EF1C52">
        <w:t>environmentálny akčný program by mal byť príležitosťou na rozhodnejšie riešenie udržateľnej spotreby.</w:t>
      </w:r>
    </w:p>
    <w:p w14:paraId="78562CF0" w14:textId="77777777" w:rsidR="00667775" w:rsidRPr="00EF1C52" w:rsidRDefault="00667775" w:rsidP="00DB3B98"/>
    <w:p w14:paraId="1D06E59B" w14:textId="77777777" w:rsidR="007F37F2" w:rsidRPr="00EF1C52" w:rsidRDefault="00667775" w:rsidP="00DB3B98">
      <w:pPr>
        <w:pStyle w:val="Heading2"/>
      </w:pPr>
      <w:r w:rsidRPr="00EF1C52">
        <w:t>Toto stanovisko prispeje</w:t>
      </w:r>
      <w:r w:rsidR="00EF1C52">
        <w:t xml:space="preserve"> k </w:t>
      </w:r>
      <w:r w:rsidRPr="00EF1C52">
        <w:t>úvahám</w:t>
      </w:r>
      <w:r w:rsidR="00EF1C52">
        <w:t xml:space="preserve"> o </w:t>
      </w:r>
      <w:r w:rsidRPr="00EF1C52">
        <w:t>obnove po odznení pandémie COVID-19 poskytnutím konkrétnych odporúčaní pre komplexnú stratégiu EÚ pre udržateľnú spotrebu, ako súčasti európskej zelenej dohody</w:t>
      </w:r>
      <w:r w:rsidR="00EF1C52">
        <w:t xml:space="preserve"> a </w:t>
      </w:r>
      <w:r w:rsidRPr="00EF1C52">
        <w:t>doplnku</w:t>
      </w:r>
      <w:r w:rsidR="00EF1C52">
        <w:t xml:space="preserve"> k </w:t>
      </w:r>
      <w:r w:rsidRPr="00EF1C52">
        <w:t>novému akčnému plánu EÚ pre obehové hospodárstvo.</w:t>
      </w:r>
    </w:p>
    <w:p w14:paraId="2CA32CDF" w14:textId="77777777" w:rsidR="008650BD" w:rsidRPr="00EF1C52" w:rsidRDefault="008650BD" w:rsidP="00DB3B98"/>
    <w:p w14:paraId="0AFD3E62" w14:textId="77777777" w:rsidR="0035140A" w:rsidRPr="00EF1C52" w:rsidRDefault="0035140A" w:rsidP="00183CAF">
      <w:pPr>
        <w:pStyle w:val="Heading1"/>
        <w:keepNext/>
        <w:keepLines/>
      </w:pPr>
      <w:r w:rsidRPr="00EF1C52">
        <w:rPr>
          <w:b/>
        </w:rPr>
        <w:t>Výzvy – analýza súčasnej situácie</w:t>
      </w:r>
    </w:p>
    <w:p w14:paraId="304EE123" w14:textId="77777777" w:rsidR="00F94354" w:rsidRPr="00EF1C52" w:rsidRDefault="00F94354" w:rsidP="00183CAF">
      <w:pPr>
        <w:keepNext/>
        <w:keepLines/>
      </w:pPr>
    </w:p>
    <w:p w14:paraId="5D1FC3A5" w14:textId="77777777" w:rsidR="00C8053C" w:rsidRPr="00EF1C52" w:rsidRDefault="00F94354" w:rsidP="00DB3B98">
      <w:pPr>
        <w:pStyle w:val="Heading2"/>
      </w:pPr>
      <w:r w:rsidRPr="00EF1C52">
        <w:t>Európa ešte zďaleka nežije</w:t>
      </w:r>
      <w:r w:rsidR="00EF1C52">
        <w:t xml:space="preserve"> v </w:t>
      </w:r>
      <w:r w:rsidRPr="00EF1C52">
        <w:t>hraniciach možností planéty.</w:t>
      </w:r>
      <w:r w:rsidR="00EF1C52">
        <w:t xml:space="preserve"> K </w:t>
      </w:r>
      <w:r w:rsidRPr="00EF1C52">
        <w:t>rovnakému záveru</w:t>
      </w:r>
      <w:r w:rsidRPr="00EF1C52">
        <w:rPr>
          <w:rStyle w:val="FootnoteReference"/>
        </w:rPr>
        <w:footnoteReference w:id="7"/>
      </w:r>
      <w:r w:rsidRPr="00EF1C52">
        <w:t xml:space="preserve"> sa dospelo</w:t>
      </w:r>
      <w:r w:rsidR="00EF1C52">
        <w:t xml:space="preserve"> v </w:t>
      </w:r>
      <w:r w:rsidRPr="00EF1C52">
        <w:t>rôznych štúdiách, ktoré používajú rôzne metodiky na hodnotenie spotrebiteľských modelov</w:t>
      </w:r>
      <w:r w:rsidR="00EF1C52">
        <w:t xml:space="preserve"> v </w:t>
      </w:r>
      <w:r w:rsidRPr="00EF1C52">
        <w:t>EÚ, vrátane nedávnej správy Európskej environmentálnej agentúry (EEA)</w:t>
      </w:r>
      <w:r w:rsidR="00EF1C52">
        <w:t xml:space="preserve"> a </w:t>
      </w:r>
      <w:r w:rsidRPr="00EF1C52">
        <w:t>Švajčiarskeho federálneho úradu pre životné prostredie (FOEN)</w:t>
      </w:r>
      <w:r w:rsidR="00346722" w:rsidRPr="00EF1C52">
        <w:rPr>
          <w:rStyle w:val="FootnoteReference"/>
        </w:rPr>
        <w:footnoteReference w:id="8"/>
      </w:r>
      <w:r w:rsidRPr="00EF1C52">
        <w:t>.</w:t>
      </w:r>
    </w:p>
    <w:p w14:paraId="1E6E76EA" w14:textId="77777777" w:rsidR="00C8053C" w:rsidRPr="00EF1C52" w:rsidRDefault="00C8053C" w:rsidP="00DB3B98"/>
    <w:p w14:paraId="0ED4B871" w14:textId="77777777" w:rsidR="00F94354" w:rsidRPr="00EF1C52" w:rsidRDefault="00F94354" w:rsidP="00DB3B98">
      <w:pPr>
        <w:pStyle w:val="Heading2"/>
      </w:pPr>
      <w:r w:rsidRPr="00EF1C52">
        <w:t>Spotreba výrobkov</w:t>
      </w:r>
      <w:r w:rsidR="00EF1C52">
        <w:t xml:space="preserve"> a </w:t>
      </w:r>
      <w:r w:rsidRPr="00EF1C52">
        <w:t>služieb je priamou</w:t>
      </w:r>
      <w:r w:rsidR="00EF1C52">
        <w:t xml:space="preserve"> a </w:t>
      </w:r>
      <w:r w:rsidRPr="00EF1C52">
        <w:t>nepriamou hybnou silou tlakov, ako sú zmeny využívania pôdy, emisie</w:t>
      </w:r>
      <w:r w:rsidR="00EF1C52">
        <w:t xml:space="preserve"> a </w:t>
      </w:r>
      <w:r w:rsidRPr="00EF1C52">
        <w:t>uvoľňovanie toxických chemikálií do životného prostredia, čo zase vedie</w:t>
      </w:r>
      <w:r w:rsidR="00EF1C52">
        <w:t xml:space="preserve"> k </w:t>
      </w:r>
      <w:r w:rsidRPr="00EF1C52">
        <w:t>množstvu environmentálnych vplyvov vrátane zmeny klímy, vyčerpania</w:t>
      </w:r>
      <w:r w:rsidR="00EF1C52">
        <w:t xml:space="preserve"> a </w:t>
      </w:r>
      <w:r w:rsidRPr="00EF1C52">
        <w:t>znečistenia sladkej vody</w:t>
      </w:r>
      <w:r w:rsidR="00EF1C52">
        <w:t xml:space="preserve"> a </w:t>
      </w:r>
      <w:r w:rsidRPr="00EF1C52">
        <w:t>straty biodiverzity. Táto „ekologická stopa“ spotreby je</w:t>
      </w:r>
      <w:r w:rsidR="00EF1C52">
        <w:t xml:space="preserve"> v </w:t>
      </w:r>
      <w:r w:rsidRPr="00EF1C52">
        <w:t>Európe veľká;</w:t>
      </w:r>
      <w:r w:rsidR="00EF1C52">
        <w:t xml:space="preserve"> v </w:t>
      </w:r>
      <w:r w:rsidRPr="00EF1C52">
        <w:t>skutočnosti je jednou</w:t>
      </w:r>
      <w:r w:rsidR="00EF1C52">
        <w:t xml:space="preserve"> z </w:t>
      </w:r>
      <w:r w:rsidRPr="00EF1C52">
        <w:t>najväčších na svete. Údaje naznačujú, že na udržanie svetového hospodárstva by sme potrebovali takmer tri Zeme, keby každý na tejto planéte konzumoval rovnako ako priemerný Európan</w:t>
      </w:r>
      <w:r w:rsidR="00A930DA" w:rsidRPr="00EF1C52">
        <w:rPr>
          <w:rStyle w:val="FootnoteReference"/>
        </w:rPr>
        <w:footnoteReference w:id="9"/>
      </w:r>
      <w:r w:rsidRPr="00EF1C52">
        <w:rPr>
          <w:vertAlign w:val="superscript"/>
        </w:rPr>
        <w:t>,</w:t>
      </w:r>
      <w:r w:rsidRPr="00EF1C52">
        <w:rPr>
          <w:rStyle w:val="FootnoteReference"/>
        </w:rPr>
        <w:footnoteReference w:id="10"/>
      </w:r>
      <w:r w:rsidRPr="00EF1C52">
        <w:t>.</w:t>
      </w:r>
    </w:p>
    <w:p w14:paraId="41D1136F" w14:textId="77777777" w:rsidR="00F94354" w:rsidRPr="00EF1C52" w:rsidRDefault="00F94354" w:rsidP="006931C2">
      <w:pPr>
        <w:spacing w:line="240" w:lineRule="auto"/>
      </w:pPr>
    </w:p>
    <w:p w14:paraId="0CE3590D" w14:textId="77777777" w:rsidR="00F94354" w:rsidRPr="00EF1C52" w:rsidRDefault="00F94354" w:rsidP="00DB3B98">
      <w:pPr>
        <w:pStyle w:val="Heading2"/>
      </w:pPr>
      <w:r w:rsidRPr="00EF1C52">
        <w:t>Aby si Európa udržala vysokú úroveň spotreby, je závislá od zdrojov získaných inde. Európa tak vo zvýšenej miere externalizuje svoje tlaky na kľúčové environmentálne otázky do iných častí sveta</w:t>
      </w:r>
      <w:r w:rsidRPr="00EF1C52">
        <w:rPr>
          <w:rStyle w:val="FootnoteReference"/>
        </w:rPr>
        <w:footnoteReference w:id="11"/>
      </w:r>
      <w:r w:rsidRPr="00EF1C52">
        <w:t>. Celkovo už tento model nie je kompatibilný</w:t>
      </w:r>
      <w:r w:rsidR="00EF1C52">
        <w:t xml:space="preserve"> s </w:t>
      </w:r>
      <w:r w:rsidRPr="00EF1C52">
        <w:t>bezpečnou</w:t>
      </w:r>
      <w:r w:rsidR="00EF1C52">
        <w:t xml:space="preserve"> a </w:t>
      </w:r>
      <w:r w:rsidRPr="00EF1C52">
        <w:t>udržateľnou budúcnosťou</w:t>
      </w:r>
      <w:r w:rsidRPr="00EF1C52">
        <w:rPr>
          <w:rStyle w:val="FootnoteReference"/>
        </w:rPr>
        <w:footnoteReference w:id="12"/>
      </w:r>
      <w:r w:rsidRPr="00EF1C52">
        <w:t>.</w:t>
      </w:r>
    </w:p>
    <w:p w14:paraId="3276B00C" w14:textId="77777777" w:rsidR="00F94354" w:rsidRPr="00EF1C52" w:rsidRDefault="00F94354" w:rsidP="006931C2">
      <w:pPr>
        <w:spacing w:line="240" w:lineRule="auto"/>
      </w:pPr>
    </w:p>
    <w:p w14:paraId="0E4C9740" w14:textId="77777777" w:rsidR="00E51352" w:rsidRPr="00EF1C52" w:rsidRDefault="00E51352" w:rsidP="00DB3B98">
      <w:pPr>
        <w:pStyle w:val="Heading2"/>
      </w:pPr>
      <w:r w:rsidRPr="00EF1C52">
        <w:t>Aj keď export environmentálnej stopy EÚ prostredníctvom obchodu nemožno považovať za udržateľný, treba tiež uznať, že obchod</w:t>
      </w:r>
      <w:r w:rsidR="00EF1C52">
        <w:t xml:space="preserve"> s </w:t>
      </w:r>
      <w:r w:rsidRPr="00EF1C52">
        <w:t>EÚ zohráva dôležitú úlohu</w:t>
      </w:r>
      <w:r w:rsidR="00EF1C52">
        <w:t xml:space="preserve"> v </w:t>
      </w:r>
      <w:r w:rsidRPr="00EF1C52">
        <w:t>sociálno-ekonomickom rozvoji mnohých krajín, najmä najmenej rozvinutých krajín. EÚ</w:t>
      </w:r>
      <w:r w:rsidR="00EF1C52">
        <w:t xml:space="preserve"> v </w:t>
      </w:r>
      <w:r w:rsidRPr="00EF1C52">
        <w:t>skutočnosti aktívne podporuje obchod ako nástroj na podporu udržateľnosti na celom svete</w:t>
      </w:r>
      <w:r w:rsidR="00EF1C52">
        <w:t xml:space="preserve"> a v </w:t>
      </w:r>
      <w:r w:rsidRPr="00EF1C52">
        <w:t>rámci krajín, ktoré sú jej obchodnými partnermi. Zásady spravodlivosti, obehovosti</w:t>
      </w:r>
      <w:r w:rsidR="00EF1C52">
        <w:t xml:space="preserve"> a </w:t>
      </w:r>
      <w:r w:rsidRPr="00EF1C52">
        <w:t>udržateľnejšej spotreby je preto potrebné dôkladne zosúladiť</w:t>
      </w:r>
      <w:r w:rsidR="00EF1C52">
        <w:t xml:space="preserve"> s </w:t>
      </w:r>
      <w:r w:rsidRPr="00EF1C52">
        <w:t>obchodom, čím sa vytvoria príležitosti pre EÚ</w:t>
      </w:r>
      <w:r w:rsidR="00EF1C52">
        <w:t xml:space="preserve"> a </w:t>
      </w:r>
      <w:r w:rsidRPr="00EF1C52">
        <w:t>jej obchodných partnerov</w:t>
      </w:r>
      <w:r w:rsidRPr="00EF1C52">
        <w:rPr>
          <w:rStyle w:val="FootnoteReference"/>
        </w:rPr>
        <w:footnoteReference w:id="13"/>
      </w:r>
      <w:r w:rsidRPr="00EF1C52">
        <w:t>.</w:t>
      </w:r>
    </w:p>
    <w:p w14:paraId="31C0EC63" w14:textId="77777777" w:rsidR="00E51352" w:rsidRPr="00EF1C52" w:rsidRDefault="00E51352" w:rsidP="006931C2">
      <w:pPr>
        <w:spacing w:line="240" w:lineRule="auto"/>
      </w:pPr>
    </w:p>
    <w:p w14:paraId="5139656F" w14:textId="77777777" w:rsidR="00F94354" w:rsidRPr="00EF1C52" w:rsidRDefault="00F94354" w:rsidP="00DB3B98">
      <w:pPr>
        <w:pStyle w:val="Heading2"/>
      </w:pPr>
      <w:r w:rsidRPr="00EF1C52">
        <w:t>Súčasné európske modely spotreby tiež vyvolávajú niekoľko otázok týkajúcich sa sociálnej spravodlivosti. Zatiaľ čo časti Európy majú jedny</w:t>
      </w:r>
      <w:r w:rsidR="00EF1C52">
        <w:t xml:space="preserve"> z </w:t>
      </w:r>
      <w:r w:rsidRPr="00EF1C52">
        <w:t>najvyšších surovinových stôp na svete</w:t>
      </w:r>
      <w:r w:rsidRPr="00EF1C52">
        <w:rPr>
          <w:rStyle w:val="FootnoteReference"/>
        </w:rPr>
        <w:footnoteReference w:id="14"/>
      </w:r>
      <w:r w:rsidRPr="00EF1C52">
        <w:t>, iné regióny</w:t>
      </w:r>
      <w:r w:rsidR="00EF1C52">
        <w:t xml:space="preserve"> v </w:t>
      </w:r>
      <w:r w:rsidRPr="00EF1C52">
        <w:t>Európe si nemôžu dovoliť životnú úroveň, ktorá sa všeobecne považuje za prijateľnú. Úroveň materiálnej deprivácie sa</w:t>
      </w:r>
      <w:r w:rsidR="00EF1C52">
        <w:t xml:space="preserve"> v </w:t>
      </w:r>
      <w:r w:rsidRPr="00EF1C52">
        <w:t>rámci EÚ veľmi líši, rovnako ako úroveň ekonomického zaťaženia</w:t>
      </w:r>
      <w:r w:rsidRPr="00EF1C52">
        <w:rPr>
          <w:rStyle w:val="FootnoteReference"/>
        </w:rPr>
        <w:footnoteReference w:id="15"/>
      </w:r>
      <w:r w:rsidRPr="00EF1C52">
        <w:t>. Spotreba je teda úzko spojená</w:t>
      </w:r>
      <w:r w:rsidR="00EF1C52">
        <w:t xml:space="preserve"> s </w:t>
      </w:r>
      <w:r w:rsidRPr="00EF1C52">
        <w:t>politickými programami, napr.</w:t>
      </w:r>
      <w:r w:rsidR="00EF1C52">
        <w:t xml:space="preserve"> v </w:t>
      </w:r>
      <w:r w:rsidRPr="00EF1C52">
        <w:t>oblasti výživy, chudoby</w:t>
      </w:r>
      <w:r w:rsidR="00EF1C52">
        <w:t xml:space="preserve"> a </w:t>
      </w:r>
      <w:r w:rsidRPr="00EF1C52">
        <w:t>nerovnosti</w:t>
      </w:r>
      <w:r w:rsidRPr="00EF1C52">
        <w:rPr>
          <w:rStyle w:val="FootnoteReference"/>
        </w:rPr>
        <w:footnoteReference w:id="16"/>
      </w:r>
      <w:r w:rsidRPr="00EF1C52">
        <w:t>. Udržateľnejšia spotreba</w:t>
      </w:r>
      <w:r w:rsidR="00EF1C52">
        <w:t xml:space="preserve"> v </w:t>
      </w:r>
      <w:r w:rsidRPr="00EF1C52">
        <w:t>Európe ako celku môže</w:t>
      </w:r>
      <w:r w:rsidR="00EF1C52">
        <w:t xml:space="preserve"> u </w:t>
      </w:r>
      <w:r w:rsidRPr="00EF1C52">
        <w:t>niektorých znamenať zvýšenie využívania zdrojov, ako aj zníženie využívania zdrojov inými – celkovo lepšiu rovnováhu</w:t>
      </w:r>
      <w:r w:rsidR="00EF1C52">
        <w:t xml:space="preserve"> v </w:t>
      </w:r>
      <w:r w:rsidRPr="00EF1C52">
        <w:t>prístupe</w:t>
      </w:r>
      <w:r w:rsidR="00EF1C52">
        <w:t xml:space="preserve"> k </w:t>
      </w:r>
      <w:r w:rsidRPr="00EF1C52">
        <w:t>zdrojom</w:t>
      </w:r>
      <w:r w:rsidR="00EF1C52">
        <w:t xml:space="preserve"> a </w:t>
      </w:r>
      <w:r w:rsidRPr="00EF1C52">
        <w:t>posilnenie spravodlivosti</w:t>
      </w:r>
      <w:r w:rsidR="00EF1C52">
        <w:t xml:space="preserve"> v </w:t>
      </w:r>
      <w:r w:rsidRPr="00EF1C52">
        <w:t>oblasti zdrojov</w:t>
      </w:r>
      <w:r w:rsidRPr="00EF1C52">
        <w:rPr>
          <w:rStyle w:val="FootnoteReference"/>
        </w:rPr>
        <w:footnoteReference w:id="17"/>
      </w:r>
      <w:r w:rsidRPr="00EF1C52">
        <w:t>.</w:t>
      </w:r>
    </w:p>
    <w:p w14:paraId="44BFD3AB" w14:textId="77777777" w:rsidR="00F94354" w:rsidRPr="00EF1C52" w:rsidRDefault="00F94354" w:rsidP="006931C2">
      <w:pPr>
        <w:spacing w:line="240" w:lineRule="auto"/>
      </w:pPr>
    </w:p>
    <w:p w14:paraId="0E28223D" w14:textId="77777777" w:rsidR="00F94354" w:rsidRPr="00EF1C52" w:rsidRDefault="00F94354" w:rsidP="00DB3B98">
      <w:pPr>
        <w:pStyle w:val="Heading2"/>
      </w:pPr>
      <w:r w:rsidRPr="00EF1C52">
        <w:t>Neudržateľná spotreba je poháňaná zložitou súhrou celého radu rôznych faktorov. Dominantný obchodný model je lineárny, pričom rast väčšiny spoločností je stále založený na tom, že viac ľudí nakupuje viac vecí. Skutočná životnosť mnohých spotrebiteľských výrobkov sa znižuje</w:t>
      </w:r>
      <w:r w:rsidRPr="00EF1C52">
        <w:rPr>
          <w:rStyle w:val="FootnoteReference"/>
        </w:rPr>
        <w:footnoteReference w:id="18"/>
      </w:r>
      <w:r w:rsidRPr="00EF1C52">
        <w:t>, zatiaľ čo ich oprava je stále (často úmyselne) náročná</w:t>
      </w:r>
      <w:r w:rsidRPr="00EF1C52">
        <w:rPr>
          <w:rStyle w:val="FootnoteReference"/>
        </w:rPr>
        <w:footnoteReference w:id="19"/>
      </w:r>
      <w:r w:rsidRPr="00EF1C52">
        <w:t>. Alternatívy</w:t>
      </w:r>
      <w:r w:rsidR="00EF1C52">
        <w:t xml:space="preserve"> k </w:t>
      </w:r>
      <w:r w:rsidRPr="00EF1C52">
        <w:t>lineárnemu hospodárskemu modelu založenému na prístupe „vezmi, použi, zahoď“, ako sú modely založené na obehovosti surovín, opravách alebo spoločnom využívaní, by mohli prispieť</w:t>
      </w:r>
      <w:r w:rsidR="00EF1C52">
        <w:t xml:space="preserve"> k </w:t>
      </w:r>
      <w:r w:rsidRPr="00EF1C52">
        <w:t>zníženiu celkovej spotreby surovín, ale zostávajú okrajové</w:t>
      </w:r>
      <w:r w:rsidR="00EF1C52">
        <w:t xml:space="preserve"> a </w:t>
      </w:r>
      <w:r w:rsidRPr="00EF1C52">
        <w:t>za súčasných podmienok často nie sú schopné konkurovať lineárnym riešeniam</w:t>
      </w:r>
      <w:r w:rsidRPr="00EF1C52">
        <w:rPr>
          <w:rStyle w:val="FootnoteReference"/>
        </w:rPr>
        <w:footnoteReference w:id="20"/>
      </w:r>
      <w:r w:rsidRPr="00EF1C52">
        <w:t>.</w:t>
      </w:r>
      <w:r w:rsidR="00EF1C52">
        <w:t xml:space="preserve"> V </w:t>
      </w:r>
      <w:r w:rsidRPr="00EF1C52">
        <w:t>skutočnosti sa sekundárne (opätovne použité/repasované/recyklované) výrobky často predávajú okrem primárnych (nových) výrobkov, čo má za následok environmentálne vplyvy primárnej, ako aj sekundárnej výroby</w:t>
      </w:r>
      <w:r w:rsidRPr="00EF1C52">
        <w:rPr>
          <w:rStyle w:val="FootnoteReference"/>
        </w:rPr>
        <w:footnoteReference w:id="21"/>
      </w:r>
      <w:r w:rsidRPr="00EF1C52">
        <w:t>. Podpora obehovosti bez podpory širších systémových zmien vo výrobe (najmä</w:t>
      </w:r>
      <w:r w:rsidR="00EF1C52">
        <w:t xml:space="preserve"> v </w:t>
      </w:r>
      <w:r w:rsidRPr="00EF1C52">
        <w:t>dizajne výrobkov), spotrebe</w:t>
      </w:r>
      <w:r w:rsidR="00EF1C52">
        <w:t xml:space="preserve"> a </w:t>
      </w:r>
      <w:r w:rsidRPr="00EF1C52">
        <w:t>predchádzaní vzniku odpadu by sa preto zaoberala iba časťou problému. Spotrebitelia by mali mať prospech zo skutočného „práva na opravu“.</w:t>
      </w:r>
    </w:p>
    <w:p w14:paraId="1CB59229" w14:textId="77777777" w:rsidR="00F94354" w:rsidRPr="00EF1C52" w:rsidRDefault="00F94354" w:rsidP="006931C2">
      <w:pPr>
        <w:spacing w:line="240" w:lineRule="auto"/>
      </w:pPr>
    </w:p>
    <w:p w14:paraId="7CB4E2F7" w14:textId="77777777" w:rsidR="006A7017" w:rsidRPr="00EF1C52" w:rsidRDefault="00F94354" w:rsidP="00DB3B98">
      <w:pPr>
        <w:pStyle w:val="Heading2"/>
      </w:pPr>
      <w:r w:rsidRPr="00EF1C52">
        <w:t>Cena je jedným</w:t>
      </w:r>
      <w:r w:rsidR="00EF1C52">
        <w:t xml:space="preserve"> z </w:t>
      </w:r>
      <w:r w:rsidRPr="00EF1C52">
        <w:t>najdôležitejších determinantov</w:t>
      </w:r>
      <w:r w:rsidR="00EF1C52">
        <w:t xml:space="preserve"> a </w:t>
      </w:r>
      <w:r w:rsidRPr="00EF1C52">
        <w:t>hnacích síl dopytu</w:t>
      </w:r>
      <w:r w:rsidR="004F0CDE" w:rsidRPr="00EF1C52">
        <w:rPr>
          <w:rStyle w:val="FootnoteReference"/>
        </w:rPr>
        <w:footnoteReference w:id="22"/>
      </w:r>
      <w:r w:rsidRPr="00EF1C52">
        <w:t>,</w:t>
      </w:r>
      <w:r w:rsidR="00EF1C52">
        <w:t xml:space="preserve"> a </w:t>
      </w:r>
      <w:r w:rsidRPr="00EF1C52">
        <w:t>pokiaľ cena produktov</w:t>
      </w:r>
      <w:r w:rsidR="00EF1C52">
        <w:t xml:space="preserve"> a </w:t>
      </w:r>
      <w:r w:rsidRPr="00EF1C52">
        <w:t>služieb neodráža presnejšie ich skutočné náklady, nebude možný celkový posun</w:t>
      </w:r>
      <w:r w:rsidR="00EF1C52">
        <w:t xml:space="preserve"> k </w:t>
      </w:r>
      <w:r w:rsidRPr="00EF1C52">
        <w:t>udržateľným modelom spotreby. Ekonomické náklady na environmentálne</w:t>
      </w:r>
      <w:r w:rsidR="00EF1C52">
        <w:t xml:space="preserve"> a </w:t>
      </w:r>
      <w:r w:rsidRPr="00EF1C52">
        <w:t>sociálne externality výroby</w:t>
      </w:r>
      <w:r w:rsidR="00EF1C52">
        <w:t xml:space="preserve"> a </w:t>
      </w:r>
      <w:r w:rsidRPr="00EF1C52">
        <w:t>spotreby</w:t>
      </w:r>
      <w:r w:rsidR="00EF1C52">
        <w:t xml:space="preserve"> v </w:t>
      </w:r>
      <w:r w:rsidRPr="00EF1C52">
        <w:t>súčasnosti znášajú zvyčajne daňovníci</w:t>
      </w:r>
      <w:r w:rsidR="00EF1C52">
        <w:t xml:space="preserve"> a </w:t>
      </w:r>
      <w:r w:rsidRPr="00EF1C52">
        <w:t>budúce generácie,</w:t>
      </w:r>
      <w:r w:rsidR="00EF1C52">
        <w:t xml:space="preserve"> a </w:t>
      </w:r>
      <w:r w:rsidRPr="00EF1C52">
        <w:t>nie spoločnosti, ktoré uvádzajú príslušné výrobky</w:t>
      </w:r>
      <w:r w:rsidR="00EF1C52">
        <w:t xml:space="preserve"> a </w:t>
      </w:r>
      <w:r w:rsidRPr="00EF1C52">
        <w:t>služby na trh. Prístup</w:t>
      </w:r>
      <w:r w:rsidR="00EF1C52">
        <w:t xml:space="preserve"> k </w:t>
      </w:r>
      <w:r w:rsidRPr="00EF1C52">
        <w:t>produktom</w:t>
      </w:r>
      <w:r w:rsidR="00EF1C52">
        <w:t xml:space="preserve"> a </w:t>
      </w:r>
      <w:r w:rsidRPr="00EF1C52">
        <w:t>službám, ktoré ponúkajú alternatívne riešenia</w:t>
      </w:r>
      <w:r w:rsidR="00EF1C52">
        <w:t xml:space="preserve"> s </w:t>
      </w:r>
      <w:r w:rsidRPr="00EF1C52">
        <w:t>nižšími vplyvmi, je stále drahší</w:t>
      </w:r>
      <w:r w:rsidR="00EF1C52">
        <w:t xml:space="preserve"> a </w:t>
      </w:r>
      <w:r w:rsidRPr="00EF1C52">
        <w:t>ťažkopádny,</w:t>
      </w:r>
      <w:r w:rsidR="00EF1C52">
        <w:t xml:space="preserve"> a </w:t>
      </w:r>
      <w:r w:rsidRPr="00EF1C52">
        <w:t>to aj napriek dokázaným vplyvom menej negatívnych externalít prostredníctvom udržateľnejších možností spotreby, ako sú ekologické výrobky</w:t>
      </w:r>
      <w:r w:rsidR="00EF1C52">
        <w:t xml:space="preserve"> a </w:t>
      </w:r>
      <w:r w:rsidRPr="00EF1C52">
        <w:t>výrobky spravodlivého obchodu</w:t>
      </w:r>
      <w:r w:rsidR="00F5743E" w:rsidRPr="00EF1C52">
        <w:rPr>
          <w:sz w:val="24"/>
          <w:vertAlign w:val="superscript"/>
        </w:rPr>
        <w:footnoteReference w:id="23"/>
      </w:r>
      <w:r w:rsidRPr="00EF1C52">
        <w:t>.</w:t>
      </w:r>
    </w:p>
    <w:p w14:paraId="394520D2" w14:textId="77777777" w:rsidR="000F2D58" w:rsidRPr="00EF1C52" w:rsidRDefault="000F2D58" w:rsidP="006931C2">
      <w:pPr>
        <w:spacing w:line="240" w:lineRule="auto"/>
      </w:pPr>
    </w:p>
    <w:p w14:paraId="2C08E624" w14:textId="77777777" w:rsidR="007C7404" w:rsidRPr="00EF1C52" w:rsidRDefault="00CC422E" w:rsidP="00DB3B98">
      <w:pPr>
        <w:pStyle w:val="Heading2"/>
      </w:pPr>
      <w:r w:rsidRPr="00EF1C52">
        <w:t>Medzičasom sa venuje zvýšená pozornosť metódam vykazovania skutočných nákladov</w:t>
      </w:r>
      <w:r w:rsidR="00EF1C52">
        <w:t xml:space="preserve"> a </w:t>
      </w:r>
      <w:r w:rsidRPr="00EF1C52">
        <w:t>rozširujú sa štúdie, odkedy ekonóm A.C.Pigou zaviedol pojem náklady na „externality“</w:t>
      </w:r>
      <w:r w:rsidR="008436BE" w:rsidRPr="00EF1C52">
        <w:rPr>
          <w:rStyle w:val="FootnoteReference"/>
        </w:rPr>
        <w:footnoteReference w:id="24"/>
      </w:r>
      <w:r w:rsidRPr="00EF1C52">
        <w:t>. Komisia uverejnila</w:t>
      </w:r>
      <w:r w:rsidR="00EF1C52">
        <w:t xml:space="preserve"> v </w:t>
      </w:r>
      <w:r w:rsidRPr="00EF1C52">
        <w:t>roku 2008 stratégiu internalizácie externých nákladov</w:t>
      </w:r>
      <w:r w:rsidR="0057417E" w:rsidRPr="00EF1C52">
        <w:rPr>
          <w:rStyle w:val="FootnoteReference"/>
        </w:rPr>
        <w:footnoteReference w:id="25"/>
      </w:r>
      <w:r w:rsidRPr="00EF1C52">
        <w:t>, pričom za hlavné ekonomické nástroje na internalizáciu externých nákladov označila zdaňovanie, mýto (alebo užívateľské poplatky)</w:t>
      </w:r>
      <w:r w:rsidR="00EF1C52">
        <w:t xml:space="preserve"> a </w:t>
      </w:r>
      <w:r w:rsidRPr="00EF1C52">
        <w:t>za určitých okolností obchodovanie</w:t>
      </w:r>
      <w:r w:rsidR="00EF1C52">
        <w:t xml:space="preserve"> s </w:t>
      </w:r>
      <w:r w:rsidRPr="00EF1C52">
        <w:t>emisiami. Dlhodobým trendom</w:t>
      </w:r>
      <w:r w:rsidR="00EF1C52">
        <w:t xml:space="preserve"> v </w:t>
      </w:r>
      <w:r w:rsidRPr="00EF1C52">
        <w:t>Európe je však to, že podiel príjmov</w:t>
      </w:r>
      <w:r w:rsidR="00EF1C52">
        <w:t xml:space="preserve"> z </w:t>
      </w:r>
      <w:r w:rsidRPr="00EF1C52">
        <w:t>„environmentálnych“ daní na celkových daňových príjmoch klesá</w:t>
      </w:r>
      <w:r w:rsidRPr="00EF1C52">
        <w:rPr>
          <w:rStyle w:val="FootnoteReference"/>
        </w:rPr>
        <w:footnoteReference w:id="26"/>
      </w:r>
      <w:r w:rsidRPr="00EF1C52">
        <w:t>.</w:t>
      </w:r>
    </w:p>
    <w:p w14:paraId="75298778" w14:textId="77777777" w:rsidR="007C7404" w:rsidRPr="00EF1C52" w:rsidRDefault="007C7404" w:rsidP="006931C2">
      <w:pPr>
        <w:spacing w:line="240" w:lineRule="auto"/>
      </w:pPr>
    </w:p>
    <w:p w14:paraId="553EF26A" w14:textId="77777777" w:rsidR="00151D70" w:rsidRPr="00EF1C52" w:rsidRDefault="00CC422E" w:rsidP="00DB3B98">
      <w:pPr>
        <w:pStyle w:val="Heading2"/>
      </w:pPr>
      <w:r w:rsidRPr="00EF1C52">
        <w:t>Ďalšou výzvou je</w:t>
      </w:r>
      <w:r w:rsidR="00EF1C52">
        <w:t xml:space="preserve"> v </w:t>
      </w:r>
      <w:r w:rsidRPr="00EF1C52">
        <w:t>súčasnosti dominantný výklad právnych predpisov</w:t>
      </w:r>
      <w:r w:rsidR="00EF1C52">
        <w:t xml:space="preserve"> v </w:t>
      </w:r>
      <w:r w:rsidRPr="00EF1C52">
        <w:t>oblasti hospodárskej súťaže, ktorým sa prijíma veľmi úzka koncepcia dobrých životných podmienok spotrebiteľov, ktorá uprednostňuje nízke maloobchodné ceny pre spotrebiteľa pred udržateľnosťou výrobkov</w:t>
      </w:r>
      <w:r w:rsidR="00EF1C52">
        <w:t xml:space="preserve"> a </w:t>
      </w:r>
      <w:r w:rsidRPr="00EF1C52">
        <w:t>ich výrobou.</w:t>
      </w:r>
      <w:r w:rsidR="00EF1C52">
        <w:t xml:space="preserve"> V </w:t>
      </w:r>
      <w:r w:rsidRPr="00EF1C52">
        <w:t>roku 2013 holandský orgán pre hospodársku súťaž (ACM)</w:t>
      </w:r>
      <w:r w:rsidR="00EF1C52">
        <w:t xml:space="preserve"> v </w:t>
      </w:r>
      <w:r w:rsidRPr="00EF1C52">
        <w:t>prípade „Energetická dohoda“ rozhodol, že viacstranná dohoda</w:t>
      </w:r>
      <w:r w:rsidR="00EF1C52">
        <w:t xml:space="preserve"> o </w:t>
      </w:r>
      <w:r w:rsidRPr="00EF1C52">
        <w:t>energetike pre udržateľný rast so zamestnávateľmi, odborovými zväzmi, environmentálnymi organizáciami</w:t>
      </w:r>
      <w:r w:rsidR="00EF1C52">
        <w:t xml:space="preserve"> a </w:t>
      </w:r>
      <w:r w:rsidRPr="00EF1C52">
        <w:t>ďalšími subjektmi</w:t>
      </w:r>
      <w:r w:rsidR="00EF1C52">
        <w:t xml:space="preserve"> v </w:t>
      </w:r>
      <w:r w:rsidRPr="00EF1C52">
        <w:t>oblasti úspory energie, zvyšujúca podiel energie</w:t>
      </w:r>
      <w:r w:rsidR="00EF1C52">
        <w:t xml:space="preserve"> z </w:t>
      </w:r>
      <w:r w:rsidRPr="00EF1C52">
        <w:t>obnoviteľných zdrojov</w:t>
      </w:r>
      <w:r w:rsidR="00EF1C52">
        <w:t xml:space="preserve"> a </w:t>
      </w:r>
      <w:r w:rsidRPr="00EF1C52">
        <w:t>tvorbu pracovných miest nebola</w:t>
      </w:r>
      <w:r w:rsidR="00EF1C52">
        <w:t xml:space="preserve"> v </w:t>
      </w:r>
      <w:r w:rsidRPr="00EF1C52">
        <w:t>súlade</w:t>
      </w:r>
      <w:r w:rsidR="00EF1C52">
        <w:t xml:space="preserve"> s </w:t>
      </w:r>
      <w:r w:rsidRPr="00EF1C52">
        <w:t>požiadavkami práva hospodárskej súťaže.</w:t>
      </w:r>
      <w:r w:rsidR="00EF1C52">
        <w:t xml:space="preserve"> V </w:t>
      </w:r>
      <w:r w:rsidRPr="00EF1C52">
        <w:t>roku 2014 spoločnosť ACM</w:t>
      </w:r>
      <w:r w:rsidR="00EF1C52">
        <w:t xml:space="preserve"> v </w:t>
      </w:r>
      <w:r w:rsidRPr="00EF1C52">
        <w:t>prípade „Kura zajtrajška“ zistil, že dohoda viacerých zainteresovaných strán</w:t>
      </w:r>
      <w:r w:rsidR="00EF1C52">
        <w:t xml:space="preserve"> o </w:t>
      </w:r>
      <w:r w:rsidRPr="00EF1C52">
        <w:t>zvýšení úrovne dobrých životných podmienok kurčiat, ako je menej antibiotík</w:t>
      </w:r>
      <w:r w:rsidR="00EF1C52">
        <w:t xml:space="preserve"> a </w:t>
      </w:r>
      <w:r w:rsidRPr="00EF1C52">
        <w:t>viac priestoru</w:t>
      </w:r>
      <w:r w:rsidR="00EF1C52">
        <w:t xml:space="preserve"> a </w:t>
      </w:r>
      <w:r w:rsidRPr="00EF1C52">
        <w:t>ďalšie environmentálne opatrenia, obmedzuje hospodársku súťaž.</w:t>
      </w:r>
    </w:p>
    <w:p w14:paraId="6AE6B508" w14:textId="77777777" w:rsidR="00DB5B01" w:rsidRPr="00EF1C52" w:rsidRDefault="00DB5B01" w:rsidP="006931C2">
      <w:pPr>
        <w:spacing w:line="240" w:lineRule="auto"/>
      </w:pPr>
    </w:p>
    <w:p w14:paraId="2FBBDCA8" w14:textId="77777777" w:rsidR="001F1C2A" w:rsidRPr="00EF1C52" w:rsidRDefault="00703CBA" w:rsidP="00DB3B98">
      <w:pPr>
        <w:pStyle w:val="Heading2"/>
      </w:pPr>
      <w:r w:rsidRPr="00EF1C52">
        <w:t>V </w:t>
      </w:r>
      <w:r w:rsidR="007C7404" w:rsidRPr="00EF1C52">
        <w:t>usmerneniach Komisie</w:t>
      </w:r>
      <w:r w:rsidR="00EF1C52">
        <w:t xml:space="preserve"> k </w:t>
      </w:r>
      <w:r w:rsidR="00D048B2" w:rsidRPr="00EF1C52">
        <w:t>článku 101 ods. 3 sa uvádza, že cieľom článku </w:t>
      </w:r>
      <w:r w:rsidR="007C7404" w:rsidRPr="00EF1C52">
        <w:t>101 je chrániť hospodársku súťaž na trhu „ako prostriedok zvyšovania prosperity zákazníkov</w:t>
      </w:r>
      <w:r w:rsidR="00EF1C52">
        <w:t xml:space="preserve"> a </w:t>
      </w:r>
      <w:r w:rsidR="007C7404" w:rsidRPr="00EF1C52">
        <w:t>zabezpečenia efektívneho prideľovania zdrojov“,</w:t>
      </w:r>
      <w:r w:rsidR="00EF1C52">
        <w:t xml:space="preserve"> a </w:t>
      </w:r>
      <w:r w:rsidR="007C7404" w:rsidRPr="00EF1C52">
        <w:t>to bez uvedenia, či</w:t>
      </w:r>
      <w:r w:rsidR="00EF1C52">
        <w:t xml:space="preserve"> a </w:t>
      </w:r>
      <w:r w:rsidR="007C7404" w:rsidRPr="00EF1C52">
        <w:t>ako sa môžu zohľadniť nehospodárske dôvody. Mnoho prevádzkovateľov by chcelo zintenzívniť svoje projekty udržateľnosti, ale investície sú príliš vysoké na to, aby sa na to podujali sami. Usmernenia</w:t>
      </w:r>
      <w:r w:rsidR="00EF1C52">
        <w:t xml:space="preserve"> v </w:t>
      </w:r>
      <w:r w:rsidR="007C7404" w:rsidRPr="00EF1C52">
        <w:t>oblasti práva hospodárskej súťaže by mali prevádzkovateľom poskytovať jasnejšie informácie</w:t>
      </w:r>
      <w:r w:rsidR="00EF1C52">
        <w:t xml:space="preserve"> o </w:t>
      </w:r>
      <w:r w:rsidR="007C7404" w:rsidRPr="00EF1C52">
        <w:t>tom, ako sa zapojiť do spolupráce</w:t>
      </w:r>
      <w:r w:rsidR="00EF1C52">
        <w:t xml:space="preserve"> v </w:t>
      </w:r>
      <w:r w:rsidR="007C7404" w:rsidRPr="00EF1C52">
        <w:t>oblasti udržateľnosti.</w:t>
      </w:r>
    </w:p>
    <w:p w14:paraId="550CF079" w14:textId="77777777" w:rsidR="001F1C2A" w:rsidRPr="00EF1C52" w:rsidRDefault="001F1C2A" w:rsidP="004A45A3">
      <w:pPr>
        <w:spacing w:line="240" w:lineRule="auto"/>
      </w:pPr>
    </w:p>
    <w:p w14:paraId="6C722AD2" w14:textId="77777777" w:rsidR="00DB5B01" w:rsidRPr="00EF1C52" w:rsidRDefault="00DB5B01" w:rsidP="00DB3B98">
      <w:pPr>
        <w:pStyle w:val="Heading2"/>
      </w:pPr>
      <w:r w:rsidRPr="00EF1C52">
        <w:t>Nedávna štúdia nadácie Fairtrade Foundation uvádza dôkaz, že nejasné právne prostredie týkajúce sa možnej spolupráce</w:t>
      </w:r>
      <w:r w:rsidR="00EF1C52">
        <w:t xml:space="preserve"> v </w:t>
      </w:r>
      <w:r w:rsidRPr="00EF1C52">
        <w:t>súvislosti</w:t>
      </w:r>
      <w:r w:rsidR="00EF1C52">
        <w:t xml:space="preserve"> s </w:t>
      </w:r>
      <w:r w:rsidRPr="00EF1C52">
        <w:t>nízkymi vstupnými cenami na farme obmedzuje pokrok smerom</w:t>
      </w:r>
      <w:r w:rsidR="00EF1C52">
        <w:t xml:space="preserve"> k </w:t>
      </w:r>
      <w:r w:rsidRPr="00EF1C52">
        <w:t>spolupráci pri zabezpečení životných miezd</w:t>
      </w:r>
      <w:r w:rsidR="00EF1C52">
        <w:t xml:space="preserve"> a </w:t>
      </w:r>
      <w:r w:rsidRPr="00EF1C52">
        <w:t>príjmov</w:t>
      </w:r>
      <w:r w:rsidR="00EF1C52">
        <w:t xml:space="preserve"> v </w:t>
      </w:r>
      <w:r w:rsidRPr="00EF1C52">
        <w:t>dodávateľských reťazcoch.</w:t>
      </w:r>
      <w:r w:rsidR="00EF1C52">
        <w:t xml:space="preserve"> V </w:t>
      </w:r>
      <w:r w:rsidRPr="00EF1C52">
        <w:t>správe sa uvádza, že ďalšiemu pokroku by výrazne pomohlo ďalšie objasnenie orgánov hospodárskej súťaže</w:t>
      </w:r>
      <w:r w:rsidR="00EF1C52">
        <w:t xml:space="preserve"> o </w:t>
      </w:r>
      <w:r w:rsidRPr="00EF1C52">
        <w:t>tom, ako by sa predkonkurenčná spolupráca</w:t>
      </w:r>
      <w:r w:rsidR="00EF1C52">
        <w:t xml:space="preserve"> v </w:t>
      </w:r>
      <w:r w:rsidRPr="00EF1C52">
        <w:t>oblasti nízkych vstupných cien na farme posudzovala podľa právnych predpisov</w:t>
      </w:r>
      <w:r w:rsidR="00EF1C52">
        <w:t xml:space="preserve"> o </w:t>
      </w:r>
      <w:r w:rsidRPr="00EF1C52">
        <w:t>hospodárskej súťaži</w:t>
      </w:r>
      <w:r w:rsidRPr="00EF1C52">
        <w:rPr>
          <w:rStyle w:val="FootnoteReference"/>
        </w:rPr>
        <w:footnoteReference w:id="27"/>
      </w:r>
      <w:r w:rsidR="00D048B2" w:rsidRPr="00EF1C52">
        <w:t>.</w:t>
      </w:r>
    </w:p>
    <w:p w14:paraId="556F2B8B" w14:textId="77777777" w:rsidR="007C7404" w:rsidRPr="00EF1C52" w:rsidRDefault="007C7404" w:rsidP="004A45A3">
      <w:pPr>
        <w:spacing w:line="240" w:lineRule="auto"/>
      </w:pPr>
    </w:p>
    <w:p w14:paraId="24E643E5" w14:textId="77777777" w:rsidR="00D702C9" w:rsidRPr="00EF1C52" w:rsidRDefault="00227F10" w:rsidP="00DB3B98">
      <w:pPr>
        <w:pStyle w:val="Heading2"/>
      </w:pPr>
      <w:r w:rsidRPr="00EF1C52">
        <w:t>Prekážkou koherentného prístupu</w:t>
      </w:r>
      <w:r w:rsidR="00EF1C52">
        <w:t xml:space="preserve"> k </w:t>
      </w:r>
      <w:r w:rsidRPr="00EF1C52">
        <w:t>trvalo udržateľnej spotrebe je súčasná fragmentácia politík EÚ. Napríklad, pokiaľ ide</w:t>
      </w:r>
      <w:r w:rsidR="00EF1C52">
        <w:t xml:space="preserve"> o </w:t>
      </w:r>
      <w:r w:rsidRPr="00EF1C52">
        <w:t>vykonávanie smernice EÚ</w:t>
      </w:r>
      <w:r w:rsidR="00EF1C52">
        <w:t xml:space="preserve"> o </w:t>
      </w:r>
      <w:r w:rsidRPr="00EF1C52">
        <w:t>verejnom obstarávaní</w:t>
      </w:r>
      <w:r w:rsidR="00EF1C52">
        <w:t xml:space="preserve"> z </w:t>
      </w:r>
      <w:r w:rsidRPr="00EF1C52">
        <w:t>roku 2014</w:t>
      </w:r>
      <w:r w:rsidR="007C7404" w:rsidRPr="00EF1C52">
        <w:rPr>
          <w:rStyle w:val="FootnoteReference"/>
        </w:rPr>
        <w:footnoteReference w:id="28"/>
      </w:r>
      <w:r w:rsidRPr="00EF1C52">
        <w:t>, niekoľko generálnych riaditeľstiev Komisie pracuje osobitne na poskytovaní usmernení pre verejných obstarávateľov (Príručka „Buying Green“ vypracovaná GR pre životné prostredie</w:t>
      </w:r>
      <w:r w:rsidR="007C7404" w:rsidRPr="00EF1C52">
        <w:rPr>
          <w:rStyle w:val="FootnoteReference"/>
        </w:rPr>
        <w:footnoteReference w:id="29"/>
      </w:r>
      <w:r w:rsidRPr="00EF1C52">
        <w:t>, „Sociálne nakupovanie“ vypracovaná GR GROW</w:t>
      </w:r>
      <w:r w:rsidR="007C7404" w:rsidRPr="00EF1C52">
        <w:rPr>
          <w:rStyle w:val="FootnoteReference"/>
        </w:rPr>
        <w:footnoteReference w:id="30"/>
      </w:r>
      <w:r w:rsidRPr="00EF1C52">
        <w:t xml:space="preserve"> –</w:t>
      </w:r>
      <w:r w:rsidR="00EF1C52">
        <w:t xml:space="preserve"> v </w:t>
      </w:r>
      <w:r w:rsidRPr="00EF1C52">
        <w:t>súčasnosti prebieha jej aktualizácia), zatiaľ čo existuje samostatné oznámenie Komisie</w:t>
      </w:r>
      <w:r w:rsidR="00EF1C52">
        <w:t xml:space="preserve"> s </w:t>
      </w:r>
      <w:r w:rsidRPr="00EF1C52">
        <w:t>názvom „Usmernenie</w:t>
      </w:r>
      <w:r w:rsidR="00EF1C52">
        <w:t xml:space="preserve"> k </w:t>
      </w:r>
      <w:r w:rsidRPr="00EF1C52">
        <w:t>inovačnému obstarávaniu“</w:t>
      </w:r>
      <w:r w:rsidR="007C7404" w:rsidRPr="00EF1C52">
        <w:rPr>
          <w:rStyle w:val="FootnoteReference"/>
        </w:rPr>
        <w:footnoteReference w:id="31"/>
      </w:r>
      <w:r w:rsidRPr="00EF1C52">
        <w:t>. To môže byť veľmi mätúce pre verejných obstarávateľov</w:t>
      </w:r>
      <w:r w:rsidR="00EF1C52">
        <w:t xml:space="preserve"> v </w:t>
      </w:r>
      <w:r w:rsidRPr="00EF1C52">
        <w:t>EÚ, ktorí si želajú integrovaný prístup</w:t>
      </w:r>
      <w:r w:rsidR="00EF1C52">
        <w:t xml:space="preserve"> k </w:t>
      </w:r>
      <w:r w:rsidRPr="00EF1C52">
        <w:t>udržateľnému obstarávaniu, ako je stanovené</w:t>
      </w:r>
      <w:r w:rsidR="00EF1C52">
        <w:t xml:space="preserve"> v </w:t>
      </w:r>
      <w:r w:rsidR="00D048B2" w:rsidRPr="00EF1C52">
        <w:t>cieli udržateľného rozvoja č. </w:t>
      </w:r>
      <w:r w:rsidRPr="00EF1C52">
        <w:t>12.3.</w:t>
      </w:r>
    </w:p>
    <w:p w14:paraId="6B818726" w14:textId="77777777" w:rsidR="00D702C9" w:rsidRPr="00EF1C52" w:rsidRDefault="00D702C9" w:rsidP="004A45A3">
      <w:pPr>
        <w:spacing w:line="240" w:lineRule="auto"/>
      </w:pPr>
    </w:p>
    <w:p w14:paraId="632AB5F6" w14:textId="77777777" w:rsidR="0035140A" w:rsidRPr="00EF1C52" w:rsidRDefault="0035140A" w:rsidP="004A45A3">
      <w:pPr>
        <w:pStyle w:val="Heading1"/>
        <w:keepNext/>
        <w:keepLines/>
        <w:spacing w:line="240" w:lineRule="auto"/>
      </w:pPr>
      <w:r w:rsidRPr="00EF1C52">
        <w:rPr>
          <w:b/>
        </w:rPr>
        <w:t>Vízia – Vytvoriť komplexnú európsku stratégiu pre udržateľnú spotrebu</w:t>
      </w:r>
    </w:p>
    <w:p w14:paraId="789393A0" w14:textId="77777777" w:rsidR="0035140A" w:rsidRPr="00EF1C52" w:rsidRDefault="0035140A" w:rsidP="004A45A3">
      <w:pPr>
        <w:keepNext/>
        <w:keepLines/>
        <w:spacing w:line="240" w:lineRule="auto"/>
      </w:pPr>
    </w:p>
    <w:p w14:paraId="50936B97" w14:textId="77777777" w:rsidR="00DB1A73" w:rsidRPr="00EF1C52" w:rsidRDefault="00DB1A73" w:rsidP="00DB3B98">
      <w:pPr>
        <w:pStyle w:val="Heading2"/>
      </w:pPr>
      <w:r w:rsidRPr="00EF1C52">
        <w:t>Politiky zamerané na udržateľnosť výrobných procesov (napr. ekodizajn), výrobkov</w:t>
      </w:r>
      <w:r w:rsidR="00EF1C52">
        <w:t xml:space="preserve"> a </w:t>
      </w:r>
      <w:r w:rsidRPr="00EF1C52">
        <w:t>služieb</w:t>
      </w:r>
      <w:r w:rsidR="00EF1C52">
        <w:t xml:space="preserve"> a </w:t>
      </w:r>
      <w:r w:rsidRPr="00EF1C52">
        <w:t>nakladania so surovinami, ktoré sa stávajú odpadom, sú už dlho základom politiky EÚ</w:t>
      </w:r>
      <w:r w:rsidR="00EF1C52">
        <w:t xml:space="preserve"> a </w:t>
      </w:r>
      <w:r w:rsidRPr="00EF1C52">
        <w:t>existuje relatívne dobre zavedený politický rámec. Tento prístup však už nestačí na dosiahnutie rozsahu zmien požadovaných</w:t>
      </w:r>
      <w:r w:rsidR="00EF1C52">
        <w:t xml:space="preserve"> v </w:t>
      </w:r>
      <w:r w:rsidRPr="00EF1C52">
        <w:t>dostupnom čase – je potrebné venovať väčšiu pozornosť úlohe spotreby pri presadzovaní trvalo udržateľného rozvoja.</w:t>
      </w:r>
    </w:p>
    <w:p w14:paraId="42937378" w14:textId="77777777" w:rsidR="00DB1A73" w:rsidRPr="00EF1C52" w:rsidRDefault="00DB1A73" w:rsidP="004A45A3">
      <w:pPr>
        <w:spacing w:line="240" w:lineRule="auto"/>
      </w:pPr>
    </w:p>
    <w:p w14:paraId="2DC1A6D9" w14:textId="77777777" w:rsidR="00DB1A73" w:rsidRPr="00EF1C52" w:rsidRDefault="00DB1A73" w:rsidP="00DB3B98">
      <w:pPr>
        <w:pStyle w:val="Heading2"/>
      </w:pPr>
      <w:r w:rsidRPr="00EF1C52">
        <w:t>Politiky zamerané na spotrebu na úrovni EÚ sa doteraz zameriavali na úlohy občanov ako spotrebiteľov</w:t>
      </w:r>
      <w:r w:rsidR="00EF1C52">
        <w:t xml:space="preserve"> a </w:t>
      </w:r>
      <w:r w:rsidRPr="00EF1C52">
        <w:t>na využívanie nástrojov politiky založených na informáciách na pokus ovplyvniť spotrebiteľské správanie. Medzi kľúčové príklady patrí environmentálne označovanie výrobkov, kampane na zvýšenie informovanosti</w:t>
      </w:r>
      <w:r w:rsidR="00EF1C52">
        <w:t xml:space="preserve"> a </w:t>
      </w:r>
      <w:r w:rsidRPr="00EF1C52">
        <w:t>dobrovoľné kritériá ekologického verejného obstarávania.</w:t>
      </w:r>
    </w:p>
    <w:p w14:paraId="792AAE04" w14:textId="77777777" w:rsidR="00DB1A73" w:rsidRPr="00EF1C52" w:rsidRDefault="00DB1A73" w:rsidP="004A45A3">
      <w:pPr>
        <w:spacing w:line="240" w:lineRule="auto"/>
      </w:pPr>
    </w:p>
    <w:p w14:paraId="7562D1D3" w14:textId="77777777" w:rsidR="00315F80" w:rsidRPr="00EF1C52" w:rsidRDefault="00DB1A73" w:rsidP="00DB3B98">
      <w:pPr>
        <w:pStyle w:val="Heading2"/>
      </w:pPr>
      <w:r w:rsidRPr="00EF1C52">
        <w:t>Tieto nástroje politiky mali obmedzený vplyv na neudržateľnú spotrebu.</w:t>
      </w:r>
      <w:r w:rsidR="00EF1C52">
        <w:t xml:space="preserve"> V </w:t>
      </w:r>
      <w:r w:rsidRPr="00EF1C52">
        <w:t>skutočnosti existuje len málo dôkazov, ktoré by naznačovali, že zlepšená informovanosť</w:t>
      </w:r>
      <w:r w:rsidR="00EF1C52">
        <w:t xml:space="preserve"> o </w:t>
      </w:r>
      <w:r w:rsidRPr="00EF1C52">
        <w:t>environmentálnych vlastnostiach výrobkov, ako sú environmentálne značky, vedie</w:t>
      </w:r>
      <w:r w:rsidR="00EF1C52">
        <w:t xml:space="preserve"> k </w:t>
      </w:r>
      <w:r w:rsidRPr="00EF1C52">
        <w:t>skutočným zmenám</w:t>
      </w:r>
      <w:r w:rsidR="00EF1C52">
        <w:t xml:space="preserve"> v </w:t>
      </w:r>
      <w:r w:rsidRPr="00EF1C52">
        <w:t>nákupnom správaní, nieto</w:t>
      </w:r>
      <w:r w:rsidR="00EF1C52">
        <w:t xml:space="preserve"> v </w:t>
      </w:r>
      <w:r w:rsidRPr="00EF1C52">
        <w:t>požadovanom rozsahu. Je to</w:t>
      </w:r>
      <w:r w:rsidR="00EF1C52">
        <w:t xml:space="preserve"> z </w:t>
      </w:r>
      <w:r w:rsidRPr="00EF1C52">
        <w:t>dôvodu rôznych odrazových efektov, podvedomých rutín</w:t>
      </w:r>
      <w:r w:rsidR="00EF1C52">
        <w:t xml:space="preserve"> a </w:t>
      </w:r>
      <w:r w:rsidRPr="00EF1C52">
        <w:t>zvykov</w:t>
      </w:r>
      <w:r w:rsidRPr="00EF1C52">
        <w:rPr>
          <w:rStyle w:val="FootnoteReference"/>
        </w:rPr>
        <w:footnoteReference w:id="32"/>
      </w:r>
      <w:r w:rsidRPr="00EF1C52">
        <w:t>. Naše voľby ako spotrebiteľov (či už ide</w:t>
      </w:r>
      <w:r w:rsidR="00EF1C52">
        <w:t xml:space="preserve"> o </w:t>
      </w:r>
      <w:r w:rsidRPr="00EF1C52">
        <w:t>domácnosť, súkromný sektor alebo verejnosť) naďalej do veľkej miery vychádzajú</w:t>
      </w:r>
      <w:r w:rsidR="00EF1C52">
        <w:t xml:space="preserve"> z </w:t>
      </w:r>
      <w:r w:rsidRPr="00EF1C52">
        <w:t>ceny</w:t>
      </w:r>
      <w:r w:rsidR="00EF1C52">
        <w:t xml:space="preserve"> a </w:t>
      </w:r>
      <w:r w:rsidRPr="00EF1C52">
        <w:t>pohodlia</w:t>
      </w:r>
      <w:r w:rsidRPr="00EF1C52">
        <w:rPr>
          <w:rStyle w:val="FootnoteReference"/>
        </w:rPr>
        <w:footnoteReference w:id="33"/>
      </w:r>
      <w:r w:rsidR="004A45A3" w:rsidRPr="00EF1C52">
        <w:t>. Je </w:t>
      </w:r>
      <w:r w:rsidRPr="00EF1C52">
        <w:t>však dôležité zdôrazniť, že za takúto možnosť</w:t>
      </w:r>
      <w:r w:rsidR="00EF1C52">
        <w:t xml:space="preserve"> v </w:t>
      </w:r>
      <w:r w:rsidRPr="00EF1C52">
        <w:t>existujúcom systéme nenesú zodpovednosť spotrebitelia, ale skôr výrobcovia</w:t>
      </w:r>
      <w:r w:rsidR="00257120" w:rsidRPr="00EF1C52">
        <w:rPr>
          <w:rStyle w:val="FootnoteReference"/>
        </w:rPr>
        <w:footnoteReference w:id="34"/>
      </w:r>
      <w:r w:rsidRPr="00EF1C52">
        <w:t>. Je to kapitalistická logika</w:t>
      </w:r>
      <w:r w:rsidR="00EF1C52">
        <w:t xml:space="preserve"> a </w:t>
      </w:r>
      <w:r w:rsidRPr="00EF1C52">
        <w:t>nerovnováha moci</w:t>
      </w:r>
      <w:r w:rsidR="00EF1C52">
        <w:t xml:space="preserve"> v </w:t>
      </w:r>
      <w:r w:rsidRPr="00EF1C52">
        <w:t>dodávateľskom reťazci, ktorá vedie</w:t>
      </w:r>
      <w:r w:rsidR="00EF1C52">
        <w:t xml:space="preserve"> k </w:t>
      </w:r>
      <w:r w:rsidRPr="00EF1C52">
        <w:t>„pretekom ku dnu“, pričom uprednostňuje cenu pred udržateľnosťou.</w:t>
      </w:r>
    </w:p>
    <w:p w14:paraId="6F0E1E50" w14:textId="77777777" w:rsidR="00A1701E" w:rsidRPr="00EF1C52" w:rsidRDefault="00A1701E" w:rsidP="004A45A3">
      <w:pPr>
        <w:spacing w:line="240" w:lineRule="auto"/>
      </w:pPr>
    </w:p>
    <w:p w14:paraId="0BADE1EB" w14:textId="77777777" w:rsidR="00DB1A73" w:rsidRPr="00EF1C52" w:rsidRDefault="00DB1A73" w:rsidP="00DB3B98">
      <w:pPr>
        <w:pStyle w:val="Heading2"/>
      </w:pPr>
      <w:r w:rsidRPr="00EF1C52">
        <w:t>Je tiež problematické považovať občanov za zodpovedných za dosiahnutie udržateľnejšej spotreby, zatiaľ čo väčšina výrobkov</w:t>
      </w:r>
      <w:r w:rsidR="00EF1C52">
        <w:t xml:space="preserve"> a </w:t>
      </w:r>
      <w:r w:rsidRPr="00EF1C52">
        <w:t>služieb neodhaľuje svoje skutočné náklady</w:t>
      </w:r>
      <w:r w:rsidR="00EF1C52">
        <w:t xml:space="preserve"> a </w:t>
      </w:r>
      <w:r w:rsidRPr="00EF1C52">
        <w:t>trhové</w:t>
      </w:r>
      <w:r w:rsidR="00EF1C52">
        <w:t xml:space="preserve"> a </w:t>
      </w:r>
      <w:r w:rsidRPr="00EF1C52">
        <w:t>spoločenské páky zostávajú nastavené na podporu zvýšenej spotreby surovín. Je potrebné lepšie si uvedomiť zodpovednosť súkromného</w:t>
      </w:r>
      <w:r w:rsidR="00EF1C52">
        <w:t xml:space="preserve"> a </w:t>
      </w:r>
      <w:r w:rsidRPr="00EF1C52">
        <w:t>verejného sektora za riešenie neudržateľnej spotreby</w:t>
      </w:r>
      <w:r w:rsidR="00EF1C52">
        <w:t xml:space="preserve"> a </w:t>
      </w:r>
      <w:r w:rsidRPr="00EF1C52">
        <w:t>prijať nástroje, ktoré pomôžu vyváženým</w:t>
      </w:r>
      <w:r w:rsidR="00EF1C52">
        <w:t xml:space="preserve"> a </w:t>
      </w:r>
      <w:r w:rsidRPr="00EF1C52">
        <w:t>transparentným spôsobom zabezpečiť, aby zdravšia, udržateľnejšia</w:t>
      </w:r>
      <w:r w:rsidR="00EF1C52">
        <w:t xml:space="preserve"> a </w:t>
      </w:r>
      <w:r w:rsidRPr="00EF1C52">
        <w:t>bezpečnejšia voľba bola pre občanov ľahšou</w:t>
      </w:r>
      <w:r w:rsidR="00EF1C52">
        <w:t xml:space="preserve"> a </w:t>
      </w:r>
      <w:r w:rsidRPr="00EF1C52">
        <w:t>dostupnejšou voľbou. EK by mala naďalej podporovať celoeurópske kampane zamerané na udržateľnú spotrebu pod vedením občianskej spoločnosti so zameraním nielen na individuálne rozhodnutia spotrebiteľov.</w:t>
      </w:r>
    </w:p>
    <w:p w14:paraId="28C0BBC8" w14:textId="77777777" w:rsidR="00DB1A73" w:rsidRPr="00EF1C52" w:rsidRDefault="00DB1A73" w:rsidP="004A45A3">
      <w:pPr>
        <w:spacing w:line="240" w:lineRule="auto"/>
      </w:pPr>
    </w:p>
    <w:p w14:paraId="04F09F1B" w14:textId="77777777" w:rsidR="00DB1A73" w:rsidRPr="00EF1C52" w:rsidRDefault="00DB1A73" w:rsidP="00DB3B98">
      <w:pPr>
        <w:pStyle w:val="Heading2"/>
      </w:pPr>
      <w:r w:rsidRPr="00EF1C52">
        <w:t>Súčasťou doterajšieho charakteru politiky na úrovni EÚ je rovnováha politických povinností medzi EÚ</w:t>
      </w:r>
      <w:r w:rsidR="00EF1C52">
        <w:t xml:space="preserve"> a </w:t>
      </w:r>
      <w:r w:rsidRPr="00EF1C52">
        <w:t>jej členskými štátmi. Nástroje politiky, ktoré sa môžu použiť na pokus</w:t>
      </w:r>
      <w:r w:rsidR="00EF1C52">
        <w:t xml:space="preserve"> o </w:t>
      </w:r>
      <w:r w:rsidRPr="00EF1C52">
        <w:t>reguláciu dopytu, napríklad dane, patria do veľkej miery do právomoci členských štátov. EÚ napriek tomu zohráva ústrednú úlohu pri zabezpečovaní toho, aby Európa žila</w:t>
      </w:r>
      <w:r w:rsidR="00EF1C52">
        <w:t xml:space="preserve"> v </w:t>
      </w:r>
      <w:r w:rsidRPr="00EF1C52">
        <w:t>rámci hraníc možností planéty,</w:t>
      </w:r>
      <w:r w:rsidR="00EF1C52">
        <w:t xml:space="preserve"> a </w:t>
      </w:r>
      <w:r w:rsidRPr="00EF1C52">
        <w:t>má niekoľko prostriedkov, ako konať</w:t>
      </w:r>
      <w:r w:rsidR="00EF1C52">
        <w:t xml:space="preserve"> v </w:t>
      </w:r>
      <w:r w:rsidRPr="00EF1C52">
        <w:t>prípade neudržateľnej spotreby. Niektoré členské štáty by tiež mohli využívať ďalšie usmernenia (súbor nástrojov) EÚ.</w:t>
      </w:r>
    </w:p>
    <w:p w14:paraId="1E14922C" w14:textId="77777777" w:rsidR="00DB1A73" w:rsidRPr="00EF1C52" w:rsidRDefault="00DB1A73" w:rsidP="004A45A3">
      <w:pPr>
        <w:spacing w:line="240" w:lineRule="auto"/>
      </w:pPr>
    </w:p>
    <w:p w14:paraId="163860C7" w14:textId="77777777" w:rsidR="00DB1A73" w:rsidRPr="00EF1C52" w:rsidRDefault="00DB1A73" w:rsidP="00DB3B98">
      <w:pPr>
        <w:pStyle w:val="Heading2"/>
      </w:pPr>
      <w:r w:rsidRPr="00EF1C52">
        <w:t>Jednotlivé prístupy, napr. spravodlivé alebo obehové, sú dôležité, ale nepostačujú na dosiahnutie udržateľnosti. Okrem toho existuje riziko, že vypracovanie politických reakcií na neudržateľnú spotrebu izolovane od seba môže spôsobiť reťazovú reakciu nepredvídaných problémov. Potrebný je komplexný</w:t>
      </w:r>
      <w:r w:rsidR="00EF1C52">
        <w:t xml:space="preserve"> a </w:t>
      </w:r>
      <w:r w:rsidRPr="00EF1C52">
        <w:t>koordinovaný prístup, ktorý odráža zložitosť danej problematiky</w:t>
      </w:r>
      <w:r w:rsidR="00EF1C52">
        <w:t xml:space="preserve"> a </w:t>
      </w:r>
      <w:r w:rsidRPr="00EF1C52">
        <w:t>poskytuje jednotný príspevok</w:t>
      </w:r>
      <w:r w:rsidR="00EF1C52">
        <w:t xml:space="preserve"> z </w:t>
      </w:r>
      <w:r w:rsidRPr="00EF1C52">
        <w:t>rôznych oblastí politiky, od výskumných, inovačných, odvetvových</w:t>
      </w:r>
      <w:r w:rsidR="00EF1C52">
        <w:t xml:space="preserve"> a </w:t>
      </w:r>
      <w:r w:rsidRPr="00EF1C52">
        <w:t>priemyselných politík po vzdelávanie, sociálnu starostlivosť, obchod</w:t>
      </w:r>
      <w:r w:rsidR="00EF1C52">
        <w:t xml:space="preserve"> a </w:t>
      </w:r>
      <w:r w:rsidRPr="00EF1C52">
        <w:t>zamestnanosť</w:t>
      </w:r>
      <w:r w:rsidRPr="00EF1C52">
        <w:rPr>
          <w:rStyle w:val="FootnoteReference"/>
        </w:rPr>
        <w:footnoteReference w:id="35"/>
      </w:r>
      <w:r w:rsidRPr="00EF1C52">
        <w:t>. Je dôležité, aby stratégia EÚ</w:t>
      </w:r>
      <w:r w:rsidR="00EF1C52">
        <w:t xml:space="preserve"> v </w:t>
      </w:r>
      <w:r w:rsidRPr="00EF1C52">
        <w:t>prípade potreby dopĺňala – nie oslabovala – ambiciózne regulačné zásahy.</w:t>
      </w:r>
    </w:p>
    <w:p w14:paraId="7BBA3A02" w14:textId="77777777" w:rsidR="00DB1A73" w:rsidRPr="00EF1C52" w:rsidRDefault="00DB1A73" w:rsidP="004A45A3">
      <w:pPr>
        <w:spacing w:line="240" w:lineRule="auto"/>
      </w:pPr>
    </w:p>
    <w:p w14:paraId="32506586" w14:textId="77777777" w:rsidR="00DB1A73" w:rsidRPr="00EF1C52" w:rsidRDefault="00DB1A73" w:rsidP="00DB3B98">
      <w:pPr>
        <w:pStyle w:val="Heading2"/>
      </w:pPr>
      <w:r w:rsidRPr="00EF1C52">
        <w:t>Stratégia udržateľnej spotreby na úrovni EÚ by mala pre členské štáty</w:t>
      </w:r>
      <w:r w:rsidR="00EF1C52">
        <w:t xml:space="preserve"> a </w:t>
      </w:r>
      <w:r w:rsidRPr="00EF1C52">
        <w:t>pre súkromný sektor vytvoriť ambiciózny rámec</w:t>
      </w:r>
      <w:r w:rsidR="00EF1C52">
        <w:t xml:space="preserve"> s </w:t>
      </w:r>
      <w:r w:rsidRPr="00EF1C52">
        <w:t>cieľom riešiť spotrebu domácností</w:t>
      </w:r>
      <w:r w:rsidR="00EF1C52">
        <w:t xml:space="preserve"> a </w:t>
      </w:r>
      <w:r w:rsidRPr="00EF1C52">
        <w:t>spotrebu vo verejnom sektore. Trhy neprinesú udržateľné výsledky automaticky. Potrebná je stratégia na vytvorenie regulačného kontextu</w:t>
      </w:r>
      <w:r w:rsidR="00EF1C52">
        <w:t xml:space="preserve"> a </w:t>
      </w:r>
      <w:r w:rsidRPr="00EF1C52">
        <w:t>strategického smerovania, ktoré vedie</w:t>
      </w:r>
      <w:r w:rsidR="00EF1C52">
        <w:t xml:space="preserve"> k </w:t>
      </w:r>
      <w:r w:rsidRPr="00EF1C52">
        <w:t>ambicióznym priekopníckym iniciatívam</w:t>
      </w:r>
      <w:r w:rsidR="00EF1C52">
        <w:t xml:space="preserve"> v </w:t>
      </w:r>
      <w:r w:rsidRPr="00EF1C52">
        <w:t>oblasti výrobkov, ako aj služieb (keďže ekonomika služieb nemusí byť nevyhnutne udržateľná).</w:t>
      </w:r>
    </w:p>
    <w:p w14:paraId="515396D4" w14:textId="77777777" w:rsidR="00DB1A73" w:rsidRPr="00EF1C52" w:rsidRDefault="00DB1A73" w:rsidP="00DB3B98"/>
    <w:p w14:paraId="0ECE11FE" w14:textId="77777777" w:rsidR="00DB1A73" w:rsidRPr="00EF1C52" w:rsidRDefault="00DB1A73" w:rsidP="00DB3B98">
      <w:pPr>
        <w:pStyle w:val="Heading2"/>
      </w:pPr>
      <w:r w:rsidRPr="00EF1C52">
        <w:t>Stratégia EÚ by tiež bola</w:t>
      </w:r>
      <w:r w:rsidR="00EF1C52">
        <w:t xml:space="preserve"> v </w:t>
      </w:r>
      <w:r w:rsidRPr="00EF1C52">
        <w:t>súlade so žiadosťami európskych spotrebiteľov, aby EÚ zabezpečila štrukturálne zmeny</w:t>
      </w:r>
      <w:r w:rsidR="00EF1C52">
        <w:t xml:space="preserve"> a </w:t>
      </w:r>
      <w:r w:rsidRPr="00EF1C52">
        <w:t>vytvorenie nových infraštruktúr, ktoré by spotrebiteľom umožnili prijať udržateľnejší životný štýl</w:t>
      </w:r>
      <w:r w:rsidRPr="00EF1C52">
        <w:rPr>
          <w:rStyle w:val="FootnoteReference"/>
        </w:rPr>
        <w:footnoteReference w:id="36"/>
      </w:r>
      <w:r w:rsidRPr="00EF1C52">
        <w:t>.</w:t>
      </w:r>
    </w:p>
    <w:p w14:paraId="7979E9AC" w14:textId="77777777" w:rsidR="00DB1A73" w:rsidRPr="00EF1C52" w:rsidRDefault="00DB1A73" w:rsidP="00DB3B98"/>
    <w:p w14:paraId="5506767A" w14:textId="77777777" w:rsidR="00DB1A73" w:rsidRPr="00EF1C52" w:rsidRDefault="00DB1A73" w:rsidP="00DB3B98">
      <w:pPr>
        <w:pStyle w:val="Heading2"/>
      </w:pPr>
      <w:r w:rsidRPr="00EF1C52">
        <w:t>Začlenenie úlohy spotreby na úrovni EÚ môže tiež pomôcť vyhnúť sa odrazovým efektom</w:t>
      </w:r>
      <w:r w:rsidR="00EF1C52">
        <w:t xml:space="preserve"> a </w:t>
      </w:r>
      <w:r w:rsidRPr="00EF1C52">
        <w:t>iným nepredvídaným účinkom revidovanej a/alebo novej politiky</w:t>
      </w:r>
      <w:r w:rsidR="00EF1C52">
        <w:t xml:space="preserve"> a </w:t>
      </w:r>
      <w:r w:rsidRPr="00EF1C52">
        <w:t>podporiť dlhodobejší kultúrny posun</w:t>
      </w:r>
      <w:r w:rsidR="00EF1C52">
        <w:t xml:space="preserve"> v </w:t>
      </w:r>
      <w:r w:rsidRPr="00EF1C52">
        <w:t>tom, ako vnímame koncepciu dostatočnosti</w:t>
      </w:r>
      <w:r w:rsidR="00EF1C52">
        <w:t xml:space="preserve"> a </w:t>
      </w:r>
      <w:r w:rsidRPr="00EF1C52">
        <w:t>úlohu</w:t>
      </w:r>
      <w:r w:rsidR="004A45A3" w:rsidRPr="00EF1C52">
        <w:t xml:space="preserve"> spotreby pri realizácii Agendy </w:t>
      </w:r>
      <w:r w:rsidRPr="00EF1C52">
        <w:t>2030.</w:t>
      </w:r>
    </w:p>
    <w:p w14:paraId="73FBFE0F" w14:textId="77777777" w:rsidR="00DB1A73" w:rsidRPr="00EF1C52" w:rsidRDefault="00DB1A73" w:rsidP="00DB3B98"/>
    <w:p w14:paraId="254E7A31" w14:textId="77777777" w:rsidR="00DB1A73" w:rsidRPr="00EF1C52" w:rsidRDefault="00DB1A73" w:rsidP="00DB3B98">
      <w:pPr>
        <w:pStyle w:val="Heading2"/>
      </w:pPr>
      <w:r w:rsidRPr="00EF1C52">
        <w:t>Stratégia EÚ pre udržateľnú spotrebu by mala obsahovať ciele absolútneho zníženia surovinovej stopy európskej spotreby. Ciele na úrovni EÚ môžu poskytnúť smer, dynamiku</w:t>
      </w:r>
      <w:r w:rsidR="00EF1C52">
        <w:t xml:space="preserve"> a </w:t>
      </w:r>
      <w:r w:rsidRPr="00EF1C52">
        <w:t>súdržnosť tak pre ostatné úrovne riadenia, ako aj pre súkromných</w:t>
      </w:r>
      <w:r w:rsidR="00EF1C52">
        <w:t xml:space="preserve"> a </w:t>
      </w:r>
      <w:r w:rsidRPr="00EF1C52">
        <w:t>verejných inovátorov, aby pomohli zabezpečiť hospodárstvo zamerané na dobré životné podmienky</w:t>
      </w:r>
      <w:r w:rsidRPr="00EF1C52">
        <w:rPr>
          <w:rStyle w:val="FootnoteReference"/>
        </w:rPr>
        <w:footnoteReference w:id="37"/>
      </w:r>
      <w:r w:rsidRPr="00EF1C52">
        <w:t>.</w:t>
      </w:r>
    </w:p>
    <w:p w14:paraId="2BB13E77" w14:textId="77777777" w:rsidR="00DB1A73" w:rsidRPr="00EF1C52" w:rsidRDefault="00DB1A73" w:rsidP="00DB3B98"/>
    <w:p w14:paraId="49B6349F" w14:textId="77777777" w:rsidR="00B45690" w:rsidRPr="00EF1C52" w:rsidRDefault="0040342B" w:rsidP="00DB3B98">
      <w:pPr>
        <w:pStyle w:val="Heading2"/>
      </w:pPr>
      <w:r w:rsidRPr="00EF1C52">
        <w:t>Ďalej je rozhodujúci aspekt spravodlivosti pri využívaní zdrojov, ktorý sa</w:t>
      </w:r>
      <w:r w:rsidR="00EF1C52">
        <w:t xml:space="preserve"> v </w:t>
      </w:r>
      <w:r w:rsidRPr="00EF1C52">
        <w:t>politike EÚ už dlho prehliada</w:t>
      </w:r>
      <w:r w:rsidR="00DB1A73" w:rsidRPr="00EF1C52">
        <w:rPr>
          <w:rStyle w:val="FootnoteReference"/>
        </w:rPr>
        <w:footnoteReference w:id="38"/>
      </w:r>
      <w:r w:rsidRPr="00EF1C52">
        <w:t>. Stratégia pre udržateľnú spotrebu musí byť stratégiou zameranou na ľudí, ktorej cieľom je sprístupnenie, cenová dostupnosť</w:t>
      </w:r>
      <w:r w:rsidR="00EF1C52">
        <w:t xml:space="preserve"> a </w:t>
      </w:r>
      <w:r w:rsidRPr="00EF1C52">
        <w:t>príťažlivosť pre všetkých</w:t>
      </w:r>
      <w:r w:rsidR="00EF1C52">
        <w:t xml:space="preserve"> z </w:t>
      </w:r>
      <w:r w:rsidRPr="00EF1C52">
        <w:t>hľadiska udržateľnej voľby spotrebiteľa.</w:t>
      </w:r>
      <w:r w:rsidR="00EF1C52">
        <w:t xml:space="preserve"> V </w:t>
      </w:r>
      <w:r w:rsidRPr="00EF1C52">
        <w:t>rámci stratégie by sa mala venovať osobitná pozornosť vplyvu na zraniteľné skupiny obyvateľstva</w:t>
      </w:r>
      <w:r w:rsidR="00EF1C52">
        <w:t xml:space="preserve"> a </w:t>
      </w:r>
      <w:r w:rsidRPr="00EF1C52">
        <w:t>domácnosti</w:t>
      </w:r>
      <w:r w:rsidR="00EF1C52">
        <w:t xml:space="preserve"> s </w:t>
      </w:r>
      <w:r w:rsidRPr="00EF1C52">
        <w:t>nízkymi príjmami.</w:t>
      </w:r>
      <w:r w:rsidR="00EF1C52">
        <w:t xml:space="preserve"> V </w:t>
      </w:r>
      <w:r w:rsidRPr="00EF1C52">
        <w:t>súlade</w:t>
      </w:r>
      <w:r w:rsidR="00EF1C52">
        <w:t xml:space="preserve"> s </w:t>
      </w:r>
      <w:r w:rsidRPr="00EF1C52">
        <w:t>tým by sa mali riešiť aj sociálne skupiny</w:t>
      </w:r>
      <w:r w:rsidR="00EF1C52">
        <w:t xml:space="preserve"> s </w:t>
      </w:r>
      <w:r w:rsidRPr="00EF1C52">
        <w:t>vysokými výdavkami.</w:t>
      </w:r>
    </w:p>
    <w:p w14:paraId="17DA06AA" w14:textId="77777777" w:rsidR="00B45690" w:rsidRPr="00EF1C52" w:rsidRDefault="00B45690" w:rsidP="00DB3B98"/>
    <w:p w14:paraId="223E73D0" w14:textId="77777777" w:rsidR="00841F06" w:rsidRPr="00EF1C52" w:rsidRDefault="0096350E" w:rsidP="00DB3B98">
      <w:pPr>
        <w:pStyle w:val="Heading2"/>
      </w:pPr>
      <w:r w:rsidRPr="00EF1C52">
        <w:t>Pracovníci</w:t>
      </w:r>
      <w:r w:rsidR="00EF1C52">
        <w:t xml:space="preserve"> a </w:t>
      </w:r>
      <w:r w:rsidRPr="00EF1C52">
        <w:t>poľnohospodári zohrávajú kľúčovú úlohu pri podpore udržateľnej spotreby, pretože sú spotrebiteľmi na konci reťazca, ale aj výrobcami na začiatku dodávateľského reťazca. Je preto dôležité, aby politiky udržateľnej spotreby zahŕňali vyvážený prístup</w:t>
      </w:r>
      <w:r w:rsidR="00EF1C52">
        <w:t xml:space="preserve"> k </w:t>
      </w:r>
      <w:r w:rsidRPr="00EF1C52">
        <w:t>rozdeleniu vytvárania hodnoty</w:t>
      </w:r>
      <w:r w:rsidR="00EF1C52">
        <w:t xml:space="preserve"> v </w:t>
      </w:r>
      <w:r w:rsidRPr="00EF1C52">
        <w:t>celom hodnotovom reťazci</w:t>
      </w:r>
      <w:r w:rsidR="00EF1C52">
        <w:t xml:space="preserve"> a </w:t>
      </w:r>
      <w:r w:rsidRPr="00EF1C52">
        <w:t>naprieč ním, ako je napríklad podpora životného minima pre pracovníkov</w:t>
      </w:r>
      <w:r w:rsidR="00EF1C52">
        <w:t xml:space="preserve"> a </w:t>
      </w:r>
      <w:r w:rsidRPr="00EF1C52">
        <w:t>minimálneho príjmu pre poľnohospodárov</w:t>
      </w:r>
      <w:r w:rsidR="00EF1C52">
        <w:t xml:space="preserve"> v </w:t>
      </w:r>
      <w:r w:rsidRPr="00EF1C52">
        <w:t>EÚ aj na globálnom juhu,</w:t>
      </w:r>
      <w:r w:rsidR="00EF1C52">
        <w:t xml:space="preserve"> a </w:t>
      </w:r>
      <w:r w:rsidRPr="00EF1C52">
        <w:t>nielen zameranie sa na krátkodobé nízke ceny pre spotrebiteľov. Pracovníci, odborové zväzy, skupiny poľnohospodárov</w:t>
      </w:r>
      <w:r w:rsidR="00EF1C52">
        <w:t xml:space="preserve"> a </w:t>
      </w:r>
      <w:r w:rsidRPr="00EF1C52">
        <w:t>organizácie občianskej spoločnosti môžu tiež zohrávať kľúčovú úlohu pri monitorovaní dodržiavania noriem udržateľnosti</w:t>
      </w:r>
      <w:r w:rsidR="00EF1C52">
        <w:t xml:space="preserve"> a </w:t>
      </w:r>
      <w:r w:rsidRPr="00EF1C52">
        <w:t>ľudských práv</w:t>
      </w:r>
      <w:r w:rsidR="00EF1C52">
        <w:t xml:space="preserve"> v </w:t>
      </w:r>
      <w:r w:rsidRPr="00EF1C52">
        <w:t>globálnych hodnotových reťazcoch.</w:t>
      </w:r>
    </w:p>
    <w:p w14:paraId="50EDB40D" w14:textId="77777777" w:rsidR="0096350E" w:rsidRPr="00EF1C52" w:rsidRDefault="0096350E" w:rsidP="00DB3B98"/>
    <w:p w14:paraId="4A21271F" w14:textId="77777777" w:rsidR="00206684" w:rsidRPr="00EF1C52" w:rsidRDefault="00841F06" w:rsidP="004A45A3">
      <w:pPr>
        <w:pStyle w:val="Heading2"/>
        <w:keepNext/>
        <w:keepLines/>
      </w:pPr>
      <w:r w:rsidRPr="00EF1C52">
        <w:t>Maloobchod môže tiež zohrávať dôležitú úlohu pri podpore udržateľnej spotreby tým, že bude spotrebiteľov nabádať</w:t>
      </w:r>
      <w:r w:rsidR="00EF1C52">
        <w:t xml:space="preserve"> k </w:t>
      </w:r>
      <w:r w:rsidRPr="00EF1C52">
        <w:t>zdravším</w:t>
      </w:r>
      <w:r w:rsidR="00EF1C52">
        <w:t xml:space="preserve"> a </w:t>
      </w:r>
      <w:r w:rsidRPr="00EF1C52">
        <w:t>udržateľnejším voľbám.</w:t>
      </w:r>
      <w:r w:rsidR="00EF1C52">
        <w:t xml:space="preserve"> V </w:t>
      </w:r>
      <w:r w:rsidRPr="00EF1C52">
        <w:t>rámci tohto sektora je obzvlášť dôležité spomenúť obchodný model spotrebiteľských družstiev,</w:t>
      </w:r>
      <w:r w:rsidR="00EF1C52">
        <w:t xml:space="preserve"> a </w:t>
      </w:r>
      <w:r w:rsidRPr="00EF1C52">
        <w:t>to</w:t>
      </w:r>
      <w:r w:rsidR="00EF1C52">
        <w:t xml:space="preserve"> z </w:t>
      </w:r>
      <w:r w:rsidRPr="00EF1C52">
        <w:t>dôvodu ich špecifickej podnikateľskej formy, ktorá stavia postavu člena-spotrebiteľa do jadra jeho obchodnej</w:t>
      </w:r>
      <w:r w:rsidR="00EF1C52">
        <w:t xml:space="preserve"> a </w:t>
      </w:r>
      <w:r w:rsidRPr="00EF1C52">
        <w:t>demokratickej riadiacej štruktúry.</w:t>
      </w:r>
    </w:p>
    <w:p w14:paraId="74E6A647" w14:textId="77777777" w:rsidR="00206684" w:rsidRPr="00EF1C52" w:rsidRDefault="00206684" w:rsidP="00DB3B98"/>
    <w:p w14:paraId="4F85DFB6" w14:textId="77777777" w:rsidR="00B4278B" w:rsidRPr="00EF1C52" w:rsidRDefault="00DB1A73" w:rsidP="00DB3B98">
      <w:pPr>
        <w:pStyle w:val="Heading2"/>
      </w:pPr>
      <w:r w:rsidRPr="00EF1C52">
        <w:t>Stratégia EÚ by mala zahŕňať iniciatívy na zabezpečenie transparentných</w:t>
      </w:r>
      <w:r w:rsidR="00EF1C52">
        <w:t xml:space="preserve"> a </w:t>
      </w:r>
      <w:r w:rsidRPr="00EF1C52">
        <w:t>spoľahlivých tokov informácií na podporu udržateľnej spotreby</w:t>
      </w:r>
      <w:r w:rsidR="00EF1C52">
        <w:t xml:space="preserve"> a </w:t>
      </w:r>
      <w:r w:rsidRPr="00EF1C52">
        <w:t>využitie príležitostí vytvorených novými</w:t>
      </w:r>
      <w:r w:rsidR="00EF1C52">
        <w:t xml:space="preserve"> a </w:t>
      </w:r>
      <w:r w:rsidRPr="00EF1C52">
        <w:t>vznikajúcimi digitálnymi riešeniami. Mohli by sa tým podporiť aj spoločnosti, ktoré sú ochotné inovovať, ale</w:t>
      </w:r>
      <w:r w:rsidR="00EF1C52">
        <w:t xml:space="preserve"> v </w:t>
      </w:r>
      <w:r w:rsidRPr="00EF1C52">
        <w:t>súčasnosti nemajú metriky</w:t>
      </w:r>
      <w:r w:rsidR="00EF1C52">
        <w:t xml:space="preserve"> a </w:t>
      </w:r>
      <w:r w:rsidRPr="00EF1C52">
        <w:t>údaje, ktoré by umožnili spoľahlivé hodnotenie ekologických</w:t>
      </w:r>
      <w:r w:rsidR="00EF1C52">
        <w:t xml:space="preserve"> a </w:t>
      </w:r>
      <w:r w:rsidRPr="00EF1C52">
        <w:t>sociálnych vplyvov každodennej spotreby. Tejto výzve čelia najmä MSP, startupy</w:t>
      </w:r>
      <w:r w:rsidR="00EF1C52">
        <w:t xml:space="preserve"> a </w:t>
      </w:r>
      <w:r w:rsidRPr="00EF1C52">
        <w:t>družstvá, ktoré sú nevyhnutnými inovátormi</w:t>
      </w:r>
      <w:r w:rsidR="00EF1C52">
        <w:t xml:space="preserve"> a </w:t>
      </w:r>
      <w:r w:rsidRPr="00EF1C52">
        <w:t>pilotnými platformami. EÚ zohráva dôležitú úlohu najmä pri harmonizácii</w:t>
      </w:r>
      <w:r w:rsidR="00EF1C52">
        <w:t xml:space="preserve"> a </w:t>
      </w:r>
      <w:r w:rsidRPr="00EF1C52">
        <w:t>overovaní ekologických tvrdení na vnútornom trhu.</w:t>
      </w:r>
      <w:r w:rsidR="00EF1C52">
        <w:t xml:space="preserve"> V </w:t>
      </w:r>
      <w:r w:rsidRPr="00EF1C52">
        <w:t>súčasnosti vysoký objem takýchto tvrdení</w:t>
      </w:r>
      <w:r w:rsidR="00EF1C52">
        <w:t xml:space="preserve"> s </w:t>
      </w:r>
      <w:r w:rsidRPr="00EF1C52">
        <w:t>rôznymi stupňami dôkazov na ich podporu vytvára zmätok</w:t>
      </w:r>
      <w:r w:rsidR="00EF1C52">
        <w:t xml:space="preserve"> a </w:t>
      </w:r>
      <w:r w:rsidRPr="00EF1C52">
        <w:t>pravdepodobne narúša dôveru spotrebiteľov</w:t>
      </w:r>
      <w:r w:rsidR="00EF1C52">
        <w:t xml:space="preserve"> v </w:t>
      </w:r>
      <w:r w:rsidRPr="00EF1C52">
        <w:t>legitimitu ktoréhokoľvek</w:t>
      </w:r>
      <w:r w:rsidR="00EF1C52">
        <w:t xml:space="preserve"> z </w:t>
      </w:r>
      <w:r w:rsidRPr="00EF1C52">
        <w:t>týchto tvrdení. EHS</w:t>
      </w:r>
      <w:r w:rsidR="00703CBA" w:rsidRPr="00EF1C52">
        <w:t>V </w:t>
      </w:r>
      <w:r w:rsidRPr="00EF1C52">
        <w:t>preto víta ambíciu Komisie</w:t>
      </w:r>
      <w:r w:rsidR="00EF1C52">
        <w:t xml:space="preserve"> v </w:t>
      </w:r>
      <w:r w:rsidRPr="00EF1C52">
        <w:t>rámci vykonávania nového akčného plánu EÚ pre obehové hospodárstvo vypracovať legislatívny návrh zameraný na zabezpečenie toho, aby spoločnosti zdôvodnili svoje ekologické tvrdenia.</w:t>
      </w:r>
    </w:p>
    <w:p w14:paraId="5DE434F0" w14:textId="77777777" w:rsidR="00B4278B" w:rsidRPr="00EF1C52" w:rsidRDefault="00B4278B" w:rsidP="00DB3B98"/>
    <w:p w14:paraId="16CFC3A4" w14:textId="77777777" w:rsidR="0062316A" w:rsidRPr="00EF1C52" w:rsidRDefault="00703CBA" w:rsidP="00DB3B98">
      <w:pPr>
        <w:pStyle w:val="Heading2"/>
      </w:pPr>
      <w:r w:rsidRPr="00EF1C52">
        <w:t>V </w:t>
      </w:r>
      <w:r w:rsidR="00DB1A73" w:rsidRPr="00EF1C52">
        <w:t>rámci stratégie pre udržateľnú spotrebu na úrovni EÚ by sa mali uznať</w:t>
      </w:r>
      <w:r w:rsidR="00EF1C52">
        <w:t xml:space="preserve"> a </w:t>
      </w:r>
      <w:r w:rsidR="00DB1A73" w:rsidRPr="00EF1C52">
        <w:t>podporovať synergie</w:t>
      </w:r>
      <w:r w:rsidR="00EF1C52">
        <w:t xml:space="preserve"> s </w:t>
      </w:r>
      <w:r w:rsidR="00DB1A73" w:rsidRPr="00EF1C52">
        <w:t>ostatnými oblasťami politiky. Napríklad 45</w:t>
      </w:r>
      <w:r w:rsidR="00EF1C52">
        <w:t> %</w:t>
      </w:r>
      <w:r w:rsidR="00DB1A73" w:rsidRPr="00EF1C52">
        <w:t xml:space="preserve"> celkových emisií uhlíka</w:t>
      </w:r>
      <w:r w:rsidR="00EF1C52">
        <w:t xml:space="preserve"> v </w:t>
      </w:r>
      <w:r w:rsidR="00DB1A73" w:rsidRPr="00EF1C52">
        <w:t>Európe pochádza</w:t>
      </w:r>
      <w:r w:rsidR="00EF1C52">
        <w:t xml:space="preserve"> z </w:t>
      </w:r>
      <w:r w:rsidR="00DB1A73" w:rsidRPr="00EF1C52">
        <w:t>toho, ako vyrábame</w:t>
      </w:r>
      <w:r w:rsidR="00EF1C52">
        <w:t xml:space="preserve"> a </w:t>
      </w:r>
      <w:r w:rsidR="00DB1A73" w:rsidRPr="00EF1C52">
        <w:t>používame výrobky</w:t>
      </w:r>
      <w:r w:rsidR="00EF1C52">
        <w:t xml:space="preserve"> a </w:t>
      </w:r>
      <w:r w:rsidR="00DB1A73" w:rsidRPr="00EF1C52">
        <w:t>ako vyrábame potraviny</w:t>
      </w:r>
      <w:r w:rsidR="00DB1A73" w:rsidRPr="00EF1C52">
        <w:rPr>
          <w:rStyle w:val="FootnoteReference"/>
        </w:rPr>
        <w:footnoteReference w:id="39"/>
      </w:r>
      <w:r w:rsidR="00DB1A73" w:rsidRPr="00EF1C52">
        <w:t>. Ak sa potraviny pestujú, spracúvajú</w:t>
      </w:r>
      <w:r w:rsidR="00EF1C52">
        <w:t xml:space="preserve"> a </w:t>
      </w:r>
      <w:r w:rsidR="00DB1A73" w:rsidRPr="00EF1C52">
        <w:t>konzumujú iným spôsobom, môžu potravinové systémy podporovať zdravie</w:t>
      </w:r>
      <w:r w:rsidR="00EF1C52">
        <w:t xml:space="preserve"> a </w:t>
      </w:r>
      <w:r w:rsidR="00DB1A73" w:rsidRPr="00EF1C52">
        <w:t>budovať odolnosť. To takmer určite znamená, že hospodárske zvieratá sú kŕmené primerane potrebám jednotlivých živočíšnych druhov</w:t>
      </w:r>
      <w:r w:rsidR="00EF1C52">
        <w:t xml:space="preserve"> a </w:t>
      </w:r>
      <w:r w:rsidR="00DB1A73" w:rsidRPr="00EF1C52">
        <w:t>spotrebitelia konzumujú vyváženú stravu</w:t>
      </w:r>
      <w:r w:rsidR="00EF1C52">
        <w:t xml:space="preserve"> s </w:t>
      </w:r>
      <w:r w:rsidR="00DB1A73" w:rsidRPr="00EF1C52">
        <w:t>menším objemom mäsa, čo je prínosné</w:t>
      </w:r>
      <w:r w:rsidR="00EF1C52">
        <w:t xml:space="preserve"> z </w:t>
      </w:r>
      <w:r w:rsidR="00DB1A73" w:rsidRPr="00EF1C52">
        <w:t>hľadiska klímy aj zdravia</w:t>
      </w:r>
      <w:r w:rsidR="00B4278B" w:rsidRPr="00EF1C52">
        <w:rPr>
          <w:rStyle w:val="FootnoteReference"/>
        </w:rPr>
        <w:footnoteReference w:id="40"/>
      </w:r>
      <w:r w:rsidR="00DB1A73" w:rsidRPr="00EF1C52">
        <w:t>. Spotreba</w:t>
      </w:r>
      <w:r w:rsidR="00EF1C52">
        <w:t xml:space="preserve"> a </w:t>
      </w:r>
      <w:r w:rsidR="00DB1A73" w:rsidRPr="00EF1C52">
        <w:t>dopyt zohrávajú kľúčovú úlohu</w:t>
      </w:r>
      <w:r w:rsidR="00EF1C52">
        <w:t xml:space="preserve"> v </w:t>
      </w:r>
      <w:r w:rsidR="00DB1A73" w:rsidRPr="00EF1C52">
        <w:t>našej schopnosti znižovať emisie skleníkových plynov. Podobne hlavnou výzvou pri riešení straty biodiverzity</w:t>
      </w:r>
      <w:r w:rsidR="00EF1C52">
        <w:t xml:space="preserve"> a </w:t>
      </w:r>
      <w:r w:rsidR="00DB1A73" w:rsidRPr="00EF1C52">
        <w:t>zhoršovania ekosystémov</w:t>
      </w:r>
      <w:r w:rsidR="00EF1C52">
        <w:t xml:space="preserve"> v </w:t>
      </w:r>
      <w:r w:rsidR="00DB1A73" w:rsidRPr="00EF1C52">
        <w:t>Európe je náš životný štýl, akoby sme mali</w:t>
      </w:r>
      <w:r w:rsidR="00EF1C52">
        <w:t xml:space="preserve"> k </w:t>
      </w:r>
      <w:r w:rsidR="00DB1A73" w:rsidRPr="00EF1C52">
        <w:t>dispozícii viacero planét</w:t>
      </w:r>
      <w:r w:rsidR="00DB1A73" w:rsidRPr="00EF1C52">
        <w:rPr>
          <w:rStyle w:val="FootnoteReference"/>
        </w:rPr>
        <w:footnoteReference w:id="41"/>
      </w:r>
      <w:r w:rsidR="00DB1A73" w:rsidRPr="00EF1C52">
        <w:t>. EHS</w:t>
      </w:r>
      <w:r w:rsidRPr="00EF1C52">
        <w:t>V </w:t>
      </w:r>
      <w:r w:rsidR="00DB1A73" w:rsidRPr="00EF1C52">
        <w:t>opakuje svoju požiadavku, aby sa uznali práva prírody</w:t>
      </w:r>
      <w:r w:rsidR="00EF1C52">
        <w:t xml:space="preserve"> a </w:t>
      </w:r>
      <w:r w:rsidR="00DB1A73" w:rsidRPr="00EF1C52">
        <w:t>postavili sa na rovnakú úroveň</w:t>
      </w:r>
      <w:r w:rsidR="00EF1C52">
        <w:t xml:space="preserve"> s </w:t>
      </w:r>
      <w:r w:rsidR="00DB1A73" w:rsidRPr="00EF1C52">
        <w:t>právami jednotlivcov</w:t>
      </w:r>
      <w:r w:rsidR="00EF1C52">
        <w:t xml:space="preserve"> a </w:t>
      </w:r>
      <w:r w:rsidR="00DB1A73" w:rsidRPr="00EF1C52">
        <w:t>korporácií</w:t>
      </w:r>
      <w:r w:rsidR="009D1E67" w:rsidRPr="00EF1C52">
        <w:rPr>
          <w:rStyle w:val="FootnoteReference"/>
        </w:rPr>
        <w:footnoteReference w:id="42"/>
      </w:r>
      <w:r w:rsidR="00DB1A73" w:rsidRPr="00EF1C52">
        <w:t>.</w:t>
      </w:r>
    </w:p>
    <w:p w14:paraId="7C3EA73D" w14:textId="77777777" w:rsidR="007F37F2" w:rsidRPr="00EF1C52" w:rsidRDefault="007F37F2" w:rsidP="00DB3B98"/>
    <w:p w14:paraId="0AA2C40D" w14:textId="77777777" w:rsidR="007F37F2" w:rsidRPr="00EF1C52" w:rsidRDefault="007F37F2" w:rsidP="004A45A3">
      <w:pPr>
        <w:pStyle w:val="Heading1"/>
        <w:keepNext/>
        <w:keepLines/>
      </w:pPr>
      <w:r w:rsidRPr="00EF1C52">
        <w:rPr>
          <w:b/>
        </w:rPr>
        <w:t>Od vízie</w:t>
      </w:r>
      <w:r w:rsidR="00EF1C52">
        <w:rPr>
          <w:b/>
        </w:rPr>
        <w:t xml:space="preserve"> k </w:t>
      </w:r>
      <w:r w:rsidRPr="00EF1C52">
        <w:rPr>
          <w:b/>
        </w:rPr>
        <w:t>vykonávaniu – príležitosti na opatrenia na úrovni EÚ</w:t>
      </w:r>
      <w:r w:rsidR="00EF1C52">
        <w:rPr>
          <w:b/>
        </w:rPr>
        <w:t xml:space="preserve"> a </w:t>
      </w:r>
      <w:r w:rsidRPr="00EF1C52">
        <w:rPr>
          <w:b/>
        </w:rPr>
        <w:t>členských štátov</w:t>
      </w:r>
    </w:p>
    <w:p w14:paraId="2147E7FD" w14:textId="77777777" w:rsidR="009443FD" w:rsidRPr="00EF1C52" w:rsidRDefault="009443FD" w:rsidP="004A45A3">
      <w:pPr>
        <w:keepNext/>
        <w:keepLines/>
      </w:pPr>
    </w:p>
    <w:p w14:paraId="5E9B9067" w14:textId="77777777" w:rsidR="00552DF3" w:rsidRPr="00EF1C52" w:rsidRDefault="00703CBA" w:rsidP="00DB3B98">
      <w:pPr>
        <w:pStyle w:val="Heading3"/>
      </w:pPr>
      <w:r w:rsidRPr="00EF1C52">
        <w:t>V </w:t>
      </w:r>
      <w:r w:rsidR="00710A9E" w:rsidRPr="00EF1C52">
        <w:t>súvislosti</w:t>
      </w:r>
      <w:r w:rsidR="00EF1C52">
        <w:t xml:space="preserve"> s </w:t>
      </w:r>
      <w:r w:rsidR="00710A9E" w:rsidRPr="00EF1C52">
        <w:t>obnovou po odznení pandémie COVID-19 EHS</w:t>
      </w:r>
      <w:r w:rsidRPr="00EF1C52">
        <w:t>V </w:t>
      </w:r>
      <w:r w:rsidR="00710A9E" w:rsidRPr="00EF1C52">
        <w:t>žiada Komisiu, Parlament</w:t>
      </w:r>
      <w:r w:rsidR="00EF1C52">
        <w:t xml:space="preserve"> a </w:t>
      </w:r>
      <w:r w:rsidR="00710A9E" w:rsidRPr="00EF1C52">
        <w:t>členské štáty, aby úzko spolupracovali</w:t>
      </w:r>
      <w:r w:rsidR="00EF1C52">
        <w:t xml:space="preserve"> s </w:t>
      </w:r>
      <w:r w:rsidR="00710A9E" w:rsidRPr="00EF1C52">
        <w:t>EHS</w:t>
      </w:r>
      <w:r w:rsidRPr="00EF1C52">
        <w:t>V </w:t>
      </w:r>
      <w:r w:rsidR="00710A9E" w:rsidRPr="00EF1C52">
        <w:t>na vypracovaní zásadného</w:t>
      </w:r>
      <w:r w:rsidR="00EF1C52">
        <w:t xml:space="preserve"> a </w:t>
      </w:r>
      <w:r w:rsidR="00710A9E" w:rsidRPr="00EF1C52">
        <w:t>koordinovaného programu integrovaných politík, ktorý pomôže Európe pri „lepšej opätovnej výstavbe“</w:t>
      </w:r>
      <w:r w:rsidR="00EF1C52">
        <w:t xml:space="preserve"> a </w:t>
      </w:r>
      <w:r w:rsidR="00710A9E" w:rsidRPr="00EF1C52">
        <w:t>vytvorí podmienky pre komplexnú stratégiu EÚ pre udržateľnú spotrebu. Plány ekologickej obnovy by mali naštartovať potrebné systémové zmeny</w:t>
      </w:r>
      <w:r w:rsidR="00EF1C52">
        <w:t xml:space="preserve"> v </w:t>
      </w:r>
      <w:r w:rsidR="00710A9E" w:rsidRPr="00EF1C52">
        <w:t>oblasti mobility, výživy, bývania, voľného času, energetických systémov</w:t>
      </w:r>
      <w:r w:rsidR="00EF1C52">
        <w:t xml:space="preserve"> a </w:t>
      </w:r>
      <w:r w:rsidR="00710A9E" w:rsidRPr="00EF1C52">
        <w:t>skupín výrobkov</w:t>
      </w:r>
      <w:r w:rsidR="00EF1C52">
        <w:t xml:space="preserve"> s </w:t>
      </w:r>
      <w:r w:rsidR="00710A9E" w:rsidRPr="00EF1C52">
        <w:t>výrazným vplyvom</w:t>
      </w:r>
      <w:r w:rsidR="002852B1" w:rsidRPr="00EF1C52">
        <w:rPr>
          <w:rStyle w:val="FootnoteReference"/>
        </w:rPr>
        <w:footnoteReference w:id="43"/>
      </w:r>
      <w:r w:rsidR="00EF1C52">
        <w:t xml:space="preserve"> a </w:t>
      </w:r>
      <w:r w:rsidR="00710A9E" w:rsidRPr="00EF1C52">
        <w:t>prihliadať na vplyv spotreby EÚ</w:t>
      </w:r>
      <w:r w:rsidR="00EF1C52">
        <w:t xml:space="preserve"> v </w:t>
      </w:r>
      <w:r w:rsidR="00710A9E" w:rsidRPr="00EF1C52">
        <w:t>EÚ aj na globálnom juhu. Nasledujúce návrhy sa ponúkajú ako východiskový bod pre tento proces.</w:t>
      </w:r>
    </w:p>
    <w:p w14:paraId="39EEFBE8" w14:textId="77777777" w:rsidR="00DF4E94" w:rsidRPr="00EF1C52" w:rsidRDefault="00DF4E94" w:rsidP="00DB3B98"/>
    <w:p w14:paraId="2042C33B" w14:textId="77777777" w:rsidR="009443FD" w:rsidRPr="00EF1C52" w:rsidRDefault="009443FD" w:rsidP="006527F1">
      <w:pPr>
        <w:pStyle w:val="Heading2"/>
        <w:keepNext/>
        <w:keepLines/>
        <w:rPr>
          <w:iCs/>
        </w:rPr>
      </w:pPr>
      <w:r w:rsidRPr="00EF1C52">
        <w:rPr>
          <w:b/>
          <w:i/>
          <w:iCs/>
        </w:rPr>
        <w:t>Právne</w:t>
      </w:r>
      <w:r w:rsidR="00EF1C52">
        <w:rPr>
          <w:b/>
          <w:i/>
          <w:iCs/>
        </w:rPr>
        <w:t xml:space="preserve"> a </w:t>
      </w:r>
      <w:r w:rsidRPr="00EF1C52">
        <w:rPr>
          <w:b/>
          <w:i/>
          <w:iCs/>
        </w:rPr>
        <w:t>regulačné nástroje</w:t>
      </w:r>
    </w:p>
    <w:p w14:paraId="3C488101" w14:textId="77777777" w:rsidR="009443FD" w:rsidRPr="00EF1C52" w:rsidRDefault="009443FD" w:rsidP="006527F1">
      <w:pPr>
        <w:keepNext/>
        <w:keepLines/>
      </w:pPr>
    </w:p>
    <w:p w14:paraId="4489E3A5" w14:textId="77777777" w:rsidR="006037C6" w:rsidRPr="00EF1C52" w:rsidRDefault="00C25D12" w:rsidP="00DB3B98">
      <w:pPr>
        <w:pStyle w:val="Heading3"/>
        <w:rPr>
          <w:color w:val="000000"/>
        </w:rPr>
      </w:pPr>
      <w:r w:rsidRPr="00EF1C52">
        <w:rPr>
          <w:color w:val="000000"/>
        </w:rPr>
        <w:t>Zaviesť normy pre výrobky (regulácia)</w:t>
      </w:r>
      <w:r w:rsidR="00EF1C52">
        <w:rPr>
          <w:color w:val="000000"/>
        </w:rPr>
        <w:t xml:space="preserve"> a </w:t>
      </w:r>
      <w:r w:rsidRPr="00EF1C52">
        <w:rPr>
          <w:color w:val="000000"/>
        </w:rPr>
        <w:t>zákazy výrobkov (zákaz</w:t>
      </w:r>
      <w:r w:rsidR="006527F1" w:rsidRPr="00EF1C52">
        <w:rPr>
          <w:color w:val="000000"/>
        </w:rPr>
        <w:t>y) podporujúce udržateľnosť, t. </w:t>
      </w:r>
      <w:r w:rsidRPr="00EF1C52">
        <w:rPr>
          <w:color w:val="000000"/>
        </w:rPr>
        <w:t xml:space="preserve">j. normy propagujúce dlhšiu životnosť výrobkov. </w:t>
      </w:r>
      <w:r w:rsidRPr="00EF1C52">
        <w:t>EHS</w:t>
      </w:r>
      <w:r w:rsidR="00703CBA" w:rsidRPr="00EF1C52">
        <w:t>V </w:t>
      </w:r>
      <w:r w:rsidRPr="00EF1C52">
        <w:t>bol priekopníkom</w:t>
      </w:r>
      <w:r w:rsidR="00EF1C52">
        <w:t xml:space="preserve"> a </w:t>
      </w:r>
      <w:r w:rsidRPr="00EF1C52">
        <w:t>už vo svojom stanovisku</w:t>
      </w:r>
      <w:r w:rsidR="00EF1C52">
        <w:t xml:space="preserve"> z </w:t>
      </w:r>
      <w:r w:rsidRPr="00EF1C52">
        <w:t>roku 2013</w:t>
      </w:r>
      <w:r w:rsidR="00EF1C52">
        <w:t xml:space="preserve"> o </w:t>
      </w:r>
      <w:r w:rsidRPr="00EF1C52">
        <w:t>životnosti výrobkov</w:t>
      </w:r>
      <w:r w:rsidR="00EF1C52">
        <w:t xml:space="preserve"> a </w:t>
      </w:r>
      <w:r w:rsidRPr="00EF1C52">
        <w:t>informáciách pre spotrebiteľov</w:t>
      </w:r>
      <w:r w:rsidR="00041147" w:rsidRPr="00EF1C52">
        <w:rPr>
          <w:rStyle w:val="FootnoteReference"/>
        </w:rPr>
        <w:footnoteReference w:id="44"/>
      </w:r>
      <w:r w:rsidRPr="00EF1C52">
        <w:t>, ako aj</w:t>
      </w:r>
      <w:r w:rsidR="00EF1C52">
        <w:t xml:space="preserve"> v </w:t>
      </w:r>
      <w:r w:rsidRPr="00EF1C52">
        <w:t>neskorších stanoviskách požadoval úplný zákaz plánovaného zastarávania. Zdôraznil, že by bolo užitočné zaviesť systém zaručujúci minimálnu životnosť predávaných výrobkov. Nedávna správa, ktorú pripravil výbor EP IMCO, sa uberá rovnakým smerom</w:t>
      </w:r>
      <w:r w:rsidR="006037C6" w:rsidRPr="00EF1C52">
        <w:rPr>
          <w:rStyle w:val="FootnoteReference"/>
        </w:rPr>
        <w:footnoteReference w:id="45"/>
      </w:r>
      <w:r w:rsidRPr="00EF1C52">
        <w:t>.</w:t>
      </w:r>
      <w:r w:rsidR="00EF1C52">
        <w:t xml:space="preserve"> V </w:t>
      </w:r>
      <w:r w:rsidRPr="00EF1C52">
        <w:t>tejto súvislosti by sa malo prihliadať aj na dôsledky zvyšujúceho sa podielu elektronického obchodu, napr. počas krízy spôsobenej pandémiou COVID-19.</w:t>
      </w:r>
    </w:p>
    <w:p w14:paraId="3F2E1F21" w14:textId="77777777" w:rsidR="006037C6" w:rsidRPr="00EF1C52" w:rsidRDefault="006037C6" w:rsidP="00DB3B98"/>
    <w:p w14:paraId="676D0BC1" w14:textId="77777777" w:rsidR="006037C6" w:rsidRPr="00EF1C52" w:rsidRDefault="00DB5447" w:rsidP="00DB3B98">
      <w:pPr>
        <w:pStyle w:val="Heading3"/>
        <w:rPr>
          <w:color w:val="000000"/>
        </w:rPr>
      </w:pPr>
      <w:r w:rsidRPr="00EF1C52">
        <w:rPr>
          <w:color w:val="000000"/>
        </w:rPr>
        <w:t>Zakázať nekalé obchodné praktiky,</w:t>
      </w:r>
      <w:r w:rsidR="00EF1C52">
        <w:rPr>
          <w:color w:val="000000"/>
        </w:rPr>
        <w:t xml:space="preserve"> a </w:t>
      </w:r>
      <w:r w:rsidRPr="00EF1C52">
        <w:rPr>
          <w:color w:val="000000"/>
        </w:rPr>
        <w:t>to nielen</w:t>
      </w:r>
      <w:r w:rsidR="00EF1C52">
        <w:rPr>
          <w:color w:val="000000"/>
        </w:rPr>
        <w:t xml:space="preserve"> v </w:t>
      </w:r>
      <w:r w:rsidRPr="00EF1C52">
        <w:rPr>
          <w:color w:val="000000"/>
        </w:rPr>
        <w:t>potravinových dodávateľských reťazcoch, ako to robí nová smernica proti nekalým obchodným praktikám</w:t>
      </w:r>
      <w:r w:rsidR="00EF1C52">
        <w:rPr>
          <w:color w:val="000000"/>
        </w:rPr>
        <w:t xml:space="preserve"> v </w:t>
      </w:r>
      <w:r w:rsidRPr="00EF1C52">
        <w:rPr>
          <w:color w:val="000000"/>
        </w:rPr>
        <w:t>potravinových dodávateľských reťazcoch</w:t>
      </w:r>
      <w:r w:rsidR="001848B9" w:rsidRPr="00EF1C52">
        <w:rPr>
          <w:rStyle w:val="FootnoteReference"/>
          <w:color w:val="000000"/>
        </w:rPr>
        <w:footnoteReference w:id="46"/>
      </w:r>
      <w:r w:rsidRPr="00EF1C52">
        <w:rPr>
          <w:color w:val="000000"/>
        </w:rPr>
        <w:t>, ale aj</w:t>
      </w:r>
      <w:r w:rsidR="00EF1C52">
        <w:rPr>
          <w:color w:val="000000"/>
        </w:rPr>
        <w:t xml:space="preserve"> v </w:t>
      </w:r>
      <w:r w:rsidRPr="00EF1C52">
        <w:rPr>
          <w:color w:val="000000"/>
        </w:rPr>
        <w:t>iných odvetviach, ako je textil, pričom je potrebné počítať</w:t>
      </w:r>
      <w:r w:rsidR="00EF1C52">
        <w:rPr>
          <w:color w:val="000000"/>
        </w:rPr>
        <w:t xml:space="preserve"> s </w:t>
      </w:r>
      <w:r w:rsidRPr="00EF1C52">
        <w:rPr>
          <w:color w:val="000000"/>
        </w:rPr>
        <w:t>vysoko rozšírenými nekalými obchodnými praktikami, ktoré sa zhoršujú</w:t>
      </w:r>
      <w:r w:rsidR="00EF1C52">
        <w:rPr>
          <w:color w:val="000000"/>
        </w:rPr>
        <w:t xml:space="preserve"> v </w:t>
      </w:r>
      <w:r w:rsidRPr="00EF1C52">
        <w:rPr>
          <w:color w:val="000000"/>
        </w:rPr>
        <w:t>dôsledku krízy spôsobenej pandémiou COVID-19</w:t>
      </w:r>
      <w:r w:rsidR="00477960" w:rsidRPr="00EF1C52">
        <w:rPr>
          <w:rStyle w:val="FootnoteReference"/>
          <w:color w:val="000000"/>
        </w:rPr>
        <w:footnoteReference w:id="47"/>
      </w:r>
      <w:r w:rsidRPr="00EF1C52">
        <w:rPr>
          <w:color w:val="000000"/>
        </w:rPr>
        <w:t>. EHS</w:t>
      </w:r>
      <w:r w:rsidR="00703CBA" w:rsidRPr="00EF1C52">
        <w:rPr>
          <w:color w:val="000000"/>
        </w:rPr>
        <w:t>V </w:t>
      </w:r>
      <w:r w:rsidRPr="00EF1C52">
        <w:rPr>
          <w:color w:val="000000"/>
        </w:rPr>
        <w:t>žiada vyvážené vykonávanie smernice</w:t>
      </w:r>
      <w:r w:rsidR="00EF1C52">
        <w:rPr>
          <w:color w:val="000000"/>
        </w:rPr>
        <w:t xml:space="preserve"> o </w:t>
      </w:r>
      <w:r w:rsidRPr="00EF1C52">
        <w:rPr>
          <w:color w:val="000000"/>
        </w:rPr>
        <w:t>nekalých obchodných praktikách, aby sa zabránilo ochrane veľkých výrobcov so značkou, ktorí zneužívajú svoju vyjednávaciu silu na vytváranie veľkorysých ziskových marží.</w:t>
      </w:r>
    </w:p>
    <w:p w14:paraId="30674D6E" w14:textId="77777777" w:rsidR="006037C6" w:rsidRPr="00EF1C52" w:rsidRDefault="006037C6" w:rsidP="00DB3B98"/>
    <w:p w14:paraId="061237A7" w14:textId="77777777" w:rsidR="006037C6" w:rsidRPr="00EF1C52" w:rsidRDefault="00AE6BB6" w:rsidP="00DB3B98">
      <w:pPr>
        <w:pStyle w:val="Heading3"/>
        <w:rPr>
          <w:color w:val="000000"/>
        </w:rPr>
      </w:pPr>
      <w:r w:rsidRPr="00EF1C52">
        <w:t>Právo hospodárskej súťaže. Umožniť kolektívne vyjednávanie medzi dodávateľmi</w:t>
      </w:r>
      <w:r w:rsidR="00EF1C52">
        <w:t xml:space="preserve"> a </w:t>
      </w:r>
      <w:r w:rsidRPr="00EF1C52">
        <w:t>kupujúcimi</w:t>
      </w:r>
      <w:r w:rsidR="00EF1C52">
        <w:t xml:space="preserve"> o </w:t>
      </w:r>
      <w:r w:rsidRPr="00EF1C52">
        <w:t>cene (a dodacích podmienkach) základných komodít, najmä na rozhraniach, ktoré vykazujú veľké rozdiely</w:t>
      </w:r>
      <w:r w:rsidR="00EF1C52">
        <w:t xml:space="preserve"> v </w:t>
      </w:r>
      <w:r w:rsidRPr="00EF1C52">
        <w:t>úrovniach koncentrácie po sebe nasledujúcich prvkov</w:t>
      </w:r>
      <w:r w:rsidR="00EF1C52">
        <w:t xml:space="preserve"> v </w:t>
      </w:r>
      <w:r w:rsidRPr="00EF1C52">
        <w:t>hodnotovom reťazci (napr. rozdrobení dodávatelia verzus koncentrovaní kupujúci).</w:t>
      </w:r>
      <w:r w:rsidRPr="00EF1C52">
        <w:rPr>
          <w:color w:val="000000"/>
        </w:rPr>
        <w:t xml:space="preserve"> Pri prebiehajúcej revízii usmernení horizontálnej dohody zo strany EK by sa mala opätovne zaviesť časť</w:t>
      </w:r>
      <w:r w:rsidR="00EF1C52">
        <w:rPr>
          <w:color w:val="000000"/>
        </w:rPr>
        <w:t xml:space="preserve"> o </w:t>
      </w:r>
      <w:r w:rsidRPr="00EF1C52">
        <w:rPr>
          <w:color w:val="000000"/>
        </w:rPr>
        <w:t>odvetvových dohodách</w:t>
      </w:r>
      <w:r w:rsidR="00EF1C52">
        <w:rPr>
          <w:color w:val="000000"/>
        </w:rPr>
        <w:t xml:space="preserve"> o </w:t>
      </w:r>
      <w:r w:rsidRPr="00EF1C52">
        <w:rPr>
          <w:color w:val="000000"/>
        </w:rPr>
        <w:t>udržateľnosti podľa vzoru uvedeného</w:t>
      </w:r>
      <w:r w:rsidR="00EF1C52">
        <w:rPr>
          <w:color w:val="000000"/>
        </w:rPr>
        <w:t xml:space="preserve"> v </w:t>
      </w:r>
      <w:r w:rsidRPr="00EF1C52">
        <w:rPr>
          <w:color w:val="000000"/>
        </w:rPr>
        <w:t>oddiele</w:t>
      </w:r>
      <w:r w:rsidR="00EF1C52">
        <w:rPr>
          <w:color w:val="000000"/>
        </w:rPr>
        <w:t xml:space="preserve"> o </w:t>
      </w:r>
      <w:r w:rsidRPr="00EF1C52">
        <w:rPr>
          <w:color w:val="000000"/>
        </w:rPr>
        <w:t>environmentálnych dohodách</w:t>
      </w:r>
      <w:r w:rsidR="00EF1C52">
        <w:rPr>
          <w:color w:val="000000"/>
        </w:rPr>
        <w:t xml:space="preserve"> v </w:t>
      </w:r>
      <w:r w:rsidRPr="00EF1C52">
        <w:rPr>
          <w:color w:val="000000"/>
        </w:rPr>
        <w:t>predchádzajúcich usmerneniach</w:t>
      </w:r>
      <w:r w:rsidR="00EF1C52">
        <w:rPr>
          <w:color w:val="000000"/>
        </w:rPr>
        <w:t xml:space="preserve"> z </w:t>
      </w:r>
      <w:r w:rsidRPr="00EF1C52">
        <w:rPr>
          <w:color w:val="000000"/>
        </w:rPr>
        <w:t>roku 2001 (2001/C 3/02),</w:t>
      </w:r>
      <w:r w:rsidR="00EF1C52">
        <w:rPr>
          <w:color w:val="000000"/>
        </w:rPr>
        <w:t xml:space="preserve"> a </w:t>
      </w:r>
      <w:r w:rsidRPr="00EF1C52">
        <w:rPr>
          <w:color w:val="000000"/>
        </w:rPr>
        <w:t>mala by sa prispôsobiť súčasnému kontextu vrátane zohľadnenia európskej zelenej dohody, Parížskej dohody</w:t>
      </w:r>
      <w:r w:rsidR="00EF1C52">
        <w:rPr>
          <w:color w:val="000000"/>
        </w:rPr>
        <w:t xml:space="preserve"> a </w:t>
      </w:r>
      <w:r w:rsidR="006527F1" w:rsidRPr="00EF1C52">
        <w:rPr>
          <w:color w:val="000000"/>
        </w:rPr>
        <w:t>cieľa udržateľného rozvoja č. </w:t>
      </w:r>
      <w:r w:rsidRPr="00EF1C52">
        <w:rPr>
          <w:color w:val="000000"/>
        </w:rPr>
        <w:t>12.</w:t>
      </w:r>
    </w:p>
    <w:p w14:paraId="03EDA81C" w14:textId="77777777" w:rsidR="006037C6" w:rsidRPr="00EF1C52" w:rsidRDefault="006037C6" w:rsidP="00DB3B98"/>
    <w:p w14:paraId="4F56F49E" w14:textId="77777777" w:rsidR="006037C6" w:rsidRPr="00EF1C52" w:rsidRDefault="00AE6BB6" w:rsidP="00DB3B98">
      <w:pPr>
        <w:pStyle w:val="Heading3"/>
        <w:rPr>
          <w:color w:val="000000"/>
        </w:rPr>
      </w:pPr>
      <w:r w:rsidRPr="00EF1C52">
        <w:rPr>
          <w:color w:val="000000"/>
        </w:rPr>
        <w:t>Obchodné pravidlá. Zabezpečiť vymáhateľnosť sociálnych</w:t>
      </w:r>
      <w:r w:rsidR="00EF1C52">
        <w:rPr>
          <w:color w:val="000000"/>
        </w:rPr>
        <w:t xml:space="preserve"> a </w:t>
      </w:r>
      <w:r w:rsidRPr="00EF1C52">
        <w:rPr>
          <w:color w:val="000000"/>
        </w:rPr>
        <w:t>environmentálnych doložiek</w:t>
      </w:r>
      <w:r w:rsidR="00EF1C52">
        <w:rPr>
          <w:color w:val="000000"/>
        </w:rPr>
        <w:t xml:space="preserve"> v </w:t>
      </w:r>
      <w:r w:rsidRPr="00EF1C52">
        <w:rPr>
          <w:color w:val="000000"/>
        </w:rPr>
        <w:t>obchodných dohodách sankciami (napríklad cielené zvýšenie ciel zamerané na strategické odvetvia,</w:t>
      </w:r>
      <w:r w:rsidR="00EF1C52">
        <w:rPr>
          <w:color w:val="000000"/>
        </w:rPr>
        <w:t xml:space="preserve"> s </w:t>
      </w:r>
      <w:r w:rsidRPr="00EF1C52">
        <w:rPr>
          <w:color w:val="000000"/>
        </w:rPr>
        <w:t>výnimkou sektorov,</w:t>
      </w:r>
      <w:r w:rsidR="00EF1C52">
        <w:rPr>
          <w:color w:val="000000"/>
        </w:rPr>
        <w:t xml:space="preserve"> v </w:t>
      </w:r>
      <w:r w:rsidRPr="00EF1C52">
        <w:rPr>
          <w:color w:val="000000"/>
        </w:rPr>
        <w:t>ktorých by uloženie ciel mohlo viesť</w:t>
      </w:r>
      <w:r w:rsidR="00EF1C52">
        <w:rPr>
          <w:color w:val="000000"/>
        </w:rPr>
        <w:t xml:space="preserve"> k </w:t>
      </w:r>
      <w:r w:rsidRPr="00EF1C52">
        <w:rPr>
          <w:color w:val="000000"/>
        </w:rPr>
        <w:t>zvýšeniu chudoby</w:t>
      </w:r>
      <w:r w:rsidR="00EF1C52">
        <w:rPr>
          <w:color w:val="000000"/>
        </w:rPr>
        <w:t xml:space="preserve"> v </w:t>
      </w:r>
      <w:r w:rsidRPr="00EF1C52">
        <w:rPr>
          <w:color w:val="000000"/>
        </w:rPr>
        <w:t>najmenej rozvinutých krajinách)</w:t>
      </w:r>
      <w:r w:rsidR="00EF1C52">
        <w:rPr>
          <w:color w:val="000000"/>
        </w:rPr>
        <w:t xml:space="preserve"> v </w:t>
      </w:r>
      <w:r w:rsidRPr="00EF1C52">
        <w:rPr>
          <w:color w:val="000000"/>
        </w:rPr>
        <w:t>prípade ich nedodržania.</w:t>
      </w:r>
    </w:p>
    <w:p w14:paraId="55F31EF3" w14:textId="77777777" w:rsidR="006037C6" w:rsidRPr="00EF1C52" w:rsidRDefault="006037C6" w:rsidP="00DB3B98"/>
    <w:p w14:paraId="6AF72A0A" w14:textId="77777777" w:rsidR="004E1E16" w:rsidRPr="00EF1C52" w:rsidRDefault="00AE6BB6" w:rsidP="00DB3B98">
      <w:pPr>
        <w:pStyle w:val="Heading3"/>
        <w:rPr>
          <w:color w:val="000000"/>
        </w:rPr>
      </w:pPr>
      <w:r w:rsidRPr="00EF1C52">
        <w:rPr>
          <w:color w:val="000000"/>
        </w:rPr>
        <w:t>Zodpovednosť podnikov. Povinnosť ostražitosti pre kupujúcich</w:t>
      </w:r>
      <w:r w:rsidR="00EF1C52">
        <w:rPr>
          <w:color w:val="000000"/>
        </w:rPr>
        <w:t xml:space="preserve"> v </w:t>
      </w:r>
      <w:r w:rsidRPr="00EF1C52">
        <w:rPr>
          <w:color w:val="000000"/>
        </w:rPr>
        <w:t>celom ich dodávateľskom reťazci (vytvára povinnosť) pre udržateľné dodávateľské reťazce ako súčasť zabezpečenia zodpovednosti podnikov. Namiesto prístupu založeného na „kontrolnom zozname“ by spoločnosti mali prehodnotiť svoje nákupné praktiky podľa pokynov OECD</w:t>
      </w:r>
      <w:r w:rsidR="004E1E16" w:rsidRPr="00EF1C52">
        <w:rPr>
          <w:rStyle w:val="FootnoteReference"/>
          <w:color w:val="000000"/>
        </w:rPr>
        <w:footnoteReference w:id="48"/>
      </w:r>
      <w:r w:rsidR="00EF1C52">
        <w:rPr>
          <w:color w:val="000000"/>
        </w:rPr>
        <w:t xml:space="preserve"> a </w:t>
      </w:r>
      <w:r w:rsidRPr="00EF1C52">
        <w:rPr>
          <w:color w:val="000000"/>
        </w:rPr>
        <w:t>mali by byť viazané prísnejšími zákonmi</w:t>
      </w:r>
      <w:r w:rsidR="00EF1C52">
        <w:rPr>
          <w:color w:val="000000"/>
        </w:rPr>
        <w:t xml:space="preserve"> o </w:t>
      </w:r>
      <w:r w:rsidRPr="00EF1C52">
        <w:rPr>
          <w:color w:val="000000"/>
        </w:rPr>
        <w:t>kontrole lobovania. Mali by sa podniknúť kroky proti environmentálne klamlivej reklame.</w:t>
      </w:r>
    </w:p>
    <w:p w14:paraId="60185A9C" w14:textId="77777777" w:rsidR="004E1E16" w:rsidRPr="00EF1C52" w:rsidRDefault="004E1E16" w:rsidP="00DB3B98"/>
    <w:p w14:paraId="21590DDB" w14:textId="77777777" w:rsidR="00AE6BB6" w:rsidRPr="00EF1C52" w:rsidRDefault="00A82F28" w:rsidP="00DB3B98">
      <w:pPr>
        <w:pStyle w:val="Heading3"/>
        <w:rPr>
          <w:color w:val="000000"/>
        </w:rPr>
      </w:pPr>
      <w:r w:rsidRPr="00EF1C52">
        <w:rPr>
          <w:color w:val="000000"/>
        </w:rPr>
        <w:t>Povinné používanie štandardného nástroja na sledovanie informácií týkajúcich sa operácií vykonávaných</w:t>
      </w:r>
      <w:r w:rsidR="00EF1C52">
        <w:rPr>
          <w:color w:val="000000"/>
        </w:rPr>
        <w:t xml:space="preserve"> v </w:t>
      </w:r>
      <w:r w:rsidRPr="00EF1C52">
        <w:rPr>
          <w:color w:val="000000"/>
        </w:rPr>
        <w:t>hodnotovom reťazci – kto, kedy, kde, za akých sociálnych</w:t>
      </w:r>
      <w:r w:rsidR="00EF1C52">
        <w:rPr>
          <w:color w:val="000000"/>
        </w:rPr>
        <w:t xml:space="preserve"> a </w:t>
      </w:r>
      <w:r w:rsidRPr="00EF1C52">
        <w:rPr>
          <w:color w:val="000000"/>
        </w:rPr>
        <w:t>environmentálnych podmienok (poskytuje technické prostriedky na splnenie povinnosti).</w:t>
      </w:r>
      <w:r w:rsidR="006527F1" w:rsidRPr="00EF1C52">
        <w:t xml:space="preserve"> Do </w:t>
      </w:r>
      <w:r w:rsidRPr="00EF1C52">
        <w:t>rozvoja</w:t>
      </w:r>
      <w:r w:rsidR="00EF1C52">
        <w:t xml:space="preserve"> a </w:t>
      </w:r>
      <w:r w:rsidRPr="00EF1C52">
        <w:t>monitorovania environmentálnych</w:t>
      </w:r>
      <w:r w:rsidR="00EF1C52">
        <w:t xml:space="preserve"> a </w:t>
      </w:r>
      <w:r w:rsidRPr="00EF1C52">
        <w:t>sociálnych noriem by sa mala zapájať občianska spoločnosť</w:t>
      </w:r>
      <w:r w:rsidR="00EF1C52">
        <w:t xml:space="preserve"> a </w:t>
      </w:r>
      <w:r w:rsidRPr="00EF1C52">
        <w:t>odborové zväzy.</w:t>
      </w:r>
    </w:p>
    <w:p w14:paraId="707555B6" w14:textId="77777777" w:rsidR="00AE6BB6" w:rsidRPr="00EF1C52" w:rsidRDefault="00AE6BB6" w:rsidP="00DB3B98"/>
    <w:p w14:paraId="60660813" w14:textId="77777777" w:rsidR="009443FD" w:rsidRPr="00EF1C52" w:rsidRDefault="00AE6BB6" w:rsidP="006527F1">
      <w:pPr>
        <w:pStyle w:val="Heading2"/>
        <w:keepNext/>
        <w:keepLines/>
      </w:pPr>
      <w:r w:rsidRPr="00EF1C52">
        <w:rPr>
          <w:b/>
          <w:i/>
          <w:iCs/>
        </w:rPr>
        <w:t>Ekonomické</w:t>
      </w:r>
      <w:r w:rsidR="00EF1C52">
        <w:rPr>
          <w:b/>
          <w:i/>
          <w:iCs/>
        </w:rPr>
        <w:t xml:space="preserve"> a </w:t>
      </w:r>
      <w:r w:rsidRPr="00EF1C52">
        <w:rPr>
          <w:b/>
          <w:i/>
          <w:iCs/>
        </w:rPr>
        <w:t>finančné nástroje</w:t>
      </w:r>
    </w:p>
    <w:p w14:paraId="45509C8A" w14:textId="77777777" w:rsidR="009443FD" w:rsidRPr="00EF1C52" w:rsidRDefault="009443FD" w:rsidP="006527F1">
      <w:pPr>
        <w:keepNext/>
        <w:keepLines/>
      </w:pPr>
    </w:p>
    <w:p w14:paraId="40923997" w14:textId="77777777" w:rsidR="009443FD" w:rsidRPr="00EF1C52" w:rsidRDefault="00AE6BB6" w:rsidP="00DB3B98">
      <w:pPr>
        <w:pStyle w:val="Heading3"/>
      </w:pPr>
      <w:r w:rsidRPr="00EF1C52">
        <w:t>Presun daňového zaťaženia</w:t>
      </w:r>
      <w:r w:rsidR="00EF1C52">
        <w:t xml:space="preserve"> z </w:t>
      </w:r>
      <w:r w:rsidRPr="00EF1C52">
        <w:t>práce na využívanie zdrojov. Využiť prebiehajúcu revíziu nariadenia</w:t>
      </w:r>
      <w:r w:rsidR="00EF1C52">
        <w:t xml:space="preserve"> o </w:t>
      </w:r>
      <w:r w:rsidRPr="00EF1C52">
        <w:t>DPH na stanovenie jasných kritérií toho, ako môžu členské štáty zaviesť znížené sadzby DPH pre výrobky vyrábané udržateľným spôsobom</w:t>
      </w:r>
      <w:r w:rsidR="00EF1C52">
        <w:t xml:space="preserve"> a </w:t>
      </w:r>
      <w:r w:rsidRPr="00EF1C52">
        <w:t>pre služby, ktoré môžu znížiť negatívne vplyvy spotreby, ako sú služby súvisiace</w:t>
      </w:r>
      <w:r w:rsidR="00EF1C52">
        <w:t xml:space="preserve"> s </w:t>
      </w:r>
      <w:r w:rsidRPr="00EF1C52">
        <w:t>opravou alebo spoločným využívaním. Podporovať opatrenia na zamedzenie fiškálnej konkurencie</w:t>
      </w:r>
      <w:r w:rsidR="00EF1C52">
        <w:t xml:space="preserve"> a </w:t>
      </w:r>
      <w:r w:rsidRPr="00EF1C52">
        <w:t>„pretekov ku dnu“ medzi členskými štátmi</w:t>
      </w:r>
      <w:r w:rsidR="00EF1C52">
        <w:t xml:space="preserve"> a </w:t>
      </w:r>
      <w:r w:rsidRPr="00EF1C52">
        <w:t>na spravodlivejšie zdanenie najziskovejších sektorov</w:t>
      </w:r>
      <w:r w:rsidR="00EF1C52">
        <w:t xml:space="preserve"> a </w:t>
      </w:r>
      <w:r w:rsidRPr="00EF1C52">
        <w:t>kapitálu.</w:t>
      </w:r>
    </w:p>
    <w:p w14:paraId="44B83F6E" w14:textId="77777777" w:rsidR="009443FD" w:rsidRPr="00EF1C52" w:rsidRDefault="009443FD" w:rsidP="00DB3B98"/>
    <w:p w14:paraId="6B66362D" w14:textId="77777777" w:rsidR="009443FD" w:rsidRPr="00EF1C52" w:rsidRDefault="00AE6BB6" w:rsidP="00DB3B98">
      <w:pPr>
        <w:pStyle w:val="Heading3"/>
      </w:pPr>
      <w:r w:rsidRPr="00EF1C52">
        <w:t>Zásada „znečisťovateľ platí“. EK začala brať prístup internalizácie v</w:t>
      </w:r>
      <w:r w:rsidR="006527F1" w:rsidRPr="00EF1C52">
        <w:t>onkajších vplyvov vážnejšie, t. </w:t>
      </w:r>
      <w:r w:rsidRPr="00EF1C52">
        <w:t>j. uznala napríklad, že energie</w:t>
      </w:r>
      <w:r w:rsidR="00EF1C52">
        <w:t xml:space="preserve"> z </w:t>
      </w:r>
      <w:r w:rsidRPr="00EF1C52">
        <w:t>obnoviteľných zdrojov sú znevýhodnené, pokiaľ sa externé náklady spojené</w:t>
      </w:r>
      <w:r w:rsidR="00EF1C52">
        <w:t xml:space="preserve"> s </w:t>
      </w:r>
      <w:r w:rsidRPr="00EF1C52">
        <w:t>fosílnymi zdrojmi plne neodrážajú</w:t>
      </w:r>
      <w:r w:rsidR="00EF1C52">
        <w:t xml:space="preserve"> v </w:t>
      </w:r>
      <w:r w:rsidRPr="00EF1C52">
        <w:t>trhovej cene,</w:t>
      </w:r>
      <w:r w:rsidR="00EF1C52">
        <w:t xml:space="preserve"> a v </w:t>
      </w:r>
      <w:r w:rsidRPr="00EF1C52">
        <w:t>odvetví dopravy sa usiluje uplatňovať zásadu „znečisťovateľ platí“. Medzitým by sa malo uznať</w:t>
      </w:r>
      <w:r w:rsidR="006527F1" w:rsidRPr="00EF1C52">
        <w:t>, že </w:t>
      </w:r>
      <w:r w:rsidRPr="00EF1C52">
        <w:t>tieto prístupy zosúlaďujú ekologický</w:t>
      </w:r>
      <w:r w:rsidR="00EF1C52">
        <w:t xml:space="preserve"> a </w:t>
      </w:r>
      <w:r w:rsidRPr="00EF1C52">
        <w:t>ekonomický rozmer udržateľnosti, nezahŕňajú však sociálny rozmer</w:t>
      </w:r>
      <w:r w:rsidR="003D0D63" w:rsidRPr="00EF1C52">
        <w:rPr>
          <w:rStyle w:val="FootnoteReference"/>
        </w:rPr>
        <w:footnoteReference w:id="49"/>
      </w:r>
      <w:r w:rsidRPr="00EF1C52">
        <w:t>.</w:t>
      </w:r>
    </w:p>
    <w:p w14:paraId="6F5904BB" w14:textId="77777777" w:rsidR="009443FD" w:rsidRPr="00EF1C52" w:rsidRDefault="009443FD" w:rsidP="00DB3B98"/>
    <w:p w14:paraId="45176861" w14:textId="77777777" w:rsidR="00020885" w:rsidRPr="00EF1C52" w:rsidRDefault="00AE6BB6" w:rsidP="00DB3B98">
      <w:pPr>
        <w:pStyle w:val="Heading3"/>
      </w:pPr>
      <w:r w:rsidRPr="00EF1C52">
        <w:t>Spravodlivé</w:t>
      </w:r>
      <w:r w:rsidR="00EF1C52">
        <w:t xml:space="preserve"> a </w:t>
      </w:r>
      <w:r w:rsidRPr="00EF1C52">
        <w:t>zelené verejné obstarávanie.</w:t>
      </w:r>
      <w:r w:rsidR="00EF1C52">
        <w:t xml:space="preserve"> V </w:t>
      </w:r>
      <w:r w:rsidRPr="00EF1C52">
        <w:t>zámer</w:t>
      </w:r>
      <w:r w:rsidR="006527F1" w:rsidRPr="00EF1C52">
        <w:t>e cieľa udržateľného rozvoja č. </w:t>
      </w:r>
      <w:r w:rsidRPr="00EF1C52">
        <w:t>12.7 je zmienka</w:t>
      </w:r>
      <w:r w:rsidR="00EF1C52">
        <w:t xml:space="preserve"> o </w:t>
      </w:r>
      <w:r w:rsidRPr="00EF1C52">
        <w:t>dôležitosti predloženia akčných plánov udržateľného verejného obstarávania. Verejné obstarávanie sa týka rôznych vnútroštátnych opatrení týkajúcich sa hlavných zásad OSN týkajúcich sa plánov</w:t>
      </w:r>
      <w:r w:rsidR="00EF1C52">
        <w:t xml:space="preserve"> v </w:t>
      </w:r>
      <w:r w:rsidRPr="00EF1C52">
        <w:t>oblasti ľudských práv</w:t>
      </w:r>
      <w:r w:rsidR="00EF1C52">
        <w:t xml:space="preserve"> a </w:t>
      </w:r>
      <w:r w:rsidRPr="00EF1C52">
        <w:t>na vnútroštátnej úrovni existuje niekoľko osvedčených postupov. Napríklad Dánsko zaznamenalo vo svojich verejných kuchyniach prechod</w:t>
      </w:r>
      <w:r w:rsidR="00EF1C52">
        <w:t xml:space="preserve"> k </w:t>
      </w:r>
      <w:r w:rsidRPr="00EF1C52">
        <w:t>vysokej úrovni ekologických výrobkov, pri ktorých sa zohľadňujú rozpočtové obmedzenia. ICLEI</w:t>
      </w:r>
      <w:r w:rsidR="00EF1C52">
        <w:t xml:space="preserve"> v </w:t>
      </w:r>
      <w:r w:rsidRPr="00EF1C52">
        <w:t>súčasnosti podporuje iniciatívu na presadzovanie povinného, progresívneho udržateľného obstarávania potravín vo všetkých európskych školách</w:t>
      </w:r>
      <w:r w:rsidR="00EF1C52">
        <w:t xml:space="preserve"> a </w:t>
      </w:r>
      <w:r w:rsidRPr="00EF1C52">
        <w:t>materských školách.</w:t>
      </w:r>
      <w:r w:rsidR="00EF1C52">
        <w:t xml:space="preserve"> V </w:t>
      </w:r>
      <w:r w:rsidRPr="00EF1C52">
        <w:t>novom akčnom pláne EÚ pre obehové hospodárstvo EK oznámila, že verejní obstarávatelia budú nabádaní, aby sa zapojili do pripravovanej iniciatívy „Verejní obstarávatelia za klímu</w:t>
      </w:r>
      <w:r w:rsidR="00EF1C52">
        <w:t xml:space="preserve"> a </w:t>
      </w:r>
      <w:r w:rsidRPr="00EF1C52">
        <w:t>životné prostredie“, ktorá spojí kupujúcich odhodlaných uplatňovať zelené verejné obstarávanie. EHS</w:t>
      </w:r>
      <w:r w:rsidR="00703CBA" w:rsidRPr="00EF1C52">
        <w:t>V </w:t>
      </w:r>
      <w:r w:rsidRPr="00EF1C52">
        <w:t>žiada Komisiu, aby zahrnula širšie kritériá udržateľnosti, ako sú sociálne aspekty</w:t>
      </w:r>
      <w:r w:rsidR="00EF1C52">
        <w:t xml:space="preserve"> a </w:t>
      </w:r>
      <w:r w:rsidRPr="00EF1C52">
        <w:t>aspekty spravodlivého obchodu. EHS</w:t>
      </w:r>
      <w:r w:rsidR="00703CBA" w:rsidRPr="00EF1C52">
        <w:t>V </w:t>
      </w:r>
      <w:r w:rsidRPr="00EF1C52">
        <w:t>tiež podporuje plány EK navrhnúť minimálne záväzné kritériá</w:t>
      </w:r>
      <w:r w:rsidR="00EF1C52">
        <w:t xml:space="preserve"> a </w:t>
      </w:r>
      <w:r w:rsidRPr="00EF1C52">
        <w:t>ciele</w:t>
      </w:r>
      <w:r w:rsidR="00EF1C52">
        <w:t xml:space="preserve"> v </w:t>
      </w:r>
      <w:r w:rsidRPr="00EF1C52">
        <w:t>oblasti zeleného verejného obstarávania</w:t>
      </w:r>
      <w:r w:rsidR="00EF1C52">
        <w:t xml:space="preserve"> v </w:t>
      </w:r>
      <w:r w:rsidRPr="00EF1C52">
        <w:t>sektorových právnych predpisoch</w:t>
      </w:r>
      <w:r w:rsidR="00EF1C52">
        <w:t xml:space="preserve"> a </w:t>
      </w:r>
      <w:r w:rsidRPr="00EF1C52">
        <w:t>postupne zaviesť povinné podávanie správ</w:t>
      </w:r>
      <w:r w:rsidR="00EF1C52">
        <w:t xml:space="preserve"> s </w:t>
      </w:r>
      <w:r w:rsidRPr="00EF1C52">
        <w:t>cieľom monitorovať využívanie zeleného verejného obstarávania.</w:t>
      </w:r>
    </w:p>
    <w:p w14:paraId="2E0C2130" w14:textId="77777777" w:rsidR="002E0EA0" w:rsidRPr="00EF1C52" w:rsidRDefault="002E0EA0" w:rsidP="00DB3B98"/>
    <w:p w14:paraId="22620103" w14:textId="77777777" w:rsidR="009443FD" w:rsidRPr="00EF1C52" w:rsidRDefault="00CA3650" w:rsidP="00DB3B98">
      <w:pPr>
        <w:pStyle w:val="Heading3"/>
      </w:pPr>
      <w:r w:rsidRPr="00EF1C52">
        <w:t>Politiky rozvojovej spolupráce podporujúce drobné poľnohospodárstvo, malé</w:t>
      </w:r>
      <w:r w:rsidR="00EF1C52">
        <w:t xml:space="preserve"> a </w:t>
      </w:r>
      <w:r w:rsidRPr="00EF1C52">
        <w:t>stredné podniky</w:t>
      </w:r>
      <w:r w:rsidR="00EF1C52">
        <w:t xml:space="preserve"> a </w:t>
      </w:r>
      <w:r w:rsidRPr="00EF1C52">
        <w:t>spotrebiteľské družstvá.</w:t>
      </w:r>
    </w:p>
    <w:p w14:paraId="24CD8A03" w14:textId="77777777" w:rsidR="009443FD" w:rsidRPr="00EF1C52" w:rsidRDefault="009443FD" w:rsidP="00DB3B98"/>
    <w:p w14:paraId="7C345839" w14:textId="77777777" w:rsidR="006037C6" w:rsidRPr="00EF1C52" w:rsidRDefault="00AE6BB6" w:rsidP="006527F1">
      <w:pPr>
        <w:pStyle w:val="Heading2"/>
        <w:keepNext/>
        <w:keepLines/>
      </w:pPr>
      <w:r w:rsidRPr="00EF1C52">
        <w:rPr>
          <w:b/>
          <w:i/>
        </w:rPr>
        <w:t>Dobrovoľný nástroj alebo nástroj založený na informáciách</w:t>
      </w:r>
    </w:p>
    <w:p w14:paraId="7F297951" w14:textId="77777777" w:rsidR="006037C6" w:rsidRPr="00EF1C52" w:rsidRDefault="006037C6" w:rsidP="006527F1">
      <w:pPr>
        <w:keepNext/>
        <w:keepLines/>
      </w:pPr>
    </w:p>
    <w:p w14:paraId="752006F1" w14:textId="77777777" w:rsidR="006037C6" w:rsidRPr="00EF1C52" w:rsidRDefault="00AF3D94" w:rsidP="00DB3B98">
      <w:pPr>
        <w:pStyle w:val="Heading3"/>
      </w:pPr>
      <w:r w:rsidRPr="00EF1C52">
        <w:t>Označovanie výrobkov môže pomôcť zvýšiť úsilie určitých spoločností</w:t>
      </w:r>
      <w:r w:rsidR="00EF1C52">
        <w:t xml:space="preserve"> o </w:t>
      </w:r>
      <w:r w:rsidRPr="00EF1C52">
        <w:t>udržateľnosť, ale označovanie by sa nikdy nemalo používať ako ospravedlnenie na neregulovanie správania</w:t>
      </w:r>
      <w:r w:rsidR="00EF1C52">
        <w:t xml:space="preserve"> a </w:t>
      </w:r>
      <w:r w:rsidRPr="00EF1C52">
        <w:t>praktík, ktoré nie sú prijateľné. Napr. jednou</w:t>
      </w:r>
      <w:r w:rsidR="00EF1C52">
        <w:t xml:space="preserve"> z </w:t>
      </w:r>
      <w:r w:rsidRPr="00EF1C52">
        <w:t>možností, ktoré EK zvažuje</w:t>
      </w:r>
      <w:r w:rsidR="00EF1C52">
        <w:t xml:space="preserve"> v </w:t>
      </w:r>
      <w:r w:rsidRPr="00EF1C52">
        <w:t>nadväznosti na oznámenie EÚ</w:t>
      </w:r>
      <w:r w:rsidR="00EF1C52">
        <w:t xml:space="preserve"> o </w:t>
      </w:r>
      <w:r w:rsidRPr="00EF1C52">
        <w:t>posilnení opatrení EÚ na ochranu</w:t>
      </w:r>
      <w:r w:rsidR="00EF1C52">
        <w:t xml:space="preserve"> a </w:t>
      </w:r>
      <w:r w:rsidRPr="00EF1C52">
        <w:t>obnovu svetových lesov, je zavedenie značky „bez odlesňovania“. Mohlo by to však viesť</w:t>
      </w:r>
      <w:r w:rsidR="00EF1C52">
        <w:t xml:space="preserve"> k </w:t>
      </w:r>
      <w:r w:rsidRPr="00EF1C52">
        <w:t>pocitu, že EÚ</w:t>
      </w:r>
      <w:r w:rsidR="00EF1C52">
        <w:t xml:space="preserve"> v </w:t>
      </w:r>
      <w:r w:rsidRPr="00EF1C52">
        <w:t>skutočnosti toleruje výrobky na trhu EÚ, ktoré nie sú šetrné</w:t>
      </w:r>
      <w:r w:rsidR="00EF1C52">
        <w:t xml:space="preserve"> k </w:t>
      </w:r>
      <w:r w:rsidRPr="00EF1C52">
        <w:t>lesu, čo by bolo veľmi mätúce. EHS</w:t>
      </w:r>
      <w:r w:rsidR="00703CBA" w:rsidRPr="00EF1C52">
        <w:t>V </w:t>
      </w:r>
      <w:r w:rsidRPr="00EF1C52">
        <w:t>žiada Európsku komisiu, aby ďalej rozvíjala existujúce značky environmentálnej excelentnosti, ktoré pokrývajú celý životný cyklus, napríklad environmentálnu značku EÚ,</w:t>
      </w:r>
      <w:r w:rsidR="00EF1C52">
        <w:t xml:space="preserve"> a </w:t>
      </w:r>
      <w:r w:rsidRPr="00EF1C52">
        <w:t>rozšírila ich tak, aby sa vzťahovali aj na sociálny rozmer. Konkrétne zavedenie jasného systému označovania pôvodu</w:t>
      </w:r>
      <w:r w:rsidR="00EF1C52">
        <w:t xml:space="preserve"> a </w:t>
      </w:r>
      <w:r w:rsidRPr="00EF1C52">
        <w:t>výrobných prostriedkov by uľahčilo spotrebiteľom voľbu</w:t>
      </w:r>
      <w:r w:rsidR="009A2E48" w:rsidRPr="00EF1C52">
        <w:rPr>
          <w:rStyle w:val="FootnoteReference"/>
        </w:rPr>
        <w:footnoteReference w:id="50"/>
      </w:r>
      <w:r w:rsidRPr="00EF1C52">
        <w:t>.</w:t>
      </w:r>
    </w:p>
    <w:p w14:paraId="5A6F0208" w14:textId="77777777" w:rsidR="006037C6" w:rsidRPr="00EF1C52" w:rsidRDefault="006037C6" w:rsidP="00DB3B98"/>
    <w:p w14:paraId="6FADD8A7" w14:textId="77777777" w:rsidR="006037C6" w:rsidRPr="00EF1C52" w:rsidRDefault="00AE6BB6" w:rsidP="00DB3B98">
      <w:pPr>
        <w:pStyle w:val="Heading3"/>
      </w:pPr>
      <w:r w:rsidRPr="00EF1C52">
        <w:t>Iniciatívy zdola nahor</w:t>
      </w:r>
      <w:r w:rsidR="00EF1C52">
        <w:t xml:space="preserve"> a </w:t>
      </w:r>
      <w:r w:rsidRPr="00EF1C52">
        <w:t>viacúrovňové riadenie. Decentralizácia akcie na miestnej úrovni prostredníctvom dôveryhodných aktérov, ako sú mestské správy</w:t>
      </w:r>
      <w:r w:rsidR="00EF1C52">
        <w:t xml:space="preserve"> a </w:t>
      </w:r>
      <w:r w:rsidRPr="00EF1C52">
        <w:t>združenia, je účinným spôsobom navrhovania miestnych opatrení, priblíženia sa občanom</w:t>
      </w:r>
      <w:r w:rsidR="00EF1C52">
        <w:t xml:space="preserve"> a </w:t>
      </w:r>
      <w:r w:rsidRPr="00EF1C52">
        <w:t>ich zmysluplného zapojenia. Rastie počet miestnych orgánov, ktoré majú vypracované seriózne stratégie pre udržateľnosť, ktoré EK motivuje udeľovaním takých ocenení, ako sú „Európske hlavné zelené mesto“, „Green City Accord“ alebo „Mestá EÚ pre spravodlivý</w:t>
      </w:r>
      <w:r w:rsidR="00EF1C52">
        <w:t xml:space="preserve"> a </w:t>
      </w:r>
      <w:r w:rsidRPr="00EF1C52">
        <w:t>etický obchod“. Tieto vzorce</w:t>
      </w:r>
      <w:r w:rsidR="00EF1C52">
        <w:t xml:space="preserve"> a </w:t>
      </w:r>
      <w:r w:rsidRPr="00EF1C52">
        <w:t>trendy budú pravdepodobne ovplyvnené súčasnými reakciami na krízu spôsobenú pandémiou COVID-19. Pilotné zásahy</w:t>
      </w:r>
      <w:r w:rsidR="00EF1C52">
        <w:t xml:space="preserve"> v </w:t>
      </w:r>
      <w:r w:rsidRPr="00EF1C52">
        <w:t>kontexte skutočného života môžu byť veľmi užitočné pri informovaní</w:t>
      </w:r>
      <w:r w:rsidR="00EF1C52">
        <w:t xml:space="preserve"> o </w:t>
      </w:r>
      <w:r w:rsidRPr="00EF1C52">
        <w:t>návrhu</w:t>
      </w:r>
      <w:r w:rsidR="00EF1C52">
        <w:t xml:space="preserve"> a </w:t>
      </w:r>
      <w:r w:rsidRPr="00EF1C52">
        <w:t>vykonávaní stratégie EÚ pre udržateľnú spotrebu,</w:t>
      </w:r>
      <w:r w:rsidR="00EF1C52">
        <w:t xml:space="preserve"> a </w:t>
      </w:r>
      <w:r w:rsidRPr="00EF1C52">
        <w:t>preto by sa mali podporovať.</w:t>
      </w:r>
    </w:p>
    <w:p w14:paraId="7B5D6025" w14:textId="77777777" w:rsidR="00FD5462" w:rsidRPr="00EF1C52" w:rsidRDefault="00FD5462" w:rsidP="00DB3B98"/>
    <w:p w14:paraId="483E77C8" w14:textId="77777777" w:rsidR="00663F88" w:rsidRPr="00EF1C52" w:rsidRDefault="008474DF" w:rsidP="00DB3B98">
      <w:pPr>
        <w:pStyle w:val="Heading3"/>
      </w:pPr>
      <w:r w:rsidRPr="00EF1C52">
        <w:t>Reklama</w:t>
      </w:r>
      <w:r w:rsidR="00EF1C52">
        <w:t xml:space="preserve"> a </w:t>
      </w:r>
      <w:r w:rsidRPr="00EF1C52">
        <w:t>marketing. Mala by sa riešiť aj úloha reklamy</w:t>
      </w:r>
      <w:r w:rsidR="00EF1C52">
        <w:t xml:space="preserve"> a </w:t>
      </w:r>
      <w:r w:rsidRPr="00EF1C52">
        <w:t>marketingu</w:t>
      </w:r>
      <w:r w:rsidR="00EF1C52">
        <w:t xml:space="preserve"> s </w:t>
      </w:r>
      <w:r w:rsidRPr="00EF1C52">
        <w:t>cieľom odkloniť sa od ich vysoko konzumnej orientácie</w:t>
      </w:r>
      <w:r w:rsidR="00EF1C52">
        <w:t xml:space="preserve"> a </w:t>
      </w:r>
      <w:r w:rsidRPr="00EF1C52">
        <w:t>zamerať sa na trvanlivosť výrobkov</w:t>
      </w:r>
      <w:r w:rsidR="00EF1C52">
        <w:t xml:space="preserve"> a </w:t>
      </w:r>
      <w:r w:rsidRPr="00EF1C52">
        <w:t>nové možnosti použitia, pričom treba zakázať klamlivú reklamu.</w:t>
      </w:r>
    </w:p>
    <w:p w14:paraId="1F8615BD" w14:textId="77777777" w:rsidR="006037C6" w:rsidRPr="00EF1C52" w:rsidRDefault="006037C6" w:rsidP="00DB3B98"/>
    <w:p w14:paraId="75FCC494" w14:textId="77777777" w:rsidR="00AE6BB6" w:rsidRPr="00EF1C52" w:rsidRDefault="00C25D12" w:rsidP="00DB3B98">
      <w:pPr>
        <w:pStyle w:val="Heading3"/>
      </w:pPr>
      <w:r w:rsidRPr="00EF1C52">
        <w:t>Vzdelávanie. Mali by sa predložiť návrhy na začlenenie vzdelávania</w:t>
      </w:r>
      <w:r w:rsidR="00EF1C52">
        <w:t xml:space="preserve"> o </w:t>
      </w:r>
      <w:r w:rsidRPr="00EF1C52">
        <w:t>udržateľnej spotrebe do školských osnov od útleho veku</w:t>
      </w:r>
      <w:r w:rsidR="00EF1C52">
        <w:t xml:space="preserve"> a </w:t>
      </w:r>
      <w:r w:rsidRPr="00EF1C52">
        <w:t>na podporu vzdelávacích iniciatív súkromného sektora (napr. tých, ktoré propagujú spotrebiteľské družstvá)</w:t>
      </w:r>
      <w:r w:rsidR="00EF1C52">
        <w:t xml:space="preserve"> s </w:t>
      </w:r>
      <w:r w:rsidRPr="00EF1C52">
        <w:t>cieľom podporiť zapojenie občanov</w:t>
      </w:r>
      <w:r w:rsidR="00EF1C52">
        <w:t xml:space="preserve"> a </w:t>
      </w:r>
      <w:r w:rsidRPr="00EF1C52">
        <w:t>kultúrne zmeny.</w:t>
      </w:r>
    </w:p>
    <w:p w14:paraId="7D0E688F" w14:textId="77777777" w:rsidR="0035140A" w:rsidRPr="00EF1C52" w:rsidRDefault="0035140A" w:rsidP="00DB3B98"/>
    <w:p w14:paraId="2CCE2D76" w14:textId="77777777" w:rsidR="00EF1C52" w:rsidRPr="00EF1C52" w:rsidRDefault="00EF1C52" w:rsidP="00DB3B98">
      <w:r w:rsidRPr="00EF1C52">
        <w:t>V Bruseli 8</w:t>
      </w:r>
      <w:r>
        <w:t>. júla</w:t>
      </w:r>
      <w:r w:rsidRPr="00EF1C52">
        <w:t xml:space="preserve"> 2020</w:t>
      </w:r>
    </w:p>
    <w:p w14:paraId="7CB2D6EA" w14:textId="77777777" w:rsidR="00EF1C52" w:rsidRPr="00EF1C52" w:rsidRDefault="00EF1C52" w:rsidP="00DB3B98"/>
    <w:p w14:paraId="73EBC10C" w14:textId="77777777" w:rsidR="00EF1C52" w:rsidRPr="00EF1C52" w:rsidRDefault="00EF1C52" w:rsidP="00DB3B98"/>
    <w:p w14:paraId="3659D4E2" w14:textId="77777777" w:rsidR="00EF1C52" w:rsidRPr="00EF1C52" w:rsidRDefault="00EF1C52" w:rsidP="00DB3B98"/>
    <w:p w14:paraId="2F48AEC1" w14:textId="77777777" w:rsidR="00EF1C52" w:rsidRPr="00EF1C52" w:rsidRDefault="00EF1C52" w:rsidP="00EF1C52">
      <w:pPr>
        <w:jc w:val="left"/>
      </w:pPr>
      <w:r w:rsidRPr="00EF1C52">
        <w:t>Maurizio REALE</w:t>
      </w:r>
      <w:r w:rsidRPr="00EF1C52">
        <w:br/>
        <w:t>predseda sekcia pre poľnohospodárstvo, rozvoj vidieka</w:t>
      </w:r>
      <w:r>
        <w:t xml:space="preserve"> a </w:t>
      </w:r>
      <w:r w:rsidRPr="00EF1C52">
        <w:t>životné prostredie</w:t>
      </w:r>
    </w:p>
    <w:p w14:paraId="1264F4FD" w14:textId="77777777" w:rsidR="00EF1C52" w:rsidRPr="00EF1C52" w:rsidRDefault="00EF1C52" w:rsidP="00DB3B98"/>
    <w:p w14:paraId="46173D57" w14:textId="77777777" w:rsidR="00646AC2" w:rsidRPr="00EF1C52" w:rsidRDefault="00646AC2" w:rsidP="00DB3B98">
      <w:pPr>
        <w:jc w:val="center"/>
      </w:pPr>
      <w:r w:rsidRPr="00EF1C52">
        <w:t>_____________</w:t>
      </w:r>
    </w:p>
    <w:sectPr w:rsidR="00646AC2" w:rsidRPr="00EF1C52" w:rsidSect="00EF1C52">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742D" w16cex:dateUtc="2020-06-01T10:33:00Z"/>
  <w16cex:commentExtensible w16cex:durableId="227F756F" w16cex:dateUtc="2020-06-01T10:39:00Z"/>
  <w16cex:commentExtensible w16cex:durableId="227F7A31" w16cex:dateUtc="2020-06-01T10:59:00Z"/>
  <w16cex:commentExtensible w16cex:durableId="227F77F2" w16cex:dateUtc="2020-06-01T10:49:00Z"/>
  <w16cex:commentExtensible w16cex:durableId="227F7846" w16cex:dateUtc="2020-06-01T10:51:00Z"/>
  <w16cex:commentExtensible w16cex:durableId="227F7B0F" w16cex:dateUtc="2020-06-01T11:03:00Z"/>
  <w16cex:commentExtensible w16cex:durableId="227F7D52" w16cex:dateUtc="2020-06-01T11:12:00Z"/>
  <w16cex:commentExtensible w16cex:durableId="227F7E1A" w16cex:dateUtc="2020-06-01T11:16:00Z"/>
  <w16cex:commentExtensible w16cex:durableId="227F7E70" w16cex:dateUtc="2020-06-01T11:17:00Z"/>
  <w16cex:commentExtensible w16cex:durableId="227F7EA5" w16cex:dateUtc="2020-06-01T11:18:00Z"/>
  <w16cex:commentExtensible w16cex:durableId="227F7F4C" w16cex:dateUtc="2020-06-01T11:21:00Z"/>
  <w16cex:commentExtensible w16cex:durableId="227F7FA8" w16cex:dateUtc="2020-06-01T11:22:00Z"/>
  <w16cex:commentExtensible w16cex:durableId="227F7FC9" w16cex:dateUtc="2020-06-01T11:23:00Z"/>
  <w16cex:commentExtensible w16cex:durableId="227F7FFD" w16cex:dateUtc="2020-06-01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65A61B" w16cid:durableId="227F742D"/>
  <w16cid:commentId w16cid:paraId="33ADE8B8" w16cid:durableId="227F756F"/>
  <w16cid:commentId w16cid:paraId="2C535DEE" w16cid:durableId="227F465B"/>
  <w16cid:commentId w16cid:paraId="59537E5E" w16cid:durableId="227F7A31"/>
  <w16cid:commentId w16cid:paraId="3B8B970D" w16cid:durableId="227F465C"/>
  <w16cid:commentId w16cid:paraId="280806EF" w16cid:durableId="227F77F2"/>
  <w16cid:commentId w16cid:paraId="31005C4F" w16cid:durableId="227F7846"/>
  <w16cid:commentId w16cid:paraId="20EBE465" w16cid:durableId="227F465D"/>
  <w16cid:commentId w16cid:paraId="3EB6777F" w16cid:durableId="227F7B0F"/>
  <w16cid:commentId w16cid:paraId="00E786C5" w16cid:durableId="227F7D52"/>
  <w16cid:commentId w16cid:paraId="535FCFAB" w16cid:durableId="227F7E1A"/>
  <w16cid:commentId w16cid:paraId="7752653C" w16cid:durableId="227F7E70"/>
  <w16cid:commentId w16cid:paraId="65E8C205" w16cid:durableId="227F7EA5"/>
  <w16cid:commentId w16cid:paraId="70937327" w16cid:durableId="227F7F4C"/>
  <w16cid:commentId w16cid:paraId="66ACE4C2" w16cid:durableId="227F7FA8"/>
  <w16cid:commentId w16cid:paraId="5DF65902" w16cid:durableId="227F7FC9"/>
  <w16cid:commentId w16cid:paraId="1D7AB0C3" w16cid:durableId="227F7FFD"/>
  <w16cid:commentId w16cid:paraId="36A15B3B" w16cid:durableId="227F46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6ACA7" w14:textId="77777777" w:rsidR="004A45A3" w:rsidRDefault="004A45A3">
      <w:r>
        <w:separator/>
      </w:r>
    </w:p>
  </w:endnote>
  <w:endnote w:type="continuationSeparator" w:id="0">
    <w:p w14:paraId="6CBA4607" w14:textId="77777777" w:rsidR="004A45A3" w:rsidRDefault="004A45A3">
      <w:r>
        <w:continuationSeparator/>
      </w:r>
    </w:p>
  </w:endnote>
  <w:endnote w:type="continuationNotice" w:id="1">
    <w:p w14:paraId="07D45D0E" w14:textId="77777777" w:rsidR="004A45A3" w:rsidRDefault="004A45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3568D" w14:textId="77777777" w:rsidR="00EF1C52" w:rsidRPr="00EF1C52" w:rsidRDefault="00EF1C52" w:rsidP="00EF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2DAF5" w14:textId="1DE18570" w:rsidR="004A45A3" w:rsidRPr="00EF1C52" w:rsidRDefault="00EF1C52" w:rsidP="00EF1C52">
    <w:pPr>
      <w:pStyle w:val="Footer"/>
    </w:pPr>
    <w:r>
      <w:t xml:space="preserve">NAT/789 – EESC-2020-01596-00-00-AS-TRA (EN) </w:t>
    </w:r>
    <w:r>
      <w:fldChar w:fldCharType="begin"/>
    </w:r>
    <w:r>
      <w:instrText xml:space="preserve"> PAGE  \* Arabic  \* MERGEFORMAT </w:instrText>
    </w:r>
    <w:r>
      <w:fldChar w:fldCharType="separate"/>
    </w:r>
    <w:r w:rsidR="000172F0">
      <w:rPr>
        <w:noProof/>
      </w:rPr>
      <w:t>1</w:t>
    </w:r>
    <w:r>
      <w:fldChar w:fldCharType="end"/>
    </w:r>
    <w:r>
      <w:t>/</w:t>
    </w:r>
    <w:r>
      <w:fldChar w:fldCharType="begin"/>
    </w:r>
    <w:r>
      <w:instrText xml:space="preserve"> = </w:instrText>
    </w:r>
    <w:fldSimple w:instr=" NUMPAGES ">
      <w:r w:rsidR="000172F0">
        <w:rPr>
          <w:noProof/>
        </w:rPr>
        <w:instrText>15</w:instrText>
      </w:r>
    </w:fldSimple>
    <w:r>
      <w:instrText xml:space="preserve"> -0 </w:instrText>
    </w:r>
    <w:r>
      <w:fldChar w:fldCharType="separate"/>
    </w:r>
    <w:r w:rsidR="000172F0">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2A1FD" w14:textId="77777777" w:rsidR="00EF1C52" w:rsidRPr="00EF1C52" w:rsidRDefault="00EF1C52" w:rsidP="00EF1C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42681" w14:textId="77777777" w:rsidR="004A45A3" w:rsidRPr="00EF1C52" w:rsidRDefault="004A45A3" w:rsidP="00EF1C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7520" w14:textId="25FA81F3" w:rsidR="004A45A3" w:rsidRPr="00EF1C52" w:rsidRDefault="00EF1C52" w:rsidP="00EF1C52">
    <w:pPr>
      <w:pStyle w:val="Footer"/>
    </w:pPr>
    <w:r>
      <w:t xml:space="preserve">NAT/789 – EESC-2020-01596-00-00-AS-TRA (EN) </w:t>
    </w:r>
    <w:r>
      <w:fldChar w:fldCharType="begin"/>
    </w:r>
    <w:r>
      <w:instrText xml:space="preserve"> PAGE  \* Arabic  \* MERGEFORMAT </w:instrText>
    </w:r>
    <w:r>
      <w:fldChar w:fldCharType="separate"/>
    </w:r>
    <w:r w:rsidR="000172F0">
      <w:rPr>
        <w:noProof/>
      </w:rPr>
      <w:t>8</w:t>
    </w:r>
    <w:r>
      <w:fldChar w:fldCharType="end"/>
    </w:r>
    <w:r>
      <w:t>/</w:t>
    </w:r>
    <w:r>
      <w:fldChar w:fldCharType="begin"/>
    </w:r>
    <w:r>
      <w:instrText xml:space="preserve"> = </w:instrText>
    </w:r>
    <w:fldSimple w:instr=" NUMPAGES ">
      <w:r w:rsidR="000172F0">
        <w:rPr>
          <w:noProof/>
        </w:rPr>
        <w:instrText>15</w:instrText>
      </w:r>
    </w:fldSimple>
    <w:r>
      <w:instrText xml:space="preserve"> -0 </w:instrText>
    </w:r>
    <w:r>
      <w:fldChar w:fldCharType="separate"/>
    </w:r>
    <w:r w:rsidR="000172F0">
      <w:rPr>
        <w:noProof/>
      </w:rP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1033E" w14:textId="77777777" w:rsidR="004A45A3" w:rsidRPr="00EF1C52" w:rsidRDefault="004A45A3" w:rsidP="00EF1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63823" w14:textId="77777777" w:rsidR="004A45A3" w:rsidRDefault="004A45A3">
      <w:r>
        <w:separator/>
      </w:r>
    </w:p>
  </w:footnote>
  <w:footnote w:type="continuationSeparator" w:id="0">
    <w:p w14:paraId="5C649604" w14:textId="77777777" w:rsidR="004A45A3" w:rsidRDefault="004A45A3">
      <w:r>
        <w:continuationSeparator/>
      </w:r>
    </w:p>
  </w:footnote>
  <w:footnote w:type="continuationNotice" w:id="1">
    <w:p w14:paraId="686F6DA5" w14:textId="77777777" w:rsidR="004A45A3" w:rsidRDefault="004A45A3">
      <w:pPr>
        <w:spacing w:line="240" w:lineRule="auto"/>
      </w:pPr>
    </w:p>
  </w:footnote>
  <w:footnote w:id="2">
    <w:p w14:paraId="15CE4955" w14:textId="77777777" w:rsidR="004A45A3" w:rsidRPr="00703CBA" w:rsidRDefault="004A45A3">
      <w:pPr>
        <w:pStyle w:val="FootnoteText"/>
      </w:pPr>
      <w:r w:rsidRPr="00703CBA">
        <w:rPr>
          <w:rStyle w:val="FootnoteReference"/>
        </w:rPr>
        <w:footnoteRef/>
      </w:r>
      <w:r w:rsidRPr="00703CBA">
        <w:t xml:space="preserve"> </w:t>
      </w:r>
      <w:r w:rsidRPr="00703CBA">
        <w:tab/>
        <w:t>Zodpovednosť výrobcov platí</w:t>
      </w:r>
      <w:r>
        <w:t xml:space="preserve"> v </w:t>
      </w:r>
      <w:r w:rsidRPr="00703CBA">
        <w:t>rámci všetkých odvetví, ale musí sa uznať osobitná situácia poľnohospodárov.</w:t>
      </w:r>
    </w:p>
  </w:footnote>
  <w:footnote w:id="3">
    <w:p w14:paraId="25DFF50F" w14:textId="77777777" w:rsidR="004A45A3" w:rsidRPr="00703CBA" w:rsidRDefault="004A45A3">
      <w:pPr>
        <w:pStyle w:val="FootnoteText"/>
      </w:pPr>
      <w:r w:rsidRPr="00703CBA">
        <w:rPr>
          <w:rStyle w:val="FootnoteReference"/>
        </w:rPr>
        <w:footnoteRef/>
      </w:r>
      <w:r w:rsidRPr="00703CBA">
        <w:t xml:space="preserve"> </w:t>
      </w:r>
      <w:r w:rsidRPr="00703CBA">
        <w:tab/>
      </w:r>
      <w:hyperlink r:id="rId1" w:history="1">
        <w:r w:rsidRPr="00703CBA">
          <w:rPr>
            <w:rStyle w:val="Hyperlink"/>
          </w:rPr>
          <w:t>Uznesenie EHSV</w:t>
        </w:r>
        <w:r>
          <w:rPr>
            <w:rStyle w:val="Hyperlink"/>
          </w:rPr>
          <w:t xml:space="preserve"> o </w:t>
        </w:r>
        <w:r w:rsidRPr="00703CBA">
          <w:rPr>
            <w:rStyle w:val="Hyperlink"/>
          </w:rPr>
          <w:t>obnove hospodárstva po skončení krízy súvisiacej</w:t>
        </w:r>
        <w:r>
          <w:rPr>
            <w:rStyle w:val="Hyperlink"/>
          </w:rPr>
          <w:t xml:space="preserve"> s </w:t>
        </w:r>
        <w:r w:rsidRPr="00703CBA">
          <w:rPr>
            <w:rStyle w:val="Hyperlink"/>
          </w:rPr>
          <w:t>ochorením COVID-19</w:t>
        </w:r>
      </w:hyperlink>
      <w:r w:rsidRPr="00703CBA">
        <w:rPr>
          <w:rStyle w:val="Hyperlink"/>
          <w:color w:val="auto"/>
          <w:u w:val="none"/>
        </w:rPr>
        <w:t>.</w:t>
      </w:r>
    </w:p>
  </w:footnote>
  <w:footnote w:id="4">
    <w:p w14:paraId="1BC8F640" w14:textId="77777777" w:rsidR="004A45A3" w:rsidRPr="00703CBA" w:rsidRDefault="004A45A3">
      <w:pPr>
        <w:pStyle w:val="FootnoteText"/>
      </w:pPr>
      <w:r w:rsidRPr="00703CBA">
        <w:rPr>
          <w:rStyle w:val="FootnoteReference"/>
        </w:rPr>
        <w:footnoteRef/>
      </w:r>
      <w:r w:rsidRPr="00703CBA">
        <w:t xml:space="preserve"> </w:t>
      </w:r>
      <w:r w:rsidRPr="00703CBA">
        <w:tab/>
      </w:r>
      <w:hyperlink r:id="rId2" w:history="1">
        <w:r w:rsidRPr="00703CBA">
          <w:rPr>
            <w:rStyle w:val="Hyperlink"/>
          </w:rPr>
          <w:t>Eurostat, Sustainable development in the EU, 2020</w:t>
        </w:r>
      </w:hyperlink>
      <w:r w:rsidRPr="00703CBA">
        <w:rPr>
          <w:rStyle w:val="Hyperlink"/>
          <w:color w:val="auto"/>
          <w:u w:val="none"/>
        </w:rPr>
        <w:t>.</w:t>
      </w:r>
    </w:p>
  </w:footnote>
  <w:footnote w:id="5">
    <w:p w14:paraId="079BB8C4" w14:textId="77777777" w:rsidR="004A45A3" w:rsidRPr="00703CBA" w:rsidRDefault="004A45A3" w:rsidP="00667775">
      <w:pPr>
        <w:pStyle w:val="FootnoteText"/>
      </w:pPr>
      <w:r w:rsidRPr="00703CBA">
        <w:rPr>
          <w:rStyle w:val="FootnoteReference"/>
        </w:rPr>
        <w:footnoteRef/>
      </w:r>
      <w:r w:rsidRPr="00703CBA">
        <w:t xml:space="preserve"> </w:t>
      </w:r>
      <w:r w:rsidRPr="00703CBA">
        <w:tab/>
        <w:t>NAT/765.</w:t>
      </w:r>
    </w:p>
  </w:footnote>
  <w:footnote w:id="6">
    <w:p w14:paraId="7C0BDD90" w14:textId="77777777" w:rsidR="004A45A3" w:rsidRPr="00703CBA" w:rsidRDefault="004A45A3" w:rsidP="00667775">
      <w:pPr>
        <w:pStyle w:val="FootnoteText"/>
      </w:pPr>
      <w:r w:rsidRPr="00703CBA">
        <w:rPr>
          <w:rStyle w:val="FootnoteReference"/>
        </w:rPr>
        <w:footnoteRef/>
      </w:r>
      <w:r w:rsidRPr="00703CBA">
        <w:t xml:space="preserve"> </w:t>
      </w:r>
      <w:r w:rsidRPr="00703CBA">
        <w:tab/>
      </w:r>
      <w:hyperlink r:id="rId3" w:history="1">
        <w:r w:rsidRPr="00183CAF">
          <w:rPr>
            <w:rStyle w:val="Hyperlink"/>
          </w:rPr>
          <w:t>Ú. v. EÚ C 47, 11.2.2020, s. 30</w:t>
        </w:r>
        <w:r w:rsidRPr="00183CAF">
          <w:rPr>
            <w:rStyle w:val="Hyperlink"/>
            <w:color w:val="auto"/>
            <w:u w:val="none"/>
          </w:rPr>
          <w:t>.</w:t>
        </w:r>
      </w:hyperlink>
    </w:p>
  </w:footnote>
  <w:footnote w:id="7">
    <w:p w14:paraId="6E3FDD83" w14:textId="77777777" w:rsidR="004A45A3" w:rsidRPr="00703CBA" w:rsidRDefault="004A45A3" w:rsidP="00F94354">
      <w:pPr>
        <w:pStyle w:val="FootnoteText"/>
      </w:pPr>
      <w:r w:rsidRPr="00703CBA">
        <w:rPr>
          <w:rStyle w:val="FootnoteReference"/>
        </w:rPr>
        <w:footnoteRef/>
      </w:r>
      <w:r w:rsidRPr="00703CBA">
        <w:t xml:space="preserve"> </w:t>
      </w:r>
      <w:r w:rsidRPr="00703CBA">
        <w:tab/>
        <w:t xml:space="preserve">EEA </w:t>
      </w:r>
      <w:hyperlink r:id="rId4" w:history="1">
        <w:r w:rsidRPr="00703CBA">
          <w:rPr>
            <w:rStyle w:val="Hyperlink"/>
          </w:rPr>
          <w:t>SOER 2020</w:t>
        </w:r>
      </w:hyperlink>
      <w:r w:rsidRPr="00183CAF">
        <w:rPr>
          <w:rStyle w:val="Hyperlink"/>
          <w:color w:val="auto"/>
          <w:u w:val="none"/>
        </w:rPr>
        <w:t>.</w:t>
      </w:r>
    </w:p>
  </w:footnote>
  <w:footnote w:id="8">
    <w:p w14:paraId="2321E2B4" w14:textId="77777777" w:rsidR="004A45A3" w:rsidRPr="00703CBA" w:rsidRDefault="004A45A3" w:rsidP="00346722">
      <w:pPr>
        <w:pStyle w:val="FootnoteText"/>
        <w:jc w:val="left"/>
      </w:pPr>
      <w:r w:rsidRPr="00703CBA">
        <w:rPr>
          <w:rStyle w:val="FootnoteReference"/>
        </w:rPr>
        <w:footnoteRef/>
      </w:r>
      <w:r w:rsidRPr="00703CBA">
        <w:t xml:space="preserve"> </w:t>
      </w:r>
      <w:r w:rsidRPr="00703CBA">
        <w:tab/>
      </w:r>
      <w:hyperlink r:id="rId5" w:history="1">
        <w:r w:rsidRPr="00703CBA">
          <w:rPr>
            <w:rStyle w:val="Hyperlink"/>
          </w:rPr>
          <w:t>EEA</w:t>
        </w:r>
      </w:hyperlink>
      <w:r w:rsidRPr="00183CAF">
        <w:rPr>
          <w:rStyle w:val="Hyperlink"/>
          <w:color w:val="auto"/>
          <w:u w:val="none"/>
        </w:rPr>
        <w:t>.</w:t>
      </w:r>
    </w:p>
  </w:footnote>
  <w:footnote w:id="9">
    <w:p w14:paraId="6602CD75" w14:textId="77777777" w:rsidR="004A45A3" w:rsidRPr="00703CBA" w:rsidRDefault="004A45A3" w:rsidP="00A930DA">
      <w:pPr>
        <w:pStyle w:val="FootnoteText"/>
      </w:pPr>
      <w:r w:rsidRPr="00703CBA">
        <w:rPr>
          <w:rStyle w:val="FootnoteReference"/>
        </w:rPr>
        <w:footnoteRef/>
      </w:r>
      <w:r w:rsidRPr="00703CBA">
        <w:tab/>
      </w:r>
      <w:hyperlink r:id="rId6" w:anchor="Ecologicalfootprint" w:history="1">
        <w:r w:rsidRPr="00703CBA">
          <w:rPr>
            <w:rStyle w:val="Hyperlink"/>
          </w:rPr>
          <w:t>Global Footprint Network</w:t>
        </w:r>
      </w:hyperlink>
      <w:r w:rsidRPr="006931C2">
        <w:rPr>
          <w:rStyle w:val="Hyperlink"/>
          <w:color w:val="auto"/>
          <w:u w:val="none"/>
        </w:rPr>
        <w:t>.</w:t>
      </w:r>
    </w:p>
  </w:footnote>
  <w:footnote w:id="10">
    <w:p w14:paraId="1490F8F1" w14:textId="77777777" w:rsidR="004A45A3" w:rsidRPr="00703CBA" w:rsidRDefault="004A45A3" w:rsidP="00F94354">
      <w:pPr>
        <w:pStyle w:val="FootnoteText"/>
        <w:jc w:val="left"/>
      </w:pPr>
      <w:r w:rsidRPr="00703CBA">
        <w:rPr>
          <w:rStyle w:val="FootnoteReference"/>
        </w:rPr>
        <w:footnoteRef/>
      </w:r>
      <w:r w:rsidRPr="00703CBA">
        <w:t xml:space="preserve"> </w:t>
      </w:r>
      <w:r w:rsidRPr="00703CBA">
        <w:tab/>
        <w:t>Vandermaesen, T</w:t>
      </w:r>
      <w:r>
        <w:t>. a </w:t>
      </w:r>
      <w:r w:rsidRPr="00703CBA">
        <w:t xml:space="preserve">ďalší (2019) </w:t>
      </w:r>
      <w:hyperlink r:id="rId7" w:history="1">
        <w:r w:rsidRPr="00703CBA">
          <w:rPr>
            <w:rStyle w:val="Hyperlink"/>
          </w:rPr>
          <w:t>EU overshoot day – Living beyond nature's limits</w:t>
        </w:r>
      </w:hyperlink>
      <w:r w:rsidRPr="00703CBA">
        <w:t>. WWF.</w:t>
      </w:r>
    </w:p>
  </w:footnote>
  <w:footnote w:id="11">
    <w:p w14:paraId="18AAFD8F" w14:textId="77777777" w:rsidR="004A45A3" w:rsidRPr="00703CBA" w:rsidRDefault="004A45A3" w:rsidP="00F94354">
      <w:pPr>
        <w:pStyle w:val="FootnoteText"/>
      </w:pPr>
      <w:r w:rsidRPr="00703CBA">
        <w:rPr>
          <w:rStyle w:val="FootnoteReference"/>
        </w:rPr>
        <w:footnoteRef/>
      </w:r>
      <w:r w:rsidRPr="00703CBA">
        <w:t xml:space="preserve"> </w:t>
      </w:r>
      <w:r w:rsidRPr="00703CBA">
        <w:tab/>
      </w:r>
      <w:hyperlink r:id="rId8" w:history="1">
        <w:r w:rsidRPr="00703CBA">
          <w:rPr>
            <w:rStyle w:val="Hyperlink"/>
          </w:rPr>
          <w:t>SOER 2020</w:t>
        </w:r>
      </w:hyperlink>
      <w:r w:rsidRPr="006931C2">
        <w:rPr>
          <w:rStyle w:val="Hyperlink"/>
          <w:color w:val="auto"/>
          <w:u w:val="none"/>
        </w:rPr>
        <w:t>.</w:t>
      </w:r>
    </w:p>
  </w:footnote>
  <w:footnote w:id="12">
    <w:p w14:paraId="72CE1FC7" w14:textId="77777777" w:rsidR="004A45A3" w:rsidRPr="00703CBA" w:rsidRDefault="004A45A3" w:rsidP="00F94354">
      <w:pPr>
        <w:pStyle w:val="FootnoteText"/>
      </w:pPr>
      <w:r w:rsidRPr="00703CBA">
        <w:rPr>
          <w:rStyle w:val="FootnoteReference"/>
        </w:rPr>
        <w:footnoteRef/>
      </w:r>
      <w:r w:rsidRPr="00703CBA">
        <w:t xml:space="preserve"> </w:t>
      </w:r>
      <w:r w:rsidRPr="00703CBA">
        <w:tab/>
      </w:r>
      <w:hyperlink r:id="rId9" w:history="1">
        <w:r w:rsidRPr="00703CBA">
          <w:rPr>
            <w:rStyle w:val="Hyperlink"/>
          </w:rPr>
          <w:t>Steffen, W</w:t>
        </w:r>
        <w:r>
          <w:rPr>
            <w:rStyle w:val="Hyperlink"/>
          </w:rPr>
          <w:t>. a </w:t>
        </w:r>
        <w:r w:rsidRPr="00703CBA">
          <w:rPr>
            <w:rStyle w:val="Hyperlink"/>
          </w:rPr>
          <w:t>ďalší, 2015</w:t>
        </w:r>
      </w:hyperlink>
      <w:r w:rsidRPr="006931C2">
        <w:rPr>
          <w:rStyle w:val="Hyperlink"/>
          <w:color w:val="auto"/>
          <w:u w:val="none"/>
        </w:rPr>
        <w:t>.</w:t>
      </w:r>
    </w:p>
  </w:footnote>
  <w:footnote w:id="13">
    <w:p w14:paraId="68A60469" w14:textId="77777777" w:rsidR="004A45A3" w:rsidRPr="00703CBA" w:rsidRDefault="004A45A3" w:rsidP="00E51352">
      <w:pPr>
        <w:pStyle w:val="FootnoteText"/>
        <w:jc w:val="left"/>
      </w:pPr>
      <w:r w:rsidRPr="00703CBA">
        <w:rPr>
          <w:rStyle w:val="FootnoteReference"/>
        </w:rPr>
        <w:footnoteRef/>
      </w:r>
      <w:r w:rsidRPr="00703CBA">
        <w:t xml:space="preserve"> </w:t>
      </w:r>
      <w:r w:rsidRPr="00703CBA">
        <w:tab/>
      </w:r>
      <w:hyperlink r:id="rId10" w:history="1">
        <w:r w:rsidRPr="006931C2">
          <w:rPr>
            <w:rStyle w:val="Hyperlink"/>
          </w:rPr>
          <w:t>Kettunen, M., Gionfra, S. a Monteville, M. (2019). EU circular economy and trade, IEEP Brusel/Londýn</w:t>
        </w:r>
      </w:hyperlink>
      <w:r w:rsidRPr="006931C2">
        <w:rPr>
          <w:rStyle w:val="Hyperlink"/>
          <w:color w:val="auto"/>
          <w:u w:val="none"/>
        </w:rPr>
        <w:t>.</w:t>
      </w:r>
    </w:p>
  </w:footnote>
  <w:footnote w:id="14">
    <w:p w14:paraId="4404185F" w14:textId="77777777" w:rsidR="004A45A3" w:rsidRPr="00703CBA" w:rsidRDefault="004A45A3" w:rsidP="00F94354">
      <w:pPr>
        <w:pStyle w:val="FootnoteText"/>
      </w:pPr>
      <w:r w:rsidRPr="00703CBA">
        <w:rPr>
          <w:rStyle w:val="FootnoteReference"/>
        </w:rPr>
        <w:footnoteRef/>
      </w:r>
      <w:r w:rsidRPr="00703CBA">
        <w:t xml:space="preserve"> </w:t>
      </w:r>
      <w:r w:rsidRPr="00703CBA">
        <w:tab/>
      </w:r>
      <w:hyperlink r:id="rId11" w:history="1">
        <w:r w:rsidRPr="00703CBA">
          <w:rPr>
            <w:rStyle w:val="Hyperlink"/>
          </w:rPr>
          <w:t>EEA</w:t>
        </w:r>
      </w:hyperlink>
      <w:r w:rsidRPr="006931C2">
        <w:rPr>
          <w:rStyle w:val="Hyperlink"/>
          <w:color w:val="auto"/>
          <w:u w:val="none"/>
        </w:rPr>
        <w:t>.</w:t>
      </w:r>
    </w:p>
  </w:footnote>
  <w:footnote w:id="15">
    <w:p w14:paraId="6C27C163" w14:textId="77777777" w:rsidR="004A45A3" w:rsidRPr="00703CBA" w:rsidRDefault="004A45A3" w:rsidP="00F94354">
      <w:pPr>
        <w:pStyle w:val="FootnoteText"/>
        <w:jc w:val="left"/>
      </w:pPr>
      <w:r w:rsidRPr="00703CBA">
        <w:rPr>
          <w:rStyle w:val="FootnoteReference"/>
        </w:rPr>
        <w:footnoteRef/>
      </w:r>
      <w:r w:rsidRPr="00703CBA">
        <w:tab/>
      </w:r>
      <w:hyperlink r:id="rId12" w:anchor="Key_findings" w:history="1">
        <w:r w:rsidRPr="00703CBA">
          <w:rPr>
            <w:rStyle w:val="Hyperlink"/>
          </w:rPr>
          <w:t>Eurostat</w:t>
        </w:r>
      </w:hyperlink>
      <w:r w:rsidRPr="006931C2">
        <w:rPr>
          <w:rStyle w:val="Hyperlink"/>
          <w:color w:val="auto"/>
          <w:u w:val="none"/>
        </w:rPr>
        <w:t>.</w:t>
      </w:r>
    </w:p>
  </w:footnote>
  <w:footnote w:id="16">
    <w:p w14:paraId="4C32DABD" w14:textId="77777777" w:rsidR="004A45A3" w:rsidRPr="00703CBA" w:rsidRDefault="004A45A3" w:rsidP="00F94354">
      <w:pPr>
        <w:pStyle w:val="FootnoteText"/>
        <w:jc w:val="left"/>
      </w:pPr>
      <w:r w:rsidRPr="00703CBA">
        <w:rPr>
          <w:rStyle w:val="FootnoteReference"/>
        </w:rPr>
        <w:footnoteRef/>
      </w:r>
      <w:r w:rsidRPr="00703CBA">
        <w:t xml:space="preserve"> </w:t>
      </w:r>
      <w:r w:rsidRPr="00703CBA">
        <w:tab/>
      </w:r>
      <w:hyperlink r:id="rId13" w:history="1">
        <w:r w:rsidRPr="00703CBA">
          <w:rPr>
            <w:rStyle w:val="Hyperlink"/>
          </w:rPr>
          <w:t>EHK OSN (2018)</w:t>
        </w:r>
      </w:hyperlink>
      <w:r w:rsidRPr="006931C2">
        <w:rPr>
          <w:rStyle w:val="Hyperlink"/>
          <w:color w:val="auto"/>
          <w:u w:val="none"/>
        </w:rPr>
        <w:t>.</w:t>
      </w:r>
    </w:p>
  </w:footnote>
  <w:footnote w:id="17">
    <w:p w14:paraId="55FE7487" w14:textId="77777777" w:rsidR="004A45A3" w:rsidRPr="00703CBA" w:rsidRDefault="004A45A3" w:rsidP="00F94354">
      <w:pPr>
        <w:pStyle w:val="FootnoteText"/>
      </w:pPr>
      <w:r w:rsidRPr="00703CBA">
        <w:rPr>
          <w:rStyle w:val="FootnoteReference"/>
        </w:rPr>
        <w:footnoteRef/>
      </w:r>
      <w:r w:rsidRPr="00703CBA">
        <w:tab/>
      </w:r>
      <w:hyperlink r:id="rId14" w:history="1">
        <w:r w:rsidRPr="006931C2">
          <w:rPr>
            <w:rStyle w:val="Hyperlink"/>
          </w:rPr>
          <w:t>Rijnhout L., Stoczkiewicz M., Bolger M. (2018). Necessities for a Resource Efficient Europe</w:t>
        </w:r>
      </w:hyperlink>
      <w:r w:rsidRPr="006931C2">
        <w:rPr>
          <w:rStyle w:val="Hyperlink"/>
          <w:color w:val="auto"/>
          <w:u w:val="none"/>
        </w:rPr>
        <w:t>.</w:t>
      </w:r>
    </w:p>
  </w:footnote>
  <w:footnote w:id="18">
    <w:p w14:paraId="1DC94027" w14:textId="77777777" w:rsidR="004A45A3" w:rsidRPr="00703CBA" w:rsidRDefault="004A45A3" w:rsidP="00F94354">
      <w:pPr>
        <w:pStyle w:val="FootnoteText"/>
      </w:pPr>
      <w:r w:rsidRPr="00703CBA">
        <w:rPr>
          <w:rStyle w:val="FootnoteReference"/>
        </w:rPr>
        <w:footnoteRef/>
      </w:r>
      <w:r w:rsidRPr="00703CBA">
        <w:t xml:space="preserve"> </w:t>
      </w:r>
      <w:r w:rsidRPr="00703CBA">
        <w:tab/>
        <w:t xml:space="preserve">EEA (2018) </w:t>
      </w:r>
      <w:r>
        <w:t>Waste prevention in Europe.</w:t>
      </w:r>
    </w:p>
  </w:footnote>
  <w:footnote w:id="19">
    <w:p w14:paraId="4CAEDB3A" w14:textId="77777777" w:rsidR="004A45A3" w:rsidRPr="00703CBA" w:rsidRDefault="004A45A3" w:rsidP="00F94354">
      <w:pPr>
        <w:pStyle w:val="FootnoteText"/>
      </w:pPr>
      <w:r w:rsidRPr="00703CBA">
        <w:rPr>
          <w:rStyle w:val="FootnoteReference"/>
        </w:rPr>
        <w:footnoteRef/>
      </w:r>
      <w:r w:rsidRPr="00703CBA">
        <w:t xml:space="preserve"> </w:t>
      </w:r>
      <w:r w:rsidRPr="00703CBA">
        <w:tab/>
        <w:t xml:space="preserve">EEB (2019) </w:t>
      </w:r>
      <w:hyperlink r:id="rId15" w:history="1">
        <w:r w:rsidRPr="00703CBA">
          <w:rPr>
            <w:rStyle w:val="Hyperlink"/>
          </w:rPr>
          <w:t>Cool products don't cost the earth</w:t>
        </w:r>
      </w:hyperlink>
      <w:r w:rsidRPr="006931C2">
        <w:rPr>
          <w:rStyle w:val="Hyperlink"/>
          <w:color w:val="auto"/>
          <w:u w:val="none"/>
        </w:rPr>
        <w:t>.</w:t>
      </w:r>
    </w:p>
  </w:footnote>
  <w:footnote w:id="20">
    <w:p w14:paraId="6B1D2FB6" w14:textId="77777777" w:rsidR="004A45A3" w:rsidRPr="00703CBA" w:rsidRDefault="004A45A3" w:rsidP="00F94354">
      <w:pPr>
        <w:pStyle w:val="FootnoteText"/>
        <w:jc w:val="left"/>
      </w:pPr>
      <w:r w:rsidRPr="00703CBA">
        <w:rPr>
          <w:rStyle w:val="FootnoteReference"/>
        </w:rPr>
        <w:footnoteRef/>
      </w:r>
      <w:r w:rsidRPr="00703CBA">
        <w:t xml:space="preserve"> </w:t>
      </w:r>
      <w:r w:rsidRPr="00703CBA">
        <w:tab/>
      </w:r>
      <w:hyperlink r:id="rId16" w:history="1">
        <w:r w:rsidRPr="00703CBA">
          <w:rPr>
            <w:rStyle w:val="Hyperlink"/>
          </w:rPr>
          <w:t>OECD (2019)</w:t>
        </w:r>
      </w:hyperlink>
      <w:r w:rsidRPr="00D048B2">
        <w:rPr>
          <w:rStyle w:val="Hyperlink"/>
          <w:color w:val="auto"/>
          <w:u w:val="none"/>
        </w:rPr>
        <w:t>.</w:t>
      </w:r>
    </w:p>
  </w:footnote>
  <w:footnote w:id="21">
    <w:p w14:paraId="59BC4BAE" w14:textId="77777777" w:rsidR="004A45A3" w:rsidRPr="00703CBA" w:rsidRDefault="004A45A3" w:rsidP="00F94354">
      <w:pPr>
        <w:pStyle w:val="FootnoteText"/>
      </w:pPr>
      <w:r w:rsidRPr="00703CBA">
        <w:rPr>
          <w:rStyle w:val="FootnoteReference"/>
        </w:rPr>
        <w:footnoteRef/>
      </w:r>
      <w:r w:rsidRPr="00703CBA">
        <w:t xml:space="preserve"> </w:t>
      </w:r>
      <w:r w:rsidRPr="00703CBA">
        <w:tab/>
        <w:t>Zink, T</w:t>
      </w:r>
      <w:r>
        <w:t>. a </w:t>
      </w:r>
      <w:r w:rsidRPr="00703CBA">
        <w:t>Geyer, R. (2017).</w:t>
      </w:r>
    </w:p>
  </w:footnote>
  <w:footnote w:id="22">
    <w:p w14:paraId="27B04813" w14:textId="77777777" w:rsidR="004A45A3" w:rsidRPr="00703CBA" w:rsidRDefault="004A45A3">
      <w:pPr>
        <w:pStyle w:val="FootnoteText"/>
      </w:pPr>
      <w:r w:rsidRPr="00703CBA">
        <w:rPr>
          <w:rStyle w:val="FootnoteReference"/>
        </w:rPr>
        <w:footnoteRef/>
      </w:r>
      <w:r w:rsidRPr="00703CBA">
        <w:t xml:space="preserve"> </w:t>
      </w:r>
      <w:r w:rsidRPr="00703CBA">
        <w:tab/>
      </w:r>
      <w:hyperlink r:id="rId17" w:history="1">
        <w:r w:rsidRPr="00703CBA">
          <w:rPr>
            <w:rStyle w:val="Hyperlink"/>
          </w:rPr>
          <w:t>Prieskum Eurobarometra, bezpečnosť potravín, jún 2019</w:t>
        </w:r>
      </w:hyperlink>
      <w:r w:rsidRPr="00703CBA">
        <w:t>.</w:t>
      </w:r>
    </w:p>
  </w:footnote>
  <w:footnote w:id="23">
    <w:p w14:paraId="30C9D007" w14:textId="77777777" w:rsidR="004A45A3" w:rsidRPr="00703CBA" w:rsidRDefault="004A45A3" w:rsidP="00F5743E">
      <w:pPr>
        <w:pStyle w:val="FootnoteText"/>
      </w:pPr>
      <w:r w:rsidRPr="00703CBA">
        <w:rPr>
          <w:rStyle w:val="FootnoteReference"/>
        </w:rPr>
        <w:footnoteRef/>
      </w:r>
      <w:r w:rsidRPr="00703CBA">
        <w:t xml:space="preserve"> </w:t>
      </w:r>
      <w:r w:rsidRPr="00703CBA">
        <w:tab/>
      </w:r>
      <w:hyperlink r:id="rId18" w:history="1">
        <w:r w:rsidRPr="00703CBA">
          <w:rPr>
            <w:rStyle w:val="Hyperlink"/>
          </w:rPr>
          <w:t>The external costs of banana production</w:t>
        </w:r>
      </w:hyperlink>
      <w:r w:rsidRPr="00D048B2">
        <w:rPr>
          <w:rStyle w:val="Hyperlink"/>
          <w:color w:val="auto"/>
          <w:u w:val="none"/>
        </w:rPr>
        <w:t>.</w:t>
      </w:r>
    </w:p>
  </w:footnote>
  <w:footnote w:id="24">
    <w:p w14:paraId="493E6F30" w14:textId="77777777" w:rsidR="004A45A3" w:rsidRPr="00703CBA" w:rsidRDefault="004A45A3">
      <w:pPr>
        <w:pStyle w:val="FootnoteText"/>
      </w:pPr>
      <w:r w:rsidRPr="00703CBA">
        <w:rPr>
          <w:rStyle w:val="FootnoteReference"/>
        </w:rPr>
        <w:footnoteRef/>
      </w:r>
      <w:r w:rsidRPr="00703CBA">
        <w:t xml:space="preserve"> </w:t>
      </w:r>
      <w:r w:rsidRPr="00703CBA">
        <w:tab/>
        <w:t>Pigou, A. C. (1920). The Economics of Welfare.</w:t>
      </w:r>
    </w:p>
  </w:footnote>
  <w:footnote w:id="25">
    <w:p w14:paraId="7B3C6BAF" w14:textId="77777777" w:rsidR="004A45A3" w:rsidRPr="00703CBA" w:rsidRDefault="004A45A3">
      <w:pPr>
        <w:pStyle w:val="FootnoteText"/>
      </w:pPr>
      <w:r w:rsidRPr="00703CBA">
        <w:rPr>
          <w:rStyle w:val="FootnoteReference"/>
        </w:rPr>
        <w:footnoteRef/>
      </w:r>
      <w:r w:rsidRPr="00703CBA">
        <w:t xml:space="preserve"> </w:t>
      </w:r>
      <w:r w:rsidRPr="00703CBA">
        <w:tab/>
        <w:t xml:space="preserve">EK </w:t>
      </w:r>
      <w:hyperlink r:id="rId19" w:history="1">
        <w:r w:rsidRPr="00703CBA">
          <w:rPr>
            <w:rStyle w:val="Hyperlink"/>
          </w:rPr>
          <w:t>Stratégia implementácie internalizácie externých nákladov</w:t>
        </w:r>
      </w:hyperlink>
      <w:r w:rsidRPr="00703CBA">
        <w:t xml:space="preserve"> COM(2008) 435 final.</w:t>
      </w:r>
    </w:p>
  </w:footnote>
  <w:footnote w:id="26">
    <w:p w14:paraId="57FC2450" w14:textId="77777777" w:rsidR="004A45A3" w:rsidRPr="00703CBA" w:rsidRDefault="004A45A3">
      <w:pPr>
        <w:pStyle w:val="FootnoteText"/>
        <w:rPr>
          <w:u w:val="single"/>
        </w:rPr>
      </w:pPr>
      <w:r w:rsidRPr="00703CBA">
        <w:rPr>
          <w:rStyle w:val="FootnoteReference"/>
        </w:rPr>
        <w:footnoteRef/>
      </w:r>
      <w:r w:rsidRPr="00703CBA">
        <w:t xml:space="preserve"> </w:t>
      </w:r>
      <w:r w:rsidRPr="00703CBA">
        <w:tab/>
      </w:r>
      <w:hyperlink r:id="rId20" w:anchor="Environmental_taxes_in_the_EU" w:history="1">
        <w:r w:rsidRPr="00703CBA">
          <w:rPr>
            <w:rStyle w:val="Hyperlink"/>
          </w:rPr>
          <w:t>Eurostat</w:t>
        </w:r>
      </w:hyperlink>
      <w:r w:rsidRPr="00D048B2">
        <w:rPr>
          <w:rStyle w:val="Hyperlink"/>
          <w:color w:val="auto"/>
          <w:u w:val="none"/>
        </w:rPr>
        <w:t>.</w:t>
      </w:r>
    </w:p>
  </w:footnote>
  <w:footnote w:id="27">
    <w:p w14:paraId="7F0A081F" w14:textId="0283295E" w:rsidR="004A45A3" w:rsidRPr="00703CBA" w:rsidRDefault="004A45A3">
      <w:pPr>
        <w:pStyle w:val="FootnoteText"/>
      </w:pPr>
      <w:r w:rsidRPr="00703CBA">
        <w:rPr>
          <w:rStyle w:val="FootnoteReference"/>
        </w:rPr>
        <w:footnoteRef/>
      </w:r>
      <w:r w:rsidRPr="00703CBA">
        <w:t xml:space="preserve"> </w:t>
      </w:r>
      <w:r w:rsidRPr="00703CBA">
        <w:tab/>
      </w:r>
      <w:hyperlink r:id="rId21" w:history="1">
        <w:r w:rsidRPr="00703CBA">
          <w:rPr>
            <w:rStyle w:val="Hyperlink"/>
          </w:rPr>
          <w:t>Competition Policy and Sustainability: A study of industry attitudes towar</w:t>
        </w:r>
        <w:bookmarkStart w:id="0" w:name="_GoBack"/>
        <w:bookmarkEnd w:id="0"/>
        <w:r w:rsidRPr="00703CBA">
          <w:rPr>
            <w:rStyle w:val="Hyperlink"/>
          </w:rPr>
          <w:t>d</w:t>
        </w:r>
        <w:r w:rsidRPr="00703CBA">
          <w:rPr>
            <w:rStyle w:val="Hyperlink"/>
          </w:rPr>
          <w:t>s multi-stakeholder collaboration in the UK grocery sector - Fairtrade Foundation.</w:t>
        </w:r>
      </w:hyperlink>
      <w:hyperlink r:id="rId22" w:history="1">
        <w:r w:rsidRPr="000172F0">
          <w:t xml:space="preserve"> Londýn, Spojené kráľovstvo, Apríl 2019</w:t>
        </w:r>
        <w:r w:rsidRPr="00D048B2">
          <w:rPr>
            <w:rStyle w:val="Hyperlink"/>
            <w:color w:val="auto"/>
            <w:u w:val="none"/>
          </w:rPr>
          <w:t>.</w:t>
        </w:r>
      </w:hyperlink>
    </w:p>
  </w:footnote>
  <w:footnote w:id="28">
    <w:p w14:paraId="3EE67F27" w14:textId="77777777" w:rsidR="004A45A3" w:rsidRPr="00703CBA" w:rsidRDefault="004A45A3" w:rsidP="007C7404">
      <w:pPr>
        <w:pStyle w:val="FootnoteText"/>
      </w:pPr>
      <w:r w:rsidRPr="00703CBA">
        <w:rPr>
          <w:rStyle w:val="FootnoteReference"/>
        </w:rPr>
        <w:footnoteRef/>
      </w:r>
      <w:r w:rsidRPr="00703CBA">
        <w:t xml:space="preserve"> </w:t>
      </w:r>
      <w:r w:rsidRPr="00703CBA">
        <w:tab/>
      </w:r>
      <w:hyperlink r:id="rId23" w:history="1">
        <w:r w:rsidRPr="00703CBA">
          <w:rPr>
            <w:rStyle w:val="Hyperlink"/>
          </w:rPr>
          <w:t>Smernica 2014/24/EÚ</w:t>
        </w:r>
      </w:hyperlink>
      <w:r w:rsidRPr="00D048B2">
        <w:rPr>
          <w:rStyle w:val="Hyperlink"/>
          <w:color w:val="auto"/>
          <w:u w:val="none"/>
        </w:rPr>
        <w:t>.</w:t>
      </w:r>
    </w:p>
  </w:footnote>
  <w:footnote w:id="29">
    <w:p w14:paraId="2BA8D89B" w14:textId="77777777" w:rsidR="004A45A3" w:rsidRPr="00703CBA" w:rsidRDefault="004A45A3" w:rsidP="007C7404">
      <w:pPr>
        <w:pStyle w:val="FootnoteText"/>
      </w:pPr>
      <w:r w:rsidRPr="00703CBA">
        <w:rPr>
          <w:rStyle w:val="FootnoteReference"/>
        </w:rPr>
        <w:footnoteRef/>
      </w:r>
      <w:r w:rsidRPr="00703CBA">
        <w:t xml:space="preserve"> </w:t>
      </w:r>
      <w:r w:rsidRPr="00703CBA">
        <w:tab/>
      </w:r>
      <w:hyperlink r:id="rId24" w:history="1">
        <w:r w:rsidRPr="00703CBA">
          <w:rPr>
            <w:rStyle w:val="Hyperlink"/>
          </w:rPr>
          <w:t>EC Buying Green Handbook</w:t>
        </w:r>
      </w:hyperlink>
      <w:r w:rsidRPr="00D048B2">
        <w:rPr>
          <w:rStyle w:val="Hyperlink"/>
          <w:color w:val="auto"/>
          <w:u w:val="none"/>
        </w:rPr>
        <w:t>.</w:t>
      </w:r>
    </w:p>
  </w:footnote>
  <w:footnote w:id="30">
    <w:p w14:paraId="078A7932" w14:textId="77777777" w:rsidR="004A45A3" w:rsidRPr="00703CBA" w:rsidRDefault="004A45A3" w:rsidP="007C7404">
      <w:pPr>
        <w:pStyle w:val="FootnoteText"/>
      </w:pPr>
      <w:r w:rsidRPr="00703CBA">
        <w:rPr>
          <w:rStyle w:val="FootnoteReference"/>
        </w:rPr>
        <w:footnoteRef/>
      </w:r>
      <w:r w:rsidRPr="00703CBA">
        <w:t xml:space="preserve"> </w:t>
      </w:r>
      <w:r w:rsidRPr="00703CBA">
        <w:tab/>
      </w:r>
      <w:hyperlink r:id="rId25" w:history="1">
        <w:r w:rsidRPr="00703CBA">
          <w:rPr>
            <w:rStyle w:val="Hyperlink"/>
          </w:rPr>
          <w:t>EK Sociálne nakupovanie</w:t>
        </w:r>
      </w:hyperlink>
      <w:r w:rsidRPr="00D048B2">
        <w:rPr>
          <w:rStyle w:val="Hyperlink"/>
          <w:color w:val="auto"/>
          <w:u w:val="none"/>
        </w:rPr>
        <w:t>.</w:t>
      </w:r>
    </w:p>
  </w:footnote>
  <w:footnote w:id="31">
    <w:p w14:paraId="66582032" w14:textId="77777777" w:rsidR="004A45A3" w:rsidRPr="00703CBA" w:rsidRDefault="004A45A3" w:rsidP="007C7404">
      <w:pPr>
        <w:pStyle w:val="FootnoteText"/>
      </w:pPr>
      <w:r w:rsidRPr="00703CBA">
        <w:rPr>
          <w:rStyle w:val="FootnoteReference"/>
        </w:rPr>
        <w:footnoteRef/>
      </w:r>
      <w:r w:rsidRPr="00703CBA">
        <w:t xml:space="preserve"> </w:t>
      </w:r>
      <w:r w:rsidRPr="00703CBA">
        <w:tab/>
      </w:r>
      <w:hyperlink r:id="rId26" w:history="1">
        <w:r w:rsidRPr="00703CBA">
          <w:rPr>
            <w:rStyle w:val="Hyperlink"/>
          </w:rPr>
          <w:t>Oznámenie Komisie – Usmernenie</w:t>
        </w:r>
        <w:r>
          <w:rPr>
            <w:rStyle w:val="Hyperlink"/>
          </w:rPr>
          <w:t xml:space="preserve"> k </w:t>
        </w:r>
        <w:r w:rsidRPr="00703CBA">
          <w:rPr>
            <w:rStyle w:val="Hyperlink"/>
          </w:rPr>
          <w:t>inovačnému obstarávaniu (2018)</w:t>
        </w:r>
      </w:hyperlink>
      <w:r w:rsidRPr="00703CBA">
        <w:t>.</w:t>
      </w:r>
    </w:p>
  </w:footnote>
  <w:footnote w:id="32">
    <w:p w14:paraId="5DD7FE5F" w14:textId="77777777" w:rsidR="004A45A3" w:rsidRPr="00703CBA" w:rsidRDefault="004A45A3" w:rsidP="00DB1A73">
      <w:pPr>
        <w:pStyle w:val="FootnoteText"/>
      </w:pPr>
      <w:r w:rsidRPr="00703CBA">
        <w:rPr>
          <w:rStyle w:val="FootnoteReference"/>
        </w:rPr>
        <w:footnoteRef/>
      </w:r>
      <w:r>
        <w:t xml:space="preserve"> </w:t>
      </w:r>
      <w:r>
        <w:tab/>
        <w:t>T. </w:t>
      </w:r>
      <w:r w:rsidRPr="00703CBA">
        <w:t>j. konkrétne zmeny</w:t>
      </w:r>
      <w:r>
        <w:t xml:space="preserve"> v </w:t>
      </w:r>
      <w:r w:rsidRPr="00703CBA">
        <w:t xml:space="preserve">správaní, na rozdiel od deklarovanej ochoty ľudí zmeniť správanie (výskum na túto tému zhrnul </w:t>
      </w:r>
      <w:hyperlink r:id="rId27" w:history="1">
        <w:r w:rsidRPr="00703CBA">
          <w:rPr>
            <w:rStyle w:val="Hyperlink"/>
          </w:rPr>
          <w:t>LE Europe</w:t>
        </w:r>
        <w:r>
          <w:rPr>
            <w:rStyle w:val="Hyperlink"/>
          </w:rPr>
          <w:t xml:space="preserve"> a </w:t>
        </w:r>
        <w:r w:rsidRPr="00703CBA">
          <w:rPr>
            <w:rStyle w:val="Hyperlink"/>
          </w:rPr>
          <w:t>ďalší (2018)</w:t>
        </w:r>
      </w:hyperlink>
      <w:r w:rsidRPr="00703CBA">
        <w:t>)</w:t>
      </w:r>
      <w:r>
        <w:t>.</w:t>
      </w:r>
    </w:p>
  </w:footnote>
  <w:footnote w:id="33">
    <w:p w14:paraId="4246650B" w14:textId="77777777" w:rsidR="004A45A3" w:rsidRPr="00703CBA" w:rsidRDefault="004A45A3" w:rsidP="00DB1A73">
      <w:pPr>
        <w:pStyle w:val="FootnoteText"/>
      </w:pPr>
      <w:r w:rsidRPr="00703CBA">
        <w:rPr>
          <w:rStyle w:val="FootnoteReference"/>
        </w:rPr>
        <w:footnoteRef/>
      </w:r>
      <w:r w:rsidRPr="00703CBA">
        <w:t xml:space="preserve"> </w:t>
      </w:r>
      <w:r w:rsidRPr="00703CBA">
        <w:tab/>
        <w:t>LE Europe, VVA Europe, Ipsos, ConPolicy and Trinomics (2018).</w:t>
      </w:r>
    </w:p>
  </w:footnote>
  <w:footnote w:id="34">
    <w:p w14:paraId="219F2B5E" w14:textId="77777777" w:rsidR="004A45A3" w:rsidRPr="00703CBA" w:rsidRDefault="004A45A3">
      <w:pPr>
        <w:pStyle w:val="FootnoteText"/>
      </w:pPr>
      <w:r w:rsidRPr="00703CBA">
        <w:rPr>
          <w:rStyle w:val="FootnoteReference"/>
        </w:rPr>
        <w:footnoteRef/>
      </w:r>
      <w:r>
        <w:tab/>
        <w:t>Pozri poznámku pod čiarou č. </w:t>
      </w:r>
      <w:r w:rsidRPr="00703CBA">
        <w:t>1.</w:t>
      </w:r>
    </w:p>
  </w:footnote>
  <w:footnote w:id="35">
    <w:p w14:paraId="724F7CDA" w14:textId="77777777" w:rsidR="004A45A3" w:rsidRPr="00703CBA" w:rsidRDefault="004A45A3" w:rsidP="00DB1A73">
      <w:pPr>
        <w:pStyle w:val="FootnoteText"/>
      </w:pPr>
      <w:r w:rsidRPr="00703CBA">
        <w:rPr>
          <w:rStyle w:val="FootnoteReference"/>
        </w:rPr>
        <w:footnoteRef/>
      </w:r>
      <w:r w:rsidRPr="00703CBA">
        <w:t xml:space="preserve"> </w:t>
      </w:r>
      <w:r w:rsidRPr="00703CBA">
        <w:tab/>
      </w:r>
      <w:hyperlink r:id="rId28" w:history="1">
        <w:r w:rsidRPr="00703CBA">
          <w:rPr>
            <w:rStyle w:val="Hyperlink"/>
          </w:rPr>
          <w:t>EEA</w:t>
        </w:r>
      </w:hyperlink>
      <w:r w:rsidRPr="004A45A3">
        <w:rPr>
          <w:rStyle w:val="Hyperlink"/>
          <w:color w:val="auto"/>
          <w:u w:val="none"/>
        </w:rPr>
        <w:t>.</w:t>
      </w:r>
    </w:p>
  </w:footnote>
  <w:footnote w:id="36">
    <w:p w14:paraId="6E75B0E0" w14:textId="77777777" w:rsidR="004A45A3" w:rsidRPr="00703CBA" w:rsidRDefault="004A45A3" w:rsidP="00DB1A73">
      <w:pPr>
        <w:pStyle w:val="FootnoteText"/>
      </w:pPr>
      <w:r w:rsidRPr="00703CBA">
        <w:rPr>
          <w:rStyle w:val="FootnoteReference"/>
        </w:rPr>
        <w:footnoteRef/>
      </w:r>
      <w:r w:rsidRPr="00703CBA">
        <w:t xml:space="preserve"> </w:t>
      </w:r>
      <w:r w:rsidRPr="00703CBA">
        <w:tab/>
      </w:r>
      <w:hyperlink r:id="rId29" w:history="1">
        <w:r w:rsidRPr="00703CBA">
          <w:rPr>
            <w:rStyle w:val="Hyperlink"/>
          </w:rPr>
          <w:t>BEUC (2020)</w:t>
        </w:r>
      </w:hyperlink>
      <w:r>
        <w:t>.</w:t>
      </w:r>
    </w:p>
  </w:footnote>
  <w:footnote w:id="37">
    <w:p w14:paraId="340F80FB" w14:textId="77777777" w:rsidR="004A45A3" w:rsidRPr="00703CBA" w:rsidRDefault="004A45A3" w:rsidP="00DB1A73">
      <w:pPr>
        <w:pStyle w:val="FootnoteText"/>
      </w:pPr>
      <w:r w:rsidRPr="00703CBA">
        <w:rPr>
          <w:rStyle w:val="FootnoteReference"/>
        </w:rPr>
        <w:footnoteRef/>
      </w:r>
      <w:r w:rsidRPr="00703CBA">
        <w:t xml:space="preserve"> </w:t>
      </w:r>
      <w:r w:rsidRPr="00703CBA">
        <w:tab/>
        <w:t>NAT/765.</w:t>
      </w:r>
    </w:p>
  </w:footnote>
  <w:footnote w:id="38">
    <w:p w14:paraId="51D3DD8C" w14:textId="77777777" w:rsidR="004A45A3" w:rsidRPr="00703CBA" w:rsidRDefault="004A45A3" w:rsidP="00DB1A73">
      <w:pPr>
        <w:pStyle w:val="FootnoteText"/>
        <w:jc w:val="left"/>
      </w:pPr>
      <w:r w:rsidRPr="00703CBA">
        <w:rPr>
          <w:rStyle w:val="FootnoteReference"/>
        </w:rPr>
        <w:footnoteRef/>
      </w:r>
      <w:r w:rsidRPr="00703CBA">
        <w:t xml:space="preserve"> </w:t>
      </w:r>
      <w:r w:rsidRPr="00703CBA">
        <w:tab/>
      </w:r>
      <w:hyperlink r:id="rId30" w:history="1">
        <w:r w:rsidRPr="00703CBA">
          <w:rPr>
            <w:rStyle w:val="Hyperlink"/>
          </w:rPr>
          <w:t>Rijnhout, Stoczkiewicz, Bolger (2018)</w:t>
        </w:r>
      </w:hyperlink>
      <w:r>
        <w:t>.</w:t>
      </w:r>
    </w:p>
  </w:footnote>
  <w:footnote w:id="39">
    <w:p w14:paraId="47E71ED2" w14:textId="77777777" w:rsidR="004A45A3" w:rsidRPr="00703CBA" w:rsidRDefault="004A45A3" w:rsidP="00DB1A73">
      <w:pPr>
        <w:pStyle w:val="FootnoteText"/>
      </w:pPr>
      <w:r w:rsidRPr="00703CBA">
        <w:rPr>
          <w:rStyle w:val="FootnoteReference"/>
        </w:rPr>
        <w:footnoteRef/>
      </w:r>
      <w:r w:rsidRPr="00703CBA">
        <w:t xml:space="preserve"> </w:t>
      </w:r>
      <w:r w:rsidRPr="00703CBA">
        <w:tab/>
        <w:t>Ellen MacArthur Foundation (2019).</w:t>
      </w:r>
    </w:p>
  </w:footnote>
  <w:footnote w:id="40">
    <w:p w14:paraId="08964BC3" w14:textId="77777777" w:rsidR="004A45A3" w:rsidRPr="00703CBA" w:rsidRDefault="004A45A3" w:rsidP="00B4278B">
      <w:pPr>
        <w:pStyle w:val="FootnoteText"/>
        <w:spacing w:after="0"/>
        <w:jc w:val="left"/>
      </w:pPr>
      <w:r w:rsidRPr="00703CBA">
        <w:rPr>
          <w:rStyle w:val="FootnoteReference"/>
        </w:rPr>
        <w:footnoteRef/>
      </w:r>
      <w:r w:rsidRPr="00703CBA">
        <w:tab/>
      </w:r>
      <w:hyperlink r:id="rId31" w:history="1">
        <w:r w:rsidRPr="004A45A3">
          <w:rPr>
            <w:rStyle w:val="Hyperlink"/>
          </w:rPr>
          <w:t>Ú. v. EÚ C 190, 5.6.2019, s. 9</w:t>
        </w:r>
        <w:r w:rsidRPr="004A45A3">
          <w:rPr>
            <w:rStyle w:val="Hyperlink"/>
            <w:color w:val="auto"/>
            <w:u w:val="none"/>
          </w:rPr>
          <w:t>.</w:t>
        </w:r>
      </w:hyperlink>
    </w:p>
  </w:footnote>
  <w:footnote w:id="41">
    <w:p w14:paraId="08E539C8" w14:textId="77777777" w:rsidR="004A45A3" w:rsidRPr="00703CBA" w:rsidRDefault="004A45A3" w:rsidP="00DB1A73">
      <w:pPr>
        <w:pStyle w:val="FootnoteText"/>
      </w:pPr>
      <w:r w:rsidRPr="00703CBA">
        <w:rPr>
          <w:rStyle w:val="FootnoteReference"/>
        </w:rPr>
        <w:footnoteRef/>
      </w:r>
      <w:r w:rsidRPr="00703CBA">
        <w:t xml:space="preserve"> </w:t>
      </w:r>
      <w:r w:rsidRPr="00703CBA">
        <w:tab/>
        <w:t>Gerritsen, E</w:t>
      </w:r>
      <w:r>
        <w:t>. a </w:t>
      </w:r>
      <w:r w:rsidRPr="00703CBA">
        <w:t xml:space="preserve">Underwood, E. (2019) </w:t>
      </w:r>
      <w:hyperlink r:id="rId32" w:history="1">
        <w:r w:rsidRPr="00703CBA">
          <w:rPr>
            <w:rStyle w:val="Hyperlink"/>
          </w:rPr>
          <w:t>What the Green Deal means for Europe's biodiversity</w:t>
        </w:r>
      </w:hyperlink>
      <w:r w:rsidRPr="00703CBA">
        <w:t>. Allen, B</w:t>
      </w:r>
      <w:r>
        <w:t>. a </w:t>
      </w:r>
      <w:r w:rsidR="006527F1">
        <w:t>Charveriat, </w:t>
      </w:r>
      <w:r w:rsidRPr="00703CBA">
        <w:t xml:space="preserve">C. (2018) </w:t>
      </w:r>
      <w:hyperlink r:id="rId33" w:history="1">
        <w:r w:rsidR="006527F1">
          <w:rPr>
            <w:rStyle w:val="Hyperlink"/>
          </w:rPr>
          <w:t>A </w:t>
        </w:r>
        <w:r w:rsidRPr="00703CBA">
          <w:rPr>
            <w:rStyle w:val="Hyperlink"/>
          </w:rPr>
          <w:t>meaty challenge</w:t>
        </w:r>
      </w:hyperlink>
      <w:r w:rsidRPr="00703CBA">
        <w:t>. IEEP, Brusel.</w:t>
      </w:r>
    </w:p>
  </w:footnote>
  <w:footnote w:id="42">
    <w:p w14:paraId="5CE65B23" w14:textId="77777777" w:rsidR="004A45A3" w:rsidRPr="00703CBA" w:rsidRDefault="004A45A3" w:rsidP="009D1E67">
      <w:pPr>
        <w:pStyle w:val="FootnoteText"/>
        <w:keepNext/>
        <w:keepLines w:val="0"/>
        <w:spacing w:after="0" w:line="288" w:lineRule="auto"/>
        <w:outlineLvl w:val="0"/>
      </w:pPr>
      <w:r w:rsidRPr="00703CBA">
        <w:rPr>
          <w:rStyle w:val="FootnoteReference"/>
        </w:rPr>
        <w:footnoteRef/>
      </w:r>
      <w:r w:rsidRPr="00703CBA">
        <w:t xml:space="preserve"> </w:t>
      </w:r>
      <w:r w:rsidRPr="00703CBA">
        <w:tab/>
      </w:r>
      <w:hyperlink r:id="rId34" w:history="1">
        <w:r w:rsidRPr="006527F1">
          <w:rPr>
            <w:rStyle w:val="Hyperlink"/>
          </w:rPr>
          <w:t>Ú. v. EÚ C 81, 2.3.2018, s. 22</w:t>
        </w:r>
      </w:hyperlink>
      <w:r w:rsidRPr="00703CBA">
        <w:t>.</w:t>
      </w:r>
    </w:p>
  </w:footnote>
  <w:footnote w:id="43">
    <w:p w14:paraId="0C43315F" w14:textId="77777777" w:rsidR="004A45A3" w:rsidRPr="00703CBA" w:rsidRDefault="004A45A3">
      <w:pPr>
        <w:pStyle w:val="FootnoteText"/>
      </w:pPr>
      <w:r w:rsidRPr="00703CBA">
        <w:rPr>
          <w:rStyle w:val="FootnoteReference"/>
        </w:rPr>
        <w:footnoteRef/>
      </w:r>
      <w:r w:rsidRPr="00703CBA">
        <w:t xml:space="preserve"> </w:t>
      </w:r>
      <w:r w:rsidRPr="00703CBA">
        <w:tab/>
      </w:r>
      <w:hyperlink r:id="rId35" w:history="1">
        <w:r w:rsidRPr="00703CBA">
          <w:rPr>
            <w:rStyle w:val="Hyperlink"/>
          </w:rPr>
          <w:t>IEEP &amp; FEPS</w:t>
        </w:r>
      </w:hyperlink>
      <w:r w:rsidR="006527F1" w:rsidRPr="006527F1">
        <w:rPr>
          <w:rStyle w:val="Hyperlink"/>
          <w:color w:val="auto"/>
          <w:u w:val="none"/>
        </w:rPr>
        <w:t>.</w:t>
      </w:r>
    </w:p>
  </w:footnote>
  <w:footnote w:id="44">
    <w:p w14:paraId="08C9D352" w14:textId="77777777" w:rsidR="004A45A3" w:rsidRPr="00703CBA" w:rsidRDefault="004A45A3">
      <w:pPr>
        <w:pStyle w:val="FootnoteText"/>
      </w:pPr>
      <w:r w:rsidRPr="00703CBA">
        <w:rPr>
          <w:rStyle w:val="FootnoteReference"/>
        </w:rPr>
        <w:footnoteRef/>
      </w:r>
      <w:r w:rsidRPr="00703CBA">
        <w:t xml:space="preserve"> </w:t>
      </w:r>
      <w:r w:rsidRPr="00703CBA">
        <w:tab/>
      </w:r>
      <w:hyperlink r:id="rId36" w:history="1">
        <w:r w:rsidR="006527F1" w:rsidRPr="006527F1">
          <w:rPr>
            <w:rStyle w:val="Hyperlink"/>
          </w:rPr>
          <w:t>Ú. v. </w:t>
        </w:r>
        <w:r w:rsidRPr="006527F1">
          <w:rPr>
            <w:rStyle w:val="Hyperlink"/>
          </w:rPr>
          <w:t>EÚ</w:t>
        </w:r>
        <w:r w:rsidR="006527F1" w:rsidRPr="006527F1">
          <w:rPr>
            <w:rStyle w:val="Hyperlink"/>
          </w:rPr>
          <w:t> </w:t>
        </w:r>
        <w:r w:rsidRPr="006527F1">
          <w:rPr>
            <w:rStyle w:val="Hyperlink"/>
          </w:rPr>
          <w:t>C</w:t>
        </w:r>
        <w:r w:rsidR="006527F1" w:rsidRPr="006527F1">
          <w:rPr>
            <w:rStyle w:val="Hyperlink"/>
          </w:rPr>
          <w:t> </w:t>
        </w:r>
        <w:r w:rsidRPr="006527F1">
          <w:rPr>
            <w:rStyle w:val="Hyperlink"/>
          </w:rPr>
          <w:t>67, 6.3.2014, s. 23</w:t>
        </w:r>
      </w:hyperlink>
      <w:r w:rsidR="006527F1" w:rsidRPr="006527F1">
        <w:rPr>
          <w:rStyle w:val="Hyperlink"/>
          <w:color w:val="auto"/>
          <w:u w:val="none"/>
        </w:rPr>
        <w:t>.</w:t>
      </w:r>
    </w:p>
  </w:footnote>
  <w:footnote w:id="45">
    <w:p w14:paraId="41BCA10B" w14:textId="77777777" w:rsidR="004A45A3" w:rsidRPr="00703CBA" w:rsidRDefault="004A45A3" w:rsidP="006037C6">
      <w:pPr>
        <w:pStyle w:val="FootnoteText"/>
      </w:pPr>
      <w:r w:rsidRPr="00703CBA">
        <w:rPr>
          <w:rStyle w:val="FootnoteReference"/>
        </w:rPr>
        <w:footnoteRef/>
      </w:r>
      <w:r w:rsidRPr="00703CBA">
        <w:t xml:space="preserve"> </w:t>
      </w:r>
      <w:r w:rsidRPr="00703CBA">
        <w:tab/>
      </w:r>
      <w:hyperlink r:id="rId37" w:history="1">
        <w:r w:rsidRPr="00703CBA">
          <w:rPr>
            <w:rStyle w:val="Hyperlink"/>
          </w:rPr>
          <w:t>Správa IMCO</w:t>
        </w:r>
      </w:hyperlink>
      <w:r w:rsidR="006527F1" w:rsidRPr="006527F1">
        <w:rPr>
          <w:rStyle w:val="Hyperlink"/>
          <w:color w:val="auto"/>
          <w:u w:val="none"/>
        </w:rPr>
        <w:t>.</w:t>
      </w:r>
    </w:p>
  </w:footnote>
  <w:footnote w:id="46">
    <w:p w14:paraId="7C7AFBEF" w14:textId="77777777" w:rsidR="004A45A3" w:rsidRPr="00703CBA" w:rsidRDefault="004A45A3" w:rsidP="001848B9">
      <w:pPr>
        <w:pStyle w:val="FootnoteText"/>
      </w:pPr>
      <w:r w:rsidRPr="00703CBA">
        <w:rPr>
          <w:rStyle w:val="FootnoteReference"/>
        </w:rPr>
        <w:footnoteRef/>
      </w:r>
      <w:r w:rsidRPr="00703CBA">
        <w:tab/>
      </w:r>
      <w:hyperlink r:id="rId38" w:history="1">
        <w:r w:rsidRPr="006527F1">
          <w:rPr>
            <w:rStyle w:val="Hyperlink"/>
          </w:rPr>
          <w:t>Ú. v. EÚ C 440, 6.12.2018, s. 165</w:t>
        </w:r>
      </w:hyperlink>
      <w:r w:rsidRPr="00703CBA">
        <w:t>.</w:t>
      </w:r>
    </w:p>
  </w:footnote>
  <w:footnote w:id="47">
    <w:p w14:paraId="151FF0F8" w14:textId="77777777" w:rsidR="004A45A3" w:rsidRPr="00703CBA" w:rsidRDefault="004A45A3" w:rsidP="00477960">
      <w:pPr>
        <w:pStyle w:val="FootnoteText"/>
      </w:pPr>
      <w:r w:rsidRPr="00703CBA">
        <w:rPr>
          <w:rStyle w:val="FootnoteReference"/>
        </w:rPr>
        <w:footnoteRef/>
      </w:r>
      <w:r w:rsidRPr="00703CBA">
        <w:t xml:space="preserve"> </w:t>
      </w:r>
      <w:r w:rsidRPr="00703CBA">
        <w:tab/>
        <w:t xml:space="preserve">Správy </w:t>
      </w:r>
      <w:hyperlink r:id="rId39" w:history="1">
        <w:r w:rsidRPr="00703CBA">
          <w:rPr>
            <w:rStyle w:val="Hyperlink"/>
          </w:rPr>
          <w:t>OECD</w:t>
        </w:r>
      </w:hyperlink>
      <w:r w:rsidRPr="00703CBA">
        <w:t xml:space="preserve">, </w:t>
      </w:r>
      <w:hyperlink r:id="rId40" w:history="1">
        <w:r w:rsidRPr="00703CBA">
          <w:rPr>
            <w:rStyle w:val="Hyperlink"/>
          </w:rPr>
          <w:t>občianskej spoločnosti</w:t>
        </w:r>
      </w:hyperlink>
      <w:r>
        <w:t xml:space="preserve"> a </w:t>
      </w:r>
      <w:hyperlink r:id="rId41" w:history="1">
        <w:r w:rsidRPr="00703CBA">
          <w:rPr>
            <w:rStyle w:val="Hyperlink"/>
          </w:rPr>
          <w:t>odborových zväzov</w:t>
        </w:r>
      </w:hyperlink>
      <w:r w:rsidR="006527F1" w:rsidRPr="006527F1">
        <w:rPr>
          <w:rStyle w:val="Hyperlink"/>
          <w:color w:val="auto"/>
          <w:u w:val="none"/>
        </w:rPr>
        <w:t>.</w:t>
      </w:r>
    </w:p>
  </w:footnote>
  <w:footnote w:id="48">
    <w:p w14:paraId="056C185D" w14:textId="77777777" w:rsidR="004A45A3" w:rsidRPr="00703CBA" w:rsidRDefault="004A45A3">
      <w:pPr>
        <w:pStyle w:val="FootnoteText"/>
      </w:pPr>
      <w:r w:rsidRPr="00703CBA">
        <w:rPr>
          <w:rStyle w:val="FootnoteReference"/>
        </w:rPr>
        <w:footnoteRef/>
      </w:r>
      <w:r w:rsidRPr="00703CBA">
        <w:t xml:space="preserve"> </w:t>
      </w:r>
      <w:r w:rsidRPr="00703CBA">
        <w:tab/>
      </w:r>
      <w:hyperlink r:id="rId42" w:history="1">
        <w:r w:rsidRPr="00703CBA">
          <w:rPr>
            <w:rStyle w:val="Hyperlink"/>
          </w:rPr>
          <w:t>OECD Due Diligence Guidance for Responsible Supply Chains in the Garment and Footwear Sector</w:t>
        </w:r>
      </w:hyperlink>
      <w:r w:rsidR="006527F1" w:rsidRPr="006527F1">
        <w:rPr>
          <w:rStyle w:val="Hyperlink"/>
          <w:color w:val="auto"/>
          <w:u w:val="none"/>
        </w:rPr>
        <w:t>.</w:t>
      </w:r>
    </w:p>
  </w:footnote>
  <w:footnote w:id="49">
    <w:p w14:paraId="1EEF5917" w14:textId="77777777" w:rsidR="004A45A3" w:rsidRPr="00703CBA" w:rsidRDefault="004A45A3">
      <w:pPr>
        <w:pStyle w:val="FootnoteText"/>
      </w:pPr>
      <w:r w:rsidRPr="00703CBA">
        <w:rPr>
          <w:rStyle w:val="FootnoteReference"/>
        </w:rPr>
        <w:footnoteRef/>
      </w:r>
      <w:r w:rsidRPr="00703CBA">
        <w:t xml:space="preserve"> </w:t>
      </w:r>
      <w:r w:rsidRPr="00703CBA">
        <w:tab/>
      </w:r>
      <w:hyperlink r:id="rId43" w:history="1">
        <w:r w:rsidR="006527F1">
          <w:rPr>
            <w:rStyle w:val="Hyperlink"/>
            <w:szCs w:val="16"/>
            <w:shd w:val="clear" w:color="auto" w:fill="FFFFFF"/>
          </w:rPr>
          <w:t>Ú. </w:t>
        </w:r>
        <w:r w:rsidRPr="006527F1">
          <w:rPr>
            <w:rStyle w:val="Hyperlink"/>
            <w:szCs w:val="16"/>
            <w:shd w:val="clear" w:color="auto" w:fill="FFFFFF"/>
          </w:rPr>
          <w:t>v.</w:t>
        </w:r>
        <w:r w:rsidR="006527F1">
          <w:rPr>
            <w:rStyle w:val="Hyperlink"/>
            <w:szCs w:val="16"/>
            <w:shd w:val="clear" w:color="auto" w:fill="FFFFFF"/>
          </w:rPr>
          <w:t> </w:t>
        </w:r>
        <w:r w:rsidRPr="006527F1">
          <w:rPr>
            <w:rStyle w:val="Hyperlink"/>
            <w:szCs w:val="16"/>
            <w:shd w:val="clear" w:color="auto" w:fill="FFFFFF"/>
          </w:rPr>
          <w:t>EÚ</w:t>
        </w:r>
        <w:r w:rsidR="006527F1">
          <w:rPr>
            <w:rStyle w:val="Hyperlink"/>
            <w:szCs w:val="16"/>
            <w:shd w:val="clear" w:color="auto" w:fill="FFFFFF"/>
          </w:rPr>
          <w:t> </w:t>
        </w:r>
        <w:r w:rsidRPr="006527F1">
          <w:rPr>
            <w:rStyle w:val="Hyperlink"/>
            <w:szCs w:val="16"/>
            <w:shd w:val="clear" w:color="auto" w:fill="FFFFFF"/>
          </w:rPr>
          <w:t>C</w:t>
        </w:r>
        <w:r w:rsidR="006527F1">
          <w:rPr>
            <w:rStyle w:val="Hyperlink"/>
            <w:szCs w:val="16"/>
            <w:shd w:val="clear" w:color="auto" w:fill="FFFFFF"/>
          </w:rPr>
          <w:t> </w:t>
        </w:r>
        <w:r w:rsidRPr="006527F1">
          <w:rPr>
            <w:rStyle w:val="Hyperlink"/>
            <w:szCs w:val="16"/>
            <w:shd w:val="clear" w:color="auto" w:fill="FFFFFF"/>
          </w:rPr>
          <w:t>47, 11.2.2020</w:t>
        </w:r>
        <w:r w:rsidR="006527F1">
          <w:rPr>
            <w:rStyle w:val="Hyperlink"/>
            <w:szCs w:val="16"/>
            <w:shd w:val="clear" w:color="auto" w:fill="FFFFFF"/>
          </w:rPr>
          <w:t>, s. </w:t>
        </w:r>
        <w:r w:rsidRPr="006527F1">
          <w:rPr>
            <w:rStyle w:val="Hyperlink"/>
            <w:szCs w:val="16"/>
            <w:shd w:val="clear" w:color="auto" w:fill="FFFFFF"/>
          </w:rPr>
          <w:t>30</w:t>
        </w:r>
      </w:hyperlink>
      <w:r w:rsidR="006527F1">
        <w:t>.</w:t>
      </w:r>
    </w:p>
  </w:footnote>
  <w:footnote w:id="50">
    <w:p w14:paraId="5F398EC3" w14:textId="77777777" w:rsidR="004A45A3" w:rsidRPr="00703CBA" w:rsidRDefault="004A45A3" w:rsidP="009A2E48">
      <w:pPr>
        <w:pStyle w:val="FootnoteText"/>
      </w:pPr>
      <w:r w:rsidRPr="00703CBA">
        <w:rPr>
          <w:rStyle w:val="FootnoteReference"/>
        </w:rPr>
        <w:footnoteRef/>
      </w:r>
      <w:r w:rsidRPr="00703CBA">
        <w:tab/>
      </w:r>
      <w:hyperlink r:id="rId44" w:history="1">
        <w:r w:rsidRPr="00703CBA">
          <w:rPr>
            <w:rStyle w:val="Hyperlink"/>
          </w:rPr>
          <w:t>Ú. v. EÚ C 190, 5.6.2019, s. 9</w:t>
        </w:r>
        <w:r w:rsidRPr="00703CBA">
          <w:rPr>
            <w:rStyle w:val="Hyperlink"/>
            <w:color w:val="auto"/>
            <w:u w:val="none"/>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037DC" w14:textId="77777777" w:rsidR="00EF1C52" w:rsidRPr="00EF1C52" w:rsidRDefault="00EF1C52" w:rsidP="00EF1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21941" w14:textId="77777777" w:rsidR="00EF1C52" w:rsidRPr="00EF1C52" w:rsidRDefault="00EF1C52" w:rsidP="00EF1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AD693" w14:textId="77777777" w:rsidR="00EF1C52" w:rsidRPr="00EF1C52" w:rsidRDefault="00EF1C52" w:rsidP="00EF1C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FA481" w14:textId="77777777" w:rsidR="004A45A3" w:rsidRPr="00EF1C52" w:rsidRDefault="004A45A3" w:rsidP="00EF1C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217BE" w14:textId="77777777" w:rsidR="004A45A3" w:rsidRPr="00EF1C52" w:rsidRDefault="004A45A3" w:rsidP="00EF1C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C7E29" w14:textId="77777777" w:rsidR="004A45A3" w:rsidRPr="00EF1C52" w:rsidRDefault="004A45A3" w:rsidP="00EF1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A882A83"/>
    <w:multiLevelType w:val="hybridMultilevel"/>
    <w:tmpl w:val="5FA83AC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0708DA"/>
    <w:multiLevelType w:val="hybridMultilevel"/>
    <w:tmpl w:val="1D5EEB68"/>
    <w:lvl w:ilvl="0" w:tplc="080C0001">
      <w:start w:val="1"/>
      <w:numFmt w:val="bullet"/>
      <w:lvlText w:val=""/>
      <w:lvlJc w:val="left"/>
      <w:pPr>
        <w:ind w:left="766" w:hanging="360"/>
      </w:pPr>
      <w:rPr>
        <w:rFonts w:ascii="Symbol" w:hAnsi="Symbol" w:hint="default"/>
      </w:rPr>
    </w:lvl>
    <w:lvl w:ilvl="1" w:tplc="080C0003">
      <w:start w:val="1"/>
      <w:numFmt w:val="bullet"/>
      <w:lvlText w:val="o"/>
      <w:lvlJc w:val="left"/>
      <w:pPr>
        <w:ind w:left="1486" w:hanging="360"/>
      </w:pPr>
      <w:rPr>
        <w:rFonts w:ascii="Courier New" w:hAnsi="Courier New" w:cs="Courier New" w:hint="default"/>
      </w:rPr>
    </w:lvl>
    <w:lvl w:ilvl="2" w:tplc="080C0005">
      <w:start w:val="1"/>
      <w:numFmt w:val="bullet"/>
      <w:lvlText w:val=""/>
      <w:lvlJc w:val="left"/>
      <w:pPr>
        <w:ind w:left="2206" w:hanging="360"/>
      </w:pPr>
      <w:rPr>
        <w:rFonts w:ascii="Wingdings" w:hAnsi="Wingdings" w:hint="default"/>
      </w:rPr>
    </w:lvl>
    <w:lvl w:ilvl="3" w:tplc="080C0001" w:tentative="1">
      <w:start w:val="1"/>
      <w:numFmt w:val="bullet"/>
      <w:lvlText w:val=""/>
      <w:lvlJc w:val="left"/>
      <w:pPr>
        <w:ind w:left="2926" w:hanging="360"/>
      </w:pPr>
      <w:rPr>
        <w:rFonts w:ascii="Symbol" w:hAnsi="Symbol" w:hint="default"/>
      </w:rPr>
    </w:lvl>
    <w:lvl w:ilvl="4" w:tplc="080C0003" w:tentative="1">
      <w:start w:val="1"/>
      <w:numFmt w:val="bullet"/>
      <w:lvlText w:val="o"/>
      <w:lvlJc w:val="left"/>
      <w:pPr>
        <w:ind w:left="3646" w:hanging="360"/>
      </w:pPr>
      <w:rPr>
        <w:rFonts w:ascii="Courier New" w:hAnsi="Courier New" w:cs="Courier New" w:hint="default"/>
      </w:rPr>
    </w:lvl>
    <w:lvl w:ilvl="5" w:tplc="080C0005" w:tentative="1">
      <w:start w:val="1"/>
      <w:numFmt w:val="bullet"/>
      <w:lvlText w:val=""/>
      <w:lvlJc w:val="left"/>
      <w:pPr>
        <w:ind w:left="4366" w:hanging="360"/>
      </w:pPr>
      <w:rPr>
        <w:rFonts w:ascii="Wingdings" w:hAnsi="Wingdings" w:hint="default"/>
      </w:rPr>
    </w:lvl>
    <w:lvl w:ilvl="6" w:tplc="080C0001" w:tentative="1">
      <w:start w:val="1"/>
      <w:numFmt w:val="bullet"/>
      <w:lvlText w:val=""/>
      <w:lvlJc w:val="left"/>
      <w:pPr>
        <w:ind w:left="5086" w:hanging="360"/>
      </w:pPr>
      <w:rPr>
        <w:rFonts w:ascii="Symbol" w:hAnsi="Symbol" w:hint="default"/>
      </w:rPr>
    </w:lvl>
    <w:lvl w:ilvl="7" w:tplc="080C0003" w:tentative="1">
      <w:start w:val="1"/>
      <w:numFmt w:val="bullet"/>
      <w:lvlText w:val="o"/>
      <w:lvlJc w:val="left"/>
      <w:pPr>
        <w:ind w:left="5806" w:hanging="360"/>
      </w:pPr>
      <w:rPr>
        <w:rFonts w:ascii="Courier New" w:hAnsi="Courier New" w:cs="Courier New" w:hint="default"/>
      </w:rPr>
    </w:lvl>
    <w:lvl w:ilvl="8" w:tplc="080C0005" w:tentative="1">
      <w:start w:val="1"/>
      <w:numFmt w:val="bullet"/>
      <w:lvlText w:val=""/>
      <w:lvlJc w:val="left"/>
      <w:pPr>
        <w:ind w:left="6526" w:hanging="360"/>
      </w:pPr>
      <w:rPr>
        <w:rFonts w:ascii="Wingdings" w:hAnsi="Wingdings" w:hint="default"/>
      </w:rPr>
    </w:lvl>
  </w:abstractNum>
  <w:abstractNum w:abstractNumId="3" w15:restartNumberingAfterBreak="0">
    <w:nsid w:val="20AC0E4C"/>
    <w:multiLevelType w:val="hybridMultilevel"/>
    <w:tmpl w:val="451A5F4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238A2BAE"/>
    <w:multiLevelType w:val="hybridMultilevel"/>
    <w:tmpl w:val="DCCE47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BF22568"/>
    <w:multiLevelType w:val="hybridMultilevel"/>
    <w:tmpl w:val="A10E3756"/>
    <w:lvl w:ilvl="0" w:tplc="5366BF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02A29"/>
    <w:multiLevelType w:val="hybridMultilevel"/>
    <w:tmpl w:val="C4E2974E"/>
    <w:lvl w:ilvl="0" w:tplc="9DDEB9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4BA7579"/>
    <w:multiLevelType w:val="multilevel"/>
    <w:tmpl w:val="EBA60778"/>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8" w15:restartNumberingAfterBreak="0">
    <w:nsid w:val="46050084"/>
    <w:multiLevelType w:val="hybridMultilevel"/>
    <w:tmpl w:val="EA8460E4"/>
    <w:lvl w:ilvl="0" w:tplc="4B6001E0">
      <w:numFmt w:val="bullet"/>
      <w:lvlText w:val="•"/>
      <w:lvlJc w:val="left"/>
      <w:pPr>
        <w:ind w:left="1080" w:hanging="72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9D1AF1"/>
    <w:multiLevelType w:val="hybridMultilevel"/>
    <w:tmpl w:val="19345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A04AD5"/>
    <w:multiLevelType w:val="hybridMultilevel"/>
    <w:tmpl w:val="3E98DC4C"/>
    <w:lvl w:ilvl="0" w:tplc="4B6001E0">
      <w:numFmt w:val="bullet"/>
      <w:lvlText w:val="•"/>
      <w:lvlJc w:val="left"/>
      <w:pPr>
        <w:ind w:left="1080" w:hanging="720"/>
      </w:pPr>
      <w:rPr>
        <w:rFonts w:ascii="Times New Roman" w:eastAsia="Times New Roman" w:hAnsi="Times New Roman" w:cs="Times New Roman" w:hint="default"/>
      </w:rPr>
    </w:lvl>
    <w:lvl w:ilvl="1" w:tplc="6B005C2C">
      <w:numFmt w:val="bullet"/>
      <w:lvlText w:val=""/>
      <w:lvlJc w:val="left"/>
      <w:pPr>
        <w:ind w:left="1800" w:hanging="72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A4284"/>
    <w:multiLevelType w:val="hybridMultilevel"/>
    <w:tmpl w:val="7F2C1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5669D4"/>
    <w:multiLevelType w:val="hybridMultilevel"/>
    <w:tmpl w:val="663437AC"/>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6C791ABE"/>
    <w:multiLevelType w:val="hybridMultilevel"/>
    <w:tmpl w:val="DD9C2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49A1C02"/>
    <w:multiLevelType w:val="multilevel"/>
    <w:tmpl w:val="4112D8F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D1E3503"/>
    <w:multiLevelType w:val="hybridMultilevel"/>
    <w:tmpl w:val="D986A03C"/>
    <w:lvl w:ilvl="0" w:tplc="4B6001E0">
      <w:numFmt w:val="bullet"/>
      <w:lvlText w:val="•"/>
      <w:lvlJc w:val="left"/>
      <w:pPr>
        <w:ind w:left="1080" w:hanging="72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5"/>
  </w:num>
  <w:num w:numId="4">
    <w:abstractNumId w:val="10"/>
  </w:num>
  <w:num w:numId="5">
    <w:abstractNumId w:val="0"/>
  </w:num>
  <w:num w:numId="6">
    <w:abstractNumId w:val="0"/>
  </w:num>
  <w:num w:numId="7">
    <w:abstractNumId w:val="0"/>
  </w:num>
  <w:num w:numId="8">
    <w:abstractNumId w:val="0"/>
  </w:num>
  <w:num w:numId="9">
    <w:abstractNumId w:val="6"/>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2"/>
  </w:num>
  <w:num w:numId="30">
    <w:abstractNumId w:val="3"/>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7"/>
  </w:num>
  <w:num w:numId="41">
    <w:abstractNumId w:val="14"/>
  </w:num>
  <w:num w:numId="42">
    <w:abstractNumId w:val="12"/>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11"/>
  </w:num>
  <w:num w:numId="53">
    <w:abstractNumId w:val="9"/>
  </w:num>
  <w:num w:numId="54">
    <w:abstractNumId w:val="13"/>
  </w:num>
  <w:num w:numId="55">
    <w:abstractNumId w:val="5"/>
  </w:num>
  <w:num w:numId="56">
    <w:abstractNumId w:val="1"/>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4"/>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0C84"/>
    <w:rsid w:val="00001158"/>
    <w:rsid w:val="00002FB8"/>
    <w:rsid w:val="00005729"/>
    <w:rsid w:val="00005796"/>
    <w:rsid w:val="00005AB9"/>
    <w:rsid w:val="00005EB9"/>
    <w:rsid w:val="00006E24"/>
    <w:rsid w:val="00007A40"/>
    <w:rsid w:val="00007D55"/>
    <w:rsid w:val="00007EAE"/>
    <w:rsid w:val="000116CB"/>
    <w:rsid w:val="00011D33"/>
    <w:rsid w:val="00016D8C"/>
    <w:rsid w:val="000172F0"/>
    <w:rsid w:val="00020885"/>
    <w:rsid w:val="00020E6E"/>
    <w:rsid w:val="00022D9C"/>
    <w:rsid w:val="00026845"/>
    <w:rsid w:val="00031916"/>
    <w:rsid w:val="00031A4B"/>
    <w:rsid w:val="00033913"/>
    <w:rsid w:val="00033E5B"/>
    <w:rsid w:val="000348BC"/>
    <w:rsid w:val="000357A8"/>
    <w:rsid w:val="00037238"/>
    <w:rsid w:val="000400E3"/>
    <w:rsid w:val="00041147"/>
    <w:rsid w:val="000430A6"/>
    <w:rsid w:val="00044923"/>
    <w:rsid w:val="00046D27"/>
    <w:rsid w:val="00051E8B"/>
    <w:rsid w:val="0005249C"/>
    <w:rsid w:val="00052D0A"/>
    <w:rsid w:val="000534A5"/>
    <w:rsid w:val="00054A78"/>
    <w:rsid w:val="00055278"/>
    <w:rsid w:val="000564DC"/>
    <w:rsid w:val="0005680D"/>
    <w:rsid w:val="00060C6A"/>
    <w:rsid w:val="00063FB4"/>
    <w:rsid w:val="0006793E"/>
    <w:rsid w:val="00067F97"/>
    <w:rsid w:val="000700A0"/>
    <w:rsid w:val="00070A6D"/>
    <w:rsid w:val="00072E0F"/>
    <w:rsid w:val="000735E5"/>
    <w:rsid w:val="0007392F"/>
    <w:rsid w:val="000810B3"/>
    <w:rsid w:val="0008326A"/>
    <w:rsid w:val="000834E9"/>
    <w:rsid w:val="00086E36"/>
    <w:rsid w:val="00087178"/>
    <w:rsid w:val="000875FC"/>
    <w:rsid w:val="00087B39"/>
    <w:rsid w:val="00090DA2"/>
    <w:rsid w:val="00092523"/>
    <w:rsid w:val="00095A9C"/>
    <w:rsid w:val="00096502"/>
    <w:rsid w:val="000A2693"/>
    <w:rsid w:val="000A49BB"/>
    <w:rsid w:val="000A5907"/>
    <w:rsid w:val="000B241D"/>
    <w:rsid w:val="000B5819"/>
    <w:rsid w:val="000B59B8"/>
    <w:rsid w:val="000B7103"/>
    <w:rsid w:val="000C12C3"/>
    <w:rsid w:val="000C3441"/>
    <w:rsid w:val="000C5778"/>
    <w:rsid w:val="000C7F53"/>
    <w:rsid w:val="000D0713"/>
    <w:rsid w:val="000D1088"/>
    <w:rsid w:val="000D2F8E"/>
    <w:rsid w:val="000D5C7E"/>
    <w:rsid w:val="000D6C83"/>
    <w:rsid w:val="000D7974"/>
    <w:rsid w:val="000E00F4"/>
    <w:rsid w:val="000E2731"/>
    <w:rsid w:val="000E3E70"/>
    <w:rsid w:val="000E44B8"/>
    <w:rsid w:val="000E5110"/>
    <w:rsid w:val="000E609D"/>
    <w:rsid w:val="000E689D"/>
    <w:rsid w:val="000F0A1D"/>
    <w:rsid w:val="000F0EF8"/>
    <w:rsid w:val="000F196B"/>
    <w:rsid w:val="000F2D58"/>
    <w:rsid w:val="000F3411"/>
    <w:rsid w:val="000F3E12"/>
    <w:rsid w:val="00104908"/>
    <w:rsid w:val="00105361"/>
    <w:rsid w:val="001101F8"/>
    <w:rsid w:val="001106C2"/>
    <w:rsid w:val="0011206F"/>
    <w:rsid w:val="00112285"/>
    <w:rsid w:val="00114796"/>
    <w:rsid w:val="00115FC6"/>
    <w:rsid w:val="001164E0"/>
    <w:rsid w:val="0011656A"/>
    <w:rsid w:val="001200BD"/>
    <w:rsid w:val="0012045E"/>
    <w:rsid w:val="00120FD2"/>
    <w:rsid w:val="0012220C"/>
    <w:rsid w:val="00122DA1"/>
    <w:rsid w:val="0012387F"/>
    <w:rsid w:val="001240B5"/>
    <w:rsid w:val="00134693"/>
    <w:rsid w:val="00136EA3"/>
    <w:rsid w:val="00137575"/>
    <w:rsid w:val="001400BE"/>
    <w:rsid w:val="00140A5B"/>
    <w:rsid w:val="00144231"/>
    <w:rsid w:val="00144E1D"/>
    <w:rsid w:val="00150434"/>
    <w:rsid w:val="00150515"/>
    <w:rsid w:val="00151D70"/>
    <w:rsid w:val="001540D8"/>
    <w:rsid w:val="00154686"/>
    <w:rsid w:val="00155721"/>
    <w:rsid w:val="001559B9"/>
    <w:rsid w:val="0015678B"/>
    <w:rsid w:val="001600A4"/>
    <w:rsid w:val="0016503F"/>
    <w:rsid w:val="00165136"/>
    <w:rsid w:val="0016674F"/>
    <w:rsid w:val="00167CA0"/>
    <w:rsid w:val="0017120D"/>
    <w:rsid w:val="001714F6"/>
    <w:rsid w:val="001715A9"/>
    <w:rsid w:val="00176168"/>
    <w:rsid w:val="00177158"/>
    <w:rsid w:val="001808A5"/>
    <w:rsid w:val="00183CAF"/>
    <w:rsid w:val="0018430E"/>
    <w:rsid w:val="001848B9"/>
    <w:rsid w:val="00184FD4"/>
    <w:rsid w:val="001861DB"/>
    <w:rsid w:val="00186B04"/>
    <w:rsid w:val="00186F1E"/>
    <w:rsid w:val="00187515"/>
    <w:rsid w:val="00190836"/>
    <w:rsid w:val="00190B14"/>
    <w:rsid w:val="00192F51"/>
    <w:rsid w:val="001937D8"/>
    <w:rsid w:val="00193930"/>
    <w:rsid w:val="00195484"/>
    <w:rsid w:val="00195F2E"/>
    <w:rsid w:val="001960F6"/>
    <w:rsid w:val="001963A5"/>
    <w:rsid w:val="00196F1E"/>
    <w:rsid w:val="0019783C"/>
    <w:rsid w:val="00197FCA"/>
    <w:rsid w:val="001A1B90"/>
    <w:rsid w:val="001A27DB"/>
    <w:rsid w:val="001A4C1E"/>
    <w:rsid w:val="001A6852"/>
    <w:rsid w:val="001B286A"/>
    <w:rsid w:val="001B2D02"/>
    <w:rsid w:val="001B3647"/>
    <w:rsid w:val="001B71E9"/>
    <w:rsid w:val="001B77FA"/>
    <w:rsid w:val="001C0ABE"/>
    <w:rsid w:val="001C2AB0"/>
    <w:rsid w:val="001C356D"/>
    <w:rsid w:val="001C4DF4"/>
    <w:rsid w:val="001C5721"/>
    <w:rsid w:val="001C5852"/>
    <w:rsid w:val="001D0E52"/>
    <w:rsid w:val="001D45F0"/>
    <w:rsid w:val="001D6B68"/>
    <w:rsid w:val="001E1B88"/>
    <w:rsid w:val="001E4A33"/>
    <w:rsid w:val="001E5C27"/>
    <w:rsid w:val="001F1C2A"/>
    <w:rsid w:val="001F257A"/>
    <w:rsid w:val="001F3208"/>
    <w:rsid w:val="001F602B"/>
    <w:rsid w:val="001F6723"/>
    <w:rsid w:val="001F6AC8"/>
    <w:rsid w:val="00200265"/>
    <w:rsid w:val="00200375"/>
    <w:rsid w:val="00201D73"/>
    <w:rsid w:val="00201EC1"/>
    <w:rsid w:val="002023A6"/>
    <w:rsid w:val="002031B4"/>
    <w:rsid w:val="002037D5"/>
    <w:rsid w:val="0020470C"/>
    <w:rsid w:val="00206684"/>
    <w:rsid w:val="00206F90"/>
    <w:rsid w:val="00212B03"/>
    <w:rsid w:val="00212B83"/>
    <w:rsid w:val="00212DB5"/>
    <w:rsid w:val="002131AE"/>
    <w:rsid w:val="002142F8"/>
    <w:rsid w:val="00214E90"/>
    <w:rsid w:val="00215C10"/>
    <w:rsid w:val="00215C2D"/>
    <w:rsid w:val="00222389"/>
    <w:rsid w:val="00224842"/>
    <w:rsid w:val="00224A8C"/>
    <w:rsid w:val="002252C4"/>
    <w:rsid w:val="00226A4B"/>
    <w:rsid w:val="00227F10"/>
    <w:rsid w:val="0023183E"/>
    <w:rsid w:val="0023321C"/>
    <w:rsid w:val="00235138"/>
    <w:rsid w:val="002364AA"/>
    <w:rsid w:val="00240E5B"/>
    <w:rsid w:val="00242123"/>
    <w:rsid w:val="00243E36"/>
    <w:rsid w:val="00244EE8"/>
    <w:rsid w:val="0024540B"/>
    <w:rsid w:val="00245EF4"/>
    <w:rsid w:val="00246333"/>
    <w:rsid w:val="00246A75"/>
    <w:rsid w:val="002477A9"/>
    <w:rsid w:val="00250E11"/>
    <w:rsid w:val="00251383"/>
    <w:rsid w:val="002522C9"/>
    <w:rsid w:val="00252A21"/>
    <w:rsid w:val="00253E4F"/>
    <w:rsid w:val="002542E4"/>
    <w:rsid w:val="00254317"/>
    <w:rsid w:val="00256353"/>
    <w:rsid w:val="0025681C"/>
    <w:rsid w:val="00257120"/>
    <w:rsid w:val="00261053"/>
    <w:rsid w:val="002613FF"/>
    <w:rsid w:val="00262FDE"/>
    <w:rsid w:val="00263629"/>
    <w:rsid w:val="002658CC"/>
    <w:rsid w:val="00272D56"/>
    <w:rsid w:val="00273838"/>
    <w:rsid w:val="002769BD"/>
    <w:rsid w:val="00276A75"/>
    <w:rsid w:val="002809EA"/>
    <w:rsid w:val="00282885"/>
    <w:rsid w:val="00284962"/>
    <w:rsid w:val="002852B1"/>
    <w:rsid w:val="00285C5C"/>
    <w:rsid w:val="00286169"/>
    <w:rsid w:val="0028789E"/>
    <w:rsid w:val="00287AFE"/>
    <w:rsid w:val="00287B0E"/>
    <w:rsid w:val="002946BF"/>
    <w:rsid w:val="00294DE3"/>
    <w:rsid w:val="002A0B53"/>
    <w:rsid w:val="002A0CA1"/>
    <w:rsid w:val="002A0EEF"/>
    <w:rsid w:val="002A2609"/>
    <w:rsid w:val="002A420E"/>
    <w:rsid w:val="002A5A62"/>
    <w:rsid w:val="002A6E79"/>
    <w:rsid w:val="002A76F9"/>
    <w:rsid w:val="002B02B6"/>
    <w:rsid w:val="002B2DF7"/>
    <w:rsid w:val="002B32FB"/>
    <w:rsid w:val="002B54D3"/>
    <w:rsid w:val="002B5B25"/>
    <w:rsid w:val="002B75A5"/>
    <w:rsid w:val="002B7DC2"/>
    <w:rsid w:val="002C0579"/>
    <w:rsid w:val="002C1DB1"/>
    <w:rsid w:val="002C3BF4"/>
    <w:rsid w:val="002C6AFF"/>
    <w:rsid w:val="002C749F"/>
    <w:rsid w:val="002C7971"/>
    <w:rsid w:val="002D134E"/>
    <w:rsid w:val="002D1EE7"/>
    <w:rsid w:val="002E0EA0"/>
    <w:rsid w:val="002E1023"/>
    <w:rsid w:val="002E3C41"/>
    <w:rsid w:val="002E7B33"/>
    <w:rsid w:val="002F0594"/>
    <w:rsid w:val="002F059B"/>
    <w:rsid w:val="002F2106"/>
    <w:rsid w:val="002F3699"/>
    <w:rsid w:val="002F4143"/>
    <w:rsid w:val="002F4A33"/>
    <w:rsid w:val="002F54C7"/>
    <w:rsid w:val="002F5B0B"/>
    <w:rsid w:val="002F7B2D"/>
    <w:rsid w:val="00300924"/>
    <w:rsid w:val="00300BFA"/>
    <w:rsid w:val="00301581"/>
    <w:rsid w:val="0030596E"/>
    <w:rsid w:val="003073C3"/>
    <w:rsid w:val="00307851"/>
    <w:rsid w:val="00315F80"/>
    <w:rsid w:val="00322805"/>
    <w:rsid w:val="00322A8C"/>
    <w:rsid w:val="00323637"/>
    <w:rsid w:val="00323A4B"/>
    <w:rsid w:val="00323A6A"/>
    <w:rsid w:val="003249E1"/>
    <w:rsid w:val="00324D66"/>
    <w:rsid w:val="00324E8A"/>
    <w:rsid w:val="003253A1"/>
    <w:rsid w:val="00326227"/>
    <w:rsid w:val="00326942"/>
    <w:rsid w:val="00331284"/>
    <w:rsid w:val="00331D87"/>
    <w:rsid w:val="00332850"/>
    <w:rsid w:val="00334478"/>
    <w:rsid w:val="003346B4"/>
    <w:rsid w:val="00334AE6"/>
    <w:rsid w:val="003365D0"/>
    <w:rsid w:val="003439AB"/>
    <w:rsid w:val="00345735"/>
    <w:rsid w:val="00345F6C"/>
    <w:rsid w:val="0034657B"/>
    <w:rsid w:val="00346722"/>
    <w:rsid w:val="0035034C"/>
    <w:rsid w:val="00350A3A"/>
    <w:rsid w:val="0035140A"/>
    <w:rsid w:val="00351EA4"/>
    <w:rsid w:val="00352149"/>
    <w:rsid w:val="00354695"/>
    <w:rsid w:val="003546DA"/>
    <w:rsid w:val="0035549B"/>
    <w:rsid w:val="00356B16"/>
    <w:rsid w:val="003601A2"/>
    <w:rsid w:val="003604B3"/>
    <w:rsid w:val="0036582E"/>
    <w:rsid w:val="0037299E"/>
    <w:rsid w:val="00372E6E"/>
    <w:rsid w:val="003755C8"/>
    <w:rsid w:val="00375687"/>
    <w:rsid w:val="00376267"/>
    <w:rsid w:val="003777C8"/>
    <w:rsid w:val="00380AE0"/>
    <w:rsid w:val="00381ED3"/>
    <w:rsid w:val="00382207"/>
    <w:rsid w:val="00383324"/>
    <w:rsid w:val="00386A75"/>
    <w:rsid w:val="00387A75"/>
    <w:rsid w:val="003904FD"/>
    <w:rsid w:val="00392E44"/>
    <w:rsid w:val="00394254"/>
    <w:rsid w:val="00394AF3"/>
    <w:rsid w:val="003A1BB5"/>
    <w:rsid w:val="003A270B"/>
    <w:rsid w:val="003A4852"/>
    <w:rsid w:val="003A4C4D"/>
    <w:rsid w:val="003A4FB2"/>
    <w:rsid w:val="003A64E5"/>
    <w:rsid w:val="003A6956"/>
    <w:rsid w:val="003A736E"/>
    <w:rsid w:val="003B3312"/>
    <w:rsid w:val="003B5AF2"/>
    <w:rsid w:val="003C1FB2"/>
    <w:rsid w:val="003C2BFB"/>
    <w:rsid w:val="003C3A64"/>
    <w:rsid w:val="003C436B"/>
    <w:rsid w:val="003C4E92"/>
    <w:rsid w:val="003C51D5"/>
    <w:rsid w:val="003C5337"/>
    <w:rsid w:val="003C5F92"/>
    <w:rsid w:val="003C7886"/>
    <w:rsid w:val="003D0D63"/>
    <w:rsid w:val="003D1220"/>
    <w:rsid w:val="003D277A"/>
    <w:rsid w:val="003D4246"/>
    <w:rsid w:val="003D6255"/>
    <w:rsid w:val="003D7A8C"/>
    <w:rsid w:val="003D7C00"/>
    <w:rsid w:val="003E4E50"/>
    <w:rsid w:val="003E5562"/>
    <w:rsid w:val="003E56E5"/>
    <w:rsid w:val="003E64FE"/>
    <w:rsid w:val="003E6DF3"/>
    <w:rsid w:val="003E71ED"/>
    <w:rsid w:val="003E7E60"/>
    <w:rsid w:val="003F00D4"/>
    <w:rsid w:val="003F2209"/>
    <w:rsid w:val="003F3D39"/>
    <w:rsid w:val="003F646A"/>
    <w:rsid w:val="003F6761"/>
    <w:rsid w:val="003F6A0A"/>
    <w:rsid w:val="003F77EC"/>
    <w:rsid w:val="004024F5"/>
    <w:rsid w:val="00402DE1"/>
    <w:rsid w:val="0040342B"/>
    <w:rsid w:val="00403D8B"/>
    <w:rsid w:val="004044B1"/>
    <w:rsid w:val="00404674"/>
    <w:rsid w:val="004058F1"/>
    <w:rsid w:val="0040704F"/>
    <w:rsid w:val="00407E7D"/>
    <w:rsid w:val="0041283D"/>
    <w:rsid w:val="00412E70"/>
    <w:rsid w:val="00413AB4"/>
    <w:rsid w:val="00413B94"/>
    <w:rsid w:val="0041594F"/>
    <w:rsid w:val="00416FB5"/>
    <w:rsid w:val="00421373"/>
    <w:rsid w:val="0042169F"/>
    <w:rsid w:val="00421FB7"/>
    <w:rsid w:val="00422141"/>
    <w:rsid w:val="00423D2C"/>
    <w:rsid w:val="00425F78"/>
    <w:rsid w:val="00426BB6"/>
    <w:rsid w:val="0042721D"/>
    <w:rsid w:val="0042763B"/>
    <w:rsid w:val="00427CDC"/>
    <w:rsid w:val="0043024C"/>
    <w:rsid w:val="00432691"/>
    <w:rsid w:val="00435570"/>
    <w:rsid w:val="00435682"/>
    <w:rsid w:val="00436706"/>
    <w:rsid w:val="004367C2"/>
    <w:rsid w:val="00441533"/>
    <w:rsid w:val="0044198A"/>
    <w:rsid w:val="00443D38"/>
    <w:rsid w:val="004449B1"/>
    <w:rsid w:val="004449E9"/>
    <w:rsid w:val="0044652D"/>
    <w:rsid w:val="00450BE6"/>
    <w:rsid w:val="00450E7A"/>
    <w:rsid w:val="00454BAE"/>
    <w:rsid w:val="00456AF8"/>
    <w:rsid w:val="00456E44"/>
    <w:rsid w:val="00457FA7"/>
    <w:rsid w:val="0046048C"/>
    <w:rsid w:val="0046243C"/>
    <w:rsid w:val="00462A9C"/>
    <w:rsid w:val="00464922"/>
    <w:rsid w:val="00464B37"/>
    <w:rsid w:val="00470B15"/>
    <w:rsid w:val="0047294E"/>
    <w:rsid w:val="00473E04"/>
    <w:rsid w:val="0047454F"/>
    <w:rsid w:val="004750FC"/>
    <w:rsid w:val="0047513B"/>
    <w:rsid w:val="00475869"/>
    <w:rsid w:val="00475A77"/>
    <w:rsid w:val="00475BAE"/>
    <w:rsid w:val="00476740"/>
    <w:rsid w:val="00477960"/>
    <w:rsid w:val="00481122"/>
    <w:rsid w:val="004811E2"/>
    <w:rsid w:val="00482A70"/>
    <w:rsid w:val="00483BFA"/>
    <w:rsid w:val="004866A9"/>
    <w:rsid w:val="00486907"/>
    <w:rsid w:val="00490274"/>
    <w:rsid w:val="00490588"/>
    <w:rsid w:val="00491DBB"/>
    <w:rsid w:val="00492774"/>
    <w:rsid w:val="00493DF1"/>
    <w:rsid w:val="00496D7A"/>
    <w:rsid w:val="00497E1A"/>
    <w:rsid w:val="004A1A24"/>
    <w:rsid w:val="004A26FB"/>
    <w:rsid w:val="004A31BC"/>
    <w:rsid w:val="004A3B4C"/>
    <w:rsid w:val="004A3CC0"/>
    <w:rsid w:val="004A3F1A"/>
    <w:rsid w:val="004A3F45"/>
    <w:rsid w:val="004A45A3"/>
    <w:rsid w:val="004A5738"/>
    <w:rsid w:val="004A778D"/>
    <w:rsid w:val="004A7A18"/>
    <w:rsid w:val="004B1AFA"/>
    <w:rsid w:val="004B3949"/>
    <w:rsid w:val="004B5A22"/>
    <w:rsid w:val="004B5EAC"/>
    <w:rsid w:val="004B61B3"/>
    <w:rsid w:val="004B7088"/>
    <w:rsid w:val="004C019F"/>
    <w:rsid w:val="004C02E1"/>
    <w:rsid w:val="004C05C1"/>
    <w:rsid w:val="004C118F"/>
    <w:rsid w:val="004C271B"/>
    <w:rsid w:val="004C4D12"/>
    <w:rsid w:val="004C5B76"/>
    <w:rsid w:val="004C66F2"/>
    <w:rsid w:val="004D02CD"/>
    <w:rsid w:val="004D0B24"/>
    <w:rsid w:val="004D0C08"/>
    <w:rsid w:val="004D3446"/>
    <w:rsid w:val="004D38F3"/>
    <w:rsid w:val="004D4B90"/>
    <w:rsid w:val="004D6B95"/>
    <w:rsid w:val="004D7F41"/>
    <w:rsid w:val="004E03A2"/>
    <w:rsid w:val="004E1311"/>
    <w:rsid w:val="004E180F"/>
    <w:rsid w:val="004E1E16"/>
    <w:rsid w:val="004E317E"/>
    <w:rsid w:val="004E3954"/>
    <w:rsid w:val="004E3E74"/>
    <w:rsid w:val="004E4289"/>
    <w:rsid w:val="004E5856"/>
    <w:rsid w:val="004E59CB"/>
    <w:rsid w:val="004E7DC3"/>
    <w:rsid w:val="004F00B1"/>
    <w:rsid w:val="004F02D9"/>
    <w:rsid w:val="004F0CDE"/>
    <w:rsid w:val="004F21E2"/>
    <w:rsid w:val="004F2330"/>
    <w:rsid w:val="004F29BC"/>
    <w:rsid w:val="004F53C6"/>
    <w:rsid w:val="004F55C6"/>
    <w:rsid w:val="004F594E"/>
    <w:rsid w:val="004F69DB"/>
    <w:rsid w:val="004F6B87"/>
    <w:rsid w:val="00501C2D"/>
    <w:rsid w:val="00501E61"/>
    <w:rsid w:val="00502637"/>
    <w:rsid w:val="00504416"/>
    <w:rsid w:val="00504ABB"/>
    <w:rsid w:val="00505941"/>
    <w:rsid w:val="00507FE6"/>
    <w:rsid w:val="00510986"/>
    <w:rsid w:val="00511140"/>
    <w:rsid w:val="00511A7A"/>
    <w:rsid w:val="00513CFE"/>
    <w:rsid w:val="00520173"/>
    <w:rsid w:val="005223CB"/>
    <w:rsid w:val="005236C4"/>
    <w:rsid w:val="00523B6A"/>
    <w:rsid w:val="00523E52"/>
    <w:rsid w:val="00524031"/>
    <w:rsid w:val="00524F52"/>
    <w:rsid w:val="00525F6C"/>
    <w:rsid w:val="005313FF"/>
    <w:rsid w:val="00531942"/>
    <w:rsid w:val="005333C5"/>
    <w:rsid w:val="00534AAE"/>
    <w:rsid w:val="0053742E"/>
    <w:rsid w:val="00540BFB"/>
    <w:rsid w:val="00543D34"/>
    <w:rsid w:val="005457F8"/>
    <w:rsid w:val="00546AB4"/>
    <w:rsid w:val="005509F3"/>
    <w:rsid w:val="005514E5"/>
    <w:rsid w:val="005517C6"/>
    <w:rsid w:val="00551E4A"/>
    <w:rsid w:val="00552DF3"/>
    <w:rsid w:val="00553EFD"/>
    <w:rsid w:val="005541D6"/>
    <w:rsid w:val="005551F5"/>
    <w:rsid w:val="005564A2"/>
    <w:rsid w:val="00561B4B"/>
    <w:rsid w:val="00561E77"/>
    <w:rsid w:val="00563C84"/>
    <w:rsid w:val="00566115"/>
    <w:rsid w:val="00567981"/>
    <w:rsid w:val="0057417E"/>
    <w:rsid w:val="00574FA0"/>
    <w:rsid w:val="005762F6"/>
    <w:rsid w:val="00577565"/>
    <w:rsid w:val="00580A2E"/>
    <w:rsid w:val="00581643"/>
    <w:rsid w:val="00584FBE"/>
    <w:rsid w:val="00585483"/>
    <w:rsid w:val="00587378"/>
    <w:rsid w:val="00587C05"/>
    <w:rsid w:val="00590AAB"/>
    <w:rsid w:val="005938C3"/>
    <w:rsid w:val="0059468C"/>
    <w:rsid w:val="00594CFA"/>
    <w:rsid w:val="00595125"/>
    <w:rsid w:val="00595AA5"/>
    <w:rsid w:val="00596F21"/>
    <w:rsid w:val="005A2474"/>
    <w:rsid w:val="005A44C5"/>
    <w:rsid w:val="005A5B64"/>
    <w:rsid w:val="005B033A"/>
    <w:rsid w:val="005B0DFA"/>
    <w:rsid w:val="005B1AB9"/>
    <w:rsid w:val="005B1CDD"/>
    <w:rsid w:val="005B1D25"/>
    <w:rsid w:val="005B1D3B"/>
    <w:rsid w:val="005B1E19"/>
    <w:rsid w:val="005B2226"/>
    <w:rsid w:val="005B22F9"/>
    <w:rsid w:val="005B3A50"/>
    <w:rsid w:val="005B3F75"/>
    <w:rsid w:val="005B4A84"/>
    <w:rsid w:val="005B55FC"/>
    <w:rsid w:val="005B6334"/>
    <w:rsid w:val="005C2D5E"/>
    <w:rsid w:val="005C3B81"/>
    <w:rsid w:val="005C51E8"/>
    <w:rsid w:val="005C650C"/>
    <w:rsid w:val="005D086C"/>
    <w:rsid w:val="005D089D"/>
    <w:rsid w:val="005D10BB"/>
    <w:rsid w:val="005D11D3"/>
    <w:rsid w:val="005D1D00"/>
    <w:rsid w:val="005D1F5C"/>
    <w:rsid w:val="005D36F5"/>
    <w:rsid w:val="005D4E1F"/>
    <w:rsid w:val="005D4FB3"/>
    <w:rsid w:val="005D7D0B"/>
    <w:rsid w:val="005E07EF"/>
    <w:rsid w:val="005E2F07"/>
    <w:rsid w:val="005E2FEA"/>
    <w:rsid w:val="005E30F8"/>
    <w:rsid w:val="005E5A06"/>
    <w:rsid w:val="005E7095"/>
    <w:rsid w:val="005F01E6"/>
    <w:rsid w:val="005F1B32"/>
    <w:rsid w:val="005F2607"/>
    <w:rsid w:val="005F314B"/>
    <w:rsid w:val="005F5B2E"/>
    <w:rsid w:val="005F5B83"/>
    <w:rsid w:val="005F6682"/>
    <w:rsid w:val="005F7047"/>
    <w:rsid w:val="00601AD6"/>
    <w:rsid w:val="006030AA"/>
    <w:rsid w:val="006037C6"/>
    <w:rsid w:val="00604362"/>
    <w:rsid w:val="00604687"/>
    <w:rsid w:val="006075B2"/>
    <w:rsid w:val="006118CA"/>
    <w:rsid w:val="00611AF2"/>
    <w:rsid w:val="0061212B"/>
    <w:rsid w:val="006127AF"/>
    <w:rsid w:val="006133BD"/>
    <w:rsid w:val="0061342B"/>
    <w:rsid w:val="00613A98"/>
    <w:rsid w:val="00615FB2"/>
    <w:rsid w:val="00617BD1"/>
    <w:rsid w:val="00617CE8"/>
    <w:rsid w:val="00622DC4"/>
    <w:rsid w:val="0062316A"/>
    <w:rsid w:val="006239E6"/>
    <w:rsid w:val="00626EE2"/>
    <w:rsid w:val="006278A0"/>
    <w:rsid w:val="0063095F"/>
    <w:rsid w:val="00631CBD"/>
    <w:rsid w:val="00631E10"/>
    <w:rsid w:val="00635F5A"/>
    <w:rsid w:val="0063704F"/>
    <w:rsid w:val="00643EDF"/>
    <w:rsid w:val="00646AC2"/>
    <w:rsid w:val="00647028"/>
    <w:rsid w:val="00650390"/>
    <w:rsid w:val="00650D8D"/>
    <w:rsid w:val="00651ABB"/>
    <w:rsid w:val="006527F1"/>
    <w:rsid w:val="00653A71"/>
    <w:rsid w:val="00654DAB"/>
    <w:rsid w:val="006579DF"/>
    <w:rsid w:val="0066014B"/>
    <w:rsid w:val="0066204A"/>
    <w:rsid w:val="00662AE1"/>
    <w:rsid w:val="00663F88"/>
    <w:rsid w:val="006641E4"/>
    <w:rsid w:val="0066642B"/>
    <w:rsid w:val="00667775"/>
    <w:rsid w:val="00667A0A"/>
    <w:rsid w:val="00670E3C"/>
    <w:rsid w:val="00671EF9"/>
    <w:rsid w:val="00677F57"/>
    <w:rsid w:val="00681088"/>
    <w:rsid w:val="0068180B"/>
    <w:rsid w:val="0068425B"/>
    <w:rsid w:val="0068494F"/>
    <w:rsid w:val="006858FA"/>
    <w:rsid w:val="00690EAC"/>
    <w:rsid w:val="00691697"/>
    <w:rsid w:val="00691748"/>
    <w:rsid w:val="0069245D"/>
    <w:rsid w:val="006931C2"/>
    <w:rsid w:val="00694741"/>
    <w:rsid w:val="00694910"/>
    <w:rsid w:val="00694FB4"/>
    <w:rsid w:val="00695375"/>
    <w:rsid w:val="00695774"/>
    <w:rsid w:val="0069577E"/>
    <w:rsid w:val="006959DC"/>
    <w:rsid w:val="0069634B"/>
    <w:rsid w:val="00696623"/>
    <w:rsid w:val="006A04E9"/>
    <w:rsid w:val="006A33E0"/>
    <w:rsid w:val="006A4A03"/>
    <w:rsid w:val="006A4EFE"/>
    <w:rsid w:val="006A613F"/>
    <w:rsid w:val="006A7017"/>
    <w:rsid w:val="006A7543"/>
    <w:rsid w:val="006B17B4"/>
    <w:rsid w:val="006B2602"/>
    <w:rsid w:val="006B3FBE"/>
    <w:rsid w:val="006B4B57"/>
    <w:rsid w:val="006B59DC"/>
    <w:rsid w:val="006B6D3A"/>
    <w:rsid w:val="006B725C"/>
    <w:rsid w:val="006C1636"/>
    <w:rsid w:val="006C1921"/>
    <w:rsid w:val="006C273D"/>
    <w:rsid w:val="006C5C4F"/>
    <w:rsid w:val="006C6282"/>
    <w:rsid w:val="006C7189"/>
    <w:rsid w:val="006C762A"/>
    <w:rsid w:val="006D49DC"/>
    <w:rsid w:val="006D5714"/>
    <w:rsid w:val="006D5FF9"/>
    <w:rsid w:val="006D7DFD"/>
    <w:rsid w:val="006E0772"/>
    <w:rsid w:val="006E0E87"/>
    <w:rsid w:val="006E0F86"/>
    <w:rsid w:val="006E50FD"/>
    <w:rsid w:val="006F0B15"/>
    <w:rsid w:val="006F0DCC"/>
    <w:rsid w:val="006F1C2F"/>
    <w:rsid w:val="006F23B1"/>
    <w:rsid w:val="006F6439"/>
    <w:rsid w:val="006F6602"/>
    <w:rsid w:val="00700B3C"/>
    <w:rsid w:val="007029C1"/>
    <w:rsid w:val="007035B9"/>
    <w:rsid w:val="00703CBA"/>
    <w:rsid w:val="00703DF9"/>
    <w:rsid w:val="0070474F"/>
    <w:rsid w:val="007048EB"/>
    <w:rsid w:val="00704FBB"/>
    <w:rsid w:val="0070659C"/>
    <w:rsid w:val="0070726A"/>
    <w:rsid w:val="00710A9E"/>
    <w:rsid w:val="00711655"/>
    <w:rsid w:val="0071226B"/>
    <w:rsid w:val="00713422"/>
    <w:rsid w:val="00714E25"/>
    <w:rsid w:val="00715BFA"/>
    <w:rsid w:val="0071633C"/>
    <w:rsid w:val="00716975"/>
    <w:rsid w:val="00717040"/>
    <w:rsid w:val="0071717D"/>
    <w:rsid w:val="00717196"/>
    <w:rsid w:val="0072450D"/>
    <w:rsid w:val="0072778D"/>
    <w:rsid w:val="00735C1F"/>
    <w:rsid w:val="00736A71"/>
    <w:rsid w:val="00737479"/>
    <w:rsid w:val="007409FB"/>
    <w:rsid w:val="007420A2"/>
    <w:rsid w:val="00745723"/>
    <w:rsid w:val="00745CF4"/>
    <w:rsid w:val="0075349C"/>
    <w:rsid w:val="00754849"/>
    <w:rsid w:val="00757A67"/>
    <w:rsid w:val="007622A7"/>
    <w:rsid w:val="00762DE8"/>
    <w:rsid w:val="007631A0"/>
    <w:rsid w:val="007640AC"/>
    <w:rsid w:val="007669FB"/>
    <w:rsid w:val="00766F7A"/>
    <w:rsid w:val="00771620"/>
    <w:rsid w:val="00771671"/>
    <w:rsid w:val="007733A7"/>
    <w:rsid w:val="007744EE"/>
    <w:rsid w:val="007750A2"/>
    <w:rsid w:val="007817D6"/>
    <w:rsid w:val="00781E1C"/>
    <w:rsid w:val="00781E24"/>
    <w:rsid w:val="00782761"/>
    <w:rsid w:val="00783FBA"/>
    <w:rsid w:val="00785614"/>
    <w:rsid w:val="00787912"/>
    <w:rsid w:val="00787F4D"/>
    <w:rsid w:val="0079177A"/>
    <w:rsid w:val="00792960"/>
    <w:rsid w:val="00793C9A"/>
    <w:rsid w:val="00794836"/>
    <w:rsid w:val="007948D5"/>
    <w:rsid w:val="00794C3D"/>
    <w:rsid w:val="007964CB"/>
    <w:rsid w:val="007A0EF2"/>
    <w:rsid w:val="007A15C9"/>
    <w:rsid w:val="007A55AE"/>
    <w:rsid w:val="007A6676"/>
    <w:rsid w:val="007B4710"/>
    <w:rsid w:val="007B7FF5"/>
    <w:rsid w:val="007C3D38"/>
    <w:rsid w:val="007C3FC6"/>
    <w:rsid w:val="007C4554"/>
    <w:rsid w:val="007C4823"/>
    <w:rsid w:val="007C4A32"/>
    <w:rsid w:val="007C7404"/>
    <w:rsid w:val="007D15B9"/>
    <w:rsid w:val="007D1C0E"/>
    <w:rsid w:val="007D269F"/>
    <w:rsid w:val="007D2CE9"/>
    <w:rsid w:val="007D4FED"/>
    <w:rsid w:val="007D524F"/>
    <w:rsid w:val="007D560D"/>
    <w:rsid w:val="007D68CD"/>
    <w:rsid w:val="007D69DA"/>
    <w:rsid w:val="007D6EDE"/>
    <w:rsid w:val="007D70B1"/>
    <w:rsid w:val="007D7140"/>
    <w:rsid w:val="007D7722"/>
    <w:rsid w:val="007D7E22"/>
    <w:rsid w:val="007E15FB"/>
    <w:rsid w:val="007E1CDB"/>
    <w:rsid w:val="007E3E19"/>
    <w:rsid w:val="007E408C"/>
    <w:rsid w:val="007E50BF"/>
    <w:rsid w:val="007E75CE"/>
    <w:rsid w:val="007E7E21"/>
    <w:rsid w:val="007F0460"/>
    <w:rsid w:val="007F0DA2"/>
    <w:rsid w:val="007F2888"/>
    <w:rsid w:val="007F37F2"/>
    <w:rsid w:val="007F39B8"/>
    <w:rsid w:val="007F39CE"/>
    <w:rsid w:val="007F5159"/>
    <w:rsid w:val="007F5E0D"/>
    <w:rsid w:val="00800ACD"/>
    <w:rsid w:val="00801085"/>
    <w:rsid w:val="00801A89"/>
    <w:rsid w:val="00803FA9"/>
    <w:rsid w:val="00804457"/>
    <w:rsid w:val="008062BD"/>
    <w:rsid w:val="00807147"/>
    <w:rsid w:val="00807CE5"/>
    <w:rsid w:val="00812138"/>
    <w:rsid w:val="008126C9"/>
    <w:rsid w:val="008131BF"/>
    <w:rsid w:val="008151F2"/>
    <w:rsid w:val="0081777A"/>
    <w:rsid w:val="0081E128"/>
    <w:rsid w:val="008210E0"/>
    <w:rsid w:val="0082324A"/>
    <w:rsid w:val="00824079"/>
    <w:rsid w:val="00831F0A"/>
    <w:rsid w:val="00832447"/>
    <w:rsid w:val="00832EB6"/>
    <w:rsid w:val="00833A78"/>
    <w:rsid w:val="00837B07"/>
    <w:rsid w:val="00841F06"/>
    <w:rsid w:val="00842FD2"/>
    <w:rsid w:val="008436BE"/>
    <w:rsid w:val="0084585F"/>
    <w:rsid w:val="008473A3"/>
    <w:rsid w:val="008474DF"/>
    <w:rsid w:val="00850829"/>
    <w:rsid w:val="00853E53"/>
    <w:rsid w:val="0085535C"/>
    <w:rsid w:val="00856CDF"/>
    <w:rsid w:val="00863A19"/>
    <w:rsid w:val="00863FC7"/>
    <w:rsid w:val="00864D76"/>
    <w:rsid w:val="008650BD"/>
    <w:rsid w:val="008656C9"/>
    <w:rsid w:val="0086711C"/>
    <w:rsid w:val="00867535"/>
    <w:rsid w:val="0087016A"/>
    <w:rsid w:val="00875C5B"/>
    <w:rsid w:val="00880EA3"/>
    <w:rsid w:val="0088178C"/>
    <w:rsid w:val="0088224F"/>
    <w:rsid w:val="008827D8"/>
    <w:rsid w:val="008838FD"/>
    <w:rsid w:val="00883A13"/>
    <w:rsid w:val="00883C5F"/>
    <w:rsid w:val="00884F5A"/>
    <w:rsid w:val="008867B3"/>
    <w:rsid w:val="00887ED7"/>
    <w:rsid w:val="00890AE1"/>
    <w:rsid w:val="00891415"/>
    <w:rsid w:val="00891A82"/>
    <w:rsid w:val="00891C7D"/>
    <w:rsid w:val="00892FA7"/>
    <w:rsid w:val="00897508"/>
    <w:rsid w:val="008A1ED8"/>
    <w:rsid w:val="008A229D"/>
    <w:rsid w:val="008A3301"/>
    <w:rsid w:val="008A3629"/>
    <w:rsid w:val="008A3784"/>
    <w:rsid w:val="008A4DF1"/>
    <w:rsid w:val="008A5636"/>
    <w:rsid w:val="008A56D8"/>
    <w:rsid w:val="008A5A3F"/>
    <w:rsid w:val="008B09DF"/>
    <w:rsid w:val="008B1206"/>
    <w:rsid w:val="008B125E"/>
    <w:rsid w:val="008B241C"/>
    <w:rsid w:val="008B2B08"/>
    <w:rsid w:val="008B2CFF"/>
    <w:rsid w:val="008B408B"/>
    <w:rsid w:val="008B4F11"/>
    <w:rsid w:val="008B548E"/>
    <w:rsid w:val="008B56C3"/>
    <w:rsid w:val="008B5D98"/>
    <w:rsid w:val="008B6A20"/>
    <w:rsid w:val="008B6C6F"/>
    <w:rsid w:val="008B73EE"/>
    <w:rsid w:val="008C0294"/>
    <w:rsid w:val="008C184C"/>
    <w:rsid w:val="008C2362"/>
    <w:rsid w:val="008C3049"/>
    <w:rsid w:val="008C340F"/>
    <w:rsid w:val="008C5D96"/>
    <w:rsid w:val="008C6D46"/>
    <w:rsid w:val="008C6E28"/>
    <w:rsid w:val="008C74D9"/>
    <w:rsid w:val="008D072B"/>
    <w:rsid w:val="008D0C5E"/>
    <w:rsid w:val="008D4AE9"/>
    <w:rsid w:val="008D5CF3"/>
    <w:rsid w:val="008D5FCA"/>
    <w:rsid w:val="008D7D39"/>
    <w:rsid w:val="008E1CB5"/>
    <w:rsid w:val="008E3215"/>
    <w:rsid w:val="008E4574"/>
    <w:rsid w:val="008E5F65"/>
    <w:rsid w:val="008E66D3"/>
    <w:rsid w:val="008F264E"/>
    <w:rsid w:val="008F4016"/>
    <w:rsid w:val="008F42FE"/>
    <w:rsid w:val="008F4A00"/>
    <w:rsid w:val="008F5075"/>
    <w:rsid w:val="008F5402"/>
    <w:rsid w:val="008F5DA9"/>
    <w:rsid w:val="009001D8"/>
    <w:rsid w:val="0090053A"/>
    <w:rsid w:val="00900B99"/>
    <w:rsid w:val="00901820"/>
    <w:rsid w:val="00901C2A"/>
    <w:rsid w:val="00903798"/>
    <w:rsid w:val="00905273"/>
    <w:rsid w:val="00907836"/>
    <w:rsid w:val="0090792A"/>
    <w:rsid w:val="009079C0"/>
    <w:rsid w:val="009118C7"/>
    <w:rsid w:val="009128B8"/>
    <w:rsid w:val="009208E6"/>
    <w:rsid w:val="009225B6"/>
    <w:rsid w:val="009225D1"/>
    <w:rsid w:val="00924682"/>
    <w:rsid w:val="00924ED9"/>
    <w:rsid w:val="00925397"/>
    <w:rsid w:val="00932209"/>
    <w:rsid w:val="00933A21"/>
    <w:rsid w:val="00934C10"/>
    <w:rsid w:val="00935D1E"/>
    <w:rsid w:val="0093662A"/>
    <w:rsid w:val="00936F42"/>
    <w:rsid w:val="0094060C"/>
    <w:rsid w:val="00942855"/>
    <w:rsid w:val="00942C4B"/>
    <w:rsid w:val="00944196"/>
    <w:rsid w:val="009443FD"/>
    <w:rsid w:val="00944400"/>
    <w:rsid w:val="00944C8E"/>
    <w:rsid w:val="009461DF"/>
    <w:rsid w:val="009469D3"/>
    <w:rsid w:val="00946F01"/>
    <w:rsid w:val="009517F6"/>
    <w:rsid w:val="00951846"/>
    <w:rsid w:val="00952A4B"/>
    <w:rsid w:val="009533EC"/>
    <w:rsid w:val="00954718"/>
    <w:rsid w:val="00954EA5"/>
    <w:rsid w:val="009564A5"/>
    <w:rsid w:val="009606A5"/>
    <w:rsid w:val="00960B45"/>
    <w:rsid w:val="00960B89"/>
    <w:rsid w:val="00962F1F"/>
    <w:rsid w:val="0096350E"/>
    <w:rsid w:val="00965304"/>
    <w:rsid w:val="009653D8"/>
    <w:rsid w:val="00966BD9"/>
    <w:rsid w:val="00971293"/>
    <w:rsid w:val="009730FD"/>
    <w:rsid w:val="0097389E"/>
    <w:rsid w:val="00973A3B"/>
    <w:rsid w:val="00974651"/>
    <w:rsid w:val="00975233"/>
    <w:rsid w:val="009802E4"/>
    <w:rsid w:val="00981800"/>
    <w:rsid w:val="00981AE0"/>
    <w:rsid w:val="00983EAE"/>
    <w:rsid w:val="0098760B"/>
    <w:rsid w:val="00987C26"/>
    <w:rsid w:val="009912A1"/>
    <w:rsid w:val="009915C6"/>
    <w:rsid w:val="009945A1"/>
    <w:rsid w:val="009952CC"/>
    <w:rsid w:val="00996D1B"/>
    <w:rsid w:val="00996D50"/>
    <w:rsid w:val="0099799C"/>
    <w:rsid w:val="009A11DD"/>
    <w:rsid w:val="009A1B14"/>
    <w:rsid w:val="009A2E48"/>
    <w:rsid w:val="009A5208"/>
    <w:rsid w:val="009B0644"/>
    <w:rsid w:val="009B0910"/>
    <w:rsid w:val="009B1A2E"/>
    <w:rsid w:val="009B30AA"/>
    <w:rsid w:val="009B4948"/>
    <w:rsid w:val="009B5217"/>
    <w:rsid w:val="009C48DE"/>
    <w:rsid w:val="009C5314"/>
    <w:rsid w:val="009C5B6D"/>
    <w:rsid w:val="009C7825"/>
    <w:rsid w:val="009D1E67"/>
    <w:rsid w:val="009D60D9"/>
    <w:rsid w:val="009D7A85"/>
    <w:rsid w:val="009E110E"/>
    <w:rsid w:val="009E1E1E"/>
    <w:rsid w:val="009E33E3"/>
    <w:rsid w:val="009E79CC"/>
    <w:rsid w:val="009E7F16"/>
    <w:rsid w:val="009F01BD"/>
    <w:rsid w:val="009F1E65"/>
    <w:rsid w:val="009F5052"/>
    <w:rsid w:val="009F5976"/>
    <w:rsid w:val="009F64EA"/>
    <w:rsid w:val="009F6750"/>
    <w:rsid w:val="009F70AE"/>
    <w:rsid w:val="00A03083"/>
    <w:rsid w:val="00A04C85"/>
    <w:rsid w:val="00A05294"/>
    <w:rsid w:val="00A06B10"/>
    <w:rsid w:val="00A100F0"/>
    <w:rsid w:val="00A122A2"/>
    <w:rsid w:val="00A150A9"/>
    <w:rsid w:val="00A156E6"/>
    <w:rsid w:val="00A1701E"/>
    <w:rsid w:val="00A177C5"/>
    <w:rsid w:val="00A21041"/>
    <w:rsid w:val="00A23A10"/>
    <w:rsid w:val="00A263C2"/>
    <w:rsid w:val="00A272FF"/>
    <w:rsid w:val="00A27D86"/>
    <w:rsid w:val="00A30A3D"/>
    <w:rsid w:val="00A30A73"/>
    <w:rsid w:val="00A31249"/>
    <w:rsid w:val="00A33151"/>
    <w:rsid w:val="00A33348"/>
    <w:rsid w:val="00A33C7A"/>
    <w:rsid w:val="00A36705"/>
    <w:rsid w:val="00A36970"/>
    <w:rsid w:val="00A41EB4"/>
    <w:rsid w:val="00A44BFF"/>
    <w:rsid w:val="00A4769A"/>
    <w:rsid w:val="00A501E3"/>
    <w:rsid w:val="00A50F0C"/>
    <w:rsid w:val="00A56441"/>
    <w:rsid w:val="00A57502"/>
    <w:rsid w:val="00A65500"/>
    <w:rsid w:val="00A736DD"/>
    <w:rsid w:val="00A81D47"/>
    <w:rsid w:val="00A82311"/>
    <w:rsid w:val="00A82869"/>
    <w:rsid w:val="00A82F28"/>
    <w:rsid w:val="00A844E7"/>
    <w:rsid w:val="00A85A68"/>
    <w:rsid w:val="00A86394"/>
    <w:rsid w:val="00A873E0"/>
    <w:rsid w:val="00A8758C"/>
    <w:rsid w:val="00A930DA"/>
    <w:rsid w:val="00A93477"/>
    <w:rsid w:val="00A94BB9"/>
    <w:rsid w:val="00A97713"/>
    <w:rsid w:val="00AA127E"/>
    <w:rsid w:val="00AA13B3"/>
    <w:rsid w:val="00AA192E"/>
    <w:rsid w:val="00AA19AE"/>
    <w:rsid w:val="00AA2936"/>
    <w:rsid w:val="00AA423D"/>
    <w:rsid w:val="00AA63E5"/>
    <w:rsid w:val="00AA6A95"/>
    <w:rsid w:val="00AB10DE"/>
    <w:rsid w:val="00AB15CB"/>
    <w:rsid w:val="00AB3668"/>
    <w:rsid w:val="00AB4D2A"/>
    <w:rsid w:val="00AB5ED7"/>
    <w:rsid w:val="00AB71A8"/>
    <w:rsid w:val="00AC0783"/>
    <w:rsid w:val="00AC0B4C"/>
    <w:rsid w:val="00AC0DD2"/>
    <w:rsid w:val="00AC30FD"/>
    <w:rsid w:val="00AC3457"/>
    <w:rsid w:val="00AD0AEE"/>
    <w:rsid w:val="00AD0CB2"/>
    <w:rsid w:val="00AD1B47"/>
    <w:rsid w:val="00AD21CC"/>
    <w:rsid w:val="00AD3FE8"/>
    <w:rsid w:val="00AD44C9"/>
    <w:rsid w:val="00AD49E3"/>
    <w:rsid w:val="00AD4B4F"/>
    <w:rsid w:val="00AD67EB"/>
    <w:rsid w:val="00AE124D"/>
    <w:rsid w:val="00AE23F9"/>
    <w:rsid w:val="00AE6BB6"/>
    <w:rsid w:val="00AF0492"/>
    <w:rsid w:val="00AF0616"/>
    <w:rsid w:val="00AF0E28"/>
    <w:rsid w:val="00AF39D8"/>
    <w:rsid w:val="00AF3D94"/>
    <w:rsid w:val="00AF57D5"/>
    <w:rsid w:val="00AF5AD9"/>
    <w:rsid w:val="00AF5CBE"/>
    <w:rsid w:val="00AF6F9B"/>
    <w:rsid w:val="00AF70C7"/>
    <w:rsid w:val="00B00702"/>
    <w:rsid w:val="00B01409"/>
    <w:rsid w:val="00B01745"/>
    <w:rsid w:val="00B060F6"/>
    <w:rsid w:val="00B06EF2"/>
    <w:rsid w:val="00B07AB8"/>
    <w:rsid w:val="00B10131"/>
    <w:rsid w:val="00B10DBD"/>
    <w:rsid w:val="00B11A11"/>
    <w:rsid w:val="00B1303E"/>
    <w:rsid w:val="00B140B9"/>
    <w:rsid w:val="00B15629"/>
    <w:rsid w:val="00B15CC4"/>
    <w:rsid w:val="00B20199"/>
    <w:rsid w:val="00B20D2E"/>
    <w:rsid w:val="00B21B93"/>
    <w:rsid w:val="00B2372C"/>
    <w:rsid w:val="00B26EBA"/>
    <w:rsid w:val="00B27918"/>
    <w:rsid w:val="00B310F1"/>
    <w:rsid w:val="00B3278E"/>
    <w:rsid w:val="00B32F70"/>
    <w:rsid w:val="00B33640"/>
    <w:rsid w:val="00B3486A"/>
    <w:rsid w:val="00B373D0"/>
    <w:rsid w:val="00B37FDC"/>
    <w:rsid w:val="00B41001"/>
    <w:rsid w:val="00B4278B"/>
    <w:rsid w:val="00B438B5"/>
    <w:rsid w:val="00B43AAA"/>
    <w:rsid w:val="00B45690"/>
    <w:rsid w:val="00B47313"/>
    <w:rsid w:val="00B53139"/>
    <w:rsid w:val="00B562CE"/>
    <w:rsid w:val="00B56FC6"/>
    <w:rsid w:val="00B600A8"/>
    <w:rsid w:val="00B62DE2"/>
    <w:rsid w:val="00B723F4"/>
    <w:rsid w:val="00B72433"/>
    <w:rsid w:val="00B74417"/>
    <w:rsid w:val="00B74B19"/>
    <w:rsid w:val="00B77246"/>
    <w:rsid w:val="00B776E6"/>
    <w:rsid w:val="00B813CC"/>
    <w:rsid w:val="00B81EE7"/>
    <w:rsid w:val="00B866CD"/>
    <w:rsid w:val="00B9160E"/>
    <w:rsid w:val="00B92455"/>
    <w:rsid w:val="00B93034"/>
    <w:rsid w:val="00B93A81"/>
    <w:rsid w:val="00B940D0"/>
    <w:rsid w:val="00B94CDF"/>
    <w:rsid w:val="00B96A70"/>
    <w:rsid w:val="00B97C5D"/>
    <w:rsid w:val="00BA1290"/>
    <w:rsid w:val="00BA59CB"/>
    <w:rsid w:val="00BA7D26"/>
    <w:rsid w:val="00BB2672"/>
    <w:rsid w:val="00BB2792"/>
    <w:rsid w:val="00BB45FF"/>
    <w:rsid w:val="00BB4701"/>
    <w:rsid w:val="00BB6DB8"/>
    <w:rsid w:val="00BB76BF"/>
    <w:rsid w:val="00BB7FD5"/>
    <w:rsid w:val="00BC06DB"/>
    <w:rsid w:val="00BC0A78"/>
    <w:rsid w:val="00BC1AD1"/>
    <w:rsid w:val="00BC1D82"/>
    <w:rsid w:val="00BC4A58"/>
    <w:rsid w:val="00BC58C7"/>
    <w:rsid w:val="00BC613B"/>
    <w:rsid w:val="00BD5174"/>
    <w:rsid w:val="00BD51D9"/>
    <w:rsid w:val="00BD58AD"/>
    <w:rsid w:val="00BD5FBF"/>
    <w:rsid w:val="00BD64E2"/>
    <w:rsid w:val="00BE106A"/>
    <w:rsid w:val="00BE1DC4"/>
    <w:rsid w:val="00BE4995"/>
    <w:rsid w:val="00BE780C"/>
    <w:rsid w:val="00BE78D5"/>
    <w:rsid w:val="00BF429A"/>
    <w:rsid w:val="00BF62BE"/>
    <w:rsid w:val="00BF70BC"/>
    <w:rsid w:val="00BF72F3"/>
    <w:rsid w:val="00BF74A5"/>
    <w:rsid w:val="00C06930"/>
    <w:rsid w:val="00C07126"/>
    <w:rsid w:val="00C11178"/>
    <w:rsid w:val="00C11693"/>
    <w:rsid w:val="00C138FA"/>
    <w:rsid w:val="00C15448"/>
    <w:rsid w:val="00C157D5"/>
    <w:rsid w:val="00C16853"/>
    <w:rsid w:val="00C16CC6"/>
    <w:rsid w:val="00C172FA"/>
    <w:rsid w:val="00C1789B"/>
    <w:rsid w:val="00C20188"/>
    <w:rsid w:val="00C224AB"/>
    <w:rsid w:val="00C235D2"/>
    <w:rsid w:val="00C25B79"/>
    <w:rsid w:val="00C25D12"/>
    <w:rsid w:val="00C263DC"/>
    <w:rsid w:val="00C263F0"/>
    <w:rsid w:val="00C336C8"/>
    <w:rsid w:val="00C33D41"/>
    <w:rsid w:val="00C33EA8"/>
    <w:rsid w:val="00C34220"/>
    <w:rsid w:val="00C35B9B"/>
    <w:rsid w:val="00C369BA"/>
    <w:rsid w:val="00C40AFD"/>
    <w:rsid w:val="00C41E20"/>
    <w:rsid w:val="00C42E3E"/>
    <w:rsid w:val="00C434D7"/>
    <w:rsid w:val="00C44427"/>
    <w:rsid w:val="00C4473E"/>
    <w:rsid w:val="00C455E3"/>
    <w:rsid w:val="00C47999"/>
    <w:rsid w:val="00C51C13"/>
    <w:rsid w:val="00C525A5"/>
    <w:rsid w:val="00C5300F"/>
    <w:rsid w:val="00C54594"/>
    <w:rsid w:val="00C60407"/>
    <w:rsid w:val="00C6226F"/>
    <w:rsid w:val="00C66CE0"/>
    <w:rsid w:val="00C71BED"/>
    <w:rsid w:val="00C71E78"/>
    <w:rsid w:val="00C737B2"/>
    <w:rsid w:val="00C77B63"/>
    <w:rsid w:val="00C8053C"/>
    <w:rsid w:val="00C80CE1"/>
    <w:rsid w:val="00C81B53"/>
    <w:rsid w:val="00C82AD2"/>
    <w:rsid w:val="00C90FB6"/>
    <w:rsid w:val="00C9220E"/>
    <w:rsid w:val="00C932BD"/>
    <w:rsid w:val="00C93429"/>
    <w:rsid w:val="00C966C1"/>
    <w:rsid w:val="00C96EDB"/>
    <w:rsid w:val="00CA10D6"/>
    <w:rsid w:val="00CA16C5"/>
    <w:rsid w:val="00CA3650"/>
    <w:rsid w:val="00CA415A"/>
    <w:rsid w:val="00CA5310"/>
    <w:rsid w:val="00CA7A35"/>
    <w:rsid w:val="00CB1536"/>
    <w:rsid w:val="00CB4D52"/>
    <w:rsid w:val="00CB6DEE"/>
    <w:rsid w:val="00CB7E5F"/>
    <w:rsid w:val="00CB7FB8"/>
    <w:rsid w:val="00CC04CD"/>
    <w:rsid w:val="00CC1F71"/>
    <w:rsid w:val="00CC422E"/>
    <w:rsid w:val="00CC5588"/>
    <w:rsid w:val="00CC5EB3"/>
    <w:rsid w:val="00CD011C"/>
    <w:rsid w:val="00CD065D"/>
    <w:rsid w:val="00CD0E7B"/>
    <w:rsid w:val="00CD2ABD"/>
    <w:rsid w:val="00CD4024"/>
    <w:rsid w:val="00CD4617"/>
    <w:rsid w:val="00CD4855"/>
    <w:rsid w:val="00CD4A5A"/>
    <w:rsid w:val="00CD5D71"/>
    <w:rsid w:val="00CD651E"/>
    <w:rsid w:val="00CE3AF9"/>
    <w:rsid w:val="00CE3F77"/>
    <w:rsid w:val="00CE5561"/>
    <w:rsid w:val="00CE6D43"/>
    <w:rsid w:val="00CE7888"/>
    <w:rsid w:val="00CF1A91"/>
    <w:rsid w:val="00CF268D"/>
    <w:rsid w:val="00CF2F73"/>
    <w:rsid w:val="00CF35B8"/>
    <w:rsid w:val="00CF4DAD"/>
    <w:rsid w:val="00CF5364"/>
    <w:rsid w:val="00D01E45"/>
    <w:rsid w:val="00D021C4"/>
    <w:rsid w:val="00D048B2"/>
    <w:rsid w:val="00D1096A"/>
    <w:rsid w:val="00D10E1C"/>
    <w:rsid w:val="00D12287"/>
    <w:rsid w:val="00D123F6"/>
    <w:rsid w:val="00D14D90"/>
    <w:rsid w:val="00D161A3"/>
    <w:rsid w:val="00D204DC"/>
    <w:rsid w:val="00D22790"/>
    <w:rsid w:val="00D22E49"/>
    <w:rsid w:val="00D23716"/>
    <w:rsid w:val="00D23AB4"/>
    <w:rsid w:val="00D252D6"/>
    <w:rsid w:val="00D25ED8"/>
    <w:rsid w:val="00D260DA"/>
    <w:rsid w:val="00D26F03"/>
    <w:rsid w:val="00D27F8F"/>
    <w:rsid w:val="00D316B8"/>
    <w:rsid w:val="00D31836"/>
    <w:rsid w:val="00D31CFC"/>
    <w:rsid w:val="00D3255D"/>
    <w:rsid w:val="00D340C3"/>
    <w:rsid w:val="00D36BAB"/>
    <w:rsid w:val="00D3784B"/>
    <w:rsid w:val="00D409CD"/>
    <w:rsid w:val="00D41511"/>
    <w:rsid w:val="00D423D4"/>
    <w:rsid w:val="00D42CAF"/>
    <w:rsid w:val="00D45986"/>
    <w:rsid w:val="00D45B93"/>
    <w:rsid w:val="00D52B05"/>
    <w:rsid w:val="00D5310F"/>
    <w:rsid w:val="00D577B8"/>
    <w:rsid w:val="00D601EF"/>
    <w:rsid w:val="00D61533"/>
    <w:rsid w:val="00D62946"/>
    <w:rsid w:val="00D63B2F"/>
    <w:rsid w:val="00D702C9"/>
    <w:rsid w:val="00D70747"/>
    <w:rsid w:val="00D7261D"/>
    <w:rsid w:val="00D734BA"/>
    <w:rsid w:val="00D755FC"/>
    <w:rsid w:val="00D76B6D"/>
    <w:rsid w:val="00D775F7"/>
    <w:rsid w:val="00D84D07"/>
    <w:rsid w:val="00D8526A"/>
    <w:rsid w:val="00D90E91"/>
    <w:rsid w:val="00D928DF"/>
    <w:rsid w:val="00D95CDA"/>
    <w:rsid w:val="00D975E0"/>
    <w:rsid w:val="00DA1699"/>
    <w:rsid w:val="00DB03C6"/>
    <w:rsid w:val="00DB09A7"/>
    <w:rsid w:val="00DB14FF"/>
    <w:rsid w:val="00DB1A73"/>
    <w:rsid w:val="00DB3B98"/>
    <w:rsid w:val="00DB5169"/>
    <w:rsid w:val="00DB5447"/>
    <w:rsid w:val="00DB5B01"/>
    <w:rsid w:val="00DB60E1"/>
    <w:rsid w:val="00DB6835"/>
    <w:rsid w:val="00DB702F"/>
    <w:rsid w:val="00DC1347"/>
    <w:rsid w:val="00DC2FCD"/>
    <w:rsid w:val="00DC396C"/>
    <w:rsid w:val="00DC39F1"/>
    <w:rsid w:val="00DC49A8"/>
    <w:rsid w:val="00DC4B77"/>
    <w:rsid w:val="00DD02B5"/>
    <w:rsid w:val="00DD09FB"/>
    <w:rsid w:val="00DD22BC"/>
    <w:rsid w:val="00DE4B35"/>
    <w:rsid w:val="00DE4FDC"/>
    <w:rsid w:val="00DE793C"/>
    <w:rsid w:val="00DE7DBA"/>
    <w:rsid w:val="00DF19C1"/>
    <w:rsid w:val="00DF2620"/>
    <w:rsid w:val="00DF4E94"/>
    <w:rsid w:val="00DF54CA"/>
    <w:rsid w:val="00DF56C9"/>
    <w:rsid w:val="00DF5B64"/>
    <w:rsid w:val="00E02794"/>
    <w:rsid w:val="00E03ABE"/>
    <w:rsid w:val="00E043E3"/>
    <w:rsid w:val="00E0505B"/>
    <w:rsid w:val="00E06185"/>
    <w:rsid w:val="00E06B9A"/>
    <w:rsid w:val="00E1017C"/>
    <w:rsid w:val="00E11280"/>
    <w:rsid w:val="00E1177B"/>
    <w:rsid w:val="00E120AF"/>
    <w:rsid w:val="00E12359"/>
    <w:rsid w:val="00E14C00"/>
    <w:rsid w:val="00E14CE5"/>
    <w:rsid w:val="00E152FF"/>
    <w:rsid w:val="00E17D45"/>
    <w:rsid w:val="00E2270F"/>
    <w:rsid w:val="00E23A2C"/>
    <w:rsid w:val="00E23D6A"/>
    <w:rsid w:val="00E2461B"/>
    <w:rsid w:val="00E24886"/>
    <w:rsid w:val="00E276FB"/>
    <w:rsid w:val="00E27E92"/>
    <w:rsid w:val="00E321E4"/>
    <w:rsid w:val="00E32595"/>
    <w:rsid w:val="00E32DC6"/>
    <w:rsid w:val="00E3379A"/>
    <w:rsid w:val="00E33A74"/>
    <w:rsid w:val="00E34594"/>
    <w:rsid w:val="00E37936"/>
    <w:rsid w:val="00E4030B"/>
    <w:rsid w:val="00E40B80"/>
    <w:rsid w:val="00E40EE3"/>
    <w:rsid w:val="00E41D56"/>
    <w:rsid w:val="00E450DE"/>
    <w:rsid w:val="00E457DF"/>
    <w:rsid w:val="00E46005"/>
    <w:rsid w:val="00E46642"/>
    <w:rsid w:val="00E46660"/>
    <w:rsid w:val="00E5019C"/>
    <w:rsid w:val="00E51352"/>
    <w:rsid w:val="00E5139A"/>
    <w:rsid w:val="00E52D02"/>
    <w:rsid w:val="00E536CB"/>
    <w:rsid w:val="00E5413D"/>
    <w:rsid w:val="00E54816"/>
    <w:rsid w:val="00E55905"/>
    <w:rsid w:val="00E57977"/>
    <w:rsid w:val="00E611E7"/>
    <w:rsid w:val="00E635D7"/>
    <w:rsid w:val="00E63DE6"/>
    <w:rsid w:val="00E70576"/>
    <w:rsid w:val="00E70757"/>
    <w:rsid w:val="00E71DED"/>
    <w:rsid w:val="00E71F78"/>
    <w:rsid w:val="00E73C35"/>
    <w:rsid w:val="00E75BD9"/>
    <w:rsid w:val="00E76BAE"/>
    <w:rsid w:val="00E805E2"/>
    <w:rsid w:val="00E8075A"/>
    <w:rsid w:val="00E8128F"/>
    <w:rsid w:val="00E835FB"/>
    <w:rsid w:val="00E83954"/>
    <w:rsid w:val="00E86506"/>
    <w:rsid w:val="00E87A45"/>
    <w:rsid w:val="00E91730"/>
    <w:rsid w:val="00E96F04"/>
    <w:rsid w:val="00E970AC"/>
    <w:rsid w:val="00E97AEC"/>
    <w:rsid w:val="00EA20FE"/>
    <w:rsid w:val="00EA6DEA"/>
    <w:rsid w:val="00EA7910"/>
    <w:rsid w:val="00EB0DA5"/>
    <w:rsid w:val="00EB1E9B"/>
    <w:rsid w:val="00EB25EF"/>
    <w:rsid w:val="00EB491E"/>
    <w:rsid w:val="00EB681B"/>
    <w:rsid w:val="00EC2A63"/>
    <w:rsid w:val="00EC4FAD"/>
    <w:rsid w:val="00EC6839"/>
    <w:rsid w:val="00ED49D0"/>
    <w:rsid w:val="00ED5962"/>
    <w:rsid w:val="00ED5DF4"/>
    <w:rsid w:val="00EE1333"/>
    <w:rsid w:val="00EE3CFA"/>
    <w:rsid w:val="00EE475F"/>
    <w:rsid w:val="00EE5735"/>
    <w:rsid w:val="00EE5AD3"/>
    <w:rsid w:val="00EE69E4"/>
    <w:rsid w:val="00EE75FA"/>
    <w:rsid w:val="00EF0E9A"/>
    <w:rsid w:val="00EF1C52"/>
    <w:rsid w:val="00EF25CB"/>
    <w:rsid w:val="00EF2A7F"/>
    <w:rsid w:val="00EF7E90"/>
    <w:rsid w:val="00F002B6"/>
    <w:rsid w:val="00F020F9"/>
    <w:rsid w:val="00F0522C"/>
    <w:rsid w:val="00F05C3A"/>
    <w:rsid w:val="00F10AFE"/>
    <w:rsid w:val="00F12FB6"/>
    <w:rsid w:val="00F139D8"/>
    <w:rsid w:val="00F14ED1"/>
    <w:rsid w:val="00F15C6C"/>
    <w:rsid w:val="00F17173"/>
    <w:rsid w:val="00F20987"/>
    <w:rsid w:val="00F20F27"/>
    <w:rsid w:val="00F224DC"/>
    <w:rsid w:val="00F231F1"/>
    <w:rsid w:val="00F23879"/>
    <w:rsid w:val="00F26452"/>
    <w:rsid w:val="00F2687F"/>
    <w:rsid w:val="00F26A5E"/>
    <w:rsid w:val="00F27F29"/>
    <w:rsid w:val="00F31E07"/>
    <w:rsid w:val="00F32D54"/>
    <w:rsid w:val="00F358F4"/>
    <w:rsid w:val="00F36C54"/>
    <w:rsid w:val="00F37721"/>
    <w:rsid w:val="00F418EA"/>
    <w:rsid w:val="00F419E8"/>
    <w:rsid w:val="00F41A29"/>
    <w:rsid w:val="00F43018"/>
    <w:rsid w:val="00F443BF"/>
    <w:rsid w:val="00F44C1C"/>
    <w:rsid w:val="00F44EB0"/>
    <w:rsid w:val="00F518DF"/>
    <w:rsid w:val="00F544B4"/>
    <w:rsid w:val="00F544DB"/>
    <w:rsid w:val="00F551B2"/>
    <w:rsid w:val="00F5743E"/>
    <w:rsid w:val="00F614DD"/>
    <w:rsid w:val="00F648EA"/>
    <w:rsid w:val="00F6502E"/>
    <w:rsid w:val="00F65663"/>
    <w:rsid w:val="00F669FB"/>
    <w:rsid w:val="00F67855"/>
    <w:rsid w:val="00F723FF"/>
    <w:rsid w:val="00F75147"/>
    <w:rsid w:val="00F756C0"/>
    <w:rsid w:val="00F7587A"/>
    <w:rsid w:val="00F75A40"/>
    <w:rsid w:val="00F77151"/>
    <w:rsid w:val="00F77637"/>
    <w:rsid w:val="00F77D2E"/>
    <w:rsid w:val="00F814FE"/>
    <w:rsid w:val="00F8435D"/>
    <w:rsid w:val="00F84588"/>
    <w:rsid w:val="00F857D5"/>
    <w:rsid w:val="00F862E5"/>
    <w:rsid w:val="00F868A8"/>
    <w:rsid w:val="00F87DD0"/>
    <w:rsid w:val="00F906BB"/>
    <w:rsid w:val="00F92F9B"/>
    <w:rsid w:val="00F93360"/>
    <w:rsid w:val="00F93FE4"/>
    <w:rsid w:val="00F94354"/>
    <w:rsid w:val="00F97E4E"/>
    <w:rsid w:val="00FA0C12"/>
    <w:rsid w:val="00FA1A40"/>
    <w:rsid w:val="00FA217B"/>
    <w:rsid w:val="00FB07A3"/>
    <w:rsid w:val="00FB0BC5"/>
    <w:rsid w:val="00FB0BCC"/>
    <w:rsid w:val="00FB0E2F"/>
    <w:rsid w:val="00FB4362"/>
    <w:rsid w:val="00FB788F"/>
    <w:rsid w:val="00FC0FE5"/>
    <w:rsid w:val="00FC1637"/>
    <w:rsid w:val="00FD03BD"/>
    <w:rsid w:val="00FD1ABC"/>
    <w:rsid w:val="00FD4570"/>
    <w:rsid w:val="00FD4F16"/>
    <w:rsid w:val="00FD5462"/>
    <w:rsid w:val="00FD7673"/>
    <w:rsid w:val="00FD7A09"/>
    <w:rsid w:val="00FD7DDF"/>
    <w:rsid w:val="00FE04B0"/>
    <w:rsid w:val="00FE4C92"/>
    <w:rsid w:val="00FE7400"/>
    <w:rsid w:val="00FF0FAA"/>
    <w:rsid w:val="00FF3759"/>
    <w:rsid w:val="00FF4396"/>
    <w:rsid w:val="00FF5286"/>
    <w:rsid w:val="00FF6D0F"/>
    <w:rsid w:val="06326AF8"/>
    <w:rsid w:val="0A606F09"/>
    <w:rsid w:val="0AB43FDE"/>
    <w:rsid w:val="0EDA3563"/>
    <w:rsid w:val="0EDCB585"/>
    <w:rsid w:val="111147FB"/>
    <w:rsid w:val="1535DBFD"/>
    <w:rsid w:val="155467DB"/>
    <w:rsid w:val="172E6375"/>
    <w:rsid w:val="17E93E5B"/>
    <w:rsid w:val="1902A1EE"/>
    <w:rsid w:val="1BE0C4F2"/>
    <w:rsid w:val="1C5EC3B3"/>
    <w:rsid w:val="2140CB42"/>
    <w:rsid w:val="219B4976"/>
    <w:rsid w:val="21F1DDC8"/>
    <w:rsid w:val="2228F5FE"/>
    <w:rsid w:val="23B6FB23"/>
    <w:rsid w:val="273605BD"/>
    <w:rsid w:val="284E2540"/>
    <w:rsid w:val="2D9A486F"/>
    <w:rsid w:val="2F5F5028"/>
    <w:rsid w:val="301263EC"/>
    <w:rsid w:val="320CDF91"/>
    <w:rsid w:val="329404B0"/>
    <w:rsid w:val="332E130E"/>
    <w:rsid w:val="35E28C52"/>
    <w:rsid w:val="35F7577E"/>
    <w:rsid w:val="38B8F8EB"/>
    <w:rsid w:val="38D8E925"/>
    <w:rsid w:val="3D0125AC"/>
    <w:rsid w:val="402415ED"/>
    <w:rsid w:val="41601BD7"/>
    <w:rsid w:val="4226D74D"/>
    <w:rsid w:val="43FC4890"/>
    <w:rsid w:val="46F9E39A"/>
    <w:rsid w:val="48FF8F9E"/>
    <w:rsid w:val="4B3DC45C"/>
    <w:rsid w:val="4E357A35"/>
    <w:rsid w:val="4F46BBCA"/>
    <w:rsid w:val="5169CAF3"/>
    <w:rsid w:val="5270D65A"/>
    <w:rsid w:val="52D42840"/>
    <w:rsid w:val="55695CBD"/>
    <w:rsid w:val="56BA086F"/>
    <w:rsid w:val="57BDEBDC"/>
    <w:rsid w:val="5A33410B"/>
    <w:rsid w:val="5C6DCB0C"/>
    <w:rsid w:val="5CC44125"/>
    <w:rsid w:val="5D7ACB8C"/>
    <w:rsid w:val="5F793895"/>
    <w:rsid w:val="60B07563"/>
    <w:rsid w:val="64FFC78B"/>
    <w:rsid w:val="6519E25F"/>
    <w:rsid w:val="658E388A"/>
    <w:rsid w:val="67AC22DB"/>
    <w:rsid w:val="67BB94C5"/>
    <w:rsid w:val="69095AF6"/>
    <w:rsid w:val="692CDE88"/>
    <w:rsid w:val="6ACC0958"/>
    <w:rsid w:val="6C15E9D4"/>
    <w:rsid w:val="6DC16E15"/>
    <w:rsid w:val="6DC8F28E"/>
    <w:rsid w:val="6F799433"/>
    <w:rsid w:val="6F9B1B3C"/>
    <w:rsid w:val="704DE7AB"/>
    <w:rsid w:val="710E45BD"/>
    <w:rsid w:val="74276662"/>
    <w:rsid w:val="78376F3A"/>
    <w:rsid w:val="78CFBE2E"/>
    <w:rsid w:val="7964B21F"/>
    <w:rsid w:val="7D4AACA9"/>
    <w:rsid w:val="7FF885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00C2129"/>
  <w15:docId w15:val="{0B09ED79-1968-461B-864C-D0255347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B98"/>
    <w:pPr>
      <w:spacing w:line="288" w:lineRule="auto"/>
      <w:jc w:val="both"/>
    </w:pPr>
    <w:rPr>
      <w:lang w:eastAsia="en-US" w:bidi="ar-SA"/>
    </w:rPr>
  </w:style>
  <w:style w:type="paragraph" w:styleId="Heading1">
    <w:name w:val="heading 1"/>
    <w:basedOn w:val="Normal"/>
    <w:next w:val="Normal"/>
    <w:link w:val="Heading1Char"/>
    <w:qFormat/>
    <w:rsid w:val="00DB3B98"/>
    <w:pPr>
      <w:numPr>
        <w:numId w:val="1"/>
      </w:numPr>
      <w:ind w:left="567" w:hanging="567"/>
      <w:outlineLvl w:val="0"/>
    </w:pPr>
    <w:rPr>
      <w:kern w:val="28"/>
    </w:rPr>
  </w:style>
  <w:style w:type="paragraph" w:styleId="Heading2">
    <w:name w:val="heading 2"/>
    <w:basedOn w:val="Normal"/>
    <w:next w:val="Normal"/>
    <w:link w:val="Heading2Char"/>
    <w:qFormat/>
    <w:rsid w:val="00DB3B98"/>
    <w:pPr>
      <w:numPr>
        <w:ilvl w:val="1"/>
        <w:numId w:val="1"/>
      </w:numPr>
      <w:ind w:left="567" w:hanging="567"/>
      <w:outlineLvl w:val="1"/>
    </w:pPr>
  </w:style>
  <w:style w:type="paragraph" w:styleId="Heading3">
    <w:name w:val="heading 3"/>
    <w:basedOn w:val="Normal"/>
    <w:next w:val="Normal"/>
    <w:link w:val="Heading3Char"/>
    <w:qFormat/>
    <w:rsid w:val="00DB3B98"/>
    <w:pPr>
      <w:numPr>
        <w:ilvl w:val="2"/>
        <w:numId w:val="1"/>
      </w:numPr>
      <w:ind w:left="567" w:hanging="567"/>
      <w:outlineLvl w:val="2"/>
    </w:pPr>
  </w:style>
  <w:style w:type="paragraph" w:styleId="Heading4">
    <w:name w:val="heading 4"/>
    <w:basedOn w:val="Normal"/>
    <w:next w:val="Normal"/>
    <w:link w:val="Heading4Char"/>
    <w:qFormat/>
    <w:rsid w:val="00DB3B98"/>
    <w:pPr>
      <w:numPr>
        <w:ilvl w:val="3"/>
        <w:numId w:val="1"/>
      </w:numPr>
      <w:ind w:left="567" w:hanging="567"/>
      <w:outlineLvl w:val="3"/>
    </w:pPr>
  </w:style>
  <w:style w:type="paragraph" w:styleId="Heading5">
    <w:name w:val="heading 5"/>
    <w:basedOn w:val="Normal"/>
    <w:next w:val="Normal"/>
    <w:link w:val="Heading5Char"/>
    <w:qFormat/>
    <w:rsid w:val="00DB3B98"/>
    <w:pPr>
      <w:numPr>
        <w:ilvl w:val="4"/>
        <w:numId w:val="1"/>
      </w:numPr>
      <w:ind w:left="567" w:hanging="567"/>
      <w:outlineLvl w:val="4"/>
    </w:pPr>
  </w:style>
  <w:style w:type="paragraph" w:styleId="Heading6">
    <w:name w:val="heading 6"/>
    <w:basedOn w:val="Normal"/>
    <w:next w:val="Normal"/>
    <w:link w:val="Heading6Char"/>
    <w:qFormat/>
    <w:rsid w:val="00DB3B98"/>
    <w:pPr>
      <w:numPr>
        <w:ilvl w:val="5"/>
        <w:numId w:val="1"/>
      </w:numPr>
      <w:ind w:left="567" w:hanging="567"/>
      <w:outlineLvl w:val="5"/>
    </w:pPr>
  </w:style>
  <w:style w:type="paragraph" w:styleId="Heading7">
    <w:name w:val="heading 7"/>
    <w:basedOn w:val="Normal"/>
    <w:next w:val="Normal"/>
    <w:link w:val="Heading7Char"/>
    <w:qFormat/>
    <w:rsid w:val="00DB3B98"/>
    <w:pPr>
      <w:numPr>
        <w:ilvl w:val="6"/>
        <w:numId w:val="1"/>
      </w:numPr>
      <w:ind w:left="567" w:hanging="567"/>
      <w:outlineLvl w:val="6"/>
    </w:pPr>
  </w:style>
  <w:style w:type="paragraph" w:styleId="Heading8">
    <w:name w:val="heading 8"/>
    <w:basedOn w:val="Normal"/>
    <w:next w:val="Normal"/>
    <w:link w:val="Heading8Char"/>
    <w:qFormat/>
    <w:rsid w:val="00DB3B98"/>
    <w:pPr>
      <w:numPr>
        <w:ilvl w:val="7"/>
        <w:numId w:val="1"/>
      </w:numPr>
      <w:ind w:left="567" w:hanging="567"/>
      <w:outlineLvl w:val="7"/>
    </w:pPr>
  </w:style>
  <w:style w:type="paragraph" w:styleId="Heading9">
    <w:name w:val="heading 9"/>
    <w:basedOn w:val="Normal"/>
    <w:next w:val="Normal"/>
    <w:link w:val="Heading9Char"/>
    <w:qFormat/>
    <w:rsid w:val="00DB3B98"/>
    <w:pPr>
      <w:numPr>
        <w:ilvl w:val="8"/>
        <w:numId w:val="1"/>
      </w:numPr>
      <w:ind w:left="567" w:hanging="567"/>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n-US" w:eastAsia="en-US" w:bidi="ar-SA"/>
    </w:rPr>
  </w:style>
  <w:style w:type="character" w:customStyle="1" w:styleId="Heading2Char">
    <w:name w:val="Heading 2 Char"/>
    <w:basedOn w:val="DefaultParagraphFont"/>
    <w:link w:val="Heading2"/>
    <w:locked/>
    <w:rsid w:val="00CB1536"/>
    <w:rPr>
      <w:lang w:val="en-US" w:eastAsia="en-US" w:bidi="ar-SA"/>
    </w:rPr>
  </w:style>
  <w:style w:type="character" w:customStyle="1" w:styleId="Heading3Char">
    <w:name w:val="Heading 3 Char"/>
    <w:basedOn w:val="DefaultParagraphFont"/>
    <w:link w:val="Heading3"/>
    <w:locked/>
    <w:rsid w:val="00CB1536"/>
    <w:rPr>
      <w:lang w:val="en-US" w:eastAsia="en-US" w:bidi="ar-SA"/>
    </w:rPr>
  </w:style>
  <w:style w:type="character" w:customStyle="1" w:styleId="Heading4Char">
    <w:name w:val="Heading 4 Char"/>
    <w:basedOn w:val="DefaultParagraphFont"/>
    <w:link w:val="Heading4"/>
    <w:locked/>
    <w:rsid w:val="00CB1536"/>
    <w:rPr>
      <w:lang w:val="en-US" w:eastAsia="en-US" w:bidi="ar-SA"/>
    </w:rPr>
  </w:style>
  <w:style w:type="character" w:customStyle="1" w:styleId="Heading5Char">
    <w:name w:val="Heading 5 Char"/>
    <w:basedOn w:val="DefaultParagraphFont"/>
    <w:link w:val="Heading5"/>
    <w:locked/>
    <w:rsid w:val="00CB1536"/>
    <w:rPr>
      <w:lang w:val="en-US" w:eastAsia="en-US" w:bidi="ar-SA"/>
    </w:rPr>
  </w:style>
  <w:style w:type="character" w:customStyle="1" w:styleId="Heading6Char">
    <w:name w:val="Heading 6 Char"/>
    <w:basedOn w:val="DefaultParagraphFont"/>
    <w:link w:val="Heading6"/>
    <w:locked/>
    <w:rsid w:val="00CB1536"/>
    <w:rPr>
      <w:lang w:val="en-US" w:eastAsia="en-US" w:bidi="ar-SA"/>
    </w:rPr>
  </w:style>
  <w:style w:type="character" w:customStyle="1" w:styleId="Heading7Char">
    <w:name w:val="Heading 7 Char"/>
    <w:basedOn w:val="DefaultParagraphFont"/>
    <w:link w:val="Heading7"/>
    <w:locked/>
    <w:rsid w:val="00CB1536"/>
    <w:rPr>
      <w:lang w:val="en-US" w:eastAsia="en-US" w:bidi="ar-SA"/>
    </w:rPr>
  </w:style>
  <w:style w:type="character" w:customStyle="1" w:styleId="Heading8Char">
    <w:name w:val="Heading 8 Char"/>
    <w:basedOn w:val="DefaultParagraphFont"/>
    <w:link w:val="Heading8"/>
    <w:locked/>
    <w:rsid w:val="00CB1536"/>
    <w:rPr>
      <w:lang w:val="en-US" w:eastAsia="en-US" w:bidi="ar-SA"/>
    </w:rPr>
  </w:style>
  <w:style w:type="character" w:customStyle="1" w:styleId="Heading9Char">
    <w:name w:val="Heading 9 Char"/>
    <w:basedOn w:val="DefaultParagraphFont"/>
    <w:link w:val="Heading9"/>
    <w:locked/>
    <w:rsid w:val="00CB1536"/>
    <w:rPr>
      <w:lang w:val="en-US" w:eastAsia="en-US" w:bidi="ar-SA"/>
    </w:rPr>
  </w:style>
  <w:style w:type="paragraph" w:styleId="Footer">
    <w:name w:val="footer"/>
    <w:basedOn w:val="Normal"/>
    <w:link w:val="FooterChar"/>
    <w:qFormat/>
    <w:rsid w:val="00DB3B98"/>
  </w:style>
  <w:style w:type="character" w:customStyle="1" w:styleId="FooterChar">
    <w:name w:val="Footer Char"/>
    <w:basedOn w:val="DefaultParagraphFont"/>
    <w:link w:val="Footer"/>
    <w:locked/>
    <w:rsid w:val="00CB1536"/>
    <w:rPr>
      <w:lang w:val="en-US" w:eastAsia="en-US" w:bidi="ar-SA"/>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
    <w:basedOn w:val="Normal"/>
    <w:link w:val="FootnoteTextChar"/>
    <w:qFormat/>
    <w:rsid w:val="00DB3B98"/>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locked/>
    <w:rsid w:val="00CB1536"/>
    <w:rPr>
      <w:sz w:val="16"/>
      <w:lang w:val="en-US" w:eastAsia="en-US" w:bidi="ar-SA"/>
    </w:rPr>
  </w:style>
  <w:style w:type="paragraph" w:styleId="Header">
    <w:name w:val="header"/>
    <w:basedOn w:val="Normal"/>
    <w:link w:val="HeaderChar"/>
    <w:qFormat/>
    <w:rsid w:val="00DB3B98"/>
  </w:style>
  <w:style w:type="character" w:customStyle="1" w:styleId="HeaderChar">
    <w:name w:val="Header Char"/>
    <w:basedOn w:val="DefaultParagraphFont"/>
    <w:link w:val="Header"/>
    <w:locked/>
    <w:rsid w:val="00CB1536"/>
    <w:rPr>
      <w:lang w:val="en-US"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DB3B98"/>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DB3B98"/>
    <w:pPr>
      <w:ind w:left="720"/>
    </w:pPr>
    <w:rPr>
      <w:i/>
    </w:rPr>
  </w:style>
  <w:style w:type="paragraph" w:styleId="ListParagraph">
    <w:name w:val="List Paragraph"/>
    <w:basedOn w:val="Normal"/>
    <w:uiPriority w:val="34"/>
    <w:qFormat/>
    <w:rsid w:val="000D7974"/>
    <w:pPr>
      <w:ind w:left="720"/>
      <w:contextualSpacing/>
    </w:pPr>
  </w:style>
  <w:style w:type="paragraph" w:styleId="EndnoteText">
    <w:name w:val="endnote text"/>
    <w:basedOn w:val="Normal"/>
    <w:link w:val="EndnoteTextChar"/>
    <w:uiPriority w:val="99"/>
    <w:semiHidden/>
    <w:unhideWhenUsed/>
    <w:rsid w:val="00DB5B01"/>
    <w:pPr>
      <w:spacing w:line="240" w:lineRule="auto"/>
      <w:jc w:val="left"/>
    </w:pPr>
    <w:rPr>
      <w:rFonts w:ascii="Arial" w:eastAsiaTheme="minorHAnsi" w:hAnsi="Arial" w:cs="Arial"/>
      <w:sz w:val="20"/>
      <w:szCs w:val="20"/>
    </w:rPr>
  </w:style>
  <w:style w:type="character" w:customStyle="1" w:styleId="EndnoteTextChar">
    <w:name w:val="Endnote Text Char"/>
    <w:basedOn w:val="DefaultParagraphFont"/>
    <w:link w:val="EndnoteText"/>
    <w:uiPriority w:val="99"/>
    <w:semiHidden/>
    <w:rsid w:val="00DB5B01"/>
    <w:rPr>
      <w:rFonts w:ascii="Arial" w:eastAsiaTheme="minorHAnsi" w:hAnsi="Arial" w:cs="Arial"/>
      <w:sz w:val="20"/>
      <w:szCs w:val="20"/>
      <w:lang w:eastAsia="en-US" w:bidi="ar-SA"/>
    </w:rPr>
  </w:style>
  <w:style w:type="character" w:styleId="EndnoteReference">
    <w:name w:val="endnote reference"/>
    <w:basedOn w:val="DefaultParagraphFont"/>
    <w:uiPriority w:val="99"/>
    <w:semiHidden/>
    <w:unhideWhenUsed/>
    <w:rsid w:val="00DB5B01"/>
    <w:rPr>
      <w:vertAlign w:val="superscript"/>
    </w:rPr>
  </w:style>
  <w:style w:type="table" w:styleId="TableGrid">
    <w:name w:val="Table Grid"/>
    <w:basedOn w:val="TableNormal"/>
    <w:uiPriority w:val="59"/>
    <w:locked/>
    <w:rsid w:val="00574F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6292">
      <w:bodyDiv w:val="1"/>
      <w:marLeft w:val="0"/>
      <w:marRight w:val="0"/>
      <w:marTop w:val="0"/>
      <w:marBottom w:val="0"/>
      <w:divBdr>
        <w:top w:val="none" w:sz="0" w:space="0" w:color="auto"/>
        <w:left w:val="none" w:sz="0" w:space="0" w:color="auto"/>
        <w:bottom w:val="none" w:sz="0" w:space="0" w:color="auto"/>
        <w:right w:val="none" w:sz="0" w:space="0" w:color="auto"/>
      </w:divBdr>
    </w:div>
    <w:div w:id="405497820">
      <w:bodyDiv w:val="1"/>
      <w:marLeft w:val="0"/>
      <w:marRight w:val="0"/>
      <w:marTop w:val="0"/>
      <w:marBottom w:val="0"/>
      <w:divBdr>
        <w:top w:val="none" w:sz="0" w:space="0" w:color="auto"/>
        <w:left w:val="none" w:sz="0" w:space="0" w:color="auto"/>
        <w:bottom w:val="none" w:sz="0" w:space="0" w:color="auto"/>
        <w:right w:val="none" w:sz="0" w:space="0" w:color="auto"/>
      </w:divBdr>
    </w:div>
    <w:div w:id="455760614">
      <w:bodyDiv w:val="1"/>
      <w:marLeft w:val="0"/>
      <w:marRight w:val="0"/>
      <w:marTop w:val="0"/>
      <w:marBottom w:val="0"/>
      <w:divBdr>
        <w:top w:val="none" w:sz="0" w:space="0" w:color="auto"/>
        <w:left w:val="none" w:sz="0" w:space="0" w:color="auto"/>
        <w:bottom w:val="none" w:sz="0" w:space="0" w:color="auto"/>
        <w:right w:val="none" w:sz="0" w:space="0" w:color="auto"/>
      </w:divBdr>
    </w:div>
    <w:div w:id="529800854">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684093147">
      <w:bodyDiv w:val="1"/>
      <w:marLeft w:val="0"/>
      <w:marRight w:val="0"/>
      <w:marTop w:val="0"/>
      <w:marBottom w:val="0"/>
      <w:divBdr>
        <w:top w:val="none" w:sz="0" w:space="0" w:color="auto"/>
        <w:left w:val="none" w:sz="0" w:space="0" w:color="auto"/>
        <w:bottom w:val="none" w:sz="0" w:space="0" w:color="auto"/>
        <w:right w:val="none" w:sz="0" w:space="0" w:color="auto"/>
      </w:divBdr>
    </w:div>
    <w:div w:id="808208033">
      <w:bodyDiv w:val="1"/>
      <w:marLeft w:val="0"/>
      <w:marRight w:val="0"/>
      <w:marTop w:val="0"/>
      <w:marBottom w:val="0"/>
      <w:divBdr>
        <w:top w:val="none" w:sz="0" w:space="0" w:color="auto"/>
        <w:left w:val="none" w:sz="0" w:space="0" w:color="auto"/>
        <w:bottom w:val="none" w:sz="0" w:space="0" w:color="auto"/>
        <w:right w:val="none" w:sz="0" w:space="0" w:color="auto"/>
      </w:divBdr>
      <w:divsChild>
        <w:div w:id="900289746">
          <w:marLeft w:val="0"/>
          <w:marRight w:val="0"/>
          <w:marTop w:val="0"/>
          <w:marBottom w:val="0"/>
          <w:divBdr>
            <w:top w:val="none" w:sz="0" w:space="0" w:color="auto"/>
            <w:left w:val="none" w:sz="0" w:space="0" w:color="auto"/>
            <w:bottom w:val="none" w:sz="0" w:space="0" w:color="auto"/>
            <w:right w:val="none" w:sz="0" w:space="0" w:color="auto"/>
          </w:divBdr>
        </w:div>
        <w:div w:id="765610674">
          <w:marLeft w:val="0"/>
          <w:marRight w:val="0"/>
          <w:marTop w:val="0"/>
          <w:marBottom w:val="0"/>
          <w:divBdr>
            <w:top w:val="none" w:sz="0" w:space="0" w:color="auto"/>
            <w:left w:val="none" w:sz="0" w:space="0" w:color="auto"/>
            <w:bottom w:val="none" w:sz="0" w:space="0" w:color="auto"/>
            <w:right w:val="none" w:sz="0" w:space="0" w:color="auto"/>
          </w:divBdr>
        </w:div>
        <w:div w:id="633634085">
          <w:marLeft w:val="0"/>
          <w:marRight w:val="0"/>
          <w:marTop w:val="0"/>
          <w:marBottom w:val="0"/>
          <w:divBdr>
            <w:top w:val="none" w:sz="0" w:space="0" w:color="auto"/>
            <w:left w:val="none" w:sz="0" w:space="0" w:color="auto"/>
            <w:bottom w:val="none" w:sz="0" w:space="0" w:color="auto"/>
            <w:right w:val="none" w:sz="0" w:space="0" w:color="auto"/>
          </w:divBdr>
        </w:div>
        <w:div w:id="767773759">
          <w:marLeft w:val="0"/>
          <w:marRight w:val="0"/>
          <w:marTop w:val="0"/>
          <w:marBottom w:val="0"/>
          <w:divBdr>
            <w:top w:val="none" w:sz="0" w:space="0" w:color="auto"/>
            <w:left w:val="none" w:sz="0" w:space="0" w:color="auto"/>
            <w:bottom w:val="none" w:sz="0" w:space="0" w:color="auto"/>
            <w:right w:val="none" w:sz="0" w:space="0" w:color="auto"/>
          </w:divBdr>
        </w:div>
      </w:divsChild>
    </w:div>
    <w:div w:id="886796897">
      <w:bodyDiv w:val="1"/>
      <w:marLeft w:val="0"/>
      <w:marRight w:val="0"/>
      <w:marTop w:val="0"/>
      <w:marBottom w:val="0"/>
      <w:divBdr>
        <w:top w:val="none" w:sz="0" w:space="0" w:color="auto"/>
        <w:left w:val="none" w:sz="0" w:space="0" w:color="auto"/>
        <w:bottom w:val="none" w:sz="0" w:space="0" w:color="auto"/>
        <w:right w:val="none" w:sz="0" w:space="0" w:color="auto"/>
      </w:divBdr>
    </w:div>
    <w:div w:id="913592520">
      <w:bodyDiv w:val="1"/>
      <w:marLeft w:val="0"/>
      <w:marRight w:val="0"/>
      <w:marTop w:val="0"/>
      <w:marBottom w:val="0"/>
      <w:divBdr>
        <w:top w:val="none" w:sz="0" w:space="0" w:color="auto"/>
        <w:left w:val="none" w:sz="0" w:space="0" w:color="auto"/>
        <w:bottom w:val="none" w:sz="0" w:space="0" w:color="auto"/>
        <w:right w:val="none" w:sz="0" w:space="0" w:color="auto"/>
      </w:divBdr>
    </w:div>
    <w:div w:id="1129514571">
      <w:bodyDiv w:val="1"/>
      <w:marLeft w:val="0"/>
      <w:marRight w:val="0"/>
      <w:marTop w:val="0"/>
      <w:marBottom w:val="0"/>
      <w:divBdr>
        <w:top w:val="none" w:sz="0" w:space="0" w:color="auto"/>
        <w:left w:val="none" w:sz="0" w:space="0" w:color="auto"/>
        <w:bottom w:val="none" w:sz="0" w:space="0" w:color="auto"/>
        <w:right w:val="none" w:sz="0" w:space="0" w:color="auto"/>
      </w:divBdr>
    </w:div>
    <w:div w:id="1174805818">
      <w:bodyDiv w:val="1"/>
      <w:marLeft w:val="0"/>
      <w:marRight w:val="0"/>
      <w:marTop w:val="0"/>
      <w:marBottom w:val="0"/>
      <w:divBdr>
        <w:top w:val="none" w:sz="0" w:space="0" w:color="auto"/>
        <w:left w:val="none" w:sz="0" w:space="0" w:color="auto"/>
        <w:bottom w:val="none" w:sz="0" w:space="0" w:color="auto"/>
        <w:right w:val="none" w:sz="0" w:space="0" w:color="auto"/>
      </w:divBdr>
    </w:div>
    <w:div w:id="1322390509">
      <w:bodyDiv w:val="1"/>
      <w:marLeft w:val="0"/>
      <w:marRight w:val="0"/>
      <w:marTop w:val="0"/>
      <w:marBottom w:val="0"/>
      <w:divBdr>
        <w:top w:val="none" w:sz="0" w:space="0" w:color="auto"/>
        <w:left w:val="none" w:sz="0" w:space="0" w:color="auto"/>
        <w:bottom w:val="none" w:sz="0" w:space="0" w:color="auto"/>
        <w:right w:val="none" w:sz="0" w:space="0" w:color="auto"/>
      </w:divBdr>
    </w:div>
    <w:div w:id="1356732541">
      <w:bodyDiv w:val="1"/>
      <w:marLeft w:val="0"/>
      <w:marRight w:val="0"/>
      <w:marTop w:val="0"/>
      <w:marBottom w:val="0"/>
      <w:divBdr>
        <w:top w:val="none" w:sz="0" w:space="0" w:color="auto"/>
        <w:left w:val="none" w:sz="0" w:space="0" w:color="auto"/>
        <w:bottom w:val="none" w:sz="0" w:space="0" w:color="auto"/>
        <w:right w:val="none" w:sz="0" w:space="0" w:color="auto"/>
      </w:divBdr>
    </w:div>
    <w:div w:id="1382435711">
      <w:bodyDiv w:val="1"/>
      <w:marLeft w:val="0"/>
      <w:marRight w:val="0"/>
      <w:marTop w:val="0"/>
      <w:marBottom w:val="0"/>
      <w:divBdr>
        <w:top w:val="none" w:sz="0" w:space="0" w:color="auto"/>
        <w:left w:val="none" w:sz="0" w:space="0" w:color="auto"/>
        <w:bottom w:val="none" w:sz="0" w:space="0" w:color="auto"/>
        <w:right w:val="none" w:sz="0" w:space="0" w:color="auto"/>
      </w:divBdr>
    </w:div>
    <w:div w:id="1424566983">
      <w:bodyDiv w:val="1"/>
      <w:marLeft w:val="0"/>
      <w:marRight w:val="0"/>
      <w:marTop w:val="0"/>
      <w:marBottom w:val="0"/>
      <w:divBdr>
        <w:top w:val="none" w:sz="0" w:space="0" w:color="auto"/>
        <w:left w:val="none" w:sz="0" w:space="0" w:color="auto"/>
        <w:bottom w:val="none" w:sz="0" w:space="0" w:color="auto"/>
        <w:right w:val="none" w:sz="0" w:space="0" w:color="auto"/>
      </w:divBdr>
    </w:div>
    <w:div w:id="1561213181">
      <w:bodyDiv w:val="1"/>
      <w:marLeft w:val="0"/>
      <w:marRight w:val="0"/>
      <w:marTop w:val="0"/>
      <w:marBottom w:val="0"/>
      <w:divBdr>
        <w:top w:val="none" w:sz="0" w:space="0" w:color="auto"/>
        <w:left w:val="none" w:sz="0" w:space="0" w:color="auto"/>
        <w:bottom w:val="none" w:sz="0" w:space="0" w:color="auto"/>
        <w:right w:val="none" w:sz="0" w:space="0" w:color="auto"/>
      </w:divBdr>
    </w:div>
    <w:div w:id="1591308544">
      <w:bodyDiv w:val="1"/>
      <w:marLeft w:val="0"/>
      <w:marRight w:val="0"/>
      <w:marTop w:val="0"/>
      <w:marBottom w:val="0"/>
      <w:divBdr>
        <w:top w:val="none" w:sz="0" w:space="0" w:color="auto"/>
        <w:left w:val="none" w:sz="0" w:space="0" w:color="auto"/>
        <w:bottom w:val="none" w:sz="0" w:space="0" w:color="auto"/>
        <w:right w:val="none" w:sz="0" w:space="0" w:color="auto"/>
      </w:divBdr>
    </w:div>
    <w:div w:id="1605267011">
      <w:bodyDiv w:val="1"/>
      <w:marLeft w:val="0"/>
      <w:marRight w:val="0"/>
      <w:marTop w:val="0"/>
      <w:marBottom w:val="0"/>
      <w:divBdr>
        <w:top w:val="none" w:sz="0" w:space="0" w:color="auto"/>
        <w:left w:val="none" w:sz="0" w:space="0" w:color="auto"/>
        <w:bottom w:val="none" w:sz="0" w:space="0" w:color="auto"/>
        <w:right w:val="none" w:sz="0" w:space="0" w:color="auto"/>
      </w:divBdr>
    </w:div>
    <w:div w:id="1639534462">
      <w:bodyDiv w:val="1"/>
      <w:marLeft w:val="0"/>
      <w:marRight w:val="0"/>
      <w:marTop w:val="0"/>
      <w:marBottom w:val="0"/>
      <w:divBdr>
        <w:top w:val="none" w:sz="0" w:space="0" w:color="auto"/>
        <w:left w:val="none" w:sz="0" w:space="0" w:color="auto"/>
        <w:bottom w:val="none" w:sz="0" w:space="0" w:color="auto"/>
        <w:right w:val="none" w:sz="0" w:space="0" w:color="auto"/>
      </w:divBdr>
    </w:div>
    <w:div w:id="1643609754">
      <w:bodyDiv w:val="1"/>
      <w:marLeft w:val="0"/>
      <w:marRight w:val="0"/>
      <w:marTop w:val="0"/>
      <w:marBottom w:val="0"/>
      <w:divBdr>
        <w:top w:val="none" w:sz="0" w:space="0" w:color="auto"/>
        <w:left w:val="none" w:sz="0" w:space="0" w:color="auto"/>
        <w:bottom w:val="none" w:sz="0" w:space="0" w:color="auto"/>
        <w:right w:val="none" w:sz="0" w:space="0" w:color="auto"/>
      </w:divBdr>
    </w:div>
    <w:div w:id="1693918179">
      <w:bodyDiv w:val="1"/>
      <w:marLeft w:val="0"/>
      <w:marRight w:val="0"/>
      <w:marTop w:val="0"/>
      <w:marBottom w:val="0"/>
      <w:divBdr>
        <w:top w:val="none" w:sz="0" w:space="0" w:color="auto"/>
        <w:left w:val="none" w:sz="0" w:space="0" w:color="auto"/>
        <w:bottom w:val="none" w:sz="0" w:space="0" w:color="auto"/>
        <w:right w:val="none" w:sz="0" w:space="0" w:color="auto"/>
      </w:divBdr>
    </w:div>
    <w:div w:id="20805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nat@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13" Type="http://schemas.openxmlformats.org/officeDocument/2006/relationships/hyperlink" Target="http://www.unece.org/fileadmin/DAM/RCM_Website/Concept_note_SDG12_1.pdf%20and%20UNEP%20(2016)%20https:/www.oneplanetnetwork.org/sites/default/files/a_framework_for_shaping_sustainable_lifestyles_determinants_and_strategies_0.pdf." TargetMode="External"/><Relationship Id="rId18" Type="http://schemas.openxmlformats.org/officeDocument/2006/relationships/hyperlink" Target="http://makefruitfair.org/wp-content/uploads/2017/07/170224_Research_Report_External_Cost_of_Bananas_-_final.pdf" TargetMode="External"/><Relationship Id="rId26" Type="http://schemas.openxmlformats.org/officeDocument/2006/relationships/hyperlink" Target="https://ec.europa.eu/transparency/regdoc/rep/3/2018/SK/C-2018-3051-F1-SK-MAIN-PART-1.PDF" TargetMode="External"/><Relationship Id="rId39" Type="http://schemas.openxmlformats.org/officeDocument/2006/relationships/hyperlink" Target="https://read.oecd-ilibrary.org/view/?ref=129_129619-6upr496iui&amp;title=COVID-19-and-Responsible-Business-Conduct" TargetMode="External"/><Relationship Id="rId21" Type="http://schemas.openxmlformats.org/officeDocument/2006/relationships/hyperlink" Target="https://www.fairtrade.org.uk/wp-content/uploads/legacy/Competition-Law-and-Sustainability---Fairtrade-Report.pdf" TargetMode="External"/><Relationship Id="rId34" Type="http://schemas.openxmlformats.org/officeDocument/2006/relationships/hyperlink" Target="https://eur-lex.europa.eu/LexUriServ/LexUriServ.do?uri=OJ:C:2018:081:SOM:SK:HTML" TargetMode="External"/><Relationship Id="rId42" Type="http://schemas.openxmlformats.org/officeDocument/2006/relationships/hyperlink" Target="http://www.oecd.org/corporate/mne/responsible-supply-chains-textile-garment-sector.htm" TargetMode="External"/><Relationship Id="rId7" Type="http://schemas.openxmlformats.org/officeDocument/2006/relationships/hyperlink" Target="https://www.footprintnetwork.org/content/uploads/2019/05/WWF_GFN_EU_Overshoot_Day_report.pdf" TargetMode="External"/><Relationship Id="rId2" Type="http://schemas.openxmlformats.org/officeDocument/2006/relationships/hyperlink" Target="https://ec.europa.eu/eurostat/web/products-statistical-books/-/KS-02-20-202" TargetMode="External"/><Relationship Id="rId16" Type="http://schemas.openxmlformats.org/officeDocument/2006/relationships/hyperlink" Target="https://doi.org/10.1787/g2g9dd62-en" TargetMode="External"/><Relationship Id="rId20" Type="http://schemas.openxmlformats.org/officeDocument/2006/relationships/hyperlink" Target="https://ec.europa.eu/eurostat/statistics-explained/index.php/Environmental_tax_statistics" TargetMode="External"/><Relationship Id="rId29" Type="http://schemas.openxmlformats.org/officeDocument/2006/relationships/hyperlink" Target="https://www.beuc.eu/publications/beuc-x-2020-012_beuc_position_on_european_green_deal.pdf" TargetMode="External"/><Relationship Id="rId41" Type="http://schemas.openxmlformats.org/officeDocument/2006/relationships/hyperlink" Target="http://www.workersrights.org/issues/covid-19/tracker/" TargetMode="External"/><Relationship Id="rId1" Type="http://schemas.openxmlformats.org/officeDocument/2006/relationships/hyperlink" Target="https://www.eesc.europa.eu/sk/documents/resolution/eesc-proposals-post-covid-19-crisis-reconstruction-and-recovery-eu-must-be-guided-principle-being-considered-community" TargetMode="External"/><Relationship Id="rId6" Type="http://schemas.openxmlformats.org/officeDocument/2006/relationships/hyperlink" Target="https://www.footprintnetwork.org/resources/glossary/" TargetMode="External"/><Relationship Id="rId11" Type="http://schemas.openxmlformats.org/officeDocument/2006/relationships/hyperlink" Target="https://www.eea.europa.eu/data-and-maps/indicators/ecological-footprint-of-european-countries-2/assessment" TargetMode="External"/><Relationship Id="rId24" Type="http://schemas.openxmlformats.org/officeDocument/2006/relationships/hyperlink" Target="https://ec.europa.eu/environment/gpp/pdf/Buying-Green-Handbook-3rd-Edition.pdf" TargetMode="External"/><Relationship Id="rId32" Type="http://schemas.openxmlformats.org/officeDocument/2006/relationships/hyperlink" Target="https://ieep.eu/news/biodiversity/what-the-green-deal-means-for-europe-s-biodiversity" TargetMode="External"/><Relationship Id="rId37" Type="http://schemas.openxmlformats.org/officeDocument/2006/relationships/hyperlink" Target="https://www.bruegel.org/wp-content/uploads/2020/04/IPOL_STU2020648767_EN.pdf" TargetMode="External"/><Relationship Id="rId40" Type="http://schemas.openxmlformats.org/officeDocument/2006/relationships/hyperlink" Target="https://www.oneworld.nl/lezen/lifestyle/fair-fashion/primark-en-ca-zetten-kledingarbeiders-op-straat" TargetMode="External"/><Relationship Id="rId5" Type="http://schemas.openxmlformats.org/officeDocument/2006/relationships/hyperlink" Target="https://www.eea.europa.eu/highlights/europes-environmental-footprints-exceed-several" TargetMode="External"/><Relationship Id="rId15" Type="http://schemas.openxmlformats.org/officeDocument/2006/relationships/hyperlink" Target="http://www.eeb.org/coolproducts-report" TargetMode="External"/><Relationship Id="rId23" Type="http://schemas.openxmlformats.org/officeDocument/2006/relationships/hyperlink" Target="https://eur-lex.europa.eu/legal-content/SK/TXT/?uri=celex:32014L0024" TargetMode="External"/><Relationship Id="rId28" Type="http://schemas.openxmlformats.org/officeDocument/2006/relationships/hyperlink" Target="https://www.eea.europa.eu/data-and-maps/indicators/ecological-footprint-of-european-countries-2/assessment" TargetMode="External"/><Relationship Id="rId36" Type="http://schemas.openxmlformats.org/officeDocument/2006/relationships/hyperlink" Target="https://eur-lex.europa.eu/LexUriServ/LexUriServ.do?uri=OJ:C:2014:067:SOM:SK:HTML" TargetMode="External"/><Relationship Id="rId10" Type="http://schemas.openxmlformats.org/officeDocument/2006/relationships/hyperlink" Target="https://ieep.eu/uploads/articles/attachments/f560794d-c411-4895-8ae9-910c65548f33/EU%20trade,%20CE%20and%20sustainable%20development%20(IEEP%202019)%20FINAL.pdf?v=63741577228" TargetMode="External"/><Relationship Id="rId19" Type="http://schemas.openxmlformats.org/officeDocument/2006/relationships/hyperlink" Target="https://ec.europa.eu/transparency/regdoc/rep/1/2008/SK/1-2008-435-SK-F1-1.Pdf" TargetMode="External"/><Relationship Id="rId31" Type="http://schemas.openxmlformats.org/officeDocument/2006/relationships/hyperlink" Target="https://eur-lex.europa.eu/LexUriServ/LexUriServ.do?uri=OJ:C:2019:190:SOM:SK:HTML" TargetMode="External"/><Relationship Id="rId44" Type="http://schemas.openxmlformats.org/officeDocument/2006/relationships/hyperlink" Target="https://eur-lex.europa.eu/LexUriServ/LexUriServ.do?uri=OJ:C:2019:190:SOM:SK:HTML" TargetMode="External"/><Relationship Id="rId4" Type="http://schemas.openxmlformats.org/officeDocument/2006/relationships/hyperlink" Target="https://www.eea.europa.eu/highlights/soer2020-europes-environment-state-and-outlook-report" TargetMode="External"/><Relationship Id="rId9" Type="http://schemas.openxmlformats.org/officeDocument/2006/relationships/hyperlink" Target="https://science.sciencemag.org/content/347/6223/1259855" TargetMode="External"/><Relationship Id="rId14" Type="http://schemas.openxmlformats.org/officeDocument/2006/relationships/hyperlink" Target="https://www.springerprofessional.de/en/necessities-for-a-resource-efficient-europe/15095672" TargetMode="External"/><Relationship Id="rId22" Type="http://schemas.openxmlformats.org/officeDocument/2006/relationships/hyperlink" Target="file:///C:/Users/akras/Downloads/Competition%20Law%20and%20Sustainability%20-%20Fairtrade%20Report.pdf" TargetMode="External"/><Relationship Id="rId27" Type="http://schemas.openxmlformats.org/officeDocument/2006/relationships/hyperlink" Target="https://op.europa.eu/en/publication-detail/-/publication/0779f275-f9d6-11e8-a96d-01aa75ed71a1/language-en" TargetMode="External"/><Relationship Id="rId30" Type="http://schemas.openxmlformats.org/officeDocument/2006/relationships/hyperlink" Target="https://www.springerprofessional.de/en/necessities-for-a-resource-efficient-europe/15095672" TargetMode="External"/><Relationship Id="rId35" Type="http://schemas.openxmlformats.org/officeDocument/2006/relationships/hyperlink" Target="https://ieep.eu/uploads/articles/attachments/62021d1c-86b4-4a86-a293-4f2bc34d3043/Green%20Deal%20for%20All%20-%20FINAL%20PP.pdf?v=63755214067" TargetMode="External"/><Relationship Id="rId43" Type="http://schemas.openxmlformats.org/officeDocument/2006/relationships/hyperlink" Target="https://eur-lex.europa.eu/LexUriServ/LexUriServ.do?uri=OJ:C:2020:047:SOM:SK:HTML" TargetMode="External"/><Relationship Id="rId8" Type="http://schemas.openxmlformats.org/officeDocument/2006/relationships/hyperlink" Target="https://www.eea.europa.eu/highlights/soer2020-europes-environment-state-and-outlook-report" TargetMode="External"/><Relationship Id="rId3" Type="http://schemas.openxmlformats.org/officeDocument/2006/relationships/hyperlink" Target="https://eur-lex.europa.eu/LexUriServ/LexUriServ.do?uri=OJ:C:2020:047:SOM:SK:HTML" TargetMode="External"/><Relationship Id="rId12" Type="http://schemas.openxmlformats.org/officeDocument/2006/relationships/hyperlink" Target="https://ec.europa.eu/eurostat/statistics-explained/index.php?title=Living_conditions_in_Europe_-_material_deprivation_and_economic_strain" TargetMode="External"/><Relationship Id="rId17" Type="http://schemas.openxmlformats.org/officeDocument/2006/relationships/hyperlink" Target="https://www.efsa.europa.eu/sites/default/files/corporate_publications/files/Eurobarometer2019_Food-safety-in-the-EU_Full-report.pdf" TargetMode="External"/><Relationship Id="rId25" Type="http://schemas.openxmlformats.org/officeDocument/2006/relationships/hyperlink" Target="https://op.europa.eu/sk/publication-detail/-/publication/cb70c481-0e29-4040-9be2-c408cddf081f" TargetMode="External"/><Relationship Id="rId33" Type="http://schemas.openxmlformats.org/officeDocument/2006/relationships/hyperlink" Target="https://ieep.eu/news/agriculture-and-land-management/a-meaty-challenge-what-would-a-just-transition-for-europe-s-livestock-sector-look-like" TargetMode="External"/><Relationship Id="rId38" Type="http://schemas.openxmlformats.org/officeDocument/2006/relationships/hyperlink" Target="https://eur-lex.europa.eu/LexUriServ/LexUriServ.do?uri=OJ:C:2018:440:SOM:S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VV634QRNENMJ-2004427339-8230</_dlc_DocId>
    <_dlc_DocIdUrl xmlns="cda99570-6012-4083-bfeb-7d32ad1ce1a3">
      <Url>http://dm2016/eesc/2020/_layouts/15/DocIdRedir.aspx?ID=VV634QRNENMJ-2004427339-8230</Url>
      <Description>VV634QRNENMJ-2004427339-8230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2020-07-20T12:00:00+00:00</ProductionDate>
    <FicheYear xmlns="cda99570-6012-4083-bfeb-7d32ad1ce1a3">2020</FicheYear>
    <DocumentNumber xmlns="0381fa04-922e-4f8c-89b0-7415d369da52">1596</DocumentNumber>
    <DocumentVersion xmlns="cda99570-6012-4083-bfeb-7d32ad1ce1a3">0</DocumentVersion>
    <DossierNumber xmlns="cda99570-6012-4083-bfeb-7d32ad1ce1a3">789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2020-09-16T12:00:00+00:00</MeetingDate>
    <TaxCatchAll xmlns="cda99570-6012-4083-bfeb-7d32ad1ce1a3">
      <Value>51</Value>
      <Value>49</Value>
      <Value>48</Value>
      <Value>47</Value>
      <Value>46</Value>
      <Value>45</Value>
      <Value>44</Value>
      <Value>43</Value>
      <Value>41</Value>
      <Value>40</Value>
      <Value>128</Value>
      <Value>38</Value>
      <Value>36</Value>
      <Value>34</Value>
      <Value>32</Value>
      <Value>31</Value>
      <Value>30</Value>
      <Value>29</Value>
      <Value>24</Value>
      <Value>39</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Rapporteur xmlns="cda99570-6012-4083-bfeb-7d32ad1ce1a3">SCHMIDT</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7826</FicheNumber>
    <DocumentPart xmlns="cda99570-6012-4083-bfeb-7d32ad1ce1a3">0</DocumentPart>
    <AdoptionDate xmlns="cda99570-6012-4083-bfeb-7d32ad1ce1a3" xsi:nil="true"/>
    <RequestingService xmlns="cda99570-6012-4083-bfeb-7d32ad1ce1a3">Agriculture, développement rural et environnement</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81fa04-922e-4f8c-89b0-7415d369da52">554</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10FCE28FA6316941A8E63DE5CBD60CA0" ma:contentTypeVersion="4" ma:contentTypeDescription="Defines the documents for Document Manager V2" ma:contentTypeScope="" ma:versionID="9b6fa2223ca76fa613628daa2e29fd53">
  <xsd:schema xmlns:xsd="http://www.w3.org/2001/XMLSchema" xmlns:xs="http://www.w3.org/2001/XMLSchema" xmlns:p="http://schemas.microsoft.com/office/2006/metadata/properties" xmlns:ns2="cda99570-6012-4083-bfeb-7d32ad1ce1a3" xmlns:ns3="http://schemas.microsoft.com/sharepoint/v3/fields" xmlns:ns4="0381fa04-922e-4f8c-89b0-7415d369da52" targetNamespace="http://schemas.microsoft.com/office/2006/metadata/properties" ma:root="true" ma:fieldsID="c84aebccc94f8f26fd15896cf62d5ceb" ns2:_="" ns3:_="" ns4:_="">
    <xsd:import namespace="cda99570-6012-4083-bfeb-7d32ad1ce1a3"/>
    <xsd:import namespace="http://schemas.microsoft.com/sharepoint/v3/fields"/>
    <xsd:import namespace="0381fa04-922e-4f8c-89b0-7415d369da5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1fa04-922e-4f8c-89b0-7415d369da5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75CEF-0393-4081-B0DA-48E317556774}"/>
</file>

<file path=customXml/itemProps2.xml><?xml version="1.0" encoding="utf-8"?>
<ds:datastoreItem xmlns:ds="http://schemas.openxmlformats.org/officeDocument/2006/customXml" ds:itemID="{EB33FC20-FFDF-4115-BF79-966168F81E7C}"/>
</file>

<file path=customXml/itemProps3.xml><?xml version="1.0" encoding="utf-8"?>
<ds:datastoreItem xmlns:ds="http://schemas.openxmlformats.org/officeDocument/2006/customXml" ds:itemID="{F581713C-8F8C-446D-A5A0-D89E4DB589A1}"/>
</file>

<file path=customXml/itemProps4.xml><?xml version="1.0" encoding="utf-8"?>
<ds:datastoreItem xmlns:ds="http://schemas.openxmlformats.org/officeDocument/2006/customXml" ds:itemID="{FDB69F46-0007-49A6-8398-1F5671B81FB7}"/>
</file>

<file path=docProps/app.xml><?xml version="1.0" encoding="utf-8"?>
<Properties xmlns="http://schemas.openxmlformats.org/officeDocument/2006/extended-properties" xmlns:vt="http://schemas.openxmlformats.org/officeDocument/2006/docPropsVTypes">
  <Template>Normal</Template>
  <TotalTime>72</TotalTime>
  <Pages>15</Pages>
  <Words>4929</Words>
  <Characters>28098</Characters>
  <Application>Microsoft Office Word</Application>
  <DocSecurity>0</DocSecurity>
  <Lines>234</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Towards an EU strategy on sustainable consumption (own-initiative opinion)</vt:lpstr>
      <vt:lpstr>European Agenda on Migration: Second implementation package - A permanent crisis relocation mechanism under the Dublin system</vt:lpstr>
    </vt:vector>
  </TitlesOfParts>
  <Company>CESE-CdR</Company>
  <LinksUpToDate>false</LinksUpToDate>
  <CharactersWithSpaces>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Vytvoriť európsku stratégiu pre udržateľnú spotrebu (stanovisko z vlastnej iniciatívy)</dc:title>
  <dc:creator/>
  <cp:keywords>EESC-2020-01596-00-00-AS-TRA-EN</cp:keywords>
  <dc:description>Rapporteur: SCHMIDT - Original language: EN - Date of document: 20/07/2020 - Date of meeting: 16/09/2020 - External documents:  - Administrator: MME GUARINONI Monica</dc:description>
  <cp:lastModifiedBy/>
  <cp:revision>14</cp:revision>
  <cp:lastPrinted>2016-01-26T08:31:00Z</cp:lastPrinted>
  <dcterms:created xsi:type="dcterms:W3CDTF">2020-06-24T12:12:00Z</dcterms:created>
  <dcterms:modified xsi:type="dcterms:W3CDTF">2020-07-31T09:22:00Z</dcterms:modified>
  <cp:category>NAT/789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24/06/2020, 24/06/2020, 08/06/2020, 08/06/2020, 06/05/2020, 06/05/2020, 04/11/2015, 27/10/2015, 19/10/2015, 09/10/2015, 05/10/2015, 05/10/2015, 26/08/2015, 26/08/2015, 25/08/2015</vt:lpwstr>
  </property>
  <property fmtid="{D5CDD505-2E9C-101B-9397-08002B2CF9AE}" pid="4" name="Pref_Time">
    <vt:lpwstr>13:54:00, 13:42:49, 11:18:20, 09:18:02, 14:18:59, 14:15:29, 12:10:07, 14:44:02, 16:04:16, 14:09:30, 16:24:55, 16:04:02, 08:56:14, 07:27:56, 17:31:53</vt:lpwstr>
  </property>
  <property fmtid="{D5CDD505-2E9C-101B-9397-08002B2CF9AE}" pid="5" name="Pref_User">
    <vt:lpwstr>mkop, htoo, jhvi, htoo, hnic, htoo, ssex, enied, amett, tvoc, mreg, mreg, amett, enied, ssex</vt:lpwstr>
  </property>
  <property fmtid="{D5CDD505-2E9C-101B-9397-08002B2CF9AE}" pid="6" name="Pref_FileName">
    <vt:lpwstr>EESC-2020-01596-00-00-PA-TRA-EN-CRR.docx, EESC-2020-01596-00-00-PA-CRR-EN.docx, EESC-2020-01596-00-00-APA-TRA-EN-CRR.docx, EESC-2020-01596-00-00-APA-CRR-EN.docx, EESC-2020-01596-00-00-DT-TRA-EN-CRR.docx, EESC-2020-01596-00-00-DT-CRR-EN.docx, EESC-2015-054</vt:lpwstr>
  </property>
  <property fmtid="{D5CDD505-2E9C-101B-9397-08002B2CF9AE}" pid="7" name="ContentTypeId">
    <vt:lpwstr>0x010100EA97B91038054C99906057A708A1480A0010FCE28FA6316941A8E63DE5CBD60CA0</vt:lpwstr>
  </property>
  <property fmtid="{D5CDD505-2E9C-101B-9397-08002B2CF9AE}" pid="8" name="_dlc_DocIdItemGuid">
    <vt:lpwstr>653736b9-b179-4721-8bbb-635281cdf0bf</vt:lpwstr>
  </property>
  <property fmtid="{D5CDD505-2E9C-101B-9397-08002B2CF9AE}" pid="9" name="AvailableTranslations">
    <vt:lpwstr>13;#IT|0774613c-01ed-4e5d-a25d-11d2388de825;#24;#LV|46f7e311-5d9f-4663-b433-18aeccb7ace7;#11;#FR|d2afafd3-4c81-4f60-8f52-ee33f2f54ff3;#30;#LT|a7ff5ce7-6123-4f68-865a-a57c31810414;#32;#DA|5d49c027-8956-412b-aa16-e85a0f96ad0e;#36;#MT|7df99101-6854-4a26-b53a-b88c0da02c26;#45;#FI|87606a43-d45f-42d6-b8c9-e1a3457db5b7;#16;#ES|e7a6b05b-ae16-40c8-add9-68b64b03aeba;#46;#SK|46d9fce0-ef79-4f71-b89b-cd6aa82426b8;#47;#ET|ff6c3f4c-b02c-4c3c-ab07-2c37995a7a0a;#9;#PL|1e03da61-4678-4e07-b136-b5024ca9197b;#4;#EN|f2175f21-25d7-44a3-96da-d6a61b075e1b;#31;#CS|72f9705b-0217-4fd3-bea2-cbc7ed80e26e;#10;#DE|f6b31e5a-26fa-4935-b661-318e46daf27e;#41;#NL|55c6556c-b4f4-441d-9acf-c498d4f838bd;#39;#HU|6b229040-c589-4408-b4c1-4285663d20a8;#44;#BG|1a1b3951-7821-4e6a-85f5-5673fc08bd2c;#29;#PT|50ccc04a-eadd-42ae-a0cb-acaf45f812ba;#34;#SL|98a412ae-eb01-49e9-ae3d-585a81724cfc;#43;#HR|2f555653-ed1a-4fe6-8362-9082d95989e5;#48;#RO|feb747a2-64cd-4299-af12-4833ddc30497;#38;#EL|6d4f4d51-af9b-4650-94b4-4276bee85c91;#40;#SV|c2ed69e7-a339-43d7-8f22-d93680a92aa0</vt:lpwstr>
  </property>
  <property fmtid="{D5CDD505-2E9C-101B-9397-08002B2CF9AE}" pid="10" name="DocumentType_0">
    <vt:lpwstr>AS|c7a748eb-f6f2-4d9d-8b5a-af0cafebc224</vt:lpwstr>
  </property>
  <property fmtid="{D5CDD505-2E9C-101B-9397-08002B2CF9AE}" pid="11" name="MeetingNumber">
    <vt:i4>554</vt:i4>
  </property>
  <property fmtid="{D5CDD505-2E9C-101B-9397-08002B2CF9AE}" pid="12" name="DossierName_0">
    <vt:lpwstr>NAT|b263ab5d-0564-42a8-87bf-1cc57d938922</vt:lpwstr>
  </property>
  <property fmtid="{D5CDD505-2E9C-101B-9397-08002B2CF9AE}" pid="13" name="DocumentSource_0">
    <vt:lpwstr>EESC|422833ec-8d7e-4e65-8e4e-8bed07ffb729</vt:lpwstr>
  </property>
  <property fmtid="{D5CDD505-2E9C-101B-9397-08002B2CF9AE}" pid="14" name="DocumentNumber">
    <vt:i4>1596</vt:i4>
  </property>
  <property fmtid="{D5CDD505-2E9C-101B-9397-08002B2CF9AE}" pid="15" name="FicheYear">
    <vt:i4>2020</vt:i4>
  </property>
  <property fmtid="{D5CDD505-2E9C-101B-9397-08002B2CF9AE}" pid="16" name="DocumentVersion">
    <vt:i4>0</vt:i4>
  </property>
  <property fmtid="{D5CDD505-2E9C-101B-9397-08002B2CF9AE}" pid="17" name="DossierNumber">
    <vt:i4>789</vt:i4>
  </property>
  <property fmtid="{D5CDD505-2E9C-101B-9397-08002B2CF9AE}" pid="18" name="DocumentStatus">
    <vt:lpwstr>2;#TRA|150d2a88-1431-44e6-a8ca-0bb753ab8672</vt:lpwstr>
  </property>
  <property fmtid="{D5CDD505-2E9C-101B-9397-08002B2CF9AE}" pid="19" name="DocumentPart">
    <vt:i4>0</vt:i4>
  </property>
  <property fmtid="{D5CDD505-2E9C-101B-9397-08002B2CF9AE}" pid="20" name="DossierName">
    <vt:lpwstr>49;#NAT|b263ab5d-0564-42a8-87bf-1cc57d938922</vt:lpwstr>
  </property>
  <property fmtid="{D5CDD505-2E9C-101B-9397-08002B2CF9AE}" pid="21" name="DocumentSource">
    <vt:lpwstr>1;#EESC|422833ec-8d7e-4e65-8e4e-8bed07ffb729</vt:lpwstr>
  </property>
  <property fmtid="{D5CDD505-2E9C-101B-9397-08002B2CF9AE}" pid="22" name="DocumentType">
    <vt:lpwstr>128;#AS|c7a748eb-f6f2-4d9d-8b5a-af0cafebc224</vt:lpwstr>
  </property>
  <property fmtid="{D5CDD505-2E9C-101B-9397-08002B2CF9AE}" pid="23" name="RequestingService">
    <vt:lpwstr>Agriculture, développement rural et environnement</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51;#SPL-CES|32d8cb1f-c9ec-4365-95c7-8385a18618ac</vt:lpwstr>
  </property>
  <property fmtid="{D5CDD505-2E9C-101B-9397-08002B2CF9AE}" pid="29" name="MeetingDate">
    <vt:filetime>2020-09-16T12:00:00Z</vt:filetime>
  </property>
  <property fmtid="{D5CDD505-2E9C-101B-9397-08002B2CF9AE}" pid="30" name="AvailableTranslations_0">
    <vt:lpwstr>IT|0774613c-01ed-4e5d-a25d-11d2388de825;FR|d2afafd3-4c81-4f60-8f52-ee33f2f54ff3;MT|7df99101-6854-4a26-b53a-b88c0da02c26;PL|1e03da61-4678-4e07-b136-b5024ca9197b;EN|f2175f21-25d7-44a3-96da-d6a61b075e1b;CS|72f9705b-0217-4fd3-bea2-cbc7ed80e26e;DE|f6b31e5a-26f</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36;#MT|7df99101-6854-4a26-b53a-b88c0da02c26;#34;#SL|98a412ae-eb01-49e9-ae3d-585a81724cfc;#31;#CS|72f9705b-0217-4fd3-bea2-cbc7ed80e26e;#43;#HR|2f555653-ed1a-4fe6-8362-9082d95989e5;#29;#PT|50ccc04a-eadd-42ae-a0cb-acaf45f812ba;#38;#EL|6d4f4d51-af9b-4650-94b4</vt:lpwstr>
  </property>
  <property fmtid="{D5CDD505-2E9C-101B-9397-08002B2CF9AE}" pid="34" name="Rapporteur">
    <vt:lpwstr>SCHMIDT</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2020</vt:i4>
  </property>
  <property fmtid="{D5CDD505-2E9C-101B-9397-08002B2CF9AE}" pid="38" name="FicheNumber">
    <vt:i4>7826</vt:i4>
  </property>
  <property fmtid="{D5CDD505-2E9C-101B-9397-08002B2CF9AE}" pid="39" name="DocumentLanguage">
    <vt:lpwstr>46;#SK|46d9fce0-ef79-4f71-b89b-cd6aa82426b8</vt:lpwstr>
  </property>
  <property name="OP_sanitized" fmtid="{D5CDD505-2E9C-101B-9397-08002B2CF9AE}" pid="40">
    <vt:lpwstr>True</vt:lpwstr>
  </property>
</Properties>
</file>